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A690036">
      <w:pPr>
        <w:keepNext w:val="0"/>
        <w:keepLines w:val="0"/>
        <w:pageBreakBefore w:val="0"/>
        <w:kinsoku/>
        <w:wordWrap/>
        <w:overflowPunct/>
        <w:topLinePunct w:val="0"/>
        <w:bidi w:val="0"/>
        <w:adjustRightInd/>
        <w:spacing w:after="0" w:line="360" w:lineRule="auto"/>
        <w:ind w:right="-227" w:rightChars="-108"/>
        <w:jc w:val="center"/>
        <w:textAlignment w:val="auto"/>
        <w:rPr>
          <w:rFonts w:hint="eastAsia" w:ascii="仿宋" w:hAnsi="仿宋" w:eastAsia="仿宋" w:cs="仿宋"/>
          <w:b/>
          <w:bCs/>
          <w:color w:val="auto"/>
          <w:sz w:val="24"/>
          <w:szCs w:val="24"/>
          <w:highlight w:val="none"/>
        </w:rPr>
      </w:pPr>
      <w:bookmarkStart w:id="0" w:name="OLE_LINK5"/>
      <w:bookmarkStart w:id="41" w:name="_GoBack"/>
      <w:r>
        <w:rPr>
          <w:rFonts w:hint="eastAsia" w:ascii="仿宋" w:hAnsi="仿宋" w:eastAsia="仿宋" w:cs="仿宋"/>
          <w:b/>
          <w:bCs/>
          <w:color w:val="auto"/>
          <w:sz w:val="28"/>
          <w:szCs w:val="28"/>
          <w:highlight w:val="none"/>
          <w:lang w:eastAsia="zh-CN"/>
        </w:rPr>
        <w:t>昆明中石化国投（呈贡）石油有限责任公司呈贡雨花路加油站设计、施工总承包项目</w:t>
      </w:r>
      <w:bookmarkEnd w:id="0"/>
      <w:r>
        <w:rPr>
          <w:rFonts w:hint="eastAsia" w:ascii="仿宋" w:hAnsi="仿宋" w:eastAsia="仿宋" w:cs="仿宋"/>
          <w:b/>
          <w:bCs/>
          <w:color w:val="auto"/>
          <w:sz w:val="28"/>
          <w:szCs w:val="28"/>
          <w:highlight w:val="none"/>
        </w:rPr>
        <w:t>招标公告</w:t>
      </w:r>
    </w:p>
    <w:bookmarkEnd w:id="41"/>
    <w:p w14:paraId="1EACB41D">
      <w:pPr>
        <w:keepNext w:val="0"/>
        <w:keepLines w:val="0"/>
        <w:pageBreakBefore w:val="0"/>
        <w:widowControl w:val="0"/>
        <w:tabs>
          <w:tab w:val="left" w:pos="6090"/>
        </w:tabs>
        <w:kinsoku/>
        <w:wordWrap/>
        <w:overflowPunct/>
        <w:topLinePunct w:val="0"/>
        <w:autoSpaceDE/>
        <w:autoSpaceDN/>
        <w:bidi w:val="0"/>
        <w:adjustRightInd/>
        <w:snapToGrid/>
        <w:spacing w:after="0" w:line="360" w:lineRule="auto"/>
        <w:jc w:val="left"/>
        <w:textAlignment w:val="auto"/>
        <w:outlineLvl w:val="1"/>
        <w:rPr>
          <w:rFonts w:hint="eastAsia" w:ascii="仿宋" w:hAnsi="仿宋" w:eastAsia="仿宋" w:cs="仿宋"/>
          <w:b/>
          <w:color w:val="auto"/>
          <w:sz w:val="24"/>
          <w:szCs w:val="24"/>
          <w:highlight w:val="none"/>
        </w:rPr>
      </w:pPr>
      <w:bookmarkStart w:id="1" w:name="_Toc3093"/>
      <w:bookmarkStart w:id="2" w:name="_Toc22373"/>
      <w:r>
        <w:rPr>
          <w:rFonts w:hint="eastAsia" w:ascii="仿宋" w:hAnsi="仿宋" w:eastAsia="仿宋" w:cs="仿宋"/>
          <w:b/>
          <w:color w:val="auto"/>
          <w:sz w:val="24"/>
          <w:szCs w:val="24"/>
          <w:highlight w:val="none"/>
        </w:rPr>
        <w:t>1.招标条件</w:t>
      </w:r>
      <w:bookmarkEnd w:id="1"/>
      <w:r>
        <w:rPr>
          <w:rFonts w:hint="eastAsia" w:ascii="仿宋" w:hAnsi="仿宋" w:eastAsia="仿宋" w:cs="仿宋"/>
          <w:b/>
          <w:color w:val="auto"/>
          <w:sz w:val="24"/>
          <w:szCs w:val="24"/>
          <w:highlight w:val="none"/>
        </w:rPr>
        <w:t>:</w:t>
      </w:r>
      <w:bookmarkEnd w:id="2"/>
    </w:p>
    <w:p w14:paraId="3ED00303">
      <w:pPr>
        <w:keepNext w:val="0"/>
        <w:keepLines w:val="0"/>
        <w:pageBreakBefore w:val="0"/>
        <w:widowControl w:val="0"/>
        <w:kinsoku/>
        <w:wordWrap/>
        <w:overflowPunct/>
        <w:topLinePunct w:val="0"/>
        <w:autoSpaceDE/>
        <w:autoSpaceDN/>
        <w:bidi w:val="0"/>
        <w:adjustRightInd/>
        <w:snapToGrid/>
        <w:spacing w:after="0" w:line="360" w:lineRule="auto"/>
        <w:ind w:firstLine="525" w:firstLineChars="250"/>
        <w:textAlignment w:val="auto"/>
        <w:rPr>
          <w:rFonts w:hint="eastAsia" w:ascii="仿宋" w:hAnsi="仿宋" w:eastAsia="仿宋" w:cs="仿宋"/>
          <w:bCs/>
          <w:color w:val="auto"/>
          <w:szCs w:val="21"/>
          <w:highlight w:val="none"/>
        </w:rPr>
      </w:pPr>
      <w:r>
        <w:rPr>
          <w:rFonts w:hint="eastAsia" w:ascii="仿宋" w:hAnsi="仿宋" w:eastAsia="仿宋" w:cs="仿宋"/>
          <w:color w:val="auto"/>
          <w:sz w:val="21"/>
          <w:szCs w:val="21"/>
          <w:highlight w:val="none"/>
        </w:rPr>
        <w:t>本招标项目</w:t>
      </w:r>
      <w:r>
        <w:rPr>
          <w:rFonts w:hint="eastAsia" w:ascii="仿宋" w:hAnsi="仿宋" w:eastAsia="仿宋" w:cs="仿宋"/>
          <w:color w:val="auto"/>
          <w:sz w:val="21"/>
          <w:szCs w:val="21"/>
          <w:highlight w:val="none"/>
          <w:u w:val="single"/>
          <w:lang w:eastAsia="zh-CN"/>
        </w:rPr>
        <w:t>昆明中石化国投（呈贡）石油有限责任公司呈贡雨花路加油站设计、施工总承包项目</w:t>
      </w:r>
      <w:r>
        <w:rPr>
          <w:rFonts w:hint="eastAsia" w:ascii="仿宋" w:hAnsi="仿宋" w:eastAsia="仿宋" w:cs="仿宋"/>
          <w:color w:val="auto"/>
          <w:sz w:val="21"/>
          <w:szCs w:val="21"/>
          <w:highlight w:val="none"/>
        </w:rPr>
        <w:t>（项目名称）已由</w:t>
      </w:r>
      <w:r>
        <w:rPr>
          <w:rFonts w:hint="eastAsia" w:ascii="仿宋" w:hAnsi="仿宋" w:eastAsia="仿宋" w:cs="仿宋"/>
          <w:color w:val="auto"/>
          <w:sz w:val="21"/>
          <w:szCs w:val="21"/>
          <w:highlight w:val="none"/>
          <w:u w:val="single"/>
          <w:lang w:val="en-US" w:eastAsia="zh-CN"/>
        </w:rPr>
        <w:t>呈贡区发展和改革局（呈贡区粮食和物资储备局）</w:t>
      </w:r>
      <w:r>
        <w:rPr>
          <w:rFonts w:hint="eastAsia" w:ascii="仿宋" w:hAnsi="仿宋" w:eastAsia="仿宋" w:cs="仿宋"/>
          <w:color w:val="auto"/>
          <w:sz w:val="21"/>
          <w:szCs w:val="21"/>
          <w:highlight w:val="none"/>
        </w:rPr>
        <w:t>（项目审批、核准或备案机关名称）以</w:t>
      </w:r>
      <w:r>
        <w:rPr>
          <w:rFonts w:hint="eastAsia" w:ascii="仿宋" w:hAnsi="仿宋" w:eastAsia="仿宋" w:cs="仿宋"/>
          <w:color w:val="auto"/>
          <w:sz w:val="21"/>
          <w:szCs w:val="21"/>
          <w:highlight w:val="none"/>
          <w:u w:val="single"/>
        </w:rPr>
        <w:t>备案号【项目代码】:</w:t>
      </w:r>
      <w:r>
        <w:rPr>
          <w:rFonts w:hint="eastAsia" w:ascii="仿宋" w:hAnsi="仿宋" w:eastAsia="仿宋" w:cs="仿宋"/>
          <w:color w:val="auto"/>
          <w:sz w:val="21"/>
          <w:szCs w:val="21"/>
          <w:highlight w:val="none"/>
          <w:u w:val="single"/>
          <w:lang w:val="en-US" w:eastAsia="zh-CN"/>
        </w:rPr>
        <w:t>2504-530114-04-01-672987</w:t>
      </w:r>
      <w:r>
        <w:rPr>
          <w:rFonts w:hint="eastAsia" w:ascii="仿宋" w:hAnsi="仿宋" w:eastAsia="仿宋" w:cs="仿宋"/>
          <w:color w:val="auto"/>
          <w:sz w:val="21"/>
          <w:szCs w:val="21"/>
          <w:highlight w:val="none"/>
        </w:rPr>
        <w:t>批准建设，建设资金来源于</w:t>
      </w:r>
      <w:r>
        <w:rPr>
          <w:rFonts w:hint="eastAsia" w:ascii="仿宋" w:hAnsi="仿宋" w:eastAsia="仿宋" w:cs="仿宋"/>
          <w:color w:val="auto"/>
          <w:szCs w:val="21"/>
          <w:highlight w:val="none"/>
          <w:u w:val="single"/>
          <w:lang w:val="en-US" w:eastAsia="zh-CN"/>
        </w:rPr>
        <w:t>自有资金</w:t>
      </w:r>
      <w:r>
        <w:rPr>
          <w:rFonts w:hint="eastAsia" w:ascii="仿宋" w:hAnsi="仿宋" w:eastAsia="仿宋" w:cs="仿宋"/>
          <w:color w:val="auto"/>
          <w:sz w:val="21"/>
          <w:szCs w:val="21"/>
          <w:highlight w:val="none"/>
        </w:rPr>
        <w:t>，</w:t>
      </w:r>
      <w:r>
        <w:rPr>
          <w:rFonts w:hint="eastAsia" w:ascii="仿宋" w:hAnsi="仿宋" w:eastAsia="仿宋" w:cs="仿宋"/>
          <w:color w:val="auto"/>
          <w:sz w:val="21"/>
          <w:szCs w:val="21"/>
          <w:highlight w:val="none"/>
          <w:lang w:val="en-US" w:eastAsia="zh-CN"/>
        </w:rPr>
        <w:t>项目出资比例为</w:t>
      </w:r>
      <w:r>
        <w:rPr>
          <w:rFonts w:hint="eastAsia" w:ascii="仿宋" w:hAnsi="仿宋" w:eastAsia="仿宋" w:cs="仿宋"/>
          <w:color w:val="auto"/>
          <w:sz w:val="21"/>
          <w:szCs w:val="21"/>
          <w:highlight w:val="none"/>
          <w:u w:val="single"/>
          <w:lang w:val="en-US" w:eastAsia="zh-CN"/>
        </w:rPr>
        <w:t>100%</w:t>
      </w:r>
      <w:r>
        <w:rPr>
          <w:rFonts w:hint="eastAsia" w:ascii="仿宋" w:hAnsi="仿宋" w:eastAsia="仿宋" w:cs="仿宋"/>
          <w:color w:val="auto"/>
          <w:sz w:val="21"/>
          <w:szCs w:val="21"/>
          <w:highlight w:val="none"/>
        </w:rPr>
        <w:t>，项目已具备招标条件。</w:t>
      </w:r>
      <w:r>
        <w:rPr>
          <w:rFonts w:hint="eastAsia" w:ascii="仿宋" w:hAnsi="仿宋" w:eastAsia="仿宋" w:cs="仿宋"/>
          <w:color w:val="auto"/>
          <w:sz w:val="21"/>
          <w:szCs w:val="21"/>
          <w:highlight w:val="none"/>
          <w:u w:val="single"/>
          <w:lang w:eastAsia="zh-CN"/>
        </w:rPr>
        <w:t>昆明呈建项目管理咨询有限公司</w:t>
      </w:r>
      <w:r>
        <w:rPr>
          <w:rFonts w:hint="eastAsia" w:ascii="仿宋" w:hAnsi="仿宋" w:eastAsia="仿宋" w:cs="仿宋"/>
          <w:color w:val="auto"/>
          <w:sz w:val="21"/>
          <w:szCs w:val="21"/>
          <w:highlight w:val="none"/>
        </w:rPr>
        <w:t>受</w:t>
      </w:r>
      <w:r>
        <w:rPr>
          <w:rFonts w:hint="eastAsia" w:ascii="仿宋" w:hAnsi="仿宋" w:eastAsia="仿宋" w:cs="仿宋"/>
          <w:color w:val="auto"/>
          <w:sz w:val="21"/>
          <w:szCs w:val="21"/>
          <w:highlight w:val="none"/>
          <w:u w:val="single"/>
          <w:lang w:eastAsia="zh-CN"/>
        </w:rPr>
        <w:t>昆明中石化国投（呈贡）石油有限责任公司</w:t>
      </w:r>
      <w:r>
        <w:rPr>
          <w:rFonts w:hint="eastAsia" w:ascii="仿宋" w:hAnsi="仿宋" w:eastAsia="仿宋" w:cs="仿宋"/>
          <w:color w:val="auto"/>
          <w:sz w:val="21"/>
          <w:szCs w:val="21"/>
          <w:highlight w:val="none"/>
        </w:rPr>
        <w:t>（以下简称“招标人”）的委托，</w:t>
      </w:r>
      <w:r>
        <w:rPr>
          <w:rFonts w:hint="eastAsia" w:ascii="仿宋" w:hAnsi="仿宋" w:eastAsia="仿宋" w:cs="仿宋"/>
          <w:color w:val="auto"/>
          <w:szCs w:val="21"/>
          <w:highlight w:val="none"/>
        </w:rPr>
        <w:t>对该项目采用设计</w:t>
      </w:r>
      <w:r>
        <w:rPr>
          <w:rFonts w:hint="eastAsia" w:ascii="仿宋" w:hAnsi="仿宋" w:eastAsia="仿宋" w:cs="仿宋"/>
          <w:color w:val="auto"/>
          <w:szCs w:val="21"/>
          <w:highlight w:val="none"/>
          <w:lang w:eastAsia="zh-CN"/>
        </w:rPr>
        <w:t>、</w:t>
      </w:r>
      <w:r>
        <w:rPr>
          <w:rFonts w:hint="eastAsia" w:ascii="仿宋" w:hAnsi="仿宋" w:eastAsia="仿宋" w:cs="仿宋"/>
          <w:color w:val="auto"/>
          <w:szCs w:val="21"/>
          <w:highlight w:val="none"/>
        </w:rPr>
        <w:t>施工总承包模式进行公开招标，</w:t>
      </w:r>
      <w:r>
        <w:rPr>
          <w:rFonts w:hint="eastAsia" w:ascii="仿宋" w:hAnsi="仿宋" w:eastAsia="仿宋" w:cs="仿宋"/>
          <w:color w:val="auto"/>
          <w:szCs w:val="21"/>
          <w:highlight w:val="none"/>
          <w:lang w:val="en-US" w:eastAsia="zh-CN"/>
        </w:rPr>
        <w:t>欢迎</w:t>
      </w:r>
      <w:r>
        <w:rPr>
          <w:rFonts w:hint="eastAsia" w:ascii="仿宋" w:hAnsi="仿宋" w:eastAsia="仿宋" w:cs="仿宋"/>
          <w:color w:val="auto"/>
          <w:szCs w:val="21"/>
          <w:highlight w:val="none"/>
        </w:rPr>
        <w:t>有</w:t>
      </w:r>
      <w:r>
        <w:rPr>
          <w:rFonts w:hint="eastAsia" w:ascii="仿宋" w:hAnsi="仿宋" w:eastAsia="仿宋" w:cs="仿宋"/>
          <w:color w:val="auto"/>
          <w:szCs w:val="21"/>
          <w:highlight w:val="none"/>
          <w:lang w:val="en-US" w:eastAsia="zh-CN"/>
        </w:rPr>
        <w:t>实力</w:t>
      </w:r>
      <w:r>
        <w:rPr>
          <w:rFonts w:hint="eastAsia" w:ascii="仿宋" w:hAnsi="仿宋" w:eastAsia="仿宋" w:cs="仿宋"/>
          <w:color w:val="auto"/>
          <w:szCs w:val="21"/>
          <w:highlight w:val="none"/>
        </w:rPr>
        <w:t>的潜在投标人</w:t>
      </w:r>
      <w:r>
        <w:rPr>
          <w:rFonts w:hint="eastAsia" w:ascii="仿宋" w:hAnsi="仿宋" w:eastAsia="仿宋" w:cs="仿宋"/>
          <w:color w:val="auto"/>
          <w:szCs w:val="21"/>
          <w:highlight w:val="none"/>
          <w:lang w:val="en-US" w:eastAsia="zh-CN"/>
        </w:rPr>
        <w:t>参加</w:t>
      </w:r>
      <w:r>
        <w:rPr>
          <w:rFonts w:hint="eastAsia" w:ascii="仿宋" w:hAnsi="仿宋" w:eastAsia="仿宋" w:cs="仿宋"/>
          <w:color w:val="auto"/>
          <w:szCs w:val="21"/>
          <w:highlight w:val="none"/>
        </w:rPr>
        <w:t>。</w:t>
      </w:r>
    </w:p>
    <w:p w14:paraId="57A56CDD">
      <w:pPr>
        <w:keepNext w:val="0"/>
        <w:keepLines w:val="0"/>
        <w:pageBreakBefore w:val="0"/>
        <w:widowControl w:val="0"/>
        <w:tabs>
          <w:tab w:val="left" w:pos="6090"/>
        </w:tabs>
        <w:kinsoku/>
        <w:wordWrap/>
        <w:overflowPunct/>
        <w:topLinePunct w:val="0"/>
        <w:autoSpaceDE/>
        <w:autoSpaceDN/>
        <w:bidi w:val="0"/>
        <w:adjustRightInd/>
        <w:snapToGrid/>
        <w:spacing w:after="0" w:line="360" w:lineRule="auto"/>
        <w:jc w:val="left"/>
        <w:textAlignment w:val="auto"/>
        <w:outlineLvl w:val="1"/>
        <w:rPr>
          <w:rFonts w:hint="default" w:ascii="仿宋" w:hAnsi="仿宋" w:eastAsia="仿宋" w:cs="仿宋"/>
          <w:b/>
          <w:bCs/>
          <w:color w:val="auto"/>
          <w:sz w:val="24"/>
          <w:szCs w:val="24"/>
          <w:highlight w:val="none"/>
          <w:lang w:val="en-US" w:eastAsia="zh-CN"/>
        </w:rPr>
      </w:pPr>
      <w:bookmarkStart w:id="3" w:name="_Toc2582"/>
      <w:bookmarkStart w:id="4" w:name="_Toc19069"/>
      <w:r>
        <w:rPr>
          <w:rFonts w:hint="eastAsia" w:ascii="仿宋" w:hAnsi="仿宋" w:eastAsia="仿宋" w:cs="仿宋"/>
          <w:b/>
          <w:color w:val="auto"/>
          <w:sz w:val="24"/>
          <w:szCs w:val="24"/>
          <w:highlight w:val="none"/>
        </w:rPr>
        <w:t>2.</w:t>
      </w:r>
      <w:r>
        <w:rPr>
          <w:rFonts w:hint="eastAsia" w:ascii="仿宋" w:hAnsi="仿宋" w:eastAsia="仿宋" w:cs="仿宋"/>
          <w:b/>
          <w:color w:val="auto"/>
          <w:sz w:val="24"/>
          <w:szCs w:val="24"/>
          <w:highlight w:val="none"/>
          <w:lang w:val="en-US" w:eastAsia="zh-CN"/>
        </w:rPr>
        <w:t>项目概况与招标范围</w:t>
      </w:r>
      <w:bookmarkEnd w:id="3"/>
      <w:bookmarkEnd w:id="4"/>
    </w:p>
    <w:p w14:paraId="082FAFF2">
      <w:pPr>
        <w:keepNext w:val="0"/>
        <w:keepLines w:val="0"/>
        <w:pageBreakBefore w:val="0"/>
        <w:widowControl/>
        <w:kinsoku/>
        <w:wordWrap/>
        <w:overflowPunct/>
        <w:topLinePunct w:val="0"/>
        <w:autoSpaceDE/>
        <w:autoSpaceDN/>
        <w:bidi w:val="0"/>
        <w:adjustRightInd/>
        <w:snapToGrid/>
        <w:spacing w:after="0" w:line="360" w:lineRule="auto"/>
        <w:ind w:firstLine="482" w:firstLineChars="0"/>
        <w:textAlignment w:val="auto"/>
        <w:outlineLvl w:val="2"/>
        <w:rPr>
          <w:rFonts w:hint="eastAsia" w:ascii="仿宋" w:hAnsi="仿宋" w:eastAsia="仿宋" w:cs="仿宋"/>
          <w:b/>
          <w:bCs/>
          <w:color w:val="auto"/>
          <w:szCs w:val="21"/>
          <w:highlight w:val="none"/>
          <w:lang w:val="en-US" w:eastAsia="zh-CN"/>
        </w:rPr>
      </w:pPr>
      <w:bookmarkStart w:id="5" w:name="_Toc30157"/>
      <w:bookmarkStart w:id="6" w:name="_Toc12665"/>
      <w:bookmarkStart w:id="7" w:name="_Toc20464"/>
      <w:bookmarkStart w:id="8" w:name="_Toc25879"/>
      <w:bookmarkStart w:id="9" w:name="_Toc32161"/>
      <w:bookmarkStart w:id="10" w:name="_Toc583"/>
      <w:bookmarkStart w:id="11" w:name="_Toc25369"/>
      <w:r>
        <w:rPr>
          <w:rFonts w:hint="eastAsia" w:ascii="仿宋" w:hAnsi="仿宋" w:eastAsia="仿宋" w:cs="仿宋"/>
          <w:b/>
          <w:bCs/>
          <w:color w:val="auto"/>
          <w:highlight w:val="none"/>
        </w:rPr>
        <w:t>2.1</w:t>
      </w:r>
      <w:r>
        <w:rPr>
          <w:rFonts w:hint="eastAsia" w:ascii="仿宋" w:hAnsi="仿宋" w:eastAsia="仿宋" w:cs="仿宋"/>
          <w:b/>
          <w:bCs/>
          <w:color w:val="auto"/>
          <w:szCs w:val="21"/>
          <w:highlight w:val="none"/>
        </w:rPr>
        <w:t>项目名称：</w:t>
      </w:r>
      <w:bookmarkEnd w:id="5"/>
      <w:bookmarkEnd w:id="6"/>
      <w:bookmarkEnd w:id="7"/>
      <w:bookmarkEnd w:id="8"/>
      <w:bookmarkEnd w:id="9"/>
      <w:bookmarkEnd w:id="10"/>
      <w:r>
        <w:rPr>
          <w:rFonts w:hint="eastAsia" w:ascii="仿宋" w:hAnsi="仿宋" w:eastAsia="仿宋" w:cs="仿宋"/>
          <w:color w:val="auto"/>
          <w:sz w:val="21"/>
          <w:szCs w:val="21"/>
          <w:highlight w:val="none"/>
          <w:u w:val="none"/>
          <w:lang w:eastAsia="zh-CN"/>
        </w:rPr>
        <w:t>昆明中石化国投（呈贡）石油有限责任公司呈贡雨花路加油站设计、施工总承包项目</w:t>
      </w:r>
      <w:bookmarkEnd w:id="11"/>
    </w:p>
    <w:p w14:paraId="1CD7A22F">
      <w:pPr>
        <w:keepNext w:val="0"/>
        <w:keepLines w:val="0"/>
        <w:pageBreakBefore w:val="0"/>
        <w:widowControl w:val="0"/>
        <w:kinsoku/>
        <w:wordWrap/>
        <w:overflowPunct/>
        <w:topLinePunct w:val="0"/>
        <w:autoSpaceDE/>
        <w:autoSpaceDN/>
        <w:bidi w:val="0"/>
        <w:adjustRightInd/>
        <w:snapToGrid/>
        <w:spacing w:after="0" w:line="360" w:lineRule="auto"/>
        <w:ind w:firstLine="527" w:firstLineChars="250"/>
        <w:textAlignment w:val="auto"/>
        <w:rPr>
          <w:rFonts w:hint="eastAsia" w:ascii="仿宋" w:hAnsi="仿宋" w:eastAsia="仿宋" w:cs="仿宋"/>
          <w:color w:val="auto"/>
          <w:szCs w:val="21"/>
          <w:highlight w:val="none"/>
        </w:rPr>
      </w:pPr>
      <w:r>
        <w:rPr>
          <w:rFonts w:hint="eastAsia" w:ascii="仿宋" w:hAnsi="仿宋" w:eastAsia="仿宋" w:cs="仿宋"/>
          <w:b/>
          <w:bCs/>
          <w:color w:val="auto"/>
          <w:szCs w:val="21"/>
          <w:highlight w:val="none"/>
          <w:lang w:val="en-US" w:eastAsia="zh-CN"/>
        </w:rPr>
        <w:t>2.2项目概况</w:t>
      </w:r>
      <w:r>
        <w:rPr>
          <w:rFonts w:hint="eastAsia" w:ascii="仿宋" w:hAnsi="仿宋" w:eastAsia="仿宋" w:cs="仿宋"/>
          <w:color w:val="auto"/>
          <w:szCs w:val="21"/>
          <w:highlight w:val="none"/>
          <w:lang w:val="en-US" w:eastAsia="zh-CN"/>
        </w:rPr>
        <w:t>：</w:t>
      </w:r>
      <w:bookmarkStart w:id="12" w:name="OLE_LINK61"/>
      <w:r>
        <w:rPr>
          <w:rFonts w:hint="eastAsia" w:ascii="仿宋" w:hAnsi="仿宋" w:eastAsia="仿宋" w:cs="仿宋"/>
          <w:color w:val="auto"/>
          <w:szCs w:val="21"/>
          <w:highlight w:val="none"/>
        </w:rPr>
        <w:t>昆明中石化国投（呈贡）石油有限责任公司呈贡雨花路加油站位于呈贡区雨花路曲环中部右侧，蓝光天骄城西侧附近，项目内容包含雨花路加油站主体建设及边坡治理，总用地面积约13.57亩。主要建设内容为：</w:t>
      </w:r>
    </w:p>
    <w:p w14:paraId="244A55B6">
      <w:pPr>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firstLine="525" w:firstLineChars="250"/>
        <w:textAlignment w:val="auto"/>
        <w:rPr>
          <w:rFonts w:hint="eastAsia" w:ascii="仿宋" w:hAnsi="仿宋" w:eastAsia="仿宋" w:cs="仿宋"/>
          <w:color w:val="auto"/>
          <w:szCs w:val="21"/>
          <w:highlight w:val="none"/>
        </w:rPr>
      </w:pPr>
      <w:r>
        <w:rPr>
          <w:rFonts w:hint="eastAsia" w:ascii="仿宋" w:hAnsi="仿宋" w:eastAsia="仿宋" w:cs="仿宋"/>
          <w:color w:val="auto"/>
          <w:kern w:val="2"/>
          <w:sz w:val="21"/>
          <w:szCs w:val="21"/>
          <w:highlight w:val="none"/>
          <w:lang w:val="en-US" w:eastAsia="zh-CN" w:bidi="ar-SA"/>
        </w:rPr>
        <w:t>（1）</w:t>
      </w:r>
      <w:r>
        <w:rPr>
          <w:rFonts w:hint="eastAsia" w:ascii="仿宋" w:hAnsi="仿宋" w:eastAsia="仿宋" w:cs="仿宋"/>
          <w:color w:val="auto"/>
          <w:szCs w:val="21"/>
          <w:highlight w:val="none"/>
        </w:rPr>
        <w:t>加油站主体建设总占地面积约8.17亩，总建筑面积629.39㎡（其中加油站站房建筑面积129.06㎡、辅助用房建筑面积335.7㎡、罩棚建筑面积164.63㎡）</w:t>
      </w:r>
      <w:r>
        <w:rPr>
          <w:rFonts w:hint="eastAsia" w:ascii="仿宋" w:hAnsi="仿宋" w:eastAsia="仿宋" w:cs="仿宋"/>
          <w:color w:val="auto"/>
          <w:szCs w:val="21"/>
          <w:highlight w:val="none"/>
          <w:lang w:eastAsia="zh-CN"/>
        </w:rPr>
        <w:t>，</w:t>
      </w:r>
      <w:r>
        <w:rPr>
          <w:rFonts w:hint="eastAsia" w:ascii="仿宋" w:hAnsi="仿宋" w:eastAsia="仿宋" w:cs="仿宋"/>
          <w:color w:val="auto"/>
          <w:szCs w:val="21"/>
          <w:highlight w:val="none"/>
          <w:u w:val="none"/>
          <w:lang w:val="en-US" w:eastAsia="zh-CN"/>
        </w:rPr>
        <w:t>因加油站罩棚属加油站建设运营过程中的核心建筑，其覆盖面积涵盖核心经营、爆炸危险区域等关键因素，需综合考虑耐火、</w:t>
      </w:r>
      <w:r>
        <w:rPr>
          <w:rFonts w:hint="eastAsia" w:ascii="仿宋" w:hAnsi="仿宋" w:eastAsia="仿宋" w:cs="仿宋"/>
          <w:color w:val="auto"/>
          <w:szCs w:val="21"/>
          <w:highlight w:val="none"/>
          <w:lang w:val="en-US" w:eastAsia="zh-CN"/>
        </w:rPr>
        <w:t>稳定性、使用年限等条件</w:t>
      </w:r>
      <w:r>
        <w:rPr>
          <w:rFonts w:hint="eastAsia" w:ascii="仿宋" w:hAnsi="仿宋" w:eastAsia="仿宋" w:cs="仿宋"/>
          <w:color w:val="auto"/>
          <w:szCs w:val="21"/>
          <w:highlight w:val="none"/>
          <w:lang w:eastAsia="zh-CN"/>
        </w:rPr>
        <w:t>。</w:t>
      </w:r>
      <w:r>
        <w:rPr>
          <w:rFonts w:hint="eastAsia" w:ascii="仿宋" w:hAnsi="仿宋" w:eastAsia="仿宋" w:cs="仿宋"/>
          <w:color w:val="auto"/>
          <w:szCs w:val="21"/>
          <w:highlight w:val="none"/>
        </w:rPr>
        <w:t>设2台双枪双油品、2台四枪双油品潜油泵加油机，设30m³F双层油罐3具（95#x1、92#x1、0#x1），总罐容为90m³，折合后油罐总容积75m³；</w:t>
      </w:r>
    </w:p>
    <w:p w14:paraId="58FA0DDC">
      <w:pPr>
        <w:keepNext w:val="0"/>
        <w:keepLines w:val="0"/>
        <w:pageBreakBefore w:val="0"/>
        <w:widowControl w:val="0"/>
        <w:kinsoku/>
        <w:wordWrap/>
        <w:overflowPunct/>
        <w:topLinePunct w:val="0"/>
        <w:autoSpaceDE/>
        <w:autoSpaceDN/>
        <w:bidi w:val="0"/>
        <w:adjustRightInd/>
        <w:snapToGrid/>
        <w:spacing w:after="0" w:line="360" w:lineRule="auto"/>
        <w:ind w:firstLine="525" w:firstLineChars="250"/>
        <w:textAlignment w:val="auto"/>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eastAsia="zh-CN"/>
        </w:rPr>
        <w:t>（</w:t>
      </w:r>
      <w:r>
        <w:rPr>
          <w:rFonts w:hint="eastAsia" w:ascii="仿宋" w:hAnsi="仿宋" w:eastAsia="仿宋" w:cs="仿宋"/>
          <w:color w:val="auto"/>
          <w:szCs w:val="21"/>
          <w:highlight w:val="none"/>
          <w:lang w:val="en-US" w:eastAsia="zh-CN"/>
        </w:rPr>
        <w:t>2</w:t>
      </w:r>
      <w:r>
        <w:rPr>
          <w:rFonts w:hint="eastAsia" w:ascii="仿宋" w:hAnsi="仿宋" w:eastAsia="仿宋" w:cs="仿宋"/>
          <w:color w:val="auto"/>
          <w:szCs w:val="21"/>
          <w:highlight w:val="none"/>
          <w:lang w:eastAsia="zh-CN"/>
        </w:rPr>
        <w:t>）</w:t>
      </w:r>
      <w:r>
        <w:rPr>
          <w:rFonts w:hint="eastAsia" w:ascii="仿宋" w:hAnsi="仿宋" w:eastAsia="仿宋" w:cs="仿宋"/>
          <w:color w:val="auto"/>
          <w:szCs w:val="21"/>
          <w:highlight w:val="none"/>
        </w:rPr>
        <w:t>雨花路加油站边坡治理项目，该边坡治理项目主要对昆明中石化国投（呈贡）石油有限责任公司呈贡雨花路加油站三面边坡进行治理，项目总占地面积增加用地约5.40亩，</w:t>
      </w:r>
      <w:r>
        <w:rPr>
          <w:rFonts w:hint="eastAsia" w:ascii="仿宋" w:hAnsi="仿宋" w:eastAsia="仿宋" w:cs="仿宋"/>
          <w:color w:val="auto"/>
          <w:szCs w:val="21"/>
          <w:highlight w:val="none"/>
          <w:u w:val="none"/>
          <w:lang w:val="en-US" w:eastAsia="zh-CN"/>
        </w:rPr>
        <w:t>该项目边坡治理工程因地处城市建成区，且边坡高度达30余米，属一级边坡，该边坡已完成专项治理设计方案的备案，故对边坡治理方面要考虑安全性、稳定性、使用年限等因素，避免对周边现有环境的扰动。</w:t>
      </w:r>
      <w:r>
        <w:rPr>
          <w:rFonts w:hint="eastAsia" w:ascii="仿宋" w:hAnsi="仿宋" w:eastAsia="仿宋" w:cs="仿宋"/>
          <w:color w:val="auto"/>
          <w:szCs w:val="21"/>
          <w:highlight w:val="none"/>
        </w:rPr>
        <w:t>主要建设内容为呈贡雨花路加油站边坡治理，边坡治理方式采用增设抗滑桩、浇筑冠梁结构、修建框格梁与拱形骨架等形式对项目边坡进行防</w:t>
      </w:r>
      <w:r>
        <w:rPr>
          <w:rFonts w:hint="eastAsia" w:ascii="仿宋" w:hAnsi="仿宋" w:eastAsia="仿宋" w:cs="仿宋"/>
          <w:color w:val="auto"/>
          <w:szCs w:val="21"/>
          <w:highlight w:val="none"/>
          <w:lang w:eastAsia="zh-CN"/>
        </w:rPr>
        <w:t>。</w:t>
      </w:r>
    </w:p>
    <w:bookmarkEnd w:id="12"/>
    <w:p w14:paraId="59249CB7">
      <w:pPr>
        <w:keepNext w:val="0"/>
        <w:keepLines w:val="0"/>
        <w:pageBreakBefore w:val="0"/>
        <w:widowControl w:val="0"/>
        <w:kinsoku/>
        <w:wordWrap/>
        <w:overflowPunct/>
        <w:topLinePunct w:val="0"/>
        <w:autoSpaceDE/>
        <w:autoSpaceDN/>
        <w:bidi w:val="0"/>
        <w:adjustRightInd/>
        <w:snapToGrid/>
        <w:spacing w:after="0" w:line="360" w:lineRule="auto"/>
        <w:ind w:left="0" w:right="0" w:firstLine="422" w:firstLineChars="200"/>
        <w:textAlignment w:val="auto"/>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2.3招标范围：</w:t>
      </w:r>
    </w:p>
    <w:p w14:paraId="0FC084B3">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2" w:firstLineChars="200"/>
        <w:textAlignment w:val="baseline"/>
        <w:rPr>
          <w:rFonts w:hint="eastAsia" w:ascii="仿宋" w:hAnsi="仿宋" w:eastAsia="仿宋" w:cs="仿宋"/>
          <w:color w:val="auto"/>
          <w:sz w:val="21"/>
          <w:szCs w:val="21"/>
          <w:highlight w:val="none"/>
          <w:lang w:val="en-US" w:eastAsia="zh-CN"/>
        </w:rPr>
      </w:pPr>
      <w:bookmarkStart w:id="13" w:name="OLE_LINK62"/>
      <w:r>
        <w:rPr>
          <w:rFonts w:hint="eastAsia" w:ascii="仿宋" w:hAnsi="仿宋" w:eastAsia="仿宋" w:cs="仿宋"/>
          <w:b/>
          <w:bCs/>
          <w:color w:val="auto"/>
          <w:sz w:val="21"/>
          <w:szCs w:val="21"/>
          <w:highlight w:val="none"/>
        </w:rPr>
        <w:t>（1）设计招标范围：</w:t>
      </w:r>
      <w:r>
        <w:rPr>
          <w:rFonts w:hint="eastAsia" w:ascii="仿宋" w:hAnsi="仿宋" w:eastAsia="仿宋" w:cs="仿宋"/>
          <w:color w:val="auto"/>
          <w:sz w:val="21"/>
          <w:szCs w:val="21"/>
          <w:highlight w:val="none"/>
        </w:rPr>
        <w:t>完成</w:t>
      </w:r>
      <w:r>
        <w:rPr>
          <w:rFonts w:hint="eastAsia" w:ascii="仿宋" w:hAnsi="仿宋" w:eastAsia="仿宋" w:cs="仿宋"/>
          <w:color w:val="auto"/>
          <w:sz w:val="21"/>
          <w:szCs w:val="21"/>
          <w:highlight w:val="none"/>
          <w:lang w:eastAsia="zh-CN"/>
        </w:rPr>
        <w:t>昆明中石化国投（呈贡）石油有限责任公司呈贡雨花路加油站设计、施工总承包项目</w:t>
      </w:r>
      <w:r>
        <w:rPr>
          <w:rFonts w:hint="eastAsia" w:ascii="仿宋" w:hAnsi="仿宋" w:eastAsia="仿宋" w:cs="仿宋"/>
          <w:color w:val="auto"/>
          <w:sz w:val="21"/>
          <w:szCs w:val="21"/>
          <w:highlight w:val="none"/>
          <w:lang w:val="en-US" w:eastAsia="zh-CN"/>
        </w:rPr>
        <w:t>主体结构的施工图设计，包括但不限站房、辅助用房、罩棚、</w:t>
      </w:r>
      <w:r>
        <w:rPr>
          <w:rFonts w:hint="eastAsia" w:ascii="仿宋" w:hAnsi="仿宋" w:eastAsia="仿宋" w:cs="仿宋"/>
          <w:color w:val="auto"/>
          <w:spacing w:val="0"/>
          <w:sz w:val="21"/>
          <w:szCs w:val="21"/>
          <w:highlight w:val="none"/>
        </w:rPr>
        <w:t>等</w:t>
      </w:r>
      <w:r>
        <w:rPr>
          <w:rFonts w:hint="eastAsia" w:ascii="仿宋" w:hAnsi="仿宋" w:eastAsia="仿宋" w:cs="仿宋"/>
          <w:color w:val="auto"/>
          <w:spacing w:val="0"/>
          <w:sz w:val="21"/>
          <w:szCs w:val="21"/>
          <w:highlight w:val="none"/>
          <w:lang w:val="en-US" w:eastAsia="zh-CN"/>
        </w:rPr>
        <w:t>施工图</w:t>
      </w:r>
      <w:r>
        <w:rPr>
          <w:rFonts w:hint="eastAsia" w:ascii="仿宋" w:hAnsi="仿宋" w:eastAsia="仿宋" w:cs="仿宋"/>
          <w:color w:val="auto"/>
          <w:spacing w:val="0"/>
          <w:sz w:val="21"/>
          <w:szCs w:val="21"/>
          <w:highlight w:val="none"/>
        </w:rPr>
        <w:t>设计、施工过程中及工程质量缺陷责任期内的相关设计跟踪服务，配合</w:t>
      </w:r>
      <w:r>
        <w:rPr>
          <w:rFonts w:hint="eastAsia" w:ascii="仿宋" w:hAnsi="仿宋" w:eastAsia="仿宋" w:cs="仿宋"/>
          <w:color w:val="auto"/>
          <w:spacing w:val="0"/>
          <w:sz w:val="21"/>
          <w:szCs w:val="21"/>
          <w:highlight w:val="none"/>
          <w:lang w:val="en-US" w:eastAsia="zh-CN"/>
        </w:rPr>
        <w:t>招标人出具</w:t>
      </w:r>
      <w:r>
        <w:rPr>
          <w:rFonts w:hint="eastAsia" w:ascii="仿宋" w:hAnsi="仿宋" w:eastAsia="仿宋" w:cs="仿宋"/>
          <w:color w:val="auto"/>
          <w:spacing w:val="0"/>
          <w:sz w:val="21"/>
          <w:szCs w:val="21"/>
          <w:highlight w:val="none"/>
        </w:rPr>
        <w:t>相关</w:t>
      </w:r>
      <w:r>
        <w:rPr>
          <w:rFonts w:hint="eastAsia" w:ascii="仿宋" w:hAnsi="仿宋" w:eastAsia="仿宋" w:cs="仿宋"/>
          <w:color w:val="auto"/>
          <w:spacing w:val="0"/>
          <w:sz w:val="21"/>
          <w:szCs w:val="21"/>
          <w:highlight w:val="none"/>
          <w:lang w:val="en-US" w:eastAsia="zh-CN"/>
        </w:rPr>
        <w:t>设计</w:t>
      </w:r>
      <w:r>
        <w:rPr>
          <w:rFonts w:hint="eastAsia" w:ascii="仿宋" w:hAnsi="仿宋" w:eastAsia="仿宋" w:cs="仿宋"/>
          <w:color w:val="auto"/>
          <w:spacing w:val="0"/>
          <w:sz w:val="21"/>
          <w:szCs w:val="21"/>
          <w:highlight w:val="none"/>
        </w:rPr>
        <w:t>方案，并无条件对方案进行修改，出具满足要求的成果资料</w:t>
      </w:r>
      <w:r>
        <w:rPr>
          <w:rFonts w:hint="eastAsia" w:ascii="仿宋" w:hAnsi="仿宋" w:eastAsia="仿宋" w:cs="仿宋"/>
          <w:color w:val="auto"/>
          <w:spacing w:val="0"/>
          <w:sz w:val="21"/>
          <w:szCs w:val="21"/>
          <w:highlight w:val="none"/>
          <w:lang w:eastAsia="zh-CN"/>
        </w:rPr>
        <w:t>，</w:t>
      </w:r>
      <w:r>
        <w:rPr>
          <w:rFonts w:hint="eastAsia" w:ascii="仿宋" w:hAnsi="仿宋" w:eastAsia="仿宋" w:cs="仿宋"/>
          <w:color w:val="auto"/>
          <w:spacing w:val="0"/>
          <w:sz w:val="21"/>
          <w:szCs w:val="21"/>
          <w:highlight w:val="none"/>
          <w:lang w:val="en-US" w:eastAsia="zh-CN"/>
        </w:rPr>
        <w:t>配合审图单位完成施工图审查并取得审图合格证</w:t>
      </w:r>
      <w:r>
        <w:rPr>
          <w:rFonts w:hint="eastAsia" w:ascii="仿宋" w:hAnsi="仿宋" w:eastAsia="仿宋" w:cs="仿宋"/>
          <w:color w:val="auto"/>
          <w:spacing w:val="0"/>
          <w:sz w:val="21"/>
          <w:szCs w:val="21"/>
          <w:highlight w:val="none"/>
        </w:rPr>
        <w:t>。</w:t>
      </w:r>
    </w:p>
    <w:p w14:paraId="1D42A825">
      <w:pPr>
        <w:pStyle w:val="14"/>
        <w:keepNext w:val="0"/>
        <w:keepLines w:val="0"/>
        <w:pageBreakBefore w:val="0"/>
        <w:widowControl w:val="0"/>
        <w:kinsoku/>
        <w:wordWrap/>
        <w:overflowPunct/>
        <w:topLinePunct w:val="0"/>
        <w:autoSpaceDE/>
        <w:autoSpaceDN/>
        <w:bidi w:val="0"/>
        <w:spacing w:after="0" w:line="360" w:lineRule="auto"/>
        <w:ind w:left="0" w:right="0" w:firstLine="422" w:firstLineChars="200"/>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b/>
          <w:bCs/>
          <w:color w:val="auto"/>
          <w:szCs w:val="21"/>
          <w:highlight w:val="none"/>
        </w:rPr>
        <w:t>（2）施工招标范围：</w:t>
      </w:r>
      <w:r>
        <w:rPr>
          <w:rFonts w:hint="eastAsia" w:ascii="仿宋" w:hAnsi="仿宋" w:eastAsia="仿宋" w:cs="仿宋"/>
          <w:color w:val="auto"/>
          <w:kern w:val="2"/>
          <w:sz w:val="21"/>
          <w:szCs w:val="21"/>
          <w:highlight w:val="none"/>
          <w:lang w:val="en-US" w:eastAsia="zh-CN" w:bidi="ar-SA"/>
        </w:rPr>
        <w:t>按照国家的有关法律、法规、规章、有关技术规范，完成主体结构及边坡治理所涉及的全部施工工作。工程竣工验收、移交、交付使用、资料归档和工程保修期内的缺陷修复和保修工作。</w:t>
      </w:r>
    </w:p>
    <w:bookmarkEnd w:id="13"/>
    <w:p w14:paraId="6CA921E4">
      <w:pPr>
        <w:pStyle w:val="14"/>
        <w:keepNext w:val="0"/>
        <w:keepLines w:val="0"/>
        <w:pageBreakBefore w:val="0"/>
        <w:widowControl w:val="0"/>
        <w:suppressLineNumbers w:val="0"/>
        <w:kinsoku/>
        <w:wordWrap/>
        <w:overflowPunct/>
        <w:topLinePunct w:val="0"/>
        <w:autoSpaceDE/>
        <w:autoSpaceDN/>
        <w:bidi w:val="0"/>
        <w:adjustRightInd/>
        <w:snapToGrid/>
        <w:spacing w:after="0" w:line="360" w:lineRule="auto"/>
        <w:ind w:firstLine="422" w:firstLineChars="200"/>
        <w:jc w:val="left"/>
        <w:textAlignment w:val="auto"/>
        <w:rPr>
          <w:rFonts w:hint="eastAsia" w:ascii="仿宋" w:hAnsi="仿宋" w:eastAsia="仿宋" w:cs="仿宋"/>
          <w:color w:val="auto"/>
          <w:highlight w:val="none"/>
          <w:lang w:val="en-US"/>
        </w:rPr>
      </w:pPr>
      <w:r>
        <w:rPr>
          <w:rFonts w:hint="eastAsia" w:ascii="仿宋" w:hAnsi="仿宋" w:eastAsia="仿宋" w:cs="仿宋"/>
          <w:b/>
          <w:bCs/>
          <w:color w:val="auto"/>
          <w:szCs w:val="20"/>
          <w:highlight w:val="none"/>
          <w:lang w:val="en-US" w:eastAsia="zh-CN"/>
        </w:rPr>
        <w:t>2.4</w:t>
      </w:r>
      <w:r>
        <w:rPr>
          <w:rFonts w:hint="eastAsia" w:ascii="仿宋" w:hAnsi="仿宋" w:eastAsia="仿宋" w:cs="仿宋"/>
          <w:b/>
          <w:bCs/>
          <w:color w:val="auto"/>
          <w:highlight w:val="none"/>
        </w:rPr>
        <w:t>总投资：</w:t>
      </w:r>
      <w:r>
        <w:rPr>
          <w:rFonts w:hint="eastAsia" w:ascii="仿宋" w:hAnsi="仿宋" w:eastAsia="仿宋" w:cs="仿宋"/>
          <w:color w:val="auto"/>
          <w:kern w:val="2"/>
          <w:sz w:val="21"/>
          <w:highlight w:val="none"/>
          <w:lang w:val="en-US" w:eastAsia="zh-CN" w:bidi="ar-SA"/>
        </w:rPr>
        <w:t>项目估算总投资约5300万元。</w:t>
      </w:r>
    </w:p>
    <w:p w14:paraId="77A0703C">
      <w:pPr>
        <w:widowControl/>
        <w:spacing w:after="0" w:line="360" w:lineRule="auto"/>
        <w:ind w:firstLine="420" w:firstLineChars="200"/>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本次招标规模：</w:t>
      </w:r>
      <w:bookmarkStart w:id="14" w:name="OLE_LINK66"/>
      <w:r>
        <w:rPr>
          <w:rFonts w:hint="eastAsia" w:ascii="仿宋" w:hAnsi="仿宋" w:eastAsia="仿宋" w:cs="仿宋"/>
          <w:color w:val="auto"/>
          <w:highlight w:val="none"/>
          <w:lang w:val="en-US" w:eastAsia="zh-CN"/>
        </w:rPr>
        <w:t>约1030万元</w:t>
      </w:r>
      <w:bookmarkEnd w:id="14"/>
      <w:r>
        <w:rPr>
          <w:rFonts w:hint="eastAsia" w:ascii="仿宋" w:hAnsi="仿宋" w:eastAsia="仿宋" w:cs="仿宋"/>
          <w:color w:val="auto"/>
          <w:highlight w:val="none"/>
          <w:lang w:val="en-US" w:eastAsia="zh-CN"/>
        </w:rPr>
        <w:t>；</w:t>
      </w:r>
    </w:p>
    <w:p w14:paraId="5ACC9640">
      <w:pPr>
        <w:pStyle w:val="14"/>
        <w:keepNext w:val="0"/>
        <w:keepLines w:val="0"/>
        <w:pageBreakBefore w:val="0"/>
        <w:widowControl w:val="0"/>
        <w:kinsoku/>
        <w:wordWrap/>
        <w:overflowPunct/>
        <w:topLinePunct w:val="0"/>
        <w:autoSpaceDE/>
        <w:autoSpaceDN/>
        <w:bidi w:val="0"/>
        <w:spacing w:after="0" w:line="360" w:lineRule="auto"/>
        <w:ind w:firstLine="422" w:firstLineChars="200"/>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b/>
          <w:bCs/>
          <w:color w:val="auto"/>
          <w:highlight w:val="none"/>
        </w:rPr>
        <w:t>2.</w:t>
      </w:r>
      <w:r>
        <w:rPr>
          <w:rFonts w:hint="eastAsia" w:ascii="仿宋" w:hAnsi="仿宋" w:eastAsia="仿宋" w:cs="仿宋"/>
          <w:b/>
          <w:bCs/>
          <w:color w:val="auto"/>
          <w:highlight w:val="none"/>
          <w:lang w:val="en-US" w:eastAsia="zh-CN"/>
        </w:rPr>
        <w:t>5</w:t>
      </w:r>
      <w:r>
        <w:rPr>
          <w:rFonts w:hint="eastAsia" w:ascii="仿宋" w:hAnsi="仿宋" w:eastAsia="仿宋" w:cs="仿宋"/>
          <w:b/>
          <w:bCs/>
          <w:color w:val="auto"/>
          <w:highlight w:val="none"/>
        </w:rPr>
        <w:t>资金来源：</w:t>
      </w:r>
      <w:r>
        <w:rPr>
          <w:rFonts w:hint="eastAsia" w:ascii="仿宋" w:hAnsi="仿宋" w:eastAsia="仿宋" w:cs="仿宋"/>
          <w:b w:val="0"/>
          <w:bCs w:val="0"/>
          <w:color w:val="auto"/>
          <w:highlight w:val="none"/>
          <w:lang w:val="en-US" w:eastAsia="zh-CN"/>
        </w:rPr>
        <w:t>自有资金</w:t>
      </w:r>
      <w:r>
        <w:rPr>
          <w:rFonts w:hint="eastAsia" w:ascii="仿宋" w:hAnsi="仿宋" w:eastAsia="仿宋" w:cs="仿宋"/>
          <w:color w:val="auto"/>
          <w:highlight w:val="none"/>
        </w:rPr>
        <w:t>。资金落实情况：已落实。</w:t>
      </w:r>
    </w:p>
    <w:p w14:paraId="18142CD7">
      <w:pPr>
        <w:pStyle w:val="14"/>
        <w:keepNext w:val="0"/>
        <w:keepLines w:val="0"/>
        <w:pageBreakBefore w:val="0"/>
        <w:widowControl w:val="0"/>
        <w:kinsoku/>
        <w:wordWrap/>
        <w:overflowPunct/>
        <w:topLinePunct w:val="0"/>
        <w:autoSpaceDE/>
        <w:autoSpaceDN/>
        <w:bidi w:val="0"/>
        <w:spacing w:after="0" w:line="360" w:lineRule="auto"/>
        <w:ind w:firstLine="422" w:firstLineChars="200"/>
        <w:rPr>
          <w:rFonts w:hint="eastAsia" w:ascii="仿宋" w:hAnsi="仿宋" w:eastAsia="仿宋" w:cs="仿宋"/>
          <w:color w:val="auto"/>
          <w:sz w:val="21"/>
          <w:szCs w:val="21"/>
          <w:highlight w:val="none"/>
        </w:rPr>
      </w:pPr>
      <w:r>
        <w:rPr>
          <w:rFonts w:hint="eastAsia" w:ascii="仿宋" w:hAnsi="仿宋" w:eastAsia="仿宋" w:cs="仿宋"/>
          <w:b/>
          <w:bCs/>
          <w:color w:val="auto"/>
          <w:szCs w:val="21"/>
          <w:highlight w:val="none"/>
          <w:lang w:val="en-US" w:eastAsia="zh-CN"/>
        </w:rPr>
        <w:t>2.6建设地点：</w:t>
      </w:r>
      <w:bookmarkStart w:id="15" w:name="OLE_LINK60"/>
      <w:r>
        <w:rPr>
          <w:rFonts w:hint="eastAsia" w:ascii="仿宋" w:hAnsi="仿宋" w:eastAsia="仿宋" w:cs="仿宋"/>
          <w:color w:val="auto"/>
          <w:szCs w:val="21"/>
          <w:highlight w:val="none"/>
        </w:rPr>
        <w:t>位于</w:t>
      </w:r>
      <w:r>
        <w:rPr>
          <w:rFonts w:hint="eastAsia" w:ascii="仿宋" w:hAnsi="仿宋" w:eastAsia="仿宋" w:cs="仿宋"/>
          <w:color w:val="auto"/>
          <w:szCs w:val="21"/>
          <w:highlight w:val="none"/>
          <w:lang w:val="en-US" w:eastAsia="zh-CN"/>
        </w:rPr>
        <w:t>呈贡区雨花路曲环中部右侧，蓝光天骄城西侧附近</w:t>
      </w:r>
      <w:r>
        <w:rPr>
          <w:rFonts w:hint="eastAsia" w:ascii="仿宋" w:hAnsi="仿宋" w:eastAsia="仿宋" w:cs="仿宋"/>
          <w:color w:val="auto"/>
          <w:sz w:val="21"/>
          <w:szCs w:val="21"/>
          <w:highlight w:val="none"/>
        </w:rPr>
        <w:t>。</w:t>
      </w:r>
      <w:bookmarkEnd w:id="15"/>
    </w:p>
    <w:p w14:paraId="7710246A">
      <w:pPr>
        <w:spacing w:after="0" w:line="360" w:lineRule="auto"/>
        <w:ind w:firstLine="422" w:firstLineChars="200"/>
        <w:outlineLvl w:val="2"/>
        <w:rPr>
          <w:rFonts w:hint="eastAsia" w:ascii="仿宋" w:hAnsi="仿宋" w:eastAsia="仿宋" w:cs="仿宋"/>
          <w:color w:val="auto"/>
          <w:kern w:val="2"/>
          <w:sz w:val="21"/>
          <w:szCs w:val="21"/>
          <w:highlight w:val="none"/>
          <w:lang w:val="en-US" w:eastAsia="zh-CN" w:bidi="ar-SA"/>
        </w:rPr>
      </w:pPr>
      <w:bookmarkStart w:id="16" w:name="_Toc6026"/>
      <w:bookmarkStart w:id="17" w:name="_Toc3750"/>
      <w:r>
        <w:rPr>
          <w:rFonts w:hint="eastAsia" w:ascii="仿宋" w:hAnsi="仿宋" w:eastAsia="仿宋" w:cs="仿宋"/>
          <w:b/>
          <w:bCs/>
          <w:color w:val="auto"/>
          <w:sz w:val="21"/>
          <w:szCs w:val="21"/>
          <w:highlight w:val="none"/>
          <w:lang w:val="en-US" w:eastAsia="zh-CN"/>
        </w:rPr>
        <w:t>2.7建设期限：</w:t>
      </w:r>
      <w:bookmarkStart w:id="18" w:name="OLE_LINK1"/>
      <w:r>
        <w:rPr>
          <w:rFonts w:hint="eastAsia" w:ascii="仿宋" w:hAnsi="仿宋" w:eastAsia="仿宋" w:cs="仿宋"/>
          <w:color w:val="auto"/>
          <w:kern w:val="2"/>
          <w:sz w:val="21"/>
          <w:szCs w:val="21"/>
          <w:highlight w:val="none"/>
          <w:u w:val="single"/>
          <w:lang w:val="en-US" w:eastAsia="zh-CN" w:bidi="ar-SA"/>
        </w:rPr>
        <w:t>160</w:t>
      </w:r>
      <w:r>
        <w:rPr>
          <w:rFonts w:hint="eastAsia" w:ascii="仿宋" w:hAnsi="仿宋" w:eastAsia="仿宋" w:cs="仿宋"/>
          <w:color w:val="auto"/>
          <w:kern w:val="2"/>
          <w:sz w:val="21"/>
          <w:szCs w:val="21"/>
          <w:highlight w:val="none"/>
          <w:lang w:val="en-US" w:eastAsia="zh-CN" w:bidi="ar-SA"/>
        </w:rPr>
        <w:t>日历天，其中：设计周期：</w:t>
      </w:r>
      <w:r>
        <w:rPr>
          <w:rFonts w:hint="eastAsia" w:ascii="仿宋" w:hAnsi="仿宋" w:eastAsia="仿宋" w:cs="仿宋"/>
          <w:color w:val="auto"/>
          <w:kern w:val="2"/>
          <w:sz w:val="21"/>
          <w:szCs w:val="21"/>
          <w:highlight w:val="none"/>
          <w:u w:val="single"/>
          <w:lang w:val="en-US" w:eastAsia="zh-CN" w:bidi="ar-SA"/>
        </w:rPr>
        <w:t>10</w:t>
      </w:r>
      <w:r>
        <w:rPr>
          <w:rFonts w:hint="eastAsia" w:ascii="仿宋" w:hAnsi="仿宋" w:eastAsia="仿宋" w:cs="仿宋"/>
          <w:color w:val="auto"/>
          <w:kern w:val="2"/>
          <w:sz w:val="21"/>
          <w:szCs w:val="21"/>
          <w:highlight w:val="none"/>
          <w:lang w:val="en-US" w:eastAsia="zh-CN" w:bidi="ar-SA"/>
        </w:rPr>
        <w:t>日历天（含施工图审查时间）；施工工期：</w:t>
      </w:r>
      <w:r>
        <w:rPr>
          <w:rFonts w:hint="eastAsia" w:ascii="仿宋" w:hAnsi="仿宋" w:eastAsia="仿宋" w:cs="仿宋"/>
          <w:color w:val="auto"/>
          <w:kern w:val="2"/>
          <w:sz w:val="21"/>
          <w:szCs w:val="21"/>
          <w:highlight w:val="none"/>
          <w:u w:val="single"/>
          <w:lang w:val="en-US" w:eastAsia="zh-CN" w:bidi="ar-SA"/>
        </w:rPr>
        <w:t>150</w:t>
      </w:r>
      <w:r>
        <w:rPr>
          <w:rFonts w:hint="eastAsia" w:ascii="仿宋" w:hAnsi="仿宋" w:eastAsia="仿宋" w:cs="仿宋"/>
          <w:color w:val="auto"/>
          <w:kern w:val="2"/>
          <w:sz w:val="21"/>
          <w:szCs w:val="21"/>
          <w:highlight w:val="none"/>
          <w:lang w:val="en-US" w:eastAsia="zh-CN" w:bidi="ar-SA"/>
        </w:rPr>
        <w:t>日历天。</w:t>
      </w:r>
      <w:bookmarkEnd w:id="16"/>
      <w:bookmarkEnd w:id="17"/>
    </w:p>
    <w:bookmarkEnd w:id="18"/>
    <w:p w14:paraId="5CD49CDA">
      <w:pPr>
        <w:spacing w:after="0" w:line="360" w:lineRule="auto"/>
        <w:ind w:firstLine="422" w:firstLineChars="200"/>
        <w:contextualSpacing/>
        <w:rPr>
          <w:rFonts w:hint="eastAsia" w:ascii="仿宋" w:hAnsi="仿宋" w:eastAsia="仿宋" w:cs="仿宋"/>
          <w:b/>
          <w:bCs/>
          <w:color w:val="auto"/>
          <w:kern w:val="2"/>
          <w:sz w:val="21"/>
          <w:szCs w:val="21"/>
          <w:highlight w:val="none"/>
          <w:lang w:val="en-US" w:eastAsia="zh-CN" w:bidi="ar-SA"/>
        </w:rPr>
      </w:pPr>
      <w:r>
        <w:rPr>
          <w:rFonts w:hint="eastAsia" w:ascii="仿宋" w:hAnsi="仿宋" w:eastAsia="仿宋" w:cs="仿宋"/>
          <w:b/>
          <w:bCs/>
          <w:color w:val="auto"/>
          <w:kern w:val="2"/>
          <w:sz w:val="21"/>
          <w:szCs w:val="21"/>
          <w:highlight w:val="none"/>
          <w:lang w:val="en-US" w:eastAsia="zh-CN" w:bidi="ar-SA"/>
        </w:rPr>
        <w:t>2.8质量要求：</w:t>
      </w:r>
    </w:p>
    <w:p w14:paraId="3045E229">
      <w:pPr>
        <w:spacing w:after="0" w:line="360" w:lineRule="auto"/>
        <w:ind w:firstLine="422" w:firstLineChars="200"/>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b/>
          <w:bCs/>
          <w:color w:val="auto"/>
          <w:kern w:val="2"/>
          <w:sz w:val="21"/>
          <w:szCs w:val="21"/>
          <w:highlight w:val="none"/>
          <w:lang w:val="en-US" w:eastAsia="zh-CN" w:bidi="ar-SA"/>
        </w:rPr>
        <w:t>（1）设计质量要求：</w:t>
      </w:r>
      <w:r>
        <w:rPr>
          <w:rFonts w:hint="eastAsia" w:ascii="仿宋" w:hAnsi="仿宋" w:eastAsia="仿宋" w:cs="仿宋"/>
          <w:color w:val="auto"/>
          <w:kern w:val="2"/>
          <w:sz w:val="21"/>
          <w:szCs w:val="21"/>
          <w:highlight w:val="none"/>
          <w:lang w:val="en-US" w:eastAsia="zh-CN" w:bidi="ar-SA"/>
        </w:rPr>
        <w:t>满足国家、省、市及行业现行的相关标准、规范和规程的要求，确保设计成果资料通过审查及备案，确保报规通过。并对所提供的设计成果质量负终身责任；</w:t>
      </w:r>
    </w:p>
    <w:p w14:paraId="572FAA78">
      <w:pPr>
        <w:spacing w:after="0" w:line="360" w:lineRule="auto"/>
        <w:ind w:firstLine="422" w:firstLineChars="200"/>
        <w:rPr>
          <w:rFonts w:hint="default" w:ascii="仿宋" w:hAnsi="仿宋" w:eastAsia="仿宋" w:cs="仿宋"/>
          <w:color w:val="auto"/>
          <w:kern w:val="2"/>
          <w:sz w:val="21"/>
          <w:szCs w:val="21"/>
          <w:highlight w:val="none"/>
          <w:lang w:val="en-US" w:eastAsia="zh-CN" w:bidi="ar-SA"/>
        </w:rPr>
      </w:pPr>
      <w:r>
        <w:rPr>
          <w:rFonts w:hint="eastAsia" w:ascii="仿宋" w:hAnsi="仿宋" w:eastAsia="仿宋" w:cs="仿宋"/>
          <w:b/>
          <w:bCs/>
          <w:color w:val="auto"/>
          <w:kern w:val="2"/>
          <w:sz w:val="21"/>
          <w:szCs w:val="21"/>
          <w:highlight w:val="none"/>
          <w:lang w:val="en-US" w:eastAsia="zh-CN" w:bidi="ar-SA"/>
        </w:rPr>
        <w:t>（2）施工质量要求：</w:t>
      </w:r>
      <w:r>
        <w:rPr>
          <w:rFonts w:hint="eastAsia" w:ascii="仿宋" w:hAnsi="仿宋" w:eastAsia="仿宋" w:cs="仿宋"/>
          <w:color w:val="auto"/>
          <w:kern w:val="2"/>
          <w:sz w:val="21"/>
          <w:szCs w:val="21"/>
          <w:highlight w:val="none"/>
          <w:lang w:val="en-US" w:eastAsia="zh-CN" w:bidi="ar-SA"/>
        </w:rPr>
        <w:t>符合《建筑工程施工质量验收统一标准》(GB50300)和相应各专业工程质量验收规范、《建设工程施工项目管理规范》(GB 50216)、《建筑工程施工质量评价标准》(GB/T 50375)等现行工程建设技术标准，确保工程一次性验收合格；同时应符合中国石油化工集团、中国石油化工股份有限公司和中国石化销售股份有限公司的标准，两者标准不一致时，以后者为准。加油站项目应满足《汽车加油加气加氢站技术标准》（GB50156-2021）、《中国石化综合加能站形象标准手册》2023版 、《中国石化易捷便利店形象标准手册》2022版本的建设要求；</w:t>
      </w:r>
    </w:p>
    <w:p w14:paraId="66B6B5CB">
      <w:pPr>
        <w:keepNext w:val="0"/>
        <w:keepLines w:val="0"/>
        <w:pageBreakBefore w:val="0"/>
        <w:widowControl w:val="0"/>
        <w:kinsoku/>
        <w:overflowPunct/>
        <w:bidi w:val="0"/>
        <w:spacing w:after="0" w:line="360" w:lineRule="auto"/>
        <w:ind w:firstLine="422" w:firstLineChars="200"/>
        <w:textAlignment w:val="auto"/>
        <w:rPr>
          <w:rFonts w:hint="eastAsia" w:ascii="仿宋" w:hAnsi="仿宋" w:eastAsia="仿宋" w:cs="仿宋"/>
          <w:color w:val="auto"/>
          <w:sz w:val="21"/>
          <w:szCs w:val="21"/>
          <w:highlight w:val="none"/>
        </w:rPr>
      </w:pPr>
      <w:r>
        <w:rPr>
          <w:rFonts w:hint="eastAsia" w:ascii="仿宋" w:hAnsi="仿宋" w:eastAsia="仿宋" w:cs="仿宋"/>
          <w:b/>
          <w:bCs/>
          <w:color w:val="auto"/>
          <w:kern w:val="2"/>
          <w:sz w:val="21"/>
          <w:szCs w:val="21"/>
          <w:highlight w:val="none"/>
          <w:lang w:val="en-US" w:eastAsia="zh-CN" w:bidi="ar-SA"/>
        </w:rPr>
        <w:t>2.9标段划分：</w:t>
      </w:r>
      <w:r>
        <w:rPr>
          <w:rFonts w:hint="eastAsia" w:ascii="仿宋" w:hAnsi="仿宋" w:eastAsia="仿宋" w:cs="仿宋"/>
          <w:color w:val="auto"/>
          <w:sz w:val="21"/>
          <w:szCs w:val="21"/>
          <w:highlight w:val="none"/>
        </w:rPr>
        <w:t>本项目不划分标段。</w:t>
      </w:r>
    </w:p>
    <w:p w14:paraId="59770F4A">
      <w:pPr>
        <w:keepNext w:val="0"/>
        <w:keepLines w:val="0"/>
        <w:pageBreakBefore w:val="0"/>
        <w:widowControl w:val="0"/>
        <w:kinsoku/>
        <w:overflowPunct/>
        <w:bidi w:val="0"/>
        <w:spacing w:after="0" w:line="360" w:lineRule="auto"/>
        <w:ind w:firstLine="422" w:firstLineChars="200"/>
        <w:textAlignment w:val="auto"/>
        <w:rPr>
          <w:rFonts w:hint="eastAsia" w:ascii="仿宋" w:hAnsi="仿宋" w:eastAsia="仿宋" w:cs="仿宋"/>
          <w:color w:val="auto"/>
          <w:sz w:val="21"/>
          <w:szCs w:val="21"/>
          <w:highlight w:val="none"/>
        </w:rPr>
      </w:pPr>
      <w:r>
        <w:rPr>
          <w:rFonts w:hint="eastAsia" w:ascii="仿宋" w:hAnsi="仿宋" w:eastAsia="仿宋" w:cs="仿宋"/>
          <w:b/>
          <w:bCs/>
          <w:color w:val="auto"/>
          <w:kern w:val="2"/>
          <w:sz w:val="21"/>
          <w:szCs w:val="21"/>
          <w:highlight w:val="none"/>
          <w:lang w:val="en-US" w:eastAsia="zh-CN" w:bidi="ar-SA"/>
        </w:rPr>
        <w:t>2.10资格审查方式：</w:t>
      </w:r>
      <w:r>
        <w:rPr>
          <w:rFonts w:hint="eastAsia" w:ascii="仿宋" w:hAnsi="仿宋" w:eastAsia="仿宋" w:cs="仿宋"/>
          <w:color w:val="auto"/>
          <w:sz w:val="21"/>
          <w:szCs w:val="21"/>
          <w:highlight w:val="none"/>
        </w:rPr>
        <w:t>资格后审。</w:t>
      </w:r>
    </w:p>
    <w:p w14:paraId="08C23A3F">
      <w:pPr>
        <w:keepNext w:val="0"/>
        <w:keepLines w:val="0"/>
        <w:pageBreakBefore w:val="0"/>
        <w:kinsoku/>
        <w:wordWrap/>
        <w:overflowPunct/>
        <w:topLinePunct w:val="0"/>
        <w:bidi w:val="0"/>
        <w:adjustRightInd/>
        <w:spacing w:after="0" w:line="360" w:lineRule="auto"/>
        <w:ind w:firstLine="422" w:firstLineChars="200"/>
        <w:jc w:val="left"/>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b/>
          <w:bCs/>
          <w:color w:val="auto"/>
          <w:kern w:val="2"/>
          <w:sz w:val="21"/>
          <w:szCs w:val="21"/>
          <w:highlight w:val="none"/>
          <w:lang w:val="en-US" w:eastAsia="zh-CN" w:bidi="ar-SA"/>
        </w:rPr>
        <w:t>2.11联合体：本项目接受联合体投标。</w:t>
      </w:r>
      <w:r>
        <w:rPr>
          <w:rFonts w:hint="eastAsia" w:ascii="仿宋" w:hAnsi="仿宋" w:eastAsia="仿宋" w:cs="仿宋"/>
          <w:color w:val="auto"/>
          <w:kern w:val="2"/>
          <w:sz w:val="21"/>
          <w:szCs w:val="21"/>
          <w:highlight w:val="none"/>
          <w:lang w:val="en-US" w:eastAsia="zh-CN" w:bidi="ar-SA"/>
        </w:rPr>
        <w:t>投标人可根据自身企业情况自行组建联合体，联合体成员不得超过3个，由具备相应资格要求的企业组成，组成的联合体只能以一个投标人身份投标，并明确</w:t>
      </w:r>
      <w:r>
        <w:rPr>
          <w:rFonts w:hint="eastAsia" w:ascii="仿宋" w:hAnsi="仿宋" w:eastAsia="仿宋" w:cs="仿宋"/>
          <w:b/>
          <w:bCs/>
          <w:color w:val="auto"/>
          <w:kern w:val="2"/>
          <w:sz w:val="21"/>
          <w:szCs w:val="21"/>
          <w:highlight w:val="none"/>
          <w:u w:val="single"/>
          <w:lang w:val="en-US" w:eastAsia="zh-CN" w:bidi="ar-SA"/>
        </w:rPr>
        <w:t>施工企业</w:t>
      </w:r>
      <w:r>
        <w:rPr>
          <w:rFonts w:hint="eastAsia" w:ascii="仿宋" w:hAnsi="仿宋" w:eastAsia="仿宋" w:cs="仿宋"/>
          <w:color w:val="auto"/>
          <w:kern w:val="2"/>
          <w:sz w:val="21"/>
          <w:szCs w:val="21"/>
          <w:highlight w:val="none"/>
          <w:lang w:val="en-US" w:eastAsia="zh-CN" w:bidi="ar-SA"/>
        </w:rPr>
        <w:t>为联合体牵头人。</w:t>
      </w:r>
    </w:p>
    <w:p w14:paraId="1952085A">
      <w:pPr>
        <w:keepNext w:val="0"/>
        <w:keepLines w:val="0"/>
        <w:pageBreakBefore w:val="0"/>
        <w:kinsoku/>
        <w:wordWrap/>
        <w:overflowPunct/>
        <w:topLinePunct w:val="0"/>
        <w:bidi w:val="0"/>
        <w:adjustRightInd/>
        <w:spacing w:after="0" w:line="360" w:lineRule="auto"/>
        <w:ind w:firstLine="420" w:firstLineChars="200"/>
        <w:jc w:val="left"/>
        <w:textAlignment w:val="auto"/>
        <w:rPr>
          <w:rFonts w:hint="eastAsia" w:ascii="仿宋" w:hAnsi="仿宋" w:eastAsia="仿宋" w:cs="仿宋"/>
          <w:color w:val="auto"/>
          <w:highlight w:val="none"/>
          <w:lang w:val="en-US" w:eastAsia="zh-CN"/>
        </w:rPr>
      </w:pPr>
      <w:r>
        <w:rPr>
          <w:rFonts w:hint="eastAsia" w:ascii="仿宋" w:hAnsi="仿宋" w:eastAsia="仿宋" w:cs="仿宋"/>
          <w:color w:val="auto"/>
          <w:highlight w:val="none"/>
        </w:rPr>
        <w:t>①联合体各方应签订共同投标协议，明确约定各方拟承担的工作和责任，并将该共同投标协议随投标文件一并提交招标人。</w:t>
      </w:r>
    </w:p>
    <w:p w14:paraId="4A6B2E61">
      <w:pPr>
        <w:keepNext w:val="0"/>
        <w:keepLines w:val="0"/>
        <w:pageBreakBefore w:val="0"/>
        <w:kinsoku/>
        <w:wordWrap/>
        <w:overflowPunct/>
        <w:topLinePunct w:val="0"/>
        <w:bidi w:val="0"/>
        <w:adjustRightInd/>
        <w:spacing w:after="0" w:line="360" w:lineRule="auto"/>
        <w:ind w:firstLine="420" w:firstLineChars="200"/>
        <w:jc w:val="left"/>
        <w:textAlignment w:val="auto"/>
        <w:rPr>
          <w:rFonts w:hint="eastAsia" w:ascii="仿宋" w:hAnsi="仿宋" w:eastAsia="仿宋" w:cs="仿宋"/>
          <w:color w:val="auto"/>
          <w:highlight w:val="none"/>
        </w:rPr>
      </w:pPr>
      <w:r>
        <w:rPr>
          <w:rFonts w:hint="eastAsia" w:ascii="仿宋" w:hAnsi="仿宋" w:eastAsia="仿宋" w:cs="仿宋"/>
          <w:color w:val="auto"/>
          <w:highlight w:val="none"/>
        </w:rPr>
        <w:t>②投标人的投标文件及中标后签署的合同协议书对联合体各方均具有法律约束力。</w:t>
      </w:r>
    </w:p>
    <w:p w14:paraId="4742AEDB">
      <w:pPr>
        <w:keepNext w:val="0"/>
        <w:keepLines w:val="0"/>
        <w:pageBreakBefore w:val="0"/>
        <w:kinsoku/>
        <w:wordWrap/>
        <w:overflowPunct/>
        <w:topLinePunct w:val="0"/>
        <w:bidi w:val="0"/>
        <w:adjustRightInd/>
        <w:spacing w:after="0" w:line="360" w:lineRule="auto"/>
        <w:ind w:firstLine="420" w:firstLineChars="200"/>
        <w:jc w:val="left"/>
        <w:textAlignment w:val="auto"/>
        <w:rPr>
          <w:rFonts w:hint="eastAsia" w:ascii="仿宋" w:hAnsi="仿宋" w:eastAsia="仿宋" w:cs="仿宋"/>
          <w:color w:val="auto"/>
          <w:highlight w:val="none"/>
        </w:rPr>
      </w:pPr>
      <w:r>
        <w:rPr>
          <w:rFonts w:hint="eastAsia" w:ascii="仿宋" w:hAnsi="仿宋" w:eastAsia="仿宋" w:cs="仿宋"/>
          <w:color w:val="auto"/>
          <w:highlight w:val="none"/>
        </w:rPr>
        <w:t>③联合体中标后，联合体各方应当共同与招标人签订合同，为履行合同向招标人承担连带责任。</w:t>
      </w:r>
    </w:p>
    <w:p w14:paraId="1918E39D">
      <w:pPr>
        <w:keepNext w:val="0"/>
        <w:keepLines w:val="0"/>
        <w:pageBreakBefore w:val="0"/>
        <w:kinsoku/>
        <w:wordWrap/>
        <w:overflowPunct/>
        <w:topLinePunct w:val="0"/>
        <w:bidi w:val="0"/>
        <w:adjustRightInd/>
        <w:spacing w:after="0" w:line="360" w:lineRule="auto"/>
        <w:ind w:firstLine="420" w:firstLineChars="200"/>
        <w:jc w:val="left"/>
        <w:textAlignment w:val="auto"/>
        <w:rPr>
          <w:rFonts w:hint="eastAsia" w:ascii="仿宋" w:hAnsi="仿宋" w:eastAsia="仿宋" w:cs="仿宋"/>
          <w:color w:val="auto"/>
          <w:highlight w:val="none"/>
        </w:rPr>
      </w:pPr>
      <w:r>
        <w:rPr>
          <w:rFonts w:hint="eastAsia" w:ascii="仿宋" w:hAnsi="仿宋" w:eastAsia="仿宋" w:cs="仿宋"/>
          <w:color w:val="auto"/>
          <w:highlight w:val="none"/>
        </w:rPr>
        <w:t>④联合体各方签订共同投标协议后，不得再以自己名义单独投标，也不得组成新的联合体或参加其他联合体在同一项目中投标。联合体投标的，应当以联合体中牵头人的名义提交投标保证金。以联合体中牵头人名义提交的投标保证金，对联合体各成员具有约束力。</w:t>
      </w:r>
    </w:p>
    <w:p w14:paraId="09D47A7B">
      <w:pPr>
        <w:keepNext w:val="0"/>
        <w:keepLines w:val="0"/>
        <w:pageBreakBefore w:val="0"/>
        <w:kinsoku/>
        <w:wordWrap/>
        <w:overflowPunct/>
        <w:topLinePunct w:val="0"/>
        <w:bidi w:val="0"/>
        <w:adjustRightInd/>
        <w:spacing w:after="0" w:line="360" w:lineRule="auto"/>
        <w:ind w:firstLine="420" w:firstLineChars="200"/>
        <w:jc w:val="left"/>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highlight w:val="none"/>
        </w:rPr>
        <w:t>⑤由同一专业的单位组成的联合体，按照资质等级较低的单位确定资质等级。</w:t>
      </w:r>
    </w:p>
    <w:p w14:paraId="0A5DD379">
      <w:pPr>
        <w:keepNext w:val="0"/>
        <w:keepLines w:val="0"/>
        <w:pageBreakBefore w:val="0"/>
        <w:widowControl w:val="0"/>
        <w:tabs>
          <w:tab w:val="left" w:pos="6090"/>
        </w:tabs>
        <w:kinsoku/>
        <w:wordWrap/>
        <w:overflowPunct/>
        <w:topLinePunct w:val="0"/>
        <w:autoSpaceDE/>
        <w:autoSpaceDN/>
        <w:bidi w:val="0"/>
        <w:adjustRightInd/>
        <w:snapToGrid/>
        <w:spacing w:after="0" w:line="360" w:lineRule="auto"/>
        <w:ind w:firstLine="482" w:firstLineChars="200"/>
        <w:jc w:val="left"/>
        <w:textAlignment w:val="auto"/>
        <w:outlineLvl w:val="1"/>
        <w:rPr>
          <w:rFonts w:hint="default" w:ascii="仿宋" w:hAnsi="仿宋" w:eastAsia="仿宋" w:cs="仿宋"/>
          <w:b/>
          <w:color w:val="auto"/>
          <w:sz w:val="24"/>
          <w:szCs w:val="24"/>
          <w:highlight w:val="none"/>
          <w:lang w:val="en-US" w:eastAsia="zh-CN"/>
        </w:rPr>
      </w:pPr>
      <w:bookmarkStart w:id="19" w:name="_Toc3057"/>
      <w:bookmarkStart w:id="20" w:name="_Toc17308"/>
      <w:r>
        <w:rPr>
          <w:rFonts w:hint="eastAsia" w:ascii="仿宋" w:hAnsi="仿宋" w:eastAsia="仿宋" w:cs="仿宋"/>
          <w:b/>
          <w:color w:val="auto"/>
          <w:sz w:val="24"/>
          <w:szCs w:val="24"/>
          <w:highlight w:val="none"/>
          <w:lang w:val="en-US" w:eastAsia="zh-CN"/>
        </w:rPr>
        <w:t>3.投标人资格要求（本次招标要求投标人同时具备以下资格）</w:t>
      </w:r>
      <w:bookmarkEnd w:id="19"/>
      <w:bookmarkEnd w:id="20"/>
    </w:p>
    <w:p w14:paraId="294D7238">
      <w:pPr>
        <w:spacing w:after="0" w:line="360" w:lineRule="auto"/>
        <w:ind w:firstLine="422" w:firstLineChars="200"/>
        <w:jc w:val="left"/>
        <w:rPr>
          <w:rFonts w:hint="eastAsia" w:ascii="仿宋" w:hAnsi="仿宋" w:eastAsia="仿宋" w:cs="仿宋"/>
          <w:color w:val="auto"/>
          <w:highlight w:val="none"/>
        </w:rPr>
      </w:pPr>
      <w:bookmarkStart w:id="21" w:name="OLE_LINK4"/>
      <w:r>
        <w:rPr>
          <w:rFonts w:hint="eastAsia" w:ascii="仿宋" w:hAnsi="仿宋" w:eastAsia="仿宋" w:cs="仿宋"/>
          <w:b/>
          <w:bCs/>
          <w:color w:val="auto"/>
          <w:kern w:val="2"/>
          <w:sz w:val="21"/>
          <w:szCs w:val="21"/>
          <w:highlight w:val="none"/>
          <w:lang w:val="en-US" w:eastAsia="zh-CN" w:bidi="ar-SA"/>
        </w:rPr>
        <w:t>3.1营业执照：</w:t>
      </w:r>
      <w:r>
        <w:rPr>
          <w:rFonts w:hint="eastAsia" w:ascii="仿宋" w:hAnsi="仿宋" w:eastAsia="仿宋" w:cs="仿宋"/>
          <w:color w:val="auto"/>
          <w:highlight w:val="none"/>
        </w:rPr>
        <w:t>投标人须在中华人民共和国境内注册具有独立法人资格的合法企业或其他组织，具备有效的营业执照或其他法定凭证（注：投标人为联合体投标的，须附联合体</w:t>
      </w:r>
      <w:r>
        <w:rPr>
          <w:rFonts w:hint="eastAsia" w:ascii="仿宋" w:hAnsi="仿宋" w:eastAsia="仿宋" w:cs="仿宋"/>
          <w:color w:val="auto"/>
          <w:highlight w:val="none"/>
          <w:lang w:val="en-US" w:eastAsia="zh-CN"/>
        </w:rPr>
        <w:t>各方</w:t>
      </w:r>
      <w:r>
        <w:rPr>
          <w:rFonts w:hint="eastAsia" w:ascii="仿宋" w:hAnsi="仿宋" w:eastAsia="仿宋" w:cs="仿宋"/>
          <w:color w:val="auto"/>
          <w:highlight w:val="none"/>
        </w:rPr>
        <w:t>的营业执照副本或其他法定凭证扫描件）</w:t>
      </w:r>
    </w:p>
    <w:p w14:paraId="64D456F0">
      <w:pPr>
        <w:spacing w:after="0" w:line="360" w:lineRule="auto"/>
        <w:ind w:firstLine="422" w:firstLineChars="200"/>
        <w:jc w:val="left"/>
        <w:rPr>
          <w:rFonts w:hint="eastAsia" w:ascii="仿宋" w:hAnsi="仿宋" w:eastAsia="仿宋" w:cs="仿宋"/>
          <w:b/>
          <w:bCs/>
          <w:color w:val="auto"/>
          <w:kern w:val="2"/>
          <w:sz w:val="21"/>
          <w:szCs w:val="21"/>
          <w:highlight w:val="none"/>
          <w:lang w:val="en-US" w:eastAsia="zh-CN" w:bidi="ar-SA"/>
        </w:rPr>
      </w:pPr>
      <w:r>
        <w:rPr>
          <w:rFonts w:hint="eastAsia" w:ascii="仿宋" w:hAnsi="仿宋" w:eastAsia="仿宋" w:cs="仿宋"/>
          <w:b/>
          <w:bCs/>
          <w:color w:val="auto"/>
          <w:kern w:val="2"/>
          <w:sz w:val="21"/>
          <w:szCs w:val="21"/>
          <w:highlight w:val="none"/>
          <w:lang w:val="en-US" w:eastAsia="zh-CN" w:bidi="ar-SA"/>
        </w:rPr>
        <w:t>3.2资质</w:t>
      </w:r>
      <w:r>
        <w:rPr>
          <w:rFonts w:hint="eastAsia" w:ascii="仿宋" w:hAnsi="仿宋" w:eastAsia="仿宋" w:cs="仿宋"/>
          <w:b/>
          <w:bCs/>
          <w:color w:val="auto"/>
          <w:kern w:val="2"/>
          <w:sz w:val="21"/>
          <w:szCs w:val="20"/>
          <w:highlight w:val="none"/>
          <w:lang w:val="en-US" w:eastAsia="zh-CN" w:bidi="ar-SA"/>
        </w:rPr>
        <w:t>要求</w:t>
      </w:r>
      <w:r>
        <w:rPr>
          <w:rFonts w:hint="eastAsia" w:ascii="仿宋" w:hAnsi="仿宋" w:eastAsia="仿宋" w:cs="仿宋"/>
          <w:b/>
          <w:bCs/>
          <w:color w:val="auto"/>
          <w:kern w:val="2"/>
          <w:sz w:val="21"/>
          <w:szCs w:val="21"/>
          <w:highlight w:val="none"/>
          <w:lang w:val="en-US" w:eastAsia="zh-CN" w:bidi="ar-SA"/>
        </w:rPr>
        <w:t>：</w:t>
      </w:r>
    </w:p>
    <w:p w14:paraId="29D78754">
      <w:pPr>
        <w:keepNext w:val="0"/>
        <w:keepLines w:val="0"/>
        <w:pageBreakBefore w:val="0"/>
        <w:widowControl/>
        <w:numPr>
          <w:ilvl w:val="12"/>
          <w:numId w:val="0"/>
        </w:numPr>
        <w:kinsoku/>
        <w:wordWrap/>
        <w:overflowPunct/>
        <w:topLinePunct w:val="0"/>
        <w:autoSpaceDE/>
        <w:autoSpaceDN/>
        <w:bidi w:val="0"/>
        <w:adjustRightInd/>
        <w:snapToGrid/>
        <w:spacing w:after="0" w:line="360" w:lineRule="auto"/>
        <w:ind w:firstLine="422" w:firstLineChars="200"/>
        <w:jc w:val="left"/>
        <w:textAlignment w:val="auto"/>
        <w:rPr>
          <w:rFonts w:hint="eastAsia" w:ascii="仿宋" w:hAnsi="仿宋" w:eastAsia="仿宋" w:cs="仿宋"/>
          <w:b/>
          <w:bCs/>
          <w:color w:val="auto"/>
          <w:highlight w:val="none"/>
          <w:lang w:val="en-US" w:eastAsia="zh-CN"/>
        </w:rPr>
      </w:pPr>
      <w:r>
        <w:rPr>
          <w:rFonts w:hint="eastAsia" w:ascii="仿宋" w:hAnsi="仿宋" w:eastAsia="仿宋" w:cs="仿宋"/>
          <w:b/>
          <w:bCs/>
          <w:color w:val="auto"/>
          <w:highlight w:val="none"/>
          <w:lang w:val="en-US" w:eastAsia="zh-CN"/>
        </w:rPr>
        <w:t>设计资质：</w:t>
      </w:r>
    </w:p>
    <w:p w14:paraId="65B9B28C">
      <w:pPr>
        <w:keepNext w:val="0"/>
        <w:keepLines w:val="0"/>
        <w:pageBreakBefore w:val="0"/>
        <w:widowControl/>
        <w:numPr>
          <w:ilvl w:val="12"/>
          <w:numId w:val="0"/>
        </w:numPr>
        <w:kinsoku/>
        <w:wordWrap/>
        <w:overflowPunct/>
        <w:topLinePunct w:val="0"/>
        <w:autoSpaceDE/>
        <w:autoSpaceDN/>
        <w:bidi w:val="0"/>
        <w:adjustRightInd/>
        <w:snapToGrid/>
        <w:spacing w:after="0" w:line="360" w:lineRule="auto"/>
        <w:ind w:firstLine="420" w:firstLineChars="200"/>
        <w:jc w:val="left"/>
        <w:textAlignment w:val="auto"/>
        <w:rPr>
          <w:rFonts w:hint="eastAsia" w:ascii="仿宋" w:hAnsi="仿宋" w:eastAsia="仿宋" w:cs="仿宋"/>
          <w:b w:val="0"/>
          <w:bCs w:val="0"/>
          <w:color w:val="auto"/>
          <w:highlight w:val="none"/>
          <w:lang w:val="en-US" w:eastAsia="zh-CN"/>
        </w:rPr>
      </w:pPr>
      <w:r>
        <w:rPr>
          <w:rFonts w:hint="eastAsia" w:ascii="仿宋" w:hAnsi="仿宋" w:eastAsia="仿宋" w:cs="仿宋"/>
          <w:b w:val="0"/>
          <w:bCs w:val="0"/>
          <w:color w:val="auto"/>
          <w:highlight w:val="none"/>
          <w:lang w:val="en-US" w:eastAsia="zh-CN"/>
        </w:rPr>
        <w:fldChar w:fldCharType="begin"/>
      </w:r>
      <w:r>
        <w:rPr>
          <w:rFonts w:hint="eastAsia" w:ascii="仿宋" w:hAnsi="仿宋" w:eastAsia="仿宋" w:cs="仿宋"/>
          <w:b w:val="0"/>
          <w:bCs w:val="0"/>
          <w:color w:val="auto"/>
          <w:highlight w:val="none"/>
          <w:lang w:val="en-US" w:eastAsia="zh-CN"/>
        </w:rPr>
        <w:instrText xml:space="preserve"> EQ \o\ac(○,1)</w:instrText>
      </w:r>
      <w:r>
        <w:rPr>
          <w:rFonts w:hint="eastAsia" w:ascii="仿宋" w:hAnsi="仿宋" w:eastAsia="仿宋" w:cs="仿宋"/>
          <w:b w:val="0"/>
          <w:bCs w:val="0"/>
          <w:color w:val="auto"/>
          <w:highlight w:val="none"/>
          <w:lang w:val="en-US" w:eastAsia="zh-CN"/>
        </w:rPr>
        <w:fldChar w:fldCharType="end"/>
      </w:r>
      <w:r>
        <w:rPr>
          <w:rFonts w:hint="eastAsia" w:ascii="仿宋" w:hAnsi="仿宋" w:eastAsia="仿宋" w:cs="仿宋"/>
          <w:b w:val="0"/>
          <w:bCs w:val="0"/>
          <w:color w:val="auto"/>
          <w:highlight w:val="none"/>
          <w:lang w:val="en-US" w:eastAsia="zh-CN"/>
        </w:rPr>
        <w:t>具备由建设行政主管部门核发的有效工程设计综合资质甲级；</w:t>
      </w:r>
    </w:p>
    <w:p w14:paraId="100A9732">
      <w:pPr>
        <w:keepNext w:val="0"/>
        <w:keepLines w:val="0"/>
        <w:pageBreakBefore w:val="0"/>
        <w:widowControl/>
        <w:numPr>
          <w:ilvl w:val="12"/>
          <w:numId w:val="0"/>
        </w:numPr>
        <w:kinsoku/>
        <w:wordWrap/>
        <w:overflowPunct/>
        <w:topLinePunct w:val="0"/>
        <w:autoSpaceDE/>
        <w:autoSpaceDN/>
        <w:bidi w:val="0"/>
        <w:adjustRightInd/>
        <w:snapToGrid/>
        <w:spacing w:after="0" w:line="360" w:lineRule="auto"/>
        <w:ind w:firstLine="420" w:firstLineChars="200"/>
        <w:jc w:val="left"/>
        <w:textAlignment w:val="auto"/>
        <w:rPr>
          <w:rFonts w:hint="eastAsia" w:ascii="仿宋" w:hAnsi="仿宋" w:eastAsia="仿宋" w:cs="仿宋"/>
          <w:b w:val="0"/>
          <w:bCs w:val="0"/>
          <w:color w:val="auto"/>
          <w:highlight w:val="none"/>
          <w:lang w:val="en-US" w:eastAsia="zh-CN"/>
        </w:rPr>
      </w:pPr>
      <w:r>
        <w:rPr>
          <w:rFonts w:hint="eastAsia" w:ascii="仿宋" w:hAnsi="仿宋" w:eastAsia="仿宋" w:cs="仿宋"/>
          <w:b w:val="0"/>
          <w:bCs w:val="0"/>
          <w:color w:val="auto"/>
          <w:highlight w:val="none"/>
          <w:lang w:val="en-US" w:eastAsia="zh-CN"/>
        </w:rPr>
        <w:fldChar w:fldCharType="begin"/>
      </w:r>
      <w:r>
        <w:rPr>
          <w:rFonts w:hint="eastAsia" w:ascii="仿宋" w:hAnsi="仿宋" w:eastAsia="仿宋" w:cs="仿宋"/>
          <w:b w:val="0"/>
          <w:bCs w:val="0"/>
          <w:color w:val="auto"/>
          <w:highlight w:val="none"/>
          <w:lang w:val="en-US" w:eastAsia="zh-CN"/>
        </w:rPr>
        <w:instrText xml:space="preserve"> EQ \o\ac(○,2)</w:instrText>
      </w:r>
      <w:r>
        <w:rPr>
          <w:rFonts w:hint="eastAsia" w:ascii="仿宋" w:hAnsi="仿宋" w:eastAsia="仿宋" w:cs="仿宋"/>
          <w:b w:val="0"/>
          <w:bCs w:val="0"/>
          <w:color w:val="auto"/>
          <w:highlight w:val="none"/>
          <w:lang w:val="en-US" w:eastAsia="zh-CN"/>
        </w:rPr>
        <w:fldChar w:fldCharType="end"/>
      </w:r>
      <w:r>
        <w:rPr>
          <w:rFonts w:hint="eastAsia" w:ascii="仿宋" w:hAnsi="仿宋" w:eastAsia="仿宋" w:cs="仿宋"/>
          <w:b w:val="0"/>
          <w:bCs w:val="0"/>
          <w:color w:val="auto"/>
          <w:highlight w:val="none"/>
          <w:lang w:val="en-US" w:eastAsia="zh-CN"/>
        </w:rPr>
        <w:t>具备由建设行政主管部门核发的化工石化医药行业乙级及以上资质，或化工石化医药行业（石油及化工产品储运）专业设计乙级及以上资质；</w:t>
      </w:r>
    </w:p>
    <w:p w14:paraId="526366D3">
      <w:pPr>
        <w:keepNext w:val="0"/>
        <w:keepLines w:val="0"/>
        <w:pageBreakBefore w:val="0"/>
        <w:widowControl/>
        <w:numPr>
          <w:ilvl w:val="12"/>
          <w:numId w:val="0"/>
        </w:numPr>
        <w:kinsoku/>
        <w:wordWrap/>
        <w:overflowPunct/>
        <w:topLinePunct w:val="0"/>
        <w:autoSpaceDE/>
        <w:autoSpaceDN/>
        <w:bidi w:val="0"/>
        <w:adjustRightInd/>
        <w:snapToGrid/>
        <w:spacing w:after="0" w:line="360" w:lineRule="auto"/>
        <w:ind w:firstLine="420" w:firstLineChars="200"/>
        <w:jc w:val="left"/>
        <w:textAlignment w:val="auto"/>
        <w:rPr>
          <w:rFonts w:hint="eastAsia" w:ascii="仿宋" w:hAnsi="仿宋" w:eastAsia="仿宋" w:cs="仿宋"/>
          <w:b w:val="0"/>
          <w:bCs w:val="0"/>
          <w:color w:val="auto"/>
          <w:highlight w:val="none"/>
          <w:lang w:val="en-US" w:eastAsia="zh-CN"/>
        </w:rPr>
      </w:pPr>
      <w:r>
        <w:rPr>
          <w:rFonts w:hint="eastAsia" w:ascii="仿宋" w:hAnsi="仿宋" w:eastAsia="仿宋" w:cs="仿宋"/>
          <w:b w:val="0"/>
          <w:bCs w:val="0"/>
          <w:color w:val="auto"/>
          <w:highlight w:val="none"/>
          <w:lang w:val="en-US" w:eastAsia="zh-CN"/>
        </w:rPr>
        <w:fldChar w:fldCharType="begin"/>
      </w:r>
      <w:r>
        <w:rPr>
          <w:rFonts w:hint="eastAsia" w:ascii="仿宋" w:hAnsi="仿宋" w:eastAsia="仿宋" w:cs="仿宋"/>
          <w:b w:val="0"/>
          <w:bCs w:val="0"/>
          <w:color w:val="auto"/>
          <w:highlight w:val="none"/>
          <w:lang w:val="en-US" w:eastAsia="zh-CN"/>
        </w:rPr>
        <w:instrText xml:space="preserve"> EQ \o\ac(○,3)</w:instrText>
      </w:r>
      <w:r>
        <w:rPr>
          <w:rFonts w:hint="eastAsia" w:ascii="仿宋" w:hAnsi="仿宋" w:eastAsia="仿宋" w:cs="仿宋"/>
          <w:b w:val="0"/>
          <w:bCs w:val="0"/>
          <w:color w:val="auto"/>
          <w:highlight w:val="none"/>
          <w:lang w:val="en-US" w:eastAsia="zh-CN"/>
        </w:rPr>
        <w:fldChar w:fldCharType="end"/>
      </w:r>
      <w:r>
        <w:rPr>
          <w:rFonts w:hint="eastAsia" w:ascii="仿宋" w:hAnsi="仿宋" w:eastAsia="仿宋" w:cs="仿宋"/>
          <w:b w:val="0"/>
          <w:bCs w:val="0"/>
          <w:color w:val="auto"/>
          <w:highlight w:val="none"/>
          <w:lang w:val="en-US" w:eastAsia="zh-CN"/>
        </w:rPr>
        <w:t>具备由建设行政主管部门核发的有效建筑行业（建筑工程）专业设计乙级及以上资质；</w:t>
      </w:r>
    </w:p>
    <w:p w14:paraId="0C6F7844">
      <w:pPr>
        <w:keepNext w:val="0"/>
        <w:keepLines w:val="0"/>
        <w:pageBreakBefore w:val="0"/>
        <w:widowControl/>
        <w:numPr>
          <w:ilvl w:val="12"/>
          <w:numId w:val="0"/>
        </w:numPr>
        <w:kinsoku/>
        <w:wordWrap/>
        <w:overflowPunct/>
        <w:topLinePunct w:val="0"/>
        <w:autoSpaceDE/>
        <w:autoSpaceDN/>
        <w:bidi w:val="0"/>
        <w:adjustRightInd/>
        <w:snapToGrid/>
        <w:spacing w:after="0" w:line="360" w:lineRule="auto"/>
        <w:ind w:firstLine="420" w:firstLineChars="200"/>
        <w:jc w:val="left"/>
        <w:textAlignment w:val="auto"/>
        <w:rPr>
          <w:rFonts w:hint="eastAsia" w:ascii="仿宋" w:hAnsi="仿宋" w:eastAsia="仿宋" w:cs="仿宋"/>
          <w:b w:val="0"/>
          <w:bCs w:val="0"/>
          <w:color w:val="auto"/>
          <w:highlight w:val="none"/>
          <w:lang w:val="en-US" w:eastAsia="zh-CN"/>
        </w:rPr>
      </w:pPr>
      <w:r>
        <w:rPr>
          <w:rFonts w:hint="eastAsia" w:ascii="仿宋" w:hAnsi="仿宋" w:eastAsia="仿宋" w:cs="仿宋"/>
          <w:b w:val="0"/>
          <w:bCs w:val="0"/>
          <w:color w:val="auto"/>
          <w:highlight w:val="none"/>
          <w:lang w:val="en-US" w:eastAsia="zh-CN"/>
        </w:rPr>
        <w:fldChar w:fldCharType="begin"/>
      </w:r>
      <w:r>
        <w:rPr>
          <w:rFonts w:hint="eastAsia" w:ascii="仿宋" w:hAnsi="仿宋" w:eastAsia="仿宋" w:cs="仿宋"/>
          <w:b w:val="0"/>
          <w:bCs w:val="0"/>
          <w:color w:val="auto"/>
          <w:highlight w:val="none"/>
          <w:lang w:val="en-US" w:eastAsia="zh-CN"/>
        </w:rPr>
        <w:instrText xml:space="preserve"> EQ \o\ac(○,4)</w:instrText>
      </w:r>
      <w:r>
        <w:rPr>
          <w:rFonts w:hint="eastAsia" w:ascii="仿宋" w:hAnsi="仿宋" w:eastAsia="仿宋" w:cs="仿宋"/>
          <w:b w:val="0"/>
          <w:bCs w:val="0"/>
          <w:color w:val="auto"/>
          <w:highlight w:val="none"/>
          <w:lang w:val="en-US" w:eastAsia="zh-CN"/>
        </w:rPr>
        <w:fldChar w:fldCharType="end"/>
      </w:r>
      <w:r>
        <w:rPr>
          <w:rFonts w:hint="eastAsia" w:ascii="仿宋" w:hAnsi="仿宋" w:eastAsia="仿宋" w:cs="仿宋"/>
          <w:b w:val="0"/>
          <w:bCs w:val="0"/>
          <w:color w:val="auto"/>
          <w:highlight w:val="none"/>
          <w:lang w:val="en-US" w:eastAsia="zh-CN"/>
        </w:rPr>
        <w:t xml:space="preserve">具备特种设备生产许可证 - 压力管道设计（GC2）及以上资质。 </w:t>
      </w:r>
    </w:p>
    <w:p w14:paraId="1F9C4738">
      <w:pPr>
        <w:keepNext w:val="0"/>
        <w:keepLines w:val="0"/>
        <w:pageBreakBefore w:val="0"/>
        <w:widowControl/>
        <w:numPr>
          <w:ilvl w:val="12"/>
          <w:numId w:val="0"/>
        </w:numPr>
        <w:kinsoku/>
        <w:wordWrap/>
        <w:overflowPunct/>
        <w:topLinePunct w:val="0"/>
        <w:autoSpaceDE/>
        <w:autoSpaceDN/>
        <w:bidi w:val="0"/>
        <w:adjustRightInd/>
        <w:snapToGrid/>
        <w:spacing w:after="0" w:line="360" w:lineRule="auto"/>
        <w:ind w:firstLine="420" w:firstLineChars="200"/>
        <w:jc w:val="left"/>
        <w:textAlignment w:val="auto"/>
        <w:rPr>
          <w:rFonts w:hint="eastAsia" w:ascii="仿宋" w:hAnsi="仿宋" w:eastAsia="仿宋" w:cs="仿宋"/>
          <w:b w:val="0"/>
          <w:bCs w:val="0"/>
          <w:color w:val="auto"/>
          <w:highlight w:val="none"/>
          <w:lang w:val="en-US" w:eastAsia="zh-CN"/>
        </w:rPr>
      </w:pPr>
      <w:r>
        <w:rPr>
          <w:rFonts w:hint="eastAsia" w:ascii="仿宋" w:hAnsi="仿宋" w:eastAsia="仿宋" w:cs="仿宋"/>
          <w:b w:val="0"/>
          <w:bCs w:val="0"/>
          <w:color w:val="auto"/>
          <w:highlight w:val="none"/>
          <w:lang w:val="en-US" w:eastAsia="zh-CN"/>
        </w:rPr>
        <w:t>具备上述设计</w:t>
      </w:r>
      <w:r>
        <w:rPr>
          <w:rFonts w:hint="eastAsia" w:ascii="仿宋" w:hAnsi="仿宋" w:eastAsia="仿宋" w:cs="仿宋"/>
          <w:b w:val="0"/>
          <w:bCs w:val="0"/>
          <w:color w:val="auto"/>
          <w:highlight w:val="none"/>
          <w:lang w:val="en-US" w:eastAsia="zh-CN"/>
        </w:rPr>
        <w:fldChar w:fldCharType="begin"/>
      </w:r>
      <w:r>
        <w:rPr>
          <w:rFonts w:hint="eastAsia" w:ascii="仿宋" w:hAnsi="仿宋" w:eastAsia="仿宋" w:cs="仿宋"/>
          <w:b w:val="0"/>
          <w:bCs w:val="0"/>
          <w:color w:val="auto"/>
          <w:highlight w:val="none"/>
          <w:lang w:val="en-US" w:eastAsia="zh-CN"/>
        </w:rPr>
        <w:instrText xml:space="preserve"> EQ \o\ac(○,1)</w:instrText>
      </w:r>
      <w:r>
        <w:rPr>
          <w:rFonts w:hint="eastAsia" w:ascii="仿宋" w:hAnsi="仿宋" w:eastAsia="仿宋" w:cs="仿宋"/>
          <w:b w:val="0"/>
          <w:bCs w:val="0"/>
          <w:color w:val="auto"/>
          <w:highlight w:val="none"/>
          <w:lang w:val="en-US" w:eastAsia="zh-CN"/>
        </w:rPr>
        <w:fldChar w:fldCharType="end"/>
      </w:r>
      <w:r>
        <w:rPr>
          <w:rFonts w:hint="eastAsia" w:ascii="仿宋" w:hAnsi="仿宋" w:eastAsia="仿宋" w:cs="仿宋"/>
          <w:b w:val="0"/>
          <w:bCs w:val="0"/>
          <w:color w:val="auto"/>
          <w:highlight w:val="none"/>
          <w:lang w:val="en-US" w:eastAsia="zh-CN"/>
        </w:rPr>
        <w:t>和</w:t>
      </w:r>
      <w:r>
        <w:rPr>
          <w:rFonts w:hint="eastAsia" w:ascii="仿宋" w:hAnsi="仿宋" w:eastAsia="仿宋" w:cs="仿宋"/>
          <w:b w:val="0"/>
          <w:bCs w:val="0"/>
          <w:color w:val="auto"/>
          <w:highlight w:val="none"/>
          <w:lang w:val="en-US" w:eastAsia="zh-CN"/>
        </w:rPr>
        <w:fldChar w:fldCharType="begin"/>
      </w:r>
      <w:r>
        <w:rPr>
          <w:rFonts w:hint="eastAsia" w:ascii="仿宋" w:hAnsi="仿宋" w:eastAsia="仿宋" w:cs="仿宋"/>
          <w:b w:val="0"/>
          <w:bCs w:val="0"/>
          <w:color w:val="auto"/>
          <w:highlight w:val="none"/>
          <w:lang w:val="en-US" w:eastAsia="zh-CN"/>
        </w:rPr>
        <w:instrText xml:space="preserve"> EQ \o\ac(</w:instrText>
      </w:r>
      <w:r>
        <w:rPr>
          <w:rFonts w:hint="eastAsia" w:ascii="仿宋" w:hAnsi="仿宋" w:eastAsia="仿宋" w:cs="仿宋"/>
          <w:b w:val="0"/>
          <w:bCs w:val="0"/>
          <w:color w:val="auto"/>
          <w:position w:val="0"/>
          <w:sz w:val="21"/>
          <w:highlight w:val="none"/>
          <w:lang w:val="en-US" w:eastAsia="zh-CN"/>
        </w:rPr>
        <w:instrText xml:space="preserve">○</w:instrText>
      </w:r>
      <w:r>
        <w:rPr>
          <w:rFonts w:hint="eastAsia" w:ascii="仿宋" w:hAnsi="仿宋" w:eastAsia="仿宋" w:cs="仿宋"/>
          <w:b w:val="0"/>
          <w:bCs w:val="0"/>
          <w:color w:val="auto"/>
          <w:highlight w:val="none"/>
          <w:lang w:val="en-US" w:eastAsia="zh-CN"/>
        </w:rPr>
        <w:instrText xml:space="preserve">,4)</w:instrText>
      </w:r>
      <w:r>
        <w:rPr>
          <w:rFonts w:hint="eastAsia" w:ascii="仿宋" w:hAnsi="仿宋" w:eastAsia="仿宋" w:cs="仿宋"/>
          <w:b w:val="0"/>
          <w:bCs w:val="0"/>
          <w:color w:val="auto"/>
          <w:highlight w:val="none"/>
          <w:lang w:val="en-US" w:eastAsia="zh-CN"/>
        </w:rPr>
        <w:fldChar w:fldCharType="end"/>
      </w:r>
      <w:r>
        <w:rPr>
          <w:rFonts w:hint="eastAsia" w:ascii="仿宋" w:hAnsi="仿宋" w:eastAsia="仿宋" w:cs="仿宋"/>
          <w:b w:val="0"/>
          <w:bCs w:val="0"/>
          <w:color w:val="auto"/>
          <w:highlight w:val="none"/>
          <w:lang w:val="en-US" w:eastAsia="zh-CN"/>
        </w:rPr>
        <w:t>或</w:t>
      </w:r>
      <w:r>
        <w:rPr>
          <w:rFonts w:hint="eastAsia" w:ascii="仿宋" w:hAnsi="仿宋" w:eastAsia="仿宋" w:cs="仿宋"/>
          <w:b w:val="0"/>
          <w:bCs w:val="0"/>
          <w:color w:val="auto"/>
          <w:highlight w:val="none"/>
          <w:lang w:val="en-US" w:eastAsia="zh-CN"/>
        </w:rPr>
        <w:fldChar w:fldCharType="begin"/>
      </w:r>
      <w:r>
        <w:rPr>
          <w:rFonts w:hint="eastAsia" w:ascii="仿宋" w:hAnsi="仿宋" w:eastAsia="仿宋" w:cs="仿宋"/>
          <w:b w:val="0"/>
          <w:bCs w:val="0"/>
          <w:color w:val="auto"/>
          <w:highlight w:val="none"/>
          <w:lang w:val="en-US" w:eastAsia="zh-CN"/>
        </w:rPr>
        <w:instrText xml:space="preserve"> EQ \o\ac(○,2)</w:instrText>
      </w:r>
      <w:r>
        <w:rPr>
          <w:rFonts w:hint="eastAsia" w:ascii="仿宋" w:hAnsi="仿宋" w:eastAsia="仿宋" w:cs="仿宋"/>
          <w:b w:val="0"/>
          <w:bCs w:val="0"/>
          <w:color w:val="auto"/>
          <w:highlight w:val="none"/>
          <w:lang w:val="en-US" w:eastAsia="zh-CN"/>
        </w:rPr>
        <w:fldChar w:fldCharType="end"/>
      </w:r>
      <w:r>
        <w:rPr>
          <w:rFonts w:hint="eastAsia" w:ascii="仿宋" w:hAnsi="仿宋" w:eastAsia="仿宋" w:cs="仿宋"/>
          <w:b w:val="0"/>
          <w:bCs w:val="0"/>
          <w:color w:val="auto"/>
          <w:highlight w:val="none"/>
          <w:lang w:val="en-US" w:eastAsia="zh-CN"/>
        </w:rPr>
        <w:t>、</w:t>
      </w:r>
      <w:r>
        <w:rPr>
          <w:rFonts w:hint="eastAsia" w:ascii="仿宋" w:hAnsi="仿宋" w:eastAsia="仿宋" w:cs="仿宋"/>
          <w:b w:val="0"/>
          <w:bCs w:val="0"/>
          <w:color w:val="auto"/>
          <w:highlight w:val="none"/>
          <w:lang w:val="en-US" w:eastAsia="zh-CN"/>
        </w:rPr>
        <w:fldChar w:fldCharType="begin"/>
      </w:r>
      <w:r>
        <w:rPr>
          <w:rFonts w:hint="eastAsia" w:ascii="仿宋" w:hAnsi="仿宋" w:eastAsia="仿宋" w:cs="仿宋"/>
          <w:b w:val="0"/>
          <w:bCs w:val="0"/>
          <w:color w:val="auto"/>
          <w:highlight w:val="none"/>
          <w:lang w:val="en-US" w:eastAsia="zh-CN"/>
        </w:rPr>
        <w:instrText xml:space="preserve"> EQ \o\ac(○,3)</w:instrText>
      </w:r>
      <w:r>
        <w:rPr>
          <w:rFonts w:hint="eastAsia" w:ascii="仿宋" w:hAnsi="仿宋" w:eastAsia="仿宋" w:cs="仿宋"/>
          <w:b w:val="0"/>
          <w:bCs w:val="0"/>
          <w:color w:val="auto"/>
          <w:highlight w:val="none"/>
          <w:lang w:val="en-US" w:eastAsia="zh-CN"/>
        </w:rPr>
        <w:fldChar w:fldCharType="end"/>
      </w:r>
      <w:r>
        <w:rPr>
          <w:rFonts w:hint="eastAsia" w:ascii="仿宋" w:hAnsi="仿宋" w:eastAsia="仿宋" w:cs="仿宋"/>
          <w:b w:val="0"/>
          <w:bCs w:val="0"/>
          <w:color w:val="auto"/>
          <w:highlight w:val="none"/>
          <w:lang w:val="en-US" w:eastAsia="zh-CN"/>
        </w:rPr>
        <w:t>、</w:t>
      </w:r>
      <w:r>
        <w:rPr>
          <w:rFonts w:hint="eastAsia" w:ascii="仿宋" w:hAnsi="仿宋" w:eastAsia="仿宋" w:cs="仿宋"/>
          <w:b w:val="0"/>
          <w:bCs w:val="0"/>
          <w:color w:val="auto"/>
          <w:highlight w:val="none"/>
          <w:lang w:val="en-US" w:eastAsia="zh-CN"/>
        </w:rPr>
        <w:fldChar w:fldCharType="begin"/>
      </w:r>
      <w:r>
        <w:rPr>
          <w:rFonts w:hint="eastAsia" w:ascii="仿宋" w:hAnsi="仿宋" w:eastAsia="仿宋" w:cs="仿宋"/>
          <w:b w:val="0"/>
          <w:bCs w:val="0"/>
          <w:color w:val="auto"/>
          <w:highlight w:val="none"/>
          <w:lang w:val="en-US" w:eastAsia="zh-CN"/>
        </w:rPr>
        <w:instrText xml:space="preserve"> EQ \o\ac(</w:instrText>
      </w:r>
      <w:r>
        <w:rPr>
          <w:rFonts w:hint="eastAsia" w:ascii="仿宋" w:hAnsi="仿宋" w:eastAsia="仿宋" w:cs="仿宋"/>
          <w:b w:val="0"/>
          <w:bCs w:val="0"/>
          <w:color w:val="auto"/>
          <w:position w:val="0"/>
          <w:sz w:val="21"/>
          <w:highlight w:val="none"/>
          <w:lang w:val="en-US" w:eastAsia="zh-CN"/>
        </w:rPr>
        <w:instrText xml:space="preserve">○</w:instrText>
      </w:r>
      <w:r>
        <w:rPr>
          <w:rFonts w:hint="eastAsia" w:ascii="仿宋" w:hAnsi="仿宋" w:eastAsia="仿宋" w:cs="仿宋"/>
          <w:b w:val="0"/>
          <w:bCs w:val="0"/>
          <w:color w:val="auto"/>
          <w:highlight w:val="none"/>
          <w:lang w:val="en-US" w:eastAsia="zh-CN"/>
        </w:rPr>
        <w:instrText xml:space="preserve">,4)</w:instrText>
      </w:r>
      <w:r>
        <w:rPr>
          <w:rFonts w:hint="eastAsia" w:ascii="仿宋" w:hAnsi="仿宋" w:eastAsia="仿宋" w:cs="仿宋"/>
          <w:b w:val="0"/>
          <w:bCs w:val="0"/>
          <w:color w:val="auto"/>
          <w:highlight w:val="none"/>
          <w:lang w:val="en-US" w:eastAsia="zh-CN"/>
        </w:rPr>
        <w:fldChar w:fldCharType="end"/>
      </w:r>
      <w:r>
        <w:rPr>
          <w:rFonts w:hint="eastAsia" w:ascii="仿宋" w:hAnsi="仿宋" w:eastAsia="仿宋" w:cs="仿宋"/>
          <w:b w:val="0"/>
          <w:bCs w:val="0"/>
          <w:color w:val="auto"/>
          <w:highlight w:val="none"/>
          <w:lang w:val="en-US" w:eastAsia="zh-CN"/>
        </w:rPr>
        <w:t>资质要求。</w:t>
      </w:r>
    </w:p>
    <w:p w14:paraId="2BBDD246">
      <w:pPr>
        <w:keepNext w:val="0"/>
        <w:keepLines w:val="0"/>
        <w:pageBreakBefore w:val="0"/>
        <w:widowControl/>
        <w:numPr>
          <w:ilvl w:val="12"/>
          <w:numId w:val="0"/>
        </w:numPr>
        <w:kinsoku/>
        <w:wordWrap/>
        <w:overflowPunct/>
        <w:topLinePunct w:val="0"/>
        <w:autoSpaceDE/>
        <w:autoSpaceDN/>
        <w:bidi w:val="0"/>
        <w:adjustRightInd/>
        <w:snapToGrid/>
        <w:spacing w:after="0" w:line="360" w:lineRule="auto"/>
        <w:ind w:firstLine="420" w:firstLineChars="200"/>
        <w:jc w:val="left"/>
        <w:textAlignment w:val="auto"/>
        <w:rPr>
          <w:rFonts w:hint="eastAsia" w:ascii="仿宋" w:hAnsi="仿宋" w:eastAsia="仿宋" w:cs="仿宋"/>
          <w:b w:val="0"/>
          <w:bCs w:val="0"/>
          <w:color w:val="auto"/>
          <w:highlight w:val="none"/>
          <w:lang w:val="en-US" w:eastAsia="zh-CN"/>
        </w:rPr>
      </w:pPr>
      <w:r>
        <w:rPr>
          <w:rFonts w:hint="eastAsia" w:ascii="仿宋" w:hAnsi="仿宋" w:eastAsia="仿宋" w:cs="仿宋"/>
          <w:b w:val="0"/>
          <w:bCs w:val="0"/>
          <w:color w:val="auto"/>
          <w:highlight w:val="none"/>
          <w:lang w:val="en-US" w:eastAsia="zh-CN"/>
        </w:rPr>
        <w:t>（投标人为联合体的，须联合体中负责设计工作的单位提供，否则不予认可）；</w:t>
      </w:r>
    </w:p>
    <w:p w14:paraId="788404F3">
      <w:pPr>
        <w:numPr>
          <w:ilvl w:val="0"/>
          <w:numId w:val="0"/>
        </w:numPr>
        <w:spacing w:after="0" w:line="360" w:lineRule="auto"/>
        <w:rPr>
          <w:rFonts w:hint="eastAsia" w:ascii="仿宋" w:hAnsi="仿宋" w:eastAsia="仿宋" w:cs="仿宋"/>
          <w:b/>
          <w:bCs/>
          <w:color w:val="auto"/>
          <w:highlight w:val="none"/>
          <w:lang w:val="en-US" w:eastAsia="zh-CN"/>
        </w:rPr>
      </w:pPr>
      <w:r>
        <w:rPr>
          <w:rFonts w:hint="eastAsia" w:ascii="仿宋" w:hAnsi="仿宋" w:eastAsia="仿宋" w:cs="仿宋"/>
          <w:b/>
          <w:bCs/>
          <w:color w:val="auto"/>
          <w:highlight w:val="none"/>
          <w:lang w:val="en-US" w:eastAsia="zh-CN"/>
        </w:rPr>
        <w:t>（2）施工资质：</w:t>
      </w:r>
    </w:p>
    <w:p w14:paraId="2396CD04">
      <w:pPr>
        <w:keepNext w:val="0"/>
        <w:keepLines w:val="0"/>
        <w:pageBreakBefore w:val="0"/>
        <w:widowControl/>
        <w:numPr>
          <w:ilvl w:val="12"/>
          <w:numId w:val="0"/>
        </w:numPr>
        <w:kinsoku/>
        <w:wordWrap/>
        <w:overflowPunct/>
        <w:topLinePunct w:val="0"/>
        <w:autoSpaceDE/>
        <w:autoSpaceDN/>
        <w:bidi w:val="0"/>
        <w:adjustRightInd/>
        <w:snapToGrid/>
        <w:spacing w:after="0" w:line="360" w:lineRule="auto"/>
        <w:ind w:firstLine="420" w:firstLineChars="200"/>
        <w:jc w:val="left"/>
        <w:textAlignment w:val="auto"/>
        <w:rPr>
          <w:rFonts w:hint="eastAsia" w:ascii="仿宋" w:hAnsi="仿宋" w:eastAsia="仿宋" w:cs="仿宋"/>
          <w:b w:val="0"/>
          <w:bCs w:val="0"/>
          <w:color w:val="auto"/>
          <w:highlight w:val="none"/>
          <w:lang w:val="en-US" w:eastAsia="zh-CN"/>
        </w:rPr>
      </w:pPr>
      <w:r>
        <w:rPr>
          <w:rFonts w:hint="eastAsia" w:ascii="仿宋" w:hAnsi="仿宋" w:eastAsia="仿宋" w:cs="仿宋"/>
          <w:b w:val="0"/>
          <w:bCs w:val="0"/>
          <w:color w:val="auto"/>
          <w:highlight w:val="none"/>
          <w:lang w:val="en-US" w:eastAsia="zh-CN"/>
        </w:rPr>
        <w:fldChar w:fldCharType="begin"/>
      </w:r>
      <w:r>
        <w:rPr>
          <w:rFonts w:hint="eastAsia" w:ascii="仿宋" w:hAnsi="仿宋" w:eastAsia="仿宋" w:cs="仿宋"/>
          <w:b w:val="0"/>
          <w:bCs w:val="0"/>
          <w:color w:val="auto"/>
          <w:highlight w:val="none"/>
          <w:lang w:val="en-US" w:eastAsia="zh-CN"/>
        </w:rPr>
        <w:instrText xml:space="preserve"> EQ \o\ac(○,1)</w:instrText>
      </w:r>
      <w:r>
        <w:rPr>
          <w:rFonts w:hint="eastAsia" w:ascii="仿宋" w:hAnsi="仿宋" w:eastAsia="仿宋" w:cs="仿宋"/>
          <w:b w:val="0"/>
          <w:bCs w:val="0"/>
          <w:color w:val="auto"/>
          <w:highlight w:val="none"/>
          <w:lang w:val="en-US" w:eastAsia="zh-CN"/>
        </w:rPr>
        <w:fldChar w:fldCharType="end"/>
      </w:r>
      <w:r>
        <w:rPr>
          <w:rFonts w:hint="eastAsia" w:ascii="仿宋" w:hAnsi="仿宋" w:eastAsia="仿宋" w:cs="仿宋"/>
          <w:b w:val="0"/>
          <w:bCs w:val="0"/>
          <w:color w:val="auto"/>
          <w:highlight w:val="none"/>
          <w:lang w:val="en-US" w:eastAsia="zh-CN"/>
        </w:rPr>
        <w:t>具备建设行政主管部门颁发的石油化工工程施工总承包三级及以上资质和建筑工程施工总承包三级及以上资质；</w:t>
      </w:r>
    </w:p>
    <w:p w14:paraId="78C28432">
      <w:pPr>
        <w:keepNext w:val="0"/>
        <w:keepLines w:val="0"/>
        <w:pageBreakBefore w:val="0"/>
        <w:widowControl/>
        <w:numPr>
          <w:ilvl w:val="12"/>
          <w:numId w:val="0"/>
        </w:numPr>
        <w:kinsoku/>
        <w:wordWrap/>
        <w:overflowPunct/>
        <w:topLinePunct w:val="0"/>
        <w:autoSpaceDE/>
        <w:autoSpaceDN/>
        <w:bidi w:val="0"/>
        <w:adjustRightInd/>
        <w:snapToGrid/>
        <w:spacing w:after="0" w:line="360" w:lineRule="auto"/>
        <w:ind w:firstLine="420" w:firstLineChars="200"/>
        <w:jc w:val="left"/>
        <w:textAlignment w:val="auto"/>
        <w:rPr>
          <w:rFonts w:hint="eastAsia" w:ascii="仿宋" w:hAnsi="仿宋" w:eastAsia="仿宋" w:cs="仿宋"/>
          <w:b w:val="0"/>
          <w:bCs w:val="0"/>
          <w:color w:val="auto"/>
          <w:highlight w:val="none"/>
          <w:lang w:val="en-US" w:eastAsia="zh-CN"/>
        </w:rPr>
      </w:pPr>
      <w:r>
        <w:rPr>
          <w:rFonts w:hint="eastAsia" w:ascii="仿宋" w:hAnsi="仿宋" w:eastAsia="仿宋" w:cs="仿宋"/>
          <w:b w:val="0"/>
          <w:bCs w:val="0"/>
          <w:color w:val="auto"/>
          <w:highlight w:val="none"/>
          <w:lang w:val="en-US" w:eastAsia="zh-CN"/>
        </w:rPr>
        <w:fldChar w:fldCharType="begin"/>
      </w:r>
      <w:r>
        <w:rPr>
          <w:rFonts w:hint="eastAsia" w:ascii="仿宋" w:hAnsi="仿宋" w:eastAsia="仿宋" w:cs="仿宋"/>
          <w:b w:val="0"/>
          <w:bCs w:val="0"/>
          <w:color w:val="auto"/>
          <w:highlight w:val="none"/>
          <w:lang w:val="en-US" w:eastAsia="zh-CN"/>
        </w:rPr>
        <w:instrText xml:space="preserve"> EQ \o\ac(○,2)</w:instrText>
      </w:r>
      <w:r>
        <w:rPr>
          <w:rFonts w:hint="eastAsia" w:ascii="仿宋" w:hAnsi="仿宋" w:eastAsia="仿宋" w:cs="仿宋"/>
          <w:b w:val="0"/>
          <w:bCs w:val="0"/>
          <w:color w:val="auto"/>
          <w:highlight w:val="none"/>
          <w:lang w:val="en-US" w:eastAsia="zh-CN"/>
        </w:rPr>
        <w:fldChar w:fldCharType="end"/>
      </w:r>
      <w:r>
        <w:rPr>
          <w:rFonts w:hint="eastAsia" w:ascii="仿宋" w:hAnsi="仿宋" w:eastAsia="仿宋" w:cs="仿宋"/>
          <w:b w:val="0"/>
          <w:bCs w:val="0"/>
          <w:color w:val="auto"/>
          <w:highlight w:val="none"/>
          <w:lang w:val="en-US" w:eastAsia="zh-CN"/>
        </w:rPr>
        <w:t>具备建设行政主管部门颁发的地基基础工程专业承包三级及以上资质；</w:t>
      </w:r>
    </w:p>
    <w:p w14:paraId="7D502BA5">
      <w:pPr>
        <w:keepNext w:val="0"/>
        <w:keepLines w:val="0"/>
        <w:pageBreakBefore w:val="0"/>
        <w:widowControl/>
        <w:numPr>
          <w:ilvl w:val="12"/>
          <w:numId w:val="0"/>
        </w:numPr>
        <w:kinsoku/>
        <w:wordWrap/>
        <w:overflowPunct/>
        <w:topLinePunct w:val="0"/>
        <w:autoSpaceDE/>
        <w:autoSpaceDN/>
        <w:bidi w:val="0"/>
        <w:adjustRightInd/>
        <w:snapToGrid/>
        <w:spacing w:after="0" w:line="360" w:lineRule="auto"/>
        <w:ind w:firstLine="420" w:firstLineChars="200"/>
        <w:jc w:val="left"/>
        <w:textAlignment w:val="auto"/>
        <w:rPr>
          <w:rFonts w:hint="eastAsia" w:ascii="仿宋" w:hAnsi="仿宋" w:eastAsia="仿宋" w:cs="仿宋"/>
          <w:b w:val="0"/>
          <w:bCs w:val="0"/>
          <w:color w:val="auto"/>
          <w:highlight w:val="none"/>
          <w:lang w:val="en-US" w:eastAsia="zh-CN"/>
        </w:rPr>
      </w:pPr>
      <w:r>
        <w:rPr>
          <w:rFonts w:hint="eastAsia" w:ascii="仿宋" w:hAnsi="仿宋" w:eastAsia="仿宋" w:cs="仿宋"/>
          <w:b w:val="0"/>
          <w:bCs w:val="0"/>
          <w:color w:val="auto"/>
          <w:highlight w:val="none"/>
          <w:lang w:val="en-US" w:eastAsia="zh-CN"/>
        </w:rPr>
        <w:fldChar w:fldCharType="begin"/>
      </w:r>
      <w:r>
        <w:rPr>
          <w:rFonts w:hint="eastAsia" w:ascii="仿宋" w:hAnsi="仿宋" w:eastAsia="仿宋" w:cs="仿宋"/>
          <w:b w:val="0"/>
          <w:bCs w:val="0"/>
          <w:color w:val="auto"/>
          <w:highlight w:val="none"/>
          <w:lang w:val="en-US" w:eastAsia="zh-CN"/>
        </w:rPr>
        <w:instrText xml:space="preserve"> EQ \o\ac(○,3)</w:instrText>
      </w:r>
      <w:r>
        <w:rPr>
          <w:rFonts w:hint="eastAsia" w:ascii="仿宋" w:hAnsi="仿宋" w:eastAsia="仿宋" w:cs="仿宋"/>
          <w:b w:val="0"/>
          <w:bCs w:val="0"/>
          <w:color w:val="auto"/>
          <w:highlight w:val="none"/>
          <w:lang w:val="en-US" w:eastAsia="zh-CN"/>
        </w:rPr>
        <w:fldChar w:fldCharType="end"/>
      </w:r>
      <w:r>
        <w:rPr>
          <w:rFonts w:hint="eastAsia" w:ascii="仿宋" w:hAnsi="仿宋" w:eastAsia="仿宋" w:cs="仿宋"/>
          <w:b w:val="0"/>
          <w:bCs w:val="0"/>
          <w:color w:val="auto"/>
          <w:highlight w:val="none"/>
          <w:lang w:val="en-US" w:eastAsia="zh-CN"/>
        </w:rPr>
        <w:t>具备建设行政主管部门颁发的钢结构工程专业承包三级及以上资质；</w:t>
      </w:r>
    </w:p>
    <w:p w14:paraId="79A2272A">
      <w:pPr>
        <w:keepNext w:val="0"/>
        <w:keepLines w:val="0"/>
        <w:pageBreakBefore w:val="0"/>
        <w:widowControl/>
        <w:numPr>
          <w:ilvl w:val="12"/>
          <w:numId w:val="0"/>
        </w:numPr>
        <w:kinsoku/>
        <w:wordWrap/>
        <w:overflowPunct/>
        <w:topLinePunct w:val="0"/>
        <w:autoSpaceDE/>
        <w:autoSpaceDN/>
        <w:bidi w:val="0"/>
        <w:adjustRightInd/>
        <w:snapToGrid/>
        <w:spacing w:after="0" w:line="360" w:lineRule="auto"/>
        <w:ind w:firstLine="420" w:firstLineChars="200"/>
        <w:jc w:val="left"/>
        <w:textAlignment w:val="auto"/>
        <w:rPr>
          <w:rFonts w:hint="eastAsia" w:ascii="仿宋" w:hAnsi="仿宋" w:eastAsia="仿宋" w:cs="仿宋"/>
          <w:b w:val="0"/>
          <w:bCs w:val="0"/>
          <w:color w:val="auto"/>
          <w:highlight w:val="none"/>
          <w:lang w:val="en-US" w:eastAsia="zh-CN"/>
        </w:rPr>
      </w:pPr>
      <w:r>
        <w:rPr>
          <w:rFonts w:hint="eastAsia" w:ascii="仿宋" w:hAnsi="仿宋" w:eastAsia="仿宋" w:cs="仿宋"/>
          <w:b w:val="0"/>
          <w:bCs w:val="0"/>
          <w:color w:val="auto"/>
          <w:highlight w:val="none"/>
          <w:lang w:val="en-US" w:eastAsia="zh-CN"/>
        </w:rPr>
        <w:fldChar w:fldCharType="begin"/>
      </w:r>
      <w:r>
        <w:rPr>
          <w:rFonts w:hint="eastAsia" w:ascii="仿宋" w:hAnsi="仿宋" w:eastAsia="仿宋" w:cs="仿宋"/>
          <w:b w:val="0"/>
          <w:bCs w:val="0"/>
          <w:color w:val="auto"/>
          <w:highlight w:val="none"/>
          <w:lang w:val="en-US" w:eastAsia="zh-CN"/>
        </w:rPr>
        <w:instrText xml:space="preserve"> EQ \o\ac(○,4)</w:instrText>
      </w:r>
      <w:r>
        <w:rPr>
          <w:rFonts w:hint="eastAsia" w:ascii="仿宋" w:hAnsi="仿宋" w:eastAsia="仿宋" w:cs="仿宋"/>
          <w:b w:val="0"/>
          <w:bCs w:val="0"/>
          <w:color w:val="auto"/>
          <w:highlight w:val="none"/>
          <w:lang w:val="en-US" w:eastAsia="zh-CN"/>
        </w:rPr>
        <w:fldChar w:fldCharType="end"/>
      </w:r>
      <w:r>
        <w:rPr>
          <w:rFonts w:hint="eastAsia" w:ascii="仿宋" w:hAnsi="仿宋" w:eastAsia="仿宋" w:cs="仿宋"/>
          <w:b w:val="0"/>
          <w:bCs w:val="0"/>
          <w:color w:val="auto"/>
          <w:highlight w:val="none"/>
          <w:lang w:val="en-US" w:eastAsia="zh-CN"/>
        </w:rPr>
        <w:t xml:space="preserve">具备有效的安全生产许可证。 </w:t>
      </w:r>
    </w:p>
    <w:p w14:paraId="60D4F081">
      <w:pPr>
        <w:keepNext w:val="0"/>
        <w:keepLines w:val="0"/>
        <w:pageBreakBefore w:val="0"/>
        <w:widowControl/>
        <w:numPr>
          <w:ilvl w:val="12"/>
          <w:numId w:val="0"/>
        </w:numPr>
        <w:kinsoku/>
        <w:wordWrap/>
        <w:overflowPunct/>
        <w:topLinePunct w:val="0"/>
        <w:autoSpaceDE/>
        <w:autoSpaceDN/>
        <w:bidi w:val="0"/>
        <w:adjustRightInd/>
        <w:snapToGrid/>
        <w:spacing w:after="0" w:line="360" w:lineRule="auto"/>
        <w:ind w:firstLine="420" w:firstLineChars="200"/>
        <w:jc w:val="left"/>
        <w:textAlignment w:val="auto"/>
        <w:rPr>
          <w:rFonts w:hint="eastAsia" w:ascii="仿宋" w:hAnsi="仿宋" w:eastAsia="仿宋" w:cs="仿宋"/>
          <w:b w:val="0"/>
          <w:bCs w:val="0"/>
          <w:color w:val="auto"/>
          <w:highlight w:val="none"/>
          <w:lang w:val="en-US" w:eastAsia="zh-CN"/>
        </w:rPr>
      </w:pPr>
      <w:r>
        <w:rPr>
          <w:rFonts w:hint="eastAsia" w:ascii="仿宋" w:hAnsi="仿宋" w:eastAsia="仿宋" w:cs="仿宋"/>
          <w:b w:val="0"/>
          <w:bCs w:val="0"/>
          <w:color w:val="auto"/>
          <w:highlight w:val="none"/>
          <w:lang w:val="en-US" w:eastAsia="zh-CN"/>
        </w:rPr>
        <w:t>具备上述施工</w:t>
      </w:r>
      <w:r>
        <w:rPr>
          <w:rFonts w:hint="eastAsia" w:ascii="仿宋" w:hAnsi="仿宋" w:eastAsia="仿宋" w:cs="仿宋"/>
          <w:b w:val="0"/>
          <w:bCs w:val="0"/>
          <w:color w:val="auto"/>
          <w:highlight w:val="none"/>
          <w:lang w:val="en-US" w:eastAsia="zh-CN"/>
        </w:rPr>
        <w:fldChar w:fldCharType="begin"/>
      </w:r>
      <w:r>
        <w:rPr>
          <w:rFonts w:hint="eastAsia" w:ascii="仿宋" w:hAnsi="仿宋" w:eastAsia="仿宋" w:cs="仿宋"/>
          <w:b w:val="0"/>
          <w:bCs w:val="0"/>
          <w:color w:val="auto"/>
          <w:highlight w:val="none"/>
          <w:lang w:val="en-US" w:eastAsia="zh-CN"/>
        </w:rPr>
        <w:instrText xml:space="preserve"> EQ \o\ac(○,1)</w:instrText>
      </w:r>
      <w:r>
        <w:rPr>
          <w:rFonts w:hint="eastAsia" w:ascii="仿宋" w:hAnsi="仿宋" w:eastAsia="仿宋" w:cs="仿宋"/>
          <w:b w:val="0"/>
          <w:bCs w:val="0"/>
          <w:color w:val="auto"/>
          <w:highlight w:val="none"/>
          <w:lang w:val="en-US" w:eastAsia="zh-CN"/>
        </w:rPr>
        <w:fldChar w:fldCharType="end"/>
      </w:r>
      <w:r>
        <w:rPr>
          <w:rFonts w:hint="eastAsia" w:ascii="仿宋" w:hAnsi="仿宋" w:eastAsia="仿宋" w:cs="仿宋"/>
          <w:b w:val="0"/>
          <w:bCs w:val="0"/>
          <w:color w:val="auto"/>
          <w:highlight w:val="none"/>
          <w:lang w:val="en-US" w:eastAsia="zh-CN"/>
        </w:rPr>
        <w:t>、</w:t>
      </w:r>
      <w:r>
        <w:rPr>
          <w:rFonts w:hint="eastAsia" w:ascii="仿宋" w:hAnsi="仿宋" w:eastAsia="仿宋" w:cs="仿宋"/>
          <w:b w:val="0"/>
          <w:bCs w:val="0"/>
          <w:color w:val="auto"/>
          <w:highlight w:val="none"/>
          <w:lang w:val="en-US" w:eastAsia="zh-CN"/>
        </w:rPr>
        <w:fldChar w:fldCharType="begin"/>
      </w:r>
      <w:r>
        <w:rPr>
          <w:rFonts w:hint="eastAsia" w:ascii="仿宋" w:hAnsi="仿宋" w:eastAsia="仿宋" w:cs="仿宋"/>
          <w:b w:val="0"/>
          <w:bCs w:val="0"/>
          <w:color w:val="auto"/>
          <w:highlight w:val="none"/>
          <w:lang w:val="en-US" w:eastAsia="zh-CN"/>
        </w:rPr>
        <w:instrText xml:space="preserve"> EQ \o\ac(○,2)</w:instrText>
      </w:r>
      <w:r>
        <w:rPr>
          <w:rFonts w:hint="eastAsia" w:ascii="仿宋" w:hAnsi="仿宋" w:eastAsia="仿宋" w:cs="仿宋"/>
          <w:b w:val="0"/>
          <w:bCs w:val="0"/>
          <w:color w:val="auto"/>
          <w:highlight w:val="none"/>
          <w:lang w:val="en-US" w:eastAsia="zh-CN"/>
        </w:rPr>
        <w:fldChar w:fldCharType="end"/>
      </w:r>
      <w:r>
        <w:rPr>
          <w:rFonts w:hint="eastAsia" w:ascii="仿宋" w:hAnsi="仿宋" w:eastAsia="仿宋" w:cs="仿宋"/>
          <w:b w:val="0"/>
          <w:bCs w:val="0"/>
          <w:color w:val="auto"/>
          <w:highlight w:val="none"/>
          <w:lang w:val="en-US" w:eastAsia="zh-CN"/>
        </w:rPr>
        <w:t>、</w:t>
      </w:r>
      <w:r>
        <w:rPr>
          <w:rFonts w:hint="eastAsia" w:ascii="仿宋" w:hAnsi="仿宋" w:eastAsia="仿宋" w:cs="仿宋"/>
          <w:b w:val="0"/>
          <w:bCs w:val="0"/>
          <w:color w:val="auto"/>
          <w:highlight w:val="none"/>
          <w:lang w:val="en-US" w:eastAsia="zh-CN"/>
        </w:rPr>
        <w:fldChar w:fldCharType="begin"/>
      </w:r>
      <w:r>
        <w:rPr>
          <w:rFonts w:hint="eastAsia" w:ascii="仿宋" w:hAnsi="仿宋" w:eastAsia="仿宋" w:cs="仿宋"/>
          <w:b w:val="0"/>
          <w:bCs w:val="0"/>
          <w:color w:val="auto"/>
          <w:highlight w:val="none"/>
          <w:lang w:val="en-US" w:eastAsia="zh-CN"/>
        </w:rPr>
        <w:instrText xml:space="preserve"> EQ \o\ac(○,3)</w:instrText>
      </w:r>
      <w:r>
        <w:rPr>
          <w:rFonts w:hint="eastAsia" w:ascii="仿宋" w:hAnsi="仿宋" w:eastAsia="仿宋" w:cs="仿宋"/>
          <w:b w:val="0"/>
          <w:bCs w:val="0"/>
          <w:color w:val="auto"/>
          <w:highlight w:val="none"/>
          <w:lang w:val="en-US" w:eastAsia="zh-CN"/>
        </w:rPr>
        <w:fldChar w:fldCharType="end"/>
      </w:r>
      <w:r>
        <w:rPr>
          <w:rFonts w:hint="eastAsia" w:ascii="仿宋" w:hAnsi="仿宋" w:eastAsia="仿宋" w:cs="仿宋"/>
          <w:b w:val="0"/>
          <w:bCs w:val="0"/>
          <w:color w:val="auto"/>
          <w:highlight w:val="none"/>
          <w:lang w:val="en-US" w:eastAsia="zh-CN"/>
        </w:rPr>
        <w:t>、</w:t>
      </w:r>
      <w:r>
        <w:rPr>
          <w:rFonts w:hint="eastAsia" w:ascii="仿宋" w:hAnsi="仿宋" w:eastAsia="仿宋" w:cs="仿宋"/>
          <w:b w:val="0"/>
          <w:bCs w:val="0"/>
          <w:color w:val="auto"/>
          <w:highlight w:val="none"/>
          <w:lang w:val="en-US" w:eastAsia="zh-CN"/>
        </w:rPr>
        <w:fldChar w:fldCharType="begin"/>
      </w:r>
      <w:r>
        <w:rPr>
          <w:rFonts w:hint="eastAsia" w:ascii="仿宋" w:hAnsi="仿宋" w:eastAsia="仿宋" w:cs="仿宋"/>
          <w:b w:val="0"/>
          <w:bCs w:val="0"/>
          <w:color w:val="auto"/>
          <w:highlight w:val="none"/>
          <w:lang w:val="en-US" w:eastAsia="zh-CN"/>
        </w:rPr>
        <w:instrText xml:space="preserve"> EQ \o\ac(○,4)</w:instrText>
      </w:r>
      <w:r>
        <w:rPr>
          <w:rFonts w:hint="eastAsia" w:ascii="仿宋" w:hAnsi="仿宋" w:eastAsia="仿宋" w:cs="仿宋"/>
          <w:b w:val="0"/>
          <w:bCs w:val="0"/>
          <w:color w:val="auto"/>
          <w:highlight w:val="none"/>
          <w:lang w:val="en-US" w:eastAsia="zh-CN"/>
        </w:rPr>
        <w:fldChar w:fldCharType="end"/>
      </w:r>
      <w:r>
        <w:rPr>
          <w:rFonts w:hint="eastAsia" w:ascii="仿宋" w:hAnsi="仿宋" w:eastAsia="仿宋" w:cs="仿宋"/>
          <w:b w:val="0"/>
          <w:bCs w:val="0"/>
          <w:color w:val="auto"/>
          <w:highlight w:val="none"/>
          <w:lang w:val="en-US" w:eastAsia="zh-CN"/>
        </w:rPr>
        <w:t>资质要求。</w:t>
      </w:r>
    </w:p>
    <w:p w14:paraId="47783054">
      <w:pPr>
        <w:widowControl/>
        <w:numPr>
          <w:ilvl w:val="12"/>
          <w:numId w:val="0"/>
        </w:numPr>
        <w:spacing w:after="0" w:line="360" w:lineRule="auto"/>
        <w:ind w:firstLine="420" w:firstLineChars="200"/>
        <w:jc w:val="left"/>
        <w:rPr>
          <w:rFonts w:hint="eastAsia" w:ascii="仿宋" w:hAnsi="仿宋" w:eastAsia="仿宋" w:cs="仿宋"/>
          <w:color w:val="auto"/>
          <w:highlight w:val="none"/>
        </w:rPr>
      </w:pPr>
      <w:r>
        <w:rPr>
          <w:rFonts w:hint="eastAsia" w:ascii="仿宋" w:hAnsi="仿宋" w:eastAsia="仿宋" w:cs="仿宋"/>
          <w:color w:val="auto"/>
          <w:highlight w:val="none"/>
        </w:rPr>
        <w:t>（若联合体投标的，须联合体中负责施工工作的单位提供）。</w:t>
      </w:r>
    </w:p>
    <w:p w14:paraId="43E4CDCD">
      <w:pPr>
        <w:spacing w:after="0" w:line="360" w:lineRule="auto"/>
        <w:ind w:firstLine="422" w:firstLineChars="200"/>
        <w:rPr>
          <w:rFonts w:hint="eastAsia" w:ascii="仿宋" w:hAnsi="仿宋" w:eastAsia="仿宋" w:cs="仿宋"/>
          <w:b/>
          <w:bCs/>
          <w:color w:val="auto"/>
          <w:kern w:val="2"/>
          <w:sz w:val="21"/>
          <w:szCs w:val="21"/>
          <w:highlight w:val="none"/>
          <w:lang w:val="en-US" w:eastAsia="zh-CN" w:bidi="ar-SA"/>
        </w:rPr>
      </w:pPr>
      <w:r>
        <w:rPr>
          <w:rFonts w:hint="eastAsia" w:ascii="仿宋" w:hAnsi="仿宋" w:eastAsia="仿宋" w:cs="仿宋"/>
          <w:b/>
          <w:bCs/>
          <w:color w:val="auto"/>
          <w:kern w:val="2"/>
          <w:sz w:val="21"/>
          <w:szCs w:val="21"/>
          <w:highlight w:val="none"/>
          <w:lang w:val="en-US" w:eastAsia="zh-CN" w:bidi="ar-SA"/>
        </w:rPr>
        <w:t>3.3人员要求：</w:t>
      </w:r>
    </w:p>
    <w:p w14:paraId="72BE9C06">
      <w:pPr>
        <w:spacing w:after="0" w:line="360" w:lineRule="auto"/>
        <w:ind w:firstLine="422" w:firstLineChars="200"/>
        <w:rPr>
          <w:rFonts w:hint="eastAsia" w:ascii="仿宋" w:hAnsi="仿宋" w:eastAsia="仿宋" w:cs="仿宋"/>
          <w:b/>
          <w:bCs/>
          <w:color w:val="auto"/>
          <w:highlight w:val="none"/>
          <w:lang w:val="en-US" w:eastAsia="zh-CN"/>
        </w:rPr>
      </w:pPr>
      <w:r>
        <w:rPr>
          <w:rFonts w:hint="eastAsia" w:ascii="仿宋" w:hAnsi="仿宋" w:eastAsia="仿宋" w:cs="仿宋"/>
          <w:b/>
          <w:bCs/>
          <w:color w:val="auto"/>
          <w:highlight w:val="none"/>
          <w:lang w:val="en-US" w:eastAsia="zh-CN"/>
        </w:rPr>
        <w:t>（1）设计项目负责人：</w:t>
      </w:r>
      <w:r>
        <w:rPr>
          <w:rFonts w:hint="eastAsia" w:ascii="仿宋" w:hAnsi="仿宋" w:eastAsia="仿宋" w:cs="仿宋"/>
          <w:color w:val="auto"/>
          <w:highlight w:val="none"/>
          <w:lang w:val="en-US" w:eastAsia="zh-CN"/>
        </w:rPr>
        <w:t>投标人拟派至本项目的设计负责人需具备有效的贰级及以上注册建筑师资格或贰级及以上注册结构工程师资格及以上，且均须注册于投标单位</w:t>
      </w:r>
      <w:r>
        <w:rPr>
          <w:rFonts w:hint="eastAsia" w:ascii="仿宋" w:hAnsi="仿宋" w:eastAsia="仿宋" w:cs="仿宋"/>
          <w:b w:val="0"/>
          <w:bCs w:val="0"/>
          <w:color w:val="auto"/>
          <w:highlight w:val="none"/>
          <w:lang w:val="en-US" w:eastAsia="zh-CN"/>
        </w:rPr>
        <w:t>。2023年至今，该负责人需有一项加油站新建（或改扩建）工程设计项目业绩</w:t>
      </w:r>
      <w:r>
        <w:rPr>
          <w:rFonts w:hint="eastAsia" w:ascii="仿宋" w:hAnsi="仿宋" w:eastAsia="仿宋" w:cs="仿宋"/>
          <w:b/>
          <w:bCs/>
          <w:color w:val="auto"/>
          <w:highlight w:val="none"/>
          <w:lang w:val="en-US" w:eastAsia="zh-CN"/>
        </w:rPr>
        <w:t>，</w:t>
      </w:r>
      <w:r>
        <w:rPr>
          <w:rFonts w:hint="eastAsia" w:ascii="仿宋" w:hAnsi="仿宋" w:eastAsia="仿宋" w:cs="仿宋"/>
          <w:color w:val="auto"/>
          <w:highlight w:val="none"/>
          <w:lang w:val="en-US" w:eastAsia="zh-CN"/>
        </w:rPr>
        <w:t>并提供由投标人本单位购买近三个月的社保证明材料。 （注：新成立一年的企业设计负责人业绩不做要求。若为联合体投标，须由联合体中负责设计工作的单位提供）。</w:t>
      </w:r>
    </w:p>
    <w:p w14:paraId="4B7A580F">
      <w:pPr>
        <w:spacing w:after="0" w:line="360" w:lineRule="auto"/>
        <w:ind w:firstLine="422" w:firstLineChars="200"/>
        <w:rPr>
          <w:rFonts w:hint="eastAsia" w:ascii="仿宋" w:hAnsi="仿宋" w:eastAsia="仿宋" w:cs="仿宋"/>
          <w:color w:val="auto"/>
          <w:highlight w:val="none"/>
          <w:lang w:val="en-US" w:eastAsia="zh-CN"/>
        </w:rPr>
      </w:pPr>
      <w:r>
        <w:rPr>
          <w:rFonts w:hint="eastAsia" w:ascii="仿宋" w:hAnsi="仿宋" w:eastAsia="仿宋" w:cs="仿宋"/>
          <w:b/>
          <w:bCs/>
          <w:color w:val="auto"/>
          <w:szCs w:val="21"/>
          <w:highlight w:val="none"/>
          <w:lang w:val="en-US" w:eastAsia="zh-CN"/>
        </w:rPr>
        <w:t>（</w:t>
      </w:r>
      <w:r>
        <w:rPr>
          <w:rFonts w:hint="eastAsia" w:ascii="仿宋" w:hAnsi="仿宋" w:eastAsia="仿宋" w:cs="仿宋"/>
          <w:b/>
          <w:bCs/>
          <w:color w:val="auto"/>
          <w:highlight w:val="none"/>
          <w:lang w:val="en-US" w:eastAsia="zh-CN"/>
        </w:rPr>
        <w:t>2）施工项目负责人（项目经理）：</w:t>
      </w:r>
      <w:r>
        <w:rPr>
          <w:rFonts w:hint="eastAsia" w:ascii="仿宋" w:hAnsi="仿宋" w:eastAsia="仿宋" w:cs="仿宋"/>
          <w:color w:val="auto"/>
          <w:highlight w:val="none"/>
          <w:lang w:val="en-US" w:eastAsia="zh-CN"/>
        </w:rPr>
        <w:t>投标人拟派至本项目的项目负责人（项目经理）须具备建设行政主管部门颁发的二级及以上注册建造师证书（机电工程或建筑工程），且该证书须注册在投标单位；同时须具备有效的安全生产考核合格证书（B证）；自</w:t>
      </w:r>
      <w:r>
        <w:rPr>
          <w:rFonts w:hint="eastAsia" w:ascii="仿宋" w:hAnsi="仿宋" w:eastAsia="仿宋" w:cs="仿宋"/>
          <w:b w:val="0"/>
          <w:bCs w:val="0"/>
          <w:color w:val="auto"/>
          <w:highlight w:val="none"/>
          <w:lang w:val="en-US" w:eastAsia="zh-CN"/>
        </w:rPr>
        <w:t>2023年至今，该负责人需具有一项加油站新建（或改扩建）工程施工项目业绩</w:t>
      </w:r>
      <w:r>
        <w:rPr>
          <w:rFonts w:hint="eastAsia" w:ascii="仿宋" w:hAnsi="仿宋" w:eastAsia="仿宋" w:cs="仿宋"/>
          <w:color w:val="auto"/>
          <w:highlight w:val="none"/>
          <w:lang w:val="en-US" w:eastAsia="zh-CN"/>
        </w:rPr>
        <w:t xml:space="preserve">。拟配备的项目负责人（项目经理）不得担任其他在建项目的项目经理（须提供承诺书），并需提供由投标人本单位购买近三个月的社保证明材料（注：新成立一年的企业施工项目负责人（项目经理）业绩不做要求。若为联合体投标，须由联合体中负责施工工作的单位提供）。 </w:t>
      </w:r>
    </w:p>
    <w:p w14:paraId="2473B8BE">
      <w:pPr>
        <w:spacing w:after="0" w:line="360" w:lineRule="auto"/>
        <w:ind w:firstLine="422" w:firstLineChars="200"/>
        <w:rPr>
          <w:rFonts w:hint="eastAsia" w:ascii="仿宋" w:hAnsi="仿宋" w:eastAsia="仿宋" w:cs="仿宋"/>
          <w:color w:val="auto"/>
          <w:highlight w:val="none"/>
          <w:lang w:val="en-US" w:eastAsia="zh-CN"/>
        </w:rPr>
      </w:pPr>
      <w:r>
        <w:rPr>
          <w:rFonts w:hint="eastAsia" w:ascii="仿宋" w:hAnsi="仿宋" w:eastAsia="仿宋" w:cs="仿宋"/>
          <w:b/>
          <w:bCs/>
          <w:color w:val="auto"/>
          <w:highlight w:val="none"/>
          <w:lang w:val="en-US" w:eastAsia="zh-CN"/>
        </w:rPr>
        <w:t>（3）技术负责人资格要求：</w:t>
      </w:r>
      <w:r>
        <w:rPr>
          <w:rFonts w:hint="eastAsia" w:ascii="仿宋" w:hAnsi="仿宋" w:eastAsia="仿宋" w:cs="仿宋"/>
          <w:color w:val="auto"/>
          <w:highlight w:val="none"/>
          <w:lang w:val="en-US" w:eastAsia="zh-CN"/>
        </w:rPr>
        <w:t>投标人拟派至本项目的技术负责人需具有中级及以上技术职称，同时具备国家注册二级建造师证（建筑工程或机电工程专业），注册证书须注册在投标单位，并提供投标人本单位购买近三个月的社保证明材料（如为联合体投标的，须联合体中负责施工工作的单位提供）。</w:t>
      </w:r>
    </w:p>
    <w:p w14:paraId="5B27AC52">
      <w:pPr>
        <w:spacing w:after="0" w:line="360" w:lineRule="auto"/>
        <w:ind w:firstLine="422" w:firstLineChars="200"/>
        <w:rPr>
          <w:rFonts w:hint="eastAsia" w:ascii="仿宋" w:hAnsi="仿宋" w:eastAsia="仿宋" w:cs="仿宋"/>
          <w:color w:val="auto"/>
          <w:highlight w:val="none"/>
          <w:lang w:val="en-US" w:eastAsia="zh-CN"/>
        </w:rPr>
      </w:pPr>
      <w:r>
        <w:rPr>
          <w:rFonts w:hint="eastAsia" w:ascii="仿宋" w:hAnsi="仿宋" w:eastAsia="仿宋" w:cs="仿宋"/>
          <w:b/>
          <w:bCs/>
          <w:color w:val="auto"/>
          <w:highlight w:val="none"/>
          <w:lang w:val="en-US" w:eastAsia="zh-CN"/>
        </w:rPr>
        <w:t>（4）施工现场专业（管理）人员资格要求：</w:t>
      </w:r>
      <w:r>
        <w:rPr>
          <w:rFonts w:hint="eastAsia" w:ascii="仿宋" w:hAnsi="仿宋" w:eastAsia="仿宋" w:cs="仿宋"/>
          <w:color w:val="auto"/>
          <w:highlight w:val="none"/>
          <w:lang w:val="en-US" w:eastAsia="zh-CN"/>
        </w:rPr>
        <w:t xml:space="preserve">除项目负责人、技术负责人外，至少应配备施工员、安全员、质量员、标准员、材料员、机械员、劳务员、资料员各 1 人，且这些人员必须为投标人本单位人员。专职安全生产管理人员需具备有效的安全生产考核合格证书（C 类），在项目实施过程中必须常驻施工现场，且不得兼任其他项目的管理人员。所有人员需提供身份证、岗位证书（资格证书），并提供由投标人本单位购买近三个月的社保证明材料。 </w:t>
      </w:r>
    </w:p>
    <w:p w14:paraId="5B7BBAF6">
      <w:pPr>
        <w:spacing w:after="0" w:line="360" w:lineRule="auto"/>
        <w:ind w:firstLine="422" w:firstLineChars="200"/>
        <w:rPr>
          <w:rFonts w:hint="eastAsia" w:ascii="仿宋" w:hAnsi="仿宋" w:eastAsia="仿宋" w:cs="仿宋"/>
          <w:color w:val="auto"/>
          <w:highlight w:val="none"/>
          <w:lang w:val="en-US" w:eastAsia="zh-CN"/>
        </w:rPr>
      </w:pPr>
      <w:r>
        <w:rPr>
          <w:rFonts w:hint="eastAsia" w:ascii="仿宋" w:hAnsi="仿宋" w:eastAsia="仿宋" w:cs="仿宋"/>
          <w:b/>
          <w:bCs/>
          <w:color w:val="auto"/>
          <w:highlight w:val="none"/>
          <w:lang w:val="en-US" w:eastAsia="zh-CN"/>
        </w:rPr>
        <w:t>（5）投标单位承诺：</w:t>
      </w:r>
      <w:r>
        <w:rPr>
          <w:rFonts w:hint="eastAsia" w:ascii="仿宋" w:hAnsi="仿宋" w:eastAsia="仿宋" w:cs="仿宋"/>
          <w:color w:val="auto"/>
          <w:highlight w:val="none"/>
          <w:lang w:val="en-US" w:eastAsia="zh-CN"/>
        </w:rPr>
        <w:t>中标后在现场施工过程中所派驻的现场人员，必须严格与投标文件中施工现场专业（管理）人员配备表所拟派人员保持一致（提供承诺）。</w:t>
      </w:r>
    </w:p>
    <w:p w14:paraId="3F1564A8">
      <w:pPr>
        <w:spacing w:after="0" w:line="360" w:lineRule="auto"/>
        <w:ind w:firstLine="422" w:firstLineChars="200"/>
        <w:rPr>
          <w:rFonts w:hint="eastAsia" w:ascii="仿宋" w:hAnsi="仿宋" w:eastAsia="仿宋" w:cs="仿宋"/>
          <w:color w:val="auto"/>
          <w:sz w:val="21"/>
          <w:szCs w:val="20"/>
          <w:highlight w:val="none"/>
        </w:rPr>
      </w:pPr>
      <w:r>
        <w:rPr>
          <w:rFonts w:hint="eastAsia" w:ascii="仿宋" w:hAnsi="仿宋" w:eastAsia="仿宋" w:cs="仿宋"/>
          <w:b/>
          <w:bCs/>
          <w:color w:val="auto"/>
          <w:highlight w:val="none"/>
          <w:lang w:val="en-US" w:eastAsia="zh-CN"/>
        </w:rPr>
        <w:t>3.4财务要求</w:t>
      </w:r>
      <w:r>
        <w:rPr>
          <w:rFonts w:hint="eastAsia" w:ascii="仿宋" w:hAnsi="仿宋" w:eastAsia="仿宋" w:cs="仿宋"/>
          <w:color w:val="auto"/>
          <w:highlight w:val="none"/>
          <w:lang w:val="en-US" w:eastAsia="zh-CN"/>
        </w:rPr>
        <w:t>：</w:t>
      </w:r>
      <w:r>
        <w:rPr>
          <w:rFonts w:hint="eastAsia" w:ascii="仿宋" w:hAnsi="仿宋" w:eastAsia="仿宋" w:cs="仿宋"/>
          <w:color w:val="auto"/>
          <w:sz w:val="21"/>
          <w:szCs w:val="20"/>
          <w:highlight w:val="none"/>
        </w:rPr>
        <w:t>提供 2022 年至 2024 年</w:t>
      </w:r>
      <w:r>
        <w:rPr>
          <w:rFonts w:hint="eastAsia" w:ascii="仿宋" w:hAnsi="仿宋" w:eastAsia="仿宋" w:cs="仿宋"/>
          <w:color w:val="auto"/>
          <w:sz w:val="21"/>
          <w:szCs w:val="20"/>
          <w:highlight w:val="none"/>
          <w:lang w:val="en-US" w:eastAsia="zh-CN"/>
        </w:rPr>
        <w:t>的</w:t>
      </w:r>
      <w:r>
        <w:rPr>
          <w:rFonts w:hint="eastAsia" w:ascii="仿宋" w:hAnsi="仿宋" w:eastAsia="仿宋" w:cs="仿宋"/>
          <w:color w:val="auto"/>
          <w:sz w:val="21"/>
          <w:szCs w:val="20"/>
          <w:highlight w:val="none"/>
        </w:rPr>
        <w:t>审计报告及财务报表</w:t>
      </w:r>
      <w:r>
        <w:rPr>
          <w:rFonts w:hint="eastAsia" w:ascii="仿宋" w:hAnsi="仿宋" w:eastAsia="仿宋" w:cs="仿宋"/>
          <w:color w:val="auto"/>
          <w:sz w:val="21"/>
          <w:szCs w:val="20"/>
          <w:highlight w:val="none"/>
          <w:lang w:eastAsia="zh-CN"/>
        </w:rPr>
        <w:t>（包括资产负债表、利润表、现金流量表）</w:t>
      </w:r>
      <w:r>
        <w:rPr>
          <w:rFonts w:hint="eastAsia" w:ascii="仿宋" w:hAnsi="仿宋" w:eastAsia="仿宋" w:cs="仿宋"/>
          <w:color w:val="auto"/>
          <w:sz w:val="21"/>
          <w:szCs w:val="20"/>
          <w:highlight w:val="none"/>
        </w:rPr>
        <w:t>，成立不满 3 年的，提供自成立至今</w:t>
      </w:r>
      <w:r>
        <w:rPr>
          <w:rFonts w:hint="eastAsia" w:ascii="仿宋" w:hAnsi="仿宋" w:eastAsia="仿宋" w:cs="仿宋"/>
          <w:color w:val="auto"/>
          <w:sz w:val="21"/>
          <w:szCs w:val="20"/>
          <w:highlight w:val="none"/>
          <w:lang w:eastAsia="zh-CN"/>
        </w:rPr>
        <w:t>的审计报告</w:t>
      </w:r>
      <w:r>
        <w:rPr>
          <w:rFonts w:hint="eastAsia" w:ascii="仿宋" w:hAnsi="仿宋" w:eastAsia="仿宋" w:cs="仿宋"/>
          <w:color w:val="auto"/>
          <w:sz w:val="21"/>
          <w:szCs w:val="20"/>
          <w:highlight w:val="none"/>
        </w:rPr>
        <w:t>及财务报表</w:t>
      </w:r>
      <w:r>
        <w:rPr>
          <w:rFonts w:hint="eastAsia" w:ascii="仿宋" w:hAnsi="仿宋" w:eastAsia="仿宋" w:cs="仿宋"/>
          <w:color w:val="auto"/>
          <w:sz w:val="21"/>
          <w:szCs w:val="20"/>
          <w:highlight w:val="none"/>
          <w:lang w:eastAsia="zh-CN"/>
        </w:rPr>
        <w:t>（</w:t>
      </w:r>
      <w:r>
        <w:rPr>
          <w:rFonts w:hint="eastAsia" w:ascii="仿宋" w:hAnsi="仿宋" w:eastAsia="仿宋" w:cs="仿宋"/>
          <w:color w:val="auto"/>
          <w:sz w:val="21"/>
          <w:szCs w:val="20"/>
          <w:highlight w:val="none"/>
        </w:rPr>
        <w:t>包括资产负债表、利润表、现金流量表）。成立不满 1 年的</w:t>
      </w:r>
      <w:r>
        <w:rPr>
          <w:rFonts w:hint="eastAsia" w:ascii="仿宋" w:hAnsi="仿宋" w:eastAsia="仿宋" w:cs="仿宋"/>
          <w:color w:val="auto"/>
          <w:sz w:val="21"/>
          <w:szCs w:val="20"/>
          <w:highlight w:val="none"/>
          <w:lang w:eastAsia="zh-CN"/>
        </w:rPr>
        <w:t>，提供</w:t>
      </w:r>
      <w:r>
        <w:rPr>
          <w:rFonts w:hint="eastAsia" w:ascii="仿宋" w:hAnsi="仿宋" w:eastAsia="仿宋" w:cs="仿宋"/>
          <w:color w:val="auto"/>
          <w:sz w:val="21"/>
          <w:szCs w:val="20"/>
          <w:highlight w:val="none"/>
        </w:rPr>
        <w:t>成立至今的财务报表</w:t>
      </w:r>
      <w:r>
        <w:rPr>
          <w:rFonts w:hint="eastAsia" w:ascii="仿宋" w:hAnsi="仿宋" w:eastAsia="仿宋" w:cs="仿宋"/>
          <w:color w:val="auto"/>
          <w:sz w:val="21"/>
          <w:szCs w:val="20"/>
          <w:highlight w:val="none"/>
          <w:lang w:eastAsia="zh-CN"/>
        </w:rPr>
        <w:t>（</w:t>
      </w:r>
      <w:r>
        <w:rPr>
          <w:rFonts w:hint="eastAsia" w:ascii="仿宋" w:hAnsi="仿宋" w:eastAsia="仿宋" w:cs="仿宋"/>
          <w:color w:val="auto"/>
          <w:sz w:val="21"/>
          <w:szCs w:val="20"/>
          <w:highlight w:val="none"/>
        </w:rPr>
        <w:t>包括资产负债表、利润表、现金流量表）</w:t>
      </w:r>
      <w:r>
        <w:rPr>
          <w:rFonts w:hint="eastAsia" w:ascii="仿宋" w:hAnsi="仿宋" w:eastAsia="仿宋" w:cs="仿宋"/>
          <w:color w:val="auto"/>
          <w:sz w:val="21"/>
          <w:szCs w:val="20"/>
          <w:highlight w:val="none"/>
          <w:lang w:eastAsia="zh-CN"/>
        </w:rPr>
        <w:t>或情况说明</w:t>
      </w:r>
      <w:r>
        <w:rPr>
          <w:rFonts w:hint="eastAsia" w:ascii="仿宋" w:hAnsi="仿宋" w:eastAsia="仿宋" w:cs="仿宋"/>
          <w:color w:val="auto"/>
          <w:sz w:val="21"/>
          <w:szCs w:val="20"/>
          <w:highlight w:val="none"/>
        </w:rPr>
        <w:t>（注：以联合体形式参加投标的，各方均需提供）；</w:t>
      </w:r>
    </w:p>
    <w:p w14:paraId="1669C5B9">
      <w:pPr>
        <w:pStyle w:val="15"/>
        <w:keepNext w:val="0"/>
        <w:keepLines w:val="0"/>
        <w:pageBreakBefore w:val="0"/>
        <w:kinsoku/>
        <w:wordWrap/>
        <w:overflowPunct/>
        <w:topLinePunct w:val="0"/>
        <w:bidi w:val="0"/>
        <w:adjustRightInd/>
        <w:spacing w:after="0" w:line="360" w:lineRule="auto"/>
        <w:ind w:firstLine="422" w:firstLineChars="200"/>
        <w:textAlignment w:val="auto"/>
        <w:rPr>
          <w:rFonts w:hint="eastAsia" w:ascii="仿宋" w:hAnsi="仿宋" w:eastAsia="仿宋" w:cs="仿宋"/>
          <w:b/>
          <w:bCs/>
          <w:color w:val="auto"/>
          <w:kern w:val="2"/>
          <w:sz w:val="21"/>
          <w:szCs w:val="21"/>
          <w:highlight w:val="none"/>
          <w:lang w:val="en-US" w:eastAsia="zh-CN" w:bidi="ar-SA"/>
        </w:rPr>
      </w:pPr>
      <w:r>
        <w:rPr>
          <w:rFonts w:hint="eastAsia" w:ascii="仿宋" w:hAnsi="仿宋" w:eastAsia="仿宋" w:cs="仿宋"/>
          <w:b/>
          <w:bCs/>
          <w:color w:val="auto"/>
          <w:kern w:val="2"/>
          <w:sz w:val="21"/>
          <w:szCs w:val="21"/>
          <w:highlight w:val="none"/>
          <w:lang w:val="en-US" w:eastAsia="zh-CN" w:bidi="ar-SA"/>
        </w:rPr>
        <w:t>3.5信誉要求：</w:t>
      </w:r>
    </w:p>
    <w:p w14:paraId="5650F125">
      <w:pPr>
        <w:pStyle w:val="15"/>
        <w:keepNext w:val="0"/>
        <w:keepLines w:val="0"/>
        <w:pageBreakBefore w:val="0"/>
        <w:kinsoku/>
        <w:wordWrap/>
        <w:overflowPunct/>
        <w:topLinePunct w:val="0"/>
        <w:bidi w:val="0"/>
        <w:adjustRightInd/>
        <w:spacing w:after="0" w:line="360" w:lineRule="auto"/>
        <w:ind w:firstLine="420" w:firstLineChars="200"/>
        <w:textAlignment w:val="auto"/>
        <w:rPr>
          <w:rFonts w:hint="eastAsia" w:ascii="仿宋" w:hAnsi="仿宋" w:eastAsia="仿宋" w:cs="仿宋"/>
          <w:color w:val="auto"/>
          <w:kern w:val="2"/>
          <w:sz w:val="21"/>
          <w:highlight w:val="none"/>
          <w:lang w:val="en-US" w:eastAsia="zh-CN" w:bidi="ar-SA"/>
        </w:rPr>
      </w:pPr>
      <w:r>
        <w:rPr>
          <w:rFonts w:hint="eastAsia" w:ascii="仿宋" w:hAnsi="仿宋" w:eastAsia="仿宋" w:cs="仿宋"/>
          <w:color w:val="auto"/>
          <w:kern w:val="2"/>
          <w:sz w:val="21"/>
          <w:highlight w:val="none"/>
          <w:lang w:val="en-US" w:eastAsia="zh-CN" w:bidi="ar-SA"/>
        </w:rPr>
        <w:t>（1）当前未被建设行政主管部门取消投标资格（提供承诺书）（注：以联合体形式投标的，联合体各方均需提供）；</w:t>
      </w:r>
    </w:p>
    <w:p w14:paraId="37FB6204">
      <w:pPr>
        <w:pStyle w:val="15"/>
        <w:keepNext w:val="0"/>
        <w:keepLines w:val="0"/>
        <w:pageBreakBefore w:val="0"/>
        <w:kinsoku/>
        <w:wordWrap/>
        <w:overflowPunct/>
        <w:topLinePunct w:val="0"/>
        <w:bidi w:val="0"/>
        <w:adjustRightInd/>
        <w:spacing w:after="0" w:line="360" w:lineRule="auto"/>
        <w:ind w:firstLine="420" w:firstLineChars="200"/>
        <w:textAlignment w:val="auto"/>
        <w:rPr>
          <w:rFonts w:hint="eastAsia" w:ascii="仿宋" w:hAnsi="仿宋" w:eastAsia="仿宋" w:cs="仿宋"/>
          <w:color w:val="auto"/>
          <w:kern w:val="2"/>
          <w:sz w:val="21"/>
          <w:highlight w:val="none"/>
          <w:lang w:val="en-US" w:eastAsia="zh-CN" w:bidi="ar-SA"/>
        </w:rPr>
      </w:pPr>
      <w:r>
        <w:rPr>
          <w:rFonts w:hint="eastAsia" w:ascii="仿宋" w:hAnsi="仿宋" w:eastAsia="仿宋" w:cs="仿宋"/>
          <w:color w:val="auto"/>
          <w:kern w:val="2"/>
          <w:sz w:val="21"/>
          <w:highlight w:val="none"/>
          <w:lang w:val="en-US" w:eastAsia="zh-CN" w:bidi="ar-SA"/>
        </w:rPr>
        <w:t>（2）投标截止之日前投标人、法定代表人或者负责人未被“中国执行信息公开网（http://zxgk.court.gov.cn/shixin/）”列入失信被执行人；（提供网页查询截图（查询时间为公告发布之日起至投标截止日期）并提供承诺书）（注：以联合体形式投标的，联合体各方均需提供）；</w:t>
      </w:r>
    </w:p>
    <w:p w14:paraId="4E7951A0">
      <w:pPr>
        <w:pStyle w:val="15"/>
        <w:keepNext w:val="0"/>
        <w:keepLines w:val="0"/>
        <w:pageBreakBefore w:val="0"/>
        <w:kinsoku/>
        <w:wordWrap/>
        <w:overflowPunct/>
        <w:topLinePunct w:val="0"/>
        <w:bidi w:val="0"/>
        <w:adjustRightInd/>
        <w:spacing w:after="0" w:line="360" w:lineRule="auto"/>
        <w:ind w:firstLine="420" w:firstLineChars="200"/>
        <w:textAlignment w:val="auto"/>
        <w:rPr>
          <w:rFonts w:hint="eastAsia" w:ascii="仿宋" w:hAnsi="仿宋" w:eastAsia="仿宋" w:cs="仿宋"/>
          <w:color w:val="auto"/>
          <w:kern w:val="2"/>
          <w:sz w:val="21"/>
          <w:highlight w:val="none"/>
          <w:lang w:val="en-US" w:eastAsia="zh-CN" w:bidi="ar-SA"/>
        </w:rPr>
      </w:pPr>
      <w:r>
        <w:rPr>
          <w:rFonts w:hint="eastAsia" w:ascii="仿宋" w:hAnsi="仿宋" w:eastAsia="仿宋" w:cs="仿宋"/>
          <w:color w:val="auto"/>
          <w:kern w:val="2"/>
          <w:sz w:val="21"/>
          <w:highlight w:val="none"/>
          <w:lang w:val="en-US" w:eastAsia="zh-CN" w:bidi="ar-SA"/>
        </w:rPr>
        <w:t>注：投标人为联合体的，联合体各方中的任何一方存在以上不良信用记录且被限制投标的，均不得参与本项目投标活动，否则否决其投标资格；但期限届满或被移出的除外，具体以招标人或招标代理机构查询结果为准。</w:t>
      </w:r>
    </w:p>
    <w:p w14:paraId="573EA550">
      <w:pPr>
        <w:pStyle w:val="15"/>
        <w:keepNext w:val="0"/>
        <w:keepLines w:val="0"/>
        <w:pageBreakBefore w:val="0"/>
        <w:kinsoku/>
        <w:wordWrap/>
        <w:overflowPunct/>
        <w:topLinePunct w:val="0"/>
        <w:bidi w:val="0"/>
        <w:adjustRightInd/>
        <w:spacing w:after="0" w:line="360" w:lineRule="auto"/>
        <w:ind w:firstLine="420" w:firstLineChars="200"/>
        <w:textAlignment w:val="auto"/>
        <w:rPr>
          <w:rFonts w:hint="eastAsia" w:ascii="仿宋" w:hAnsi="仿宋" w:eastAsia="仿宋" w:cs="仿宋"/>
          <w:color w:val="auto"/>
          <w:kern w:val="2"/>
          <w:sz w:val="21"/>
          <w:highlight w:val="none"/>
          <w:lang w:val="en-US" w:eastAsia="zh-CN" w:bidi="ar-SA"/>
        </w:rPr>
      </w:pPr>
      <w:r>
        <w:rPr>
          <w:rFonts w:hint="eastAsia" w:ascii="仿宋" w:hAnsi="仿宋" w:eastAsia="仿宋" w:cs="仿宋"/>
          <w:color w:val="auto"/>
          <w:kern w:val="2"/>
          <w:sz w:val="21"/>
          <w:highlight w:val="none"/>
          <w:lang w:val="en-US" w:eastAsia="zh-CN" w:bidi="ar-SA"/>
        </w:rPr>
        <w:t>（3）根据《云南省住房和城乡建设厅关于印发云南省房屋市政工程安全生产监督管理十九条整治措施的通知》（云建质〔2023〕1号），对在云南省内发生生产安全责任事故的生产经营单位，且不具备安全生产条件的，在云南省行政区域范围内不得参与新的招投标活动；生产经营单位安全生产条件合格后，应当逐级向属地行业行政主管部门申请复核，经省级行业行政主管部门核准通过后，方可在云南省行政区域范围内参与新的招投标活动。（提供承诺书）（注：以联合体形式投标的，联合体各方均需提供）；</w:t>
      </w:r>
    </w:p>
    <w:bookmarkEnd w:id="21"/>
    <w:p w14:paraId="4284E213">
      <w:pPr>
        <w:keepNext w:val="0"/>
        <w:keepLines w:val="0"/>
        <w:pageBreakBefore w:val="0"/>
        <w:widowControl w:val="0"/>
        <w:tabs>
          <w:tab w:val="left" w:pos="6090"/>
        </w:tabs>
        <w:kinsoku/>
        <w:wordWrap/>
        <w:overflowPunct/>
        <w:topLinePunct w:val="0"/>
        <w:autoSpaceDE/>
        <w:autoSpaceDN/>
        <w:bidi w:val="0"/>
        <w:adjustRightInd/>
        <w:snapToGrid/>
        <w:spacing w:after="0" w:line="360" w:lineRule="auto"/>
        <w:ind w:firstLine="482" w:firstLineChars="200"/>
        <w:jc w:val="left"/>
        <w:textAlignment w:val="auto"/>
        <w:outlineLvl w:val="1"/>
        <w:rPr>
          <w:rFonts w:hint="eastAsia" w:ascii="仿宋" w:hAnsi="仿宋" w:eastAsia="仿宋" w:cs="仿宋"/>
          <w:b/>
          <w:color w:val="auto"/>
          <w:sz w:val="24"/>
          <w:szCs w:val="24"/>
          <w:highlight w:val="none"/>
          <w:lang w:val="en-US" w:eastAsia="zh-CN"/>
        </w:rPr>
      </w:pPr>
      <w:bookmarkStart w:id="22" w:name="_Toc22181"/>
      <w:bookmarkStart w:id="23" w:name="_Toc7952"/>
      <w:r>
        <w:rPr>
          <w:rFonts w:hint="eastAsia" w:ascii="仿宋" w:hAnsi="仿宋" w:eastAsia="仿宋" w:cs="仿宋"/>
          <w:b/>
          <w:color w:val="auto"/>
          <w:sz w:val="24"/>
          <w:szCs w:val="24"/>
          <w:highlight w:val="none"/>
          <w:lang w:val="en-US" w:eastAsia="zh-CN"/>
        </w:rPr>
        <w:t>4.招标文件的获取</w:t>
      </w:r>
      <w:bookmarkEnd w:id="22"/>
      <w:bookmarkEnd w:id="23"/>
    </w:p>
    <w:p w14:paraId="100CB517">
      <w:pPr>
        <w:keepNext w:val="0"/>
        <w:keepLines w:val="0"/>
        <w:pageBreakBefore w:val="0"/>
        <w:kinsoku/>
        <w:wordWrap/>
        <w:overflowPunct/>
        <w:topLinePunct w:val="0"/>
        <w:bidi w:val="0"/>
        <w:adjustRightInd/>
        <w:spacing w:after="0" w:line="360" w:lineRule="auto"/>
        <w:ind w:firstLine="422" w:firstLineChars="200"/>
        <w:jc w:val="both"/>
        <w:textAlignment w:val="auto"/>
        <w:rPr>
          <w:rFonts w:hint="eastAsia" w:ascii="仿宋" w:hAnsi="仿宋" w:eastAsia="仿宋" w:cs="仿宋"/>
          <w:color w:val="auto"/>
          <w:szCs w:val="28"/>
          <w:highlight w:val="none"/>
        </w:rPr>
      </w:pPr>
      <w:bookmarkStart w:id="24" w:name="OLE_LINK59"/>
      <w:r>
        <w:rPr>
          <w:rFonts w:hint="eastAsia" w:ascii="仿宋" w:hAnsi="仿宋" w:eastAsia="仿宋" w:cs="仿宋"/>
          <w:b/>
          <w:bCs/>
          <w:color w:val="auto"/>
          <w:kern w:val="2"/>
          <w:sz w:val="21"/>
          <w:szCs w:val="21"/>
          <w:highlight w:val="none"/>
          <w:lang w:val="en-US" w:eastAsia="zh-CN" w:bidi="ar-SA"/>
        </w:rPr>
        <w:t>4.1凡有意参加投标者：</w:t>
      </w:r>
      <w:r>
        <w:rPr>
          <w:rFonts w:hint="eastAsia" w:ascii="仿宋" w:hAnsi="仿宋" w:eastAsia="仿宋" w:cs="仿宋"/>
          <w:color w:val="auto"/>
          <w:szCs w:val="28"/>
          <w:highlight w:val="none"/>
        </w:rPr>
        <w:t>投标人须在</w:t>
      </w:r>
      <w:r>
        <w:rPr>
          <w:rFonts w:hint="eastAsia" w:ascii="仿宋" w:hAnsi="仿宋" w:eastAsia="仿宋" w:cs="仿宋"/>
          <w:color w:val="auto"/>
          <w:szCs w:val="28"/>
          <w:highlight w:val="none"/>
          <w:lang w:eastAsia="zh-CN"/>
        </w:rPr>
        <w:t>云南省公共资源交易信息网</w:t>
      </w:r>
      <w:r>
        <w:rPr>
          <w:rFonts w:hint="eastAsia" w:ascii="仿宋" w:hAnsi="仿宋" w:eastAsia="仿宋" w:cs="仿宋"/>
          <w:color w:val="auto"/>
          <w:szCs w:val="28"/>
          <w:highlight w:val="none"/>
        </w:rPr>
        <w:t>-昆明市（网址：</w:t>
      </w:r>
      <w:r>
        <w:fldChar w:fldCharType="begin"/>
      </w:r>
      <w:r>
        <w:instrText xml:space="preserve"> HYPERLINK "http://116.55.195.54:8001/#/homePage）进行注册以及企业数字证书（CA）的办理。注册及企业数字证书（CA）办理完成之后于2022年" </w:instrText>
      </w:r>
      <w:r>
        <w:fldChar w:fldCharType="separate"/>
      </w:r>
      <w:r>
        <w:rPr>
          <w:rFonts w:hint="eastAsia" w:ascii="仿宋" w:hAnsi="仿宋" w:eastAsia="仿宋" w:cs="仿宋"/>
          <w:color w:val="auto"/>
          <w:highlight w:val="none"/>
          <w:lang w:eastAsia="zh-CN"/>
        </w:rPr>
        <w:t>https://ggzy.yn.gov.cn</w:t>
      </w:r>
      <w:r>
        <w:rPr>
          <w:rFonts w:hint="eastAsia" w:ascii="仿宋" w:hAnsi="仿宋" w:eastAsia="仿宋" w:cs="仿宋"/>
          <w:color w:val="auto"/>
          <w:szCs w:val="28"/>
          <w:highlight w:val="none"/>
        </w:rPr>
        <w:t>）进行注册以及企业数字证书（CA）的办理。注册及企业数字证书（CA）办理完成之后</w:t>
      </w:r>
      <w:r>
        <w:rPr>
          <w:rFonts w:hint="eastAsia" w:ascii="仿宋" w:hAnsi="仿宋" w:eastAsia="仿宋" w:cs="仿宋"/>
          <w:color w:val="auto"/>
          <w:szCs w:val="28"/>
          <w:highlight w:val="none"/>
          <w:lang w:eastAsia="zh-CN"/>
        </w:rPr>
        <w:t>，</w:t>
      </w:r>
      <w:r>
        <w:rPr>
          <w:rFonts w:hint="eastAsia" w:ascii="仿宋" w:hAnsi="仿宋" w:eastAsia="仿宋" w:cs="仿宋"/>
          <w:color w:val="auto"/>
          <w:szCs w:val="28"/>
          <w:highlight w:val="none"/>
          <w:lang w:eastAsia="zh-CN"/>
        </w:rPr>
        <w:fldChar w:fldCharType="end"/>
      </w:r>
      <w:r>
        <w:rPr>
          <w:rFonts w:hint="eastAsia" w:ascii="仿宋" w:hAnsi="仿宋" w:eastAsia="仿宋" w:cs="仿宋"/>
          <w:color w:val="auto"/>
          <w:szCs w:val="28"/>
          <w:highlight w:val="none"/>
        </w:rPr>
        <w:t>请于网上公告时间</w:t>
      </w:r>
      <w:r>
        <w:rPr>
          <w:rFonts w:hint="eastAsia" w:ascii="仿宋" w:hAnsi="仿宋" w:eastAsia="仿宋" w:cs="仿宋"/>
          <w:color w:val="auto"/>
          <w:szCs w:val="28"/>
          <w:highlight w:val="none"/>
          <w:lang w:val="en-US" w:eastAsia="zh-CN"/>
        </w:rPr>
        <w:t>为准</w:t>
      </w:r>
      <w:r>
        <w:rPr>
          <w:rFonts w:hint="eastAsia" w:ascii="仿宋" w:hAnsi="仿宋" w:eastAsia="仿宋" w:cs="仿宋"/>
          <w:color w:val="auto"/>
          <w:szCs w:val="28"/>
          <w:highlight w:val="none"/>
        </w:rPr>
        <w:t>获取招标文件（北京时间）。</w:t>
      </w:r>
    </w:p>
    <w:p w14:paraId="65ECFCE0">
      <w:pPr>
        <w:keepNext w:val="0"/>
        <w:keepLines w:val="0"/>
        <w:pageBreakBefore w:val="0"/>
        <w:kinsoku/>
        <w:wordWrap/>
        <w:overflowPunct/>
        <w:topLinePunct w:val="0"/>
        <w:bidi w:val="0"/>
        <w:adjustRightInd/>
        <w:spacing w:after="0" w:line="360" w:lineRule="auto"/>
        <w:ind w:firstLine="422" w:firstLineChars="200"/>
        <w:jc w:val="both"/>
        <w:textAlignment w:val="auto"/>
        <w:rPr>
          <w:rFonts w:hint="eastAsia" w:ascii="仿宋" w:hAnsi="仿宋" w:eastAsia="仿宋" w:cs="仿宋"/>
          <w:color w:val="auto"/>
          <w:szCs w:val="28"/>
          <w:highlight w:val="none"/>
        </w:rPr>
      </w:pPr>
      <w:r>
        <w:rPr>
          <w:rFonts w:hint="eastAsia" w:ascii="仿宋" w:hAnsi="仿宋" w:eastAsia="仿宋" w:cs="仿宋"/>
          <w:b/>
          <w:bCs/>
          <w:color w:val="auto"/>
          <w:kern w:val="2"/>
          <w:sz w:val="21"/>
          <w:szCs w:val="21"/>
          <w:highlight w:val="none"/>
          <w:lang w:val="en-US" w:eastAsia="zh-CN" w:bidi="ar-SA"/>
        </w:rPr>
        <w:t>4.2获取地址：</w:t>
      </w:r>
      <w:r>
        <w:rPr>
          <w:rFonts w:hint="eastAsia" w:ascii="仿宋" w:hAnsi="仿宋" w:eastAsia="仿宋" w:cs="仿宋"/>
          <w:color w:val="auto"/>
          <w:szCs w:val="28"/>
          <w:highlight w:val="none"/>
        </w:rPr>
        <w:t>进入</w:t>
      </w:r>
      <w:r>
        <w:rPr>
          <w:rFonts w:hint="eastAsia" w:ascii="仿宋" w:hAnsi="仿宋" w:eastAsia="仿宋" w:cs="仿宋"/>
          <w:color w:val="auto"/>
          <w:szCs w:val="28"/>
          <w:highlight w:val="none"/>
          <w:lang w:eastAsia="zh-CN"/>
        </w:rPr>
        <w:t>云南省公共资源交易信息网</w:t>
      </w:r>
      <w:r>
        <w:rPr>
          <w:rFonts w:hint="eastAsia" w:ascii="仿宋" w:hAnsi="仿宋" w:eastAsia="仿宋" w:cs="仿宋"/>
          <w:color w:val="auto"/>
          <w:szCs w:val="28"/>
          <w:highlight w:val="none"/>
        </w:rPr>
        <w:t>-昆明市（网址：</w:t>
      </w:r>
      <w:r>
        <w:rPr>
          <w:rFonts w:hint="eastAsia" w:ascii="仿宋" w:hAnsi="仿宋" w:eastAsia="仿宋" w:cs="仿宋"/>
          <w:color w:val="auto"/>
          <w:szCs w:val="28"/>
          <w:highlight w:val="none"/>
          <w:lang w:eastAsia="zh-CN"/>
        </w:rPr>
        <w:t>https://ggzy.yn.gov.cn</w:t>
      </w:r>
      <w:r>
        <w:rPr>
          <w:rFonts w:hint="eastAsia" w:ascii="仿宋" w:hAnsi="仿宋" w:eastAsia="仿宋" w:cs="仿宋"/>
          <w:color w:val="auto"/>
          <w:szCs w:val="28"/>
          <w:highlight w:val="none"/>
        </w:rPr>
        <w:t>）凭企业数字证书（CA）登录下载招标文件。(招标文件格式为*.</w:t>
      </w:r>
      <w:r>
        <w:rPr>
          <w:rFonts w:hint="eastAsia" w:ascii="仿宋" w:hAnsi="仿宋" w:eastAsia="仿宋" w:cs="仿宋"/>
          <w:color w:val="auto"/>
          <w:szCs w:val="28"/>
          <w:highlight w:val="none"/>
          <w:lang w:val="en-US" w:eastAsia="zh-CN"/>
        </w:rPr>
        <w:t>B</w:t>
      </w:r>
      <w:r>
        <w:rPr>
          <w:rFonts w:hint="eastAsia" w:ascii="仿宋" w:hAnsi="仿宋" w:eastAsia="仿宋" w:cs="仿宋"/>
          <w:color w:val="auto"/>
          <w:szCs w:val="28"/>
          <w:highlight w:val="none"/>
        </w:rPr>
        <w:t>ZBJ)。（如有疑问可咨询24小时技术支持热线：010-86483801）</w:t>
      </w:r>
    </w:p>
    <w:p w14:paraId="077C3BBA">
      <w:pPr>
        <w:keepNext w:val="0"/>
        <w:keepLines w:val="0"/>
        <w:pageBreakBefore w:val="0"/>
        <w:kinsoku/>
        <w:wordWrap/>
        <w:overflowPunct/>
        <w:topLinePunct w:val="0"/>
        <w:bidi w:val="0"/>
        <w:adjustRightInd/>
        <w:spacing w:after="0" w:line="360" w:lineRule="auto"/>
        <w:ind w:firstLine="420" w:firstLineChars="200"/>
        <w:jc w:val="both"/>
        <w:textAlignment w:val="auto"/>
        <w:rPr>
          <w:rFonts w:hint="eastAsia" w:ascii="仿宋" w:hAnsi="仿宋" w:eastAsia="仿宋" w:cs="仿宋"/>
          <w:color w:val="auto"/>
          <w:szCs w:val="28"/>
          <w:highlight w:val="none"/>
          <w:lang w:eastAsia="zh-CN"/>
        </w:rPr>
      </w:pPr>
      <w:r>
        <w:rPr>
          <w:rFonts w:hint="eastAsia" w:ascii="仿宋" w:hAnsi="仿宋" w:eastAsia="仿宋" w:cs="仿宋"/>
          <w:color w:val="auto"/>
          <w:szCs w:val="28"/>
          <w:highlight w:val="none"/>
        </w:rPr>
        <w:t>注：如果投标人之前已经在</w:t>
      </w:r>
      <w:r>
        <w:rPr>
          <w:rFonts w:hint="eastAsia" w:ascii="仿宋" w:hAnsi="仿宋" w:eastAsia="仿宋" w:cs="仿宋"/>
          <w:color w:val="auto"/>
          <w:szCs w:val="28"/>
          <w:highlight w:val="none"/>
          <w:lang w:eastAsia="zh-CN"/>
        </w:rPr>
        <w:t>云南省公共资源交易信息网</w:t>
      </w:r>
      <w:r>
        <w:rPr>
          <w:rFonts w:hint="eastAsia" w:ascii="仿宋" w:hAnsi="仿宋" w:eastAsia="仿宋" w:cs="仿宋"/>
          <w:color w:val="auto"/>
          <w:szCs w:val="28"/>
          <w:highlight w:val="none"/>
        </w:rPr>
        <w:t>进行过注册并办理过企业数字证书（CA），此次无需重复办理，可直接登录</w:t>
      </w:r>
      <w:r>
        <w:rPr>
          <w:rFonts w:hint="eastAsia" w:ascii="仿宋" w:hAnsi="仿宋" w:eastAsia="仿宋" w:cs="仿宋"/>
          <w:color w:val="auto"/>
          <w:szCs w:val="28"/>
          <w:highlight w:val="none"/>
          <w:lang w:eastAsia="zh-CN"/>
        </w:rPr>
        <w:t>云南省公共资源交易信息网</w:t>
      </w:r>
      <w:r>
        <w:rPr>
          <w:rFonts w:hint="eastAsia" w:ascii="仿宋" w:hAnsi="仿宋" w:eastAsia="仿宋" w:cs="仿宋"/>
          <w:color w:val="auto"/>
          <w:szCs w:val="28"/>
          <w:highlight w:val="none"/>
        </w:rPr>
        <w:t>-昆明市（网址：</w:t>
      </w:r>
      <w:r>
        <w:fldChar w:fldCharType="begin"/>
      </w:r>
      <w:r>
        <w:instrText xml:space="preserve"> HYPERLINK "http://116.55.195.54:8001/#/homePage）获取招标文件。" </w:instrText>
      </w:r>
      <w:r>
        <w:fldChar w:fldCharType="separate"/>
      </w:r>
      <w:r>
        <w:rPr>
          <w:rFonts w:hint="eastAsia" w:ascii="仿宋" w:hAnsi="仿宋" w:eastAsia="仿宋" w:cs="仿宋"/>
          <w:color w:val="auto"/>
          <w:szCs w:val="28"/>
          <w:highlight w:val="none"/>
          <w:lang w:eastAsia="zh-CN"/>
        </w:rPr>
        <w:t>https://ggzy.yn.gov.cn</w:t>
      </w:r>
      <w:r>
        <w:rPr>
          <w:rFonts w:hint="eastAsia" w:ascii="仿宋" w:hAnsi="仿宋" w:eastAsia="仿宋" w:cs="仿宋"/>
          <w:color w:val="auto"/>
          <w:szCs w:val="28"/>
          <w:highlight w:val="none"/>
        </w:rPr>
        <w:t>）获取招标文件</w:t>
      </w:r>
      <w:r>
        <w:rPr>
          <w:rFonts w:hint="eastAsia" w:ascii="仿宋" w:hAnsi="仿宋" w:eastAsia="仿宋" w:cs="仿宋"/>
          <w:color w:val="auto"/>
          <w:szCs w:val="28"/>
          <w:highlight w:val="none"/>
          <w:lang w:eastAsia="zh-CN"/>
        </w:rPr>
        <w:t>。</w:t>
      </w:r>
      <w:r>
        <w:rPr>
          <w:rFonts w:hint="eastAsia" w:ascii="仿宋" w:hAnsi="仿宋" w:eastAsia="仿宋" w:cs="仿宋"/>
          <w:color w:val="auto"/>
          <w:szCs w:val="28"/>
          <w:highlight w:val="none"/>
          <w:lang w:eastAsia="zh-CN"/>
        </w:rPr>
        <w:fldChar w:fldCharType="end"/>
      </w:r>
    </w:p>
    <w:p w14:paraId="75A81FDF">
      <w:pPr>
        <w:keepNext w:val="0"/>
        <w:keepLines w:val="0"/>
        <w:pageBreakBefore w:val="0"/>
        <w:kinsoku/>
        <w:wordWrap/>
        <w:overflowPunct/>
        <w:topLinePunct w:val="0"/>
        <w:bidi w:val="0"/>
        <w:adjustRightInd/>
        <w:spacing w:after="0" w:line="360" w:lineRule="auto"/>
        <w:ind w:firstLine="422" w:firstLineChars="200"/>
        <w:jc w:val="both"/>
        <w:textAlignment w:val="auto"/>
        <w:rPr>
          <w:rFonts w:hint="default" w:ascii="仿宋" w:hAnsi="仿宋" w:eastAsia="仿宋" w:cs="仿宋"/>
          <w:b/>
          <w:bCs/>
          <w:color w:val="auto"/>
          <w:kern w:val="2"/>
          <w:sz w:val="21"/>
          <w:szCs w:val="21"/>
          <w:highlight w:val="none"/>
          <w:lang w:val="en-US" w:eastAsia="zh-CN" w:bidi="ar-SA"/>
        </w:rPr>
      </w:pPr>
      <w:r>
        <w:rPr>
          <w:rFonts w:hint="eastAsia" w:ascii="仿宋" w:hAnsi="仿宋" w:eastAsia="仿宋" w:cs="仿宋"/>
          <w:b/>
          <w:bCs/>
          <w:color w:val="auto"/>
          <w:kern w:val="2"/>
          <w:sz w:val="21"/>
          <w:szCs w:val="21"/>
          <w:highlight w:val="none"/>
          <w:lang w:val="en-US" w:eastAsia="zh-CN" w:bidi="ar-SA"/>
        </w:rPr>
        <w:t>4.3未按规定时间及上述要求获取招标文件的投标人不得参与投标。（规定时间及获取方式要求见本招标公告“4.招标文件的获取”）</w:t>
      </w:r>
    </w:p>
    <w:bookmarkEnd w:id="24"/>
    <w:p w14:paraId="36412CA9">
      <w:pPr>
        <w:keepNext w:val="0"/>
        <w:keepLines w:val="0"/>
        <w:pageBreakBefore w:val="0"/>
        <w:widowControl w:val="0"/>
        <w:tabs>
          <w:tab w:val="left" w:pos="6090"/>
        </w:tabs>
        <w:kinsoku/>
        <w:wordWrap/>
        <w:overflowPunct/>
        <w:topLinePunct w:val="0"/>
        <w:autoSpaceDE/>
        <w:autoSpaceDN/>
        <w:bidi w:val="0"/>
        <w:adjustRightInd/>
        <w:snapToGrid/>
        <w:spacing w:after="0" w:line="360" w:lineRule="auto"/>
        <w:ind w:firstLine="482" w:firstLineChars="200"/>
        <w:jc w:val="left"/>
        <w:textAlignment w:val="auto"/>
        <w:outlineLvl w:val="1"/>
        <w:rPr>
          <w:rFonts w:hint="eastAsia" w:ascii="仿宋" w:hAnsi="仿宋" w:eastAsia="仿宋" w:cs="仿宋"/>
          <w:b/>
          <w:color w:val="auto"/>
          <w:sz w:val="24"/>
          <w:szCs w:val="24"/>
          <w:highlight w:val="none"/>
          <w:lang w:val="en-US" w:eastAsia="zh-CN"/>
        </w:rPr>
      </w:pPr>
      <w:bookmarkStart w:id="25" w:name="_Toc222"/>
      <w:bookmarkStart w:id="26" w:name="_Toc15744"/>
      <w:r>
        <w:rPr>
          <w:rFonts w:hint="eastAsia" w:ascii="仿宋" w:hAnsi="仿宋" w:eastAsia="仿宋" w:cs="仿宋"/>
          <w:b/>
          <w:color w:val="auto"/>
          <w:sz w:val="24"/>
          <w:szCs w:val="24"/>
          <w:highlight w:val="none"/>
          <w:lang w:val="en-US" w:eastAsia="zh-CN"/>
        </w:rPr>
        <w:t>5.投标文件的递交</w:t>
      </w:r>
      <w:bookmarkEnd w:id="25"/>
      <w:bookmarkEnd w:id="26"/>
    </w:p>
    <w:p w14:paraId="114FDE22">
      <w:pPr>
        <w:keepNext w:val="0"/>
        <w:keepLines w:val="0"/>
        <w:pageBreakBefore w:val="0"/>
        <w:kinsoku/>
        <w:wordWrap/>
        <w:overflowPunct/>
        <w:topLinePunct w:val="0"/>
        <w:bidi w:val="0"/>
        <w:adjustRightInd/>
        <w:spacing w:after="0" w:line="360" w:lineRule="auto"/>
        <w:ind w:firstLine="422" w:firstLineChars="200"/>
        <w:jc w:val="left"/>
        <w:textAlignment w:val="auto"/>
        <w:rPr>
          <w:rFonts w:hint="eastAsia" w:ascii="仿宋" w:hAnsi="仿宋" w:eastAsia="仿宋" w:cs="仿宋"/>
          <w:b/>
          <w:bCs/>
          <w:color w:val="auto"/>
          <w:kern w:val="2"/>
          <w:sz w:val="21"/>
          <w:szCs w:val="21"/>
          <w:highlight w:val="none"/>
          <w:u w:val="single"/>
          <w:lang w:val="en-US" w:eastAsia="zh-CN" w:bidi="ar-SA"/>
        </w:rPr>
      </w:pPr>
      <w:r>
        <w:rPr>
          <w:rFonts w:hint="eastAsia" w:ascii="仿宋" w:hAnsi="仿宋" w:eastAsia="仿宋" w:cs="仿宋"/>
          <w:b/>
          <w:bCs/>
          <w:color w:val="auto"/>
          <w:kern w:val="2"/>
          <w:sz w:val="21"/>
          <w:szCs w:val="21"/>
          <w:highlight w:val="none"/>
          <w:lang w:val="en-US" w:eastAsia="zh-CN" w:bidi="ar-SA"/>
        </w:rPr>
        <w:t>5.1投标文件递交的截止时间（投标截止时间）：</w:t>
      </w:r>
      <w:r>
        <w:rPr>
          <w:rFonts w:hint="eastAsia" w:ascii="仿宋" w:hAnsi="仿宋" w:eastAsia="仿宋" w:cs="仿宋"/>
          <w:b/>
          <w:bCs/>
          <w:color w:val="auto"/>
          <w:kern w:val="2"/>
          <w:sz w:val="21"/>
          <w:szCs w:val="21"/>
          <w:highlight w:val="none"/>
          <w:u w:val="single"/>
          <w:lang w:val="en-US" w:eastAsia="zh-CN" w:bidi="ar-SA"/>
        </w:rPr>
        <w:t>以网上公告的时间为准</w:t>
      </w:r>
      <w:r>
        <w:rPr>
          <w:rFonts w:hint="eastAsia" w:ascii="仿宋" w:hAnsi="仿宋" w:eastAsia="仿宋" w:cs="仿宋"/>
          <w:b/>
          <w:bCs/>
          <w:color w:val="auto"/>
          <w:kern w:val="2"/>
          <w:sz w:val="21"/>
          <w:szCs w:val="21"/>
          <w:highlight w:val="none"/>
          <w:u w:val="none"/>
          <w:lang w:val="en-US" w:eastAsia="zh-CN" w:bidi="ar-SA"/>
        </w:rPr>
        <w:t>。</w:t>
      </w:r>
    </w:p>
    <w:p w14:paraId="6DEA057A">
      <w:pPr>
        <w:keepNext w:val="0"/>
        <w:keepLines w:val="0"/>
        <w:pageBreakBefore w:val="0"/>
        <w:kinsoku/>
        <w:wordWrap/>
        <w:overflowPunct/>
        <w:topLinePunct w:val="0"/>
        <w:bidi w:val="0"/>
        <w:adjustRightInd/>
        <w:spacing w:after="0" w:line="360" w:lineRule="auto"/>
        <w:ind w:firstLine="422" w:firstLineChars="200"/>
        <w:jc w:val="both"/>
        <w:textAlignment w:val="auto"/>
        <w:rPr>
          <w:rFonts w:hint="eastAsia" w:ascii="仿宋" w:hAnsi="仿宋" w:eastAsia="仿宋" w:cs="仿宋"/>
          <w:color w:val="auto"/>
          <w:szCs w:val="28"/>
          <w:highlight w:val="none"/>
        </w:rPr>
      </w:pPr>
      <w:bookmarkStart w:id="27" w:name="_Toc357500938"/>
      <w:r>
        <w:rPr>
          <w:rFonts w:hint="eastAsia" w:ascii="仿宋" w:hAnsi="仿宋" w:eastAsia="仿宋" w:cs="仿宋"/>
          <w:b/>
          <w:bCs/>
          <w:color w:val="auto"/>
          <w:kern w:val="2"/>
          <w:sz w:val="21"/>
          <w:szCs w:val="21"/>
          <w:highlight w:val="none"/>
          <w:lang w:val="en-US" w:eastAsia="zh-CN" w:bidi="ar-SA"/>
        </w:rPr>
        <w:t>5.2投标文件递交网址：</w:t>
      </w:r>
      <w:r>
        <w:rPr>
          <w:rFonts w:hint="eastAsia" w:ascii="仿宋" w:hAnsi="仿宋" w:eastAsia="仿宋" w:cs="仿宋"/>
          <w:color w:val="auto"/>
          <w:szCs w:val="28"/>
          <w:highlight w:val="none"/>
          <w:lang w:eastAsia="zh-CN"/>
        </w:rPr>
        <w:t>云南省公共资源交易信息网</w:t>
      </w:r>
      <w:r>
        <w:rPr>
          <w:rFonts w:hint="eastAsia" w:ascii="仿宋" w:hAnsi="仿宋" w:eastAsia="仿宋" w:cs="仿宋"/>
          <w:color w:val="auto"/>
          <w:szCs w:val="28"/>
          <w:highlight w:val="none"/>
        </w:rPr>
        <w:t>-昆明市（网址：</w:t>
      </w:r>
      <w:r>
        <w:rPr>
          <w:rFonts w:hint="eastAsia" w:ascii="仿宋" w:hAnsi="仿宋" w:eastAsia="仿宋" w:cs="仿宋"/>
          <w:color w:val="auto"/>
          <w:szCs w:val="28"/>
          <w:highlight w:val="none"/>
          <w:lang w:eastAsia="zh-CN"/>
        </w:rPr>
        <w:t>https://ggzy.yn.gov.cn</w:t>
      </w:r>
      <w:r>
        <w:rPr>
          <w:rFonts w:hint="eastAsia" w:ascii="仿宋" w:hAnsi="仿宋" w:eastAsia="仿宋" w:cs="仿宋"/>
          <w:color w:val="auto"/>
          <w:szCs w:val="28"/>
          <w:highlight w:val="none"/>
        </w:rPr>
        <w:t>）</w:t>
      </w:r>
      <w:r>
        <w:rPr>
          <w:rFonts w:hint="eastAsia" w:ascii="仿宋" w:hAnsi="仿宋" w:eastAsia="仿宋" w:cs="仿宋"/>
          <w:color w:val="auto"/>
          <w:szCs w:val="24"/>
          <w:highlight w:val="none"/>
        </w:rPr>
        <w:t>，投标人须在投标截止时间前完成所有投标文件的上传，网上确认电子签名，并打印“上传投标文件回执”，投标截止时间前未完成投标文件传输的，视为无效投标</w:t>
      </w:r>
      <w:r>
        <w:rPr>
          <w:rFonts w:hint="eastAsia" w:ascii="仿宋" w:hAnsi="仿宋" w:eastAsia="仿宋" w:cs="仿宋"/>
          <w:color w:val="auto"/>
          <w:szCs w:val="28"/>
          <w:highlight w:val="none"/>
        </w:rPr>
        <w:t>。</w:t>
      </w:r>
    </w:p>
    <w:p w14:paraId="710FF9B2">
      <w:pPr>
        <w:keepNext w:val="0"/>
        <w:keepLines w:val="0"/>
        <w:pageBreakBefore w:val="0"/>
        <w:widowControl w:val="0"/>
        <w:tabs>
          <w:tab w:val="left" w:pos="6090"/>
        </w:tabs>
        <w:kinsoku/>
        <w:wordWrap/>
        <w:overflowPunct/>
        <w:topLinePunct w:val="0"/>
        <w:autoSpaceDE/>
        <w:autoSpaceDN/>
        <w:bidi w:val="0"/>
        <w:adjustRightInd/>
        <w:snapToGrid/>
        <w:spacing w:after="0" w:line="360" w:lineRule="auto"/>
        <w:jc w:val="left"/>
        <w:textAlignment w:val="auto"/>
        <w:outlineLvl w:val="1"/>
        <w:rPr>
          <w:rFonts w:hint="eastAsia" w:ascii="仿宋" w:hAnsi="仿宋" w:eastAsia="仿宋" w:cs="仿宋"/>
          <w:b/>
          <w:color w:val="auto"/>
          <w:szCs w:val="28"/>
          <w:highlight w:val="none"/>
        </w:rPr>
      </w:pPr>
      <w:bookmarkStart w:id="28" w:name="_Toc5471"/>
      <w:bookmarkStart w:id="29" w:name="_Toc14329"/>
      <w:r>
        <w:rPr>
          <w:rFonts w:hint="eastAsia" w:ascii="仿宋" w:hAnsi="仿宋" w:eastAsia="仿宋" w:cs="仿宋"/>
          <w:b/>
          <w:color w:val="auto"/>
          <w:sz w:val="24"/>
          <w:szCs w:val="24"/>
          <w:highlight w:val="none"/>
          <w:lang w:val="en-US" w:eastAsia="zh-CN"/>
        </w:rPr>
        <w:t>6.开标时间、地点</w:t>
      </w:r>
      <w:bookmarkEnd w:id="27"/>
      <w:bookmarkEnd w:id="28"/>
      <w:bookmarkEnd w:id="29"/>
    </w:p>
    <w:p w14:paraId="3FC00791">
      <w:pPr>
        <w:keepNext w:val="0"/>
        <w:keepLines w:val="0"/>
        <w:pageBreakBefore w:val="0"/>
        <w:kinsoku/>
        <w:wordWrap/>
        <w:overflowPunct/>
        <w:topLinePunct w:val="0"/>
        <w:bidi w:val="0"/>
        <w:adjustRightInd/>
        <w:spacing w:after="0" w:line="360" w:lineRule="auto"/>
        <w:ind w:firstLine="422" w:firstLineChars="200"/>
        <w:jc w:val="left"/>
        <w:textAlignment w:val="auto"/>
        <w:rPr>
          <w:rFonts w:hint="eastAsia" w:ascii="仿宋" w:hAnsi="仿宋" w:eastAsia="仿宋" w:cs="仿宋"/>
          <w:color w:val="auto"/>
          <w:szCs w:val="21"/>
          <w:highlight w:val="none"/>
          <w:lang w:val="en-US" w:eastAsia="zh-CN"/>
        </w:rPr>
      </w:pPr>
      <w:bookmarkStart w:id="30" w:name="_Toc357500939"/>
      <w:r>
        <w:rPr>
          <w:rFonts w:hint="eastAsia" w:ascii="仿宋" w:hAnsi="仿宋" w:eastAsia="仿宋" w:cs="仿宋"/>
          <w:b/>
          <w:bCs/>
          <w:color w:val="auto"/>
          <w:kern w:val="2"/>
          <w:sz w:val="21"/>
          <w:szCs w:val="21"/>
          <w:highlight w:val="none"/>
          <w:lang w:val="en-US" w:eastAsia="zh-CN" w:bidi="ar-SA"/>
        </w:rPr>
        <w:t>6.1开标时间：</w:t>
      </w:r>
      <w:r>
        <w:rPr>
          <w:rFonts w:hint="eastAsia" w:ascii="仿宋" w:hAnsi="仿宋" w:eastAsia="仿宋" w:cs="仿宋"/>
          <w:color w:val="auto"/>
          <w:szCs w:val="21"/>
          <w:highlight w:val="none"/>
          <w:lang w:val="en-US" w:eastAsia="zh-CN"/>
        </w:rPr>
        <w:t>以网上公告的时间为准。</w:t>
      </w:r>
      <w:bookmarkEnd w:id="30"/>
    </w:p>
    <w:p w14:paraId="7885A850">
      <w:pPr>
        <w:keepNext w:val="0"/>
        <w:keepLines w:val="0"/>
        <w:pageBreakBefore w:val="0"/>
        <w:kinsoku/>
        <w:wordWrap/>
        <w:overflowPunct/>
        <w:topLinePunct w:val="0"/>
        <w:bidi w:val="0"/>
        <w:adjustRightInd/>
        <w:spacing w:after="0" w:line="360" w:lineRule="auto"/>
        <w:ind w:firstLine="422" w:firstLineChars="200"/>
        <w:jc w:val="left"/>
        <w:textAlignment w:val="auto"/>
        <w:rPr>
          <w:rFonts w:hint="eastAsia" w:ascii="仿宋" w:hAnsi="仿宋" w:eastAsia="仿宋" w:cs="仿宋"/>
          <w:color w:val="auto"/>
          <w:szCs w:val="28"/>
          <w:highlight w:val="none"/>
        </w:rPr>
      </w:pPr>
      <w:bookmarkStart w:id="31" w:name="_Toc357500940"/>
      <w:r>
        <w:rPr>
          <w:rFonts w:hint="eastAsia" w:ascii="仿宋" w:hAnsi="仿宋" w:eastAsia="仿宋" w:cs="仿宋"/>
          <w:b/>
          <w:bCs/>
          <w:color w:val="auto"/>
          <w:kern w:val="2"/>
          <w:sz w:val="21"/>
          <w:szCs w:val="21"/>
          <w:highlight w:val="none"/>
          <w:lang w:val="en-US" w:eastAsia="zh-CN" w:bidi="ar-SA"/>
        </w:rPr>
        <w:t>6.2开标地点：</w:t>
      </w:r>
      <w:bookmarkEnd w:id="31"/>
      <w:r>
        <w:rPr>
          <w:rFonts w:hint="eastAsia" w:ascii="仿宋" w:hAnsi="仿宋" w:eastAsia="仿宋" w:cs="仿宋"/>
          <w:color w:val="auto"/>
          <w:szCs w:val="21"/>
          <w:highlight w:val="none"/>
          <w:lang w:val="en-US" w:eastAsia="zh-CN"/>
        </w:rPr>
        <w:t>昆明市</w:t>
      </w:r>
      <w:r>
        <w:rPr>
          <w:rFonts w:hint="eastAsia" w:ascii="仿宋" w:hAnsi="仿宋" w:eastAsia="仿宋" w:cs="仿宋"/>
          <w:color w:val="auto"/>
          <w:szCs w:val="21"/>
          <w:highlight w:val="none"/>
        </w:rPr>
        <w:t>公共资源交易中心</w:t>
      </w:r>
      <w:r>
        <w:rPr>
          <w:rFonts w:hint="eastAsia" w:ascii="仿宋" w:hAnsi="仿宋" w:eastAsia="仿宋" w:cs="仿宋"/>
          <w:color w:val="auto"/>
          <w:szCs w:val="28"/>
          <w:highlight w:val="none"/>
        </w:rPr>
        <w:t>。</w:t>
      </w:r>
    </w:p>
    <w:p w14:paraId="7FE9CE5E">
      <w:pPr>
        <w:keepNext w:val="0"/>
        <w:keepLines w:val="0"/>
        <w:pageBreakBefore w:val="0"/>
        <w:kinsoku/>
        <w:wordWrap/>
        <w:overflowPunct/>
        <w:topLinePunct w:val="0"/>
        <w:bidi w:val="0"/>
        <w:adjustRightInd/>
        <w:spacing w:after="0" w:line="360" w:lineRule="auto"/>
        <w:ind w:firstLine="422" w:firstLineChars="200"/>
        <w:jc w:val="left"/>
        <w:textAlignment w:val="auto"/>
        <w:rPr>
          <w:rFonts w:hint="eastAsia" w:ascii="仿宋" w:hAnsi="仿宋" w:eastAsia="仿宋" w:cs="仿宋"/>
          <w:color w:val="auto"/>
          <w:szCs w:val="28"/>
          <w:highlight w:val="none"/>
        </w:rPr>
      </w:pPr>
      <w:r>
        <w:rPr>
          <w:rFonts w:hint="eastAsia" w:ascii="仿宋" w:hAnsi="仿宋" w:eastAsia="仿宋" w:cs="仿宋"/>
          <w:b/>
          <w:bCs/>
          <w:color w:val="auto"/>
          <w:kern w:val="2"/>
          <w:sz w:val="21"/>
          <w:szCs w:val="21"/>
          <w:highlight w:val="none"/>
          <w:lang w:val="en-US" w:eastAsia="zh-CN" w:bidi="ar-SA"/>
        </w:rPr>
        <w:t>6.3开标要求：</w:t>
      </w:r>
      <w:r>
        <w:rPr>
          <w:rFonts w:hint="eastAsia" w:ascii="仿宋" w:hAnsi="仿宋" w:eastAsia="仿宋" w:cs="仿宋"/>
          <w:color w:val="auto"/>
          <w:szCs w:val="28"/>
          <w:highlight w:val="none"/>
        </w:rPr>
        <w:t>网上开标远程解密，本项目采用网上开标远程解密方式进行，投标人无须到达开标现场。</w:t>
      </w:r>
    </w:p>
    <w:p w14:paraId="0175FE8A">
      <w:pPr>
        <w:keepNext w:val="0"/>
        <w:keepLines w:val="0"/>
        <w:pageBreakBefore w:val="0"/>
        <w:kinsoku/>
        <w:wordWrap/>
        <w:overflowPunct/>
        <w:topLinePunct w:val="0"/>
        <w:bidi w:val="0"/>
        <w:adjustRightInd/>
        <w:spacing w:after="0" w:line="360" w:lineRule="auto"/>
        <w:ind w:firstLine="422" w:firstLineChars="200"/>
        <w:jc w:val="both"/>
        <w:textAlignment w:val="auto"/>
        <w:rPr>
          <w:rFonts w:hint="eastAsia" w:ascii="仿宋" w:hAnsi="仿宋" w:eastAsia="仿宋" w:cs="仿宋"/>
          <w:color w:val="auto"/>
          <w:szCs w:val="28"/>
          <w:highlight w:val="none"/>
        </w:rPr>
      </w:pPr>
      <w:r>
        <w:rPr>
          <w:rFonts w:hint="eastAsia" w:ascii="仿宋" w:hAnsi="仿宋" w:eastAsia="仿宋" w:cs="仿宋"/>
          <w:b/>
          <w:bCs/>
          <w:color w:val="auto"/>
          <w:kern w:val="2"/>
          <w:sz w:val="21"/>
          <w:szCs w:val="21"/>
          <w:highlight w:val="none"/>
          <w:lang w:val="en-US" w:eastAsia="zh-CN" w:bidi="ar-SA"/>
        </w:rPr>
        <w:t>6.4网上开标远程解密方式：</w:t>
      </w:r>
      <w:r>
        <w:rPr>
          <w:rFonts w:hint="eastAsia" w:ascii="仿宋" w:hAnsi="仿宋" w:eastAsia="仿宋" w:cs="仿宋"/>
          <w:color w:val="auto"/>
          <w:szCs w:val="28"/>
          <w:highlight w:val="none"/>
        </w:rPr>
        <w:t>投标人登录</w:t>
      </w:r>
      <w:r>
        <w:rPr>
          <w:rFonts w:hint="eastAsia" w:ascii="仿宋" w:hAnsi="仿宋" w:eastAsia="仿宋" w:cs="仿宋"/>
          <w:color w:val="auto"/>
          <w:szCs w:val="28"/>
          <w:highlight w:val="none"/>
          <w:lang w:eastAsia="zh-CN"/>
        </w:rPr>
        <w:t>云南省公共资源交易信息网</w:t>
      </w:r>
      <w:r>
        <w:rPr>
          <w:rFonts w:hint="eastAsia" w:ascii="仿宋" w:hAnsi="仿宋" w:eastAsia="仿宋" w:cs="仿宋"/>
          <w:color w:val="auto"/>
          <w:szCs w:val="28"/>
          <w:highlight w:val="none"/>
        </w:rPr>
        <w:t>-昆明市（网址：</w:t>
      </w:r>
      <w:r>
        <w:rPr>
          <w:rFonts w:hint="eastAsia" w:ascii="仿宋" w:hAnsi="仿宋" w:eastAsia="仿宋" w:cs="仿宋"/>
          <w:color w:val="auto"/>
          <w:szCs w:val="28"/>
          <w:highlight w:val="none"/>
          <w:lang w:eastAsia="zh-CN"/>
        </w:rPr>
        <w:t>https://ggzy.yn.gov.cn</w:t>
      </w:r>
      <w:r>
        <w:rPr>
          <w:rFonts w:hint="eastAsia" w:ascii="仿宋" w:hAnsi="仿宋" w:eastAsia="仿宋" w:cs="仿宋"/>
          <w:color w:val="auto"/>
          <w:szCs w:val="28"/>
          <w:highlight w:val="none"/>
        </w:rPr>
        <w:t>）下载专区，按照“网上开标远程解密指南”完成远程解密、查看开标一览表和签名确认等相关操作。本项目解密时间为</w:t>
      </w:r>
      <w:r>
        <w:rPr>
          <w:rFonts w:hint="eastAsia" w:ascii="仿宋" w:hAnsi="仿宋" w:eastAsia="仿宋" w:cs="仿宋"/>
          <w:color w:val="auto"/>
          <w:szCs w:val="28"/>
          <w:highlight w:val="none"/>
          <w:lang w:val="en-US" w:eastAsia="zh-CN"/>
        </w:rPr>
        <w:t>30</w:t>
      </w:r>
      <w:r>
        <w:rPr>
          <w:rFonts w:hint="eastAsia" w:ascii="仿宋" w:hAnsi="仿宋" w:eastAsia="仿宋" w:cs="仿宋"/>
          <w:color w:val="auto"/>
          <w:szCs w:val="28"/>
          <w:highlight w:val="none"/>
        </w:rPr>
        <w:t>分钟（暂定），若投标人未在规定时间完成以上解密，则视为撤销其投标文件，不再进入评标阶段。开标过程中如有问题，可以在线提出异议，由</w:t>
      </w:r>
      <w:r>
        <w:rPr>
          <w:rFonts w:hint="eastAsia" w:ascii="仿宋" w:hAnsi="仿宋" w:eastAsia="仿宋" w:cs="仿宋"/>
          <w:color w:val="auto"/>
          <w:szCs w:val="28"/>
          <w:highlight w:val="none"/>
          <w:lang w:eastAsia="zh-CN"/>
        </w:rPr>
        <w:t>招标代理机构</w:t>
      </w:r>
      <w:r>
        <w:rPr>
          <w:rFonts w:hint="eastAsia" w:ascii="仿宋" w:hAnsi="仿宋" w:eastAsia="仿宋" w:cs="仿宋"/>
          <w:color w:val="auto"/>
          <w:szCs w:val="28"/>
          <w:highlight w:val="none"/>
        </w:rPr>
        <w:t>给予对应的回复。本项目签名确认时间为3分钟，在规定的签名确认时间内不进行确认的，则视为对开标结果无异议。</w:t>
      </w:r>
    </w:p>
    <w:p w14:paraId="4233C7F7">
      <w:pPr>
        <w:keepNext w:val="0"/>
        <w:keepLines w:val="0"/>
        <w:pageBreakBefore w:val="0"/>
        <w:widowControl w:val="0"/>
        <w:tabs>
          <w:tab w:val="left" w:pos="6090"/>
        </w:tabs>
        <w:kinsoku/>
        <w:wordWrap/>
        <w:overflowPunct/>
        <w:topLinePunct w:val="0"/>
        <w:autoSpaceDE/>
        <w:autoSpaceDN/>
        <w:bidi w:val="0"/>
        <w:adjustRightInd/>
        <w:snapToGrid/>
        <w:spacing w:after="0" w:line="360" w:lineRule="auto"/>
        <w:jc w:val="left"/>
        <w:textAlignment w:val="auto"/>
        <w:outlineLvl w:val="1"/>
        <w:rPr>
          <w:rFonts w:hint="eastAsia" w:ascii="仿宋" w:hAnsi="仿宋" w:eastAsia="仿宋" w:cs="仿宋"/>
          <w:b/>
          <w:color w:val="auto"/>
          <w:sz w:val="24"/>
          <w:szCs w:val="24"/>
          <w:highlight w:val="none"/>
          <w:lang w:val="en-US" w:eastAsia="zh-CN"/>
        </w:rPr>
      </w:pPr>
      <w:bookmarkStart w:id="32" w:name="_Toc18378"/>
      <w:bookmarkStart w:id="33" w:name="_Toc20125"/>
      <w:r>
        <w:rPr>
          <w:rFonts w:hint="eastAsia" w:ascii="仿宋" w:hAnsi="仿宋" w:eastAsia="仿宋" w:cs="仿宋"/>
          <w:b/>
          <w:color w:val="auto"/>
          <w:sz w:val="24"/>
          <w:szCs w:val="24"/>
          <w:highlight w:val="none"/>
          <w:lang w:val="en-US" w:eastAsia="zh-CN"/>
        </w:rPr>
        <w:t>7.发布公告的媒介</w:t>
      </w:r>
      <w:bookmarkEnd w:id="32"/>
      <w:bookmarkEnd w:id="33"/>
    </w:p>
    <w:p w14:paraId="1AED8844">
      <w:pPr>
        <w:pStyle w:val="10"/>
        <w:keepNext w:val="0"/>
        <w:keepLines w:val="0"/>
        <w:pageBreakBefore w:val="0"/>
        <w:kinsoku/>
        <w:wordWrap/>
        <w:overflowPunct/>
        <w:topLinePunct w:val="0"/>
        <w:bidi w:val="0"/>
        <w:adjustRightInd/>
        <w:spacing w:line="360" w:lineRule="auto"/>
        <w:ind w:firstLine="420" w:firstLineChars="200"/>
        <w:textAlignment w:val="auto"/>
        <w:rPr>
          <w:rFonts w:hint="eastAsia" w:ascii="仿宋" w:hAnsi="仿宋" w:eastAsia="仿宋" w:cs="仿宋"/>
          <w:b w:val="0"/>
          <w:bCs w:val="0"/>
          <w:color w:val="auto"/>
          <w:sz w:val="21"/>
          <w:szCs w:val="28"/>
          <w:highlight w:val="none"/>
        </w:rPr>
      </w:pPr>
      <w:r>
        <w:rPr>
          <w:rFonts w:hint="eastAsia" w:ascii="仿宋" w:hAnsi="仿宋" w:eastAsia="仿宋" w:cs="仿宋"/>
          <w:b w:val="0"/>
          <w:bCs w:val="0"/>
          <w:color w:val="auto"/>
          <w:sz w:val="21"/>
          <w:szCs w:val="28"/>
          <w:highlight w:val="none"/>
        </w:rPr>
        <w:t>本次招标公告在</w:t>
      </w:r>
      <w:r>
        <w:rPr>
          <w:rFonts w:hint="eastAsia" w:ascii="仿宋" w:hAnsi="仿宋" w:eastAsia="仿宋" w:cs="仿宋"/>
          <w:b w:val="0"/>
          <w:bCs w:val="0"/>
          <w:color w:val="auto"/>
          <w:sz w:val="21"/>
          <w:szCs w:val="28"/>
          <w:highlight w:val="none"/>
          <w:lang w:eastAsia="zh-CN"/>
        </w:rPr>
        <w:t>云南省公共资源交</w:t>
      </w:r>
      <w:r>
        <w:rPr>
          <w:rFonts w:hint="eastAsia" w:ascii="仿宋" w:hAnsi="仿宋" w:eastAsia="仿宋" w:cs="仿宋"/>
          <w:b w:val="0"/>
          <w:bCs w:val="0"/>
          <w:color w:val="auto"/>
          <w:kern w:val="2"/>
          <w:sz w:val="21"/>
          <w:szCs w:val="28"/>
          <w:highlight w:val="none"/>
          <w:lang w:val="en-US" w:eastAsia="zh-CN" w:bidi="ar-SA"/>
        </w:rPr>
        <w:t>易信息网（网址：https://ggzy.yn.gov.cn）</w:t>
      </w:r>
      <w:r>
        <w:rPr>
          <w:rFonts w:hint="eastAsia" w:ascii="仿宋" w:hAnsi="仿宋" w:eastAsia="仿宋" w:cs="仿宋"/>
          <w:b w:val="0"/>
          <w:bCs w:val="0"/>
          <w:color w:val="auto"/>
          <w:sz w:val="21"/>
          <w:szCs w:val="28"/>
          <w:highlight w:val="none"/>
        </w:rPr>
        <w:t>网站上发布。招标人及招标代理机构对其他网站或媒体转载的公告及公告内容不承担任何责任。</w:t>
      </w:r>
    </w:p>
    <w:p w14:paraId="4A88C493">
      <w:pPr>
        <w:keepNext w:val="0"/>
        <w:keepLines w:val="0"/>
        <w:pageBreakBefore w:val="0"/>
        <w:widowControl w:val="0"/>
        <w:tabs>
          <w:tab w:val="left" w:pos="6090"/>
        </w:tabs>
        <w:kinsoku/>
        <w:wordWrap/>
        <w:overflowPunct/>
        <w:topLinePunct w:val="0"/>
        <w:autoSpaceDE/>
        <w:autoSpaceDN/>
        <w:bidi w:val="0"/>
        <w:adjustRightInd/>
        <w:snapToGrid/>
        <w:spacing w:after="0" w:line="360" w:lineRule="auto"/>
        <w:jc w:val="left"/>
        <w:textAlignment w:val="auto"/>
        <w:outlineLvl w:val="1"/>
        <w:rPr>
          <w:rFonts w:hint="eastAsia" w:ascii="仿宋" w:hAnsi="仿宋" w:eastAsia="仿宋" w:cs="仿宋"/>
          <w:b/>
          <w:color w:val="auto"/>
          <w:sz w:val="24"/>
          <w:szCs w:val="24"/>
          <w:highlight w:val="none"/>
          <w:lang w:val="en-US" w:eastAsia="zh-CN"/>
        </w:rPr>
      </w:pPr>
      <w:bookmarkStart w:id="34" w:name="_Toc32502"/>
      <w:bookmarkStart w:id="35" w:name="_Toc18355"/>
      <w:r>
        <w:rPr>
          <w:rFonts w:hint="eastAsia" w:ascii="仿宋" w:hAnsi="仿宋" w:eastAsia="仿宋" w:cs="仿宋"/>
          <w:b/>
          <w:color w:val="auto"/>
          <w:sz w:val="24"/>
          <w:szCs w:val="24"/>
          <w:highlight w:val="none"/>
          <w:lang w:val="en-US" w:eastAsia="zh-CN"/>
        </w:rPr>
        <w:t>8.监督部门</w:t>
      </w:r>
      <w:bookmarkEnd w:id="34"/>
      <w:bookmarkEnd w:id="35"/>
    </w:p>
    <w:p w14:paraId="55990D08">
      <w:pPr>
        <w:pageBreakBefore w:val="0"/>
        <w:widowControl/>
        <w:kinsoku/>
        <w:wordWrap/>
        <w:overflowPunct/>
        <w:topLinePunct w:val="0"/>
        <w:autoSpaceDE/>
        <w:autoSpaceDN/>
        <w:bidi w:val="0"/>
        <w:adjustRightInd/>
        <w:snapToGrid/>
        <w:spacing w:line="360" w:lineRule="auto"/>
        <w:ind w:firstLine="480"/>
        <w:textAlignment w:val="auto"/>
        <w:rPr>
          <w:rFonts w:hint="eastAsia" w:ascii="仿宋" w:hAnsi="仿宋" w:eastAsia="仿宋" w:cs="仿宋"/>
          <w:color w:val="auto"/>
          <w:szCs w:val="28"/>
          <w:highlight w:val="none"/>
        </w:rPr>
      </w:pPr>
      <w:r>
        <w:rPr>
          <w:rFonts w:hint="eastAsia" w:ascii="仿宋" w:hAnsi="仿宋" w:eastAsia="仿宋" w:cs="仿宋"/>
          <w:color w:val="auto"/>
          <w:szCs w:val="28"/>
          <w:highlight w:val="none"/>
        </w:rPr>
        <w:t>行政监督单位：</w:t>
      </w:r>
      <w:bookmarkStart w:id="36" w:name="OLE_LINK7"/>
      <w:r>
        <w:rPr>
          <w:rFonts w:hint="eastAsia" w:ascii="仿宋" w:hAnsi="仿宋" w:eastAsia="仿宋" w:cs="仿宋"/>
          <w:color w:val="auto"/>
          <w:szCs w:val="28"/>
          <w:highlight w:val="none"/>
          <w:lang w:eastAsia="zh-CN"/>
        </w:rPr>
        <w:t>昆明市呈贡区政务服务管理局</w:t>
      </w:r>
      <w:r>
        <w:rPr>
          <w:rFonts w:hint="eastAsia" w:ascii="仿宋" w:hAnsi="仿宋" w:eastAsia="仿宋" w:cs="仿宋"/>
          <w:color w:val="auto"/>
          <w:szCs w:val="28"/>
          <w:highlight w:val="none"/>
        </w:rPr>
        <w:t>监</w:t>
      </w:r>
      <w:r>
        <w:rPr>
          <w:rFonts w:hint="eastAsia" w:ascii="仿宋" w:hAnsi="仿宋" w:eastAsia="仿宋" w:cs="仿宋"/>
          <w:color w:val="auto"/>
          <w:szCs w:val="28"/>
          <w:highlight w:val="none"/>
          <w:lang w:val="en-US" w:eastAsia="zh-CN"/>
        </w:rPr>
        <w:t xml:space="preserve"> </w:t>
      </w:r>
      <w:r>
        <w:rPr>
          <w:rFonts w:hint="eastAsia" w:ascii="仿宋" w:hAnsi="仿宋" w:eastAsia="仿宋" w:cs="仿宋"/>
          <w:color w:val="auto"/>
          <w:szCs w:val="28"/>
          <w:highlight w:val="none"/>
        </w:rPr>
        <w:t>督</w:t>
      </w:r>
      <w:r>
        <w:rPr>
          <w:rFonts w:hint="eastAsia" w:ascii="仿宋" w:hAnsi="仿宋" w:eastAsia="仿宋" w:cs="仿宋"/>
          <w:color w:val="auto"/>
          <w:szCs w:val="28"/>
          <w:highlight w:val="none"/>
          <w:lang w:val="en-US" w:eastAsia="zh-CN"/>
        </w:rPr>
        <w:t xml:space="preserve"> </w:t>
      </w:r>
      <w:r>
        <w:rPr>
          <w:rFonts w:hint="eastAsia" w:ascii="仿宋" w:hAnsi="仿宋" w:eastAsia="仿宋" w:cs="仿宋"/>
          <w:color w:val="auto"/>
          <w:szCs w:val="28"/>
          <w:highlight w:val="none"/>
        </w:rPr>
        <w:t>电</w:t>
      </w:r>
      <w:r>
        <w:rPr>
          <w:rFonts w:hint="eastAsia" w:ascii="仿宋" w:hAnsi="仿宋" w:eastAsia="仿宋" w:cs="仿宋"/>
          <w:color w:val="auto"/>
          <w:szCs w:val="28"/>
          <w:highlight w:val="none"/>
          <w:lang w:val="en-US" w:eastAsia="zh-CN"/>
        </w:rPr>
        <w:t xml:space="preserve"> </w:t>
      </w:r>
      <w:r>
        <w:rPr>
          <w:rFonts w:hint="eastAsia" w:ascii="仿宋" w:hAnsi="仿宋" w:eastAsia="仿宋" w:cs="仿宋"/>
          <w:color w:val="auto"/>
          <w:szCs w:val="28"/>
          <w:highlight w:val="none"/>
        </w:rPr>
        <w:t>话：0871-67483553</w:t>
      </w:r>
    </w:p>
    <w:bookmarkEnd w:id="36"/>
    <w:p w14:paraId="6282E1D1">
      <w:pPr>
        <w:keepNext w:val="0"/>
        <w:keepLines w:val="0"/>
        <w:pageBreakBefore w:val="0"/>
        <w:widowControl w:val="0"/>
        <w:tabs>
          <w:tab w:val="left" w:pos="6090"/>
        </w:tabs>
        <w:kinsoku/>
        <w:wordWrap/>
        <w:overflowPunct/>
        <w:topLinePunct w:val="0"/>
        <w:autoSpaceDE/>
        <w:autoSpaceDN/>
        <w:bidi w:val="0"/>
        <w:adjustRightInd/>
        <w:snapToGrid/>
        <w:spacing w:after="0" w:line="360" w:lineRule="auto"/>
        <w:jc w:val="left"/>
        <w:textAlignment w:val="auto"/>
        <w:outlineLvl w:val="1"/>
        <w:rPr>
          <w:rFonts w:hint="eastAsia" w:ascii="仿宋" w:hAnsi="仿宋" w:eastAsia="仿宋" w:cs="仿宋"/>
          <w:b/>
          <w:color w:val="auto"/>
          <w:sz w:val="24"/>
          <w:szCs w:val="24"/>
          <w:highlight w:val="none"/>
          <w:lang w:val="en-US" w:eastAsia="zh-CN"/>
        </w:rPr>
      </w:pPr>
      <w:bookmarkStart w:id="37" w:name="_Toc3501"/>
      <w:bookmarkStart w:id="38" w:name="_Toc15825"/>
      <w:r>
        <w:rPr>
          <w:rFonts w:hint="eastAsia" w:ascii="仿宋" w:hAnsi="仿宋" w:eastAsia="仿宋" w:cs="仿宋"/>
          <w:b/>
          <w:color w:val="auto"/>
          <w:sz w:val="24"/>
          <w:szCs w:val="24"/>
          <w:highlight w:val="none"/>
          <w:lang w:val="en-US" w:eastAsia="zh-CN"/>
        </w:rPr>
        <w:t>9.联系方式</w:t>
      </w:r>
      <w:bookmarkEnd w:id="37"/>
      <w:bookmarkEnd w:id="38"/>
    </w:p>
    <w:p w14:paraId="4806FE77">
      <w:pPr>
        <w:keepNext w:val="0"/>
        <w:keepLines w:val="0"/>
        <w:pageBreakBefore w:val="0"/>
        <w:kinsoku/>
        <w:wordWrap/>
        <w:overflowPunct/>
        <w:topLinePunct w:val="0"/>
        <w:bidi w:val="0"/>
        <w:adjustRightInd/>
        <w:spacing w:after="0" w:line="360" w:lineRule="auto"/>
        <w:ind w:firstLine="422" w:firstLineChars="200"/>
        <w:jc w:val="left"/>
        <w:textAlignment w:val="auto"/>
        <w:rPr>
          <w:rFonts w:hint="eastAsia" w:ascii="仿宋" w:hAnsi="仿宋" w:eastAsia="仿宋" w:cs="仿宋"/>
          <w:b/>
          <w:bCs/>
          <w:color w:val="auto"/>
          <w:szCs w:val="28"/>
          <w:highlight w:val="none"/>
          <w:lang w:eastAsia="zh-CN"/>
        </w:rPr>
      </w:pPr>
      <w:r>
        <w:rPr>
          <w:rFonts w:hint="eastAsia" w:ascii="仿宋" w:hAnsi="仿宋" w:eastAsia="仿宋" w:cs="仿宋"/>
          <w:b/>
          <w:bCs/>
          <w:color w:val="auto"/>
          <w:szCs w:val="28"/>
          <w:highlight w:val="none"/>
          <w:lang w:eastAsia="zh-CN"/>
        </w:rPr>
        <w:t>招 标 人：昆明中石化国投（呈贡）石油有限责任公司</w:t>
      </w:r>
    </w:p>
    <w:p w14:paraId="2836EF03">
      <w:pPr>
        <w:keepNext w:val="0"/>
        <w:keepLines w:val="0"/>
        <w:pageBreakBefore w:val="0"/>
        <w:kinsoku/>
        <w:wordWrap/>
        <w:overflowPunct/>
        <w:topLinePunct w:val="0"/>
        <w:bidi w:val="0"/>
        <w:adjustRightInd/>
        <w:spacing w:after="0" w:line="360" w:lineRule="auto"/>
        <w:ind w:firstLine="420" w:firstLineChars="200"/>
        <w:jc w:val="left"/>
        <w:textAlignment w:val="auto"/>
        <w:rPr>
          <w:rFonts w:hint="eastAsia" w:ascii="仿宋" w:hAnsi="仿宋" w:eastAsia="仿宋" w:cs="仿宋"/>
          <w:color w:val="auto"/>
          <w:szCs w:val="28"/>
          <w:highlight w:val="none"/>
          <w:lang w:eastAsia="zh-CN"/>
        </w:rPr>
      </w:pPr>
      <w:r>
        <w:rPr>
          <w:rFonts w:hint="eastAsia" w:ascii="仿宋" w:hAnsi="仿宋" w:eastAsia="仿宋" w:cs="仿宋"/>
          <w:color w:val="auto"/>
          <w:szCs w:val="28"/>
          <w:highlight w:val="none"/>
          <w:lang w:eastAsia="zh-CN"/>
        </w:rPr>
        <w:t>地    址：云南省昆明市呈贡区惠兰园G区呈贡新区创业园3楼</w:t>
      </w:r>
    </w:p>
    <w:p w14:paraId="129F39CB">
      <w:pPr>
        <w:keepNext w:val="0"/>
        <w:keepLines w:val="0"/>
        <w:pageBreakBefore w:val="0"/>
        <w:kinsoku/>
        <w:wordWrap/>
        <w:overflowPunct/>
        <w:topLinePunct w:val="0"/>
        <w:bidi w:val="0"/>
        <w:adjustRightInd/>
        <w:spacing w:after="0" w:line="360" w:lineRule="auto"/>
        <w:ind w:firstLine="420" w:firstLineChars="200"/>
        <w:jc w:val="left"/>
        <w:textAlignment w:val="auto"/>
        <w:rPr>
          <w:rFonts w:hint="default" w:ascii="仿宋" w:hAnsi="仿宋" w:eastAsia="仿宋" w:cs="仿宋"/>
          <w:color w:val="auto"/>
          <w:szCs w:val="28"/>
          <w:highlight w:val="none"/>
          <w:lang w:val="en-US" w:eastAsia="zh-CN"/>
        </w:rPr>
      </w:pPr>
      <w:r>
        <w:rPr>
          <w:rFonts w:hint="eastAsia" w:ascii="仿宋" w:hAnsi="仿宋" w:eastAsia="仿宋" w:cs="仿宋"/>
          <w:color w:val="auto"/>
          <w:szCs w:val="28"/>
          <w:highlight w:val="none"/>
          <w:lang w:eastAsia="zh-CN"/>
        </w:rPr>
        <w:t>联 系 人：</w:t>
      </w:r>
      <w:r>
        <w:rPr>
          <w:rFonts w:hint="eastAsia" w:ascii="仿宋" w:hAnsi="仿宋" w:eastAsia="仿宋" w:cs="仿宋"/>
          <w:color w:val="auto"/>
          <w:szCs w:val="28"/>
          <w:highlight w:val="none"/>
          <w:lang w:val="en-US" w:eastAsia="zh-CN"/>
        </w:rPr>
        <w:t>杨老师</w:t>
      </w:r>
    </w:p>
    <w:p w14:paraId="292C3D02">
      <w:pPr>
        <w:keepNext w:val="0"/>
        <w:keepLines w:val="0"/>
        <w:pageBreakBefore w:val="0"/>
        <w:kinsoku/>
        <w:wordWrap/>
        <w:overflowPunct/>
        <w:topLinePunct w:val="0"/>
        <w:bidi w:val="0"/>
        <w:adjustRightInd/>
        <w:spacing w:after="0" w:line="360" w:lineRule="auto"/>
        <w:ind w:firstLine="420" w:firstLineChars="200"/>
        <w:jc w:val="left"/>
        <w:textAlignment w:val="auto"/>
        <w:rPr>
          <w:rFonts w:hint="default" w:ascii="仿宋" w:hAnsi="仿宋" w:eastAsia="仿宋" w:cs="仿宋"/>
          <w:color w:val="auto"/>
          <w:szCs w:val="28"/>
          <w:highlight w:val="none"/>
          <w:lang w:val="en-US" w:eastAsia="zh-CN"/>
        </w:rPr>
      </w:pPr>
      <w:r>
        <w:rPr>
          <w:rFonts w:hint="eastAsia" w:ascii="仿宋" w:hAnsi="仿宋" w:eastAsia="仿宋" w:cs="仿宋"/>
          <w:color w:val="auto"/>
          <w:szCs w:val="28"/>
          <w:highlight w:val="none"/>
          <w:lang w:eastAsia="zh-CN"/>
        </w:rPr>
        <w:t>联系方式：</w:t>
      </w:r>
      <w:bookmarkStart w:id="39" w:name="OLE_LINK25"/>
      <w:r>
        <w:rPr>
          <w:rFonts w:hint="eastAsia" w:ascii="仿宋" w:hAnsi="仿宋" w:eastAsia="仿宋" w:cs="仿宋"/>
          <w:color w:val="auto"/>
          <w:szCs w:val="28"/>
          <w:highlight w:val="none"/>
          <w:lang w:val="en-US" w:eastAsia="zh-CN"/>
        </w:rPr>
        <w:t>18213941900</w:t>
      </w:r>
    </w:p>
    <w:bookmarkEnd w:id="39"/>
    <w:p w14:paraId="2CD83022">
      <w:pPr>
        <w:keepNext w:val="0"/>
        <w:keepLines w:val="0"/>
        <w:pageBreakBefore w:val="0"/>
        <w:kinsoku/>
        <w:wordWrap/>
        <w:overflowPunct/>
        <w:topLinePunct w:val="0"/>
        <w:bidi w:val="0"/>
        <w:adjustRightInd/>
        <w:spacing w:after="0" w:line="360" w:lineRule="auto"/>
        <w:ind w:firstLine="422" w:firstLineChars="200"/>
        <w:jc w:val="left"/>
        <w:textAlignment w:val="auto"/>
        <w:rPr>
          <w:rFonts w:hint="eastAsia" w:ascii="仿宋" w:hAnsi="仿宋" w:eastAsia="仿宋" w:cs="仿宋"/>
          <w:b/>
          <w:bCs/>
          <w:color w:val="auto"/>
          <w:szCs w:val="28"/>
          <w:highlight w:val="none"/>
          <w:lang w:eastAsia="zh-CN"/>
        </w:rPr>
      </w:pPr>
    </w:p>
    <w:p w14:paraId="5780221E">
      <w:pPr>
        <w:keepNext w:val="0"/>
        <w:keepLines w:val="0"/>
        <w:pageBreakBefore w:val="0"/>
        <w:kinsoku/>
        <w:wordWrap/>
        <w:overflowPunct/>
        <w:topLinePunct w:val="0"/>
        <w:bidi w:val="0"/>
        <w:adjustRightInd/>
        <w:spacing w:after="0" w:line="360" w:lineRule="auto"/>
        <w:ind w:firstLine="422" w:firstLineChars="200"/>
        <w:jc w:val="left"/>
        <w:textAlignment w:val="auto"/>
        <w:rPr>
          <w:rFonts w:hint="eastAsia" w:ascii="仿宋" w:hAnsi="仿宋" w:eastAsia="仿宋" w:cs="仿宋"/>
          <w:b/>
          <w:bCs/>
          <w:color w:val="auto"/>
          <w:szCs w:val="28"/>
          <w:highlight w:val="none"/>
          <w:lang w:eastAsia="zh-CN"/>
        </w:rPr>
      </w:pPr>
      <w:r>
        <w:rPr>
          <w:rFonts w:hint="eastAsia" w:ascii="仿宋" w:hAnsi="仿宋" w:eastAsia="仿宋" w:cs="仿宋"/>
          <w:b/>
          <w:bCs/>
          <w:color w:val="auto"/>
          <w:szCs w:val="28"/>
          <w:highlight w:val="none"/>
          <w:lang w:val="en-US" w:eastAsia="zh-CN"/>
        </w:rPr>
        <w:t>招标</w:t>
      </w:r>
      <w:r>
        <w:rPr>
          <w:rFonts w:hint="eastAsia" w:ascii="仿宋" w:hAnsi="仿宋" w:eastAsia="仿宋" w:cs="仿宋"/>
          <w:b/>
          <w:bCs/>
          <w:color w:val="auto"/>
          <w:szCs w:val="28"/>
          <w:highlight w:val="none"/>
          <w:lang w:eastAsia="zh-CN"/>
        </w:rPr>
        <w:t>代理机构：</w:t>
      </w:r>
      <w:bookmarkStart w:id="40" w:name="OLE_LINK41"/>
      <w:r>
        <w:rPr>
          <w:rFonts w:hint="eastAsia" w:ascii="仿宋" w:hAnsi="仿宋" w:eastAsia="仿宋" w:cs="仿宋"/>
          <w:b/>
          <w:bCs/>
          <w:color w:val="auto"/>
          <w:szCs w:val="28"/>
          <w:highlight w:val="none"/>
          <w:lang w:eastAsia="zh-CN"/>
        </w:rPr>
        <w:t>昆明呈建项目管理咨询有限公司</w:t>
      </w:r>
      <w:bookmarkEnd w:id="40"/>
    </w:p>
    <w:p w14:paraId="79103407">
      <w:pPr>
        <w:keepNext w:val="0"/>
        <w:keepLines w:val="0"/>
        <w:pageBreakBefore w:val="0"/>
        <w:kinsoku/>
        <w:wordWrap/>
        <w:overflowPunct/>
        <w:topLinePunct w:val="0"/>
        <w:bidi w:val="0"/>
        <w:adjustRightInd/>
        <w:spacing w:after="0" w:line="360" w:lineRule="auto"/>
        <w:ind w:firstLine="420" w:firstLineChars="200"/>
        <w:jc w:val="left"/>
        <w:textAlignment w:val="auto"/>
        <w:rPr>
          <w:rFonts w:hint="eastAsia" w:ascii="仿宋" w:hAnsi="仿宋" w:eastAsia="仿宋" w:cs="仿宋"/>
          <w:color w:val="auto"/>
          <w:szCs w:val="28"/>
          <w:highlight w:val="none"/>
          <w:lang w:eastAsia="zh-CN"/>
        </w:rPr>
      </w:pPr>
      <w:r>
        <w:rPr>
          <w:rFonts w:hint="eastAsia" w:ascii="仿宋" w:hAnsi="仿宋" w:eastAsia="仿宋" w:cs="仿宋"/>
          <w:color w:val="auto"/>
          <w:szCs w:val="28"/>
          <w:highlight w:val="none"/>
          <w:lang w:eastAsia="zh-CN"/>
        </w:rPr>
        <w:t>地    址：呈贡新区创业园三楼（谊康北路与春融街交叉口）</w:t>
      </w:r>
    </w:p>
    <w:p w14:paraId="052F1702">
      <w:pPr>
        <w:keepNext w:val="0"/>
        <w:keepLines w:val="0"/>
        <w:pageBreakBefore w:val="0"/>
        <w:kinsoku/>
        <w:wordWrap/>
        <w:overflowPunct/>
        <w:topLinePunct w:val="0"/>
        <w:bidi w:val="0"/>
        <w:adjustRightInd/>
        <w:spacing w:after="0" w:line="360" w:lineRule="auto"/>
        <w:ind w:firstLine="420" w:firstLineChars="200"/>
        <w:jc w:val="left"/>
        <w:textAlignment w:val="auto"/>
        <w:rPr>
          <w:rFonts w:hint="eastAsia" w:ascii="仿宋" w:hAnsi="仿宋" w:eastAsia="仿宋" w:cs="仿宋"/>
          <w:color w:val="auto"/>
          <w:szCs w:val="28"/>
          <w:highlight w:val="none"/>
          <w:lang w:eastAsia="zh-CN"/>
        </w:rPr>
      </w:pPr>
      <w:r>
        <w:rPr>
          <w:rFonts w:hint="eastAsia" w:ascii="仿宋" w:hAnsi="仿宋" w:eastAsia="仿宋" w:cs="仿宋"/>
          <w:color w:val="auto"/>
          <w:szCs w:val="28"/>
          <w:highlight w:val="none"/>
          <w:lang w:eastAsia="zh-CN"/>
        </w:rPr>
        <w:t>联 系 人：</w:t>
      </w:r>
      <w:r>
        <w:rPr>
          <w:rFonts w:hint="eastAsia" w:ascii="仿宋" w:hAnsi="仿宋" w:eastAsia="仿宋" w:cs="仿宋"/>
          <w:color w:val="auto"/>
          <w:szCs w:val="28"/>
          <w:highlight w:val="none"/>
          <w:lang w:val="en-US" w:eastAsia="zh-CN"/>
        </w:rPr>
        <w:t>陈工、</w:t>
      </w:r>
      <w:r>
        <w:rPr>
          <w:rFonts w:hint="eastAsia" w:ascii="仿宋" w:hAnsi="仿宋" w:eastAsia="仿宋" w:cs="仿宋"/>
          <w:color w:val="auto"/>
          <w:szCs w:val="28"/>
          <w:highlight w:val="none"/>
          <w:lang w:eastAsia="zh-CN"/>
        </w:rPr>
        <w:t>吴工、</w:t>
      </w:r>
      <w:r>
        <w:rPr>
          <w:rFonts w:hint="eastAsia" w:ascii="仿宋" w:hAnsi="仿宋" w:eastAsia="仿宋" w:cs="仿宋"/>
          <w:color w:val="auto"/>
          <w:szCs w:val="28"/>
          <w:highlight w:val="none"/>
          <w:lang w:val="en-US" w:eastAsia="zh-CN"/>
        </w:rPr>
        <w:t>王</w:t>
      </w:r>
      <w:r>
        <w:rPr>
          <w:rFonts w:hint="eastAsia" w:ascii="仿宋" w:hAnsi="仿宋" w:eastAsia="仿宋" w:cs="仿宋"/>
          <w:color w:val="auto"/>
          <w:szCs w:val="28"/>
          <w:highlight w:val="none"/>
          <w:lang w:eastAsia="zh-CN"/>
        </w:rPr>
        <w:t>工</w:t>
      </w:r>
    </w:p>
    <w:p w14:paraId="41E31114">
      <w:pPr>
        <w:keepNext w:val="0"/>
        <w:keepLines w:val="0"/>
        <w:pageBreakBefore w:val="0"/>
        <w:kinsoku/>
        <w:wordWrap/>
        <w:overflowPunct/>
        <w:topLinePunct w:val="0"/>
        <w:bidi w:val="0"/>
        <w:adjustRightInd/>
        <w:spacing w:after="0" w:line="360" w:lineRule="auto"/>
        <w:ind w:firstLine="420" w:firstLineChars="200"/>
        <w:jc w:val="left"/>
        <w:textAlignment w:val="auto"/>
        <w:rPr>
          <w:rFonts w:hint="eastAsia" w:ascii="仿宋" w:hAnsi="仿宋" w:eastAsia="仿宋" w:cs="仿宋"/>
          <w:color w:val="auto"/>
          <w:szCs w:val="28"/>
          <w:highlight w:val="none"/>
          <w:lang w:eastAsia="zh-CN"/>
        </w:rPr>
      </w:pPr>
      <w:r>
        <w:rPr>
          <w:rFonts w:hint="eastAsia" w:ascii="仿宋" w:hAnsi="仿宋" w:eastAsia="仿宋" w:cs="仿宋"/>
          <w:color w:val="auto"/>
          <w:szCs w:val="28"/>
          <w:highlight w:val="none"/>
          <w:lang w:eastAsia="zh-CN"/>
        </w:rPr>
        <w:t>联系电话：0871-65956765</w:t>
      </w:r>
    </w:p>
    <w:p w14:paraId="1630EE39"/>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6898558"/>
    <w:multiLevelType w:val="multilevel"/>
    <w:tmpl w:val="16898558"/>
    <w:lvl w:ilvl="0" w:tentative="0">
      <w:start w:val="1"/>
      <w:numFmt w:val="decimal"/>
      <w:pStyle w:val="13"/>
      <w:lvlText w:val="%1."/>
      <w:lvlJc w:val="left"/>
      <w:pPr>
        <w:ind w:left="432" w:hanging="432"/>
      </w:pPr>
      <w:rPr>
        <w:rFonts w:hint="default"/>
        <w:b/>
        <w:sz w:val="24"/>
      </w:rPr>
    </w:lvl>
    <w:lvl w:ilvl="1" w:tentative="0">
      <w:start w:val="1"/>
      <w:numFmt w:val="decimal"/>
      <w:pStyle w:val="2"/>
      <w:lvlText w:val="%1.%2."/>
      <w:lvlJc w:val="left"/>
      <w:pPr>
        <w:ind w:left="575" w:hanging="575"/>
      </w:pPr>
      <w:rPr>
        <w:rFonts w:hint="default"/>
      </w:rPr>
    </w:lvl>
    <w:lvl w:ilvl="2" w:tentative="0">
      <w:start w:val="1"/>
      <w:numFmt w:val="decimal"/>
      <w:pStyle w:val="3"/>
      <w:lvlText w:val="%1.%2.%3."/>
      <w:lvlJc w:val="left"/>
      <w:pPr>
        <w:ind w:left="720" w:hanging="720"/>
      </w:pPr>
      <w:rPr>
        <w:rFonts w:hint="default"/>
      </w:rPr>
    </w:lvl>
    <w:lvl w:ilvl="3" w:tentative="0">
      <w:start w:val="1"/>
      <w:numFmt w:val="decimal"/>
      <w:pStyle w:val="4"/>
      <w:lvlText w:val="%1.%2.%3.%4."/>
      <w:lvlJc w:val="left"/>
      <w:pPr>
        <w:ind w:left="864" w:hanging="864"/>
      </w:pPr>
      <w:rPr>
        <w:rFonts w:hint="default"/>
      </w:rPr>
    </w:lvl>
    <w:lvl w:ilvl="4" w:tentative="0">
      <w:start w:val="1"/>
      <w:numFmt w:val="decimal"/>
      <w:pStyle w:val="5"/>
      <w:lvlText w:val="%1.%2.%3.%4.%5."/>
      <w:lvlJc w:val="left"/>
      <w:pPr>
        <w:ind w:left="1008" w:hanging="1008"/>
      </w:pPr>
      <w:rPr>
        <w:rFonts w:hint="default"/>
      </w:rPr>
    </w:lvl>
    <w:lvl w:ilvl="5" w:tentative="0">
      <w:start w:val="1"/>
      <w:numFmt w:val="decimal"/>
      <w:pStyle w:val="6"/>
      <w:lvlText w:val="%1.%2.%3.%4.%5.%6."/>
      <w:lvlJc w:val="left"/>
      <w:pPr>
        <w:ind w:left="1151" w:hanging="1151"/>
      </w:pPr>
      <w:rPr>
        <w:rFonts w:hint="default"/>
      </w:rPr>
    </w:lvl>
    <w:lvl w:ilvl="6" w:tentative="0">
      <w:start w:val="1"/>
      <w:numFmt w:val="decimal"/>
      <w:pStyle w:val="7"/>
      <w:lvlText w:val="%1.%2.%3.%4.%5.%6.%7."/>
      <w:lvlJc w:val="left"/>
      <w:pPr>
        <w:ind w:left="1296" w:hanging="1296"/>
      </w:pPr>
      <w:rPr>
        <w:rFonts w:hint="default"/>
      </w:rPr>
    </w:lvl>
    <w:lvl w:ilvl="7" w:tentative="0">
      <w:start w:val="1"/>
      <w:numFmt w:val="decimal"/>
      <w:pStyle w:val="8"/>
      <w:lvlText w:val="%1.%2.%3.%4.%5.%6.%7.%8."/>
      <w:lvlJc w:val="left"/>
      <w:pPr>
        <w:ind w:left="1440" w:hanging="1440"/>
      </w:pPr>
      <w:rPr>
        <w:rFonts w:hint="default"/>
      </w:rPr>
    </w:lvl>
    <w:lvl w:ilvl="8" w:tentative="0">
      <w:start w:val="1"/>
      <w:numFmt w:val="decimal"/>
      <w:pStyle w:val="9"/>
      <w:lvlText w:val="%1.%2.%3.%4.%5.%6.%7.%8.%9."/>
      <w:lvlJc w:val="left"/>
      <w:pPr>
        <w:ind w:left="1583" w:hanging="1583"/>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4"/>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I3ZGI5Nzk4ZTE4NjRiNmNlMmIwNmE5OWExMzA0ZjcifQ=="/>
  </w:docVars>
  <w:rsids>
    <w:rsidRoot w:val="696B0664"/>
    <w:rsid w:val="017F1F08"/>
    <w:rsid w:val="054536C5"/>
    <w:rsid w:val="0748162E"/>
    <w:rsid w:val="0FB1535A"/>
    <w:rsid w:val="14F60295"/>
    <w:rsid w:val="17903BC2"/>
    <w:rsid w:val="1A9A58AE"/>
    <w:rsid w:val="1E371416"/>
    <w:rsid w:val="20AE092B"/>
    <w:rsid w:val="21E959D9"/>
    <w:rsid w:val="224D0DE2"/>
    <w:rsid w:val="25CE1CB8"/>
    <w:rsid w:val="2D7A08B9"/>
    <w:rsid w:val="30137B8B"/>
    <w:rsid w:val="38A82AE6"/>
    <w:rsid w:val="3A792031"/>
    <w:rsid w:val="42B3320C"/>
    <w:rsid w:val="457E49B2"/>
    <w:rsid w:val="48AD366B"/>
    <w:rsid w:val="4ADA62CF"/>
    <w:rsid w:val="4C846229"/>
    <w:rsid w:val="53E757A2"/>
    <w:rsid w:val="59CC0EA9"/>
    <w:rsid w:val="5FD47684"/>
    <w:rsid w:val="60C92B59"/>
    <w:rsid w:val="671251BB"/>
    <w:rsid w:val="676823FF"/>
    <w:rsid w:val="696B0664"/>
    <w:rsid w:val="6B7318C2"/>
    <w:rsid w:val="6D792A1E"/>
    <w:rsid w:val="701C12CB"/>
    <w:rsid w:val="75B93FE3"/>
    <w:rsid w:val="7E53673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after="160" w:line="259" w:lineRule="auto"/>
      <w:jc w:val="both"/>
    </w:pPr>
    <w:rPr>
      <w:rFonts w:ascii="Times New Roman" w:hAnsi="Times New Roman" w:eastAsia="宋体" w:cs="Times New Roman"/>
      <w:kern w:val="2"/>
      <w:sz w:val="21"/>
      <w:lang w:val="en-US" w:eastAsia="zh-CN" w:bidi="ar-SA"/>
    </w:rPr>
  </w:style>
  <w:style w:type="paragraph" w:styleId="2">
    <w:name w:val="heading 2"/>
    <w:basedOn w:val="1"/>
    <w:next w:val="1"/>
    <w:semiHidden/>
    <w:unhideWhenUsed/>
    <w:qFormat/>
    <w:uiPriority w:val="0"/>
    <w:pPr>
      <w:keepNext/>
      <w:keepLines/>
      <w:numPr>
        <w:ilvl w:val="1"/>
        <w:numId w:val="1"/>
      </w:numPr>
      <w:spacing w:before="260" w:beforeLines="0" w:beforeAutospacing="0" w:after="260" w:afterLines="0" w:afterAutospacing="0" w:line="413" w:lineRule="auto"/>
      <w:ind w:left="575" w:hanging="575"/>
      <w:outlineLvl w:val="1"/>
    </w:pPr>
    <w:rPr>
      <w:rFonts w:ascii="Arial" w:hAnsi="Arial" w:eastAsia="黑体"/>
      <w:b/>
      <w:sz w:val="32"/>
    </w:rPr>
  </w:style>
  <w:style w:type="paragraph" w:styleId="3">
    <w:name w:val="heading 3"/>
    <w:basedOn w:val="1"/>
    <w:next w:val="1"/>
    <w:semiHidden/>
    <w:unhideWhenUsed/>
    <w:qFormat/>
    <w:uiPriority w:val="0"/>
    <w:pPr>
      <w:keepNext/>
      <w:keepLines/>
      <w:numPr>
        <w:ilvl w:val="2"/>
        <w:numId w:val="1"/>
      </w:numPr>
      <w:spacing w:before="260" w:beforeLines="0" w:beforeAutospacing="0" w:after="260" w:afterLines="0" w:afterAutospacing="0" w:line="413" w:lineRule="auto"/>
      <w:ind w:left="720" w:hanging="720"/>
      <w:outlineLvl w:val="2"/>
    </w:pPr>
    <w:rPr>
      <w:b/>
      <w:sz w:val="32"/>
    </w:rPr>
  </w:style>
  <w:style w:type="paragraph" w:styleId="4">
    <w:name w:val="heading 4"/>
    <w:basedOn w:val="1"/>
    <w:next w:val="1"/>
    <w:semiHidden/>
    <w:unhideWhenUsed/>
    <w:qFormat/>
    <w:uiPriority w:val="0"/>
    <w:pPr>
      <w:keepNext/>
      <w:keepLines/>
      <w:numPr>
        <w:ilvl w:val="3"/>
        <w:numId w:val="1"/>
      </w:numPr>
      <w:spacing w:before="280" w:beforeLines="0" w:beforeAutospacing="0" w:after="290" w:afterLines="0" w:afterAutospacing="0" w:line="372" w:lineRule="auto"/>
      <w:ind w:left="864" w:hanging="864"/>
      <w:outlineLvl w:val="3"/>
    </w:pPr>
    <w:rPr>
      <w:rFonts w:ascii="Arial" w:hAnsi="Arial" w:eastAsia="黑体"/>
      <w:b/>
      <w:sz w:val="28"/>
    </w:rPr>
  </w:style>
  <w:style w:type="paragraph" w:styleId="5">
    <w:name w:val="heading 5"/>
    <w:basedOn w:val="1"/>
    <w:next w:val="1"/>
    <w:semiHidden/>
    <w:unhideWhenUsed/>
    <w:qFormat/>
    <w:uiPriority w:val="0"/>
    <w:pPr>
      <w:keepNext/>
      <w:keepLines/>
      <w:numPr>
        <w:ilvl w:val="4"/>
        <w:numId w:val="1"/>
      </w:numPr>
      <w:spacing w:before="280" w:beforeLines="0" w:beforeAutospacing="0" w:after="290" w:afterLines="0" w:afterAutospacing="0" w:line="372" w:lineRule="auto"/>
      <w:ind w:left="1008" w:hanging="1008"/>
      <w:outlineLvl w:val="4"/>
    </w:pPr>
    <w:rPr>
      <w:b/>
      <w:sz w:val="28"/>
    </w:rPr>
  </w:style>
  <w:style w:type="paragraph" w:styleId="6">
    <w:name w:val="heading 6"/>
    <w:basedOn w:val="1"/>
    <w:next w:val="1"/>
    <w:semiHidden/>
    <w:unhideWhenUsed/>
    <w:qFormat/>
    <w:uiPriority w:val="0"/>
    <w:pPr>
      <w:keepNext/>
      <w:keepLines/>
      <w:numPr>
        <w:ilvl w:val="5"/>
        <w:numId w:val="1"/>
      </w:numPr>
      <w:spacing w:before="240" w:beforeLines="0" w:beforeAutospacing="0" w:after="64" w:afterLines="0" w:afterAutospacing="0" w:line="317" w:lineRule="auto"/>
      <w:ind w:left="1151" w:hanging="1151"/>
      <w:outlineLvl w:val="5"/>
    </w:pPr>
    <w:rPr>
      <w:rFonts w:ascii="Arial" w:hAnsi="Arial" w:eastAsia="黑体"/>
      <w:b/>
      <w:sz w:val="24"/>
    </w:rPr>
  </w:style>
  <w:style w:type="paragraph" w:styleId="7">
    <w:name w:val="heading 7"/>
    <w:basedOn w:val="1"/>
    <w:next w:val="1"/>
    <w:semiHidden/>
    <w:unhideWhenUsed/>
    <w:qFormat/>
    <w:uiPriority w:val="0"/>
    <w:pPr>
      <w:keepNext/>
      <w:keepLines/>
      <w:numPr>
        <w:ilvl w:val="6"/>
        <w:numId w:val="1"/>
      </w:numPr>
      <w:spacing w:before="240" w:beforeLines="0" w:beforeAutospacing="0" w:after="64" w:afterLines="0" w:afterAutospacing="0" w:line="317" w:lineRule="auto"/>
      <w:ind w:left="1296" w:hanging="1296"/>
      <w:outlineLvl w:val="6"/>
    </w:pPr>
    <w:rPr>
      <w:b/>
      <w:sz w:val="24"/>
    </w:rPr>
  </w:style>
  <w:style w:type="paragraph" w:styleId="8">
    <w:name w:val="heading 8"/>
    <w:basedOn w:val="1"/>
    <w:next w:val="1"/>
    <w:semiHidden/>
    <w:unhideWhenUsed/>
    <w:qFormat/>
    <w:uiPriority w:val="0"/>
    <w:pPr>
      <w:keepNext/>
      <w:keepLines/>
      <w:numPr>
        <w:ilvl w:val="7"/>
        <w:numId w:val="1"/>
      </w:numPr>
      <w:spacing w:before="240" w:beforeLines="0" w:beforeAutospacing="0" w:after="64" w:afterLines="0" w:afterAutospacing="0" w:line="317" w:lineRule="auto"/>
      <w:ind w:left="1440" w:hanging="1440"/>
      <w:outlineLvl w:val="7"/>
    </w:pPr>
    <w:rPr>
      <w:rFonts w:ascii="Arial" w:hAnsi="Arial" w:eastAsia="黑体"/>
      <w:sz w:val="24"/>
    </w:rPr>
  </w:style>
  <w:style w:type="paragraph" w:styleId="9">
    <w:name w:val="heading 9"/>
    <w:basedOn w:val="1"/>
    <w:next w:val="1"/>
    <w:semiHidden/>
    <w:unhideWhenUsed/>
    <w:qFormat/>
    <w:uiPriority w:val="0"/>
    <w:pPr>
      <w:keepNext/>
      <w:keepLines/>
      <w:numPr>
        <w:ilvl w:val="8"/>
        <w:numId w:val="1"/>
      </w:numPr>
      <w:spacing w:before="240" w:beforeLines="0" w:beforeAutospacing="0" w:after="64" w:afterLines="0" w:afterAutospacing="0" w:line="317" w:lineRule="auto"/>
      <w:ind w:left="1583" w:hanging="1583"/>
      <w:outlineLvl w:val="8"/>
    </w:pPr>
    <w:rPr>
      <w:rFonts w:ascii="Arial" w:hAnsi="Arial" w:eastAsia="黑体"/>
      <w:sz w:val="21"/>
    </w:rPr>
  </w:style>
  <w:style w:type="character" w:default="1" w:styleId="12">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10">
    <w:name w:val="Body Text"/>
    <w:basedOn w:val="1"/>
    <w:qFormat/>
    <w:uiPriority w:val="0"/>
    <w:rPr>
      <w:b/>
      <w:bCs/>
      <w:color w:val="0000FF"/>
      <w:sz w:val="24"/>
      <w:szCs w:val="24"/>
    </w:rPr>
  </w:style>
  <w:style w:type="paragraph" w:customStyle="1" w:styleId="13">
    <w:name w:val="样式1"/>
    <w:basedOn w:val="1"/>
    <w:qFormat/>
    <w:uiPriority w:val="0"/>
    <w:pPr>
      <w:numPr>
        <w:ilvl w:val="0"/>
        <w:numId w:val="1"/>
      </w:numPr>
      <w:tabs>
        <w:tab w:val="center" w:pos="4153"/>
      </w:tabs>
      <w:spacing w:line="240" w:lineRule="auto"/>
      <w:ind w:firstLine="422" w:firstLineChars="200"/>
      <w:jc w:val="left"/>
    </w:pPr>
    <w:rPr>
      <w:rFonts w:hint="eastAsia" w:ascii="宋体" w:hAnsi="宋体" w:eastAsia="宋体" w:cs="宋体"/>
      <w:sz w:val="24"/>
      <w:szCs w:val="24"/>
    </w:rPr>
  </w:style>
  <w:style w:type="paragraph" w:styleId="14">
    <w:name w:val="List Paragraph"/>
    <w:basedOn w:val="1"/>
    <w:qFormat/>
    <w:uiPriority w:val="99"/>
    <w:pPr>
      <w:ind w:firstLine="420" w:firstLineChars="200"/>
    </w:pPr>
  </w:style>
  <w:style w:type="paragraph" w:customStyle="1" w:styleId="15">
    <w:name w:val="实施方案正文"/>
    <w:basedOn w:val="1"/>
    <w:qFormat/>
    <w:uiPriority w:val="99"/>
    <w:pPr>
      <w:ind w:firstLine="566" w:firstLineChars="202"/>
    </w:pPr>
    <w:rPr>
      <w:kern w:val="0"/>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0</TotalTime>
  <ScaleCrop>false</ScaleCrop>
  <LinksUpToDate>false</LinksUpToDate>
  <CharactersWithSpaces>0</CharactersWithSpaces>
  <Application>WPS Office_12.1.0.17827_F1E327BC-269C-435d-A152-05C5408002CA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2026-03-24T09:33:00Z</dcterms:created>
  <dc:creator>www</dc:creator>
  <cp:lastModifiedBy>www</cp:lastModifiedBy>
  <dcterms:modified xsi:type="dcterms:W3CDTF">2026-03-24T09:34:08Z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D0DEC13F64D14078971844C4A4C52F0A_11</vt:lpwstr>
  </property>
</Properties>
</file>