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47322">
      <w:pPr>
        <w:spacing w:line="520" w:lineRule="exact"/>
        <w:jc w:val="center"/>
        <w:rPr>
          <w:rFonts w:hint="eastAsia" w:ascii="新宋体" w:hAnsi="新宋体" w:eastAsia="新宋体" w:cs="新宋体"/>
          <w:b/>
          <w:kern w:val="0"/>
          <w:sz w:val="30"/>
          <w:szCs w:val="30"/>
        </w:rPr>
      </w:pPr>
      <w:bookmarkStart w:id="0" w:name="_Hlk76647420"/>
      <w:bookmarkStart w:id="1" w:name="_Hlk97821142"/>
      <w:r>
        <w:rPr>
          <w:rFonts w:hint="eastAsia" w:ascii="新宋体" w:hAnsi="新宋体" w:eastAsia="新宋体" w:cs="新宋体"/>
          <w:b/>
          <w:sz w:val="30"/>
          <w:szCs w:val="30"/>
        </w:rPr>
        <w:t>昆明市八个配售型保障房项目权籍调查及不动产权办理服务机构</w:t>
      </w:r>
    </w:p>
    <w:p w14:paraId="7911A87A">
      <w:pPr>
        <w:widowControl/>
        <w:spacing w:line="520" w:lineRule="exact"/>
        <w:jc w:val="center"/>
        <w:rPr>
          <w:rFonts w:hint="eastAsia" w:ascii="新宋体" w:hAnsi="新宋体" w:eastAsia="新宋体" w:cs="新宋体"/>
          <w:b/>
          <w:kern w:val="0"/>
          <w:sz w:val="30"/>
          <w:szCs w:val="30"/>
        </w:rPr>
      </w:pPr>
      <w:r>
        <w:rPr>
          <w:rFonts w:hint="eastAsia" w:ascii="新宋体" w:hAnsi="新宋体" w:eastAsia="新宋体" w:cs="新宋体"/>
          <w:b/>
          <w:kern w:val="0"/>
          <w:sz w:val="30"/>
          <w:szCs w:val="30"/>
        </w:rPr>
        <w:t>招 标 公 告</w:t>
      </w:r>
    </w:p>
    <w:bookmarkEnd w:id="0"/>
    <w:bookmarkEnd w:id="1"/>
    <w:p w14:paraId="35795B50">
      <w:pPr>
        <w:pStyle w:val="3"/>
        <w:spacing w:before="0" w:after="0" w:line="440" w:lineRule="atLeast"/>
        <w:rPr>
          <w:rFonts w:hint="eastAsia" w:ascii="新宋体" w:hAnsi="新宋体" w:eastAsia="新宋体" w:cs="新宋体"/>
          <w:b/>
          <w:bCs/>
          <w:color w:val="auto"/>
          <w:sz w:val="21"/>
          <w:szCs w:val="21"/>
        </w:rPr>
      </w:pPr>
      <w:bookmarkStart w:id="2" w:name="_Toc92214653"/>
      <w:bookmarkStart w:id="3" w:name="_Toc36848065"/>
      <w:bookmarkStart w:id="4" w:name="_Toc113476933"/>
      <w:bookmarkStart w:id="5" w:name="_Toc114001343"/>
      <w:bookmarkStart w:id="6" w:name="_Toc48316883"/>
      <w:bookmarkStart w:id="7" w:name="_Toc17260"/>
      <w:bookmarkStart w:id="8" w:name="_Toc165030508"/>
      <w:bookmarkStart w:id="9" w:name="_Toc247513934"/>
      <w:bookmarkStart w:id="10" w:name="_Toc152045512"/>
      <w:bookmarkStart w:id="11" w:name="_Toc152042288"/>
      <w:bookmarkStart w:id="12" w:name="_Toc247527535"/>
      <w:bookmarkStart w:id="13" w:name="_Toc144974480"/>
      <w:r>
        <w:rPr>
          <w:rFonts w:hint="eastAsia" w:ascii="新宋体" w:hAnsi="新宋体" w:eastAsia="新宋体" w:cs="新宋体"/>
          <w:b/>
          <w:bCs/>
          <w:color w:val="auto"/>
          <w:sz w:val="21"/>
          <w:szCs w:val="21"/>
        </w:rPr>
        <w:t>1.招标条件</w:t>
      </w:r>
      <w:bookmarkEnd w:id="2"/>
      <w:bookmarkEnd w:id="3"/>
      <w:bookmarkEnd w:id="4"/>
      <w:bookmarkEnd w:id="5"/>
      <w:bookmarkEnd w:id="6"/>
      <w:bookmarkEnd w:id="7"/>
      <w:bookmarkEnd w:id="8"/>
      <w:bookmarkEnd w:id="9"/>
      <w:bookmarkEnd w:id="10"/>
      <w:bookmarkEnd w:id="11"/>
      <w:bookmarkEnd w:id="12"/>
      <w:bookmarkEnd w:id="13"/>
    </w:p>
    <w:p w14:paraId="0BB0E3CF">
      <w:pPr>
        <w:spacing w:line="440" w:lineRule="atLeast"/>
        <w:ind w:firstLine="420" w:firstLineChars="200"/>
        <w:rPr>
          <w:rFonts w:hint="eastAsia" w:ascii="新宋体" w:hAnsi="新宋体" w:eastAsia="新宋体" w:cs="新宋体"/>
          <w:kern w:val="0"/>
          <w:szCs w:val="21"/>
        </w:rPr>
      </w:pPr>
      <w:r>
        <w:rPr>
          <w:rFonts w:hint="eastAsia" w:ascii="新宋体" w:hAnsi="新宋体" w:eastAsia="新宋体" w:cs="新宋体"/>
          <w:szCs w:val="21"/>
        </w:rPr>
        <w:t>本项目</w:t>
      </w:r>
      <w:bookmarkStart w:id="14" w:name="_Hlk220600663"/>
      <w:r>
        <w:rPr>
          <w:rFonts w:hint="eastAsia" w:ascii="新宋体" w:hAnsi="新宋体" w:eastAsia="新宋体" w:cs="新宋体"/>
          <w:szCs w:val="21"/>
          <w:u w:val="single"/>
        </w:rPr>
        <w:t>昆明市八个配售型保障房项目权籍调查及不动产权办理服务机构</w:t>
      </w:r>
      <w:bookmarkEnd w:id="14"/>
      <w:r>
        <w:rPr>
          <w:rFonts w:hint="eastAsia" w:ascii="新宋体" w:hAnsi="新宋体" w:eastAsia="新宋体" w:cs="新宋体"/>
          <w:szCs w:val="21"/>
        </w:rPr>
        <w:t>所包含的</w:t>
      </w:r>
      <w:r>
        <w:rPr>
          <w:rFonts w:hint="eastAsia" w:ascii="新宋体" w:hAnsi="新宋体" w:eastAsia="新宋体" w:cs="新宋体"/>
          <w:szCs w:val="21"/>
          <w:u w:val="single"/>
        </w:rPr>
        <w:t>八个配售型保障房项目为（昆明市官渡区方旺片区KCGD2024-1号地块保障性住房项目、昆明市盘龙区北部山水新城片区KCPL2024-1号地块保障性住房项目、昆明市盘龙区北部山水新城片区KCPL2024-2号地块保障性住房项目、昆明市呈贡区吴家营街道KCC2024-2号地块保障性住房项目、昆明市西山区草海片区KCXS2024-2号地块保障性住房项目、昆明市西山区草海片区KCXS2024-3号地块保障性住房项目、昆明市西山区草海片区KCXS2024-4号地块保障性住房项目、昆明市盘龙区青云街道KCPL2024-9号地块保障性住房项目）</w:t>
      </w:r>
      <w:r>
        <w:rPr>
          <w:rFonts w:hint="eastAsia" w:ascii="新宋体" w:hAnsi="新宋体" w:eastAsia="新宋体" w:cs="新宋体"/>
          <w:szCs w:val="21"/>
        </w:rPr>
        <w:t>已分别由</w:t>
      </w:r>
      <w:r>
        <w:rPr>
          <w:rFonts w:hint="eastAsia" w:ascii="新宋体" w:hAnsi="新宋体" w:eastAsia="新宋体" w:cs="新宋体"/>
          <w:szCs w:val="21"/>
          <w:u w:val="single"/>
        </w:rPr>
        <w:t>昆明市发展和改革委员</w:t>
      </w:r>
      <w:r>
        <w:rPr>
          <w:rFonts w:hint="eastAsia" w:ascii="新宋体" w:hAnsi="新宋体" w:eastAsia="新宋体" w:cs="新宋体"/>
          <w:szCs w:val="21"/>
        </w:rPr>
        <w:t>会</w:t>
      </w:r>
      <w:r>
        <w:rPr>
          <w:rFonts w:hint="eastAsia" w:ascii="新宋体" w:hAnsi="新宋体" w:eastAsia="新宋体" w:cs="新宋体"/>
          <w:kern w:val="0"/>
          <w:szCs w:val="21"/>
        </w:rPr>
        <w:t>以</w:t>
      </w:r>
      <w:r>
        <w:rPr>
          <w:rFonts w:hint="eastAsia" w:ascii="新宋体" w:hAnsi="新宋体" w:eastAsia="新宋体" w:cs="新宋体"/>
          <w:kern w:val="0"/>
          <w:szCs w:val="21"/>
          <w:u w:val="single"/>
        </w:rPr>
        <w:t>昆发改投资〔2024〕50号、</w:t>
      </w:r>
      <w:bookmarkStart w:id="15" w:name="_Hlk220601098"/>
      <w:r>
        <w:rPr>
          <w:rFonts w:hint="eastAsia" w:ascii="新宋体" w:hAnsi="新宋体" w:eastAsia="新宋体" w:cs="新宋体"/>
          <w:kern w:val="0"/>
          <w:szCs w:val="21"/>
          <w:u w:val="single"/>
        </w:rPr>
        <w:t>昆发改投资〔2024〕51号</w:t>
      </w:r>
      <w:bookmarkEnd w:id="15"/>
      <w:r>
        <w:rPr>
          <w:rFonts w:hint="eastAsia" w:ascii="新宋体" w:hAnsi="新宋体" w:eastAsia="新宋体" w:cs="新宋体"/>
          <w:kern w:val="0"/>
          <w:szCs w:val="21"/>
          <w:u w:val="single"/>
        </w:rPr>
        <w:t>、昆发改投资〔2024〕52号、昆发改投资〔2024〕54号、昆发改投资〔2024〕56号、昆发改投资〔2024〕57号、昆发改投资〔2024〕58号、</w:t>
      </w:r>
      <w:bookmarkStart w:id="16" w:name="_Hlk220601511"/>
      <w:r>
        <w:rPr>
          <w:rFonts w:hint="eastAsia" w:ascii="新宋体" w:hAnsi="新宋体" w:eastAsia="新宋体" w:cs="新宋体"/>
          <w:kern w:val="0"/>
          <w:szCs w:val="21"/>
          <w:u w:val="single"/>
        </w:rPr>
        <w:t>昆发改投资〔2024〕486号</w:t>
      </w:r>
      <w:bookmarkEnd w:id="16"/>
      <w:r>
        <w:rPr>
          <w:rFonts w:hint="eastAsia" w:ascii="新宋体" w:hAnsi="新宋体" w:eastAsia="新宋体" w:cs="新宋体"/>
          <w:kern w:val="0"/>
          <w:szCs w:val="21"/>
        </w:rPr>
        <w:t>批准建设，</w:t>
      </w:r>
      <w:r>
        <w:rPr>
          <w:rFonts w:hint="eastAsia" w:ascii="新宋体" w:hAnsi="新宋体" w:eastAsia="新宋体" w:cs="新宋体"/>
          <w:szCs w:val="21"/>
        </w:rPr>
        <w:t>建设资金来自</w:t>
      </w:r>
      <w:r>
        <w:rPr>
          <w:rFonts w:hint="eastAsia" w:ascii="新宋体" w:hAnsi="新宋体" w:eastAsia="新宋体" w:cs="新宋体"/>
          <w:kern w:val="0"/>
          <w:szCs w:val="21"/>
          <w:u w:val="single"/>
        </w:rPr>
        <w:t>企业自筹，同时积极争取上级资金支持</w:t>
      </w:r>
      <w:r>
        <w:rPr>
          <w:rFonts w:hint="eastAsia" w:ascii="新宋体" w:hAnsi="新宋体" w:eastAsia="新宋体" w:cs="新宋体"/>
          <w:szCs w:val="21"/>
        </w:rPr>
        <w:t>，项目出资比例为</w:t>
      </w:r>
      <w:r>
        <w:rPr>
          <w:rFonts w:hint="eastAsia" w:ascii="新宋体" w:hAnsi="新宋体" w:eastAsia="新宋体" w:cs="新宋体"/>
          <w:szCs w:val="21"/>
          <w:u w:val="single"/>
        </w:rPr>
        <w:t>100%</w:t>
      </w:r>
      <w:r>
        <w:rPr>
          <w:rFonts w:hint="eastAsia" w:ascii="新宋体" w:hAnsi="新宋体" w:eastAsia="新宋体" w:cs="新宋体"/>
          <w:szCs w:val="21"/>
        </w:rPr>
        <w:t>，招标人为</w:t>
      </w:r>
      <w:r>
        <w:rPr>
          <w:rFonts w:hint="eastAsia" w:ascii="新宋体" w:hAnsi="新宋体" w:eastAsia="新宋体" w:cs="新宋体"/>
          <w:kern w:val="0"/>
          <w:szCs w:val="21"/>
          <w:u w:val="single"/>
        </w:rPr>
        <w:t>昆明惠居保障房建设管理有限公司</w:t>
      </w:r>
      <w:r>
        <w:rPr>
          <w:rFonts w:hint="eastAsia" w:ascii="新宋体" w:hAnsi="新宋体" w:eastAsia="新宋体" w:cs="新宋体"/>
          <w:kern w:val="0"/>
          <w:szCs w:val="21"/>
        </w:rPr>
        <w:t>。项目已具备招标条件，现对该项目</w:t>
      </w:r>
      <w:r>
        <w:rPr>
          <w:rFonts w:hint="eastAsia" w:ascii="新宋体" w:hAnsi="新宋体" w:eastAsia="新宋体" w:cs="新宋体"/>
          <w:szCs w:val="21"/>
        </w:rPr>
        <w:t>的</w:t>
      </w:r>
      <w:r>
        <w:rPr>
          <w:rFonts w:hint="eastAsia" w:ascii="新宋体" w:hAnsi="新宋体" w:eastAsia="新宋体" w:cs="新宋体"/>
          <w:szCs w:val="21"/>
          <w:u w:val="single"/>
        </w:rPr>
        <w:t>权籍调查及不动产权办理服务机构</w:t>
      </w:r>
      <w:r>
        <w:rPr>
          <w:rFonts w:hint="eastAsia" w:ascii="新宋体" w:hAnsi="新宋体" w:eastAsia="新宋体" w:cs="新宋体"/>
          <w:szCs w:val="21"/>
        </w:rPr>
        <w:t>进行公开招标。</w:t>
      </w:r>
    </w:p>
    <w:p w14:paraId="1C202437">
      <w:pPr>
        <w:pStyle w:val="3"/>
        <w:spacing w:before="0" w:after="0" w:line="440" w:lineRule="atLeast"/>
        <w:rPr>
          <w:rFonts w:hint="eastAsia" w:ascii="新宋体" w:hAnsi="新宋体" w:eastAsia="新宋体" w:cs="新宋体"/>
          <w:b/>
          <w:bCs/>
          <w:color w:val="auto"/>
          <w:sz w:val="21"/>
          <w:szCs w:val="21"/>
        </w:rPr>
      </w:pPr>
      <w:bookmarkStart w:id="17" w:name="_Toc36848066"/>
      <w:bookmarkStart w:id="18" w:name="_Toc27232"/>
      <w:bookmarkStart w:id="19" w:name="_Toc247527536"/>
      <w:bookmarkStart w:id="20" w:name="_Toc92214654"/>
      <w:bookmarkStart w:id="21" w:name="_Toc113476934"/>
      <w:bookmarkStart w:id="22" w:name="_Toc152042289"/>
      <w:bookmarkStart w:id="23" w:name="_Toc152045513"/>
      <w:bookmarkStart w:id="24" w:name="_Toc247513935"/>
      <w:bookmarkStart w:id="25" w:name="_Toc144974481"/>
      <w:bookmarkStart w:id="26" w:name="_Toc165030509"/>
      <w:bookmarkStart w:id="27" w:name="_Toc48316884"/>
      <w:bookmarkStart w:id="28" w:name="_Toc114001344"/>
      <w:r>
        <w:rPr>
          <w:rFonts w:hint="eastAsia" w:ascii="新宋体" w:hAnsi="新宋体" w:eastAsia="新宋体" w:cs="新宋体"/>
          <w:b/>
          <w:bCs/>
          <w:color w:val="auto"/>
          <w:sz w:val="21"/>
          <w:szCs w:val="21"/>
        </w:rPr>
        <w:t>2.项目概况与招标范围</w:t>
      </w:r>
      <w:bookmarkEnd w:id="17"/>
      <w:bookmarkEnd w:id="18"/>
      <w:bookmarkEnd w:id="19"/>
      <w:bookmarkEnd w:id="20"/>
      <w:bookmarkEnd w:id="21"/>
      <w:bookmarkEnd w:id="22"/>
      <w:bookmarkEnd w:id="23"/>
      <w:bookmarkEnd w:id="24"/>
      <w:bookmarkEnd w:id="25"/>
      <w:bookmarkEnd w:id="26"/>
      <w:bookmarkEnd w:id="27"/>
      <w:bookmarkEnd w:id="28"/>
    </w:p>
    <w:p w14:paraId="181A054F">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2.1 项目概况：</w:t>
      </w:r>
      <w:bookmarkStart w:id="29" w:name="_Hlk148184410"/>
      <w:bookmarkStart w:id="30" w:name="_Hlk224043013"/>
      <w:r>
        <w:rPr>
          <w:rFonts w:hint="eastAsia" w:ascii="新宋体" w:hAnsi="新宋体" w:eastAsia="新宋体" w:cs="新宋体"/>
          <w:szCs w:val="21"/>
        </w:rPr>
        <w:t>昆明市八个配售型保障房项目，权籍暂估调查面积共计875625.90平方米。现根据项目建设需要为以下地块开展项目权籍调查及不动产权办理工作：</w:t>
      </w:r>
    </w:p>
    <w:bookmarkEnd w:id="29"/>
    <w:p w14:paraId="394A6B6F">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1）昆明市官渡区方旺片区KCGD2024-1号地块保障性住房项目，项目规划用地面积12667.79.12平方米（约为19亩），总建筑面积50320.17平方米，权籍暂估调查面积52162.97平方米，总户数571户（住宅357户、车位211户、商业3户，合计571户）；</w:t>
      </w:r>
    </w:p>
    <w:p w14:paraId="770862F4">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昆明市盘龙区北部山水新城片区KCPL2024-1号地块保障性住房项目，项目规划用地面积20715平方米（约31.1亩），总建筑面积82744平方米，权籍暂估调查面积85938.78平方米，总户数980户（住宅585户、车位384户、商业11户，合计980户）</w:t>
      </w:r>
    </w:p>
    <w:p w14:paraId="17C91E7C">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昆明市盘龙区北部山水新城片区KCPL2024-2号地块保障性住房项目，项目规划用地面积22153平方米（约33.3亩），总建筑面积84429.23平方米，权籍暂估调查面积90785.29平方米，总户数991户（住宅601户、车位378户、商业12户，合计991户）；</w:t>
      </w:r>
    </w:p>
    <w:p w14:paraId="19A327A2">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4）昆明市呈贡区吴家营街道KCC2024-2号地块保障性住房项目，项目规划用地面积19376.00平方米（约29.06亩），总建筑面积39811.96平方米，权籍暂估调查面积41923.79平方米，总户数374户（住宅348户、车位22户、商业4户，合计374户）；</w:t>
      </w:r>
    </w:p>
    <w:p w14:paraId="23342840">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5）昆明市西山区草海片区KCXS2024-2号地块保障性住房项目，位于云南省昆明市西山区马街街道办事处，碧鸡路与规划46-4号道路尾端交叉口，左侧为西山区人民医院(新院项目地块规划净用地面积9354.69㎡，权籍暂估调查面积37798.85平方米，总户数436户（住宅288户、车位146户、商业2户，合计436户）</w:t>
      </w:r>
    </w:p>
    <w:p w14:paraId="22F8F425">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6）昆明市西山区草海片区KCXS2024-3号地块保障性住房项目，项目规划用地面积约为22.07亩），总建筑面积59256.78平方米，权籍暂估调查面积58570.3平方米，总户数681户（住宅454户、车位219户、商业8户，合计681户）；</w:t>
      </w:r>
    </w:p>
    <w:p w14:paraId="43BB0190">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（7）昆明市西山区草海片区KCXS2024-4号地块保障性住房项目，项目规划用地面积约为25.41亩，总建筑面积68187.71平方米，权籍暂估调查面积67588.92平方米，总户数800户（住宅525户、车位268户、商业7户，合计800户）；</w:t>
      </w:r>
    </w:p>
    <w:p w14:paraId="7837CE25">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（8）昆明市盘龙区青云街道KCPL2024-9号地块保障性住房项目，项目规划用地面积约为214.65亩，总建筑面积431432.49平方米，权籍暂估调查面积440857.00平方米，总户数5068户（住宅2768户、车位2300户，合计5068户）。</w:t>
      </w:r>
    </w:p>
    <w:bookmarkEnd w:id="30"/>
    <w:p w14:paraId="0FEC63AC">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2.2 建设地点：</w:t>
      </w:r>
      <w:bookmarkStart w:id="31" w:name="_Hlk113454884"/>
    </w:p>
    <w:p w14:paraId="7AB86545">
      <w:pPr>
        <w:spacing w:line="440" w:lineRule="atLeast"/>
        <w:ind w:firstLine="420" w:firstLineChars="200"/>
        <w:rPr>
          <w:rFonts w:hint="eastAsia" w:ascii="新宋体" w:hAnsi="新宋体" w:eastAsia="新宋体" w:cs="新宋体"/>
          <w:szCs w:val="21"/>
        </w:rPr>
      </w:pPr>
      <w:bookmarkStart w:id="32" w:name="_Hlk224043399"/>
      <w:r>
        <w:rPr>
          <w:rFonts w:hint="eastAsia" w:ascii="新宋体" w:hAnsi="新宋体" w:eastAsia="新宋体" w:cs="新宋体"/>
          <w:szCs w:val="21"/>
        </w:rPr>
        <w:t>（1）昆明市官渡区方旺片区KCGD2024-1号地块保障性住房项目，位于昆明市官渡区方旺片区；</w:t>
      </w:r>
    </w:p>
    <w:p w14:paraId="0F11F33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（2）昆明市盘龙区北部山水新城片区KCPL2024-1号地块保障性住房项目，</w:t>
      </w:r>
      <w:bookmarkStart w:id="33" w:name="_Hlk224043226"/>
      <w:r>
        <w:rPr>
          <w:rFonts w:hint="eastAsia" w:ascii="新宋体" w:hAnsi="新宋体" w:eastAsia="新宋体" w:cs="新宋体"/>
          <w:szCs w:val="21"/>
        </w:rPr>
        <w:t>位于昆明市盘龙区北部山水新城片区；</w:t>
      </w:r>
      <w:bookmarkEnd w:id="33"/>
    </w:p>
    <w:p w14:paraId="3EAC553B">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（3）昆明市盘龙区北部山水新城片区KCPL2024-2号地块保障性住房项目，位于昆明市盘龙区北部山水新城片区；</w:t>
      </w:r>
    </w:p>
    <w:p w14:paraId="744E8083">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（4）昆明市呈贡区吴家营街道KCC2024-2号地块保障性住房项目，位于昆明市呈贡区吴家营街道；</w:t>
      </w:r>
    </w:p>
    <w:p w14:paraId="02A517C1">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（5）昆明市西山区草海片区KCXS2024-2号地块保障性住房项目，位于云南省昆明市西山区马街街道办事处，碧鸡路与规划46-4号道路尾端交叉口，左侧为西山区人民医院；</w:t>
      </w:r>
    </w:p>
    <w:p w14:paraId="128D0BD3">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（6）昆明市西山区草海片区KCXS2024-3号地块保障性住房项目，位于昆明市西山区马街街道办事处碧，碧鸡路与规划197号道路尾端交叉口；</w:t>
      </w:r>
    </w:p>
    <w:p w14:paraId="480B66C9">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（7）昆明市西山区草海片区KCXS2024-4号地块保障性住房项目，位于昆明市西山区马街街道办事处，碧鸡路与规划197号道路尾端交叉口；</w:t>
      </w:r>
    </w:p>
    <w:p w14:paraId="78730249">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（8）昆明市盘龙区青云街道KCPL2024-9号地块保障性住房项目，位于昆明市盘龙区青云街道。</w:t>
      </w:r>
    </w:p>
    <w:bookmarkEnd w:id="32"/>
    <w:p w14:paraId="6F2B9F7B">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2.3 招标范围：昆明市八个配售型保障房项目权籍调查及不动产权证书办理全流程服务，具体包括权籍调查、不动产首次登记（招标人端）、不动产转移登记（小业主端）及全流程配套协调服务，服务范围如下：</w:t>
      </w:r>
    </w:p>
    <w:p w14:paraId="7792205A">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1）权籍调查服务：完成本项目权属资料收集核对、现场权属调查、不动产专业测绘、成果审核修正、权籍数据入库及成果交付等全部工作，组织现场指界、编制权籍调查表、测绘报告、宗地图及分层分户平面图等成果，确保成果合法、准确、完整，顺利通过不动产登记机构审核备案。</w:t>
      </w:r>
    </w:p>
    <w:p w14:paraId="3BF00179">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不动产首次登记办理服务：协助本项目招标人完成不动产首次登记全流程代办服务，包括登记资料梳理编制、资料提报、受理进度跟踪、现场核查配合、税费协助缴纳、证书领取及移交等工作，确保招标人顺利取得项目整体不动产权证书（招标人名下），严格落实保障房相关税费减免政策。</w:t>
      </w:r>
    </w:p>
    <w:p w14:paraId="017564A4">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（3）不动产转移登记办理服务：协助本项目</w:t>
      </w:r>
      <w:r>
        <w:rPr>
          <w:rFonts w:hint="eastAsia"/>
        </w:rPr>
        <w:t>已成功购房且委托中标人代办的小业主</w:t>
      </w:r>
      <w:r>
        <w:rPr>
          <w:rFonts w:hint="eastAsia" w:ascii="新宋体" w:hAnsi="新宋体" w:eastAsia="新宋体" w:cs="新宋体"/>
          <w:szCs w:val="21"/>
        </w:rPr>
        <w:t>不动产权证书办理全流程代办服务，包括信息公示与告知、个人资料收集审核、登记申请代办、契税核算与缴纳协助、审核进度跟踪、证书领取核对、集中发证（或上门送证）及资料归档等工作，兼顾服务效率与便民性，确保证书发放准确无误、档案可追溯可查询。</w:t>
      </w:r>
    </w:p>
    <w:p w14:paraId="0FA2875A">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4）配套协调服务：负责全程对接招标人、不动产登记机构、税务部门、测绘审核机构等相关单位，建立常态化沟通机制，排查处理项目推进中的权属争议、资料缺失、审核卡顿等各类风险，做好成果与档案的电子化＋纸质化双归档管理，提供售后咨询及项目验收资料移交等配套服务，定期提交服务进度报告，确保全流程服务高效有序推进。</w:t>
      </w:r>
    </w:p>
    <w:p w14:paraId="692F3BC5">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2.4 招标规模：总费用：3605620.00元，其中由招标人作为委托方支付费用（权籍调查、首登合计）：981855.00元，由购房者（小业主）支付费用（产权证办理合计）：2623765.00元。</w:t>
      </w:r>
    </w:p>
    <w:p w14:paraId="5414E31F">
      <w:pPr>
        <w:spacing w:line="440" w:lineRule="atLeast"/>
        <w:ind w:firstLine="420" w:firstLineChars="200"/>
        <w:rPr>
          <w:rFonts w:hint="eastAsia" w:ascii="新宋体" w:hAnsi="新宋体" w:eastAsia="新宋体" w:cs="新宋体"/>
          <w:szCs w:val="21"/>
        </w:rPr>
      </w:pPr>
      <w:r>
        <w:rPr>
          <w:rFonts w:hint="eastAsia" w:ascii="新宋体" w:hAnsi="新宋体" w:eastAsia="新宋体" w:cs="宋体"/>
          <w:szCs w:val="21"/>
        </w:rPr>
        <w:t>注：不动产权证书代办费用根据已成功购房且委托中标人代办的小业主意愿，自行向已成功购房且委托中标人代办的小业主收取。</w:t>
      </w:r>
    </w:p>
    <w:p w14:paraId="405A09A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2.5 服务期限：</w:t>
      </w:r>
      <w:bookmarkEnd w:id="31"/>
      <w:bookmarkStart w:id="34" w:name="_Toc152042290"/>
      <w:bookmarkStart w:id="35" w:name="_Toc247527537"/>
      <w:bookmarkStart w:id="36" w:name="_Toc92214655"/>
      <w:bookmarkStart w:id="37" w:name="_Toc144974482"/>
      <w:bookmarkStart w:id="38" w:name="_Toc152045514"/>
      <w:bookmarkStart w:id="39" w:name="_Toc48316885"/>
      <w:bookmarkStart w:id="40" w:name="_Toc36848067"/>
      <w:bookmarkStart w:id="41" w:name="_Toc114001345"/>
      <w:bookmarkStart w:id="42" w:name="_Toc247513936"/>
      <w:bookmarkStart w:id="43" w:name="_Toc113476935"/>
      <w:bookmarkStart w:id="44" w:name="_Toc165030510"/>
      <w:bookmarkStart w:id="45" w:name="_Hlk37424109"/>
      <w:r>
        <w:rPr>
          <w:rFonts w:hint="eastAsia" w:ascii="新宋体" w:hAnsi="新宋体" w:eastAsia="新宋体" w:cs="新宋体"/>
          <w:szCs w:val="21"/>
        </w:rPr>
        <w:t>本合同签订后，在招标人下达单个项目工作书面通知后</w:t>
      </w:r>
      <w:r>
        <w:rPr>
          <w:rFonts w:hint="eastAsia" w:ascii="新宋体" w:hAnsi="新宋体" w:eastAsia="新宋体" w:cs="新宋体"/>
          <w:szCs w:val="21"/>
          <w:u w:val="single"/>
        </w:rPr>
        <w:t>45</w:t>
      </w:r>
      <w:r>
        <w:rPr>
          <w:rFonts w:hint="eastAsia" w:ascii="新宋体" w:hAnsi="新宋体" w:eastAsia="新宋体" w:cs="新宋体"/>
          <w:szCs w:val="21"/>
        </w:rPr>
        <w:t>日内完成招标人委托成交人办理的权籍测量、权籍调查、图件处理及编制界址点成果表、土地落宗、首登等能够办理分户产权证的所有工作</w:t>
      </w:r>
      <w:r>
        <w:rPr>
          <w:rFonts w:ascii="新宋体" w:hAnsi="新宋体" w:eastAsia="新宋体" w:cs="新宋体"/>
          <w:szCs w:val="21"/>
        </w:rPr>
        <w:t>。</w:t>
      </w:r>
    </w:p>
    <w:p w14:paraId="5931535D">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2.6 质量要求：严格遵循《不动产登记暂行条例》《不动产测绘规范》《房产测量规范》及国家、省、市相关法律法规、政策要求，确保权籍调查成果真实、准确、完整、合规，无实质性差错，100%通过不动产登记机构审核备案，满足登记办证法定要求；档案资料可追溯、可查询，符合档案管理相关规定。</w:t>
      </w:r>
    </w:p>
    <w:p w14:paraId="5457EEC0">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2.7 本项目不接受联合体投标。</w:t>
      </w:r>
    </w:p>
    <w:p w14:paraId="4C6F1F0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2.8 本项目资格审查方式采用资格后审。</w:t>
      </w:r>
    </w:p>
    <w:p w14:paraId="5E06433B">
      <w:pPr>
        <w:pStyle w:val="3"/>
        <w:spacing w:before="0" w:after="0" w:line="440" w:lineRule="atLeast"/>
        <w:rPr>
          <w:rFonts w:hint="eastAsia" w:ascii="新宋体" w:hAnsi="新宋体" w:eastAsia="新宋体" w:cs="新宋体"/>
          <w:b/>
          <w:bCs/>
          <w:color w:val="auto"/>
          <w:sz w:val="21"/>
          <w:szCs w:val="21"/>
        </w:rPr>
      </w:pPr>
      <w:bookmarkStart w:id="46" w:name="_Toc6146"/>
      <w:r>
        <w:rPr>
          <w:rFonts w:hint="eastAsia" w:ascii="新宋体" w:hAnsi="新宋体" w:eastAsia="新宋体" w:cs="新宋体"/>
          <w:b/>
          <w:bCs/>
          <w:color w:val="auto"/>
          <w:sz w:val="21"/>
          <w:szCs w:val="21"/>
        </w:rPr>
        <w:t>3.投标人资格要求</w:t>
      </w:r>
      <w:bookmarkEnd w:id="34"/>
      <w:bookmarkEnd w:id="35"/>
      <w:bookmarkEnd w:id="36"/>
      <w:bookmarkEnd w:id="37"/>
      <w:bookmarkEnd w:id="38"/>
      <w:bookmarkEnd w:id="39"/>
      <w:bookmarkEnd w:id="40"/>
      <w:bookmarkEnd w:id="41"/>
      <w:bookmarkEnd w:id="42"/>
      <w:bookmarkEnd w:id="43"/>
      <w:bookmarkEnd w:id="44"/>
      <w:bookmarkEnd w:id="46"/>
    </w:p>
    <w:p w14:paraId="314E19A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3.1 具备独立承担民事责任的能力，具备营业执照或者事业单位法人证书或者其他类似法定凭证。</w:t>
      </w:r>
    </w:p>
    <w:p w14:paraId="1C3B191A">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3.2 资质要求：具备有效的</w:t>
      </w:r>
      <w:r>
        <w:rPr>
          <w:rFonts w:ascii="新宋体" w:hAnsi="新宋体" w:eastAsia="新宋体" w:cs="新宋体"/>
          <w:szCs w:val="21"/>
        </w:rPr>
        <w:t>自然资源主管部门颁发的测绘乙级资质及以上</w:t>
      </w:r>
      <w:r>
        <w:rPr>
          <w:rFonts w:hint="eastAsia" w:ascii="新宋体" w:hAnsi="新宋体" w:eastAsia="新宋体" w:cs="新宋体"/>
          <w:szCs w:val="21"/>
        </w:rPr>
        <w:t>（</w:t>
      </w:r>
      <w:r>
        <w:rPr>
          <w:rFonts w:ascii="新宋体" w:hAnsi="新宋体" w:eastAsia="新宋体" w:cs="新宋体"/>
          <w:szCs w:val="21"/>
        </w:rPr>
        <w:t>专业类别包含工程测量、界线与不动产测绘</w:t>
      </w:r>
      <w:r>
        <w:rPr>
          <w:rFonts w:hint="eastAsia" w:ascii="新宋体" w:hAnsi="新宋体" w:eastAsia="新宋体" w:cs="新宋体"/>
          <w:szCs w:val="21"/>
        </w:rPr>
        <w:t>）</w:t>
      </w:r>
      <w:r>
        <w:rPr>
          <w:rFonts w:ascii="新宋体" w:hAnsi="新宋体" w:eastAsia="新宋体" w:cs="新宋体"/>
          <w:szCs w:val="21"/>
        </w:rPr>
        <w:t>。</w:t>
      </w:r>
    </w:p>
    <w:p w14:paraId="223EB079">
      <w:pPr>
        <w:spacing w:line="440" w:lineRule="atLeast"/>
        <w:ind w:firstLine="420" w:firstLineChars="200"/>
        <w:rPr>
          <w:rFonts w:hint="eastAsia" w:ascii="新宋体" w:hAnsi="新宋体" w:eastAsia="新宋体" w:cs="新宋体"/>
          <w:szCs w:val="21"/>
        </w:rPr>
      </w:pPr>
      <w:bookmarkStart w:id="47" w:name="OLE_LINK26"/>
      <w:r>
        <w:rPr>
          <w:rFonts w:hint="eastAsia" w:ascii="新宋体" w:hAnsi="新宋体" w:eastAsia="新宋体" w:cs="新宋体"/>
          <w:szCs w:val="21"/>
        </w:rPr>
        <w:t xml:space="preserve">3.3 </w:t>
      </w:r>
      <w:bookmarkEnd w:id="47"/>
      <w:r>
        <w:rPr>
          <w:rFonts w:hint="eastAsia" w:ascii="新宋体" w:hAnsi="新宋体" w:eastAsia="新宋体" w:cs="新宋体"/>
          <w:szCs w:val="21"/>
        </w:rPr>
        <w:t>财务要求：提供2022年至2024年经第三方机构审计的审计报告及财务报表（其中：财务报表仅需提供：资产负债表、现金流量表和利润表（或损益表））或近三个月内基本开户银行出具的资信证明。【注：投标人若为事业单位的，则不需提供利润表；成立满一年但不足三年的企业须提供成立至今经第三方机构审计的审计报告及财务报表（其中：财务报表仅需提供：资产负债表、现金流量表和利润表（或损益表））或近三个月内基本开户银行出具的资信证明；成立不足一年的企业提供公司财务报表（其中：财务报表仅需提供：资产负债表、现金流量表和利润表（或损益表））或近三个月内基本开户银行出具的资信证明】。</w:t>
      </w:r>
    </w:p>
    <w:p w14:paraId="5A04C402">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3.4 具有履行合同所必需的设备和专业技术能力：提供证明材料或承诺书。</w:t>
      </w:r>
    </w:p>
    <w:p w14:paraId="03E06775">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3.5 具有依法缴纳税收和社会保障资金的良好记录：</w:t>
      </w:r>
    </w:p>
    <w:p w14:paraId="52EDA81A">
      <w:pPr>
        <w:spacing w:line="440" w:lineRule="atLeast"/>
        <w:ind w:firstLine="420" w:firstLineChars="200"/>
        <w:rPr>
          <w:rFonts w:hint="eastAsia" w:ascii="新宋体" w:hAnsi="新宋体" w:eastAsia="新宋体" w:cs="新宋体"/>
          <w:szCs w:val="21"/>
        </w:rPr>
      </w:pPr>
      <w:bookmarkStart w:id="48" w:name="OLE_LINK28"/>
      <w:r>
        <w:rPr>
          <w:rFonts w:hint="eastAsia" w:ascii="新宋体" w:hAnsi="新宋体" w:eastAsia="新宋体" w:cs="新宋体"/>
          <w:szCs w:val="21"/>
        </w:rPr>
        <w:t>3.5.1 投标人须提供缴税所属时间在2025年1月至投标截止时间前任意2个月的税务局税收通用缴款书或银行电子缴税（费）凭证或税务局出具的纳税情况的相关证明（至投标截止时间前成立不足一年的投标人可提供相关情况说明；依法免税的，应提供依法免税的相关证明文件）。</w:t>
      </w:r>
    </w:p>
    <w:p w14:paraId="0256DAEB">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3.5.2 投标人须提供缴费所属时间在2025年1月至投标截止时间前任意2个月的社会保险费缴款书或银行电子缴税（费）凭证或社保管理部门出具的有效的缴款证明（至投标截止时间前成立不足一年的投标人可提供相关情况说明；不需要缴纳社会保险费的，应提供相应文件证明其不需要缴纳社会保险费）</w:t>
      </w:r>
      <w:bookmarkEnd w:id="48"/>
      <w:r>
        <w:rPr>
          <w:rFonts w:hint="eastAsia" w:ascii="新宋体" w:hAnsi="新宋体" w:eastAsia="新宋体" w:cs="新宋体"/>
          <w:szCs w:val="21"/>
        </w:rPr>
        <w:t>。</w:t>
      </w:r>
    </w:p>
    <w:p w14:paraId="59192B4F">
      <w:pPr>
        <w:spacing w:line="440" w:lineRule="atLeast"/>
        <w:ind w:firstLine="420" w:firstLineChars="200"/>
        <w:rPr>
          <w:rFonts w:hint="eastAsia" w:ascii="新宋体" w:hAnsi="新宋体" w:eastAsia="新宋体" w:cs="新宋体"/>
          <w:szCs w:val="21"/>
        </w:rPr>
      </w:pPr>
      <w:bookmarkStart w:id="49" w:name="OLE_LINK10"/>
      <w:bookmarkStart w:id="50" w:name="OLE_LINK9"/>
      <w:r>
        <w:rPr>
          <w:rFonts w:hint="eastAsia" w:ascii="新宋体" w:hAnsi="新宋体" w:eastAsia="新宋体" w:cs="新宋体"/>
          <w:szCs w:val="21"/>
        </w:rPr>
        <w:t>3.6 信誉要求：①当前未被行业行政主管部门取消投标资格；②近三年（2023年1月至投标截止时间前）内没有骗取中标和严重违法违约的记录；③近三年（2023年1月至投标截止时间前）内投标人、法定代表人、项目负责人无行贿记录；④未被“中国执行信息公开网（http://zxgk.court.gov.cn/shixin/）”列入失信被执行人；⑤国家企业信用信息公示系统（http://www.gsxt.gov.cn）未被列入严重违法失信名单（黑名单）信息。（注：①-③条款由投标人自行承诺；④、⑤条款由招标代理机构统一上网查询并将查询结果提交评标委员会审核）</w:t>
      </w:r>
    </w:p>
    <w:p w14:paraId="359F498C">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3.7 拟派项目负责人资格要求：具备测绘专业高级职称或注册测绘师资格，必须为投标人正式职工，提供社保证明材料（社保证明材料是指缴费证明或社保网查询截图或者投标人所属社保机构出具的有效证明材料；社保证明材料出具时间为从发布招标公告之日起至递交投标文件截止时间内方有效）。</w:t>
      </w:r>
    </w:p>
    <w:bookmarkEnd w:id="49"/>
    <w:bookmarkEnd w:id="50"/>
    <w:p w14:paraId="3AD5542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3.8 其他要求：</w:t>
      </w:r>
    </w:p>
    <w:p w14:paraId="250A4345">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（1）与招标人存在利害关系可能影响招标公正性的法人、其他组织或个人，不得参与本项目投标（提供声明函）。</w:t>
      </w:r>
    </w:p>
    <w:p w14:paraId="15C38583">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（2）单位负责人为同一人或者存在控股、管理关系的不同单位，不得同时参加本项目投标（提供声明函）。</w:t>
      </w:r>
    </w:p>
    <w:p w14:paraId="08E5A51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3.9 根据昆监管联发〔2014〕3号文的精神，投标人一旦中标，中标人（企业、法定代表人、项目负责人）若经招标人查询存在行贿犯罪记录，且处于记录期限内的，不得进入昆明市公共资源交易中心从事公共交易活动，将取消其中标资格。第一中标候选人的行贿犯罪档案信息查询，招标人等可以通过“中国裁判文书网”查询相关信息。</w:t>
      </w:r>
    </w:p>
    <w:bookmarkEnd w:id="45"/>
    <w:p w14:paraId="6CFB4D87">
      <w:pPr>
        <w:pStyle w:val="3"/>
        <w:spacing w:before="0" w:after="0" w:line="440" w:lineRule="atLeast"/>
        <w:rPr>
          <w:rFonts w:hint="eastAsia" w:ascii="新宋体" w:hAnsi="新宋体" w:eastAsia="新宋体" w:cs="新宋体"/>
          <w:b/>
          <w:bCs/>
          <w:color w:val="auto"/>
          <w:sz w:val="21"/>
          <w:szCs w:val="21"/>
        </w:rPr>
      </w:pPr>
      <w:bookmarkStart w:id="51" w:name="_Toc92214656"/>
      <w:bookmarkStart w:id="52" w:name="_Toc14798"/>
      <w:bookmarkStart w:id="53" w:name="_Toc36848068"/>
      <w:bookmarkStart w:id="54" w:name="_Toc114001346"/>
      <w:bookmarkStart w:id="55" w:name="_Toc247513937"/>
      <w:bookmarkStart w:id="56" w:name="_Toc152045515"/>
      <w:bookmarkStart w:id="57" w:name="_Toc165030512"/>
      <w:bookmarkStart w:id="58" w:name="_Toc113476936"/>
      <w:bookmarkStart w:id="59" w:name="_Toc48316886"/>
      <w:bookmarkStart w:id="60" w:name="_Toc247527538"/>
      <w:bookmarkStart w:id="61" w:name="_Toc152042291"/>
      <w:bookmarkStart w:id="62" w:name="_Toc144974483"/>
      <w:r>
        <w:rPr>
          <w:rFonts w:hint="eastAsia" w:ascii="新宋体" w:hAnsi="新宋体" w:eastAsia="新宋体" w:cs="新宋体"/>
          <w:b/>
          <w:bCs/>
          <w:color w:val="auto"/>
          <w:sz w:val="21"/>
          <w:szCs w:val="21"/>
        </w:rPr>
        <w:t>4.招标文件的获取</w:t>
      </w:r>
      <w:bookmarkEnd w:id="51"/>
      <w:bookmarkEnd w:id="52"/>
      <w:bookmarkEnd w:id="53"/>
      <w:bookmarkEnd w:id="54"/>
      <w:bookmarkEnd w:id="55"/>
      <w:bookmarkEnd w:id="56"/>
      <w:bookmarkEnd w:id="57"/>
      <w:bookmarkEnd w:id="58"/>
      <w:bookmarkEnd w:id="59"/>
      <w:bookmarkEnd w:id="60"/>
      <w:bookmarkEnd w:id="61"/>
      <w:bookmarkEnd w:id="62"/>
    </w:p>
    <w:p w14:paraId="7FDA1CA4">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4.1 凡有意参加投标者，请以网上公告时间为准，自行登录“全国公共资源交易平台（云南省）/云南省公共资源交易信息网，点击切换至‘昆明市’（https://ggzy.yn.gov.cn/#/homePage）”，凭企业数字证书（CA）在网上获取招标文件及其他招标资料（含电子招标文件，格式为*.BZBJ）；未办理企业数字证书（CA）的企业需要按照云南省公共资源交易电子认证的要求，办理企业数字证书（CA），并在“全国公共资源交易平台（云南省）/云南省公共资源交易信息网，点击切换至‘昆明市’（https://ggzy.yn.gov.cn/#/homePage）”完成注册通过后，便可获取招标文件，此为获取招标文件的唯一途径。</w:t>
      </w:r>
    </w:p>
    <w:p w14:paraId="6D89AF4B">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4.2 招标人不提供邮购招标文件服务。</w:t>
      </w:r>
    </w:p>
    <w:p w14:paraId="5616C9DB">
      <w:pPr>
        <w:pStyle w:val="3"/>
        <w:spacing w:before="0" w:after="0" w:line="440" w:lineRule="atLeast"/>
        <w:rPr>
          <w:rFonts w:hint="eastAsia" w:ascii="新宋体" w:hAnsi="新宋体" w:eastAsia="新宋体" w:cs="新宋体"/>
          <w:b/>
          <w:bCs/>
          <w:color w:val="auto"/>
          <w:sz w:val="21"/>
          <w:szCs w:val="21"/>
        </w:rPr>
      </w:pPr>
      <w:bookmarkStart w:id="63" w:name="_Toc144974484"/>
      <w:bookmarkStart w:id="64" w:name="_Toc36848069"/>
      <w:bookmarkStart w:id="65" w:name="_Toc92214657"/>
      <w:bookmarkStart w:id="66" w:name="_Toc114001347"/>
      <w:bookmarkStart w:id="67" w:name="_Toc152042292"/>
      <w:bookmarkStart w:id="68" w:name="_Toc113476937"/>
      <w:bookmarkStart w:id="69" w:name="_Toc247527539"/>
      <w:bookmarkStart w:id="70" w:name="_Toc247513938"/>
      <w:bookmarkStart w:id="71" w:name="_Toc23999"/>
      <w:bookmarkStart w:id="72" w:name="_Toc152045516"/>
      <w:bookmarkStart w:id="73" w:name="_Toc48316887"/>
      <w:bookmarkStart w:id="74" w:name="_Toc165030513"/>
      <w:r>
        <w:rPr>
          <w:rFonts w:hint="eastAsia" w:ascii="新宋体" w:hAnsi="新宋体" w:eastAsia="新宋体" w:cs="新宋体"/>
          <w:b/>
          <w:bCs/>
          <w:color w:val="auto"/>
          <w:sz w:val="21"/>
          <w:szCs w:val="21"/>
        </w:rPr>
        <w:t>5.投标文件的递交</w:t>
      </w:r>
      <w:bookmarkEnd w:id="63"/>
      <w:bookmarkEnd w:id="64"/>
      <w:bookmarkEnd w:id="65"/>
      <w:bookmarkEnd w:id="66"/>
      <w:bookmarkEnd w:id="67"/>
      <w:bookmarkEnd w:id="68"/>
      <w:bookmarkEnd w:id="69"/>
      <w:bookmarkEnd w:id="70"/>
      <w:bookmarkEnd w:id="71"/>
      <w:bookmarkEnd w:id="72"/>
      <w:bookmarkEnd w:id="73"/>
      <w:bookmarkEnd w:id="74"/>
    </w:p>
    <w:p w14:paraId="434AA8E8">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5.1 投标文件递交截止时间（投标截止时间，下同）</w:t>
      </w:r>
      <w:bookmarkStart w:id="75" w:name="_Hlk102641726"/>
      <w:r>
        <w:rPr>
          <w:rFonts w:hint="eastAsia" w:ascii="新宋体" w:hAnsi="新宋体" w:eastAsia="新宋体" w:cs="新宋体"/>
          <w:szCs w:val="21"/>
        </w:rPr>
        <w:t>以网上公告时间为准</w:t>
      </w:r>
      <w:bookmarkEnd w:id="75"/>
      <w:r>
        <w:rPr>
          <w:rFonts w:hint="eastAsia" w:ascii="新宋体" w:hAnsi="新宋体" w:eastAsia="新宋体" w:cs="新宋体"/>
          <w:szCs w:val="21"/>
        </w:rPr>
        <w:t>。</w:t>
      </w:r>
    </w:p>
    <w:p w14:paraId="223E97A9">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5.2 网上递交：网上递交网址为“全国公共资源交易平台（云南省）/云南省公共资源交易信息网，点击切换至‘昆明市’（https://ggzy.yn.gov.cn/#/homePage）”，投标人须在投标截止时间前完成所有投标文件的上传，网上确认电子签名，并打印“上传投标文件回执”，投标截止时间前未完成投标文件传输的，视为撤回投标文件。</w:t>
      </w:r>
    </w:p>
    <w:p w14:paraId="564CFDE4">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5.3 其他：</w:t>
      </w:r>
      <w:bookmarkStart w:id="76" w:name="_Toc48316888"/>
      <w:bookmarkStart w:id="77" w:name="_Toc113476938"/>
      <w:bookmarkStart w:id="78" w:name="_Toc165030514"/>
      <w:bookmarkStart w:id="79" w:name="_Toc92214658"/>
      <w:bookmarkStart w:id="80" w:name="_Toc114001348"/>
      <w:bookmarkStart w:id="81" w:name="_Toc31133"/>
      <w:bookmarkStart w:id="82" w:name="_Toc247527540"/>
      <w:bookmarkStart w:id="83" w:name="_Toc247513939"/>
      <w:bookmarkStart w:id="84" w:name="_Toc36848070"/>
      <w:bookmarkStart w:id="85" w:name="_Toc157499355"/>
      <w:r>
        <w:rPr>
          <w:rFonts w:hint="eastAsia" w:ascii="新宋体" w:hAnsi="新宋体" w:eastAsia="新宋体" w:cs="新宋体"/>
          <w:szCs w:val="21"/>
        </w:rPr>
        <w:t>根据昆明市政务服务管理局昆政务笺〔2021〕2号文规定，本项目开标采用“智能开标”的方式，开标网址为：“全国公共资源交易平台（云南省）/云南省公共资源交易信息网，点击切换至‘昆明市’（https://ggzy.yn.gov.cn/#/homePage）”。</w:t>
      </w:r>
    </w:p>
    <w:p w14:paraId="62B50950">
      <w:pPr>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注：①智能开标的操作流程详见《云南省公共资源交易电子化平台智能开标系统培训教材（适用投标人和供应商）》（http://ggzy.yn.gov.cn/#/homePage）及附件；②投标人提前熟悉智能开标的相关操作；③投标人须在招标文件规定的投标截止时间前登录“网上开标室”，根据网上远程解密、开标的要求，在规定的时间完成在线签到、解密、开标一览表确认等操作。若投标人未在规定时间内完成相关操作，则视为撤销其投标文件，不再进入评标阶段；④投标人无需到开标现场参加开标会议。开标过程中如有问题，可以在线提出异议，由代理机构给予回复。在规定的异议询问时间内未提出异议的，则视为对开标结果无异议。</w:t>
      </w:r>
    </w:p>
    <w:p w14:paraId="56333B12">
      <w:pPr>
        <w:pStyle w:val="3"/>
        <w:spacing w:before="0" w:after="0" w:line="440" w:lineRule="atLeast"/>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6.发布公告的媒介</w:t>
      </w:r>
      <w:bookmarkEnd w:id="76"/>
      <w:bookmarkEnd w:id="77"/>
      <w:bookmarkEnd w:id="78"/>
      <w:bookmarkEnd w:id="79"/>
      <w:bookmarkEnd w:id="80"/>
      <w:bookmarkEnd w:id="81"/>
      <w:bookmarkEnd w:id="82"/>
      <w:bookmarkEnd w:id="83"/>
      <w:bookmarkEnd w:id="84"/>
      <w:bookmarkEnd w:id="85"/>
    </w:p>
    <w:p w14:paraId="066E08CB">
      <w:pPr>
        <w:tabs>
          <w:tab w:val="left" w:pos="360"/>
        </w:tabs>
        <w:spacing w:line="440" w:lineRule="atLeast"/>
        <w:ind w:firstLine="420" w:firstLineChars="200"/>
        <w:rPr>
          <w:rFonts w:hint="eastAsia" w:ascii="新宋体" w:hAnsi="新宋体" w:eastAsia="新宋体" w:cs="新宋体"/>
          <w:szCs w:val="21"/>
          <w:u w:val="single"/>
        </w:rPr>
      </w:pPr>
      <w:r>
        <w:rPr>
          <w:rFonts w:hint="eastAsia" w:ascii="新宋体" w:hAnsi="新宋体" w:eastAsia="新宋体" w:cs="新宋体"/>
          <w:szCs w:val="21"/>
        </w:rPr>
        <w:t>本次招标公告同时在</w:t>
      </w:r>
      <w:bookmarkStart w:id="86" w:name="_Toc92214659"/>
      <w:bookmarkStart w:id="87" w:name="_Toc152042293"/>
      <w:bookmarkStart w:id="88" w:name="_Toc247513940"/>
      <w:bookmarkStart w:id="89" w:name="_Toc113476939"/>
      <w:bookmarkStart w:id="90" w:name="_Toc36848071"/>
      <w:bookmarkStart w:id="91" w:name="_Toc114001349"/>
      <w:bookmarkStart w:id="92" w:name="_Toc152045517"/>
      <w:bookmarkStart w:id="93" w:name="_Toc144974485"/>
      <w:bookmarkStart w:id="94" w:name="_Toc165030515"/>
      <w:bookmarkStart w:id="95" w:name="_Toc247527541"/>
      <w:bookmarkStart w:id="96" w:name="_Toc48316889"/>
      <w:r>
        <w:rPr>
          <w:rFonts w:hint="eastAsia" w:ascii="新宋体" w:hAnsi="新宋体" w:eastAsia="新宋体" w:cs="新宋体"/>
          <w:szCs w:val="21"/>
          <w:u w:val="single"/>
        </w:rPr>
        <w:t>云南省公共资源交易信息网（https://ggzy.yn.gov.cn/）及“全国公共资源交易平台（云南省）/云南省公共资源交易信息网，点击切换至‘昆明市’（https://ggzy.yn.gov.cn/#/homePage）”、中国招标投标公共服务平台（http://www.cebpubservice.com/）发布。招标人和招标代理机构对其他网站或媒体转载的公告及公告内容不承担任何责任</w:t>
      </w:r>
      <w:r>
        <w:rPr>
          <w:rFonts w:hint="eastAsia" w:ascii="新宋体" w:hAnsi="新宋体" w:eastAsia="新宋体" w:cs="新宋体"/>
          <w:szCs w:val="21"/>
        </w:rPr>
        <w:t>。</w:t>
      </w:r>
    </w:p>
    <w:p w14:paraId="465412C3">
      <w:pPr>
        <w:pStyle w:val="3"/>
        <w:spacing w:before="0" w:after="0" w:line="440" w:lineRule="atLeast"/>
        <w:rPr>
          <w:rFonts w:hint="eastAsia" w:ascii="新宋体" w:hAnsi="新宋体" w:eastAsia="新宋体" w:cs="新宋体"/>
          <w:b/>
          <w:bCs/>
          <w:color w:val="auto"/>
          <w:sz w:val="21"/>
          <w:szCs w:val="21"/>
        </w:rPr>
      </w:pPr>
      <w:bookmarkStart w:id="97" w:name="_Toc25570"/>
      <w:r>
        <w:rPr>
          <w:rFonts w:hint="eastAsia" w:ascii="新宋体" w:hAnsi="新宋体" w:eastAsia="新宋体" w:cs="新宋体"/>
          <w:b/>
          <w:bCs/>
          <w:color w:val="auto"/>
          <w:sz w:val="21"/>
          <w:szCs w:val="21"/>
        </w:rPr>
        <w:t>7.联系方式</w:t>
      </w:r>
      <w:bookmarkEnd w:id="86"/>
      <w:bookmarkEnd w:id="87"/>
      <w:bookmarkEnd w:id="88"/>
      <w:bookmarkEnd w:id="89"/>
      <w:bookmarkEnd w:id="90"/>
      <w:bookmarkEnd w:id="91"/>
      <w:bookmarkEnd w:id="92"/>
      <w:bookmarkEnd w:id="93"/>
      <w:bookmarkEnd w:id="94"/>
      <w:bookmarkEnd w:id="95"/>
      <w:bookmarkEnd w:id="96"/>
      <w:bookmarkEnd w:id="97"/>
    </w:p>
    <w:p w14:paraId="22609377">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招标人：昆明惠居保障房建设管理有限公司</w:t>
      </w:r>
    </w:p>
    <w:p w14:paraId="6E0600CA">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地  址：云南省昆明市呈贡区滇池明珠广场15栋20楼</w:t>
      </w:r>
    </w:p>
    <w:p w14:paraId="775926F0">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联系人：高老师、江老师</w:t>
      </w:r>
    </w:p>
    <w:p w14:paraId="3237B236">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电  话：0871-63566216</w:t>
      </w:r>
    </w:p>
    <w:p w14:paraId="1DBC802F">
      <w:pPr>
        <w:tabs>
          <w:tab w:val="left" w:pos="360"/>
        </w:tabs>
        <w:spacing w:line="440" w:lineRule="atLeast"/>
        <w:ind w:firstLine="420" w:firstLineChars="200"/>
        <w:rPr>
          <w:rFonts w:hint="eastAsia" w:ascii="新宋体" w:hAnsi="新宋体" w:eastAsia="新宋体" w:cs="新宋体"/>
          <w:szCs w:val="21"/>
        </w:rPr>
      </w:pPr>
    </w:p>
    <w:p w14:paraId="638E5840">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招标代理机构：云南山长工程技术管理有限公司</w:t>
      </w:r>
    </w:p>
    <w:p w14:paraId="66DC6C89">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地  址：云南省昆明市白龙路433号博园世家3号别墅</w:t>
      </w:r>
    </w:p>
    <w:p w14:paraId="313CA314">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联系人：谭俊、谢琳</w:t>
      </w:r>
    </w:p>
    <w:p w14:paraId="7E4911E6">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电  话：0871-64602802</w:t>
      </w:r>
    </w:p>
    <w:p w14:paraId="5440AA60">
      <w:pPr>
        <w:tabs>
          <w:tab w:val="left" w:pos="360"/>
        </w:tabs>
        <w:spacing w:line="440" w:lineRule="atLeast"/>
        <w:ind w:firstLine="420" w:firstLineChars="200"/>
        <w:rPr>
          <w:rFonts w:hint="eastAsia" w:ascii="新宋体" w:hAnsi="新宋体" w:eastAsia="新宋体" w:cs="新宋体"/>
          <w:szCs w:val="21"/>
        </w:rPr>
      </w:pPr>
    </w:p>
    <w:p w14:paraId="3B63BC6B">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rPr>
        <w:t>监督部门名称及联系方式：昆明惠居保障房建设管理有限公司纪检监察室</w:t>
      </w:r>
    </w:p>
    <w:p w14:paraId="4FD50E99">
      <w:pPr>
        <w:tabs>
          <w:tab w:val="left" w:pos="360"/>
        </w:tabs>
        <w:spacing w:line="440" w:lineRule="atLeast"/>
        <w:ind w:firstLine="420" w:firstLineChars="200"/>
        <w:rPr>
          <w:rFonts w:hint="eastAsia" w:ascii="新宋体" w:hAnsi="新宋体" w:eastAsia="新宋体" w:cs="新宋体"/>
          <w:szCs w:val="21"/>
        </w:rPr>
      </w:pPr>
      <w:r>
        <w:rPr>
          <w:rFonts w:hint="eastAsia" w:ascii="新宋体" w:hAnsi="新宋体" w:eastAsia="新宋体" w:cs="新宋体"/>
          <w:szCs w:val="21"/>
          <w:lang w:val="en-US" w:eastAsia="zh-CN"/>
        </w:rPr>
        <w:t>联系方式：</w:t>
      </w:r>
      <w:r>
        <w:rPr>
          <w:rFonts w:ascii="新宋体" w:hAnsi="新宋体" w:eastAsia="新宋体" w:cs="新宋体"/>
          <w:szCs w:val="21"/>
        </w:rPr>
        <w:t>18183841196</w:t>
      </w:r>
      <w:bookmarkStart w:id="98" w:name="_GoBack"/>
      <w:bookmarkEnd w:id="98"/>
    </w:p>
    <w:p w14:paraId="3B9DE8BC">
      <w:pPr>
        <w:tabs>
          <w:tab w:val="left" w:pos="360"/>
        </w:tabs>
        <w:spacing w:line="440" w:lineRule="atLeast"/>
        <w:rPr>
          <w:rFonts w:hint="eastAsia" w:ascii="新宋体" w:hAnsi="新宋体" w:eastAsia="新宋体" w:cs="新宋体"/>
          <w:szCs w:val="21"/>
        </w:rPr>
      </w:pPr>
    </w:p>
    <w:p w14:paraId="33F65661">
      <w:pPr>
        <w:spacing w:line="440" w:lineRule="atLeast"/>
        <w:ind w:left="19" w:firstLine="420" w:firstLineChars="200"/>
        <w:rPr>
          <w:rFonts w:hint="eastAsia" w:ascii="新宋体" w:hAnsi="新宋体" w:eastAsia="新宋体" w:cs="宋体"/>
          <w:kern w:val="0"/>
          <w:szCs w:val="21"/>
        </w:rPr>
      </w:pPr>
      <w:r>
        <w:rPr>
          <w:rFonts w:hint="eastAsia" w:ascii="新宋体" w:hAnsi="新宋体" w:eastAsia="新宋体" w:cs="宋体"/>
          <w:kern w:val="0"/>
          <w:szCs w:val="21"/>
        </w:rPr>
        <w:t>技术支持：</w:t>
      </w:r>
    </w:p>
    <w:p w14:paraId="0C5C982A">
      <w:pPr>
        <w:spacing w:line="440" w:lineRule="atLeast"/>
        <w:ind w:left="19" w:firstLine="420" w:firstLineChars="200"/>
        <w:rPr>
          <w:rFonts w:hint="eastAsia" w:ascii="新宋体" w:hAnsi="新宋体" w:eastAsia="新宋体" w:cs="宋体"/>
          <w:kern w:val="0"/>
          <w:szCs w:val="21"/>
        </w:rPr>
      </w:pPr>
      <w:r>
        <w:rPr>
          <w:rFonts w:hint="eastAsia" w:ascii="新宋体" w:hAnsi="新宋体" w:eastAsia="新宋体" w:cs="宋体"/>
          <w:kern w:val="0"/>
          <w:szCs w:val="21"/>
        </w:rPr>
        <w:t>昆明市电子化投标咨询服务—北京筑龙信息技术有限责任公司</w:t>
      </w:r>
    </w:p>
    <w:p w14:paraId="57463D53">
      <w:pPr>
        <w:spacing w:line="440" w:lineRule="atLeast"/>
        <w:ind w:left="19" w:firstLine="420" w:firstLineChars="200"/>
        <w:rPr>
          <w:rFonts w:hint="eastAsia" w:ascii="新宋体" w:hAnsi="新宋体" w:eastAsia="新宋体" w:cs="宋体"/>
          <w:kern w:val="0"/>
          <w:szCs w:val="21"/>
        </w:rPr>
      </w:pPr>
      <w:r>
        <w:rPr>
          <w:rFonts w:hint="eastAsia" w:ascii="新宋体" w:hAnsi="新宋体" w:eastAsia="新宋体" w:cs="宋体"/>
          <w:kern w:val="0"/>
          <w:szCs w:val="21"/>
        </w:rPr>
        <w:t>咨询服务电话：010-86483801</w:t>
      </w:r>
    </w:p>
    <w:p w14:paraId="3CAB9097">
      <w:pPr>
        <w:spacing w:line="440" w:lineRule="atLeast"/>
        <w:ind w:left="19" w:firstLine="420" w:firstLineChars="200"/>
        <w:rPr>
          <w:rFonts w:hint="eastAsia" w:ascii="新宋体" w:hAnsi="新宋体" w:eastAsia="新宋体" w:cs="宋体"/>
          <w:kern w:val="0"/>
          <w:szCs w:val="21"/>
        </w:rPr>
      </w:pPr>
      <w:r>
        <w:rPr>
          <w:rFonts w:hint="eastAsia" w:ascii="新宋体" w:hAnsi="新宋体" w:eastAsia="新宋体" w:cs="宋体"/>
          <w:kern w:val="0"/>
          <w:szCs w:val="21"/>
        </w:rPr>
        <w:t>技术支持客服：点击</w:t>
      </w:r>
      <w:r>
        <w:rPr>
          <w:rFonts w:hint="eastAsia" w:ascii="新宋体" w:hAnsi="新宋体" w:eastAsia="新宋体" w:cs="新宋体"/>
          <w:szCs w:val="21"/>
        </w:rPr>
        <w:t>“全国公共资源交易平台（云南省）/云南省公共资源交易信息网，点击切换至‘昆明市’（https://ggzy.yn.gov.cn/#/homePage）”</w:t>
      </w:r>
      <w:r>
        <w:rPr>
          <w:rFonts w:hint="eastAsia" w:ascii="新宋体" w:hAnsi="新宋体" w:eastAsia="新宋体" w:cs="宋体"/>
          <w:kern w:val="0"/>
          <w:szCs w:val="21"/>
        </w:rPr>
        <w:t>网站右下角“小龙人智能客服”进行咨询。</w:t>
      </w:r>
    </w:p>
    <w:p w14:paraId="3EB8A0A2"/>
    <w:sectPr>
      <w:headerReference r:id="rId7" w:type="first"/>
      <w:footerReference r:id="rId10" w:type="first"/>
      <w:headerReference r:id="rId5" w:type="default"/>
      <w:footerReference r:id="rId8" w:type="default"/>
      <w:headerReference r:id="rId6" w:type="even"/>
      <w:footerReference r:id="rId9" w:type="even"/>
      <w:pgSz w:w="11906" w:h="16838"/>
      <w:pgMar w:top="1440" w:right="1418" w:bottom="1440" w:left="141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6459274"/>
      <w:docPartObj>
        <w:docPartGallery w:val="AutoText"/>
      </w:docPartObj>
    </w:sdtPr>
    <w:sdtContent>
      <w:p w14:paraId="06491EB5">
        <w:pPr>
          <w:pStyle w:val="11"/>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103A473C">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AE2B0">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6DDD6">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5E737">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D8CB4">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057FF">
    <w:pPr>
      <w:pStyle w:val="1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9DD"/>
    <w:rsid w:val="003A3F55"/>
    <w:rsid w:val="009A29DD"/>
    <w:rsid w:val="34D249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17"/>
    <w:qFormat/>
    <w:uiPriority w:val="9"/>
    <w:pPr>
      <w:keepNext/>
      <w:keepLines/>
      <w:spacing w:before="480" w:after="80" w:line="278" w:lineRule="auto"/>
      <w:jc w:val="left"/>
      <w:outlineLvl w:val="0"/>
    </w:pPr>
    <w:rPr>
      <w:rFonts w:asciiTheme="majorHAnsi" w:hAnsiTheme="majorHAnsi" w:eastAsiaTheme="majorEastAsia" w:cstheme="majorBidi"/>
      <w:color w:val="2F5597" w:themeColor="accent1" w:themeShade="BF"/>
      <w:sz w:val="48"/>
      <w:szCs w:val="48"/>
      <w14:ligatures w14:val="standardContextual"/>
    </w:rPr>
  </w:style>
  <w:style w:type="paragraph" w:styleId="3">
    <w:name w:val="heading 2"/>
    <w:basedOn w:val="1"/>
    <w:next w:val="1"/>
    <w:link w:val="18"/>
    <w:unhideWhenUsed/>
    <w:qFormat/>
    <w:uiPriority w:val="0"/>
    <w:pPr>
      <w:keepNext/>
      <w:keepLines/>
      <w:spacing w:before="160" w:after="80" w:line="278" w:lineRule="auto"/>
      <w:jc w:val="left"/>
      <w:outlineLvl w:val="1"/>
    </w:pPr>
    <w:rPr>
      <w:rFonts w:asciiTheme="majorHAnsi" w:hAnsiTheme="majorHAnsi" w:eastAsiaTheme="majorEastAsia" w:cstheme="majorBidi"/>
      <w:color w:val="2F5597" w:themeColor="accent1" w:themeShade="BF"/>
      <w:sz w:val="40"/>
      <w:szCs w:val="40"/>
      <w14:ligatures w14:val="standardContextual"/>
    </w:rPr>
  </w:style>
  <w:style w:type="paragraph" w:styleId="4">
    <w:name w:val="heading 3"/>
    <w:basedOn w:val="1"/>
    <w:next w:val="1"/>
    <w:link w:val="19"/>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2F5597" w:themeColor="accent1" w:themeShade="BF"/>
      <w:sz w:val="32"/>
      <w:szCs w:val="32"/>
      <w14:ligatures w14:val="standardContextual"/>
    </w:rPr>
  </w:style>
  <w:style w:type="paragraph" w:styleId="5">
    <w:name w:val="heading 4"/>
    <w:basedOn w:val="1"/>
    <w:next w:val="1"/>
    <w:link w:val="20"/>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2F5597" w:themeColor="accent1" w:themeShade="BF"/>
      <w:sz w:val="28"/>
      <w:szCs w:val="28"/>
      <w14:ligatures w14:val="standardContextual"/>
    </w:rPr>
  </w:style>
  <w:style w:type="paragraph" w:styleId="6">
    <w:name w:val="heading 5"/>
    <w:basedOn w:val="1"/>
    <w:next w:val="1"/>
    <w:link w:val="21"/>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2F5597" w:themeColor="accent1" w:themeShade="BF"/>
      <w:sz w:val="24"/>
      <w14:ligatures w14:val="standardContextual"/>
    </w:rPr>
  </w:style>
  <w:style w:type="paragraph" w:styleId="7">
    <w:name w:val="heading 6"/>
    <w:basedOn w:val="1"/>
    <w:next w:val="1"/>
    <w:link w:val="22"/>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2F5597" w:themeColor="accent1" w:themeShade="BF"/>
      <w:sz w:val="22"/>
      <w14:ligatures w14:val="standardContextual"/>
    </w:rPr>
  </w:style>
  <w:style w:type="paragraph" w:styleId="8">
    <w:name w:val="heading 7"/>
    <w:basedOn w:val="1"/>
    <w:next w:val="1"/>
    <w:link w:val="23"/>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9">
    <w:name w:val="heading 8"/>
    <w:basedOn w:val="1"/>
    <w:next w:val="1"/>
    <w:link w:val="24"/>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9"/>
    <w:basedOn w:val="1"/>
    <w:next w:val="1"/>
    <w:link w:val="25"/>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snapToGrid w:val="0"/>
      <w:jc w:val="left"/>
    </w:pPr>
    <w:rPr>
      <w:sz w:val="18"/>
      <w:szCs w:val="18"/>
    </w:rPr>
  </w:style>
  <w:style w:type="paragraph" w:styleId="12">
    <w:name w:val="header"/>
    <w:basedOn w:val="1"/>
    <w:link w:val="35"/>
    <w:unhideWhenUsed/>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customStyle="1" w:styleId="17">
    <w:name w:val="标题 1 字符"/>
    <w:basedOn w:val="16"/>
    <w:link w:val="2"/>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3"/>
    <w:qFormat/>
    <w:uiPriority w:val="0"/>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uiPriority w:val="9"/>
    <w:rPr>
      <w:rFonts w:cstheme="majorBidi"/>
      <w:color w:val="2F5597" w:themeColor="accent1" w:themeShade="BF"/>
      <w:sz w:val="28"/>
      <w:szCs w:val="28"/>
    </w:rPr>
  </w:style>
  <w:style w:type="character" w:customStyle="1" w:styleId="21">
    <w:name w:val="标题 5 字符"/>
    <w:basedOn w:val="16"/>
    <w:link w:val="6"/>
    <w:semiHidden/>
    <w:uiPriority w:val="9"/>
    <w:rPr>
      <w:rFonts w:cstheme="majorBidi"/>
      <w:color w:val="2F5597" w:themeColor="accent1" w:themeShade="BF"/>
      <w:sz w:val="24"/>
    </w:rPr>
  </w:style>
  <w:style w:type="character" w:customStyle="1" w:styleId="22">
    <w:name w:val="标题 6 字符"/>
    <w:basedOn w:val="16"/>
    <w:link w:val="7"/>
    <w:semiHidden/>
    <w:uiPriority w:val="9"/>
    <w:rPr>
      <w:rFonts w:cstheme="majorBidi"/>
      <w:b/>
      <w:bCs/>
      <w:color w:val="2F5597"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29">
    <w:name w:val="引用 字符"/>
    <w:basedOn w:val="16"/>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14:ligatures w14:val="standardContextual"/>
    </w:rPr>
  </w:style>
  <w:style w:type="character" w:customStyle="1" w:styleId="31">
    <w:name w:val="Intense Emphasis"/>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rFonts w:asciiTheme="minorHAnsi" w:hAnsiTheme="minorHAnsi" w:eastAsiaTheme="minorEastAsia" w:cstheme="minorBidi"/>
      <w:i/>
      <w:iCs/>
      <w:color w:val="2F5597" w:themeColor="accent1" w:themeShade="BF"/>
      <w:sz w:val="22"/>
      <w14:ligatures w14:val="standardContextual"/>
    </w:rPr>
  </w:style>
  <w:style w:type="character" w:customStyle="1" w:styleId="33">
    <w:name w:val="明显引用 字符"/>
    <w:basedOn w:val="16"/>
    <w:link w:val="32"/>
    <w:uiPriority w:val="30"/>
    <w:rPr>
      <w:i/>
      <w:iCs/>
      <w:color w:val="2F5597" w:themeColor="accent1" w:themeShade="BF"/>
    </w:rPr>
  </w:style>
  <w:style w:type="character" w:customStyle="1" w:styleId="34">
    <w:name w:val="Intense Reference"/>
    <w:basedOn w:val="16"/>
    <w:qFormat/>
    <w:uiPriority w:val="32"/>
    <w:rPr>
      <w:b/>
      <w:bCs/>
      <w:smallCaps/>
      <w:color w:val="2F5597" w:themeColor="accent1" w:themeShade="BF"/>
      <w:spacing w:val="5"/>
    </w:rPr>
  </w:style>
  <w:style w:type="character" w:customStyle="1" w:styleId="35">
    <w:name w:val="页眉 字符"/>
    <w:basedOn w:val="16"/>
    <w:link w:val="12"/>
    <w:uiPriority w:val="99"/>
    <w:rPr>
      <w:rFonts w:ascii="Times New Roman" w:hAnsi="Times New Roman" w:eastAsia="宋体" w:cs="Times New Roman"/>
      <w:sz w:val="18"/>
      <w:szCs w:val="18"/>
      <w14:ligatures w14:val="none"/>
    </w:rPr>
  </w:style>
  <w:style w:type="character" w:customStyle="1" w:styleId="36">
    <w:name w:val="页脚 字符"/>
    <w:basedOn w:val="16"/>
    <w:link w:val="11"/>
    <w:uiPriority w:val="99"/>
    <w:rPr>
      <w:rFonts w:ascii="Times New Roman" w:hAnsi="Times New Roman" w:eastAsia="宋体" w:cs="Times New Roman"/>
      <w:sz w:val="18"/>
      <w:szCs w:val="18"/>
      <w14:ligatures w14: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2C6D7-331D-4147-9727-A105B4ADE7F7}">
  <ds:schemaRefs/>
</ds:datastoreItem>
</file>

<file path=docProps/app.xml><?xml version="1.0" encoding="utf-8"?>
<Properties xmlns="http://schemas.openxmlformats.org/officeDocument/2006/extended-properties" xmlns:vt="http://schemas.openxmlformats.org/officeDocument/2006/docPropsVTypes">
  <Template>Normal.dotm</Template>
  <Pages>6</Pages>
  <Words>5221</Words>
  <Characters>6210</Characters>
  <Lines>236</Lines>
  <Paragraphs>203</Paragraphs>
  <TotalTime>2</TotalTime>
  <ScaleCrop>false</ScaleCrop>
  <LinksUpToDate>false</LinksUpToDate>
  <CharactersWithSpaces>6245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2026-03-10T07:09:00Z</dcterms:created>
  <dc:creator>admin</dc:creator>
  <cp:lastModifiedBy>Admin</cp:lastModifiedBy>
  <dcterms:modified xsi:type="dcterms:W3CDTF">2026-03-10T07:37:41Z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eyJoZGlkIjoiZDQ3OGU5YTE3N2FmMWVhMjExZTc3ODMxYzE2Y2VjM2YiLCJ1c2VySWQiOiI3NTg2Mzk5NDIifQ==</vt:lpwstr>
  </property>
  <property fmtid="{D5CDD505-2E9C-101B-9397-08002B2CF9AE}" pid="3" name="KSOProductBuildVer">
    <vt:lpwstr>2052-12.1.0.25225</vt:lpwstr>
  </property>
  <property fmtid="{D5CDD505-2E9C-101B-9397-08002B2CF9AE}" pid="4" name="ICV">
    <vt:lpwstr>E02480F06C944831A1E4125AE59F86CB_12</vt:lpwstr>
  </property>
</Properties>
</file>