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001F0EB4">
      <w:pPr>
        <w:ind w:firstLine="883"/>
        <w:jc w:val="center"/>
        <w:rPr>
          <w:rFonts w:hint="eastAsia" w:ascii="宋体" w:hAnsi="宋体" w:cs="宋体"/>
          <w:b/>
          <w:color w:val="auto"/>
          <w:sz w:val="44"/>
          <w:szCs w:val="24"/>
          <w:highlight w:val="none"/>
        </w:rPr>
      </w:pPr>
    </w:p>
    <w:p w14:paraId="0E459CAF">
      <w:pPr>
        <w:spacing w:line="312" w:lineRule="auto"/>
        <w:ind w:firstLine="0" w:firstLineChars="0"/>
        <w:jc w:val="center"/>
        <w:rPr>
          <w:rFonts w:hint="eastAsia" w:ascii="宋体" w:hAnsi="宋体" w:cs="宋体"/>
          <w:b/>
          <w:color w:val="auto"/>
          <w:sz w:val="44"/>
          <w:szCs w:val="44"/>
          <w:highlight w:val="none"/>
        </w:rPr>
      </w:pPr>
      <w:r>
        <w:rPr>
          <w:rFonts w:hint="eastAsia" w:ascii="宋体" w:hAnsi="宋体" w:cs="宋体"/>
          <w:b/>
          <w:color w:val="auto"/>
          <w:sz w:val="44"/>
          <w:szCs w:val="44"/>
          <w:highlight w:val="none"/>
          <w:lang w:val="en-US" w:eastAsia="zh-CN"/>
        </w:rPr>
        <w:t>昆明公交城市巴士有限责任公司纯电动高一级公路客车采购项目</w:t>
      </w:r>
    </w:p>
    <w:p w14:paraId="6AAD919C">
      <w:pPr>
        <w:rPr>
          <w:rFonts w:hint="eastAsia" w:ascii="宋体" w:hAnsi="宋体" w:cs="宋体"/>
          <w:color w:val="auto"/>
          <w:highlight w:val="none"/>
        </w:rPr>
      </w:pPr>
    </w:p>
    <w:p w14:paraId="79A667A0">
      <w:pPr>
        <w:ind w:firstLine="562"/>
        <w:jc w:val="center"/>
        <w:rPr>
          <w:rFonts w:hint="eastAsia" w:ascii="宋体" w:hAnsi="宋体" w:cs="宋体"/>
          <w:b/>
          <w:color w:val="auto"/>
          <w:sz w:val="28"/>
          <w:szCs w:val="28"/>
          <w:highlight w:val="none"/>
        </w:rPr>
      </w:pPr>
    </w:p>
    <w:p w14:paraId="5AE14260">
      <w:pPr>
        <w:ind w:firstLine="562"/>
        <w:jc w:val="center"/>
        <w:rPr>
          <w:rFonts w:hint="eastAsia" w:ascii="宋体" w:hAnsi="宋体" w:cs="宋体"/>
          <w:b/>
          <w:color w:val="auto"/>
          <w:sz w:val="28"/>
          <w:szCs w:val="28"/>
          <w:highlight w:val="none"/>
        </w:rPr>
      </w:pPr>
    </w:p>
    <w:p w14:paraId="432CB4B1">
      <w:pPr>
        <w:ind w:firstLine="562"/>
        <w:rPr>
          <w:rFonts w:hint="eastAsia" w:ascii="宋体" w:hAnsi="宋体" w:cs="宋体"/>
          <w:b/>
          <w:color w:val="auto"/>
          <w:sz w:val="28"/>
          <w:szCs w:val="28"/>
          <w:highlight w:val="none"/>
        </w:rPr>
      </w:pPr>
    </w:p>
    <w:p w14:paraId="18DA4C1C">
      <w:pPr>
        <w:ind w:firstLine="0" w:firstLineChars="0"/>
        <w:jc w:val="center"/>
        <w:rPr>
          <w:rFonts w:hint="eastAsia" w:ascii="宋体" w:hAnsi="宋体" w:cs="宋体"/>
          <w:b/>
          <w:color w:val="auto"/>
          <w:spacing w:val="20"/>
          <w:sz w:val="96"/>
          <w:szCs w:val="36"/>
          <w:highlight w:val="none"/>
        </w:rPr>
      </w:pPr>
      <w:r>
        <w:rPr>
          <w:rFonts w:hint="eastAsia" w:ascii="宋体" w:hAnsi="宋体" w:cs="宋体"/>
          <w:b/>
          <w:color w:val="auto"/>
          <w:spacing w:val="20"/>
          <w:sz w:val="96"/>
          <w:szCs w:val="36"/>
          <w:highlight w:val="none"/>
        </w:rPr>
        <w:t>招 标 文 件</w:t>
      </w:r>
    </w:p>
    <w:p w14:paraId="39B460AF">
      <w:pPr>
        <w:ind w:firstLine="0" w:firstLineChars="0"/>
        <w:jc w:val="center"/>
        <w:rPr>
          <w:rFonts w:hint="eastAsia" w:ascii="宋体" w:hAnsi="宋体" w:eastAsia="宋体" w:cs="宋体"/>
          <w:b/>
          <w:color w:val="auto"/>
          <w:sz w:val="24"/>
          <w:szCs w:val="24"/>
          <w:highlight w:val="none"/>
          <w:lang w:eastAsia="zh-CN"/>
        </w:rPr>
      </w:pPr>
      <w:r>
        <w:rPr>
          <w:rFonts w:hint="eastAsia" w:ascii="宋体" w:hAnsi="宋体" w:cs="宋体"/>
          <w:b/>
          <w:color w:val="auto"/>
          <w:sz w:val="32"/>
          <w:szCs w:val="32"/>
          <w:highlight w:val="none"/>
        </w:rPr>
        <w:t>项目编号：</w:t>
      </w:r>
      <w:r>
        <w:rPr>
          <w:rFonts w:hint="eastAsia" w:ascii="宋体" w:hAnsi="宋体" w:cs="宋体"/>
          <w:b/>
          <w:color w:val="auto"/>
          <w:sz w:val="32"/>
          <w:szCs w:val="32"/>
          <w:highlight w:val="none"/>
          <w:lang w:eastAsia="zh-CN"/>
        </w:rPr>
        <w:t>云鑫招字2026-10-002</w:t>
      </w:r>
    </w:p>
    <w:p w14:paraId="3CFF2837">
      <w:pPr>
        <w:ind w:firstLine="482"/>
        <w:rPr>
          <w:rFonts w:hint="eastAsia" w:ascii="宋体" w:hAnsi="宋体" w:cs="宋体"/>
          <w:b/>
          <w:color w:val="auto"/>
          <w:sz w:val="24"/>
          <w:szCs w:val="24"/>
          <w:highlight w:val="none"/>
        </w:rPr>
      </w:pPr>
    </w:p>
    <w:p w14:paraId="3C67EB8C">
      <w:pPr>
        <w:ind w:firstLine="482"/>
        <w:rPr>
          <w:rFonts w:hint="eastAsia" w:ascii="宋体" w:hAnsi="宋体" w:cs="宋体"/>
          <w:b/>
          <w:color w:val="auto"/>
          <w:sz w:val="24"/>
          <w:szCs w:val="24"/>
          <w:highlight w:val="none"/>
        </w:rPr>
      </w:pPr>
    </w:p>
    <w:p w14:paraId="01CB57F6">
      <w:pPr>
        <w:ind w:firstLine="482"/>
        <w:rPr>
          <w:rFonts w:hint="eastAsia" w:ascii="宋体" w:hAnsi="宋体" w:cs="宋体"/>
          <w:b/>
          <w:color w:val="auto"/>
          <w:sz w:val="24"/>
          <w:szCs w:val="24"/>
          <w:highlight w:val="none"/>
        </w:rPr>
      </w:pPr>
    </w:p>
    <w:p w14:paraId="78310BA0">
      <w:pPr>
        <w:ind w:left="210" w:leftChars="100" w:firstLine="482"/>
        <w:rPr>
          <w:rFonts w:hint="eastAsia" w:ascii="宋体" w:hAnsi="宋体" w:cs="宋体"/>
          <w:b/>
          <w:color w:val="auto"/>
          <w:sz w:val="24"/>
          <w:szCs w:val="24"/>
          <w:highlight w:val="none"/>
        </w:rPr>
      </w:pPr>
    </w:p>
    <w:p w14:paraId="050A2A6E">
      <w:pPr>
        <w:ind w:left="210" w:leftChars="100" w:firstLine="482"/>
        <w:rPr>
          <w:rFonts w:hint="eastAsia" w:ascii="宋体" w:hAnsi="宋体" w:cs="宋体"/>
          <w:b/>
          <w:color w:val="auto"/>
          <w:sz w:val="24"/>
          <w:szCs w:val="24"/>
          <w:highlight w:val="none"/>
        </w:rPr>
      </w:pPr>
    </w:p>
    <w:p w14:paraId="44ED6F12">
      <w:pPr>
        <w:tabs>
          <w:tab w:val="left" w:pos="1470"/>
          <w:tab w:val="left" w:pos="1680"/>
          <w:tab w:val="left" w:pos="8280"/>
          <w:tab w:val="left" w:pos="8820"/>
        </w:tabs>
        <w:snapToGrid w:val="0"/>
        <w:spacing w:before="240" w:beforeLines="100" w:line="480" w:lineRule="auto"/>
        <w:ind w:firstLine="0" w:firstLineChars="0"/>
        <w:jc w:val="center"/>
        <w:rPr>
          <w:rFonts w:hint="eastAsia" w:ascii="宋体" w:hAnsi="宋体" w:eastAsia="宋体" w:cs="宋体"/>
          <w:b/>
          <w:bCs/>
          <w:color w:val="auto"/>
          <w:sz w:val="32"/>
          <w:szCs w:val="32"/>
          <w:highlight w:val="none"/>
          <w:u w:val="single"/>
          <w:lang w:eastAsia="zh-CN"/>
        </w:rPr>
      </w:pPr>
      <w:r>
        <w:rPr>
          <w:rFonts w:hint="eastAsia" w:ascii="宋体" w:hAnsi="宋体" w:cs="宋体"/>
          <w:b/>
          <w:color w:val="auto"/>
          <w:spacing w:val="240"/>
          <w:kern w:val="0"/>
          <w:sz w:val="32"/>
          <w:szCs w:val="24"/>
          <w:highlight w:val="none"/>
          <w:fitText w:val="1920" w:id="2128503948"/>
        </w:rPr>
        <w:t>招标</w:t>
      </w:r>
      <w:r>
        <w:rPr>
          <w:rFonts w:hint="eastAsia" w:ascii="宋体" w:hAnsi="宋体" w:cs="宋体"/>
          <w:b/>
          <w:color w:val="auto"/>
          <w:spacing w:val="0"/>
          <w:kern w:val="0"/>
          <w:sz w:val="32"/>
          <w:szCs w:val="24"/>
          <w:highlight w:val="none"/>
          <w:fitText w:val="1920" w:id="2128503948"/>
        </w:rPr>
        <w:t>人</w:t>
      </w:r>
      <w:r>
        <w:rPr>
          <w:rFonts w:hint="eastAsia" w:ascii="宋体" w:hAnsi="宋体" w:cs="宋体"/>
          <w:b/>
          <w:color w:val="auto"/>
          <w:kern w:val="0"/>
          <w:sz w:val="32"/>
          <w:szCs w:val="24"/>
          <w:highlight w:val="none"/>
        </w:rPr>
        <w:t>：</w:t>
      </w:r>
      <w:r>
        <w:rPr>
          <w:rFonts w:hint="eastAsia" w:ascii="宋体" w:hAnsi="宋体" w:cs="宋体"/>
          <w:b/>
          <w:bCs/>
          <w:color w:val="auto"/>
          <w:sz w:val="32"/>
          <w:szCs w:val="32"/>
          <w:highlight w:val="none"/>
          <w:u w:val="single"/>
          <w:lang w:eastAsia="zh-CN"/>
        </w:rPr>
        <w:t>昆明公交城市巴士有限责任公司</w:t>
      </w:r>
    </w:p>
    <w:p w14:paraId="6CD0D455">
      <w:pPr>
        <w:tabs>
          <w:tab w:val="left" w:pos="1470"/>
        </w:tabs>
        <w:ind w:firstLine="7202"/>
        <w:jc w:val="center"/>
        <w:rPr>
          <w:rFonts w:hint="eastAsia" w:ascii="宋体" w:hAnsi="宋体" w:cs="宋体"/>
          <w:b/>
          <w:color w:val="auto"/>
          <w:spacing w:val="1"/>
          <w:w w:val="88"/>
          <w:kern w:val="0"/>
          <w:sz w:val="24"/>
          <w:szCs w:val="24"/>
          <w:highlight w:val="none"/>
          <w:fitText w:val="1920" w:id="321935516"/>
        </w:rPr>
      </w:pPr>
    </w:p>
    <w:p w14:paraId="2AF24EB4">
      <w:pPr>
        <w:tabs>
          <w:tab w:val="left" w:pos="1260"/>
          <w:tab w:val="left" w:pos="1470"/>
          <w:tab w:val="left" w:pos="1680"/>
        </w:tabs>
        <w:snapToGrid w:val="0"/>
        <w:spacing w:line="480" w:lineRule="auto"/>
        <w:ind w:firstLine="0" w:firstLineChars="0"/>
        <w:jc w:val="center"/>
        <w:rPr>
          <w:rFonts w:hint="eastAsia" w:ascii="宋体" w:hAnsi="宋体" w:cs="宋体"/>
          <w:b/>
          <w:color w:val="auto"/>
          <w:sz w:val="32"/>
          <w:szCs w:val="24"/>
          <w:highlight w:val="none"/>
          <w:u w:val="single"/>
        </w:rPr>
      </w:pPr>
      <w:r>
        <w:rPr>
          <w:rFonts w:hint="eastAsia" w:ascii="宋体" w:hAnsi="宋体" w:cs="宋体"/>
          <w:b/>
          <w:color w:val="auto"/>
          <w:spacing w:val="0"/>
          <w:w w:val="100"/>
          <w:kern w:val="0"/>
          <w:sz w:val="32"/>
          <w:szCs w:val="24"/>
          <w:highlight w:val="none"/>
          <w:fitText w:val="1920" w:id="321935516"/>
        </w:rPr>
        <w:t>招标代理机构</w:t>
      </w:r>
      <w:r>
        <w:rPr>
          <w:rFonts w:hint="eastAsia" w:ascii="宋体" w:hAnsi="宋体" w:cs="宋体"/>
          <w:b/>
          <w:color w:val="auto"/>
          <w:kern w:val="0"/>
          <w:sz w:val="32"/>
          <w:szCs w:val="24"/>
          <w:highlight w:val="none"/>
        </w:rPr>
        <w:t>：</w:t>
      </w:r>
      <w:r>
        <w:rPr>
          <w:rFonts w:hint="eastAsia" w:ascii="宋体" w:hAnsi="宋体" w:cs="宋体"/>
          <w:b/>
          <w:bCs/>
          <w:color w:val="auto"/>
          <w:sz w:val="32"/>
          <w:szCs w:val="32"/>
          <w:highlight w:val="none"/>
          <w:u w:val="single"/>
          <w:lang w:eastAsia="zh-CN"/>
        </w:rPr>
        <w:t>云南鑫德招标咨询有限公司</w:t>
      </w:r>
      <w:r>
        <w:rPr>
          <w:rFonts w:hint="eastAsia" w:ascii="宋体" w:hAnsi="宋体" w:cs="宋体"/>
          <w:b/>
          <w:color w:val="auto"/>
          <w:sz w:val="32"/>
          <w:szCs w:val="24"/>
          <w:highlight w:val="none"/>
          <w:u w:val="single"/>
        </w:rPr>
        <w:t>（电子签章）</w:t>
      </w:r>
    </w:p>
    <w:p w14:paraId="1C94C216">
      <w:pPr>
        <w:rPr>
          <w:rFonts w:hint="eastAsia" w:ascii="宋体" w:hAnsi="宋体" w:cs="宋体"/>
          <w:color w:val="auto"/>
          <w:highlight w:val="none"/>
        </w:rPr>
      </w:pPr>
    </w:p>
    <w:p w14:paraId="3FF01437">
      <w:pPr>
        <w:snapToGrid w:val="0"/>
        <w:spacing w:line="480" w:lineRule="auto"/>
        <w:ind w:firstLine="0" w:firstLineChars="0"/>
        <w:jc w:val="center"/>
        <w:rPr>
          <w:rFonts w:hint="eastAsia" w:ascii="宋体" w:hAnsi="宋体" w:cs="宋体"/>
          <w:color w:val="auto"/>
          <w:highlight w:val="none"/>
        </w:rPr>
      </w:pPr>
      <w:r>
        <w:rPr>
          <w:rFonts w:hint="eastAsia" w:ascii="宋体" w:hAnsi="宋体" w:cs="宋体"/>
          <w:b/>
          <w:color w:val="auto"/>
          <w:sz w:val="32"/>
          <w:szCs w:val="24"/>
          <w:highlight w:val="none"/>
        </w:rPr>
        <w:t>日  期：202</w:t>
      </w:r>
      <w:r>
        <w:rPr>
          <w:rFonts w:hint="eastAsia" w:ascii="宋体" w:hAnsi="宋体" w:cs="宋体"/>
          <w:b/>
          <w:color w:val="auto"/>
          <w:sz w:val="32"/>
          <w:szCs w:val="24"/>
          <w:highlight w:val="none"/>
          <w:lang w:val="en-US" w:eastAsia="zh-CN"/>
        </w:rPr>
        <w:t>6</w:t>
      </w:r>
      <w:r>
        <w:rPr>
          <w:rFonts w:hint="eastAsia" w:ascii="宋体" w:hAnsi="宋体" w:cs="宋体"/>
          <w:b/>
          <w:color w:val="auto"/>
          <w:sz w:val="32"/>
          <w:szCs w:val="24"/>
          <w:highlight w:val="none"/>
        </w:rPr>
        <w:t>年</w:t>
      </w:r>
      <w:r>
        <w:rPr>
          <w:rFonts w:hint="eastAsia" w:ascii="宋体" w:hAnsi="宋体" w:cs="宋体"/>
          <w:b/>
          <w:color w:val="auto"/>
          <w:sz w:val="32"/>
          <w:szCs w:val="24"/>
          <w:highlight w:val="none"/>
          <w:lang w:val="en-US" w:eastAsia="zh-CN"/>
        </w:rPr>
        <w:t>3</w:t>
      </w:r>
      <w:r>
        <w:rPr>
          <w:rFonts w:hint="eastAsia" w:ascii="宋体" w:hAnsi="宋体" w:cs="宋体"/>
          <w:b/>
          <w:color w:val="auto"/>
          <w:sz w:val="32"/>
          <w:szCs w:val="24"/>
          <w:highlight w:val="none"/>
        </w:rPr>
        <w:t>月</w:t>
      </w:r>
    </w:p>
    <w:p w14:paraId="04AEE312">
      <w:pPr>
        <w:spacing w:line="480" w:lineRule="auto"/>
        <w:ind w:firstLine="562" w:firstLineChars="0"/>
        <w:jc w:val="center"/>
        <w:rPr>
          <w:rFonts w:hint="eastAsia" w:ascii="宋体" w:hAnsi="宋体" w:cs="宋体"/>
          <w:b/>
          <w:color w:val="auto"/>
          <w:sz w:val="36"/>
          <w:szCs w:val="22"/>
          <w:highlight w:val="none"/>
        </w:rPr>
      </w:pPr>
      <w:bookmarkStart w:id="0" w:name="_Toc103671613"/>
      <w:bookmarkStart w:id="1" w:name="_Toc140151893"/>
      <w:bookmarkStart w:id="2" w:name="_Toc80085109"/>
    </w:p>
    <w:p w14:paraId="09AA82BA">
      <w:pPr>
        <w:spacing w:line="480" w:lineRule="auto"/>
        <w:ind w:firstLine="723"/>
        <w:jc w:val="center"/>
        <w:rPr>
          <w:rFonts w:hint="eastAsia" w:ascii="宋体" w:hAnsi="宋体" w:cs="宋体"/>
          <w:color w:val="auto"/>
          <w:sz w:val="24"/>
          <w:szCs w:val="22"/>
          <w:highlight w:val="none"/>
        </w:rPr>
      </w:pPr>
      <w:r>
        <w:rPr>
          <w:rFonts w:hint="eastAsia" w:ascii="宋体" w:hAnsi="宋体" w:cs="宋体"/>
          <w:b/>
          <w:color w:val="auto"/>
          <w:sz w:val="36"/>
          <w:szCs w:val="22"/>
          <w:highlight w:val="none"/>
        </w:rPr>
        <w:t>各投标单位</w:t>
      </w:r>
    </w:p>
    <w:p w14:paraId="1FE67893">
      <w:pPr>
        <w:tabs>
          <w:tab w:val="left" w:pos="0"/>
        </w:tabs>
        <w:ind w:firstLine="482" w:firstLineChars="201"/>
        <w:rPr>
          <w:rFonts w:hint="eastAsia" w:ascii="宋体" w:hAnsi="宋体" w:cs="宋体"/>
          <w:color w:val="auto"/>
          <w:sz w:val="24"/>
          <w:szCs w:val="22"/>
          <w:highlight w:val="none"/>
        </w:rPr>
      </w:pPr>
      <w:r>
        <w:rPr>
          <w:rFonts w:hint="eastAsia" w:ascii="宋体" w:hAnsi="宋体" w:cs="宋体"/>
          <w:color w:val="auto"/>
          <w:sz w:val="24"/>
          <w:szCs w:val="22"/>
          <w:highlight w:val="none"/>
        </w:rPr>
        <w:t>本项目启用网上远程开标，投标人无须到现场开标，远程开标操作流程详见《云南省公共资源交易平台投标人（供应商）培训教材》。</w:t>
      </w:r>
    </w:p>
    <w:p w14:paraId="2480B418">
      <w:pPr>
        <w:tabs>
          <w:tab w:val="left" w:pos="0"/>
        </w:tabs>
        <w:ind w:firstLine="482" w:firstLineChars="201"/>
        <w:rPr>
          <w:rFonts w:hint="eastAsia" w:ascii="宋体" w:hAnsi="宋体" w:cs="宋体"/>
          <w:color w:val="auto"/>
          <w:sz w:val="24"/>
          <w:szCs w:val="24"/>
          <w:highlight w:val="none"/>
        </w:rPr>
      </w:pPr>
    </w:p>
    <w:p w14:paraId="78C0CD3D">
      <w:pPr>
        <w:tabs>
          <w:tab w:val="left" w:pos="0"/>
        </w:tabs>
        <w:ind w:firstLine="482" w:firstLineChars="201"/>
        <w:rPr>
          <w:rFonts w:hint="eastAsia" w:ascii="宋体" w:hAnsi="宋体" w:cs="宋体"/>
          <w:color w:val="auto"/>
          <w:sz w:val="24"/>
          <w:szCs w:val="22"/>
          <w:highlight w:val="none"/>
        </w:rPr>
      </w:pPr>
      <w:r>
        <w:rPr>
          <w:rFonts w:hint="eastAsia" w:ascii="宋体" w:hAnsi="宋体" w:cs="宋体"/>
          <w:color w:val="auto"/>
          <w:sz w:val="24"/>
          <w:szCs w:val="22"/>
          <w:highlight w:val="none"/>
        </w:rPr>
        <w:t>请购买招标文件的投标人仔细阅读招标文件，若有异议请按电子平台要求在规定的时间内提出异议内容，过时视为认同招标文件的所有条款。</w:t>
      </w:r>
    </w:p>
    <w:p w14:paraId="7E1B3D9A">
      <w:pPr>
        <w:widowControl/>
        <w:ind w:firstLine="0" w:firstLineChars="0"/>
        <w:jc w:val="left"/>
        <w:rPr>
          <w:rFonts w:hint="eastAsia" w:ascii="宋体" w:hAnsi="宋体" w:cs="宋体"/>
          <w:color w:val="auto"/>
          <w:kern w:val="44"/>
          <w:sz w:val="32"/>
          <w:szCs w:val="32"/>
          <w:highlight w:val="none"/>
        </w:rPr>
      </w:pPr>
    </w:p>
    <w:p w14:paraId="783560E4">
      <w:pPr>
        <w:widowControl/>
        <w:spacing w:line="240" w:lineRule="auto"/>
        <w:ind w:firstLine="0" w:firstLineChars="0"/>
        <w:jc w:val="left"/>
        <w:rPr>
          <w:rFonts w:hint="eastAsia" w:ascii="宋体" w:hAnsi="宋体" w:cs="宋体"/>
          <w:color w:val="auto"/>
          <w:kern w:val="44"/>
          <w:sz w:val="36"/>
          <w:szCs w:val="36"/>
          <w:highlight w:val="none"/>
        </w:rPr>
      </w:pPr>
      <w:r>
        <w:rPr>
          <w:rFonts w:hint="eastAsia" w:ascii="宋体" w:hAnsi="宋体" w:cs="宋体"/>
          <w:b/>
          <w:color w:val="auto"/>
          <w:sz w:val="36"/>
          <w:szCs w:val="36"/>
          <w:highlight w:val="none"/>
        </w:rPr>
        <w:br w:type="page"/>
      </w:r>
    </w:p>
    <w:p w14:paraId="4E795E91">
      <w:pPr>
        <w:pStyle w:val="3"/>
        <w:spacing w:before="240" w:beforeLines="100" w:line="480" w:lineRule="auto"/>
        <w:ind w:firstLine="0" w:firstLineChars="0"/>
        <w:jc w:val="center"/>
        <w:rPr>
          <w:rFonts w:hint="eastAsia" w:ascii="宋体" w:hAnsi="宋体" w:eastAsia="宋体" w:cs="宋体"/>
          <w:b w:val="0"/>
          <w:color w:val="auto"/>
          <w:highlight w:val="none"/>
        </w:rPr>
      </w:pPr>
      <w:bookmarkStart w:id="3" w:name="_Toc14008"/>
      <w:bookmarkStart w:id="4" w:name="_Toc7859"/>
      <w:bookmarkStart w:id="5" w:name="_Toc20897"/>
      <w:bookmarkStart w:id="6" w:name="_Toc2313"/>
      <w:bookmarkStart w:id="7" w:name="_Toc32227"/>
      <w:bookmarkStart w:id="8" w:name="_Toc23944"/>
      <w:bookmarkStart w:id="9" w:name="_Toc10833"/>
      <w:bookmarkStart w:id="10" w:name="_Toc11424"/>
      <w:bookmarkStart w:id="11" w:name="_Toc9350"/>
      <w:r>
        <w:rPr>
          <w:rFonts w:hint="eastAsia" w:ascii="宋体" w:hAnsi="宋体" w:eastAsia="宋体" w:cs="宋体"/>
          <w:b w:val="0"/>
          <w:color w:val="auto"/>
          <w:sz w:val="36"/>
          <w:szCs w:val="36"/>
          <w:highlight w:val="none"/>
        </w:rPr>
        <w:t>目     录</w:t>
      </w:r>
      <w:bookmarkEnd w:id="0"/>
      <w:bookmarkEnd w:id="1"/>
      <w:bookmarkEnd w:id="2"/>
      <w:bookmarkEnd w:id="3"/>
      <w:bookmarkEnd w:id="4"/>
      <w:bookmarkEnd w:id="5"/>
      <w:bookmarkEnd w:id="6"/>
      <w:bookmarkEnd w:id="7"/>
      <w:bookmarkEnd w:id="8"/>
      <w:bookmarkEnd w:id="9"/>
      <w:bookmarkEnd w:id="10"/>
      <w:bookmarkEnd w:id="11"/>
    </w:p>
    <w:p w14:paraId="77915C95">
      <w:pPr>
        <w:pStyle w:val="25"/>
        <w:tabs>
          <w:tab w:val="right" w:leader="dot" w:pos="8306"/>
          <w:tab w:val="clear" w:pos="9628"/>
        </w:tabs>
        <w:ind w:firstLine="155"/>
        <w:rPr>
          <w:rFonts w:hint="eastAsia" w:ascii="宋体" w:hAnsi="宋体" w:cs="宋体"/>
          <w:color w:val="auto"/>
          <w:highlight w:val="none"/>
        </w:rPr>
      </w:pPr>
      <w:r>
        <w:rPr>
          <w:rFonts w:hint="eastAsia" w:ascii="宋体" w:hAnsi="宋体" w:cs="宋体"/>
          <w:b w:val="0"/>
          <w:bCs/>
          <w:color w:val="auto"/>
          <w:sz w:val="21"/>
          <w:szCs w:val="21"/>
          <w:highlight w:val="none"/>
        </w:rPr>
        <w:fldChar w:fldCharType="begin"/>
      </w:r>
      <w:r>
        <w:rPr>
          <w:rFonts w:hint="eastAsia" w:ascii="宋体" w:hAnsi="宋体" w:cs="宋体"/>
          <w:b w:val="0"/>
          <w:bCs/>
          <w:color w:val="auto"/>
          <w:sz w:val="21"/>
          <w:szCs w:val="21"/>
          <w:highlight w:val="none"/>
        </w:rPr>
        <w:instrText xml:space="preserve"> TOC \o "1-2" \h \z \u </w:instrText>
      </w:r>
      <w:r>
        <w:rPr>
          <w:rFonts w:hint="eastAsia" w:ascii="宋体" w:hAnsi="宋体" w:cs="宋体"/>
          <w:b w:val="0"/>
          <w:bCs/>
          <w:color w:val="auto"/>
          <w:sz w:val="21"/>
          <w:szCs w:val="21"/>
          <w:highlight w:val="none"/>
        </w:rPr>
        <w:fldChar w:fldCharType="separate"/>
      </w:r>
      <w:r>
        <w:rPr>
          <w:color w:val="auto"/>
          <w:highlight w:val="none"/>
        </w:rPr>
        <w:fldChar w:fldCharType="begin"/>
      </w:r>
      <w:r>
        <w:rPr>
          <w:color w:val="auto"/>
          <w:highlight w:val="none"/>
        </w:rPr>
        <w:instrText xml:space="preserve"> HYPERLINK \l "_Toc22354" </w:instrText>
      </w:r>
      <w:r>
        <w:rPr>
          <w:color w:val="auto"/>
          <w:highlight w:val="none"/>
        </w:rPr>
        <w:fldChar w:fldCharType="separate"/>
      </w:r>
      <w:r>
        <w:rPr>
          <w:rFonts w:hint="eastAsia" w:ascii="宋体" w:hAnsi="宋体" w:cs="宋体"/>
          <w:color w:val="auto"/>
          <w:highlight w:val="none"/>
        </w:rPr>
        <w:t>第一章 招标公告</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_Toc22354 \h </w:instrText>
      </w:r>
      <w:r>
        <w:rPr>
          <w:rFonts w:hint="eastAsia" w:ascii="宋体" w:hAnsi="宋体" w:cs="宋体"/>
          <w:color w:val="auto"/>
          <w:highlight w:val="none"/>
        </w:rPr>
        <w:fldChar w:fldCharType="separate"/>
      </w:r>
      <w:r>
        <w:rPr>
          <w:rFonts w:hint="eastAsia" w:ascii="宋体" w:hAnsi="宋体" w:cs="宋体"/>
          <w:color w:val="auto"/>
          <w:highlight w:val="none"/>
        </w:rPr>
        <w:t>4</w:t>
      </w:r>
      <w:r>
        <w:rPr>
          <w:rFonts w:hint="eastAsia" w:ascii="宋体" w:hAnsi="宋体" w:cs="宋体"/>
          <w:color w:val="auto"/>
          <w:highlight w:val="none"/>
        </w:rPr>
        <w:fldChar w:fldCharType="end"/>
      </w:r>
      <w:r>
        <w:rPr>
          <w:rFonts w:hint="eastAsia" w:ascii="宋体" w:hAnsi="宋体" w:cs="宋体"/>
          <w:color w:val="auto"/>
          <w:highlight w:val="none"/>
        </w:rPr>
        <w:fldChar w:fldCharType="end"/>
      </w:r>
    </w:p>
    <w:p w14:paraId="6A35446A">
      <w:pPr>
        <w:pStyle w:val="30"/>
        <w:tabs>
          <w:tab w:val="right" w:leader="dot" w:pos="8306"/>
        </w:tabs>
        <w:ind w:firstLine="400"/>
        <w:rPr>
          <w:rFonts w:hint="eastAsia" w:ascii="宋体" w:hAnsi="宋体" w:cs="宋体"/>
          <w:color w:val="auto"/>
          <w:highlight w:val="none"/>
        </w:rPr>
      </w:pPr>
      <w:r>
        <w:rPr>
          <w:color w:val="auto"/>
          <w:highlight w:val="none"/>
        </w:rPr>
        <w:fldChar w:fldCharType="begin"/>
      </w:r>
      <w:r>
        <w:rPr>
          <w:color w:val="auto"/>
          <w:highlight w:val="none"/>
        </w:rPr>
        <w:instrText xml:space="preserve"> HYPERLINK \l "_Toc3014" </w:instrText>
      </w:r>
      <w:r>
        <w:rPr>
          <w:color w:val="auto"/>
          <w:highlight w:val="none"/>
        </w:rPr>
        <w:fldChar w:fldCharType="separate"/>
      </w:r>
      <w:r>
        <w:rPr>
          <w:rFonts w:hint="eastAsia" w:ascii="宋体" w:hAnsi="宋体" w:cs="宋体"/>
          <w:color w:val="auto"/>
          <w:szCs w:val="24"/>
          <w:highlight w:val="none"/>
        </w:rPr>
        <w:t>一、招标条件</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_Toc3014 \h </w:instrText>
      </w:r>
      <w:r>
        <w:rPr>
          <w:rFonts w:hint="eastAsia" w:ascii="宋体" w:hAnsi="宋体" w:cs="宋体"/>
          <w:color w:val="auto"/>
          <w:highlight w:val="none"/>
        </w:rPr>
        <w:fldChar w:fldCharType="separate"/>
      </w:r>
      <w:r>
        <w:rPr>
          <w:rFonts w:hint="eastAsia" w:ascii="宋体" w:hAnsi="宋体" w:cs="宋体"/>
          <w:color w:val="auto"/>
          <w:highlight w:val="none"/>
        </w:rPr>
        <w:t>4</w:t>
      </w:r>
      <w:r>
        <w:rPr>
          <w:rFonts w:hint="eastAsia" w:ascii="宋体" w:hAnsi="宋体" w:cs="宋体"/>
          <w:color w:val="auto"/>
          <w:highlight w:val="none"/>
        </w:rPr>
        <w:fldChar w:fldCharType="end"/>
      </w:r>
      <w:r>
        <w:rPr>
          <w:rFonts w:hint="eastAsia" w:ascii="宋体" w:hAnsi="宋体" w:cs="宋体"/>
          <w:color w:val="auto"/>
          <w:highlight w:val="none"/>
        </w:rPr>
        <w:fldChar w:fldCharType="end"/>
      </w:r>
    </w:p>
    <w:p w14:paraId="17301D1A">
      <w:pPr>
        <w:pStyle w:val="30"/>
        <w:tabs>
          <w:tab w:val="right" w:leader="dot" w:pos="8306"/>
        </w:tabs>
        <w:ind w:firstLine="400"/>
        <w:rPr>
          <w:rFonts w:hint="eastAsia" w:ascii="宋体" w:hAnsi="宋体" w:cs="宋体"/>
          <w:color w:val="auto"/>
          <w:highlight w:val="none"/>
        </w:rPr>
      </w:pPr>
      <w:r>
        <w:rPr>
          <w:color w:val="auto"/>
          <w:highlight w:val="none"/>
        </w:rPr>
        <w:fldChar w:fldCharType="begin"/>
      </w:r>
      <w:r>
        <w:rPr>
          <w:color w:val="auto"/>
          <w:highlight w:val="none"/>
        </w:rPr>
        <w:instrText xml:space="preserve"> HYPERLINK \l "_Toc20531" </w:instrText>
      </w:r>
      <w:r>
        <w:rPr>
          <w:color w:val="auto"/>
          <w:highlight w:val="none"/>
        </w:rPr>
        <w:fldChar w:fldCharType="separate"/>
      </w:r>
      <w:r>
        <w:rPr>
          <w:rFonts w:hint="eastAsia" w:ascii="宋体" w:hAnsi="宋体" w:cs="宋体"/>
          <w:color w:val="auto"/>
          <w:szCs w:val="24"/>
          <w:highlight w:val="none"/>
        </w:rPr>
        <w:t>二、招标范围</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_Toc20531 \h </w:instrText>
      </w:r>
      <w:r>
        <w:rPr>
          <w:rFonts w:hint="eastAsia" w:ascii="宋体" w:hAnsi="宋体" w:cs="宋体"/>
          <w:color w:val="auto"/>
          <w:highlight w:val="none"/>
        </w:rPr>
        <w:fldChar w:fldCharType="separate"/>
      </w:r>
      <w:r>
        <w:rPr>
          <w:rFonts w:hint="eastAsia" w:ascii="宋体" w:hAnsi="宋体" w:cs="宋体"/>
          <w:color w:val="auto"/>
          <w:highlight w:val="none"/>
        </w:rPr>
        <w:t>4</w:t>
      </w:r>
      <w:r>
        <w:rPr>
          <w:rFonts w:hint="eastAsia" w:ascii="宋体" w:hAnsi="宋体" w:cs="宋体"/>
          <w:color w:val="auto"/>
          <w:highlight w:val="none"/>
        </w:rPr>
        <w:fldChar w:fldCharType="end"/>
      </w:r>
      <w:r>
        <w:rPr>
          <w:rFonts w:hint="eastAsia" w:ascii="宋体" w:hAnsi="宋体" w:cs="宋体"/>
          <w:color w:val="auto"/>
          <w:highlight w:val="none"/>
        </w:rPr>
        <w:fldChar w:fldCharType="end"/>
      </w:r>
    </w:p>
    <w:p w14:paraId="0E461E34">
      <w:pPr>
        <w:pStyle w:val="30"/>
        <w:tabs>
          <w:tab w:val="right" w:leader="dot" w:pos="8306"/>
        </w:tabs>
        <w:ind w:firstLine="400"/>
        <w:rPr>
          <w:rFonts w:hint="eastAsia" w:ascii="宋体" w:hAnsi="宋体" w:cs="宋体"/>
          <w:color w:val="auto"/>
          <w:highlight w:val="none"/>
        </w:rPr>
      </w:pPr>
      <w:r>
        <w:rPr>
          <w:color w:val="auto"/>
          <w:highlight w:val="none"/>
        </w:rPr>
        <w:fldChar w:fldCharType="begin"/>
      </w:r>
      <w:r>
        <w:rPr>
          <w:color w:val="auto"/>
          <w:highlight w:val="none"/>
        </w:rPr>
        <w:instrText xml:space="preserve"> HYPERLINK \l "_Toc24829" </w:instrText>
      </w:r>
      <w:r>
        <w:rPr>
          <w:color w:val="auto"/>
          <w:highlight w:val="none"/>
        </w:rPr>
        <w:fldChar w:fldCharType="separate"/>
      </w:r>
      <w:r>
        <w:rPr>
          <w:rFonts w:hint="eastAsia" w:ascii="宋体" w:hAnsi="宋体" w:cs="宋体"/>
          <w:color w:val="auto"/>
          <w:szCs w:val="24"/>
          <w:highlight w:val="none"/>
        </w:rPr>
        <w:t>三、投标人资格要求</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_Toc24829 \h </w:instrText>
      </w:r>
      <w:r>
        <w:rPr>
          <w:rFonts w:hint="eastAsia" w:ascii="宋体" w:hAnsi="宋体" w:cs="宋体"/>
          <w:color w:val="auto"/>
          <w:highlight w:val="none"/>
        </w:rPr>
        <w:fldChar w:fldCharType="separate"/>
      </w:r>
      <w:r>
        <w:rPr>
          <w:rFonts w:hint="eastAsia" w:ascii="宋体" w:hAnsi="宋体" w:cs="宋体"/>
          <w:color w:val="auto"/>
          <w:highlight w:val="none"/>
        </w:rPr>
        <w:t>5</w:t>
      </w:r>
      <w:r>
        <w:rPr>
          <w:rFonts w:hint="eastAsia" w:ascii="宋体" w:hAnsi="宋体" w:cs="宋体"/>
          <w:color w:val="auto"/>
          <w:highlight w:val="none"/>
        </w:rPr>
        <w:fldChar w:fldCharType="end"/>
      </w:r>
      <w:r>
        <w:rPr>
          <w:rFonts w:hint="eastAsia" w:ascii="宋体" w:hAnsi="宋体" w:cs="宋体"/>
          <w:color w:val="auto"/>
          <w:highlight w:val="none"/>
        </w:rPr>
        <w:fldChar w:fldCharType="end"/>
      </w:r>
    </w:p>
    <w:p w14:paraId="1C61AE5A">
      <w:pPr>
        <w:pStyle w:val="30"/>
        <w:tabs>
          <w:tab w:val="right" w:leader="dot" w:pos="8306"/>
        </w:tabs>
        <w:ind w:firstLine="400"/>
        <w:rPr>
          <w:rFonts w:hint="eastAsia" w:ascii="宋体" w:hAnsi="宋体" w:cs="宋体"/>
          <w:color w:val="auto"/>
          <w:highlight w:val="none"/>
        </w:rPr>
      </w:pPr>
      <w:r>
        <w:rPr>
          <w:color w:val="auto"/>
          <w:highlight w:val="none"/>
        </w:rPr>
        <w:fldChar w:fldCharType="begin"/>
      </w:r>
      <w:r>
        <w:rPr>
          <w:color w:val="auto"/>
          <w:highlight w:val="none"/>
        </w:rPr>
        <w:instrText xml:space="preserve"> HYPERLINK \l "_Toc18970" </w:instrText>
      </w:r>
      <w:r>
        <w:rPr>
          <w:color w:val="auto"/>
          <w:highlight w:val="none"/>
        </w:rPr>
        <w:fldChar w:fldCharType="separate"/>
      </w:r>
      <w:r>
        <w:rPr>
          <w:rFonts w:hint="eastAsia" w:ascii="宋体" w:hAnsi="宋体" w:cs="宋体"/>
          <w:color w:val="auto"/>
          <w:szCs w:val="24"/>
          <w:highlight w:val="none"/>
        </w:rPr>
        <w:t>四、招标文件的获取</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_Toc18970 \h </w:instrText>
      </w:r>
      <w:r>
        <w:rPr>
          <w:rFonts w:hint="eastAsia" w:ascii="宋体" w:hAnsi="宋体" w:cs="宋体"/>
          <w:color w:val="auto"/>
          <w:highlight w:val="none"/>
        </w:rPr>
        <w:fldChar w:fldCharType="separate"/>
      </w:r>
      <w:r>
        <w:rPr>
          <w:rFonts w:hint="eastAsia" w:ascii="宋体" w:hAnsi="宋体" w:cs="宋体"/>
          <w:color w:val="auto"/>
          <w:highlight w:val="none"/>
        </w:rPr>
        <w:t>6</w:t>
      </w:r>
      <w:r>
        <w:rPr>
          <w:rFonts w:hint="eastAsia" w:ascii="宋体" w:hAnsi="宋体" w:cs="宋体"/>
          <w:color w:val="auto"/>
          <w:highlight w:val="none"/>
        </w:rPr>
        <w:fldChar w:fldCharType="end"/>
      </w:r>
      <w:r>
        <w:rPr>
          <w:rFonts w:hint="eastAsia" w:ascii="宋体" w:hAnsi="宋体" w:cs="宋体"/>
          <w:color w:val="auto"/>
          <w:highlight w:val="none"/>
        </w:rPr>
        <w:fldChar w:fldCharType="end"/>
      </w:r>
    </w:p>
    <w:p w14:paraId="2CF13548">
      <w:pPr>
        <w:pStyle w:val="30"/>
        <w:tabs>
          <w:tab w:val="right" w:leader="dot" w:pos="8306"/>
        </w:tabs>
        <w:ind w:firstLine="400"/>
        <w:rPr>
          <w:rFonts w:hint="eastAsia" w:ascii="宋体" w:hAnsi="宋体" w:cs="宋体"/>
          <w:color w:val="auto"/>
          <w:highlight w:val="none"/>
        </w:rPr>
      </w:pPr>
      <w:r>
        <w:rPr>
          <w:color w:val="auto"/>
          <w:highlight w:val="none"/>
        </w:rPr>
        <w:fldChar w:fldCharType="begin"/>
      </w:r>
      <w:r>
        <w:rPr>
          <w:color w:val="auto"/>
          <w:highlight w:val="none"/>
        </w:rPr>
        <w:instrText xml:space="preserve"> HYPERLINK \l "_Toc23364" </w:instrText>
      </w:r>
      <w:r>
        <w:rPr>
          <w:color w:val="auto"/>
          <w:highlight w:val="none"/>
        </w:rPr>
        <w:fldChar w:fldCharType="separate"/>
      </w:r>
      <w:r>
        <w:rPr>
          <w:rFonts w:hint="eastAsia" w:ascii="宋体" w:hAnsi="宋体" w:cs="宋体"/>
          <w:color w:val="auto"/>
          <w:szCs w:val="24"/>
          <w:highlight w:val="none"/>
        </w:rPr>
        <w:t>五、投标文件的递交</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_Toc23364 \h </w:instrText>
      </w:r>
      <w:r>
        <w:rPr>
          <w:rFonts w:hint="eastAsia" w:ascii="宋体" w:hAnsi="宋体" w:cs="宋体"/>
          <w:color w:val="auto"/>
          <w:highlight w:val="none"/>
        </w:rPr>
        <w:fldChar w:fldCharType="separate"/>
      </w:r>
      <w:r>
        <w:rPr>
          <w:rFonts w:hint="eastAsia" w:ascii="宋体" w:hAnsi="宋体" w:cs="宋体"/>
          <w:color w:val="auto"/>
          <w:highlight w:val="none"/>
        </w:rPr>
        <w:t>6</w:t>
      </w:r>
      <w:r>
        <w:rPr>
          <w:rFonts w:hint="eastAsia" w:ascii="宋体" w:hAnsi="宋体" w:cs="宋体"/>
          <w:color w:val="auto"/>
          <w:highlight w:val="none"/>
        </w:rPr>
        <w:fldChar w:fldCharType="end"/>
      </w:r>
      <w:r>
        <w:rPr>
          <w:rFonts w:hint="eastAsia" w:ascii="宋体" w:hAnsi="宋体" w:cs="宋体"/>
          <w:color w:val="auto"/>
          <w:highlight w:val="none"/>
        </w:rPr>
        <w:fldChar w:fldCharType="end"/>
      </w:r>
    </w:p>
    <w:p w14:paraId="52DEB75D">
      <w:pPr>
        <w:pStyle w:val="30"/>
        <w:tabs>
          <w:tab w:val="right" w:leader="dot" w:pos="8306"/>
        </w:tabs>
        <w:ind w:firstLine="400"/>
        <w:rPr>
          <w:rFonts w:hint="eastAsia" w:ascii="宋体" w:hAnsi="宋体" w:cs="宋体"/>
          <w:color w:val="auto"/>
          <w:highlight w:val="none"/>
        </w:rPr>
      </w:pPr>
      <w:r>
        <w:rPr>
          <w:color w:val="auto"/>
          <w:highlight w:val="none"/>
        </w:rPr>
        <w:fldChar w:fldCharType="begin"/>
      </w:r>
      <w:r>
        <w:rPr>
          <w:color w:val="auto"/>
          <w:highlight w:val="none"/>
        </w:rPr>
        <w:instrText xml:space="preserve"> HYPERLINK \l "_Toc9591" </w:instrText>
      </w:r>
      <w:r>
        <w:rPr>
          <w:color w:val="auto"/>
          <w:highlight w:val="none"/>
        </w:rPr>
        <w:fldChar w:fldCharType="separate"/>
      </w:r>
      <w:r>
        <w:rPr>
          <w:rFonts w:hint="eastAsia" w:ascii="宋体" w:hAnsi="宋体" w:cs="宋体"/>
          <w:color w:val="auto"/>
          <w:szCs w:val="24"/>
          <w:highlight w:val="none"/>
        </w:rPr>
        <w:t>六、发布公告的媒介</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_Toc9591 \h </w:instrText>
      </w:r>
      <w:r>
        <w:rPr>
          <w:rFonts w:hint="eastAsia" w:ascii="宋体" w:hAnsi="宋体" w:cs="宋体"/>
          <w:color w:val="auto"/>
          <w:highlight w:val="none"/>
        </w:rPr>
        <w:fldChar w:fldCharType="separate"/>
      </w:r>
      <w:r>
        <w:rPr>
          <w:rFonts w:hint="eastAsia" w:ascii="宋体" w:hAnsi="宋体" w:cs="宋体"/>
          <w:color w:val="auto"/>
          <w:highlight w:val="none"/>
        </w:rPr>
        <w:t>7</w:t>
      </w:r>
      <w:r>
        <w:rPr>
          <w:rFonts w:hint="eastAsia" w:ascii="宋体" w:hAnsi="宋体" w:cs="宋体"/>
          <w:color w:val="auto"/>
          <w:highlight w:val="none"/>
        </w:rPr>
        <w:fldChar w:fldCharType="end"/>
      </w:r>
      <w:r>
        <w:rPr>
          <w:rFonts w:hint="eastAsia" w:ascii="宋体" w:hAnsi="宋体" w:cs="宋体"/>
          <w:color w:val="auto"/>
          <w:highlight w:val="none"/>
        </w:rPr>
        <w:fldChar w:fldCharType="end"/>
      </w:r>
    </w:p>
    <w:p w14:paraId="0BB25207">
      <w:pPr>
        <w:pStyle w:val="30"/>
        <w:tabs>
          <w:tab w:val="right" w:leader="dot" w:pos="8306"/>
        </w:tabs>
        <w:ind w:firstLine="400"/>
        <w:rPr>
          <w:rFonts w:hint="eastAsia" w:ascii="宋体" w:hAnsi="宋体" w:cs="宋体"/>
          <w:color w:val="auto"/>
          <w:highlight w:val="none"/>
        </w:rPr>
      </w:pPr>
      <w:r>
        <w:rPr>
          <w:color w:val="auto"/>
          <w:highlight w:val="none"/>
        </w:rPr>
        <w:fldChar w:fldCharType="begin"/>
      </w:r>
      <w:r>
        <w:rPr>
          <w:color w:val="auto"/>
          <w:highlight w:val="none"/>
        </w:rPr>
        <w:instrText xml:space="preserve"> HYPERLINK \l "_Toc25654" </w:instrText>
      </w:r>
      <w:r>
        <w:rPr>
          <w:color w:val="auto"/>
          <w:highlight w:val="none"/>
        </w:rPr>
        <w:fldChar w:fldCharType="separate"/>
      </w:r>
      <w:r>
        <w:rPr>
          <w:rFonts w:hint="eastAsia" w:ascii="宋体" w:hAnsi="宋体" w:cs="宋体"/>
          <w:color w:val="auto"/>
          <w:szCs w:val="24"/>
          <w:highlight w:val="none"/>
        </w:rPr>
        <w:t>七、联系方式</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_Toc25654 \h </w:instrText>
      </w:r>
      <w:r>
        <w:rPr>
          <w:rFonts w:hint="eastAsia" w:ascii="宋体" w:hAnsi="宋体" w:cs="宋体"/>
          <w:color w:val="auto"/>
          <w:highlight w:val="none"/>
        </w:rPr>
        <w:fldChar w:fldCharType="separate"/>
      </w:r>
      <w:r>
        <w:rPr>
          <w:rFonts w:hint="eastAsia" w:ascii="宋体" w:hAnsi="宋体" w:cs="宋体"/>
          <w:color w:val="auto"/>
          <w:highlight w:val="none"/>
        </w:rPr>
        <w:t>7</w:t>
      </w:r>
      <w:r>
        <w:rPr>
          <w:rFonts w:hint="eastAsia" w:ascii="宋体" w:hAnsi="宋体" w:cs="宋体"/>
          <w:color w:val="auto"/>
          <w:highlight w:val="none"/>
        </w:rPr>
        <w:fldChar w:fldCharType="end"/>
      </w:r>
      <w:r>
        <w:rPr>
          <w:rFonts w:hint="eastAsia" w:ascii="宋体" w:hAnsi="宋体" w:cs="宋体"/>
          <w:color w:val="auto"/>
          <w:highlight w:val="none"/>
        </w:rPr>
        <w:fldChar w:fldCharType="end"/>
      </w:r>
    </w:p>
    <w:p w14:paraId="6631E7D5">
      <w:pPr>
        <w:pStyle w:val="25"/>
        <w:tabs>
          <w:tab w:val="right" w:leader="dot" w:pos="8306"/>
          <w:tab w:val="clear" w:pos="9628"/>
        </w:tabs>
        <w:ind w:firstLine="149"/>
        <w:rPr>
          <w:rFonts w:hint="eastAsia" w:ascii="宋体" w:hAnsi="宋体" w:cs="宋体"/>
          <w:color w:val="auto"/>
          <w:highlight w:val="none"/>
        </w:rPr>
      </w:pPr>
      <w:r>
        <w:rPr>
          <w:color w:val="auto"/>
          <w:highlight w:val="none"/>
        </w:rPr>
        <w:fldChar w:fldCharType="begin"/>
      </w:r>
      <w:r>
        <w:rPr>
          <w:color w:val="auto"/>
          <w:highlight w:val="none"/>
        </w:rPr>
        <w:instrText xml:space="preserve"> HYPERLINK \l "_Toc19618" </w:instrText>
      </w:r>
      <w:r>
        <w:rPr>
          <w:color w:val="auto"/>
          <w:highlight w:val="none"/>
        </w:rPr>
        <w:fldChar w:fldCharType="separate"/>
      </w:r>
      <w:r>
        <w:rPr>
          <w:rFonts w:hint="eastAsia" w:ascii="宋体" w:hAnsi="宋体" w:cs="宋体"/>
          <w:color w:val="auto"/>
          <w:kern w:val="0"/>
          <w:szCs w:val="36"/>
          <w:highlight w:val="none"/>
        </w:rPr>
        <w:t>第二章 投标人须知</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_Toc19618 \h </w:instrText>
      </w:r>
      <w:r>
        <w:rPr>
          <w:rFonts w:hint="eastAsia" w:ascii="宋体" w:hAnsi="宋体" w:cs="宋体"/>
          <w:color w:val="auto"/>
          <w:highlight w:val="none"/>
        </w:rPr>
        <w:fldChar w:fldCharType="separate"/>
      </w:r>
      <w:r>
        <w:rPr>
          <w:rFonts w:hint="eastAsia" w:ascii="宋体" w:hAnsi="宋体" w:cs="宋体"/>
          <w:color w:val="auto"/>
          <w:highlight w:val="none"/>
        </w:rPr>
        <w:t>8</w:t>
      </w:r>
      <w:r>
        <w:rPr>
          <w:rFonts w:hint="eastAsia" w:ascii="宋体" w:hAnsi="宋体" w:cs="宋体"/>
          <w:color w:val="auto"/>
          <w:highlight w:val="none"/>
        </w:rPr>
        <w:fldChar w:fldCharType="end"/>
      </w:r>
      <w:r>
        <w:rPr>
          <w:rFonts w:hint="eastAsia" w:ascii="宋体" w:hAnsi="宋体" w:cs="宋体"/>
          <w:color w:val="auto"/>
          <w:highlight w:val="none"/>
        </w:rPr>
        <w:fldChar w:fldCharType="end"/>
      </w:r>
    </w:p>
    <w:p w14:paraId="25454B32">
      <w:pPr>
        <w:pStyle w:val="25"/>
        <w:tabs>
          <w:tab w:val="right" w:leader="dot" w:pos="8306"/>
          <w:tab w:val="clear" w:pos="9628"/>
        </w:tabs>
        <w:ind w:firstLine="149"/>
        <w:rPr>
          <w:rFonts w:hint="eastAsia" w:ascii="宋体" w:hAnsi="宋体" w:cs="宋体"/>
          <w:color w:val="auto"/>
          <w:highlight w:val="none"/>
        </w:rPr>
      </w:pPr>
      <w:r>
        <w:rPr>
          <w:color w:val="auto"/>
          <w:highlight w:val="none"/>
        </w:rPr>
        <w:fldChar w:fldCharType="begin"/>
      </w:r>
      <w:r>
        <w:rPr>
          <w:color w:val="auto"/>
          <w:highlight w:val="none"/>
        </w:rPr>
        <w:instrText xml:space="preserve"> HYPERLINK \l "_Toc28497" </w:instrText>
      </w:r>
      <w:r>
        <w:rPr>
          <w:color w:val="auto"/>
          <w:highlight w:val="none"/>
        </w:rPr>
        <w:fldChar w:fldCharType="separate"/>
      </w:r>
      <w:r>
        <w:rPr>
          <w:rFonts w:hint="eastAsia" w:ascii="宋体" w:hAnsi="宋体" w:cs="宋体"/>
          <w:color w:val="auto"/>
          <w:kern w:val="0"/>
          <w:szCs w:val="36"/>
          <w:highlight w:val="none"/>
        </w:rPr>
        <w:t>第三章 评标办法（综合评分法）</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_Toc28497 \h </w:instrText>
      </w:r>
      <w:r>
        <w:rPr>
          <w:rFonts w:hint="eastAsia" w:ascii="宋体" w:hAnsi="宋体" w:cs="宋体"/>
          <w:color w:val="auto"/>
          <w:highlight w:val="none"/>
        </w:rPr>
        <w:fldChar w:fldCharType="separate"/>
      </w:r>
      <w:r>
        <w:rPr>
          <w:rFonts w:hint="eastAsia" w:ascii="宋体" w:hAnsi="宋体" w:cs="宋体"/>
          <w:color w:val="auto"/>
          <w:highlight w:val="none"/>
        </w:rPr>
        <w:t>28</w:t>
      </w:r>
      <w:r>
        <w:rPr>
          <w:rFonts w:hint="eastAsia" w:ascii="宋体" w:hAnsi="宋体" w:cs="宋体"/>
          <w:color w:val="auto"/>
          <w:highlight w:val="none"/>
        </w:rPr>
        <w:fldChar w:fldCharType="end"/>
      </w:r>
      <w:r>
        <w:rPr>
          <w:rFonts w:hint="eastAsia" w:ascii="宋体" w:hAnsi="宋体" w:cs="宋体"/>
          <w:color w:val="auto"/>
          <w:highlight w:val="none"/>
        </w:rPr>
        <w:fldChar w:fldCharType="end"/>
      </w:r>
    </w:p>
    <w:p w14:paraId="37036B81">
      <w:pPr>
        <w:pStyle w:val="30"/>
        <w:tabs>
          <w:tab w:val="right" w:leader="dot" w:pos="8306"/>
        </w:tabs>
        <w:ind w:firstLine="400"/>
        <w:rPr>
          <w:rFonts w:hint="eastAsia" w:ascii="宋体" w:hAnsi="宋体" w:cs="宋体"/>
          <w:color w:val="auto"/>
          <w:highlight w:val="none"/>
        </w:rPr>
      </w:pPr>
      <w:r>
        <w:rPr>
          <w:color w:val="auto"/>
          <w:highlight w:val="none"/>
        </w:rPr>
        <w:fldChar w:fldCharType="begin"/>
      </w:r>
      <w:r>
        <w:rPr>
          <w:color w:val="auto"/>
          <w:highlight w:val="none"/>
        </w:rPr>
        <w:instrText xml:space="preserve"> HYPERLINK \l "_Toc21916" </w:instrText>
      </w:r>
      <w:r>
        <w:rPr>
          <w:color w:val="auto"/>
          <w:highlight w:val="none"/>
        </w:rPr>
        <w:fldChar w:fldCharType="separate"/>
      </w:r>
      <w:r>
        <w:rPr>
          <w:rFonts w:hint="eastAsia" w:ascii="宋体" w:hAnsi="宋体" w:cs="宋体"/>
          <w:color w:val="auto"/>
          <w:highlight w:val="none"/>
        </w:rPr>
        <w:t>评标办法前附表</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_Toc21916 \h </w:instrText>
      </w:r>
      <w:r>
        <w:rPr>
          <w:rFonts w:hint="eastAsia" w:ascii="宋体" w:hAnsi="宋体" w:cs="宋体"/>
          <w:color w:val="auto"/>
          <w:highlight w:val="none"/>
        </w:rPr>
        <w:fldChar w:fldCharType="separate"/>
      </w:r>
      <w:r>
        <w:rPr>
          <w:rFonts w:hint="eastAsia" w:ascii="宋体" w:hAnsi="宋体" w:cs="宋体"/>
          <w:color w:val="auto"/>
          <w:highlight w:val="none"/>
        </w:rPr>
        <w:t>28</w:t>
      </w:r>
      <w:r>
        <w:rPr>
          <w:rFonts w:hint="eastAsia" w:ascii="宋体" w:hAnsi="宋体" w:cs="宋体"/>
          <w:color w:val="auto"/>
          <w:highlight w:val="none"/>
        </w:rPr>
        <w:fldChar w:fldCharType="end"/>
      </w:r>
      <w:r>
        <w:rPr>
          <w:rFonts w:hint="eastAsia" w:ascii="宋体" w:hAnsi="宋体" w:cs="宋体"/>
          <w:color w:val="auto"/>
          <w:highlight w:val="none"/>
        </w:rPr>
        <w:fldChar w:fldCharType="end"/>
      </w:r>
    </w:p>
    <w:p w14:paraId="52BBED20">
      <w:pPr>
        <w:pStyle w:val="25"/>
        <w:tabs>
          <w:tab w:val="right" w:leader="dot" w:pos="8306"/>
          <w:tab w:val="clear" w:pos="9628"/>
        </w:tabs>
        <w:ind w:firstLine="149"/>
        <w:rPr>
          <w:rFonts w:hint="eastAsia" w:ascii="宋体" w:hAnsi="宋体" w:cs="宋体"/>
          <w:color w:val="auto"/>
          <w:highlight w:val="none"/>
        </w:rPr>
      </w:pPr>
      <w:r>
        <w:rPr>
          <w:color w:val="auto"/>
          <w:highlight w:val="none"/>
        </w:rPr>
        <w:fldChar w:fldCharType="begin"/>
      </w:r>
      <w:r>
        <w:rPr>
          <w:color w:val="auto"/>
          <w:highlight w:val="none"/>
        </w:rPr>
        <w:instrText xml:space="preserve"> HYPERLINK \l "_Toc20774" </w:instrText>
      </w:r>
      <w:r>
        <w:rPr>
          <w:color w:val="auto"/>
          <w:highlight w:val="none"/>
        </w:rPr>
        <w:fldChar w:fldCharType="separate"/>
      </w:r>
      <w:r>
        <w:rPr>
          <w:rFonts w:hint="eastAsia" w:ascii="宋体" w:hAnsi="宋体" w:cs="宋体"/>
          <w:color w:val="auto"/>
          <w:kern w:val="0"/>
          <w:szCs w:val="36"/>
          <w:highlight w:val="none"/>
        </w:rPr>
        <w:t>第四章  投标文件格式</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_Toc20774 \h </w:instrText>
      </w:r>
      <w:r>
        <w:rPr>
          <w:rFonts w:hint="eastAsia" w:ascii="宋体" w:hAnsi="宋体" w:cs="宋体"/>
          <w:color w:val="auto"/>
          <w:highlight w:val="none"/>
        </w:rPr>
        <w:fldChar w:fldCharType="separate"/>
      </w:r>
      <w:r>
        <w:rPr>
          <w:rFonts w:hint="eastAsia" w:ascii="宋体" w:hAnsi="宋体" w:cs="宋体"/>
          <w:color w:val="auto"/>
          <w:highlight w:val="none"/>
        </w:rPr>
        <w:t>39</w:t>
      </w:r>
      <w:r>
        <w:rPr>
          <w:rFonts w:hint="eastAsia" w:ascii="宋体" w:hAnsi="宋体" w:cs="宋体"/>
          <w:color w:val="auto"/>
          <w:highlight w:val="none"/>
        </w:rPr>
        <w:fldChar w:fldCharType="end"/>
      </w:r>
      <w:r>
        <w:rPr>
          <w:rFonts w:hint="eastAsia" w:ascii="宋体" w:hAnsi="宋体" w:cs="宋体"/>
          <w:color w:val="auto"/>
          <w:highlight w:val="none"/>
        </w:rPr>
        <w:fldChar w:fldCharType="end"/>
      </w:r>
    </w:p>
    <w:p w14:paraId="38FB3526">
      <w:pPr>
        <w:pStyle w:val="25"/>
        <w:tabs>
          <w:tab w:val="right" w:leader="dot" w:pos="8306"/>
          <w:tab w:val="clear" w:pos="9628"/>
        </w:tabs>
        <w:ind w:firstLine="149"/>
        <w:rPr>
          <w:rFonts w:hint="eastAsia" w:ascii="宋体" w:hAnsi="宋体" w:cs="宋体"/>
          <w:color w:val="auto"/>
          <w:highlight w:val="none"/>
        </w:rPr>
      </w:pPr>
      <w:r>
        <w:rPr>
          <w:color w:val="auto"/>
          <w:highlight w:val="none"/>
        </w:rPr>
        <w:fldChar w:fldCharType="begin"/>
      </w:r>
      <w:r>
        <w:rPr>
          <w:color w:val="auto"/>
          <w:highlight w:val="none"/>
        </w:rPr>
        <w:instrText xml:space="preserve"> HYPERLINK \l "_Toc1152" </w:instrText>
      </w:r>
      <w:r>
        <w:rPr>
          <w:color w:val="auto"/>
          <w:highlight w:val="none"/>
        </w:rPr>
        <w:fldChar w:fldCharType="separate"/>
      </w:r>
      <w:r>
        <w:rPr>
          <w:rFonts w:hint="eastAsia" w:ascii="宋体" w:hAnsi="宋体" w:cs="宋体"/>
          <w:color w:val="auto"/>
          <w:kern w:val="0"/>
          <w:szCs w:val="36"/>
          <w:highlight w:val="none"/>
        </w:rPr>
        <w:t>第五章  采购需求</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_Toc1152 \h </w:instrText>
      </w:r>
      <w:r>
        <w:rPr>
          <w:rFonts w:hint="eastAsia" w:ascii="宋体" w:hAnsi="宋体" w:cs="宋体"/>
          <w:color w:val="auto"/>
          <w:highlight w:val="none"/>
        </w:rPr>
        <w:fldChar w:fldCharType="separate"/>
      </w:r>
      <w:r>
        <w:rPr>
          <w:rFonts w:hint="eastAsia" w:ascii="宋体" w:hAnsi="宋体" w:cs="宋体"/>
          <w:color w:val="auto"/>
          <w:highlight w:val="none"/>
        </w:rPr>
        <w:t>63</w:t>
      </w:r>
      <w:r>
        <w:rPr>
          <w:rFonts w:hint="eastAsia" w:ascii="宋体" w:hAnsi="宋体" w:cs="宋体"/>
          <w:color w:val="auto"/>
          <w:highlight w:val="none"/>
        </w:rPr>
        <w:fldChar w:fldCharType="end"/>
      </w:r>
      <w:r>
        <w:rPr>
          <w:rFonts w:hint="eastAsia" w:ascii="宋体" w:hAnsi="宋体" w:cs="宋体"/>
          <w:color w:val="auto"/>
          <w:highlight w:val="none"/>
        </w:rPr>
        <w:fldChar w:fldCharType="end"/>
      </w:r>
    </w:p>
    <w:p w14:paraId="441F9E19">
      <w:pPr>
        <w:pStyle w:val="25"/>
        <w:tabs>
          <w:tab w:val="right" w:leader="dot" w:pos="8306"/>
          <w:tab w:val="clear" w:pos="9628"/>
        </w:tabs>
        <w:ind w:firstLine="149"/>
        <w:rPr>
          <w:rFonts w:hint="eastAsia" w:ascii="宋体" w:hAnsi="宋体" w:cs="宋体"/>
          <w:color w:val="auto"/>
          <w:highlight w:val="none"/>
        </w:rPr>
      </w:pPr>
      <w:r>
        <w:rPr>
          <w:color w:val="auto"/>
          <w:highlight w:val="none"/>
        </w:rPr>
        <w:fldChar w:fldCharType="begin"/>
      </w:r>
      <w:r>
        <w:rPr>
          <w:color w:val="auto"/>
          <w:highlight w:val="none"/>
        </w:rPr>
        <w:instrText xml:space="preserve"> HYPERLINK \l "_Toc11199" </w:instrText>
      </w:r>
      <w:r>
        <w:rPr>
          <w:color w:val="auto"/>
          <w:highlight w:val="none"/>
        </w:rPr>
        <w:fldChar w:fldCharType="separate"/>
      </w:r>
      <w:r>
        <w:rPr>
          <w:rFonts w:hint="eastAsia" w:ascii="宋体" w:hAnsi="宋体" w:cs="宋体"/>
          <w:color w:val="auto"/>
          <w:kern w:val="0"/>
          <w:szCs w:val="36"/>
          <w:highlight w:val="none"/>
        </w:rPr>
        <w:t>第六章  合同条款及格式</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_Toc11199 \h </w:instrText>
      </w:r>
      <w:r>
        <w:rPr>
          <w:rFonts w:hint="eastAsia" w:ascii="宋体" w:hAnsi="宋体" w:cs="宋体"/>
          <w:color w:val="auto"/>
          <w:highlight w:val="none"/>
        </w:rPr>
        <w:fldChar w:fldCharType="separate"/>
      </w:r>
      <w:r>
        <w:rPr>
          <w:rFonts w:hint="eastAsia" w:ascii="宋体" w:hAnsi="宋体" w:cs="宋体"/>
          <w:color w:val="auto"/>
          <w:highlight w:val="none"/>
        </w:rPr>
        <w:t>75</w:t>
      </w:r>
      <w:r>
        <w:rPr>
          <w:rFonts w:hint="eastAsia" w:ascii="宋体" w:hAnsi="宋体" w:cs="宋体"/>
          <w:color w:val="auto"/>
          <w:highlight w:val="none"/>
        </w:rPr>
        <w:fldChar w:fldCharType="end"/>
      </w:r>
      <w:r>
        <w:rPr>
          <w:rFonts w:hint="eastAsia" w:ascii="宋体" w:hAnsi="宋体" w:cs="宋体"/>
          <w:color w:val="auto"/>
          <w:highlight w:val="none"/>
        </w:rPr>
        <w:fldChar w:fldCharType="end"/>
      </w:r>
    </w:p>
    <w:p w14:paraId="0E7404DA">
      <w:pPr>
        <w:pStyle w:val="25"/>
        <w:tabs>
          <w:tab w:val="right" w:leader="dot" w:pos="8306"/>
          <w:tab w:val="clear" w:pos="9628"/>
        </w:tabs>
        <w:ind w:firstLine="149"/>
        <w:rPr>
          <w:rFonts w:hint="eastAsia" w:ascii="宋体" w:hAnsi="宋体" w:cs="宋体"/>
          <w:color w:val="auto"/>
          <w:highlight w:val="none"/>
        </w:rPr>
      </w:pPr>
    </w:p>
    <w:p w14:paraId="64711DBD">
      <w:pPr>
        <w:pStyle w:val="25"/>
        <w:tabs>
          <w:tab w:val="right" w:leader="dot" w:pos="8958"/>
          <w:tab w:val="clear" w:pos="9628"/>
        </w:tabs>
        <w:spacing w:before="120" w:beforeLines="50" w:after="120" w:afterLines="50" w:line="480" w:lineRule="auto"/>
        <w:ind w:firstLine="0" w:firstLineChars="0"/>
        <w:jc w:val="both"/>
        <w:rPr>
          <w:rFonts w:hint="eastAsia" w:ascii="宋体" w:hAnsi="宋体" w:cs="宋体"/>
          <w:b w:val="0"/>
          <w:color w:val="auto"/>
          <w:sz w:val="28"/>
          <w:highlight w:val="none"/>
        </w:rPr>
      </w:pPr>
      <w:r>
        <w:rPr>
          <w:rFonts w:hint="eastAsia" w:ascii="宋体" w:hAnsi="宋体" w:cs="宋体"/>
          <w:bCs/>
          <w:color w:val="auto"/>
          <w:szCs w:val="21"/>
          <w:highlight w:val="none"/>
        </w:rPr>
        <w:fldChar w:fldCharType="end"/>
      </w:r>
    </w:p>
    <w:p w14:paraId="2C3A854B">
      <w:pPr>
        <w:pStyle w:val="3"/>
        <w:numPr>
          <w:ilvl w:val="0"/>
          <w:numId w:val="1"/>
        </w:numPr>
        <w:ind w:firstLineChars="0"/>
        <w:jc w:val="center"/>
        <w:rPr>
          <w:rFonts w:hint="eastAsia" w:ascii="宋体" w:hAnsi="宋体" w:eastAsia="宋体" w:cs="宋体"/>
          <w:color w:val="auto"/>
          <w:highlight w:val="none"/>
        </w:rPr>
      </w:pPr>
      <w:bookmarkStart w:id="12" w:name="_Toc350698409"/>
      <w:bookmarkStart w:id="13" w:name="_Toc350671633"/>
      <w:r>
        <w:rPr>
          <w:rFonts w:hint="eastAsia" w:ascii="宋体" w:hAnsi="宋体" w:eastAsia="宋体" w:cs="宋体"/>
          <w:color w:val="auto"/>
          <w:highlight w:val="none"/>
        </w:rPr>
        <w:br w:type="page"/>
      </w:r>
      <w:bookmarkStart w:id="14" w:name="_Toc32178"/>
      <w:bookmarkStart w:id="15" w:name="_Toc22354"/>
      <w:r>
        <w:rPr>
          <w:rFonts w:hint="eastAsia" w:ascii="宋体" w:hAnsi="宋体" w:eastAsia="宋体" w:cs="宋体"/>
          <w:color w:val="auto"/>
          <w:highlight w:val="none"/>
        </w:rPr>
        <w:t>招标公告</w:t>
      </w:r>
      <w:bookmarkEnd w:id="14"/>
      <w:bookmarkEnd w:id="15"/>
      <w:r>
        <w:rPr>
          <w:rFonts w:hint="eastAsia" w:ascii="宋体" w:hAnsi="宋体" w:eastAsia="宋体" w:cs="宋体"/>
          <w:color w:val="auto"/>
          <w:highlight w:val="none"/>
        </w:rPr>
        <w:t xml:space="preserve"> </w:t>
      </w:r>
    </w:p>
    <w:bookmarkEnd w:id="12"/>
    <w:p w14:paraId="79C6C376">
      <w:pPr>
        <w:ind w:firstLine="0" w:firstLineChars="0"/>
        <w:jc w:val="center"/>
        <w:rPr>
          <w:rFonts w:hint="eastAsia" w:ascii="宋体" w:hAnsi="宋体" w:eastAsia="宋体" w:cs="宋体"/>
          <w:b/>
          <w:color w:val="auto"/>
          <w:sz w:val="36"/>
          <w:szCs w:val="36"/>
          <w:highlight w:val="none"/>
          <w:lang w:eastAsia="zh-CN"/>
        </w:rPr>
      </w:pPr>
      <w:bookmarkStart w:id="16" w:name="_Toc350698410"/>
      <w:bookmarkStart w:id="17" w:name="_Hlk79087422"/>
      <w:r>
        <w:rPr>
          <w:rFonts w:hint="eastAsia" w:ascii="宋体" w:hAnsi="宋体" w:cs="宋体"/>
          <w:b/>
          <w:color w:val="auto"/>
          <w:sz w:val="36"/>
          <w:szCs w:val="36"/>
          <w:highlight w:val="none"/>
          <w:lang w:eastAsia="zh-CN"/>
        </w:rPr>
        <w:t>昆明公交城市巴士有限责任公司纯电动高一级公路客车采购项目</w:t>
      </w:r>
    </w:p>
    <w:p w14:paraId="73F31FE2">
      <w:pPr>
        <w:ind w:firstLine="0" w:firstLineChars="0"/>
        <w:jc w:val="center"/>
        <w:rPr>
          <w:rFonts w:hint="eastAsia" w:ascii="宋体" w:hAnsi="宋体" w:cs="宋体"/>
          <w:b/>
          <w:color w:val="auto"/>
          <w:sz w:val="32"/>
          <w:szCs w:val="32"/>
          <w:highlight w:val="none"/>
        </w:rPr>
      </w:pPr>
      <w:r>
        <w:rPr>
          <w:rFonts w:hint="eastAsia" w:ascii="宋体" w:hAnsi="宋体" w:cs="宋体"/>
          <w:b/>
          <w:color w:val="auto"/>
          <w:sz w:val="36"/>
          <w:szCs w:val="36"/>
          <w:highlight w:val="none"/>
        </w:rPr>
        <w:t>招标公告</w:t>
      </w:r>
    </w:p>
    <w:p w14:paraId="46E72EFC">
      <w:pPr>
        <w:pStyle w:val="4"/>
        <w:spacing w:before="120" w:beforeLines="0" w:line="360" w:lineRule="auto"/>
        <w:ind w:left="-2" w:leftChars="-1" w:firstLine="0" w:firstLineChars="0"/>
        <w:rPr>
          <w:rFonts w:hint="eastAsia" w:ascii="宋体" w:hAnsi="宋体" w:cs="宋体"/>
          <w:color w:val="auto"/>
          <w:sz w:val="24"/>
          <w:szCs w:val="24"/>
          <w:highlight w:val="none"/>
        </w:rPr>
      </w:pPr>
      <w:bookmarkStart w:id="18" w:name="_Toc30846"/>
      <w:bookmarkStart w:id="19" w:name="_Toc3014"/>
      <w:r>
        <w:rPr>
          <w:rFonts w:hint="eastAsia" w:ascii="宋体" w:hAnsi="宋体" w:cs="宋体"/>
          <w:color w:val="auto"/>
          <w:sz w:val="24"/>
          <w:szCs w:val="24"/>
          <w:highlight w:val="none"/>
        </w:rPr>
        <w:t>一、招标条件</w:t>
      </w:r>
      <w:bookmarkEnd w:id="16"/>
      <w:bookmarkEnd w:id="18"/>
      <w:bookmarkEnd w:id="19"/>
    </w:p>
    <w:p w14:paraId="1B5BF078">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根据《中华人民共和国招标投标法》、《中华人民共和国招标投标法实施条例》等相关法律法规规定，建设资金来自企业自筹，项目出资比例为100%。招标人为</w:t>
      </w:r>
      <w:r>
        <w:rPr>
          <w:rFonts w:hint="eastAsia" w:ascii="宋体" w:hAnsi="宋体" w:cs="宋体"/>
          <w:color w:val="auto"/>
          <w:sz w:val="24"/>
          <w:szCs w:val="24"/>
          <w:highlight w:val="none"/>
          <w:lang w:eastAsia="zh-CN"/>
        </w:rPr>
        <w:t>昆明公交城市巴士有限责任公司</w:t>
      </w:r>
      <w:r>
        <w:rPr>
          <w:rFonts w:hint="eastAsia" w:ascii="宋体" w:hAnsi="宋体" w:cs="宋体"/>
          <w:color w:val="auto"/>
          <w:sz w:val="24"/>
          <w:szCs w:val="24"/>
          <w:highlight w:val="none"/>
        </w:rPr>
        <w:t>，招标代理机构为</w:t>
      </w:r>
      <w:r>
        <w:rPr>
          <w:rFonts w:hint="eastAsia" w:ascii="宋体" w:hAnsi="宋体" w:cs="宋体"/>
          <w:color w:val="auto"/>
          <w:sz w:val="24"/>
          <w:szCs w:val="24"/>
          <w:highlight w:val="none"/>
          <w:lang w:eastAsia="zh-CN"/>
        </w:rPr>
        <w:t>云南鑫德招标咨询有限公司</w:t>
      </w:r>
      <w:r>
        <w:rPr>
          <w:rFonts w:hint="eastAsia" w:ascii="宋体" w:hAnsi="宋体" w:cs="宋体"/>
          <w:color w:val="auto"/>
          <w:sz w:val="24"/>
          <w:szCs w:val="24"/>
          <w:highlight w:val="none"/>
        </w:rPr>
        <w:t>。项目已具备招标条件，现对该项目进行公开招标。</w:t>
      </w:r>
    </w:p>
    <w:p w14:paraId="52DD0642">
      <w:pPr>
        <w:pStyle w:val="4"/>
        <w:spacing w:before="120" w:beforeLines="0" w:line="360" w:lineRule="auto"/>
        <w:ind w:left="-2" w:leftChars="-1" w:firstLine="0" w:firstLineChars="0"/>
        <w:rPr>
          <w:rFonts w:hint="eastAsia" w:ascii="宋体" w:hAnsi="宋体" w:cs="宋体"/>
          <w:color w:val="auto"/>
          <w:sz w:val="24"/>
          <w:szCs w:val="24"/>
          <w:highlight w:val="none"/>
        </w:rPr>
      </w:pPr>
      <w:bookmarkStart w:id="20" w:name="_Toc20531"/>
      <w:bookmarkStart w:id="21" w:name="_Toc19116"/>
      <w:bookmarkStart w:id="22" w:name="_Toc350698411"/>
      <w:r>
        <w:rPr>
          <w:rFonts w:hint="eastAsia" w:ascii="宋体" w:hAnsi="宋体" w:cs="宋体"/>
          <w:color w:val="auto"/>
          <w:sz w:val="24"/>
          <w:szCs w:val="24"/>
          <w:highlight w:val="none"/>
        </w:rPr>
        <w:t>二、招标范围</w:t>
      </w:r>
      <w:bookmarkEnd w:id="20"/>
      <w:bookmarkEnd w:id="21"/>
      <w:bookmarkEnd w:id="22"/>
    </w:p>
    <w:bookmarkEnd w:id="17"/>
    <w:p w14:paraId="54590AF6">
      <w:pPr>
        <w:ind w:firstLine="480"/>
        <w:rPr>
          <w:rFonts w:hint="eastAsia" w:ascii="宋体" w:hAnsi="宋体" w:cs="宋体"/>
          <w:color w:val="auto"/>
          <w:sz w:val="24"/>
          <w:szCs w:val="24"/>
          <w:highlight w:val="none"/>
        </w:rPr>
      </w:pPr>
      <w:bookmarkStart w:id="23" w:name="_Toc18620"/>
      <w:bookmarkStart w:id="24" w:name="_Toc350698413"/>
      <w:r>
        <w:rPr>
          <w:rFonts w:hint="eastAsia" w:ascii="宋体" w:hAnsi="宋体" w:cs="宋体"/>
          <w:color w:val="auto"/>
          <w:sz w:val="24"/>
          <w:szCs w:val="24"/>
          <w:highlight w:val="none"/>
        </w:rPr>
        <w:t>2.1招标范围：拟计划</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辆纯电动旅游客车（含融资成本、车价、送车费）。</w:t>
      </w: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2"/>
        <w:gridCol w:w="3802"/>
        <w:gridCol w:w="582"/>
        <w:gridCol w:w="1191"/>
        <w:gridCol w:w="2679"/>
      </w:tblGrid>
      <w:tr w14:paraId="2EE79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tblHeader/>
          <w:jc w:val="center"/>
        </w:trPr>
        <w:tc>
          <w:tcPr>
            <w:tcW w:w="0" w:type="auto"/>
            <w:tcBorders>
              <w:top w:val="single" w:color="auto" w:sz="12" w:space="0"/>
              <w:left w:val="single" w:color="auto" w:sz="12" w:space="0"/>
              <w:bottom w:val="single" w:color="auto" w:sz="4" w:space="0"/>
              <w:right w:val="single" w:color="auto" w:sz="4" w:space="0"/>
            </w:tcBorders>
            <w:vAlign w:val="center"/>
          </w:tcPr>
          <w:p w14:paraId="6638A5CA">
            <w:pPr>
              <w:snapToGrid w:val="0"/>
              <w:spacing w:line="240" w:lineRule="auto"/>
              <w:ind w:firstLine="0" w:firstLineChars="0"/>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标段</w:t>
            </w:r>
          </w:p>
        </w:tc>
        <w:tc>
          <w:tcPr>
            <w:tcW w:w="0" w:type="auto"/>
            <w:tcBorders>
              <w:top w:val="single" w:color="auto" w:sz="12" w:space="0"/>
              <w:left w:val="single" w:color="auto" w:sz="4" w:space="0"/>
              <w:bottom w:val="single" w:color="auto" w:sz="4" w:space="0"/>
              <w:right w:val="single" w:color="auto" w:sz="4" w:space="0"/>
            </w:tcBorders>
            <w:vAlign w:val="center"/>
          </w:tcPr>
          <w:p w14:paraId="4C8F74F8">
            <w:pPr>
              <w:snapToGrid w:val="0"/>
              <w:spacing w:line="240" w:lineRule="auto"/>
              <w:ind w:firstLine="0" w:firstLineChars="0"/>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招标内容</w:t>
            </w:r>
          </w:p>
        </w:tc>
        <w:tc>
          <w:tcPr>
            <w:tcW w:w="0" w:type="auto"/>
            <w:tcBorders>
              <w:top w:val="single" w:color="auto" w:sz="12" w:space="0"/>
              <w:left w:val="single" w:color="auto" w:sz="4" w:space="0"/>
              <w:bottom w:val="single" w:color="auto" w:sz="4" w:space="0"/>
              <w:right w:val="single" w:color="auto" w:sz="4" w:space="0"/>
            </w:tcBorders>
            <w:vAlign w:val="center"/>
          </w:tcPr>
          <w:p w14:paraId="2EC2ECF9">
            <w:pPr>
              <w:snapToGrid w:val="0"/>
              <w:spacing w:line="240" w:lineRule="auto"/>
              <w:ind w:firstLine="0" w:firstLineChars="0"/>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单位</w:t>
            </w:r>
          </w:p>
        </w:tc>
        <w:tc>
          <w:tcPr>
            <w:tcW w:w="1191" w:type="dxa"/>
            <w:tcBorders>
              <w:top w:val="single" w:color="auto" w:sz="12" w:space="0"/>
              <w:left w:val="single" w:color="auto" w:sz="4" w:space="0"/>
              <w:bottom w:val="single" w:color="auto" w:sz="4" w:space="0"/>
              <w:right w:val="single" w:color="auto" w:sz="4" w:space="0"/>
            </w:tcBorders>
            <w:vAlign w:val="center"/>
          </w:tcPr>
          <w:p w14:paraId="569DE739">
            <w:pPr>
              <w:snapToGrid w:val="0"/>
              <w:spacing w:line="240" w:lineRule="auto"/>
              <w:ind w:firstLine="0" w:firstLineChars="0"/>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数量</w:t>
            </w:r>
          </w:p>
          <w:p w14:paraId="0A62508F">
            <w:pPr>
              <w:snapToGrid w:val="0"/>
              <w:spacing w:line="240" w:lineRule="auto"/>
              <w:ind w:firstLine="0" w:firstLineChars="0"/>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（预估）</w:t>
            </w:r>
          </w:p>
        </w:tc>
        <w:tc>
          <w:tcPr>
            <w:tcW w:w="2680" w:type="dxa"/>
            <w:tcBorders>
              <w:top w:val="single" w:color="auto" w:sz="12" w:space="0"/>
              <w:left w:val="single" w:color="auto" w:sz="4" w:space="0"/>
              <w:bottom w:val="single" w:color="auto" w:sz="4" w:space="0"/>
              <w:right w:val="single" w:color="auto" w:sz="12" w:space="0"/>
            </w:tcBorders>
            <w:vAlign w:val="center"/>
          </w:tcPr>
          <w:p w14:paraId="507519CB">
            <w:pPr>
              <w:snapToGrid w:val="0"/>
              <w:spacing w:line="240" w:lineRule="auto"/>
              <w:ind w:firstLine="0" w:firstLineChars="0"/>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招标需求</w:t>
            </w:r>
          </w:p>
        </w:tc>
      </w:tr>
      <w:tr w14:paraId="1A391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2" w:hRule="atLeast"/>
          <w:jc w:val="center"/>
        </w:trPr>
        <w:tc>
          <w:tcPr>
            <w:tcW w:w="0" w:type="auto"/>
            <w:tcBorders>
              <w:top w:val="single" w:color="auto" w:sz="4" w:space="0"/>
              <w:left w:val="single" w:color="auto" w:sz="12" w:space="0"/>
              <w:bottom w:val="single" w:color="auto" w:sz="4" w:space="0"/>
              <w:right w:val="single" w:color="auto" w:sz="4" w:space="0"/>
            </w:tcBorders>
            <w:vAlign w:val="center"/>
          </w:tcPr>
          <w:p w14:paraId="5F8E2AE2">
            <w:pPr>
              <w:snapToGrid w:val="0"/>
              <w:spacing w:line="240" w:lineRule="auto"/>
              <w:ind w:firstLine="0" w:firstLineChars="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2</w:t>
            </w:r>
          </w:p>
        </w:tc>
        <w:tc>
          <w:tcPr>
            <w:tcW w:w="0" w:type="auto"/>
            <w:tcBorders>
              <w:top w:val="single" w:color="auto" w:sz="4" w:space="0"/>
              <w:left w:val="single" w:color="auto" w:sz="4" w:space="0"/>
              <w:bottom w:val="single" w:color="auto" w:sz="4" w:space="0"/>
              <w:right w:val="single" w:color="auto" w:sz="4" w:space="0"/>
            </w:tcBorders>
            <w:vAlign w:val="center"/>
          </w:tcPr>
          <w:p w14:paraId="0126D646">
            <w:pPr>
              <w:snapToGrid w:val="0"/>
              <w:spacing w:line="240" w:lineRule="auto"/>
              <w:ind w:firstLine="0" w:firstLineChars="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拟采购</w:t>
            </w:r>
            <w:r>
              <w:rPr>
                <w:rFonts w:hint="eastAsia" w:ascii="宋体" w:hAnsi="宋体" w:cs="宋体"/>
                <w:color w:val="auto"/>
                <w:sz w:val="24"/>
                <w:szCs w:val="24"/>
                <w:highlight w:val="none"/>
                <w:lang w:val="en-US" w:eastAsia="zh-CN"/>
              </w:rPr>
              <w:t>46座纯电动高一级公路客车</w:t>
            </w:r>
            <w:r>
              <w:rPr>
                <w:rFonts w:hint="eastAsia" w:ascii="宋体" w:hAnsi="宋体" w:cs="宋体"/>
                <w:color w:val="auto"/>
                <w:sz w:val="24"/>
                <w:szCs w:val="24"/>
                <w:highlight w:val="none"/>
              </w:rPr>
              <w:t>，车长</w:t>
            </w:r>
            <w:r>
              <w:rPr>
                <w:rFonts w:hint="eastAsia" w:ascii="宋体" w:hAnsi="宋体" w:cs="宋体"/>
                <w:color w:val="auto"/>
                <w:sz w:val="24"/>
                <w:szCs w:val="24"/>
                <w:highlight w:val="none"/>
                <w:lang w:val="en-US" w:eastAsia="zh-CN"/>
              </w:rPr>
              <w:t>约为11</w:t>
            </w:r>
            <w:r>
              <w:rPr>
                <w:rFonts w:hint="eastAsia" w:ascii="宋体" w:hAnsi="宋体" w:cs="宋体"/>
                <w:color w:val="auto"/>
                <w:sz w:val="24"/>
                <w:szCs w:val="24"/>
                <w:highlight w:val="none"/>
              </w:rPr>
              <w:t>米标准客车</w:t>
            </w:r>
          </w:p>
        </w:tc>
        <w:tc>
          <w:tcPr>
            <w:tcW w:w="0" w:type="auto"/>
            <w:tcBorders>
              <w:top w:val="single" w:color="auto" w:sz="4" w:space="0"/>
              <w:left w:val="single" w:color="auto" w:sz="4" w:space="0"/>
              <w:bottom w:val="single" w:color="auto" w:sz="4" w:space="0"/>
              <w:right w:val="single" w:color="auto" w:sz="4" w:space="0"/>
            </w:tcBorders>
            <w:vAlign w:val="center"/>
          </w:tcPr>
          <w:p w14:paraId="44DEEB86">
            <w:pPr>
              <w:snapToGrid w:val="0"/>
              <w:spacing w:line="240" w:lineRule="auto"/>
              <w:ind w:firstLine="0" w:firstLineChars="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辆</w:t>
            </w:r>
          </w:p>
        </w:tc>
        <w:tc>
          <w:tcPr>
            <w:tcW w:w="1191" w:type="dxa"/>
            <w:tcBorders>
              <w:top w:val="single" w:color="auto" w:sz="4" w:space="0"/>
              <w:left w:val="single" w:color="auto" w:sz="4" w:space="0"/>
              <w:bottom w:val="single" w:color="auto" w:sz="4" w:space="0"/>
              <w:right w:val="single" w:color="auto" w:sz="4" w:space="0"/>
            </w:tcBorders>
            <w:vAlign w:val="center"/>
          </w:tcPr>
          <w:p w14:paraId="5F9A7FC3">
            <w:pPr>
              <w:snapToGrid w:val="0"/>
              <w:spacing w:line="240" w:lineRule="auto"/>
              <w:ind w:firstLine="0" w:firstLineChars="0"/>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6</w:t>
            </w:r>
          </w:p>
        </w:tc>
        <w:tc>
          <w:tcPr>
            <w:tcW w:w="2680" w:type="dxa"/>
            <w:tcBorders>
              <w:top w:val="single" w:color="auto" w:sz="4" w:space="0"/>
              <w:left w:val="single" w:color="auto" w:sz="4" w:space="0"/>
              <w:bottom w:val="single" w:color="auto" w:sz="4" w:space="0"/>
              <w:right w:val="single" w:color="auto" w:sz="12" w:space="0"/>
            </w:tcBorders>
            <w:vAlign w:val="center"/>
          </w:tcPr>
          <w:p w14:paraId="053D6D39">
            <w:pPr>
              <w:snapToGrid w:val="0"/>
              <w:spacing w:line="240" w:lineRule="auto"/>
              <w:ind w:firstLine="0" w:firstLineChars="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详见招标文件技术要求及规范标准，具体以招标人实际需求采购为准</w:t>
            </w:r>
          </w:p>
        </w:tc>
      </w:tr>
    </w:tbl>
    <w:p w14:paraId="74759D02">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2.2总投资：计划采购预算约</w:t>
      </w:r>
      <w:r>
        <w:rPr>
          <w:rFonts w:hint="eastAsia" w:ascii="宋体" w:hAnsi="宋体" w:cs="宋体"/>
          <w:color w:val="auto"/>
          <w:sz w:val="24"/>
          <w:szCs w:val="24"/>
          <w:highlight w:val="none"/>
          <w:lang w:val="en-US" w:eastAsia="zh-CN"/>
        </w:rPr>
        <w:t>570</w:t>
      </w:r>
      <w:r>
        <w:rPr>
          <w:rFonts w:hint="eastAsia" w:ascii="宋体" w:hAnsi="宋体" w:cs="宋体"/>
          <w:color w:val="auto"/>
          <w:sz w:val="24"/>
          <w:szCs w:val="24"/>
          <w:highlight w:val="none"/>
        </w:rPr>
        <w:t>万元</w:t>
      </w:r>
      <w:r>
        <w:rPr>
          <w:rFonts w:hint="eastAsia" w:ascii="宋体" w:hAnsi="宋体" w:cs="宋体"/>
          <w:color w:val="auto"/>
          <w:sz w:val="24"/>
          <w:szCs w:val="24"/>
          <w:highlight w:val="none"/>
          <w:lang w:eastAsia="zh-CN"/>
        </w:rPr>
        <w:t>。</w:t>
      </w:r>
    </w:p>
    <w:p w14:paraId="04ACADF9">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2.3交货地点：</w:t>
      </w:r>
      <w:r>
        <w:rPr>
          <w:rFonts w:hint="eastAsia" w:ascii="宋体" w:hAnsi="宋体" w:cs="宋体"/>
          <w:color w:val="auto"/>
          <w:sz w:val="24"/>
          <w:szCs w:val="24"/>
          <w:highlight w:val="none"/>
          <w:lang w:eastAsia="zh-CN"/>
        </w:rPr>
        <w:t>昆明公交城市巴士有限责任公司</w:t>
      </w:r>
      <w:r>
        <w:rPr>
          <w:rFonts w:hint="eastAsia" w:ascii="宋体" w:hAnsi="宋体" w:cs="宋体"/>
          <w:color w:val="auto"/>
          <w:sz w:val="24"/>
          <w:szCs w:val="24"/>
          <w:highlight w:val="none"/>
        </w:rPr>
        <w:t>指定地点</w:t>
      </w:r>
    </w:p>
    <w:p w14:paraId="7B754513">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2.4交货期：发出书面供货通知后</w:t>
      </w:r>
      <w:r>
        <w:rPr>
          <w:rFonts w:hint="eastAsia" w:ascii="宋体" w:hAnsi="宋体" w:cs="宋体"/>
          <w:color w:val="auto"/>
          <w:sz w:val="24"/>
          <w:szCs w:val="24"/>
          <w:highlight w:val="none"/>
          <w:lang w:val="en-US" w:eastAsia="zh-CN"/>
        </w:rPr>
        <w:t>45</w:t>
      </w:r>
      <w:r>
        <w:rPr>
          <w:rFonts w:hint="eastAsia" w:ascii="宋体" w:hAnsi="宋体" w:cs="宋体"/>
          <w:color w:val="auto"/>
          <w:sz w:val="24"/>
          <w:szCs w:val="24"/>
          <w:highlight w:val="none"/>
        </w:rPr>
        <w:t>个日历日内完成全部车辆交付并确保办理完成车辆落牌相关手续。</w:t>
      </w:r>
    </w:p>
    <w:p w14:paraId="59473F06">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2.5质量要求：符合国家颁布的最新车辆相关质量和安全营运标准及要求，保证车辆在发货前经过严格测试，并保证车辆（含零配件、随机工具等）是最新生产、全新未使用过、表面和内部均无瑕疵的原厂正品。质量、规格和技术要求必须符合技术标准，以及合同规定的质量性能要求，符合国家环保要求，在正确使用条件下，寿命期间应运转良好。</w:t>
      </w:r>
    </w:p>
    <w:p w14:paraId="346AD316">
      <w:pPr>
        <w:ind w:firstLine="480"/>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2.6车款5年</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或5年以上</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分期</w:t>
      </w:r>
      <w:r>
        <w:rPr>
          <w:rFonts w:hint="eastAsia" w:ascii="宋体" w:hAnsi="宋体" w:cs="宋体"/>
          <w:color w:val="auto"/>
          <w:sz w:val="24"/>
          <w:szCs w:val="24"/>
          <w:highlight w:val="none"/>
        </w:rPr>
        <w:t>等额按季支付</w:t>
      </w:r>
      <w:r>
        <w:rPr>
          <w:rFonts w:hint="eastAsia" w:ascii="宋体" w:hAnsi="宋体" w:cs="宋体"/>
          <w:color w:val="auto"/>
          <w:sz w:val="24"/>
          <w:szCs w:val="24"/>
          <w:highlight w:val="none"/>
          <w:lang w:eastAsia="zh-CN"/>
        </w:rPr>
        <w:t>。</w:t>
      </w:r>
    </w:p>
    <w:p w14:paraId="2778240A">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2.7本项目不接受联合体投标</w:t>
      </w:r>
    </w:p>
    <w:p w14:paraId="5668BD02">
      <w:pPr>
        <w:pStyle w:val="4"/>
        <w:spacing w:before="120" w:beforeLines="0" w:line="360" w:lineRule="auto"/>
        <w:ind w:left="-2" w:leftChars="-1" w:firstLine="0" w:firstLineChars="0"/>
        <w:rPr>
          <w:rFonts w:hint="eastAsia" w:ascii="宋体" w:hAnsi="宋体" w:cs="宋体"/>
          <w:color w:val="auto"/>
          <w:sz w:val="24"/>
          <w:szCs w:val="24"/>
          <w:highlight w:val="none"/>
        </w:rPr>
      </w:pPr>
      <w:bookmarkStart w:id="25" w:name="_Toc350698412"/>
      <w:bookmarkStart w:id="26" w:name="_Toc20256"/>
      <w:bookmarkStart w:id="27" w:name="_Toc24829"/>
      <w:r>
        <w:rPr>
          <w:rFonts w:hint="eastAsia" w:ascii="宋体" w:hAnsi="宋体" w:cs="宋体"/>
          <w:color w:val="auto"/>
          <w:sz w:val="24"/>
          <w:szCs w:val="24"/>
          <w:highlight w:val="none"/>
        </w:rPr>
        <w:t>三、投标人资格要求</w:t>
      </w:r>
      <w:bookmarkEnd w:id="25"/>
      <w:bookmarkEnd w:id="26"/>
      <w:bookmarkEnd w:id="27"/>
    </w:p>
    <w:p w14:paraId="7FEACF64">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3.1第一中标候选人的行贿犯罪档案信息查询，在发出中标通知书前招标人（招标代理机构）可以通过“中国裁判文书网”查询相关信息。若经招标人（招标代理机构）查询存在行贿犯罪情形的，取消其中标候选人资格。</w:t>
      </w:r>
    </w:p>
    <w:p w14:paraId="7CA2DA70">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3.2本项目</w:t>
      </w:r>
      <w:r>
        <w:rPr>
          <w:rFonts w:hint="eastAsia" w:ascii="宋体" w:hAnsi="宋体" w:cs="宋体"/>
          <w:color w:val="auto"/>
          <w:sz w:val="24"/>
          <w:szCs w:val="24"/>
          <w:highlight w:val="none"/>
          <w:lang w:val="en-US" w:eastAsia="zh-CN"/>
        </w:rPr>
        <w:t>的</w:t>
      </w:r>
      <w:r>
        <w:rPr>
          <w:rFonts w:hint="eastAsia" w:ascii="宋体" w:hAnsi="宋体" w:cs="宋体"/>
          <w:color w:val="auto"/>
          <w:sz w:val="24"/>
          <w:szCs w:val="24"/>
          <w:highlight w:val="none"/>
        </w:rPr>
        <w:t>失信被执行人，投标人</w:t>
      </w:r>
      <w:r>
        <w:rPr>
          <w:rFonts w:hint="eastAsia" w:ascii="宋体" w:hAnsi="宋体" w:cs="宋体"/>
          <w:color w:val="auto"/>
          <w:sz w:val="24"/>
          <w:szCs w:val="24"/>
          <w:highlight w:val="none"/>
          <w:lang w:val="en-US" w:eastAsia="zh-CN"/>
        </w:rPr>
        <w:t>需</w:t>
      </w:r>
      <w:r>
        <w:rPr>
          <w:rFonts w:hint="eastAsia" w:ascii="宋体" w:hAnsi="宋体" w:cs="宋体"/>
          <w:color w:val="auto"/>
          <w:sz w:val="24"/>
          <w:szCs w:val="24"/>
          <w:highlight w:val="none"/>
        </w:rPr>
        <w:t>未列入“信用中国”网站（ www.creditchina.gov.cn）严重失信主体名单、重大税收违法失信主体名单；未列入“中国执行信息公开网”（https://zxgk.court.gov.cn）失信被执行人；未列入“中国政府采购网”政府采购严重违法失信行为记录名单中被财政部门禁止参加政府采购活动的供应商（处罚决定规定的时间和地域范围内）。【注：以招标代理机构在评标当天查询为准】，投标人被列入上述任意名单，均按否决投标处理。</w:t>
      </w:r>
    </w:p>
    <w:p w14:paraId="3182D418">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3.3</w:t>
      </w:r>
      <w:r>
        <w:rPr>
          <w:rFonts w:hint="eastAsia" w:ascii="宋体" w:hAnsi="宋体" w:cs="宋体"/>
          <w:color w:val="auto"/>
          <w:sz w:val="24"/>
          <w:szCs w:val="24"/>
          <w:highlight w:val="none"/>
          <w:lang w:val="en-US" w:eastAsia="zh-CN"/>
        </w:rPr>
        <w:t>投标人须是</w:t>
      </w:r>
      <w:r>
        <w:rPr>
          <w:rFonts w:hint="eastAsia" w:ascii="宋体" w:hAnsi="宋体" w:cs="宋体"/>
          <w:color w:val="auto"/>
          <w:sz w:val="24"/>
          <w:szCs w:val="24"/>
          <w:highlight w:val="none"/>
        </w:rPr>
        <w:t>在中华人民共和国境内依法成立，具有独立法人资格和承担民事责任能力的生产制造商或有生产制造商直接授权的经销商。经销商须提供生产制造商出具的授权书原件；已授权代理经销商的制造商不允许再参加投标。拟投标车型车辆确保投入正常营运及售后服务。单位负责人为同一人或者存在直接控股、管理关系的不同投标人，不得同时参加本次采购活动。</w:t>
      </w:r>
    </w:p>
    <w:p w14:paraId="31644BEE">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3.4所投车型必须在昆明市顺利完成落户上牌，中标人协助招标人办理所投车型在昆明市落户上牌工作，提供书面承诺。</w:t>
      </w:r>
    </w:p>
    <w:p w14:paraId="7DC40EFD">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3.5投标人所投车型生产制造商具有生产专用客车的主体资格，其所投车型须在《道路机动车辆生产企业及产品公告》公布范围内，并且在“道路运输车辆技术服务网”及“道路运输车辆燃料消耗量检测达标公告”中能查询到,提供查询截图,并且所投车辆能办理道路运输经营资质许可证。提供书面承诺（书面承诺中须载明违约责任）。</w:t>
      </w:r>
    </w:p>
    <w:p w14:paraId="14B56B37">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3.6企业目前没有处于被停产停业、暂扣或吊销许可证、暂扣或吊销执照的；未进入清算程序、财产被接管或破产状态，投标资格被暂停或取消，无国家禁止市场准入等情形或其他丧失履约能力的情形；在最近三年内没有骗取中标行为（提供承诺）。</w:t>
      </w:r>
    </w:p>
    <w:p w14:paraId="5D524255">
      <w:pPr>
        <w:ind w:firstLine="480" w:firstLineChars="0"/>
        <w:rPr>
          <w:rFonts w:hint="eastAsia" w:ascii="宋体" w:hAnsi="宋体" w:cs="宋体"/>
          <w:color w:val="auto"/>
          <w:sz w:val="24"/>
          <w:szCs w:val="24"/>
          <w:highlight w:val="none"/>
        </w:rPr>
      </w:pPr>
      <w:r>
        <w:rPr>
          <w:rFonts w:hint="eastAsia" w:ascii="宋体" w:hAnsi="宋体" w:cs="宋体"/>
          <w:color w:val="auto"/>
          <w:sz w:val="24"/>
          <w:szCs w:val="24"/>
          <w:highlight w:val="none"/>
        </w:rPr>
        <w:t>3.7投标人财务状况要求：投标人提供①2022—2024年三个年度经会计师事务所或审计机构审计的财务审计报告及财务报表（包括资产负债表、现金流量表、利润表和财务情况说明书或附注）；</w:t>
      </w:r>
    </w:p>
    <w:p w14:paraId="4F198F52">
      <w:pPr>
        <w:ind w:firstLine="480" w:firstLineChars="0"/>
        <w:rPr>
          <w:rFonts w:hint="eastAsia" w:ascii="宋体" w:hAnsi="宋体" w:cs="宋体"/>
          <w:color w:val="auto"/>
          <w:sz w:val="24"/>
          <w:szCs w:val="24"/>
          <w:highlight w:val="none"/>
        </w:rPr>
      </w:pPr>
      <w:r>
        <w:rPr>
          <w:rFonts w:hint="eastAsia" w:ascii="宋体" w:hAnsi="宋体" w:cs="宋体"/>
          <w:color w:val="auto"/>
          <w:sz w:val="24"/>
          <w:szCs w:val="24"/>
          <w:highlight w:val="none"/>
        </w:rPr>
        <w:t>②成立不满1年提供自成立之日至投标文件截止时间前1个月公司财务报表，包括资产负债表、现金流量表及利润表或提供自投标文件提交截止时间前三个月内开户银行出具的资信证明或资金存款证明；</w:t>
      </w:r>
    </w:p>
    <w:p w14:paraId="62DF0D03">
      <w:pPr>
        <w:ind w:firstLine="480" w:firstLineChars="0"/>
        <w:rPr>
          <w:rFonts w:hint="eastAsia" w:ascii="宋体" w:hAnsi="宋体" w:cs="宋体"/>
          <w:color w:val="auto"/>
          <w:sz w:val="24"/>
          <w:szCs w:val="24"/>
          <w:highlight w:val="none"/>
        </w:rPr>
      </w:pPr>
      <w:r>
        <w:rPr>
          <w:rFonts w:hint="eastAsia" w:ascii="宋体" w:hAnsi="宋体" w:cs="宋体"/>
          <w:color w:val="auto"/>
          <w:sz w:val="24"/>
          <w:szCs w:val="24"/>
          <w:highlight w:val="none"/>
        </w:rPr>
        <w:t>备注：投标人可根据自身情况提供上述任意一种证明材料。</w:t>
      </w:r>
    </w:p>
    <w:p w14:paraId="5F062534">
      <w:pPr>
        <w:pStyle w:val="4"/>
        <w:spacing w:before="120" w:beforeLines="0" w:line="360" w:lineRule="auto"/>
        <w:ind w:left="-2" w:leftChars="-1" w:firstLine="0" w:firstLineChars="0"/>
        <w:rPr>
          <w:rFonts w:hint="eastAsia" w:ascii="宋体" w:hAnsi="宋体" w:cs="宋体"/>
          <w:color w:val="auto"/>
          <w:sz w:val="24"/>
          <w:szCs w:val="24"/>
          <w:highlight w:val="none"/>
          <w:lang w:val="en-US"/>
        </w:rPr>
      </w:pPr>
      <w:bookmarkStart w:id="28" w:name="_Toc18970"/>
      <w:r>
        <w:rPr>
          <w:rFonts w:hint="eastAsia" w:ascii="宋体" w:hAnsi="宋体" w:cs="宋体"/>
          <w:color w:val="auto"/>
          <w:sz w:val="24"/>
          <w:szCs w:val="24"/>
          <w:highlight w:val="none"/>
        </w:rPr>
        <w:t>四、</w:t>
      </w:r>
      <w:commentRangeStart w:id="0"/>
      <w:r>
        <w:rPr>
          <w:rFonts w:hint="eastAsia" w:ascii="宋体" w:hAnsi="宋体" w:cs="宋体"/>
          <w:color w:val="auto"/>
          <w:sz w:val="24"/>
          <w:szCs w:val="24"/>
          <w:highlight w:val="none"/>
        </w:rPr>
        <w:t>招标文件的获取</w:t>
      </w:r>
      <w:commentRangeEnd w:id="0"/>
      <w:r>
        <w:commentReference w:id="0"/>
      </w:r>
      <w:bookmarkEnd w:id="23"/>
      <w:bookmarkEnd w:id="24"/>
      <w:bookmarkEnd w:id="28"/>
    </w:p>
    <w:p w14:paraId="135EC917">
      <w:pPr>
        <w:ind w:firstLine="480"/>
        <w:rPr>
          <w:rFonts w:hint="eastAsia" w:ascii="宋体" w:hAnsi="宋体" w:cs="宋体"/>
          <w:color w:val="auto"/>
          <w:sz w:val="24"/>
          <w:szCs w:val="24"/>
          <w:highlight w:val="none"/>
        </w:rPr>
      </w:pPr>
      <w:bookmarkStart w:id="29" w:name="_Toc350698414"/>
      <w:r>
        <w:rPr>
          <w:rFonts w:hint="eastAsia" w:ascii="宋体" w:hAnsi="宋体" w:cs="宋体"/>
          <w:color w:val="auto"/>
          <w:sz w:val="24"/>
          <w:szCs w:val="24"/>
          <w:highlight w:val="none"/>
        </w:rPr>
        <w:t>4.1 凡有意参加投标者（以网上公告时间为准），登录全国公共资源交易平台（云南省） 云南省公共资源交易信息网点击切换至“昆明市”（网址： https://ggzy.yn.gov.cn/homePage），凭企业数字证书（CA）在网上获取招标文件及其它招标资料。未办理企业数字证书（CA）的企业需要按照云南省公共资源交</w:t>
      </w:r>
      <w:bookmarkStart w:id="275" w:name="_GoBack"/>
      <w:bookmarkEnd w:id="275"/>
      <w:r>
        <w:rPr>
          <w:rFonts w:hint="eastAsia" w:ascii="宋体" w:hAnsi="宋体" w:cs="宋体"/>
          <w:color w:val="auto"/>
          <w:sz w:val="24"/>
          <w:szCs w:val="24"/>
          <w:highlight w:val="none"/>
        </w:rPr>
        <w:t xml:space="preserve">易电子认证的要求，办理企业数字证书（CA），并在全国公共资源交易平台（云南省）云南省公共资源交易信息网点击切换至“昆明市”完成注册通过后，便可获取招标文件，此为获取招标文件的唯一途径。 </w:t>
      </w:r>
    </w:p>
    <w:p w14:paraId="7AF5DD06">
      <w:pPr>
        <w:pStyle w:val="4"/>
        <w:spacing w:before="0" w:beforeLines="0" w:line="360" w:lineRule="auto"/>
        <w:ind w:left="-2" w:leftChars="-1" w:firstLine="2" w:firstLineChars="0"/>
        <w:rPr>
          <w:rFonts w:hint="eastAsia" w:ascii="宋体" w:hAnsi="宋体" w:cs="宋体"/>
          <w:color w:val="auto"/>
          <w:sz w:val="24"/>
          <w:szCs w:val="24"/>
          <w:highlight w:val="none"/>
        </w:rPr>
      </w:pPr>
      <w:bookmarkStart w:id="30" w:name="_Toc499046111"/>
      <w:bookmarkStart w:id="31" w:name="_Toc62653726"/>
      <w:bookmarkStart w:id="32" w:name="_Toc30541"/>
      <w:bookmarkStart w:id="33" w:name="_Toc7982"/>
      <w:bookmarkStart w:id="34" w:name="_Toc23364"/>
      <w:r>
        <w:rPr>
          <w:rFonts w:hint="eastAsia" w:ascii="宋体" w:hAnsi="宋体" w:cs="宋体"/>
          <w:color w:val="auto"/>
          <w:sz w:val="24"/>
          <w:szCs w:val="24"/>
          <w:highlight w:val="none"/>
        </w:rPr>
        <w:t>五、</w:t>
      </w:r>
      <w:bookmarkEnd w:id="30"/>
      <w:bookmarkEnd w:id="31"/>
      <w:bookmarkEnd w:id="32"/>
      <w:r>
        <w:rPr>
          <w:rFonts w:hint="eastAsia" w:ascii="宋体" w:hAnsi="宋体" w:cs="宋体"/>
          <w:color w:val="auto"/>
          <w:sz w:val="24"/>
          <w:szCs w:val="24"/>
          <w:highlight w:val="none"/>
        </w:rPr>
        <w:t>投标文件的递交</w:t>
      </w:r>
      <w:bookmarkEnd w:id="33"/>
      <w:bookmarkEnd w:id="34"/>
    </w:p>
    <w:p w14:paraId="344F8A1D">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5.1 投标文件上传的截止时间（投标截止时间，下同）以网上公告时间为准。</w:t>
      </w:r>
    </w:p>
    <w:p w14:paraId="1FAD57DE">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5.2 网上上传：网上上传网址为 https://ggzy.yn.gov.cn/homePage，投标人须在投标截止时间前完成所有投标文件的上传。投标人根据拟要投标的项目，按照招标文件要求上传全部投标文件，投标文件上传后须自行检查投标文件的完整性并进行确认签名后，方可完成全部投标文件网上上传操作。投标人可自行打印“上传投标文件回执”。投标截止时间前未完成投标文件传输的，视为撤回投标文件。</w:t>
      </w:r>
    </w:p>
    <w:p w14:paraId="374C3467">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5.3 其他要求：（1）投标人应自行下载已上传成功的投标文件，并进行查看、解密和核验投标文件，以确保上传投标文件的正确性；（2）本项目采用网上智能开标及远程解密：</w:t>
      </w:r>
    </w:p>
    <w:p w14:paraId="49258006">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①请投标人仔细查看“云南省公共资源交易电子化平台电子交易系统 2.0 培训教材”，提前熟悉网上开标的相关操作，任何因忽视或误解而导致投标文件未上传或已上传但无法读取导入或未按规定的操作流程及规定的时间要求进行在线网上签到、远程解密的，由此造成的后果由申请人自行承担。本项目解密时间为 1 小时，若投标人未在规定时间完成所有投标文件解密，则视为无效投标，不再进入资格审查评审阶段。②因开标系统、开标现场网络、设备及其他特殊原因，导致不能正常解密投标文件的，经核实和上报相关部门同意后，可再次下达网上解密指令来延长解密时间；③开标过程中如有问题，可以在线提出异议，由代理机构给予回复。在规定的异议询问时间内未提出异议的，则视为对开标结果无异议。</w:t>
      </w:r>
    </w:p>
    <w:bookmarkEnd w:id="29"/>
    <w:p w14:paraId="590B2F6D">
      <w:pPr>
        <w:pStyle w:val="4"/>
        <w:spacing w:before="120" w:beforeLines="0" w:line="360" w:lineRule="auto"/>
        <w:ind w:left="-2" w:leftChars="-1" w:firstLine="0" w:firstLineChars="0"/>
        <w:rPr>
          <w:rFonts w:hint="eastAsia" w:ascii="宋体" w:hAnsi="宋体" w:cs="宋体"/>
          <w:color w:val="auto"/>
          <w:sz w:val="24"/>
          <w:szCs w:val="24"/>
          <w:highlight w:val="none"/>
          <w:lang w:val="en-US"/>
        </w:rPr>
      </w:pPr>
      <w:bookmarkStart w:id="35" w:name="_Toc2420"/>
      <w:bookmarkStart w:id="36" w:name="_Toc9591"/>
      <w:bookmarkStart w:id="37" w:name="_Toc417634867"/>
      <w:r>
        <w:rPr>
          <w:rFonts w:hint="eastAsia" w:ascii="宋体" w:hAnsi="宋体" w:cs="宋体"/>
          <w:color w:val="auto"/>
          <w:sz w:val="24"/>
          <w:szCs w:val="24"/>
          <w:highlight w:val="none"/>
        </w:rPr>
        <w:t>六、发布公告的媒介</w:t>
      </w:r>
      <w:bookmarkEnd w:id="35"/>
      <w:bookmarkEnd w:id="36"/>
      <w:bookmarkEnd w:id="37"/>
    </w:p>
    <w:p w14:paraId="0E6B79C9">
      <w:pPr>
        <w:ind w:firstLine="480"/>
        <w:jc w:val="left"/>
        <w:rPr>
          <w:rFonts w:hint="eastAsia" w:ascii="宋体" w:hAnsi="宋体" w:cs="宋体"/>
          <w:color w:val="auto"/>
          <w:sz w:val="24"/>
          <w:szCs w:val="24"/>
          <w:highlight w:val="none"/>
        </w:rPr>
      </w:pPr>
      <w:bookmarkStart w:id="38" w:name="_Toc417634868"/>
      <w:r>
        <w:rPr>
          <w:rFonts w:hint="eastAsia" w:ascii="宋体" w:hAnsi="宋体" w:cs="宋体"/>
          <w:color w:val="auto"/>
          <w:sz w:val="24"/>
          <w:szCs w:val="24"/>
          <w:highlight w:val="none"/>
        </w:rPr>
        <w:t>本次招标公告在昆明市公共资源交易电子服务系统全国公共资源交易平台（云南省•昆明市）、中国招标投标公共服务平台、昆明</w:t>
      </w:r>
      <w:r>
        <w:rPr>
          <w:rFonts w:hint="eastAsia" w:ascii="宋体" w:hAnsi="宋体" w:cs="宋体"/>
          <w:color w:val="auto"/>
          <w:sz w:val="24"/>
          <w:szCs w:val="24"/>
          <w:highlight w:val="none"/>
          <w:lang w:val="en-US" w:eastAsia="zh-CN"/>
        </w:rPr>
        <w:t>公交</w:t>
      </w:r>
      <w:r>
        <w:rPr>
          <w:rFonts w:hint="eastAsia" w:ascii="宋体" w:hAnsi="宋体" w:cs="宋体"/>
          <w:color w:val="auto"/>
          <w:sz w:val="24"/>
          <w:szCs w:val="24"/>
          <w:highlight w:val="none"/>
        </w:rPr>
        <w:t>集团有限责任公司网站上发布，我公司对其他网站或媒体转载的公告及公告内容不承担任何责任。</w:t>
      </w:r>
    </w:p>
    <w:p w14:paraId="0B1D74DE">
      <w:pPr>
        <w:pStyle w:val="4"/>
        <w:spacing w:before="120" w:beforeLines="0" w:line="360" w:lineRule="auto"/>
        <w:ind w:left="-2" w:leftChars="-1" w:firstLine="0" w:firstLineChars="0"/>
        <w:rPr>
          <w:rFonts w:hint="eastAsia" w:ascii="宋体" w:hAnsi="宋体" w:cs="宋体"/>
          <w:color w:val="auto"/>
          <w:sz w:val="24"/>
          <w:szCs w:val="24"/>
          <w:highlight w:val="none"/>
        </w:rPr>
      </w:pPr>
      <w:bookmarkStart w:id="39" w:name="_Toc25654"/>
      <w:bookmarkStart w:id="40" w:name="_Toc7041"/>
      <w:r>
        <w:rPr>
          <w:rFonts w:hint="eastAsia" w:ascii="宋体" w:hAnsi="宋体" w:cs="宋体"/>
          <w:color w:val="auto"/>
          <w:sz w:val="24"/>
          <w:szCs w:val="24"/>
          <w:highlight w:val="none"/>
        </w:rPr>
        <w:t>七、联系方式</w:t>
      </w:r>
      <w:bookmarkEnd w:id="38"/>
      <w:bookmarkEnd w:id="39"/>
      <w:bookmarkEnd w:id="40"/>
    </w:p>
    <w:p w14:paraId="0F634354">
      <w:pPr>
        <w:ind w:firstLine="48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招标人</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昆明公交城市巴士有限责任公司</w:t>
      </w:r>
    </w:p>
    <w:p w14:paraId="6E24110E">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 系 人：</w:t>
      </w:r>
      <w:r>
        <w:rPr>
          <w:rFonts w:hint="eastAsia" w:ascii="宋体" w:hAnsi="宋体" w:eastAsia="宋体" w:cs="宋体"/>
          <w:color w:val="auto"/>
          <w:sz w:val="24"/>
          <w:szCs w:val="24"/>
          <w:highlight w:val="none"/>
          <w:lang w:val="en-US" w:eastAsia="zh-CN"/>
        </w:rPr>
        <w:t>田</w:t>
      </w:r>
      <w:r>
        <w:rPr>
          <w:rFonts w:hint="eastAsia" w:ascii="宋体" w:hAnsi="宋体" w:eastAsia="宋体" w:cs="宋体"/>
          <w:color w:val="auto"/>
          <w:sz w:val="24"/>
          <w:szCs w:val="24"/>
          <w:highlight w:val="none"/>
        </w:rPr>
        <w:t>老师</w:t>
      </w:r>
    </w:p>
    <w:p w14:paraId="07996EF3">
      <w:pPr>
        <w:ind w:firstLine="48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lang w:val="en-US" w:eastAsia="zh-CN"/>
        </w:rPr>
        <w:t>13312599816</w:t>
      </w:r>
    </w:p>
    <w:p w14:paraId="033082CA">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    址：昆明市</w:t>
      </w:r>
      <w:r>
        <w:rPr>
          <w:rFonts w:hint="eastAsia" w:ascii="宋体" w:hAnsi="宋体" w:eastAsia="宋体" w:cs="宋体"/>
          <w:color w:val="auto"/>
          <w:sz w:val="24"/>
          <w:szCs w:val="24"/>
          <w:highlight w:val="none"/>
          <w:lang w:val="en-US" w:eastAsia="zh-CN"/>
        </w:rPr>
        <w:t>盘龙区穿金路</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lang w:val="en-US" w:eastAsia="zh-CN"/>
        </w:rPr>
        <w:t>7</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号</w:t>
      </w:r>
    </w:p>
    <w:p w14:paraId="22861CC3">
      <w:pPr>
        <w:ind w:firstLine="480"/>
        <w:jc w:val="left"/>
        <w:rPr>
          <w:rFonts w:hint="eastAsia" w:ascii="宋体" w:hAnsi="宋体" w:eastAsia="宋体" w:cs="宋体"/>
          <w:color w:val="auto"/>
          <w:sz w:val="24"/>
          <w:szCs w:val="24"/>
          <w:highlight w:val="none"/>
        </w:rPr>
      </w:pPr>
    </w:p>
    <w:p w14:paraId="58C93A65">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采购代理机构：云南鑫德招标咨询有限公司</w:t>
      </w:r>
    </w:p>
    <w:p w14:paraId="1E2E7F8F">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   系   人：阳厚祺、李才华</w:t>
      </w:r>
    </w:p>
    <w:p w14:paraId="25629EC3">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移 动  电 话：15887846425、13518743361</w:t>
      </w:r>
    </w:p>
    <w:p w14:paraId="60954CBA">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址：云南省昆明市五华区科普路固地尚诚商务中心B座9层 </w:t>
      </w:r>
    </w:p>
    <w:p w14:paraId="06962619">
      <w:pPr>
        <w:ind w:firstLine="480"/>
        <w:jc w:val="left"/>
        <w:rPr>
          <w:rFonts w:hint="eastAsia" w:ascii="宋体" w:hAnsi="宋体" w:cs="宋体"/>
          <w:color w:val="auto"/>
          <w:sz w:val="28"/>
          <w:highlight w:val="none"/>
        </w:rPr>
      </w:pPr>
      <w:r>
        <w:rPr>
          <w:rFonts w:hint="eastAsia" w:ascii="宋体" w:hAnsi="宋体" w:eastAsia="宋体" w:cs="宋体"/>
          <w:color w:val="auto"/>
          <w:sz w:val="24"/>
          <w:szCs w:val="24"/>
          <w:highlight w:val="none"/>
        </w:rPr>
        <w:t xml:space="preserve">   </w:t>
      </w:r>
      <w:r>
        <w:rPr>
          <w:rFonts w:hint="eastAsia" w:ascii="宋体" w:hAnsi="宋体" w:cs="宋体"/>
          <w:color w:val="auto"/>
          <w:sz w:val="24"/>
          <w:highlight w:val="none"/>
        </w:rPr>
        <w:t xml:space="preserve">   </w:t>
      </w:r>
      <w:r>
        <w:rPr>
          <w:rFonts w:hint="eastAsia" w:ascii="宋体" w:hAnsi="宋体" w:cs="宋体"/>
          <w:color w:val="auto"/>
          <w:sz w:val="28"/>
          <w:highlight w:val="none"/>
        </w:rPr>
        <w:t xml:space="preserve">   </w:t>
      </w:r>
      <w:bookmarkEnd w:id="13"/>
    </w:p>
    <w:p w14:paraId="5D20D84C">
      <w:pPr>
        <w:ind w:firstLine="480"/>
        <w:jc w:val="left"/>
        <w:rPr>
          <w:rFonts w:hint="eastAsia" w:ascii="宋体" w:hAnsi="宋体" w:cs="宋体"/>
          <w:color w:val="auto"/>
          <w:sz w:val="24"/>
          <w:szCs w:val="24"/>
          <w:highlight w:val="none"/>
        </w:rPr>
      </w:pPr>
      <w:bookmarkStart w:id="41" w:name="_Toc417634869"/>
      <w:r>
        <w:rPr>
          <w:rFonts w:hint="eastAsia" w:ascii="宋体" w:hAnsi="宋体" w:cs="宋体"/>
          <w:color w:val="auto"/>
          <w:sz w:val="24"/>
          <w:szCs w:val="24"/>
          <w:highlight w:val="none"/>
        </w:rPr>
        <w:t>监督部门名称：昆明公交集团有限责任公司合规审计部</w:t>
      </w:r>
    </w:p>
    <w:p w14:paraId="3E16AF28">
      <w:pPr>
        <w:ind w:firstLine="480"/>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联系电话：</w:t>
      </w:r>
      <w:r>
        <w:rPr>
          <w:rFonts w:hint="eastAsia" w:ascii="宋体" w:hAnsi="宋体" w:cs="宋体"/>
          <w:color w:val="auto"/>
          <w:sz w:val="24"/>
          <w:szCs w:val="24"/>
          <w:highlight w:val="none"/>
          <w:lang w:val="en-US" w:eastAsia="zh-CN"/>
        </w:rPr>
        <w:t xml:space="preserve"> </w:t>
      </w:r>
    </w:p>
    <w:p w14:paraId="02F9DC74">
      <w:pPr>
        <w:pStyle w:val="43"/>
        <w:ind w:firstLine="480"/>
        <w:rPr>
          <w:rFonts w:hint="eastAsia" w:ascii="宋体" w:hAnsi="宋体" w:cs="宋体"/>
          <w:color w:val="auto"/>
          <w:sz w:val="24"/>
          <w:szCs w:val="24"/>
          <w:highlight w:val="none"/>
        </w:rPr>
      </w:pPr>
    </w:p>
    <w:p w14:paraId="33D15B25">
      <w:pPr>
        <w:pStyle w:val="43"/>
        <w:ind w:firstLine="480"/>
        <w:rPr>
          <w:rFonts w:hint="eastAsia" w:ascii="宋体" w:hAnsi="宋体" w:cs="宋体"/>
          <w:color w:val="auto"/>
          <w:sz w:val="24"/>
          <w:szCs w:val="24"/>
          <w:highlight w:val="none"/>
        </w:rPr>
      </w:pPr>
    </w:p>
    <w:p w14:paraId="1C25E753">
      <w:pPr>
        <w:pStyle w:val="3"/>
        <w:spacing w:line="240" w:lineRule="auto"/>
        <w:ind w:firstLine="723"/>
        <w:jc w:val="center"/>
        <w:rPr>
          <w:rFonts w:hint="eastAsia" w:ascii="宋体" w:hAnsi="宋体" w:eastAsia="宋体" w:cs="宋体"/>
          <w:color w:val="auto"/>
          <w:kern w:val="0"/>
          <w:sz w:val="36"/>
          <w:szCs w:val="36"/>
          <w:highlight w:val="none"/>
        </w:rPr>
      </w:pPr>
      <w:bookmarkStart w:id="42" w:name="_Toc19618"/>
      <w:bookmarkStart w:id="43" w:name="_Toc26027"/>
      <w:r>
        <w:rPr>
          <w:rFonts w:hint="eastAsia" w:ascii="宋体" w:hAnsi="宋体" w:eastAsia="宋体" w:cs="宋体"/>
          <w:color w:val="auto"/>
          <w:kern w:val="0"/>
          <w:sz w:val="36"/>
          <w:szCs w:val="36"/>
          <w:highlight w:val="none"/>
        </w:rPr>
        <w:br w:type="page"/>
      </w:r>
      <w:r>
        <w:rPr>
          <w:rFonts w:hint="eastAsia" w:ascii="宋体" w:hAnsi="宋体" w:eastAsia="宋体" w:cs="宋体"/>
          <w:color w:val="auto"/>
          <w:kern w:val="0"/>
          <w:sz w:val="36"/>
          <w:szCs w:val="36"/>
          <w:highlight w:val="none"/>
        </w:rPr>
        <w:t>第二章 投标人须知</w:t>
      </w:r>
      <w:bookmarkEnd w:id="41"/>
      <w:bookmarkEnd w:id="42"/>
      <w:bookmarkEnd w:id="43"/>
    </w:p>
    <w:p w14:paraId="61452BFB">
      <w:pPr>
        <w:pStyle w:val="4"/>
        <w:spacing w:before="240"/>
        <w:ind w:firstLine="482"/>
        <w:jc w:val="center"/>
        <w:rPr>
          <w:rFonts w:hint="eastAsia" w:ascii="宋体" w:hAnsi="宋体" w:cs="宋体"/>
          <w:color w:val="auto"/>
          <w:sz w:val="24"/>
          <w:szCs w:val="22"/>
          <w:highlight w:val="none"/>
        </w:rPr>
      </w:pPr>
      <w:bookmarkStart w:id="44" w:name="_Toc417634870"/>
      <w:r>
        <w:rPr>
          <w:rFonts w:hint="eastAsia" w:ascii="宋体" w:hAnsi="宋体" w:cs="宋体"/>
          <w:color w:val="auto"/>
          <w:sz w:val="24"/>
          <w:szCs w:val="22"/>
          <w:highlight w:val="none"/>
        </w:rPr>
        <w:t>投标人须知前附表</w:t>
      </w:r>
      <w:bookmarkEnd w:id="44"/>
    </w:p>
    <w:tbl>
      <w:tblPr>
        <w:tblStyle w:val="34"/>
        <w:tblW w:w="507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9"/>
        <w:gridCol w:w="2318"/>
        <w:gridCol w:w="5682"/>
      </w:tblGrid>
      <w:tr w14:paraId="2E134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0" w:type="pct"/>
            <w:vAlign w:val="center"/>
          </w:tcPr>
          <w:p w14:paraId="364A0D60">
            <w:pPr>
              <w:ind w:firstLine="0" w:firstLineChars="0"/>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条款号</w:t>
            </w:r>
          </w:p>
        </w:tc>
        <w:tc>
          <w:tcPr>
            <w:tcW w:w="1292" w:type="pct"/>
            <w:vAlign w:val="center"/>
          </w:tcPr>
          <w:p w14:paraId="5AAB3F60">
            <w:pPr>
              <w:ind w:firstLine="0" w:firstLineChars="0"/>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条 款 名 称</w:t>
            </w:r>
          </w:p>
        </w:tc>
        <w:tc>
          <w:tcPr>
            <w:tcW w:w="3167" w:type="pct"/>
            <w:vAlign w:val="center"/>
          </w:tcPr>
          <w:p w14:paraId="1CFAEAE1">
            <w:pPr>
              <w:ind w:firstLine="0" w:firstLineChars="0"/>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编 列 内 容</w:t>
            </w:r>
          </w:p>
        </w:tc>
      </w:tr>
      <w:tr w14:paraId="0F15E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0" w:type="pct"/>
            <w:vAlign w:val="center"/>
          </w:tcPr>
          <w:p w14:paraId="0FBC8599">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1.1.2</w:t>
            </w:r>
          </w:p>
        </w:tc>
        <w:tc>
          <w:tcPr>
            <w:tcW w:w="1292" w:type="pct"/>
            <w:vAlign w:val="center"/>
          </w:tcPr>
          <w:p w14:paraId="05FE6B4D">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招标人</w:t>
            </w:r>
          </w:p>
        </w:tc>
        <w:tc>
          <w:tcPr>
            <w:tcW w:w="3167" w:type="pct"/>
            <w:vAlign w:val="center"/>
          </w:tcPr>
          <w:p w14:paraId="14DF3462">
            <w:pPr>
              <w:spacing w:before="120" w:beforeLines="50" w:line="276" w:lineRule="auto"/>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招标人：</w:t>
            </w:r>
            <w:r>
              <w:rPr>
                <w:rFonts w:hint="eastAsia" w:asciiTheme="majorEastAsia" w:hAnsiTheme="majorEastAsia" w:eastAsiaTheme="majorEastAsia" w:cstheme="majorEastAsia"/>
                <w:color w:val="auto"/>
                <w:sz w:val="21"/>
                <w:szCs w:val="21"/>
                <w:highlight w:val="none"/>
                <w:lang w:val="en-US" w:eastAsia="zh-CN"/>
              </w:rPr>
              <w:t>昆明公交城市巴士有限责任公司</w:t>
            </w:r>
          </w:p>
          <w:p w14:paraId="6ADF90D0">
            <w:pPr>
              <w:spacing w:before="120" w:beforeLines="50" w:line="276" w:lineRule="auto"/>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联 系 人：</w:t>
            </w:r>
            <w:r>
              <w:rPr>
                <w:rFonts w:hint="eastAsia" w:asciiTheme="majorEastAsia" w:hAnsiTheme="majorEastAsia" w:eastAsiaTheme="majorEastAsia" w:cstheme="majorEastAsia"/>
                <w:color w:val="auto"/>
                <w:sz w:val="21"/>
                <w:szCs w:val="21"/>
                <w:highlight w:val="none"/>
                <w:lang w:val="en-US" w:eastAsia="zh-CN"/>
              </w:rPr>
              <w:t>田</w:t>
            </w:r>
            <w:r>
              <w:rPr>
                <w:rFonts w:hint="eastAsia" w:asciiTheme="majorEastAsia" w:hAnsiTheme="majorEastAsia" w:eastAsiaTheme="majorEastAsia" w:cstheme="majorEastAsia"/>
                <w:color w:val="auto"/>
                <w:sz w:val="21"/>
                <w:szCs w:val="21"/>
                <w:highlight w:val="none"/>
              </w:rPr>
              <w:t>老师</w:t>
            </w:r>
          </w:p>
          <w:p w14:paraId="1A8F904B">
            <w:pPr>
              <w:spacing w:before="120" w:beforeLines="50" w:line="276" w:lineRule="auto"/>
              <w:ind w:firstLine="0" w:firstLineChars="0"/>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rPr>
              <w:t>联系电话：</w:t>
            </w:r>
            <w:r>
              <w:rPr>
                <w:rFonts w:hint="eastAsia" w:asciiTheme="majorEastAsia" w:hAnsiTheme="majorEastAsia" w:eastAsiaTheme="majorEastAsia" w:cstheme="majorEastAsia"/>
                <w:color w:val="auto"/>
                <w:sz w:val="21"/>
                <w:szCs w:val="21"/>
                <w:highlight w:val="none"/>
                <w:lang w:val="en-US" w:eastAsia="zh-CN"/>
              </w:rPr>
              <w:t>13312599816</w:t>
            </w:r>
          </w:p>
          <w:p w14:paraId="4C3575BA">
            <w:pPr>
              <w:spacing w:before="120" w:beforeLines="50" w:line="276" w:lineRule="auto"/>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地    址：昆明市</w:t>
            </w:r>
            <w:r>
              <w:rPr>
                <w:rFonts w:hint="eastAsia" w:asciiTheme="majorEastAsia" w:hAnsiTheme="majorEastAsia" w:eastAsiaTheme="majorEastAsia" w:cstheme="majorEastAsia"/>
                <w:color w:val="auto"/>
                <w:sz w:val="21"/>
                <w:szCs w:val="21"/>
                <w:highlight w:val="none"/>
                <w:lang w:val="en-US" w:eastAsia="zh-CN"/>
              </w:rPr>
              <w:t>盘龙区穿金路874</w:t>
            </w:r>
            <w:r>
              <w:rPr>
                <w:rFonts w:hint="eastAsia" w:asciiTheme="majorEastAsia" w:hAnsiTheme="majorEastAsia" w:eastAsiaTheme="majorEastAsia" w:cstheme="majorEastAsia"/>
                <w:color w:val="auto"/>
                <w:sz w:val="21"/>
                <w:szCs w:val="21"/>
                <w:highlight w:val="none"/>
              </w:rPr>
              <w:t>号</w:t>
            </w:r>
          </w:p>
        </w:tc>
      </w:tr>
      <w:tr w14:paraId="23E0F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0" w:type="pct"/>
            <w:vAlign w:val="center"/>
          </w:tcPr>
          <w:p w14:paraId="308CE5E6">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1.1.3</w:t>
            </w:r>
          </w:p>
        </w:tc>
        <w:tc>
          <w:tcPr>
            <w:tcW w:w="1292" w:type="pct"/>
            <w:vAlign w:val="center"/>
          </w:tcPr>
          <w:p w14:paraId="0B17DCF1">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招标代理机构</w:t>
            </w:r>
          </w:p>
        </w:tc>
        <w:tc>
          <w:tcPr>
            <w:tcW w:w="3167" w:type="pct"/>
            <w:vAlign w:val="center"/>
          </w:tcPr>
          <w:p w14:paraId="10578E36">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采购代理机构：云南鑫德招标咨询有限公司</w:t>
            </w:r>
          </w:p>
          <w:p w14:paraId="44283783">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联   系   人：阳厚祺、李才华</w:t>
            </w:r>
          </w:p>
          <w:p w14:paraId="4000ADC1">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移 动  电 话：15887846425、13518743361</w:t>
            </w:r>
          </w:p>
          <w:p w14:paraId="117838E7">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地        址：云南省昆明市五华区科普路固地尚诚商务中心B座9层</w:t>
            </w:r>
          </w:p>
        </w:tc>
      </w:tr>
      <w:tr w14:paraId="160DD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0" w:type="pct"/>
            <w:vAlign w:val="center"/>
          </w:tcPr>
          <w:p w14:paraId="6AF0BF33">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1.1.4</w:t>
            </w:r>
          </w:p>
        </w:tc>
        <w:tc>
          <w:tcPr>
            <w:tcW w:w="1292" w:type="pct"/>
            <w:vAlign w:val="center"/>
          </w:tcPr>
          <w:p w14:paraId="270C7D55">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项目名称</w:t>
            </w:r>
          </w:p>
        </w:tc>
        <w:tc>
          <w:tcPr>
            <w:tcW w:w="3167" w:type="pct"/>
            <w:vAlign w:val="center"/>
          </w:tcPr>
          <w:p w14:paraId="5D982B59">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宋体" w:hAnsi="宋体" w:cs="宋体"/>
                <w:color w:val="auto"/>
                <w:sz w:val="24"/>
                <w:szCs w:val="24"/>
                <w:highlight w:val="none"/>
              </w:rPr>
              <w:t>昆明公交城市巴士有限责任公司</w:t>
            </w:r>
            <w:r>
              <w:rPr>
                <w:rFonts w:hint="eastAsia" w:ascii="宋体" w:hAnsi="宋体" w:cs="宋体"/>
                <w:color w:val="auto"/>
                <w:sz w:val="24"/>
                <w:szCs w:val="24"/>
                <w:highlight w:val="none"/>
                <w:lang w:eastAsia="zh-CN"/>
              </w:rPr>
              <w:t>6辆新能源高一级公路客车</w:t>
            </w:r>
            <w:r>
              <w:rPr>
                <w:rFonts w:hint="eastAsia" w:ascii="宋体" w:hAnsi="宋体" w:cs="宋体"/>
                <w:color w:val="auto"/>
                <w:sz w:val="24"/>
                <w:szCs w:val="24"/>
                <w:highlight w:val="none"/>
              </w:rPr>
              <w:t>采购项目</w:t>
            </w:r>
          </w:p>
        </w:tc>
      </w:tr>
      <w:tr w14:paraId="52262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0" w:type="pct"/>
            <w:vAlign w:val="center"/>
          </w:tcPr>
          <w:p w14:paraId="3B357556">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1.2.1</w:t>
            </w:r>
          </w:p>
        </w:tc>
        <w:tc>
          <w:tcPr>
            <w:tcW w:w="1292" w:type="pct"/>
            <w:vAlign w:val="center"/>
          </w:tcPr>
          <w:p w14:paraId="63388890">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本招标项目的资金来源</w:t>
            </w:r>
          </w:p>
        </w:tc>
        <w:tc>
          <w:tcPr>
            <w:tcW w:w="3167" w:type="pct"/>
            <w:vAlign w:val="center"/>
          </w:tcPr>
          <w:p w14:paraId="16F85149">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企业自筹</w:t>
            </w:r>
          </w:p>
        </w:tc>
      </w:tr>
      <w:tr w14:paraId="3D93B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0" w:type="pct"/>
            <w:vAlign w:val="center"/>
          </w:tcPr>
          <w:p w14:paraId="2E713CF4">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1.3.1</w:t>
            </w:r>
          </w:p>
        </w:tc>
        <w:tc>
          <w:tcPr>
            <w:tcW w:w="1292" w:type="pct"/>
            <w:vAlign w:val="center"/>
          </w:tcPr>
          <w:p w14:paraId="52034344">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招标范围</w:t>
            </w:r>
          </w:p>
        </w:tc>
        <w:tc>
          <w:tcPr>
            <w:tcW w:w="3167" w:type="pct"/>
            <w:vAlign w:val="center"/>
          </w:tcPr>
          <w:p w14:paraId="54463120">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详见第一章《招标公告》二、招标范围</w:t>
            </w:r>
          </w:p>
        </w:tc>
      </w:tr>
      <w:tr w14:paraId="1B3B0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540" w:type="pct"/>
            <w:vAlign w:val="center"/>
          </w:tcPr>
          <w:p w14:paraId="7EF2854C">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1.3.2</w:t>
            </w:r>
          </w:p>
        </w:tc>
        <w:tc>
          <w:tcPr>
            <w:tcW w:w="1292" w:type="pct"/>
            <w:vAlign w:val="center"/>
          </w:tcPr>
          <w:p w14:paraId="55AB47E3">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交货期</w:t>
            </w:r>
          </w:p>
        </w:tc>
        <w:tc>
          <w:tcPr>
            <w:tcW w:w="3167" w:type="pct"/>
            <w:vAlign w:val="center"/>
          </w:tcPr>
          <w:p w14:paraId="6743AB2D">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val="en-US" w:eastAsia="zh-CN"/>
              </w:rPr>
              <w:t>合同签订</w:t>
            </w:r>
            <w:r>
              <w:rPr>
                <w:rFonts w:hint="eastAsia" w:asciiTheme="majorEastAsia" w:hAnsiTheme="majorEastAsia" w:eastAsiaTheme="majorEastAsia" w:cstheme="majorEastAsia"/>
                <w:color w:val="auto"/>
                <w:sz w:val="21"/>
                <w:szCs w:val="21"/>
                <w:highlight w:val="none"/>
              </w:rPr>
              <w:t>后</w:t>
            </w:r>
            <w:r>
              <w:rPr>
                <w:rFonts w:hint="eastAsia" w:asciiTheme="majorEastAsia" w:hAnsiTheme="majorEastAsia" w:eastAsiaTheme="majorEastAsia" w:cstheme="majorEastAsia"/>
                <w:color w:val="auto"/>
                <w:sz w:val="21"/>
                <w:szCs w:val="21"/>
                <w:highlight w:val="none"/>
                <w:lang w:val="en-US" w:eastAsia="zh-CN"/>
              </w:rPr>
              <w:t>45</w:t>
            </w:r>
            <w:r>
              <w:rPr>
                <w:rFonts w:hint="eastAsia" w:asciiTheme="majorEastAsia" w:hAnsiTheme="majorEastAsia" w:eastAsiaTheme="majorEastAsia" w:cstheme="majorEastAsia"/>
                <w:color w:val="auto"/>
                <w:sz w:val="21"/>
                <w:szCs w:val="21"/>
                <w:highlight w:val="none"/>
              </w:rPr>
              <w:t>个日历日内完成全部车辆交付并确保办理完成车辆落牌相关手续。</w:t>
            </w:r>
          </w:p>
        </w:tc>
      </w:tr>
      <w:tr w14:paraId="3B132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0" w:type="pct"/>
            <w:vAlign w:val="center"/>
          </w:tcPr>
          <w:p w14:paraId="103317C5">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1.3.3</w:t>
            </w:r>
          </w:p>
        </w:tc>
        <w:tc>
          <w:tcPr>
            <w:tcW w:w="1292" w:type="pct"/>
            <w:vAlign w:val="center"/>
          </w:tcPr>
          <w:p w14:paraId="0263DDD8">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交货地点</w:t>
            </w:r>
          </w:p>
        </w:tc>
        <w:tc>
          <w:tcPr>
            <w:tcW w:w="3167" w:type="pct"/>
            <w:vAlign w:val="center"/>
          </w:tcPr>
          <w:p w14:paraId="6F887FBB">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eastAsia="zh-CN"/>
              </w:rPr>
              <w:t>昆明公交城市巴士有限责任公司</w:t>
            </w:r>
            <w:r>
              <w:rPr>
                <w:rFonts w:hint="eastAsia" w:asciiTheme="majorEastAsia" w:hAnsiTheme="majorEastAsia" w:eastAsiaTheme="majorEastAsia" w:cstheme="majorEastAsia"/>
                <w:color w:val="auto"/>
                <w:sz w:val="21"/>
                <w:szCs w:val="21"/>
                <w:highlight w:val="none"/>
              </w:rPr>
              <w:t>指定地点</w:t>
            </w:r>
          </w:p>
        </w:tc>
      </w:tr>
      <w:tr w14:paraId="2A5F4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0" w:type="pct"/>
            <w:vAlign w:val="center"/>
          </w:tcPr>
          <w:p w14:paraId="6CE40A61">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1.3.4</w:t>
            </w:r>
          </w:p>
        </w:tc>
        <w:tc>
          <w:tcPr>
            <w:tcW w:w="1292" w:type="pct"/>
            <w:vAlign w:val="center"/>
          </w:tcPr>
          <w:p w14:paraId="01283B2C">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质量要求</w:t>
            </w:r>
          </w:p>
        </w:tc>
        <w:tc>
          <w:tcPr>
            <w:tcW w:w="3167" w:type="pct"/>
            <w:vAlign w:val="center"/>
          </w:tcPr>
          <w:p w14:paraId="4688742C">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符合国家颁布的最新车辆相关质量和安全营运标准及要求，保证车辆在发货前经过严格测试，并保证车辆（含零配件、随机工具等）是最新生产、全新未使用过、表面和内部均无瑕疵的原厂正品。质量、规格和技术要求必须符合技术标准，以及合同规定的质量性能要求，符合国家环保要求，在正确使用条件下，寿命期间应运转良好</w:t>
            </w:r>
          </w:p>
        </w:tc>
      </w:tr>
      <w:tr w14:paraId="07CD4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0" w:type="pct"/>
            <w:vAlign w:val="center"/>
          </w:tcPr>
          <w:p w14:paraId="621159F9">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1.3.5</w:t>
            </w:r>
          </w:p>
        </w:tc>
        <w:tc>
          <w:tcPr>
            <w:tcW w:w="1292" w:type="pct"/>
            <w:vAlign w:val="center"/>
          </w:tcPr>
          <w:p w14:paraId="2916F077">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付款方式</w:t>
            </w:r>
          </w:p>
        </w:tc>
        <w:tc>
          <w:tcPr>
            <w:tcW w:w="3167" w:type="pct"/>
            <w:vAlign w:val="center"/>
          </w:tcPr>
          <w:p w14:paraId="527DBA68">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宋体" w:hAnsi="宋体" w:eastAsia="宋体" w:cs="宋体"/>
                <w:color w:val="auto"/>
                <w:sz w:val="24"/>
                <w:szCs w:val="24"/>
                <w:highlight w:val="none"/>
                <w:lang w:val="en-US" w:eastAsia="zh-CN"/>
              </w:rPr>
              <w:t>分期付款</w:t>
            </w:r>
          </w:p>
        </w:tc>
      </w:tr>
      <w:tr w14:paraId="6DDED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0" w:type="pct"/>
            <w:vAlign w:val="center"/>
          </w:tcPr>
          <w:p w14:paraId="3E36BE01">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1.4.1</w:t>
            </w:r>
          </w:p>
        </w:tc>
        <w:tc>
          <w:tcPr>
            <w:tcW w:w="1292" w:type="pct"/>
            <w:vAlign w:val="center"/>
          </w:tcPr>
          <w:p w14:paraId="5CDCF876">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投标人资格要求及信誉要求及其它要求</w:t>
            </w:r>
          </w:p>
        </w:tc>
        <w:tc>
          <w:tcPr>
            <w:tcW w:w="3167" w:type="pct"/>
            <w:vAlign w:val="center"/>
          </w:tcPr>
          <w:p w14:paraId="148A8620">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详见第一章《招标公告》三、投标人资格要求</w:t>
            </w:r>
          </w:p>
        </w:tc>
      </w:tr>
      <w:tr w14:paraId="242F5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540" w:type="pct"/>
            <w:vAlign w:val="center"/>
          </w:tcPr>
          <w:p w14:paraId="261CC6D0">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1.4.2</w:t>
            </w:r>
          </w:p>
        </w:tc>
        <w:tc>
          <w:tcPr>
            <w:tcW w:w="1292" w:type="pct"/>
            <w:vAlign w:val="center"/>
          </w:tcPr>
          <w:p w14:paraId="12BCC130">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是否接受联合体投标</w:t>
            </w:r>
          </w:p>
        </w:tc>
        <w:tc>
          <w:tcPr>
            <w:tcW w:w="3167" w:type="pct"/>
            <w:vAlign w:val="center"/>
          </w:tcPr>
          <w:p w14:paraId="1FB17C51">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不接受</w:t>
            </w:r>
          </w:p>
        </w:tc>
      </w:tr>
      <w:tr w14:paraId="304AD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540" w:type="pct"/>
            <w:vAlign w:val="center"/>
          </w:tcPr>
          <w:p w14:paraId="45FD1C5B">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1.9.1</w:t>
            </w:r>
          </w:p>
        </w:tc>
        <w:tc>
          <w:tcPr>
            <w:tcW w:w="1292" w:type="pct"/>
            <w:vAlign w:val="center"/>
          </w:tcPr>
          <w:p w14:paraId="1308E04F">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踏勘现场</w:t>
            </w:r>
          </w:p>
        </w:tc>
        <w:tc>
          <w:tcPr>
            <w:tcW w:w="3167" w:type="pct"/>
            <w:vAlign w:val="center"/>
          </w:tcPr>
          <w:p w14:paraId="50527D8A">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不组织</w:t>
            </w:r>
          </w:p>
        </w:tc>
      </w:tr>
      <w:tr w14:paraId="59ABB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540" w:type="pct"/>
            <w:vAlign w:val="center"/>
          </w:tcPr>
          <w:p w14:paraId="76CB1FCD">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1.10.1</w:t>
            </w:r>
          </w:p>
        </w:tc>
        <w:tc>
          <w:tcPr>
            <w:tcW w:w="1292" w:type="pct"/>
            <w:vAlign w:val="center"/>
          </w:tcPr>
          <w:p w14:paraId="65F9A31B">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投标预备会</w:t>
            </w:r>
          </w:p>
        </w:tc>
        <w:tc>
          <w:tcPr>
            <w:tcW w:w="3167" w:type="pct"/>
            <w:vAlign w:val="center"/>
          </w:tcPr>
          <w:p w14:paraId="70C9C00C">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不召开</w:t>
            </w:r>
          </w:p>
        </w:tc>
      </w:tr>
      <w:tr w14:paraId="59646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540" w:type="pct"/>
            <w:vAlign w:val="center"/>
          </w:tcPr>
          <w:p w14:paraId="4C620525">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1.10.2</w:t>
            </w:r>
          </w:p>
        </w:tc>
        <w:tc>
          <w:tcPr>
            <w:tcW w:w="1292" w:type="pct"/>
            <w:vAlign w:val="center"/>
          </w:tcPr>
          <w:p w14:paraId="241CB353">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投标人提出问题的截止时间和方法</w:t>
            </w:r>
          </w:p>
        </w:tc>
        <w:tc>
          <w:tcPr>
            <w:tcW w:w="3167" w:type="pct"/>
            <w:vAlign w:val="center"/>
          </w:tcPr>
          <w:p w14:paraId="39F0AF0A">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即在投标截止时间10日前，所有获取了招标文件的潜在投标人凭企业数字证书（CA）登录昆明市公共资源交易电子服务系统，通过网络在线方式进行不署名提问。</w:t>
            </w:r>
          </w:p>
        </w:tc>
      </w:tr>
      <w:tr w14:paraId="156BF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540" w:type="pct"/>
            <w:vAlign w:val="center"/>
          </w:tcPr>
          <w:p w14:paraId="714C4992">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1.10.3</w:t>
            </w:r>
          </w:p>
        </w:tc>
        <w:tc>
          <w:tcPr>
            <w:tcW w:w="1292" w:type="pct"/>
            <w:vAlign w:val="center"/>
          </w:tcPr>
          <w:p w14:paraId="2F83C576">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招标人澄清的时间和方法</w:t>
            </w:r>
          </w:p>
        </w:tc>
        <w:tc>
          <w:tcPr>
            <w:tcW w:w="3167" w:type="pct"/>
            <w:vAlign w:val="center"/>
          </w:tcPr>
          <w:p w14:paraId="30976D13">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投标截止时间至少15日前，由招标人以补遗书方式按程序报有关主管部门备案后，提交昆明市公共资源交易电子服务系统统一通过网络向潜在投标人发布，且投标人不须回函确认，所有获取了招标文件的潜在投标人登录昆明市公共资源交易电子服务系统凭企业身份认证数字证书（CA）查看澄清内容。</w:t>
            </w:r>
          </w:p>
        </w:tc>
      </w:tr>
      <w:tr w14:paraId="24CAC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540" w:type="pct"/>
            <w:vAlign w:val="center"/>
          </w:tcPr>
          <w:p w14:paraId="19695059">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1.11</w:t>
            </w:r>
          </w:p>
        </w:tc>
        <w:tc>
          <w:tcPr>
            <w:tcW w:w="1292" w:type="pct"/>
            <w:vAlign w:val="center"/>
          </w:tcPr>
          <w:p w14:paraId="447A12FF">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分包及转包</w:t>
            </w:r>
          </w:p>
        </w:tc>
        <w:tc>
          <w:tcPr>
            <w:tcW w:w="3167" w:type="pct"/>
            <w:vAlign w:val="center"/>
          </w:tcPr>
          <w:p w14:paraId="3A4D7CC1">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本项目不允许分包、转包</w:t>
            </w:r>
          </w:p>
        </w:tc>
      </w:tr>
      <w:tr w14:paraId="60F8F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540" w:type="pct"/>
            <w:vAlign w:val="center"/>
          </w:tcPr>
          <w:p w14:paraId="74FFEAE0">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2.2</w:t>
            </w:r>
          </w:p>
        </w:tc>
        <w:tc>
          <w:tcPr>
            <w:tcW w:w="1292" w:type="pct"/>
            <w:vAlign w:val="center"/>
          </w:tcPr>
          <w:p w14:paraId="7E224182">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投标人要求澄清招标文件的截止时间</w:t>
            </w:r>
          </w:p>
        </w:tc>
        <w:tc>
          <w:tcPr>
            <w:tcW w:w="3167" w:type="pct"/>
            <w:vAlign w:val="center"/>
          </w:tcPr>
          <w:p w14:paraId="4A70A790">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即在投标截止时间10日前，所有获取了招标文件的潜在投标人凭企业数字证书（CA）登录昆明市公共资源交易电子服务系统，通过网络在线方式进行不署名提问。投标人应仔细阅读和检查招标文件的全部内容。如发现缺页或附件不全，应及时向招标人提出，以便补齐。如有疑问，应在投标人须知前附表规定的时间前以在线不署名提交方式登录昆明市公共资源交易电子服务系统，要求招标人对招标文件予以澄清</w:t>
            </w:r>
          </w:p>
        </w:tc>
      </w:tr>
      <w:tr w14:paraId="42BAE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540" w:type="pct"/>
            <w:vAlign w:val="center"/>
          </w:tcPr>
          <w:p w14:paraId="320BA776">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2.2.2</w:t>
            </w:r>
          </w:p>
        </w:tc>
        <w:tc>
          <w:tcPr>
            <w:tcW w:w="1292" w:type="pct"/>
            <w:vAlign w:val="center"/>
          </w:tcPr>
          <w:p w14:paraId="56321331">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投标截止时间</w:t>
            </w:r>
          </w:p>
        </w:tc>
        <w:tc>
          <w:tcPr>
            <w:tcW w:w="3167" w:type="pct"/>
            <w:vAlign w:val="center"/>
          </w:tcPr>
          <w:p w14:paraId="37268F61">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详见昆明市公共资源交易电子服务系统招标公告</w:t>
            </w:r>
          </w:p>
        </w:tc>
      </w:tr>
      <w:tr w14:paraId="5715F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540" w:type="pct"/>
            <w:vAlign w:val="center"/>
          </w:tcPr>
          <w:p w14:paraId="7E0C9F1B">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2.2.3</w:t>
            </w:r>
          </w:p>
        </w:tc>
        <w:tc>
          <w:tcPr>
            <w:tcW w:w="1292" w:type="pct"/>
            <w:vAlign w:val="center"/>
          </w:tcPr>
          <w:p w14:paraId="773A27BB">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投标人确认收到招标文件澄清的时间</w:t>
            </w:r>
          </w:p>
        </w:tc>
        <w:tc>
          <w:tcPr>
            <w:tcW w:w="3167" w:type="pct"/>
            <w:vAlign w:val="center"/>
          </w:tcPr>
          <w:p w14:paraId="7214BD88">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投标人自行登录昆明市公共资源交易电子服务系统获取澄清，无须回复确认已收到该澄清</w:t>
            </w:r>
          </w:p>
        </w:tc>
      </w:tr>
      <w:tr w14:paraId="53A9A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540" w:type="pct"/>
            <w:vAlign w:val="center"/>
          </w:tcPr>
          <w:p w14:paraId="1D450690">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2.3.2</w:t>
            </w:r>
          </w:p>
        </w:tc>
        <w:tc>
          <w:tcPr>
            <w:tcW w:w="1292" w:type="pct"/>
            <w:vAlign w:val="center"/>
          </w:tcPr>
          <w:p w14:paraId="2DE0A20D">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投标人确认收到招标文件修改的时间</w:t>
            </w:r>
          </w:p>
        </w:tc>
        <w:tc>
          <w:tcPr>
            <w:tcW w:w="3167" w:type="pct"/>
            <w:vAlign w:val="center"/>
          </w:tcPr>
          <w:p w14:paraId="72987620">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投标人自行登录昆明市公共资源交易电子服务系统收取修改内容，无须回复确认已收到该修改</w:t>
            </w:r>
          </w:p>
        </w:tc>
      </w:tr>
      <w:tr w14:paraId="2E590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540" w:type="pct"/>
            <w:vAlign w:val="center"/>
          </w:tcPr>
          <w:p w14:paraId="5231566F">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3.2</w:t>
            </w:r>
          </w:p>
        </w:tc>
        <w:tc>
          <w:tcPr>
            <w:tcW w:w="1292" w:type="pct"/>
            <w:vAlign w:val="center"/>
          </w:tcPr>
          <w:p w14:paraId="10E1F69F">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投标报价</w:t>
            </w:r>
          </w:p>
        </w:tc>
        <w:tc>
          <w:tcPr>
            <w:tcW w:w="3167" w:type="pct"/>
            <w:vAlign w:val="center"/>
          </w:tcPr>
          <w:p w14:paraId="7E694348">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投标人的投标报价应依据招标文件的要求及有关资料，执行国家规定的现行技术、经济标准、定额及规范，由投标人自选测算出现行市场的设备、材料及各类价格。报价包括但不仅限于货物的设计、制造、材料采购、检验检测费、</w:t>
            </w:r>
            <w:r>
              <w:rPr>
                <w:rFonts w:hint="eastAsia" w:asciiTheme="majorEastAsia" w:hAnsiTheme="majorEastAsia" w:eastAsiaTheme="majorEastAsia" w:cstheme="majorEastAsia"/>
                <w:color w:val="auto"/>
                <w:sz w:val="21"/>
                <w:szCs w:val="21"/>
                <w:highlight w:val="none"/>
                <w:lang w:eastAsia="zh-CN"/>
              </w:rPr>
              <w:t>送车费</w:t>
            </w:r>
            <w:r>
              <w:rPr>
                <w:rFonts w:hint="eastAsia" w:asciiTheme="majorEastAsia" w:hAnsiTheme="majorEastAsia" w:eastAsiaTheme="majorEastAsia" w:cstheme="majorEastAsia"/>
                <w:color w:val="auto"/>
                <w:sz w:val="21"/>
                <w:szCs w:val="21"/>
                <w:highlight w:val="none"/>
              </w:rPr>
              <w:t>、指导安装调试、质保期内服务、</w:t>
            </w:r>
            <w:r>
              <w:rPr>
                <w:rFonts w:hint="eastAsia" w:asciiTheme="majorEastAsia" w:hAnsiTheme="majorEastAsia" w:eastAsiaTheme="majorEastAsia" w:cstheme="majorEastAsia"/>
                <w:color w:val="auto"/>
                <w:sz w:val="21"/>
                <w:szCs w:val="21"/>
                <w:highlight w:val="none"/>
                <w:lang w:eastAsia="zh-CN"/>
              </w:rPr>
              <w:t>分期利息、</w:t>
            </w:r>
            <w:r>
              <w:rPr>
                <w:rFonts w:hint="eastAsia" w:asciiTheme="majorEastAsia" w:hAnsiTheme="majorEastAsia" w:eastAsiaTheme="majorEastAsia" w:cstheme="majorEastAsia"/>
                <w:color w:val="auto"/>
                <w:sz w:val="21"/>
                <w:szCs w:val="21"/>
                <w:highlight w:val="none"/>
              </w:rPr>
              <w:t>市场价格的变化、利润及税金、整车费用等全部费用，该报价应符合国内行情并能保证投标人完成履行合同所需的一切工作。合同一旦签订，此合同价格在合同实施期间将不因工作量及市场设备材料价格的变化而调整</w:t>
            </w:r>
          </w:p>
        </w:tc>
      </w:tr>
      <w:tr w14:paraId="3A3B3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540" w:type="pct"/>
            <w:vAlign w:val="center"/>
          </w:tcPr>
          <w:p w14:paraId="78B23BD9">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3.3.1</w:t>
            </w:r>
          </w:p>
        </w:tc>
        <w:tc>
          <w:tcPr>
            <w:tcW w:w="1292" w:type="pct"/>
            <w:vAlign w:val="center"/>
          </w:tcPr>
          <w:p w14:paraId="03253A2A">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投标有效期</w:t>
            </w:r>
          </w:p>
        </w:tc>
        <w:tc>
          <w:tcPr>
            <w:tcW w:w="3167" w:type="pct"/>
            <w:vAlign w:val="center"/>
          </w:tcPr>
          <w:p w14:paraId="3E39B0F5">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投标截止之日起90日历天</w:t>
            </w:r>
          </w:p>
        </w:tc>
      </w:tr>
      <w:tr w14:paraId="5F7F2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540" w:type="pct"/>
            <w:vAlign w:val="center"/>
          </w:tcPr>
          <w:p w14:paraId="34F5F03B">
            <w:pPr>
              <w:spacing w:line="36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3.4</w:t>
            </w:r>
          </w:p>
        </w:tc>
        <w:tc>
          <w:tcPr>
            <w:tcW w:w="1292" w:type="pct"/>
            <w:vAlign w:val="center"/>
          </w:tcPr>
          <w:p w14:paraId="29B160F8">
            <w:pPr>
              <w:pStyle w:val="18"/>
              <w:spacing w:line="380" w:lineRule="exact"/>
              <w:ind w:firstLine="0" w:firstLineChars="0"/>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投标保证金</w:t>
            </w:r>
          </w:p>
        </w:tc>
        <w:tc>
          <w:tcPr>
            <w:tcW w:w="3167" w:type="pct"/>
            <w:vAlign w:val="center"/>
          </w:tcPr>
          <w:p w14:paraId="6839EC22">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投标人应足额提交投标保证金。</w:t>
            </w:r>
          </w:p>
          <w:p w14:paraId="3D37AA95">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投标保证金提交方式为：银行转账、银行保函、保证保险，投标人无论采用哪种方式，均应在投标截止时间前缴纳，保证金到账时间以保证金专用账户实际到账时间为准，未在规定时间前到账的保证金无效。投标人的投标保证金必须从投标人基本账户汇入公共资源交易中心指定子账户，不得以投标法人单位的专户或分公司、办事处及其他机构的名义汇入。</w:t>
            </w:r>
          </w:p>
          <w:p w14:paraId="6B9EFBA9">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1.投标保证金金额：￥</w:t>
            </w:r>
            <w:r>
              <w:rPr>
                <w:rFonts w:hint="eastAsia" w:asciiTheme="majorEastAsia" w:hAnsiTheme="majorEastAsia" w:eastAsiaTheme="majorEastAsia" w:cstheme="majorEastAsia"/>
                <w:color w:val="auto"/>
                <w:sz w:val="21"/>
                <w:szCs w:val="21"/>
                <w:highlight w:val="none"/>
                <w:lang w:val="en-US" w:eastAsia="zh-CN"/>
              </w:rPr>
              <w:t>1</w:t>
            </w:r>
            <w:r>
              <w:rPr>
                <w:rFonts w:hint="eastAsia" w:asciiTheme="majorEastAsia" w:hAnsiTheme="majorEastAsia" w:eastAsiaTheme="majorEastAsia" w:cstheme="majorEastAsia"/>
                <w:color w:val="auto"/>
                <w:sz w:val="21"/>
                <w:szCs w:val="21"/>
                <w:highlight w:val="none"/>
              </w:rPr>
              <w:t>00000元（大写：</w:t>
            </w:r>
            <w:r>
              <w:rPr>
                <w:rFonts w:hint="eastAsia" w:asciiTheme="majorEastAsia" w:hAnsiTheme="majorEastAsia" w:eastAsiaTheme="majorEastAsia" w:cstheme="majorEastAsia"/>
                <w:color w:val="auto"/>
                <w:sz w:val="21"/>
                <w:szCs w:val="21"/>
                <w:highlight w:val="none"/>
                <w:lang w:val="en-US" w:eastAsia="zh-CN"/>
              </w:rPr>
              <w:t>壹</w:t>
            </w:r>
            <w:r>
              <w:rPr>
                <w:rFonts w:hint="eastAsia" w:asciiTheme="majorEastAsia" w:hAnsiTheme="majorEastAsia" w:eastAsiaTheme="majorEastAsia" w:cstheme="majorEastAsia"/>
                <w:color w:val="auto"/>
                <w:sz w:val="21"/>
                <w:szCs w:val="21"/>
                <w:highlight w:val="none"/>
              </w:rPr>
              <w:t>拾万元整）。</w:t>
            </w:r>
          </w:p>
          <w:p w14:paraId="562C6A17">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2.保证金的缴纳方式：</w:t>
            </w:r>
          </w:p>
          <w:p w14:paraId="43C5EA72">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（一）银行转账</w:t>
            </w:r>
          </w:p>
          <w:p w14:paraId="4436AE2F">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缴纳具体操作步骤如下：</w:t>
            </w:r>
          </w:p>
          <w:p w14:paraId="04A0DCC7">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（1）使用注册 CA 时提供的基本账户，向本项目交易保证金账户打款。</w:t>
            </w:r>
          </w:p>
          <w:p w14:paraId="0C68AD6A">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开户名称：昆明市公共资源交易中心</w:t>
            </w:r>
          </w:p>
          <w:p w14:paraId="67CD34CB">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开户银行：昆明市呈贡区农村信用合作联社</w:t>
            </w:r>
          </w:p>
          <w:p w14:paraId="7A3FFCBF">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账    号：0600078501742012</w:t>
            </w:r>
          </w:p>
          <w:p w14:paraId="57E638F4">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2）登录云南省公共资源交易平台（昆明市）获取招标文件并缴纳投标保证金后，进入“我确认投标的项目——选择缴纳保证金——确认投标保证金”。系统会自动绑定，点击【查看】确认绑定。绑定后打印保证</w:t>
            </w:r>
          </w:p>
        </w:tc>
      </w:tr>
      <w:tr w14:paraId="08F47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540" w:type="pct"/>
            <w:vAlign w:val="center"/>
          </w:tcPr>
          <w:p w14:paraId="0CA8D586">
            <w:pPr>
              <w:spacing w:line="36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3.4</w:t>
            </w:r>
          </w:p>
        </w:tc>
        <w:tc>
          <w:tcPr>
            <w:tcW w:w="1292" w:type="pct"/>
            <w:vAlign w:val="center"/>
          </w:tcPr>
          <w:p w14:paraId="765836F9">
            <w:pPr>
              <w:pStyle w:val="18"/>
              <w:spacing w:line="380" w:lineRule="exact"/>
              <w:ind w:firstLine="0" w:firstLineChars="0"/>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投标保证金</w:t>
            </w:r>
          </w:p>
        </w:tc>
        <w:tc>
          <w:tcPr>
            <w:tcW w:w="3167" w:type="pct"/>
            <w:vAlign w:val="center"/>
          </w:tcPr>
          <w:p w14:paraId="5C8608C1">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供评委审验，若不按要求提供的，按否决投标处理，所造成的后果由投标人自负。</w:t>
            </w:r>
          </w:p>
          <w:p w14:paraId="4189CEF9">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二）银行保函：保函申请人必须是投标人，受益人必须是招标人，保证人必须是投标人基本账号的开户银行；银行保函必须正确填写受益人和申请人的全称，并与招标文件规定的名称相一致，以免造成投标无效。</w:t>
            </w:r>
          </w:p>
          <w:p w14:paraId="6B25A6DC">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潜在投标人需要使用数字证书（CA）登陆“云南省公共资源交易平台（昆明市）” 在投标保函模块找到对应项目进行保函信息的录入，录入完成后及时联系相关工作人员确认，工作人员确认后可在投标系统打印保证金缴纳回执。</w:t>
            </w:r>
          </w:p>
          <w:p w14:paraId="378B27AA">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（三）保证保险：</w:t>
            </w:r>
          </w:p>
          <w:p w14:paraId="3623C53D">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登录云南省公共资源交易平台（昆明市）（http://ggzy.yn.gov.cn/#/homePage）获取招标文件后，进入“我确认投标的项目——选择电子保函保险——去购买”，按系统要求进行购买确认。</w:t>
            </w:r>
          </w:p>
          <w:p w14:paraId="3F587258">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（四）其他事项说明</w:t>
            </w:r>
          </w:p>
          <w:p w14:paraId="4934777D">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1、投标人投同一项目下两个及以上标段的，应按标段分别提交保证金。</w:t>
            </w:r>
          </w:p>
          <w:p w14:paraId="6DAB927C">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2、若以银行转账、网银、电汇方式提交至交易中心专用账户的投标保证金，投标人须在云南省公共资源交易系统中进行绑定。</w:t>
            </w:r>
          </w:p>
          <w:p w14:paraId="36C3473B">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3、投标人应充分考虑各种形式投标保证金提交时间，未在投标保证金缴纳截止时间前提交的投标保证金视为未提交。</w:t>
            </w:r>
          </w:p>
        </w:tc>
      </w:tr>
      <w:tr w14:paraId="2BCF2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540" w:type="pct"/>
            <w:vAlign w:val="center"/>
          </w:tcPr>
          <w:p w14:paraId="2ED28512">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3.4.3</w:t>
            </w:r>
          </w:p>
        </w:tc>
        <w:tc>
          <w:tcPr>
            <w:tcW w:w="1292" w:type="pct"/>
            <w:vAlign w:val="center"/>
          </w:tcPr>
          <w:p w14:paraId="11DBF348">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投标保证金的退还</w:t>
            </w:r>
          </w:p>
        </w:tc>
        <w:tc>
          <w:tcPr>
            <w:tcW w:w="3167" w:type="pct"/>
            <w:vAlign w:val="center"/>
          </w:tcPr>
          <w:p w14:paraId="2C6F38CD">
            <w:pPr>
              <w:pStyle w:val="18"/>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投标保证金退还到投标人的基本账户（银行转账）</w:t>
            </w:r>
          </w:p>
        </w:tc>
      </w:tr>
      <w:tr w14:paraId="16788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540" w:type="pct"/>
            <w:vAlign w:val="center"/>
          </w:tcPr>
          <w:p w14:paraId="36811269">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3.4.4</w:t>
            </w:r>
          </w:p>
        </w:tc>
        <w:tc>
          <w:tcPr>
            <w:tcW w:w="1292" w:type="pct"/>
            <w:vAlign w:val="center"/>
          </w:tcPr>
          <w:p w14:paraId="3F0043A2">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投标保证金不予退还的情形</w:t>
            </w:r>
          </w:p>
        </w:tc>
        <w:tc>
          <w:tcPr>
            <w:tcW w:w="3167" w:type="pct"/>
            <w:vAlign w:val="center"/>
          </w:tcPr>
          <w:p w14:paraId="4F149289">
            <w:pPr>
              <w:pStyle w:val="18"/>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投标人必须按照第四章投标文件格式中“投标人承诺书”进行承诺，若有违法违规或不良行为的，投标保证金不予退还</w:t>
            </w:r>
          </w:p>
        </w:tc>
      </w:tr>
      <w:tr w14:paraId="420EA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540" w:type="pct"/>
            <w:vAlign w:val="center"/>
          </w:tcPr>
          <w:p w14:paraId="72801EEC">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3.5</w:t>
            </w:r>
          </w:p>
        </w:tc>
        <w:tc>
          <w:tcPr>
            <w:tcW w:w="1292" w:type="pct"/>
            <w:vAlign w:val="center"/>
          </w:tcPr>
          <w:p w14:paraId="59EC4FBB">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资格审查文件</w:t>
            </w:r>
          </w:p>
        </w:tc>
        <w:tc>
          <w:tcPr>
            <w:tcW w:w="3167" w:type="pct"/>
            <w:vAlign w:val="center"/>
          </w:tcPr>
          <w:p w14:paraId="4D0FE815">
            <w:pPr>
              <w:pStyle w:val="18"/>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投标人需按第四章投标文件格式中资格审查文件表格格式要求进行电子签章及电子签名</w:t>
            </w:r>
          </w:p>
        </w:tc>
      </w:tr>
      <w:tr w14:paraId="70C60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540" w:type="pct"/>
            <w:vAlign w:val="center"/>
          </w:tcPr>
          <w:p w14:paraId="423E54F6">
            <w:pPr>
              <w:spacing w:line="36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3.6</w:t>
            </w:r>
          </w:p>
        </w:tc>
        <w:tc>
          <w:tcPr>
            <w:tcW w:w="1292" w:type="pct"/>
            <w:vAlign w:val="center"/>
          </w:tcPr>
          <w:p w14:paraId="0BF1154E">
            <w:pPr>
              <w:spacing w:line="36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是否允许递交备选投标方案</w:t>
            </w:r>
          </w:p>
        </w:tc>
        <w:tc>
          <w:tcPr>
            <w:tcW w:w="3167" w:type="pct"/>
            <w:vAlign w:val="center"/>
          </w:tcPr>
          <w:p w14:paraId="3E34BC9D">
            <w:pPr>
              <w:spacing w:line="36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不允许</w:t>
            </w:r>
          </w:p>
        </w:tc>
      </w:tr>
      <w:tr w14:paraId="352FD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540" w:type="pct"/>
            <w:vAlign w:val="center"/>
          </w:tcPr>
          <w:p w14:paraId="2AE1F9B2">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3.7.1</w:t>
            </w:r>
          </w:p>
        </w:tc>
        <w:tc>
          <w:tcPr>
            <w:tcW w:w="1292" w:type="pct"/>
            <w:vAlign w:val="center"/>
          </w:tcPr>
          <w:p w14:paraId="684A026A">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投标文件格式</w:t>
            </w:r>
          </w:p>
        </w:tc>
        <w:tc>
          <w:tcPr>
            <w:tcW w:w="3167" w:type="pct"/>
            <w:vAlign w:val="center"/>
          </w:tcPr>
          <w:p w14:paraId="3E04BC7B">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投标文件全部采用电子文档，由资格审查文件、商务标文件、技术标文件组成。</w:t>
            </w:r>
          </w:p>
          <w:p w14:paraId="49D43871">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电子文件必须使用《工程建设模块化投标工具》制作。</w:t>
            </w:r>
          </w:p>
          <w:p w14:paraId="5A81C0B1">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特别注意：</w:t>
            </w:r>
          </w:p>
          <w:p w14:paraId="2DE93489">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（1）投标人不得对投标文件格式中的内容进行删减或修改，否则作为无效投标处理。</w:t>
            </w:r>
          </w:p>
          <w:p w14:paraId="0A31EE37">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2）投标人可以在格式内容之外另行说明和增加相关内容，作为投标文件的组成部分。另行说明或自行增加的内容，以及按投标文件格式在空格（下划线）由投标人填写的内容，不得与投标文件的强制性审查标准和禁止性规定相抵触。</w:t>
            </w:r>
          </w:p>
          <w:p w14:paraId="6C535B20">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（3）按投标文件格式在空格（下划线）由投标人填写的内容，确实没有需要填写的，可以在空格中用“/”表示，也可以不填（空白）。但投标文件中另有规定的从其规定。</w:t>
            </w:r>
          </w:p>
          <w:p w14:paraId="58A8B24F">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（4）投标文件应对投标文件提出的所有实质性要求和条件作出实质性响应，并且实质性响应的内容不得互相矛盾。</w:t>
            </w:r>
          </w:p>
        </w:tc>
      </w:tr>
      <w:tr w14:paraId="61C65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540" w:type="pct"/>
            <w:vAlign w:val="center"/>
          </w:tcPr>
          <w:p w14:paraId="3E2B9C22">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3.7.5</w:t>
            </w:r>
          </w:p>
        </w:tc>
        <w:tc>
          <w:tcPr>
            <w:tcW w:w="1292" w:type="pct"/>
            <w:vAlign w:val="center"/>
          </w:tcPr>
          <w:p w14:paraId="511B0DC4">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投标文件的签署</w:t>
            </w:r>
          </w:p>
        </w:tc>
        <w:tc>
          <w:tcPr>
            <w:tcW w:w="3167" w:type="pct"/>
            <w:vAlign w:val="center"/>
          </w:tcPr>
          <w:p w14:paraId="20057B47">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按照投标文件格式，采用单位和个人数字证书电子签章及电子签名：技术标投标文件（包括资格审查投标文件）需要企业、法定代表人电子签章及电子签名；商务标投标文件需要企业、法定代表人电子签章及电子签名。</w:t>
            </w:r>
          </w:p>
        </w:tc>
      </w:tr>
      <w:tr w14:paraId="3E0A4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540" w:type="pct"/>
            <w:vAlign w:val="center"/>
          </w:tcPr>
          <w:p w14:paraId="7C68FAE6">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3.7.6</w:t>
            </w:r>
          </w:p>
        </w:tc>
        <w:tc>
          <w:tcPr>
            <w:tcW w:w="1292" w:type="pct"/>
            <w:vAlign w:val="center"/>
          </w:tcPr>
          <w:p w14:paraId="5839AA83">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投标文件的提交</w:t>
            </w:r>
          </w:p>
        </w:tc>
        <w:tc>
          <w:tcPr>
            <w:tcW w:w="3167" w:type="pct"/>
            <w:vAlign w:val="center"/>
          </w:tcPr>
          <w:p w14:paraId="0F1D25D3">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投标人须在投标截止时间前完成所有投标文件的上传，网上确认电子签名，并打印“上传投标文件回执”，投标截止时间前未完成投标文件传输的，视为撤回投标文件</w:t>
            </w:r>
          </w:p>
        </w:tc>
      </w:tr>
      <w:tr w14:paraId="726DE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540" w:type="pct"/>
            <w:vAlign w:val="center"/>
          </w:tcPr>
          <w:p w14:paraId="2D00C012">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4.1.1</w:t>
            </w:r>
          </w:p>
        </w:tc>
        <w:tc>
          <w:tcPr>
            <w:tcW w:w="1292" w:type="pct"/>
            <w:vAlign w:val="center"/>
          </w:tcPr>
          <w:p w14:paraId="356F32CB">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投标文件的上传</w:t>
            </w:r>
          </w:p>
        </w:tc>
        <w:tc>
          <w:tcPr>
            <w:tcW w:w="3167" w:type="pct"/>
            <w:vAlign w:val="center"/>
          </w:tcPr>
          <w:p w14:paraId="226A011B">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规定的投标截止时间前将电子投标文件上传到指定网络</w:t>
            </w:r>
          </w:p>
        </w:tc>
      </w:tr>
      <w:tr w14:paraId="32D96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540" w:type="pct"/>
            <w:vAlign w:val="center"/>
          </w:tcPr>
          <w:p w14:paraId="7114C1EC">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4.2</w:t>
            </w:r>
          </w:p>
        </w:tc>
        <w:tc>
          <w:tcPr>
            <w:tcW w:w="1292" w:type="pct"/>
            <w:vAlign w:val="center"/>
          </w:tcPr>
          <w:p w14:paraId="218AA539">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投标文件的修改与撤回</w:t>
            </w:r>
          </w:p>
        </w:tc>
        <w:tc>
          <w:tcPr>
            <w:tcW w:w="3167" w:type="pct"/>
            <w:vAlign w:val="center"/>
          </w:tcPr>
          <w:p w14:paraId="675EE0E7">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投标截止时间前，投标人可以修改或撤回已在网上上传的投标文件，无须书面形式通知招标人</w:t>
            </w:r>
          </w:p>
        </w:tc>
      </w:tr>
      <w:tr w14:paraId="6B03C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540" w:type="pct"/>
            <w:vAlign w:val="center"/>
          </w:tcPr>
          <w:p w14:paraId="750A8B25">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5.1</w:t>
            </w:r>
          </w:p>
        </w:tc>
        <w:tc>
          <w:tcPr>
            <w:tcW w:w="1292" w:type="pct"/>
            <w:vAlign w:val="center"/>
          </w:tcPr>
          <w:p w14:paraId="619187DA">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开标时间和地点</w:t>
            </w:r>
          </w:p>
        </w:tc>
        <w:tc>
          <w:tcPr>
            <w:tcW w:w="3167" w:type="pct"/>
            <w:vAlign w:val="center"/>
          </w:tcPr>
          <w:p w14:paraId="32631B8F">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开标时间：同投标截止时间</w:t>
            </w:r>
          </w:p>
          <w:p w14:paraId="2F05A858">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开标地点：昆明市公共资源交易中心（昆明市呈贡区锦绣大街一号市级行政中心综合服务楼二楼）指定开标厅</w:t>
            </w:r>
          </w:p>
        </w:tc>
      </w:tr>
      <w:tr w14:paraId="5E0A6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540" w:type="pct"/>
            <w:vAlign w:val="center"/>
          </w:tcPr>
          <w:p w14:paraId="7A6243BA">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5.2</w:t>
            </w:r>
          </w:p>
        </w:tc>
        <w:tc>
          <w:tcPr>
            <w:tcW w:w="1292" w:type="pct"/>
            <w:vAlign w:val="center"/>
          </w:tcPr>
          <w:p w14:paraId="5E6188DF">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开标程序</w:t>
            </w:r>
          </w:p>
        </w:tc>
        <w:tc>
          <w:tcPr>
            <w:tcW w:w="3167" w:type="pct"/>
            <w:vAlign w:val="center"/>
          </w:tcPr>
          <w:p w14:paraId="608CF256">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开标顺序：按照电子招标投标交易平台自动提取所有投标人的顺序当众开标。</w:t>
            </w:r>
          </w:p>
        </w:tc>
      </w:tr>
      <w:tr w14:paraId="16DC9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540" w:type="pct"/>
            <w:vAlign w:val="center"/>
          </w:tcPr>
          <w:p w14:paraId="598C1D51">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6.1.1</w:t>
            </w:r>
          </w:p>
        </w:tc>
        <w:tc>
          <w:tcPr>
            <w:tcW w:w="1292" w:type="pct"/>
            <w:vAlign w:val="center"/>
          </w:tcPr>
          <w:p w14:paraId="4A97A2D7">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评标委员会的组建</w:t>
            </w:r>
          </w:p>
        </w:tc>
        <w:tc>
          <w:tcPr>
            <w:tcW w:w="3167" w:type="pct"/>
            <w:vAlign w:val="center"/>
          </w:tcPr>
          <w:p w14:paraId="35A3F146">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评标委员会人数：五人或五人以上单数。</w:t>
            </w:r>
          </w:p>
          <w:p w14:paraId="0EACE1EF">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评标专家确定方式：在综合评标专家库中随机抽取。</w:t>
            </w:r>
          </w:p>
        </w:tc>
      </w:tr>
      <w:tr w14:paraId="14E0A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540" w:type="pct"/>
            <w:vAlign w:val="center"/>
          </w:tcPr>
          <w:p w14:paraId="7B1CBD54">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6.3</w:t>
            </w:r>
          </w:p>
        </w:tc>
        <w:tc>
          <w:tcPr>
            <w:tcW w:w="1292" w:type="pct"/>
            <w:vAlign w:val="center"/>
          </w:tcPr>
          <w:p w14:paraId="56DFEE4E">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评标办法</w:t>
            </w:r>
          </w:p>
        </w:tc>
        <w:tc>
          <w:tcPr>
            <w:tcW w:w="3167" w:type="pct"/>
            <w:vAlign w:val="center"/>
          </w:tcPr>
          <w:p w14:paraId="33952F8B">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综合评分法</w:t>
            </w:r>
          </w:p>
        </w:tc>
      </w:tr>
      <w:tr w14:paraId="30774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540" w:type="pct"/>
            <w:vAlign w:val="center"/>
          </w:tcPr>
          <w:p w14:paraId="534F1E26">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7.1</w:t>
            </w:r>
          </w:p>
        </w:tc>
        <w:tc>
          <w:tcPr>
            <w:tcW w:w="1292" w:type="pct"/>
            <w:vAlign w:val="center"/>
          </w:tcPr>
          <w:p w14:paraId="5F5EE9D8">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是否授权评标委员会确定中标人</w:t>
            </w:r>
          </w:p>
        </w:tc>
        <w:tc>
          <w:tcPr>
            <w:tcW w:w="3167" w:type="pct"/>
            <w:vAlign w:val="center"/>
          </w:tcPr>
          <w:p w14:paraId="0A86A746">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否</w:t>
            </w:r>
          </w:p>
          <w:p w14:paraId="4277EC49">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评标委员会推荐中标候选人的人数为：1—3人</w:t>
            </w:r>
          </w:p>
        </w:tc>
      </w:tr>
      <w:tr w14:paraId="72FFA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540" w:type="pct"/>
            <w:vAlign w:val="center"/>
          </w:tcPr>
          <w:p w14:paraId="690BCF3D">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10</w:t>
            </w:r>
          </w:p>
        </w:tc>
        <w:tc>
          <w:tcPr>
            <w:tcW w:w="4459" w:type="pct"/>
            <w:gridSpan w:val="2"/>
            <w:vAlign w:val="center"/>
          </w:tcPr>
          <w:p w14:paraId="4B6F0DF4">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需要补充的其他内容</w:t>
            </w:r>
          </w:p>
        </w:tc>
      </w:tr>
      <w:tr w14:paraId="30D2D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540" w:type="pct"/>
            <w:vAlign w:val="center"/>
          </w:tcPr>
          <w:p w14:paraId="7C020923">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10.1</w:t>
            </w:r>
          </w:p>
        </w:tc>
        <w:tc>
          <w:tcPr>
            <w:tcW w:w="4459" w:type="pct"/>
            <w:gridSpan w:val="2"/>
            <w:vAlign w:val="center"/>
          </w:tcPr>
          <w:p w14:paraId="40F9E709">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词语定义</w:t>
            </w:r>
          </w:p>
        </w:tc>
      </w:tr>
      <w:tr w14:paraId="27D6E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540" w:type="pct"/>
            <w:vAlign w:val="center"/>
          </w:tcPr>
          <w:p w14:paraId="63B9532D">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10.1.1</w:t>
            </w:r>
          </w:p>
        </w:tc>
        <w:tc>
          <w:tcPr>
            <w:tcW w:w="1292" w:type="pct"/>
            <w:vAlign w:val="center"/>
          </w:tcPr>
          <w:p w14:paraId="2448ED21">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不得参与投标的情形</w:t>
            </w:r>
          </w:p>
        </w:tc>
        <w:tc>
          <w:tcPr>
            <w:tcW w:w="3167" w:type="pct"/>
            <w:vAlign w:val="center"/>
          </w:tcPr>
          <w:p w14:paraId="01B7518E">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在全国范围内被有关行政监督部门取消投标资格的或计入当地公共资源交易“黑名单”的、被人民法院判决有罪的行受贿罪犯以及被人民法院判决需强制执行的被执行人等被记录入不良行为的当事人</w:t>
            </w:r>
          </w:p>
        </w:tc>
      </w:tr>
      <w:tr w14:paraId="25072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540" w:type="pct"/>
            <w:vAlign w:val="center"/>
          </w:tcPr>
          <w:p w14:paraId="3F1DC538">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10.1.2</w:t>
            </w:r>
          </w:p>
        </w:tc>
        <w:tc>
          <w:tcPr>
            <w:tcW w:w="1292" w:type="pct"/>
            <w:vAlign w:val="center"/>
          </w:tcPr>
          <w:p w14:paraId="5A162621">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中标价</w:t>
            </w:r>
          </w:p>
        </w:tc>
        <w:tc>
          <w:tcPr>
            <w:tcW w:w="3167" w:type="pct"/>
            <w:vAlign w:val="center"/>
          </w:tcPr>
          <w:p w14:paraId="6C43D71B">
            <w:pPr>
              <w:pStyle w:val="18"/>
              <w:spacing w:line="440" w:lineRule="exact"/>
              <w:ind w:firstLine="0" w:firstLineChars="0"/>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以中标的投标人在投标函中的投标价为准，评标基准价不作为中标价；不保证报价最低的投标人中标，也不解释原因</w:t>
            </w:r>
          </w:p>
        </w:tc>
      </w:tr>
      <w:tr w14:paraId="3138D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540" w:type="pct"/>
            <w:vAlign w:val="center"/>
          </w:tcPr>
          <w:p w14:paraId="7C40AE69">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10.1.3</w:t>
            </w:r>
          </w:p>
        </w:tc>
        <w:tc>
          <w:tcPr>
            <w:tcW w:w="1292" w:type="pct"/>
            <w:vAlign w:val="center"/>
          </w:tcPr>
          <w:p w14:paraId="34414065">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确定中标人</w:t>
            </w:r>
          </w:p>
        </w:tc>
        <w:tc>
          <w:tcPr>
            <w:tcW w:w="3167" w:type="pct"/>
            <w:vAlign w:val="center"/>
          </w:tcPr>
          <w:p w14:paraId="746479ED">
            <w:pPr>
              <w:pStyle w:val="18"/>
              <w:spacing w:before="120"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招标人（或招标人授权的评标委员会）按照评标委员会推荐中标候选人的顺序确定中标人。评标委员会应推荐得分最高的投标人为第一中标候选人。其中评标委员会推荐第一中标候选人为中标单位，若出现推荐中标候选人之一无故不履行合同则由推荐排名前三名中标候选人顺序承接。</w:t>
            </w:r>
          </w:p>
        </w:tc>
      </w:tr>
      <w:tr w14:paraId="4E2A5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540" w:type="pct"/>
            <w:vAlign w:val="center"/>
          </w:tcPr>
          <w:p w14:paraId="5735F3F4">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10.1.4</w:t>
            </w:r>
          </w:p>
        </w:tc>
        <w:tc>
          <w:tcPr>
            <w:tcW w:w="1292" w:type="pct"/>
            <w:vAlign w:val="center"/>
          </w:tcPr>
          <w:p w14:paraId="22BA3BAD">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严禁转包和违法分包</w:t>
            </w:r>
          </w:p>
        </w:tc>
        <w:tc>
          <w:tcPr>
            <w:tcW w:w="3167" w:type="pct"/>
            <w:vAlign w:val="center"/>
          </w:tcPr>
          <w:p w14:paraId="7D801FEE">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严禁转包和违法分包。未经行政主管部门批准，中标人不得变更项目负责人和主要技术负责人。</w:t>
            </w:r>
          </w:p>
          <w:p w14:paraId="630284EF">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凡招标文件未明确可以分包的，中标人不得进行任何形式的分包。</w:t>
            </w:r>
          </w:p>
        </w:tc>
      </w:tr>
      <w:tr w14:paraId="2802C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540" w:type="pct"/>
            <w:vAlign w:val="center"/>
          </w:tcPr>
          <w:p w14:paraId="6C90FA7F">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10.1.5</w:t>
            </w:r>
          </w:p>
        </w:tc>
        <w:tc>
          <w:tcPr>
            <w:tcW w:w="1292" w:type="pct"/>
            <w:vAlign w:val="center"/>
          </w:tcPr>
          <w:p w14:paraId="6AE53C52">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招标文件内容冲突的解决及优先适用次序</w:t>
            </w:r>
          </w:p>
        </w:tc>
        <w:tc>
          <w:tcPr>
            <w:tcW w:w="3167" w:type="pct"/>
            <w:vAlign w:val="center"/>
          </w:tcPr>
          <w:p w14:paraId="22B21866">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1）招标人发出的招标文件（包括修改、澄清或补遗文件）与招标投标行政监督备案的招标文件不一致的，以备案的招标文件为准，并对不一致的地方进行修改。没有备案的招标文件（包括修改、澄清或补遗文件）不作为评标的依据。</w:t>
            </w:r>
          </w:p>
          <w:p w14:paraId="681F4192">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（2）招标文件中招标人编制的内容前后有矛盾或不一致，有时间先后顺序的，以时间在后的修改、澄清或补正文件为准；没有时间先后顺序的，以公平的原则进行处理，或参照10.1.6的原则处理。</w:t>
            </w:r>
          </w:p>
        </w:tc>
      </w:tr>
      <w:tr w14:paraId="09D90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540" w:type="pct"/>
            <w:vAlign w:val="center"/>
          </w:tcPr>
          <w:p w14:paraId="4E994F32">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10.1.6</w:t>
            </w:r>
          </w:p>
        </w:tc>
        <w:tc>
          <w:tcPr>
            <w:tcW w:w="1292" w:type="pct"/>
            <w:vAlign w:val="center"/>
          </w:tcPr>
          <w:p w14:paraId="6505B29D">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招标文件的解释</w:t>
            </w:r>
          </w:p>
        </w:tc>
        <w:tc>
          <w:tcPr>
            <w:tcW w:w="3167" w:type="pct"/>
            <w:vAlign w:val="center"/>
          </w:tcPr>
          <w:p w14:paraId="64009AFA">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招标人自行编写的内容由招标人（招标代理机构）解释。对招标人自行编写的内容理解有争议的，由备案的行政监督部门按照招标文件所使用的词句、招标文件的有关条款、招标的目的、习惯以及诚实信用原则，确定该条款的真实意思。有两种以上解释的，作出不利于招标人一方的解释。</w:t>
            </w:r>
          </w:p>
        </w:tc>
      </w:tr>
      <w:tr w14:paraId="3396C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540" w:type="pct"/>
            <w:vAlign w:val="center"/>
          </w:tcPr>
          <w:p w14:paraId="7DE7D665">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10.2</w:t>
            </w:r>
          </w:p>
        </w:tc>
        <w:tc>
          <w:tcPr>
            <w:tcW w:w="1292" w:type="pct"/>
            <w:vAlign w:val="center"/>
          </w:tcPr>
          <w:p w14:paraId="7915A103">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最高投标限价</w:t>
            </w:r>
          </w:p>
        </w:tc>
        <w:tc>
          <w:tcPr>
            <w:tcW w:w="3167" w:type="pct"/>
            <w:vAlign w:val="center"/>
          </w:tcPr>
          <w:p w14:paraId="6CE18897">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人民币</w:t>
            </w:r>
            <w:r>
              <w:rPr>
                <w:rFonts w:hint="eastAsia" w:asciiTheme="majorEastAsia" w:hAnsiTheme="majorEastAsia" w:eastAsiaTheme="majorEastAsia" w:cstheme="majorEastAsia"/>
                <w:color w:val="auto"/>
                <w:sz w:val="21"/>
                <w:szCs w:val="21"/>
                <w:highlight w:val="none"/>
                <w:lang w:val="en-US" w:eastAsia="zh-CN"/>
              </w:rPr>
              <w:t>9</w:t>
            </w:r>
            <w:r>
              <w:rPr>
                <w:rFonts w:hint="eastAsia" w:asciiTheme="majorEastAsia" w:hAnsiTheme="majorEastAsia" w:eastAsiaTheme="majorEastAsia" w:cstheme="majorEastAsia"/>
                <w:color w:val="auto"/>
                <w:sz w:val="21"/>
                <w:szCs w:val="21"/>
                <w:highlight w:val="none"/>
              </w:rPr>
              <w:t>5万元/辆（</w:t>
            </w:r>
            <w:r>
              <w:rPr>
                <w:rFonts w:hint="eastAsia" w:asciiTheme="majorEastAsia" w:hAnsiTheme="majorEastAsia" w:eastAsiaTheme="majorEastAsia" w:cstheme="majorEastAsia"/>
                <w:color w:val="auto"/>
                <w:sz w:val="21"/>
                <w:szCs w:val="21"/>
                <w:highlight w:val="none"/>
                <w:lang w:val="en-US" w:eastAsia="zh-CN"/>
              </w:rPr>
              <w:t>包含但不限于</w:t>
            </w:r>
            <w:r>
              <w:rPr>
                <w:rFonts w:hint="eastAsia" w:asciiTheme="majorEastAsia" w:hAnsiTheme="majorEastAsia" w:eastAsiaTheme="majorEastAsia" w:cstheme="majorEastAsia"/>
                <w:color w:val="auto"/>
                <w:sz w:val="21"/>
                <w:szCs w:val="21"/>
                <w:highlight w:val="none"/>
              </w:rPr>
              <w:t>货物的设计、制造、材料采购、检验检测费、</w:t>
            </w:r>
            <w:r>
              <w:rPr>
                <w:rFonts w:hint="eastAsia" w:asciiTheme="majorEastAsia" w:hAnsiTheme="majorEastAsia" w:eastAsiaTheme="majorEastAsia" w:cstheme="majorEastAsia"/>
                <w:color w:val="auto"/>
                <w:sz w:val="21"/>
                <w:szCs w:val="21"/>
                <w:highlight w:val="none"/>
                <w:lang w:eastAsia="zh-CN"/>
              </w:rPr>
              <w:t>送车费</w:t>
            </w:r>
            <w:r>
              <w:rPr>
                <w:rFonts w:hint="eastAsia" w:asciiTheme="majorEastAsia" w:hAnsiTheme="majorEastAsia" w:eastAsiaTheme="majorEastAsia" w:cstheme="majorEastAsia"/>
                <w:color w:val="auto"/>
                <w:sz w:val="21"/>
                <w:szCs w:val="21"/>
                <w:highlight w:val="none"/>
              </w:rPr>
              <w:t>、指导安装调试、质保期内服务、</w:t>
            </w:r>
            <w:r>
              <w:rPr>
                <w:rFonts w:hint="eastAsia" w:asciiTheme="majorEastAsia" w:hAnsiTheme="majorEastAsia" w:eastAsiaTheme="majorEastAsia" w:cstheme="majorEastAsia"/>
                <w:color w:val="auto"/>
                <w:sz w:val="21"/>
                <w:szCs w:val="21"/>
                <w:highlight w:val="none"/>
                <w:lang w:eastAsia="zh-CN"/>
              </w:rPr>
              <w:t>分期利息、</w:t>
            </w:r>
            <w:r>
              <w:rPr>
                <w:rFonts w:hint="eastAsia" w:asciiTheme="majorEastAsia" w:hAnsiTheme="majorEastAsia" w:eastAsiaTheme="majorEastAsia" w:cstheme="majorEastAsia"/>
                <w:color w:val="auto"/>
                <w:sz w:val="21"/>
                <w:szCs w:val="21"/>
                <w:highlight w:val="none"/>
              </w:rPr>
              <w:t>市场价格的变化、利润及税金、整车费用等全部费用）；</w:t>
            </w:r>
          </w:p>
          <w:p w14:paraId="6842413F">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高于最高投标限价的投标文件作否决投标处理。</w:t>
            </w:r>
          </w:p>
        </w:tc>
      </w:tr>
      <w:tr w14:paraId="6951A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540" w:type="pct"/>
            <w:vAlign w:val="center"/>
          </w:tcPr>
          <w:p w14:paraId="6F7A4B86">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10.3</w:t>
            </w:r>
          </w:p>
        </w:tc>
        <w:tc>
          <w:tcPr>
            <w:tcW w:w="1292" w:type="pct"/>
            <w:vAlign w:val="center"/>
          </w:tcPr>
          <w:p w14:paraId="47806C6F">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“暗标”评审</w:t>
            </w:r>
          </w:p>
        </w:tc>
        <w:tc>
          <w:tcPr>
            <w:tcW w:w="3167" w:type="pct"/>
            <w:vAlign w:val="center"/>
          </w:tcPr>
          <w:p w14:paraId="7CD33390">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不采用</w:t>
            </w:r>
          </w:p>
        </w:tc>
      </w:tr>
      <w:tr w14:paraId="5054C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540" w:type="pct"/>
            <w:vAlign w:val="center"/>
          </w:tcPr>
          <w:p w14:paraId="4382CE61">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10.4</w:t>
            </w:r>
          </w:p>
        </w:tc>
        <w:tc>
          <w:tcPr>
            <w:tcW w:w="1292" w:type="pct"/>
            <w:vAlign w:val="center"/>
          </w:tcPr>
          <w:p w14:paraId="16AB6B38">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评标结果公示</w:t>
            </w:r>
          </w:p>
        </w:tc>
        <w:tc>
          <w:tcPr>
            <w:tcW w:w="3167" w:type="pct"/>
            <w:vAlign w:val="center"/>
          </w:tcPr>
          <w:p w14:paraId="3DD1F8EA">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公告发布的同一媒介和昆明市公共资源交易电子服务系统予以公示，公示期不少于3日。</w:t>
            </w:r>
          </w:p>
        </w:tc>
      </w:tr>
      <w:tr w14:paraId="1F840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540" w:type="pct"/>
            <w:vAlign w:val="center"/>
          </w:tcPr>
          <w:p w14:paraId="65A7308A">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10.5</w:t>
            </w:r>
          </w:p>
        </w:tc>
        <w:tc>
          <w:tcPr>
            <w:tcW w:w="1292" w:type="pct"/>
            <w:vAlign w:val="center"/>
          </w:tcPr>
          <w:p w14:paraId="420BA97B">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知识产权</w:t>
            </w:r>
          </w:p>
        </w:tc>
        <w:tc>
          <w:tcPr>
            <w:tcW w:w="3167" w:type="pct"/>
            <w:vAlign w:val="center"/>
          </w:tcPr>
          <w:p w14:paraId="5BDE3C27">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构成本招标文件各个组成部分的文件，未经招标人书面同意，投标人不得擅自复印和用于非本招标项目所需的其他目的。招标人全部或者部分使用未中标人投标文件中的技术成果或技术方案时，需征得其书面同意，并不得擅自复印或提供给第三人。</w:t>
            </w:r>
          </w:p>
        </w:tc>
      </w:tr>
      <w:tr w14:paraId="0B7D0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540" w:type="pct"/>
            <w:vAlign w:val="center"/>
          </w:tcPr>
          <w:p w14:paraId="400A8A8E">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10.6</w:t>
            </w:r>
          </w:p>
        </w:tc>
        <w:tc>
          <w:tcPr>
            <w:tcW w:w="1292" w:type="pct"/>
            <w:vAlign w:val="center"/>
          </w:tcPr>
          <w:p w14:paraId="591C4BED">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重新招标的其他情形</w:t>
            </w:r>
          </w:p>
        </w:tc>
        <w:tc>
          <w:tcPr>
            <w:tcW w:w="3167" w:type="pct"/>
            <w:vAlign w:val="center"/>
          </w:tcPr>
          <w:p w14:paraId="21AEA2D3">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除投标人须知正文第8条规定的情形外，除非已经产生中标候选人，在投标有效期内同意延长投标有效期的投标人少于三个的，招标人应当依法重新招标。</w:t>
            </w:r>
          </w:p>
        </w:tc>
      </w:tr>
      <w:tr w14:paraId="12CB6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540" w:type="pct"/>
            <w:vAlign w:val="center"/>
          </w:tcPr>
          <w:p w14:paraId="5D1E9DC1">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10.7</w:t>
            </w:r>
          </w:p>
        </w:tc>
        <w:tc>
          <w:tcPr>
            <w:tcW w:w="1292" w:type="pct"/>
            <w:vAlign w:val="center"/>
          </w:tcPr>
          <w:p w14:paraId="37B71688">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保证金不予退还</w:t>
            </w:r>
          </w:p>
        </w:tc>
        <w:tc>
          <w:tcPr>
            <w:tcW w:w="3167" w:type="pct"/>
            <w:vAlign w:val="center"/>
          </w:tcPr>
          <w:p w14:paraId="06C5FF9A">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投标人如有串标、围标、弄虚作假等违法违规行为，保证金不予退还。</w:t>
            </w:r>
          </w:p>
        </w:tc>
      </w:tr>
      <w:tr w14:paraId="2D34C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540" w:type="pct"/>
            <w:vAlign w:val="center"/>
          </w:tcPr>
          <w:p w14:paraId="6E37A37E">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10.8</w:t>
            </w:r>
          </w:p>
        </w:tc>
        <w:tc>
          <w:tcPr>
            <w:tcW w:w="1292" w:type="pct"/>
            <w:vAlign w:val="center"/>
          </w:tcPr>
          <w:p w14:paraId="5217B85F">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监督</w:t>
            </w:r>
          </w:p>
        </w:tc>
        <w:tc>
          <w:tcPr>
            <w:tcW w:w="3167" w:type="pct"/>
            <w:vAlign w:val="center"/>
          </w:tcPr>
          <w:p w14:paraId="7359207E">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本项目的招标投标活动及其相关当事人应当接受有管辖权的建设招标投标行政监督部门依法实施的监督。</w:t>
            </w:r>
          </w:p>
        </w:tc>
      </w:tr>
      <w:tr w14:paraId="6A21C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540" w:type="pct"/>
            <w:vAlign w:val="center"/>
          </w:tcPr>
          <w:p w14:paraId="1E1AAF33">
            <w:pPr>
              <w:spacing w:line="440" w:lineRule="exact"/>
              <w:ind w:firstLine="0" w:firstLineChars="0"/>
              <w:rPr>
                <w:rFonts w:hint="eastAsia" w:asciiTheme="majorEastAsia" w:hAnsiTheme="majorEastAsia" w:eastAsiaTheme="majorEastAsia" w:cstheme="majorEastAsia"/>
                <w:bCs/>
                <w:color w:val="auto"/>
                <w:sz w:val="21"/>
                <w:szCs w:val="21"/>
                <w:highlight w:val="none"/>
              </w:rPr>
            </w:pPr>
            <w:r>
              <w:rPr>
                <w:rFonts w:hint="eastAsia" w:asciiTheme="majorEastAsia" w:hAnsiTheme="majorEastAsia" w:eastAsiaTheme="majorEastAsia" w:cstheme="majorEastAsia"/>
                <w:bCs/>
                <w:color w:val="auto"/>
                <w:sz w:val="21"/>
                <w:szCs w:val="21"/>
                <w:highlight w:val="none"/>
              </w:rPr>
              <w:t>10.9</w:t>
            </w:r>
          </w:p>
        </w:tc>
        <w:tc>
          <w:tcPr>
            <w:tcW w:w="1292" w:type="pct"/>
            <w:vAlign w:val="center"/>
          </w:tcPr>
          <w:p w14:paraId="50DB3EB6">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合同生效先决条件及招标程序终止</w:t>
            </w:r>
          </w:p>
        </w:tc>
        <w:tc>
          <w:tcPr>
            <w:tcW w:w="3167" w:type="pct"/>
            <w:vAlign w:val="center"/>
          </w:tcPr>
          <w:p w14:paraId="18DD1910">
            <w:pPr>
              <w:spacing w:line="440" w:lineRule="exact"/>
              <w:ind w:firstLine="0" w:firstLineChars="0"/>
              <w:rPr>
                <w:rFonts w:hint="default"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1.</w:t>
            </w:r>
            <w:r>
              <w:rPr>
                <w:rFonts w:hint="eastAsia" w:asciiTheme="majorEastAsia" w:hAnsiTheme="majorEastAsia" w:eastAsiaTheme="majorEastAsia" w:cstheme="majorEastAsia"/>
                <w:color w:val="auto"/>
                <w:szCs w:val="21"/>
                <w:highlight w:val="none"/>
              </w:rPr>
              <w:t>本项目中标通知书发出之日起生效，招标人应在中标通知书发出后 30 日内与中标人签订书面合同。</w:t>
            </w:r>
          </w:p>
          <w:p w14:paraId="3FBE3A94">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val="en-US" w:eastAsia="zh-CN"/>
              </w:rPr>
              <w:t>2</w:t>
            </w:r>
            <w:r>
              <w:rPr>
                <w:rFonts w:hint="eastAsia" w:asciiTheme="majorEastAsia" w:hAnsiTheme="majorEastAsia" w:eastAsiaTheme="majorEastAsia" w:cstheme="majorEastAsia"/>
                <w:color w:val="auto"/>
                <w:sz w:val="21"/>
                <w:szCs w:val="21"/>
                <w:highlight w:val="none"/>
              </w:rPr>
              <w:t>.招标人书面通知中标人签订合同后，中标人5个工作日内未与招标人签订合同时，视为中标人放弃本次中标资格，招标人有权向评标委员会推荐的第二顺位中标候选人发出书面中标通知。</w:t>
            </w:r>
          </w:p>
          <w:p w14:paraId="26BFE832">
            <w:pPr>
              <w:spacing w:line="440" w:lineRule="exact"/>
              <w:ind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val="en-US" w:eastAsia="zh-CN"/>
              </w:rPr>
              <w:t>3</w:t>
            </w:r>
            <w:r>
              <w:rPr>
                <w:rFonts w:hint="eastAsia" w:asciiTheme="majorEastAsia" w:hAnsiTheme="majorEastAsia" w:eastAsiaTheme="majorEastAsia" w:cstheme="majorEastAsia"/>
                <w:color w:val="auto"/>
                <w:sz w:val="21"/>
                <w:szCs w:val="21"/>
                <w:highlight w:val="none"/>
              </w:rPr>
              <w:t>.招标程序终止后，已收取的投标保证金应在终止公告发布后5个工作日内全额退还，各方自行承担相关费用。</w:t>
            </w:r>
          </w:p>
        </w:tc>
      </w:tr>
      <w:tr w14:paraId="0C10E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540" w:type="pct"/>
            <w:vAlign w:val="center"/>
          </w:tcPr>
          <w:p w14:paraId="232AD7D9">
            <w:pPr>
              <w:spacing w:line="440" w:lineRule="exact"/>
              <w:ind w:firstLine="0" w:firstLineChars="0"/>
              <w:rPr>
                <w:rFonts w:hint="eastAsia" w:asciiTheme="majorEastAsia" w:hAnsiTheme="majorEastAsia" w:eastAsiaTheme="majorEastAsia" w:cstheme="majorEastAsia"/>
                <w:bCs/>
                <w:color w:val="auto"/>
                <w:sz w:val="21"/>
                <w:szCs w:val="21"/>
                <w:highlight w:val="none"/>
              </w:rPr>
            </w:pPr>
            <w:r>
              <w:rPr>
                <w:rFonts w:hint="eastAsia" w:asciiTheme="majorEastAsia" w:hAnsiTheme="majorEastAsia" w:eastAsiaTheme="majorEastAsia" w:cstheme="majorEastAsia"/>
                <w:bCs/>
                <w:color w:val="auto"/>
                <w:sz w:val="21"/>
                <w:szCs w:val="21"/>
                <w:highlight w:val="none"/>
              </w:rPr>
              <w:t>10.10</w:t>
            </w:r>
          </w:p>
        </w:tc>
        <w:tc>
          <w:tcPr>
            <w:tcW w:w="1292" w:type="pct"/>
            <w:vAlign w:val="center"/>
          </w:tcPr>
          <w:p w14:paraId="38D834C9">
            <w:pPr>
              <w:spacing w:line="440" w:lineRule="exact"/>
              <w:ind w:firstLine="0" w:firstLineChars="0"/>
              <w:rPr>
                <w:rFonts w:hint="eastAsia" w:asciiTheme="majorEastAsia" w:hAnsiTheme="majorEastAsia" w:eastAsiaTheme="majorEastAsia" w:cstheme="majorEastAsia"/>
                <w:bCs/>
                <w:color w:val="auto"/>
                <w:sz w:val="21"/>
                <w:szCs w:val="21"/>
                <w:highlight w:val="none"/>
              </w:rPr>
            </w:pPr>
            <w:r>
              <w:rPr>
                <w:rFonts w:hint="eastAsia" w:asciiTheme="majorEastAsia" w:hAnsiTheme="majorEastAsia" w:eastAsiaTheme="majorEastAsia" w:cstheme="majorEastAsia"/>
                <w:bCs/>
                <w:color w:val="auto"/>
                <w:sz w:val="21"/>
                <w:szCs w:val="21"/>
                <w:highlight w:val="none"/>
              </w:rPr>
              <w:t>合同生效要求</w:t>
            </w:r>
          </w:p>
        </w:tc>
        <w:tc>
          <w:tcPr>
            <w:tcW w:w="3167" w:type="pct"/>
            <w:vAlign w:val="center"/>
          </w:tcPr>
          <w:p w14:paraId="05F3F6E8">
            <w:pPr>
              <w:spacing w:line="440" w:lineRule="exact"/>
              <w:ind w:firstLine="0" w:firstLineChars="0"/>
              <w:rPr>
                <w:rFonts w:hint="eastAsia" w:asciiTheme="majorEastAsia" w:hAnsiTheme="majorEastAsia" w:eastAsiaTheme="majorEastAsia" w:cstheme="majorEastAsia"/>
                <w:bCs/>
                <w:color w:val="auto"/>
                <w:sz w:val="21"/>
                <w:szCs w:val="21"/>
                <w:highlight w:val="none"/>
              </w:rPr>
            </w:pPr>
            <w:r>
              <w:rPr>
                <w:rFonts w:hint="eastAsia"/>
                <w:b/>
                <w:bCs/>
                <w:color w:val="auto"/>
                <w:sz w:val="24"/>
                <w:szCs w:val="24"/>
                <w:highlight w:val="none"/>
                <w:lang w:val="en-US" w:eastAsia="zh-CN"/>
              </w:rPr>
              <w:t>1、在</w:t>
            </w:r>
            <w:r>
              <w:rPr>
                <w:rFonts w:hint="eastAsia" w:ascii="Times New Roman" w:hAnsi="Times New Roman" w:eastAsia="宋体" w:cs="Times New Roman"/>
                <w:b/>
                <w:bCs/>
                <w:color w:val="auto"/>
                <w:spacing w:val="0"/>
                <w:kern w:val="2"/>
                <w:sz w:val="24"/>
                <w:szCs w:val="24"/>
                <w:highlight w:val="none"/>
                <w:lang w:val="en-US" w:eastAsia="zh-CN" w:bidi="ar-SA"/>
              </w:rPr>
              <w:t>车辆落牌当日，招标人与制造商签订车辆质押协议，将车辆质押给制造商。</w:t>
            </w:r>
          </w:p>
        </w:tc>
      </w:tr>
    </w:tbl>
    <w:p w14:paraId="4B463F57">
      <w:pPr>
        <w:ind w:firstLine="0" w:firstLineChars="0"/>
        <w:rPr>
          <w:rFonts w:hint="eastAsia" w:ascii="宋体" w:hAnsi="宋体" w:cs="宋体"/>
          <w:color w:val="auto"/>
          <w:highlight w:val="none"/>
        </w:rPr>
      </w:pPr>
      <w:r>
        <w:rPr>
          <w:rFonts w:hint="eastAsia" w:ascii="宋体" w:hAnsi="宋体" w:cs="宋体"/>
          <w:color w:val="auto"/>
          <w:highlight w:val="none"/>
        </w:rPr>
        <w:br w:type="page"/>
      </w:r>
      <w:bookmarkStart w:id="45" w:name="_Toc16821"/>
      <w:bookmarkStart w:id="46" w:name="_Toc417634871"/>
      <w:bookmarkStart w:id="47" w:name="_Toc387152550"/>
      <w:r>
        <w:rPr>
          <w:rFonts w:hint="eastAsia" w:ascii="宋体" w:hAnsi="宋体" w:cs="宋体"/>
          <w:b/>
          <w:bCs/>
          <w:color w:val="auto"/>
          <w:highlight w:val="none"/>
        </w:rPr>
        <w:t>1、总  则</w:t>
      </w:r>
      <w:bookmarkEnd w:id="45"/>
      <w:bookmarkEnd w:id="46"/>
      <w:bookmarkEnd w:id="47"/>
    </w:p>
    <w:p w14:paraId="773F6513">
      <w:pPr>
        <w:rPr>
          <w:rFonts w:hint="eastAsia" w:ascii="宋体" w:hAnsi="宋体" w:cs="宋体"/>
          <w:color w:val="auto"/>
          <w:szCs w:val="21"/>
          <w:highlight w:val="none"/>
        </w:rPr>
      </w:pPr>
      <w:r>
        <w:rPr>
          <w:rFonts w:hint="eastAsia" w:ascii="宋体" w:hAnsi="宋体" w:cs="宋体"/>
          <w:color w:val="auto"/>
          <w:szCs w:val="21"/>
          <w:highlight w:val="none"/>
        </w:rPr>
        <w:t>1.1项目概况</w:t>
      </w:r>
    </w:p>
    <w:p w14:paraId="5B659056">
      <w:pPr>
        <w:rPr>
          <w:rFonts w:hint="eastAsia" w:ascii="宋体" w:hAnsi="宋体" w:cs="宋体"/>
          <w:color w:val="auto"/>
          <w:highlight w:val="none"/>
        </w:rPr>
      </w:pPr>
      <w:r>
        <w:rPr>
          <w:rFonts w:hint="eastAsia" w:ascii="宋体" w:hAnsi="宋体" w:cs="宋体"/>
          <w:color w:val="auto"/>
          <w:szCs w:val="21"/>
          <w:highlight w:val="none"/>
        </w:rPr>
        <w:t>1.1.1 根据《中华人民共和国招标投标法》、《中华人民共和国招标投标法实施条例》等有关法律、法规和规章的规定，本招标项目已具备招标条件，现对本项目进行公开招标</w:t>
      </w:r>
      <w:r>
        <w:rPr>
          <w:rFonts w:hint="eastAsia" w:ascii="宋体" w:hAnsi="宋体" w:cs="宋体"/>
          <w:color w:val="auto"/>
          <w:highlight w:val="none"/>
        </w:rPr>
        <w:t>。</w:t>
      </w:r>
    </w:p>
    <w:p w14:paraId="02CB7834">
      <w:pPr>
        <w:rPr>
          <w:rFonts w:hint="eastAsia" w:ascii="宋体" w:hAnsi="宋体" w:cs="宋体"/>
          <w:color w:val="auto"/>
          <w:szCs w:val="21"/>
          <w:highlight w:val="none"/>
        </w:rPr>
      </w:pPr>
      <w:r>
        <w:rPr>
          <w:rFonts w:hint="eastAsia" w:ascii="宋体" w:hAnsi="宋体" w:cs="宋体"/>
          <w:color w:val="auto"/>
          <w:szCs w:val="21"/>
          <w:highlight w:val="none"/>
        </w:rPr>
        <w:t>1.1.2本招标项目招标人：见投标人须知前附表。</w:t>
      </w:r>
    </w:p>
    <w:p w14:paraId="793124B3">
      <w:pPr>
        <w:rPr>
          <w:rFonts w:hint="eastAsia" w:ascii="宋体" w:hAnsi="宋体" w:cs="宋体"/>
          <w:color w:val="auto"/>
          <w:szCs w:val="21"/>
          <w:highlight w:val="none"/>
        </w:rPr>
      </w:pPr>
      <w:r>
        <w:rPr>
          <w:rFonts w:hint="eastAsia" w:ascii="宋体" w:hAnsi="宋体" w:cs="宋体"/>
          <w:color w:val="auto"/>
          <w:szCs w:val="21"/>
          <w:highlight w:val="none"/>
        </w:rPr>
        <w:t>1.1.3本招标项目招标代理机构：见投标人须知前附表。</w:t>
      </w:r>
    </w:p>
    <w:p w14:paraId="0365F5FD">
      <w:pPr>
        <w:rPr>
          <w:rFonts w:hint="eastAsia" w:ascii="宋体" w:hAnsi="宋体" w:cs="宋体"/>
          <w:color w:val="auto"/>
          <w:szCs w:val="21"/>
          <w:highlight w:val="none"/>
        </w:rPr>
      </w:pPr>
      <w:r>
        <w:rPr>
          <w:rFonts w:hint="eastAsia" w:ascii="宋体" w:hAnsi="宋体" w:cs="宋体"/>
          <w:color w:val="auto"/>
          <w:szCs w:val="21"/>
          <w:highlight w:val="none"/>
        </w:rPr>
        <w:t>1.1.4本招标项目名称：见投标人须知前附表。</w:t>
      </w:r>
    </w:p>
    <w:p w14:paraId="50A5050D">
      <w:pPr>
        <w:rPr>
          <w:rFonts w:hint="eastAsia" w:ascii="宋体" w:hAnsi="宋体" w:cs="宋体"/>
          <w:color w:val="auto"/>
          <w:szCs w:val="21"/>
          <w:highlight w:val="none"/>
        </w:rPr>
      </w:pPr>
      <w:r>
        <w:rPr>
          <w:rFonts w:hint="eastAsia" w:ascii="宋体" w:hAnsi="宋体" w:cs="宋体"/>
          <w:color w:val="auto"/>
          <w:szCs w:val="21"/>
          <w:highlight w:val="none"/>
        </w:rPr>
        <w:t>1.2资金来源</w:t>
      </w:r>
    </w:p>
    <w:p w14:paraId="32A524C5">
      <w:pPr>
        <w:rPr>
          <w:rFonts w:hint="eastAsia" w:ascii="宋体" w:hAnsi="宋体" w:cs="宋体"/>
          <w:color w:val="auto"/>
          <w:szCs w:val="21"/>
          <w:highlight w:val="none"/>
        </w:rPr>
      </w:pPr>
      <w:r>
        <w:rPr>
          <w:rFonts w:hint="eastAsia" w:ascii="宋体" w:hAnsi="宋体" w:cs="宋体"/>
          <w:color w:val="auto"/>
          <w:szCs w:val="21"/>
          <w:highlight w:val="none"/>
        </w:rPr>
        <w:t>1.2.1本招标项目的资金来源：见投标人须知前附表。</w:t>
      </w:r>
    </w:p>
    <w:p w14:paraId="4FBA2423">
      <w:pPr>
        <w:rPr>
          <w:rFonts w:hint="eastAsia" w:ascii="宋体" w:hAnsi="宋体" w:cs="宋体"/>
          <w:color w:val="auto"/>
          <w:szCs w:val="21"/>
          <w:highlight w:val="none"/>
        </w:rPr>
      </w:pPr>
      <w:r>
        <w:rPr>
          <w:rFonts w:hint="eastAsia" w:ascii="宋体" w:hAnsi="宋体" w:cs="宋体"/>
          <w:color w:val="auto"/>
          <w:szCs w:val="21"/>
          <w:highlight w:val="none"/>
        </w:rPr>
        <w:t>1.3招标范围、交货期、交货地点、质量要求和付款方式</w:t>
      </w:r>
    </w:p>
    <w:p w14:paraId="4DDDD1AB">
      <w:pPr>
        <w:rPr>
          <w:rFonts w:hint="eastAsia" w:ascii="宋体" w:hAnsi="宋体" w:cs="宋体"/>
          <w:color w:val="auto"/>
          <w:szCs w:val="22"/>
          <w:highlight w:val="none"/>
        </w:rPr>
      </w:pPr>
      <w:r>
        <w:rPr>
          <w:rFonts w:hint="eastAsia" w:ascii="宋体" w:hAnsi="宋体" w:cs="宋体"/>
          <w:color w:val="auto"/>
          <w:szCs w:val="21"/>
          <w:highlight w:val="none"/>
        </w:rPr>
        <w:t>1.3.1本次招标范围：见投标人须知前附表；</w:t>
      </w:r>
    </w:p>
    <w:p w14:paraId="542E1008">
      <w:pPr>
        <w:rPr>
          <w:rFonts w:hint="eastAsia" w:ascii="宋体" w:hAnsi="宋体" w:cs="宋体"/>
          <w:color w:val="auto"/>
          <w:szCs w:val="21"/>
          <w:highlight w:val="none"/>
        </w:rPr>
      </w:pPr>
      <w:r>
        <w:rPr>
          <w:rFonts w:hint="eastAsia" w:ascii="宋体" w:hAnsi="宋体" w:cs="宋体"/>
          <w:color w:val="auto"/>
          <w:szCs w:val="21"/>
          <w:highlight w:val="none"/>
        </w:rPr>
        <w:t>1.3.2本招标项目的交货期：见投标人须知前附表；</w:t>
      </w:r>
    </w:p>
    <w:p w14:paraId="726E2C1A">
      <w:pPr>
        <w:rPr>
          <w:rFonts w:hint="eastAsia" w:ascii="宋体" w:hAnsi="宋体" w:cs="宋体"/>
          <w:color w:val="auto"/>
          <w:szCs w:val="21"/>
          <w:highlight w:val="none"/>
        </w:rPr>
      </w:pPr>
      <w:r>
        <w:rPr>
          <w:rFonts w:hint="eastAsia" w:ascii="宋体" w:hAnsi="宋体" w:cs="宋体"/>
          <w:color w:val="auto"/>
          <w:szCs w:val="21"/>
          <w:highlight w:val="none"/>
        </w:rPr>
        <w:t>1.3.3本招标项目的交货地点：见投标人须知前附表；</w:t>
      </w:r>
    </w:p>
    <w:p w14:paraId="605A6900">
      <w:pPr>
        <w:rPr>
          <w:rFonts w:hint="eastAsia" w:ascii="宋体" w:hAnsi="宋体" w:cs="宋体"/>
          <w:color w:val="auto"/>
          <w:szCs w:val="21"/>
          <w:highlight w:val="none"/>
        </w:rPr>
      </w:pPr>
      <w:r>
        <w:rPr>
          <w:rFonts w:hint="eastAsia" w:ascii="宋体" w:hAnsi="宋体" w:cs="宋体"/>
          <w:color w:val="auto"/>
          <w:szCs w:val="21"/>
          <w:highlight w:val="none"/>
        </w:rPr>
        <w:t>1.3.4本招标项目的质量要求：见投标人须知前附表；</w:t>
      </w:r>
    </w:p>
    <w:p w14:paraId="6260B085">
      <w:pPr>
        <w:rPr>
          <w:rFonts w:hint="eastAsia" w:ascii="宋体" w:hAnsi="宋体" w:cs="宋体"/>
          <w:color w:val="auto"/>
          <w:szCs w:val="21"/>
          <w:highlight w:val="none"/>
        </w:rPr>
      </w:pPr>
      <w:r>
        <w:rPr>
          <w:rFonts w:hint="eastAsia" w:ascii="宋体" w:hAnsi="宋体" w:cs="宋体"/>
          <w:color w:val="auto"/>
          <w:szCs w:val="21"/>
          <w:highlight w:val="none"/>
        </w:rPr>
        <w:t>1.3.5本招标项目的付款方法：见投标人须知前附表。</w:t>
      </w:r>
    </w:p>
    <w:p w14:paraId="4F33E635">
      <w:pPr>
        <w:rPr>
          <w:rFonts w:hint="eastAsia" w:ascii="宋体" w:hAnsi="宋体" w:cs="宋体"/>
          <w:color w:val="auto"/>
          <w:szCs w:val="21"/>
          <w:highlight w:val="none"/>
        </w:rPr>
      </w:pPr>
      <w:r>
        <w:rPr>
          <w:rFonts w:hint="eastAsia" w:ascii="宋体" w:hAnsi="宋体" w:cs="宋体"/>
          <w:color w:val="auto"/>
          <w:szCs w:val="21"/>
          <w:highlight w:val="none"/>
        </w:rPr>
        <w:t>1.4投标人资格要求及信誉及其它要求</w:t>
      </w:r>
    </w:p>
    <w:p w14:paraId="5ADEADEA">
      <w:pPr>
        <w:rPr>
          <w:rFonts w:hint="eastAsia" w:ascii="宋体" w:hAnsi="宋体" w:cs="宋体"/>
          <w:color w:val="auto"/>
          <w:szCs w:val="21"/>
          <w:highlight w:val="none"/>
        </w:rPr>
      </w:pPr>
      <w:r>
        <w:rPr>
          <w:rFonts w:hint="eastAsia" w:ascii="宋体" w:hAnsi="宋体" w:cs="宋体"/>
          <w:color w:val="auto"/>
          <w:szCs w:val="21"/>
          <w:highlight w:val="none"/>
        </w:rPr>
        <w:t>1.4.1投标人应具备承担本招标项目的资格条件、能力和信誉。</w:t>
      </w:r>
    </w:p>
    <w:p w14:paraId="2AD6BF70">
      <w:pPr>
        <w:rPr>
          <w:rFonts w:hint="eastAsia" w:ascii="宋体" w:hAnsi="宋体" w:cs="宋体"/>
          <w:color w:val="auto"/>
          <w:szCs w:val="21"/>
          <w:highlight w:val="none"/>
        </w:rPr>
      </w:pPr>
      <w:r>
        <w:rPr>
          <w:rFonts w:hint="eastAsia" w:ascii="宋体" w:hAnsi="宋体" w:cs="宋体"/>
          <w:color w:val="auto"/>
          <w:szCs w:val="21"/>
          <w:highlight w:val="none"/>
        </w:rPr>
        <w:t>（1）资格条件：见投标人须知前附表；</w:t>
      </w:r>
    </w:p>
    <w:p w14:paraId="2EAC7924">
      <w:pPr>
        <w:rPr>
          <w:rFonts w:hint="eastAsia" w:ascii="宋体" w:hAnsi="宋体" w:cs="宋体"/>
          <w:color w:val="auto"/>
          <w:szCs w:val="21"/>
          <w:highlight w:val="none"/>
        </w:rPr>
      </w:pPr>
      <w:r>
        <w:rPr>
          <w:rFonts w:hint="eastAsia" w:ascii="宋体" w:hAnsi="宋体" w:cs="宋体"/>
          <w:color w:val="auto"/>
          <w:szCs w:val="21"/>
          <w:highlight w:val="none"/>
        </w:rPr>
        <w:t>（2）信誉要求：见投标人须知前附表；</w:t>
      </w:r>
    </w:p>
    <w:p w14:paraId="1D540C53">
      <w:pPr>
        <w:rPr>
          <w:rFonts w:hint="eastAsia" w:ascii="宋体" w:hAnsi="宋体" w:cs="宋体"/>
          <w:color w:val="auto"/>
          <w:szCs w:val="21"/>
          <w:highlight w:val="none"/>
        </w:rPr>
      </w:pPr>
      <w:r>
        <w:rPr>
          <w:rFonts w:hint="eastAsia" w:ascii="宋体" w:hAnsi="宋体" w:cs="宋体"/>
          <w:color w:val="auto"/>
          <w:szCs w:val="21"/>
          <w:highlight w:val="none"/>
        </w:rPr>
        <w:t>（3）财务要求：见投标人须知前附表；</w:t>
      </w:r>
    </w:p>
    <w:p w14:paraId="125638B3">
      <w:pPr>
        <w:rPr>
          <w:rFonts w:hint="eastAsia" w:ascii="宋体" w:hAnsi="宋体" w:cs="宋体"/>
          <w:color w:val="auto"/>
          <w:szCs w:val="21"/>
          <w:highlight w:val="none"/>
        </w:rPr>
      </w:pPr>
      <w:r>
        <w:rPr>
          <w:rFonts w:hint="eastAsia" w:ascii="宋体" w:hAnsi="宋体" w:cs="宋体"/>
          <w:color w:val="auto"/>
          <w:szCs w:val="21"/>
          <w:highlight w:val="none"/>
        </w:rPr>
        <w:t>（4）其他要求：见投标人须知前附表。</w:t>
      </w:r>
    </w:p>
    <w:p w14:paraId="19119BF9">
      <w:pPr>
        <w:rPr>
          <w:rFonts w:hint="eastAsia" w:ascii="宋体" w:hAnsi="宋体" w:cs="宋体"/>
          <w:color w:val="auto"/>
          <w:szCs w:val="21"/>
          <w:highlight w:val="none"/>
        </w:rPr>
      </w:pPr>
      <w:r>
        <w:rPr>
          <w:rFonts w:hint="eastAsia" w:ascii="宋体" w:hAnsi="宋体" w:cs="宋体"/>
          <w:color w:val="auto"/>
          <w:szCs w:val="21"/>
          <w:highlight w:val="none"/>
        </w:rPr>
        <w:t>1.4.2本招标项目不接受联合体投标。</w:t>
      </w:r>
    </w:p>
    <w:p w14:paraId="2F29C88B">
      <w:pPr>
        <w:rPr>
          <w:rFonts w:hint="eastAsia" w:ascii="宋体" w:hAnsi="宋体" w:cs="宋体"/>
          <w:color w:val="auto"/>
          <w:szCs w:val="21"/>
          <w:highlight w:val="none"/>
        </w:rPr>
      </w:pPr>
      <w:r>
        <w:rPr>
          <w:rFonts w:hint="eastAsia" w:ascii="宋体" w:hAnsi="宋体" w:cs="宋体"/>
          <w:color w:val="auto"/>
          <w:szCs w:val="21"/>
          <w:highlight w:val="none"/>
        </w:rPr>
        <w:t>1.4.3投标人不得存在下列情形之一：</w:t>
      </w:r>
    </w:p>
    <w:p w14:paraId="0A1EBACF">
      <w:pPr>
        <w:numPr>
          <w:ilvl w:val="0"/>
          <w:numId w:val="2"/>
        </w:numPr>
        <w:ind w:firstLineChars="0"/>
        <w:rPr>
          <w:rFonts w:hint="eastAsia" w:ascii="宋体" w:hAnsi="宋体" w:cs="宋体"/>
          <w:color w:val="auto"/>
          <w:szCs w:val="21"/>
          <w:highlight w:val="none"/>
        </w:rPr>
      </w:pPr>
      <w:r>
        <w:rPr>
          <w:rFonts w:hint="eastAsia" w:ascii="宋体" w:hAnsi="宋体" w:cs="宋体"/>
          <w:color w:val="auto"/>
          <w:szCs w:val="21"/>
          <w:highlight w:val="none"/>
        </w:rPr>
        <w:t>与招标人存在利害关系且可能影响招标公正性；</w:t>
      </w:r>
    </w:p>
    <w:p w14:paraId="22B723CD">
      <w:pPr>
        <w:numPr>
          <w:ilvl w:val="0"/>
          <w:numId w:val="2"/>
        </w:numPr>
        <w:ind w:firstLineChars="0"/>
        <w:rPr>
          <w:rFonts w:hint="eastAsia" w:ascii="宋体" w:hAnsi="宋体" w:cs="宋体"/>
          <w:color w:val="auto"/>
          <w:szCs w:val="21"/>
          <w:highlight w:val="none"/>
        </w:rPr>
      </w:pPr>
      <w:r>
        <w:rPr>
          <w:rFonts w:hint="eastAsia" w:ascii="宋体" w:hAnsi="宋体" w:cs="宋体"/>
          <w:color w:val="auto"/>
          <w:szCs w:val="21"/>
          <w:highlight w:val="none"/>
        </w:rPr>
        <w:t>与本招标项目的其他投标人为同一个单位负责人；</w:t>
      </w:r>
    </w:p>
    <w:p w14:paraId="4B394496">
      <w:pPr>
        <w:numPr>
          <w:ilvl w:val="0"/>
          <w:numId w:val="2"/>
        </w:numPr>
        <w:ind w:firstLineChars="0"/>
        <w:rPr>
          <w:rFonts w:hint="eastAsia" w:ascii="宋体" w:hAnsi="宋体" w:cs="宋体"/>
          <w:color w:val="auto"/>
          <w:szCs w:val="21"/>
          <w:highlight w:val="none"/>
        </w:rPr>
      </w:pPr>
      <w:r>
        <w:rPr>
          <w:rFonts w:hint="eastAsia" w:ascii="宋体" w:hAnsi="宋体" w:cs="宋体"/>
          <w:color w:val="auto"/>
          <w:szCs w:val="21"/>
          <w:highlight w:val="none"/>
        </w:rPr>
        <w:t>与本招标项目的其他投标人存在控股、管理关系；</w:t>
      </w:r>
    </w:p>
    <w:p w14:paraId="34FCBCEE">
      <w:pPr>
        <w:numPr>
          <w:ilvl w:val="0"/>
          <w:numId w:val="2"/>
        </w:numPr>
        <w:ind w:firstLineChars="0"/>
        <w:rPr>
          <w:rFonts w:hint="eastAsia" w:ascii="宋体" w:hAnsi="宋体" w:cs="宋体"/>
          <w:color w:val="auto"/>
          <w:szCs w:val="21"/>
          <w:highlight w:val="none"/>
        </w:rPr>
      </w:pPr>
      <w:r>
        <w:rPr>
          <w:rFonts w:hint="eastAsia" w:ascii="宋体" w:hAnsi="宋体" w:cs="宋体"/>
          <w:color w:val="auto"/>
          <w:szCs w:val="21"/>
          <w:highlight w:val="none"/>
        </w:rPr>
        <w:t>为本招标项目提供过编制技术规范和其他文件的咨询服务；</w:t>
      </w:r>
    </w:p>
    <w:p w14:paraId="090C5A1B">
      <w:pPr>
        <w:numPr>
          <w:ilvl w:val="0"/>
          <w:numId w:val="2"/>
        </w:numPr>
        <w:ind w:firstLineChars="0"/>
        <w:rPr>
          <w:rFonts w:hint="eastAsia" w:ascii="宋体" w:hAnsi="宋体" w:cs="宋体"/>
          <w:color w:val="auto"/>
          <w:szCs w:val="21"/>
          <w:highlight w:val="none"/>
        </w:rPr>
      </w:pPr>
      <w:r>
        <w:rPr>
          <w:rFonts w:hint="eastAsia" w:ascii="宋体" w:hAnsi="宋体" w:cs="宋体"/>
          <w:color w:val="auto"/>
          <w:szCs w:val="21"/>
          <w:highlight w:val="none"/>
        </w:rPr>
        <w:t>为本招标项目的招标代理机构；</w:t>
      </w:r>
    </w:p>
    <w:p w14:paraId="57D41BB4">
      <w:pPr>
        <w:numPr>
          <w:ilvl w:val="0"/>
          <w:numId w:val="2"/>
        </w:numPr>
        <w:ind w:firstLineChars="0"/>
        <w:rPr>
          <w:rFonts w:hint="eastAsia" w:ascii="宋体" w:hAnsi="宋体" w:cs="宋体"/>
          <w:color w:val="auto"/>
          <w:szCs w:val="21"/>
          <w:highlight w:val="none"/>
        </w:rPr>
      </w:pPr>
      <w:r>
        <w:rPr>
          <w:rFonts w:hint="eastAsia" w:ascii="宋体" w:hAnsi="宋体" w:cs="宋体"/>
          <w:color w:val="auto"/>
          <w:szCs w:val="21"/>
          <w:highlight w:val="none"/>
        </w:rPr>
        <w:t>与本招标项目的招标代理机构同为一个法定代表人；</w:t>
      </w:r>
    </w:p>
    <w:p w14:paraId="260BDD46">
      <w:pPr>
        <w:numPr>
          <w:ilvl w:val="0"/>
          <w:numId w:val="2"/>
        </w:numPr>
        <w:ind w:firstLineChars="0"/>
        <w:rPr>
          <w:rFonts w:hint="eastAsia" w:ascii="宋体" w:hAnsi="宋体" w:cs="宋体"/>
          <w:color w:val="auto"/>
          <w:szCs w:val="21"/>
          <w:highlight w:val="none"/>
        </w:rPr>
      </w:pPr>
      <w:r>
        <w:rPr>
          <w:rFonts w:hint="eastAsia" w:ascii="宋体" w:hAnsi="宋体" w:cs="宋体"/>
          <w:color w:val="auto"/>
          <w:szCs w:val="21"/>
          <w:highlight w:val="none"/>
        </w:rPr>
        <w:t>与本招标项目的招标代理机构存在控股或参股关系；</w:t>
      </w:r>
    </w:p>
    <w:p w14:paraId="4A8D7799">
      <w:pPr>
        <w:numPr>
          <w:ilvl w:val="0"/>
          <w:numId w:val="2"/>
        </w:numPr>
        <w:ind w:firstLineChars="0"/>
        <w:rPr>
          <w:rFonts w:hint="eastAsia" w:ascii="宋体" w:hAnsi="宋体" w:cs="宋体"/>
          <w:color w:val="auto"/>
          <w:szCs w:val="21"/>
          <w:highlight w:val="none"/>
        </w:rPr>
      </w:pPr>
      <w:r>
        <w:rPr>
          <w:rFonts w:hint="eastAsia" w:ascii="宋体" w:hAnsi="宋体" w:cs="宋体"/>
          <w:color w:val="auto"/>
          <w:szCs w:val="21"/>
          <w:highlight w:val="none"/>
        </w:rPr>
        <w:t>被依法暂停或者取消投标资格；</w:t>
      </w:r>
    </w:p>
    <w:p w14:paraId="0E0677CE">
      <w:pPr>
        <w:numPr>
          <w:ilvl w:val="0"/>
          <w:numId w:val="2"/>
        </w:numPr>
        <w:ind w:firstLineChars="0"/>
        <w:rPr>
          <w:rFonts w:hint="eastAsia" w:ascii="宋体" w:hAnsi="宋体" w:cs="宋体"/>
          <w:color w:val="auto"/>
          <w:szCs w:val="21"/>
          <w:highlight w:val="none"/>
        </w:rPr>
      </w:pPr>
      <w:r>
        <w:rPr>
          <w:rFonts w:hint="eastAsia" w:ascii="宋体" w:hAnsi="宋体" w:cs="宋体"/>
          <w:color w:val="auto"/>
          <w:szCs w:val="21"/>
          <w:highlight w:val="none"/>
        </w:rPr>
        <w:t>被责令停产停业、暂扣或者吊销许可证、暂扣或者吊销执照；</w:t>
      </w:r>
    </w:p>
    <w:p w14:paraId="3ED849F5">
      <w:pPr>
        <w:numPr>
          <w:ilvl w:val="0"/>
          <w:numId w:val="2"/>
        </w:numPr>
        <w:ind w:firstLineChars="0"/>
        <w:rPr>
          <w:rFonts w:hint="eastAsia" w:ascii="宋体" w:hAnsi="宋体" w:cs="宋体"/>
          <w:color w:val="auto"/>
          <w:szCs w:val="21"/>
          <w:highlight w:val="none"/>
        </w:rPr>
      </w:pPr>
      <w:r>
        <w:rPr>
          <w:rFonts w:hint="eastAsia" w:ascii="宋体" w:hAnsi="宋体" w:cs="宋体"/>
          <w:color w:val="auto"/>
          <w:szCs w:val="21"/>
          <w:highlight w:val="none"/>
        </w:rPr>
        <w:t>进入清算程序，或被宣告破产，或其他丧失履约能力的情形；</w:t>
      </w:r>
    </w:p>
    <w:p w14:paraId="3DE92BFB">
      <w:pPr>
        <w:numPr>
          <w:ilvl w:val="0"/>
          <w:numId w:val="2"/>
        </w:numPr>
        <w:ind w:firstLineChars="0"/>
        <w:rPr>
          <w:rFonts w:hint="eastAsia" w:ascii="宋体" w:hAnsi="宋体" w:cs="宋体"/>
          <w:color w:val="auto"/>
          <w:szCs w:val="21"/>
          <w:highlight w:val="none"/>
        </w:rPr>
      </w:pPr>
      <w:r>
        <w:rPr>
          <w:rFonts w:hint="eastAsia" w:ascii="宋体" w:hAnsi="宋体" w:cs="宋体"/>
          <w:color w:val="auto"/>
          <w:szCs w:val="21"/>
          <w:highlight w:val="none"/>
        </w:rPr>
        <w:t>在最近三年内发生重大产品质量问题（以相关行业主管部门的行政处罚决定或司法机关出具的有关法律文书为准）；</w:t>
      </w:r>
    </w:p>
    <w:p w14:paraId="21E27739">
      <w:pPr>
        <w:numPr>
          <w:ilvl w:val="0"/>
          <w:numId w:val="2"/>
        </w:numPr>
        <w:ind w:firstLineChars="0"/>
        <w:rPr>
          <w:rFonts w:hint="eastAsia" w:ascii="宋体" w:hAnsi="宋体" w:cs="宋体"/>
          <w:color w:val="auto"/>
          <w:szCs w:val="21"/>
          <w:highlight w:val="none"/>
        </w:rPr>
      </w:pPr>
      <w:r>
        <w:rPr>
          <w:rFonts w:hint="eastAsia" w:ascii="宋体" w:hAnsi="宋体" w:cs="宋体"/>
          <w:color w:val="auto"/>
          <w:szCs w:val="21"/>
          <w:highlight w:val="none"/>
        </w:rPr>
        <w:t>单位负责人为同一人或者存在控股、管理关系的不同单位，不得先参加同一标段投标或者未划分标段的同一招标项目投标；</w:t>
      </w:r>
    </w:p>
    <w:p w14:paraId="43A66569">
      <w:pPr>
        <w:numPr>
          <w:ilvl w:val="0"/>
          <w:numId w:val="2"/>
        </w:numPr>
        <w:ind w:firstLineChars="0"/>
        <w:rPr>
          <w:rFonts w:hint="eastAsia" w:ascii="宋体" w:hAnsi="宋体" w:cs="宋体"/>
          <w:color w:val="auto"/>
          <w:szCs w:val="21"/>
          <w:highlight w:val="none"/>
        </w:rPr>
      </w:pPr>
      <w:r>
        <w:rPr>
          <w:rFonts w:hint="eastAsia" w:ascii="宋体" w:hAnsi="宋体" w:cs="宋体"/>
          <w:color w:val="auto"/>
          <w:szCs w:val="21"/>
          <w:highlight w:val="none"/>
        </w:rPr>
        <w:t>法律法规或投标人须知前附表规定的其他情形。</w:t>
      </w:r>
    </w:p>
    <w:p w14:paraId="4C46A6EB">
      <w:pPr>
        <w:rPr>
          <w:rFonts w:hint="eastAsia" w:ascii="宋体" w:hAnsi="宋体" w:cs="宋体"/>
          <w:color w:val="auto"/>
          <w:szCs w:val="21"/>
          <w:highlight w:val="none"/>
        </w:rPr>
      </w:pPr>
      <w:r>
        <w:rPr>
          <w:rFonts w:hint="eastAsia" w:ascii="宋体" w:hAnsi="宋体" w:cs="宋体"/>
          <w:color w:val="auto"/>
          <w:szCs w:val="21"/>
          <w:highlight w:val="none"/>
        </w:rPr>
        <w:t>1.5费用承担</w:t>
      </w:r>
    </w:p>
    <w:p w14:paraId="50483D1C">
      <w:pPr>
        <w:rPr>
          <w:rFonts w:hint="eastAsia" w:ascii="宋体" w:hAnsi="宋体" w:cs="宋体"/>
          <w:color w:val="auto"/>
          <w:szCs w:val="21"/>
          <w:highlight w:val="none"/>
        </w:rPr>
      </w:pPr>
      <w:r>
        <w:rPr>
          <w:rFonts w:hint="eastAsia" w:ascii="宋体" w:hAnsi="宋体" w:cs="宋体"/>
          <w:color w:val="auto"/>
          <w:szCs w:val="21"/>
          <w:highlight w:val="none"/>
        </w:rPr>
        <w:t>（1）投标人准备和参加投标活动发生的费用自理。</w:t>
      </w:r>
    </w:p>
    <w:p w14:paraId="411D5A0C">
      <w:pPr>
        <w:rPr>
          <w:rFonts w:hint="eastAsia" w:ascii="宋体" w:hAnsi="宋体" w:cs="宋体"/>
          <w:color w:val="auto"/>
          <w:szCs w:val="21"/>
          <w:highlight w:val="none"/>
        </w:rPr>
      </w:pPr>
      <w:r>
        <w:rPr>
          <w:rFonts w:hint="eastAsia" w:ascii="宋体" w:hAnsi="宋体" w:cs="宋体"/>
          <w:color w:val="auto"/>
          <w:szCs w:val="21"/>
          <w:highlight w:val="none"/>
        </w:rPr>
        <w:t>（2）公证费：中标人应按云南省发展和改革委员会 云南省司法厅关于进一步规范公证服务收费政策的通知》（云发改价格〔2019〕771号）和印发《云南省公证服务收费标准》的通知》中规定的支付本项目招投标公证费，费用为1200元。</w:t>
      </w:r>
    </w:p>
    <w:p w14:paraId="3C08C941">
      <w:pPr>
        <w:rPr>
          <w:rFonts w:hint="eastAsia" w:ascii="宋体" w:hAnsi="宋体" w:cs="宋体"/>
          <w:color w:val="auto"/>
          <w:szCs w:val="21"/>
          <w:highlight w:val="none"/>
        </w:rPr>
      </w:pPr>
      <w:r>
        <w:rPr>
          <w:rFonts w:hint="eastAsia" w:ascii="宋体" w:hAnsi="宋体" w:cs="宋体"/>
          <w:color w:val="auto"/>
          <w:szCs w:val="21"/>
          <w:highlight w:val="none"/>
        </w:rPr>
        <w:t>（3）招标代理服务费：参照原国家计委《招标代理服务收费标准》计价格〔2002〕1980号文以浮动比例（百分数）以中标金额在50万—1000万</w:t>
      </w:r>
      <w:r>
        <w:rPr>
          <w:rFonts w:hint="eastAsia" w:ascii="宋体" w:hAnsi="宋体" w:cs="宋体"/>
          <w:color w:val="auto"/>
          <w:szCs w:val="21"/>
          <w:highlight w:val="none"/>
          <w:lang w:val="en-US" w:eastAsia="zh-CN"/>
        </w:rPr>
        <w:t>元</w:t>
      </w:r>
      <w:r>
        <w:rPr>
          <w:rFonts w:hint="eastAsia" w:ascii="宋体" w:hAnsi="宋体" w:cs="宋体"/>
          <w:color w:val="auto"/>
          <w:szCs w:val="21"/>
          <w:highlight w:val="none"/>
        </w:rPr>
        <w:t>的下浮30%收取，1000万元以上下浮50%收取，具体以中标人中标总价进行结算，本项目属于货物招标，由中标人向招标代理公司支付招标代理服务费。</w:t>
      </w:r>
    </w:p>
    <w:p w14:paraId="346ABAE5">
      <w:pPr>
        <w:rPr>
          <w:rFonts w:hint="eastAsia" w:ascii="宋体" w:hAnsi="宋体" w:cs="宋体"/>
          <w:color w:val="auto"/>
          <w:szCs w:val="21"/>
          <w:highlight w:val="none"/>
        </w:rPr>
      </w:pPr>
      <w:r>
        <w:rPr>
          <w:rFonts w:hint="eastAsia" w:ascii="宋体" w:hAnsi="宋体" w:cs="宋体"/>
          <w:color w:val="auto"/>
          <w:szCs w:val="21"/>
          <w:highlight w:val="none"/>
        </w:rPr>
        <w:t>1.6保密</w:t>
      </w:r>
    </w:p>
    <w:p w14:paraId="661D8612">
      <w:pPr>
        <w:rPr>
          <w:rFonts w:hint="eastAsia" w:ascii="宋体" w:hAnsi="宋体" w:cs="宋体"/>
          <w:color w:val="auto"/>
          <w:szCs w:val="21"/>
          <w:highlight w:val="none"/>
        </w:rPr>
      </w:pPr>
      <w:r>
        <w:rPr>
          <w:rFonts w:hint="eastAsia" w:ascii="宋体" w:hAnsi="宋体" w:cs="宋体"/>
          <w:color w:val="auto"/>
          <w:szCs w:val="21"/>
          <w:highlight w:val="none"/>
        </w:rPr>
        <w:t>参与招标投标活动的各方应对招标文件和投标文件中的商业和技术等秘密保密，违者应对由此造成的后果承担法律责任。</w:t>
      </w:r>
    </w:p>
    <w:p w14:paraId="45201F71">
      <w:pPr>
        <w:rPr>
          <w:rFonts w:hint="eastAsia" w:ascii="宋体" w:hAnsi="宋体" w:cs="宋体"/>
          <w:color w:val="auto"/>
          <w:szCs w:val="21"/>
          <w:highlight w:val="none"/>
        </w:rPr>
      </w:pPr>
      <w:r>
        <w:rPr>
          <w:rFonts w:hint="eastAsia" w:ascii="宋体" w:hAnsi="宋体" w:cs="宋体"/>
          <w:color w:val="auto"/>
          <w:szCs w:val="21"/>
          <w:highlight w:val="none"/>
        </w:rPr>
        <w:t>1.7语言文字</w:t>
      </w:r>
    </w:p>
    <w:p w14:paraId="65050896">
      <w:pPr>
        <w:rPr>
          <w:rFonts w:hint="eastAsia" w:ascii="宋体" w:hAnsi="宋体" w:cs="宋体"/>
          <w:color w:val="auto"/>
          <w:szCs w:val="21"/>
          <w:highlight w:val="none"/>
        </w:rPr>
      </w:pPr>
      <w:r>
        <w:rPr>
          <w:rFonts w:hint="eastAsia" w:ascii="宋体" w:hAnsi="宋体" w:cs="宋体"/>
          <w:color w:val="auto"/>
          <w:szCs w:val="21"/>
          <w:highlight w:val="none"/>
        </w:rPr>
        <w:t>除专用术语外，与招标投标有关的语言均使用中文。必要时专用术语应附有中文注释。</w:t>
      </w:r>
    </w:p>
    <w:p w14:paraId="06BE8C7F">
      <w:pPr>
        <w:rPr>
          <w:rFonts w:hint="eastAsia" w:ascii="宋体" w:hAnsi="宋体" w:cs="宋体"/>
          <w:color w:val="auto"/>
          <w:szCs w:val="21"/>
          <w:highlight w:val="none"/>
        </w:rPr>
      </w:pPr>
      <w:r>
        <w:rPr>
          <w:rFonts w:hint="eastAsia" w:ascii="宋体" w:hAnsi="宋体" w:cs="宋体"/>
          <w:color w:val="auto"/>
          <w:szCs w:val="21"/>
          <w:highlight w:val="none"/>
        </w:rPr>
        <w:t>1.8计量单位</w:t>
      </w:r>
    </w:p>
    <w:p w14:paraId="41032161">
      <w:pPr>
        <w:rPr>
          <w:rFonts w:hint="eastAsia" w:ascii="宋体" w:hAnsi="宋体" w:cs="宋体"/>
          <w:color w:val="auto"/>
          <w:szCs w:val="21"/>
          <w:highlight w:val="none"/>
        </w:rPr>
      </w:pPr>
      <w:r>
        <w:rPr>
          <w:rFonts w:hint="eastAsia" w:ascii="宋体" w:hAnsi="宋体" w:cs="宋体"/>
          <w:color w:val="auto"/>
          <w:szCs w:val="21"/>
          <w:highlight w:val="none"/>
        </w:rPr>
        <w:t>所有计量均采用中华人民共和国法定计量单位。</w:t>
      </w:r>
    </w:p>
    <w:p w14:paraId="083FF94A">
      <w:pPr>
        <w:rPr>
          <w:rFonts w:hint="eastAsia" w:ascii="宋体" w:hAnsi="宋体" w:cs="宋体"/>
          <w:color w:val="auto"/>
          <w:szCs w:val="21"/>
          <w:highlight w:val="none"/>
        </w:rPr>
      </w:pPr>
      <w:r>
        <w:rPr>
          <w:rFonts w:hint="eastAsia" w:ascii="宋体" w:hAnsi="宋体" w:cs="宋体"/>
          <w:color w:val="auto"/>
          <w:szCs w:val="21"/>
          <w:highlight w:val="none"/>
        </w:rPr>
        <w:t>1.9踏勘现场</w:t>
      </w:r>
    </w:p>
    <w:p w14:paraId="10E047D0">
      <w:pPr>
        <w:rPr>
          <w:rFonts w:hint="eastAsia" w:ascii="宋体" w:hAnsi="宋体" w:cs="宋体"/>
          <w:color w:val="auto"/>
          <w:szCs w:val="21"/>
          <w:highlight w:val="none"/>
        </w:rPr>
      </w:pPr>
      <w:r>
        <w:rPr>
          <w:rFonts w:hint="eastAsia" w:ascii="宋体" w:hAnsi="宋体" w:cs="宋体"/>
          <w:color w:val="auto"/>
          <w:szCs w:val="21"/>
          <w:highlight w:val="none"/>
        </w:rPr>
        <w:t>1.9.1招标人不集中组织投标现场踏勘，投标人需要了解现场情况的，可自行进行现场踏勘地点见投标人须知前附表。</w:t>
      </w:r>
    </w:p>
    <w:p w14:paraId="097BEEDF">
      <w:pPr>
        <w:rPr>
          <w:rFonts w:hint="eastAsia" w:ascii="宋体" w:hAnsi="宋体" w:cs="宋体"/>
          <w:color w:val="auto"/>
          <w:szCs w:val="21"/>
          <w:highlight w:val="none"/>
        </w:rPr>
      </w:pPr>
      <w:r>
        <w:rPr>
          <w:rFonts w:hint="eastAsia" w:ascii="宋体" w:hAnsi="宋体" w:cs="宋体"/>
          <w:color w:val="auto"/>
          <w:szCs w:val="21"/>
          <w:highlight w:val="none"/>
        </w:rPr>
        <w:t>1.9.2投标人踏勘现场发生的费用自理。</w:t>
      </w:r>
    </w:p>
    <w:p w14:paraId="077CEE3C">
      <w:pPr>
        <w:rPr>
          <w:rFonts w:hint="eastAsia" w:ascii="宋体" w:hAnsi="宋体" w:cs="宋体"/>
          <w:color w:val="auto"/>
          <w:szCs w:val="21"/>
          <w:highlight w:val="none"/>
        </w:rPr>
      </w:pPr>
      <w:r>
        <w:rPr>
          <w:rFonts w:hint="eastAsia" w:ascii="宋体" w:hAnsi="宋体" w:cs="宋体"/>
          <w:color w:val="auto"/>
          <w:szCs w:val="21"/>
          <w:highlight w:val="none"/>
        </w:rPr>
        <w:t>1.9.3除招标人的原因外，投标人自行负责在踏勘现场中所发生的人员伤亡和财产损失。</w:t>
      </w:r>
    </w:p>
    <w:p w14:paraId="4348E7FF">
      <w:pPr>
        <w:rPr>
          <w:rFonts w:hint="eastAsia" w:ascii="宋体" w:hAnsi="宋体" w:cs="宋体"/>
          <w:color w:val="auto"/>
          <w:szCs w:val="21"/>
          <w:highlight w:val="none"/>
        </w:rPr>
      </w:pPr>
      <w:r>
        <w:rPr>
          <w:rFonts w:hint="eastAsia" w:ascii="宋体" w:hAnsi="宋体" w:cs="宋体"/>
          <w:color w:val="auto"/>
          <w:szCs w:val="21"/>
          <w:highlight w:val="none"/>
        </w:rPr>
        <w:t>1.10投标预备会</w:t>
      </w:r>
    </w:p>
    <w:p w14:paraId="743567B6">
      <w:pPr>
        <w:rPr>
          <w:rFonts w:hint="eastAsia" w:ascii="宋体" w:hAnsi="宋体" w:cs="宋体"/>
          <w:color w:val="auto"/>
          <w:szCs w:val="21"/>
          <w:highlight w:val="none"/>
        </w:rPr>
      </w:pPr>
      <w:r>
        <w:rPr>
          <w:rFonts w:hint="eastAsia" w:ascii="宋体" w:hAnsi="宋体" w:cs="宋体"/>
          <w:color w:val="auto"/>
          <w:szCs w:val="21"/>
          <w:highlight w:val="none"/>
        </w:rPr>
        <w:t>1.10.1投标人须知前附表规定召开投标预备会的，招标人按投标人须知前附表规定的时间和地点召开投标预备会，澄清投标人提出的问题。</w:t>
      </w:r>
    </w:p>
    <w:p w14:paraId="313C4EAB">
      <w:pPr>
        <w:rPr>
          <w:rFonts w:hint="eastAsia" w:ascii="宋体" w:hAnsi="宋体" w:cs="宋体"/>
          <w:color w:val="auto"/>
          <w:szCs w:val="21"/>
          <w:highlight w:val="none"/>
        </w:rPr>
      </w:pPr>
      <w:r>
        <w:rPr>
          <w:rFonts w:hint="eastAsia" w:ascii="宋体" w:hAnsi="宋体" w:cs="宋体"/>
          <w:color w:val="auto"/>
          <w:szCs w:val="21"/>
          <w:highlight w:val="none"/>
        </w:rPr>
        <w:t>1.10.2投标人应按投标人须知前附表规定的时间和形式将提出的问题送达招标人，以便招标人在会议期间澄清。</w:t>
      </w:r>
    </w:p>
    <w:p w14:paraId="2167BB85">
      <w:pPr>
        <w:rPr>
          <w:rFonts w:hint="eastAsia" w:ascii="宋体" w:hAnsi="宋体" w:cs="宋体"/>
          <w:color w:val="auto"/>
          <w:szCs w:val="21"/>
          <w:highlight w:val="none"/>
        </w:rPr>
      </w:pPr>
      <w:r>
        <w:rPr>
          <w:rFonts w:hint="eastAsia" w:ascii="宋体" w:hAnsi="宋体" w:cs="宋体"/>
          <w:color w:val="auto"/>
          <w:szCs w:val="21"/>
          <w:highlight w:val="none"/>
        </w:rPr>
        <w:t>1.10.3投标预备会后，招标人将对投标人所提问题的澄清，以投标人须知前附表规定的形式通知所有获取招标文件的投标人。该澄清内容为招标文件的组成部分。</w:t>
      </w:r>
    </w:p>
    <w:p w14:paraId="5853C32B">
      <w:pPr>
        <w:rPr>
          <w:rFonts w:hint="eastAsia" w:ascii="宋体" w:hAnsi="宋体" w:cs="宋体"/>
          <w:color w:val="auto"/>
          <w:szCs w:val="21"/>
          <w:highlight w:val="none"/>
        </w:rPr>
      </w:pPr>
      <w:r>
        <w:rPr>
          <w:rFonts w:hint="eastAsia" w:ascii="宋体" w:hAnsi="宋体" w:cs="宋体"/>
          <w:color w:val="auto"/>
          <w:szCs w:val="21"/>
          <w:highlight w:val="none"/>
        </w:rPr>
        <w:t>1.11分包及转包</w:t>
      </w:r>
    </w:p>
    <w:p w14:paraId="0ED9B081">
      <w:pPr>
        <w:rPr>
          <w:rFonts w:hint="eastAsia" w:ascii="宋体" w:hAnsi="宋体" w:cs="宋体"/>
          <w:color w:val="auto"/>
          <w:szCs w:val="21"/>
          <w:highlight w:val="none"/>
        </w:rPr>
      </w:pPr>
      <w:r>
        <w:rPr>
          <w:rFonts w:hint="eastAsia" w:ascii="宋体" w:hAnsi="宋体" w:cs="宋体"/>
          <w:color w:val="auto"/>
          <w:szCs w:val="21"/>
          <w:highlight w:val="none"/>
        </w:rPr>
        <w:t>不允许分包及转包。</w:t>
      </w:r>
    </w:p>
    <w:p w14:paraId="2081678D">
      <w:pPr>
        <w:rPr>
          <w:rFonts w:hint="eastAsia" w:ascii="宋体" w:hAnsi="宋体" w:cs="宋体"/>
          <w:color w:val="auto"/>
          <w:szCs w:val="21"/>
          <w:highlight w:val="none"/>
        </w:rPr>
      </w:pPr>
      <w:r>
        <w:rPr>
          <w:rFonts w:hint="eastAsia" w:ascii="宋体" w:hAnsi="宋体" w:cs="宋体"/>
          <w:color w:val="auto"/>
          <w:szCs w:val="21"/>
          <w:highlight w:val="none"/>
        </w:rPr>
        <w:t>1.12偏离</w:t>
      </w:r>
    </w:p>
    <w:p w14:paraId="50E2CDC4">
      <w:pPr>
        <w:rPr>
          <w:rFonts w:hint="eastAsia" w:ascii="宋体" w:hAnsi="宋体" w:cs="宋体"/>
          <w:color w:val="auto"/>
          <w:szCs w:val="21"/>
          <w:highlight w:val="none"/>
        </w:rPr>
      </w:pPr>
      <w:r>
        <w:rPr>
          <w:rFonts w:hint="eastAsia" w:ascii="宋体" w:hAnsi="宋体" w:cs="宋体"/>
          <w:color w:val="auto"/>
          <w:szCs w:val="21"/>
          <w:highlight w:val="none"/>
        </w:rPr>
        <w:t>投标人须知前附表允许投标文件偏离招标文件某些要求的，偏离应当符合招标文件规定的偏离范围和幅度。</w:t>
      </w:r>
    </w:p>
    <w:p w14:paraId="79D8DFAE">
      <w:pPr>
        <w:ind w:firstLine="0" w:firstLineChars="0"/>
        <w:rPr>
          <w:rFonts w:hint="eastAsia" w:ascii="宋体" w:hAnsi="宋体" w:cs="宋体"/>
          <w:b/>
          <w:bCs/>
          <w:color w:val="auto"/>
          <w:szCs w:val="21"/>
          <w:highlight w:val="none"/>
        </w:rPr>
      </w:pPr>
      <w:r>
        <w:rPr>
          <w:rFonts w:hint="eastAsia" w:ascii="宋体" w:hAnsi="宋体" w:cs="宋体"/>
          <w:b/>
          <w:bCs/>
          <w:color w:val="auto"/>
          <w:szCs w:val="21"/>
          <w:highlight w:val="none"/>
        </w:rPr>
        <w:t>2、招标文件</w:t>
      </w:r>
    </w:p>
    <w:p w14:paraId="20F96851">
      <w:pPr>
        <w:rPr>
          <w:rFonts w:hint="eastAsia" w:ascii="宋体" w:hAnsi="宋体" w:cs="宋体"/>
          <w:color w:val="auto"/>
          <w:szCs w:val="21"/>
          <w:highlight w:val="none"/>
        </w:rPr>
      </w:pPr>
      <w:r>
        <w:rPr>
          <w:rFonts w:hint="eastAsia" w:ascii="宋体" w:hAnsi="宋体" w:cs="宋体"/>
          <w:color w:val="auto"/>
          <w:szCs w:val="21"/>
          <w:highlight w:val="none"/>
        </w:rPr>
        <w:t>2.1招标文件的组成</w:t>
      </w:r>
    </w:p>
    <w:p w14:paraId="033994D5">
      <w:pPr>
        <w:rPr>
          <w:rFonts w:hint="eastAsia" w:ascii="宋体" w:hAnsi="宋体" w:cs="宋体"/>
          <w:color w:val="auto"/>
          <w:szCs w:val="21"/>
          <w:highlight w:val="none"/>
        </w:rPr>
      </w:pPr>
      <w:r>
        <w:rPr>
          <w:rFonts w:hint="eastAsia" w:ascii="宋体" w:hAnsi="宋体" w:cs="宋体"/>
          <w:color w:val="auto"/>
          <w:szCs w:val="21"/>
          <w:highlight w:val="none"/>
        </w:rPr>
        <w:t>本招标文件包括：电子技术招标文件，包含招标公告、投标人须知、评标办法、合同条款及格式、技术标准和要求、投标文件格式、投标人须知前附表规定的其他材料；</w:t>
      </w:r>
    </w:p>
    <w:p w14:paraId="1BB47328">
      <w:pPr>
        <w:rPr>
          <w:rFonts w:hint="eastAsia" w:ascii="宋体" w:hAnsi="宋体" w:cs="宋体"/>
          <w:color w:val="auto"/>
          <w:szCs w:val="21"/>
          <w:highlight w:val="none"/>
        </w:rPr>
      </w:pPr>
      <w:r>
        <w:rPr>
          <w:rFonts w:hint="eastAsia" w:ascii="宋体" w:hAnsi="宋体" w:cs="宋体"/>
          <w:color w:val="auto"/>
          <w:szCs w:val="21"/>
          <w:highlight w:val="none"/>
        </w:rPr>
        <w:t>根据本章第1.10款、第2.2款和第2.3款对招标文件所作的澄清、修改，构成招标文件的组成部分。</w:t>
      </w:r>
    </w:p>
    <w:p w14:paraId="116063AA">
      <w:pPr>
        <w:rPr>
          <w:rFonts w:hint="eastAsia" w:ascii="宋体" w:hAnsi="宋体" w:cs="宋体"/>
          <w:color w:val="auto"/>
          <w:szCs w:val="21"/>
          <w:highlight w:val="none"/>
        </w:rPr>
      </w:pPr>
      <w:r>
        <w:rPr>
          <w:rFonts w:hint="eastAsia" w:ascii="宋体" w:hAnsi="宋体" w:cs="宋体"/>
          <w:color w:val="auto"/>
          <w:szCs w:val="21"/>
          <w:highlight w:val="none"/>
        </w:rPr>
        <w:t>2.2招标文件的澄清</w:t>
      </w:r>
    </w:p>
    <w:p w14:paraId="22C29A9D">
      <w:pPr>
        <w:rPr>
          <w:rFonts w:hint="eastAsia" w:ascii="宋体" w:hAnsi="宋体" w:cs="宋体"/>
          <w:color w:val="auto"/>
          <w:szCs w:val="21"/>
          <w:highlight w:val="none"/>
        </w:rPr>
      </w:pPr>
      <w:r>
        <w:rPr>
          <w:rFonts w:hint="eastAsia" w:ascii="宋体" w:hAnsi="宋体" w:cs="宋体"/>
          <w:color w:val="auto"/>
          <w:szCs w:val="21"/>
          <w:highlight w:val="none"/>
        </w:rPr>
        <w:t>2.2.1投标人应仔细阅读和检查招标文件的全部内容。如发现缺页或附件不全，应及时向招标人提出，以便补齐。如有疑问，应按投标人须知前附表规定的时间和形式将提出的问题送达招标人，要求招标人对招标文件予以澄清。</w:t>
      </w:r>
    </w:p>
    <w:p w14:paraId="26518E8C">
      <w:pPr>
        <w:rPr>
          <w:rFonts w:hint="eastAsia" w:ascii="宋体" w:hAnsi="宋体" w:cs="宋体"/>
          <w:color w:val="auto"/>
          <w:szCs w:val="21"/>
          <w:highlight w:val="none"/>
        </w:rPr>
      </w:pPr>
      <w:r>
        <w:rPr>
          <w:rFonts w:hint="eastAsia" w:ascii="宋体" w:hAnsi="宋体" w:cs="宋体"/>
          <w:color w:val="auto"/>
          <w:szCs w:val="21"/>
          <w:highlight w:val="none"/>
        </w:rPr>
        <w:t>2.2.2招标文件的澄清以投标人须知前附表规定的形式发给所有获取招标文件的投标人，但不指明澄清问题的来源。澄清发出的时间距本章第4.2.1项规定的投标截止时间不足15日的，并且澄清内容可能影响投标文件编制的，将相应延长投标截止时间。</w:t>
      </w:r>
    </w:p>
    <w:p w14:paraId="00FD05AC">
      <w:pPr>
        <w:rPr>
          <w:rFonts w:hint="eastAsia" w:ascii="宋体" w:hAnsi="宋体" w:cs="宋体"/>
          <w:color w:val="auto"/>
          <w:szCs w:val="21"/>
          <w:highlight w:val="none"/>
        </w:rPr>
      </w:pPr>
      <w:r>
        <w:rPr>
          <w:rFonts w:hint="eastAsia" w:ascii="宋体" w:hAnsi="宋体" w:cs="宋体"/>
          <w:color w:val="auto"/>
          <w:szCs w:val="21"/>
          <w:highlight w:val="none"/>
        </w:rPr>
        <w:t>2.2.3除非招标人认为确有必要答复，否则，招标人有权拒绝回复投标人在本章第2.2.1项规定的时间后的任何澄清要求。</w:t>
      </w:r>
    </w:p>
    <w:p w14:paraId="6B53BDDC">
      <w:pPr>
        <w:rPr>
          <w:rFonts w:hint="eastAsia" w:ascii="宋体" w:hAnsi="宋体" w:cs="宋体"/>
          <w:color w:val="auto"/>
          <w:szCs w:val="21"/>
          <w:highlight w:val="none"/>
        </w:rPr>
      </w:pPr>
      <w:r>
        <w:rPr>
          <w:rFonts w:hint="eastAsia" w:ascii="宋体" w:hAnsi="宋体" w:cs="宋体"/>
          <w:color w:val="auto"/>
          <w:szCs w:val="21"/>
          <w:highlight w:val="none"/>
        </w:rPr>
        <w:t>2.3招标文件的修改</w:t>
      </w:r>
    </w:p>
    <w:p w14:paraId="1D7F2CA3">
      <w:pPr>
        <w:rPr>
          <w:rFonts w:hint="eastAsia" w:ascii="宋体" w:hAnsi="宋体" w:cs="宋体"/>
          <w:color w:val="auto"/>
          <w:szCs w:val="21"/>
          <w:highlight w:val="none"/>
        </w:rPr>
      </w:pPr>
      <w:bookmarkStart w:id="48" w:name="bookmark70"/>
      <w:r>
        <w:rPr>
          <w:rFonts w:hint="eastAsia" w:ascii="宋体" w:hAnsi="宋体" w:cs="宋体"/>
          <w:color w:val="auto"/>
          <w:szCs w:val="21"/>
          <w:highlight w:val="none"/>
        </w:rPr>
        <w:t>2.3.1在投标截止时间15天前，确需要变更招标文件内容的，招标人可主动或在解答投标人提出的澄清问题时对招标文件进行修改。招标人对评标办法、评审项目等重要评审内容作何种变更，都要重新制作电子招标文件，并重新备案，同时发布补遗文件进行说明以保证各投标人都能重新下载最新的电子招标文件用于编制电子投标文件。招标文件的修改将在昆明市公共资源交易电子服务系统发布，招标文件的修改作为招标文件的组成部分，并具有约束力。</w:t>
      </w:r>
    </w:p>
    <w:p w14:paraId="4B99DDD8">
      <w:pPr>
        <w:rPr>
          <w:rFonts w:hint="eastAsia" w:ascii="宋体" w:hAnsi="宋体" w:cs="宋体"/>
          <w:color w:val="auto"/>
          <w:szCs w:val="21"/>
          <w:highlight w:val="none"/>
        </w:rPr>
      </w:pPr>
      <w:r>
        <w:rPr>
          <w:rFonts w:hint="eastAsia" w:ascii="宋体" w:hAnsi="宋体" w:cs="宋体"/>
          <w:color w:val="auto"/>
          <w:szCs w:val="21"/>
          <w:highlight w:val="none"/>
        </w:rPr>
        <w:t>2.3.2投标人自行登录昆明市公共资源交易电子服务系统收取修改内容，无须回复确认已收到该修改。投标人应在截标时间前随时查看“昆明市公共资源交易电子服务系统”中有关该招标文件的答疑、补遗内容。否则，由此引起的投标损失自负。</w:t>
      </w:r>
    </w:p>
    <w:p w14:paraId="240A41E1">
      <w:pPr>
        <w:rPr>
          <w:rFonts w:hint="eastAsia" w:ascii="宋体" w:hAnsi="宋体" w:cs="宋体"/>
          <w:color w:val="auto"/>
          <w:szCs w:val="21"/>
          <w:highlight w:val="none"/>
        </w:rPr>
      </w:pPr>
      <w:r>
        <w:rPr>
          <w:rFonts w:hint="eastAsia" w:ascii="宋体" w:hAnsi="宋体" w:cs="宋体"/>
          <w:color w:val="auto"/>
          <w:szCs w:val="21"/>
          <w:highlight w:val="none"/>
        </w:rPr>
        <w:t>2.3.3招标文件、招标文件澄清、招标文件修改文件内容均以网上发布的为准，当招标文件、招标文件澄清、招标文件修改文件内容相互矛盾时，以最后发出的为准。</w:t>
      </w:r>
    </w:p>
    <w:p w14:paraId="046AE48B">
      <w:pPr>
        <w:rPr>
          <w:rFonts w:hint="eastAsia" w:ascii="宋体" w:hAnsi="宋体" w:cs="宋体"/>
          <w:color w:val="auto"/>
          <w:szCs w:val="21"/>
          <w:highlight w:val="none"/>
        </w:rPr>
      </w:pPr>
      <w:r>
        <w:rPr>
          <w:rFonts w:hint="eastAsia" w:ascii="宋体" w:hAnsi="宋体" w:cs="宋体"/>
          <w:color w:val="auto"/>
          <w:szCs w:val="21"/>
          <w:highlight w:val="none"/>
        </w:rPr>
        <w:t>2.4招标文件的异议</w:t>
      </w:r>
      <w:bookmarkEnd w:id="48"/>
    </w:p>
    <w:p w14:paraId="792E76B3">
      <w:pPr>
        <w:rPr>
          <w:rFonts w:hint="eastAsia" w:ascii="宋体" w:hAnsi="宋体" w:cs="宋体"/>
          <w:color w:val="auto"/>
          <w:szCs w:val="21"/>
          <w:highlight w:val="none"/>
        </w:rPr>
      </w:pPr>
      <w:bookmarkStart w:id="49" w:name="bookmark71"/>
      <w:r>
        <w:rPr>
          <w:rFonts w:hint="eastAsia" w:ascii="宋体" w:hAnsi="宋体" w:cs="宋体"/>
          <w:color w:val="auto"/>
          <w:szCs w:val="21"/>
          <w:highlight w:val="none"/>
        </w:rPr>
        <w:t>投标人或者其他利害关系人对招标文件有异议的，应当在投标截止时间10日前以书面形式提出。招标人将在收到异议之日起3日内作出答复；作出答复前，将暂停招标投标活动。</w:t>
      </w:r>
      <w:bookmarkEnd w:id="49"/>
    </w:p>
    <w:p w14:paraId="281756C5">
      <w:pPr>
        <w:ind w:firstLine="0" w:firstLineChars="0"/>
        <w:rPr>
          <w:rFonts w:hint="eastAsia" w:ascii="宋体" w:hAnsi="宋体" w:cs="宋体"/>
          <w:b/>
          <w:bCs/>
          <w:color w:val="auto"/>
          <w:szCs w:val="21"/>
          <w:highlight w:val="none"/>
        </w:rPr>
      </w:pPr>
      <w:r>
        <w:rPr>
          <w:rFonts w:hint="eastAsia" w:ascii="宋体" w:hAnsi="宋体" w:cs="宋体"/>
          <w:b/>
          <w:bCs/>
          <w:color w:val="auto"/>
          <w:szCs w:val="21"/>
          <w:highlight w:val="none"/>
        </w:rPr>
        <w:t>3、投标文件</w:t>
      </w:r>
    </w:p>
    <w:p w14:paraId="63D93BA5">
      <w:pPr>
        <w:rPr>
          <w:rFonts w:hint="eastAsia" w:ascii="宋体" w:hAnsi="宋体" w:cs="宋体"/>
          <w:color w:val="auto"/>
          <w:szCs w:val="21"/>
          <w:highlight w:val="none"/>
        </w:rPr>
      </w:pPr>
      <w:r>
        <w:rPr>
          <w:rFonts w:hint="eastAsia" w:ascii="宋体" w:hAnsi="宋体" w:cs="宋体"/>
          <w:color w:val="auto"/>
          <w:szCs w:val="21"/>
          <w:highlight w:val="none"/>
        </w:rPr>
        <w:t>3.1投标文件的组成</w:t>
      </w:r>
    </w:p>
    <w:p w14:paraId="0649CE36">
      <w:pPr>
        <w:rPr>
          <w:rFonts w:hint="eastAsia" w:ascii="宋体" w:hAnsi="宋体" w:cs="宋体"/>
          <w:color w:val="auto"/>
          <w:szCs w:val="21"/>
          <w:highlight w:val="none"/>
        </w:rPr>
      </w:pPr>
      <w:r>
        <w:rPr>
          <w:rFonts w:hint="eastAsia" w:ascii="宋体" w:hAnsi="宋体" w:cs="宋体"/>
          <w:color w:val="auto"/>
          <w:szCs w:val="21"/>
          <w:highlight w:val="none"/>
        </w:rPr>
        <w:t>3.1.1投标文件全部采用电子文档，由资格审查部分、商务标部分、技术标部分组成。</w:t>
      </w:r>
    </w:p>
    <w:p w14:paraId="2A5504E0">
      <w:pPr>
        <w:rPr>
          <w:rFonts w:hint="eastAsia" w:ascii="宋体" w:hAnsi="宋体" w:cs="宋体"/>
          <w:color w:val="auto"/>
          <w:szCs w:val="21"/>
          <w:highlight w:val="none"/>
        </w:rPr>
      </w:pPr>
      <w:r>
        <w:rPr>
          <w:rFonts w:hint="eastAsia" w:ascii="宋体" w:hAnsi="宋体" w:cs="宋体"/>
          <w:color w:val="auto"/>
          <w:szCs w:val="21"/>
          <w:highlight w:val="none"/>
        </w:rPr>
        <w:t>3.2投标报价</w:t>
      </w:r>
    </w:p>
    <w:p w14:paraId="20E7FAFF">
      <w:pPr>
        <w:rPr>
          <w:rFonts w:hint="eastAsia" w:ascii="宋体" w:hAnsi="宋体" w:cs="宋体"/>
          <w:color w:val="auto"/>
          <w:szCs w:val="21"/>
          <w:highlight w:val="none"/>
        </w:rPr>
      </w:pPr>
      <w:r>
        <w:rPr>
          <w:rFonts w:hint="eastAsia" w:ascii="宋体" w:hAnsi="宋体" w:cs="宋体"/>
          <w:color w:val="auto"/>
          <w:szCs w:val="21"/>
          <w:highlight w:val="none"/>
        </w:rPr>
        <w:t>3.2.1投标报价指货物的报价和标准附件、备品备件、专用工具、运输、装卸、验收合格所需的各种费用及必要的保险费用和各项税金等所有费用的总和。货物的出厂价指制造厂生产的，满足招标要求及符合国家质量检测标准的货物的价格。包括但不仅限于产品的设计费、供应商为取得生产制造投标货物所需的费用或为招标人提供所生产货物的技术资料的费用、生产所需的材料费、加工费、辅助材料费、专用工具费、废品损失费、外购配套件费、包装费、利润和税金等费用。还包括必不可少的部件、标准备件、专用工具的价格。</w:t>
      </w:r>
    </w:p>
    <w:p w14:paraId="5949D4DD">
      <w:pPr>
        <w:rPr>
          <w:rFonts w:hint="eastAsia" w:ascii="宋体" w:hAnsi="宋体" w:cs="宋体"/>
          <w:color w:val="auto"/>
          <w:szCs w:val="21"/>
          <w:highlight w:val="none"/>
        </w:rPr>
      </w:pPr>
      <w:r>
        <w:rPr>
          <w:rFonts w:hint="eastAsia" w:ascii="宋体" w:hAnsi="宋体" w:cs="宋体"/>
          <w:color w:val="auto"/>
          <w:szCs w:val="21"/>
          <w:highlight w:val="none"/>
        </w:rPr>
        <w:t>3.2.2投标人在投标截止时间前修改投标函中的投标总报价，应同时修改第四章“投标报价表”中的相应报价。</w:t>
      </w:r>
    </w:p>
    <w:p w14:paraId="77196EF4">
      <w:pPr>
        <w:rPr>
          <w:rFonts w:hint="eastAsia" w:ascii="宋体" w:hAnsi="宋体" w:cs="宋体"/>
          <w:color w:val="auto"/>
          <w:szCs w:val="21"/>
          <w:highlight w:val="none"/>
        </w:rPr>
      </w:pPr>
      <w:r>
        <w:rPr>
          <w:rFonts w:hint="eastAsia" w:ascii="宋体" w:hAnsi="宋体" w:cs="宋体"/>
          <w:color w:val="auto"/>
          <w:szCs w:val="21"/>
          <w:highlight w:val="none"/>
        </w:rPr>
        <w:t>3.2.3投标人的投标报价应依据招标文件的要求及有关资料，执行国家规定的现行技术、经济标准、定额及规范，由投标人自选测算出现行市场的设备、材料及各类价格。报价包括但不仅限于货物的设计、制造、材料采购、检验检测费、运输交货、指导安装调试、质保期内服务、市场价格的变化、利润及税金等费用，该报价应符合国内行情并能保证投标人完成履行合同所需的一切工作。合同一旦签订，此合同价格在合同实施期间将不因工作量及市场设备材料价格的变化而调整。</w:t>
      </w:r>
    </w:p>
    <w:p w14:paraId="717E6785">
      <w:pPr>
        <w:rPr>
          <w:rFonts w:hint="eastAsia" w:ascii="宋体" w:hAnsi="宋体" w:cs="宋体"/>
          <w:color w:val="auto"/>
          <w:szCs w:val="21"/>
          <w:highlight w:val="none"/>
        </w:rPr>
      </w:pPr>
      <w:r>
        <w:rPr>
          <w:rFonts w:hint="eastAsia" w:ascii="宋体" w:hAnsi="宋体" w:cs="宋体"/>
          <w:color w:val="auto"/>
          <w:szCs w:val="21"/>
          <w:highlight w:val="none"/>
        </w:rPr>
        <w:t>3.2.4运杂费用：即投标货物到指定项目交货地点。按“投标人须知前附表”规定的交货方式交货前的所有费用，包括铁路或公路运费、提货及转运费用、短途运费、包装费、装卸费用等。</w:t>
      </w:r>
    </w:p>
    <w:p w14:paraId="7C599C76">
      <w:pPr>
        <w:rPr>
          <w:rFonts w:hint="eastAsia" w:ascii="宋体" w:hAnsi="宋体" w:cs="宋体"/>
          <w:color w:val="auto"/>
          <w:szCs w:val="21"/>
          <w:highlight w:val="none"/>
        </w:rPr>
      </w:pPr>
      <w:r>
        <w:rPr>
          <w:rFonts w:hint="eastAsia" w:ascii="宋体" w:hAnsi="宋体" w:cs="宋体"/>
          <w:color w:val="auto"/>
          <w:szCs w:val="21"/>
          <w:highlight w:val="none"/>
        </w:rPr>
        <w:t>3.3投标有效期</w:t>
      </w:r>
    </w:p>
    <w:p w14:paraId="371A3B1A">
      <w:pPr>
        <w:rPr>
          <w:rFonts w:hint="eastAsia" w:ascii="宋体" w:hAnsi="宋体" w:cs="宋体"/>
          <w:color w:val="auto"/>
          <w:szCs w:val="21"/>
          <w:highlight w:val="none"/>
        </w:rPr>
      </w:pPr>
      <w:r>
        <w:rPr>
          <w:rFonts w:hint="eastAsia" w:ascii="宋体" w:hAnsi="宋体" w:cs="宋体"/>
          <w:color w:val="auto"/>
          <w:szCs w:val="21"/>
          <w:highlight w:val="none"/>
        </w:rPr>
        <w:t>3.3.1在投标人须知前附表规定的投标有效期内，投标人不得要求撤销或修改其投标文件。</w:t>
      </w:r>
    </w:p>
    <w:p w14:paraId="0FA6D3EC">
      <w:pPr>
        <w:rPr>
          <w:rFonts w:hint="eastAsia" w:ascii="宋体" w:hAnsi="宋体" w:cs="宋体"/>
          <w:color w:val="auto"/>
          <w:szCs w:val="21"/>
          <w:highlight w:val="none"/>
        </w:rPr>
      </w:pPr>
      <w:r>
        <w:rPr>
          <w:rFonts w:hint="eastAsia" w:ascii="宋体" w:hAnsi="宋体" w:cs="宋体"/>
          <w:color w:val="auto"/>
          <w:szCs w:val="21"/>
          <w:highlight w:val="none"/>
        </w:rPr>
        <w:t>3.3.2在投标有效期内，投标人撤销或修改其投标文件的，应承担招标文件和法律规定的责任。</w:t>
      </w:r>
    </w:p>
    <w:p w14:paraId="65BBC2B4">
      <w:pPr>
        <w:rPr>
          <w:rFonts w:hint="eastAsia" w:ascii="宋体" w:hAnsi="宋体" w:cs="宋体"/>
          <w:color w:val="auto"/>
          <w:szCs w:val="21"/>
          <w:highlight w:val="none"/>
        </w:rPr>
      </w:pPr>
      <w:r>
        <w:rPr>
          <w:rFonts w:hint="eastAsia" w:ascii="宋体" w:hAnsi="宋体" w:cs="宋体"/>
          <w:color w:val="auto"/>
          <w:szCs w:val="21"/>
          <w:highlight w:val="none"/>
        </w:rPr>
        <w:t>3.3.3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w:t>
      </w:r>
    </w:p>
    <w:p w14:paraId="1BD5EE01">
      <w:pPr>
        <w:rPr>
          <w:rFonts w:hint="eastAsia" w:ascii="宋体" w:hAnsi="宋体" w:cs="宋体"/>
          <w:color w:val="auto"/>
          <w:szCs w:val="21"/>
          <w:highlight w:val="none"/>
        </w:rPr>
      </w:pPr>
      <w:r>
        <w:rPr>
          <w:rFonts w:hint="eastAsia" w:ascii="宋体" w:hAnsi="宋体" w:cs="宋体"/>
          <w:color w:val="auto"/>
          <w:szCs w:val="21"/>
          <w:highlight w:val="none"/>
        </w:rPr>
        <w:t>3.4投标保证金</w:t>
      </w:r>
    </w:p>
    <w:p w14:paraId="5DF5414B">
      <w:pPr>
        <w:rPr>
          <w:rFonts w:hint="eastAsia" w:ascii="宋体" w:hAnsi="宋体" w:cs="宋体"/>
          <w:color w:val="auto"/>
          <w:szCs w:val="21"/>
          <w:highlight w:val="none"/>
        </w:rPr>
      </w:pPr>
      <w:r>
        <w:rPr>
          <w:rFonts w:hint="eastAsia" w:ascii="宋体" w:hAnsi="宋体" w:cs="宋体"/>
          <w:color w:val="auto"/>
          <w:szCs w:val="21"/>
          <w:highlight w:val="none"/>
        </w:rPr>
        <w:t>3.4.1投标人在递交投标文件的同时，应按投标人须知前附表的规定递交投标保证金。联合体投标的，其投标保证金由牵头人递交，并应符合投标人须知前附表的规定。</w:t>
      </w:r>
    </w:p>
    <w:p w14:paraId="58C91958">
      <w:pPr>
        <w:rPr>
          <w:rFonts w:hint="eastAsia" w:ascii="宋体" w:hAnsi="宋体" w:cs="宋体"/>
          <w:color w:val="auto"/>
          <w:szCs w:val="21"/>
          <w:highlight w:val="none"/>
        </w:rPr>
      </w:pPr>
      <w:r>
        <w:rPr>
          <w:rFonts w:hint="eastAsia" w:ascii="宋体" w:hAnsi="宋体" w:cs="宋体"/>
          <w:color w:val="auto"/>
          <w:szCs w:val="21"/>
          <w:highlight w:val="none"/>
        </w:rPr>
        <w:t>3.4.2投标人不按本章第3.4.1项要求提交投标保证金的，其投标文件作否决投标处理。</w:t>
      </w:r>
    </w:p>
    <w:p w14:paraId="3A2F431B">
      <w:pPr>
        <w:rPr>
          <w:rFonts w:hint="eastAsia" w:ascii="宋体" w:hAnsi="宋体" w:cs="宋体"/>
          <w:color w:val="auto"/>
          <w:szCs w:val="21"/>
          <w:highlight w:val="none"/>
        </w:rPr>
      </w:pPr>
      <w:r>
        <w:rPr>
          <w:rFonts w:hint="eastAsia" w:ascii="宋体" w:hAnsi="宋体" w:cs="宋体"/>
          <w:color w:val="auto"/>
          <w:szCs w:val="21"/>
          <w:highlight w:val="none"/>
        </w:rPr>
        <w:t>3.4.3投标保证金退还到投标人的基本账户。</w:t>
      </w:r>
    </w:p>
    <w:p w14:paraId="2D4C4125">
      <w:pPr>
        <w:rPr>
          <w:rFonts w:hint="eastAsia" w:ascii="宋体" w:hAnsi="宋体" w:cs="宋体"/>
          <w:color w:val="auto"/>
          <w:szCs w:val="21"/>
          <w:highlight w:val="none"/>
        </w:rPr>
      </w:pPr>
      <w:r>
        <w:rPr>
          <w:rFonts w:hint="eastAsia" w:ascii="宋体" w:hAnsi="宋体" w:cs="宋体"/>
          <w:color w:val="auto"/>
          <w:szCs w:val="21"/>
          <w:highlight w:val="none"/>
        </w:rPr>
        <w:t>3.4.4有下列情形之一的，投标保证金将不予退还：</w:t>
      </w:r>
    </w:p>
    <w:p w14:paraId="6B05E13F">
      <w:pPr>
        <w:rPr>
          <w:rFonts w:hint="eastAsia" w:ascii="宋体" w:hAnsi="宋体" w:cs="宋体"/>
          <w:color w:val="auto"/>
          <w:szCs w:val="21"/>
          <w:highlight w:val="none"/>
        </w:rPr>
      </w:pPr>
      <w:r>
        <w:rPr>
          <w:rFonts w:hint="eastAsia" w:ascii="宋体" w:hAnsi="宋体" w:cs="宋体"/>
          <w:color w:val="auto"/>
          <w:szCs w:val="21"/>
          <w:highlight w:val="none"/>
        </w:rPr>
        <w:t>（1）投标人在规定的投标有效期内撤销或修改其投标文件；</w:t>
      </w:r>
    </w:p>
    <w:p w14:paraId="19573260">
      <w:pPr>
        <w:rPr>
          <w:rFonts w:hint="eastAsia" w:ascii="宋体" w:hAnsi="宋体" w:cs="宋体"/>
          <w:color w:val="auto"/>
          <w:szCs w:val="21"/>
          <w:highlight w:val="none"/>
        </w:rPr>
      </w:pPr>
      <w:r>
        <w:rPr>
          <w:rFonts w:hint="eastAsia" w:ascii="宋体" w:hAnsi="宋体" w:cs="宋体"/>
          <w:color w:val="auto"/>
          <w:szCs w:val="21"/>
          <w:highlight w:val="none"/>
        </w:rPr>
        <w:t>（2）中标人无正当理由不与招标人订立合同，在签订合同时向招标人提出附加条件。</w:t>
      </w:r>
    </w:p>
    <w:p w14:paraId="26FBB62F">
      <w:pPr>
        <w:rPr>
          <w:rFonts w:hint="eastAsia" w:ascii="宋体" w:hAnsi="宋体" w:cs="宋体"/>
          <w:color w:val="auto"/>
          <w:highlight w:val="none"/>
        </w:rPr>
      </w:pPr>
      <w:r>
        <w:rPr>
          <w:rFonts w:hint="eastAsia" w:ascii="宋体" w:hAnsi="宋体" w:cs="宋体"/>
          <w:color w:val="auto"/>
          <w:highlight w:val="none"/>
        </w:rPr>
        <w:t>3.5资格审查资料</w:t>
      </w:r>
    </w:p>
    <w:p w14:paraId="520E8876">
      <w:pPr>
        <w:rPr>
          <w:rFonts w:hint="eastAsia" w:ascii="宋体" w:hAnsi="宋体" w:cs="宋体"/>
          <w:color w:val="auto"/>
          <w:highlight w:val="none"/>
        </w:rPr>
      </w:pPr>
      <w:r>
        <w:rPr>
          <w:rFonts w:hint="eastAsia" w:ascii="宋体" w:hAnsi="宋体" w:cs="宋体"/>
          <w:color w:val="auto"/>
          <w:highlight w:val="none"/>
        </w:rPr>
        <w:t>3.5.1“投标人基本情况表”附投标人营业执照、经销商须提供生产制造商出具的授权书原件等材料扫描件。</w:t>
      </w:r>
    </w:p>
    <w:p w14:paraId="64002CC0">
      <w:pPr>
        <w:rPr>
          <w:rFonts w:hint="eastAsia" w:ascii="宋体" w:hAnsi="宋体" w:cs="宋体"/>
          <w:color w:val="auto"/>
          <w:highlight w:val="none"/>
        </w:rPr>
      </w:pPr>
      <w:r>
        <w:rPr>
          <w:rFonts w:hint="eastAsia" w:ascii="宋体" w:hAnsi="宋体" w:cs="宋体"/>
          <w:color w:val="auto"/>
          <w:highlight w:val="none"/>
        </w:rPr>
        <w:t>3.5.2“近年财务状况表”应附经会计师事务所或审计机构审计的审计报告及财务报表原件扫描件，具体年份要求见投标人须知前附表。</w:t>
      </w:r>
    </w:p>
    <w:p w14:paraId="3C27700B">
      <w:pPr>
        <w:rPr>
          <w:rFonts w:hint="eastAsia" w:ascii="宋体" w:hAnsi="宋体" w:cs="宋体"/>
          <w:color w:val="auto"/>
          <w:highlight w:val="none"/>
        </w:rPr>
      </w:pPr>
      <w:r>
        <w:rPr>
          <w:rFonts w:hint="eastAsia" w:ascii="宋体" w:hAnsi="宋体" w:cs="宋体"/>
          <w:color w:val="auto"/>
          <w:highlight w:val="none"/>
        </w:rPr>
        <w:t>3.6备选投标方案</w:t>
      </w:r>
    </w:p>
    <w:p w14:paraId="430AF905">
      <w:pPr>
        <w:rPr>
          <w:rFonts w:hint="eastAsia" w:ascii="宋体" w:hAnsi="宋体" w:cs="宋体"/>
          <w:color w:val="auto"/>
          <w:highlight w:val="none"/>
        </w:rPr>
      </w:pPr>
      <w:r>
        <w:rPr>
          <w:rFonts w:hint="eastAsia" w:ascii="宋体" w:hAnsi="宋体" w:cs="宋体"/>
          <w:color w:val="auto"/>
          <w:szCs w:val="21"/>
          <w:highlight w:val="none"/>
        </w:rPr>
        <w:t>不接受备选投标方案</w:t>
      </w:r>
      <w:r>
        <w:rPr>
          <w:rFonts w:hint="eastAsia" w:ascii="宋体" w:hAnsi="宋体" w:cs="宋体"/>
          <w:color w:val="auto"/>
          <w:highlight w:val="none"/>
        </w:rPr>
        <w:t>。</w:t>
      </w:r>
    </w:p>
    <w:p w14:paraId="529ED935">
      <w:pPr>
        <w:rPr>
          <w:rFonts w:hint="eastAsia" w:ascii="宋体" w:hAnsi="宋体" w:cs="宋体"/>
          <w:color w:val="auto"/>
          <w:highlight w:val="none"/>
        </w:rPr>
      </w:pPr>
      <w:r>
        <w:rPr>
          <w:rFonts w:hint="eastAsia" w:ascii="宋体" w:hAnsi="宋体" w:cs="宋体"/>
          <w:color w:val="auto"/>
          <w:highlight w:val="none"/>
        </w:rPr>
        <w:t>3.7投标文件的编制</w:t>
      </w:r>
    </w:p>
    <w:p w14:paraId="06B3E02E">
      <w:pPr>
        <w:rPr>
          <w:rFonts w:hint="eastAsia" w:ascii="宋体" w:hAnsi="宋体" w:cs="宋体"/>
          <w:color w:val="auto"/>
          <w:szCs w:val="21"/>
          <w:highlight w:val="none"/>
        </w:rPr>
      </w:pPr>
      <w:r>
        <w:rPr>
          <w:rFonts w:hint="eastAsia" w:ascii="宋体" w:hAnsi="宋体" w:cs="宋体"/>
          <w:color w:val="auto"/>
          <w:highlight w:val="none"/>
        </w:rPr>
        <w:t>3.7.1</w:t>
      </w:r>
      <w:r>
        <w:rPr>
          <w:rFonts w:hint="eastAsia" w:ascii="宋体" w:hAnsi="宋体" w:cs="宋体"/>
          <w:color w:val="auto"/>
          <w:szCs w:val="21"/>
          <w:highlight w:val="none"/>
        </w:rPr>
        <w:t>投标文件全部采用电子文档，由资格审查文件、商务标部分文件、技术标部分文件组成。</w:t>
      </w:r>
    </w:p>
    <w:p w14:paraId="40ACFED2">
      <w:pPr>
        <w:rPr>
          <w:rFonts w:hint="eastAsia" w:ascii="宋体" w:hAnsi="宋体" w:cs="宋体"/>
          <w:color w:val="auto"/>
          <w:szCs w:val="21"/>
          <w:highlight w:val="none"/>
        </w:rPr>
      </w:pPr>
      <w:r>
        <w:rPr>
          <w:rFonts w:hint="eastAsia" w:ascii="宋体" w:hAnsi="宋体" w:cs="宋体"/>
          <w:color w:val="auto"/>
          <w:szCs w:val="21"/>
          <w:highlight w:val="none"/>
        </w:rPr>
        <w:t>商务标部分电子标书、资格审查文件、技术标部分电子标书必须使用《工程建设模块化投标工具》制作。</w:t>
      </w:r>
    </w:p>
    <w:p w14:paraId="590DE53D">
      <w:pPr>
        <w:rPr>
          <w:rFonts w:hint="eastAsia" w:ascii="宋体" w:hAnsi="宋体" w:cs="宋体"/>
          <w:color w:val="auto"/>
          <w:szCs w:val="21"/>
          <w:highlight w:val="none"/>
        </w:rPr>
      </w:pPr>
      <w:r>
        <w:rPr>
          <w:rFonts w:hint="eastAsia" w:ascii="宋体" w:hAnsi="宋体" w:cs="宋体"/>
          <w:color w:val="auto"/>
          <w:highlight w:val="none"/>
        </w:rPr>
        <w:t xml:space="preserve">3.7.2 </w:t>
      </w:r>
      <w:r>
        <w:rPr>
          <w:rFonts w:hint="eastAsia" w:ascii="宋体" w:hAnsi="宋体" w:cs="宋体"/>
          <w:color w:val="auto"/>
          <w:szCs w:val="21"/>
          <w:highlight w:val="none"/>
        </w:rPr>
        <w:t>暗标编制要求：投标人制作投标文件技术标时，必须按下列要求将技术标制作为暗标（本项目不采用暗标评审）；</w:t>
      </w:r>
    </w:p>
    <w:p w14:paraId="0947EF60">
      <w:pPr>
        <w:rPr>
          <w:rFonts w:hint="eastAsia" w:ascii="宋体" w:hAnsi="宋体" w:cs="宋体"/>
          <w:color w:val="auto"/>
          <w:szCs w:val="21"/>
          <w:highlight w:val="none"/>
        </w:rPr>
      </w:pPr>
      <w:r>
        <w:rPr>
          <w:rFonts w:hint="eastAsia" w:ascii="宋体" w:hAnsi="宋体" w:cs="宋体"/>
          <w:color w:val="auto"/>
          <w:szCs w:val="21"/>
          <w:highlight w:val="none"/>
        </w:rPr>
        <w:t>投标文件中技术标部分不得出现投标人名称、标识及能够识别投标人的标记和内容，否则，将作否决投标处理。</w:t>
      </w:r>
    </w:p>
    <w:p w14:paraId="36792625">
      <w:pPr>
        <w:rPr>
          <w:rFonts w:hint="eastAsia" w:ascii="宋体" w:hAnsi="宋体" w:cs="宋体"/>
          <w:color w:val="auto"/>
          <w:szCs w:val="21"/>
          <w:highlight w:val="none"/>
        </w:rPr>
      </w:pPr>
      <w:r>
        <w:rPr>
          <w:rFonts w:hint="eastAsia" w:ascii="宋体" w:hAnsi="宋体" w:cs="宋体"/>
          <w:color w:val="auto"/>
          <w:szCs w:val="21"/>
          <w:highlight w:val="none"/>
        </w:rPr>
        <w:t>在编制技术标投标文件时，粘贴图片使用JPG格式的文件，并且每张图片的分辨率应小于100dpi，最终的每份标书文件所占用的磁盘空间必须小于100M。</w:t>
      </w:r>
    </w:p>
    <w:p w14:paraId="53F819D9">
      <w:pPr>
        <w:rPr>
          <w:rFonts w:hint="eastAsia" w:ascii="宋体" w:hAnsi="宋体" w:cs="宋体"/>
          <w:color w:val="auto"/>
          <w:szCs w:val="21"/>
          <w:highlight w:val="none"/>
        </w:rPr>
      </w:pPr>
      <w:r>
        <w:rPr>
          <w:rFonts w:hint="eastAsia" w:ascii="宋体" w:hAnsi="宋体" w:cs="宋体"/>
          <w:color w:val="auto"/>
          <w:highlight w:val="none"/>
        </w:rPr>
        <w:t>3.7.3</w:t>
      </w:r>
      <w:r>
        <w:rPr>
          <w:rFonts w:hint="eastAsia" w:ascii="宋体" w:hAnsi="宋体" w:cs="宋体"/>
          <w:color w:val="auto"/>
          <w:szCs w:val="21"/>
          <w:highlight w:val="none"/>
        </w:rPr>
        <w:t>如投标人提交的电子标书不符合3.7.1要求或开标时无法读取导入或解密，其投标文件将不予受理。</w:t>
      </w:r>
    </w:p>
    <w:p w14:paraId="1B0BD6D5">
      <w:pPr>
        <w:rPr>
          <w:rFonts w:hint="eastAsia" w:ascii="宋体" w:hAnsi="宋体" w:cs="宋体"/>
          <w:color w:val="auto"/>
          <w:szCs w:val="21"/>
          <w:highlight w:val="none"/>
        </w:rPr>
      </w:pPr>
      <w:r>
        <w:rPr>
          <w:rFonts w:hint="eastAsia" w:ascii="宋体" w:hAnsi="宋体" w:cs="宋体"/>
          <w:color w:val="auto"/>
          <w:highlight w:val="none"/>
        </w:rPr>
        <w:t>3.7.4投标文件应当对招标文件有关交货期、投标有效期、质量要求、招标范围等实质性内容作出响</w:t>
      </w:r>
      <w:r>
        <w:rPr>
          <w:rFonts w:hint="eastAsia" w:ascii="宋体" w:hAnsi="宋体" w:cs="宋体"/>
          <w:color w:val="auto"/>
          <w:szCs w:val="21"/>
          <w:highlight w:val="none"/>
        </w:rPr>
        <w:t>应。</w:t>
      </w:r>
    </w:p>
    <w:p w14:paraId="678B5118">
      <w:pPr>
        <w:rPr>
          <w:rFonts w:hint="eastAsia" w:ascii="宋体" w:hAnsi="宋体" w:cs="宋体"/>
          <w:color w:val="auto"/>
          <w:highlight w:val="none"/>
        </w:rPr>
      </w:pPr>
      <w:r>
        <w:rPr>
          <w:rFonts w:hint="eastAsia" w:ascii="宋体" w:hAnsi="宋体" w:cs="宋体"/>
          <w:color w:val="auto"/>
          <w:highlight w:val="none"/>
        </w:rPr>
        <w:t>3.7.5投标文件电子签章及电子签名要求：见投标人须知前附表。</w:t>
      </w:r>
    </w:p>
    <w:p w14:paraId="7C0AD383">
      <w:pPr>
        <w:rPr>
          <w:rFonts w:hint="eastAsia" w:ascii="宋体" w:hAnsi="宋体" w:cs="宋体"/>
          <w:color w:val="auto"/>
          <w:highlight w:val="none"/>
        </w:rPr>
      </w:pPr>
      <w:r>
        <w:rPr>
          <w:rFonts w:hint="eastAsia" w:ascii="宋体" w:hAnsi="宋体" w:cs="宋体"/>
          <w:color w:val="auto"/>
          <w:highlight w:val="none"/>
        </w:rPr>
        <w:t>3.7.6投标文件的提交：见投标人须知前附表。</w:t>
      </w:r>
    </w:p>
    <w:p w14:paraId="65A8EA8B">
      <w:pPr>
        <w:ind w:firstLine="0" w:firstLineChars="0"/>
        <w:rPr>
          <w:rFonts w:hint="eastAsia" w:ascii="宋体" w:hAnsi="宋体" w:cs="宋体"/>
          <w:b/>
          <w:bCs/>
          <w:color w:val="auto"/>
          <w:szCs w:val="22"/>
          <w:highlight w:val="none"/>
        </w:rPr>
      </w:pPr>
      <w:r>
        <w:rPr>
          <w:rFonts w:hint="eastAsia" w:ascii="宋体" w:hAnsi="宋体" w:cs="宋体"/>
          <w:b/>
          <w:bCs/>
          <w:color w:val="auto"/>
          <w:szCs w:val="22"/>
          <w:highlight w:val="none"/>
        </w:rPr>
        <w:t>4、投标</w:t>
      </w:r>
    </w:p>
    <w:p w14:paraId="0254E35D">
      <w:pPr>
        <w:rPr>
          <w:rFonts w:hint="eastAsia" w:ascii="宋体" w:hAnsi="宋体" w:cs="宋体"/>
          <w:color w:val="auto"/>
          <w:highlight w:val="none"/>
        </w:rPr>
      </w:pPr>
      <w:r>
        <w:rPr>
          <w:rFonts w:hint="eastAsia" w:ascii="宋体" w:hAnsi="宋体" w:cs="宋体"/>
          <w:color w:val="auto"/>
          <w:highlight w:val="none"/>
        </w:rPr>
        <w:t>4.1投标文件的加密</w:t>
      </w:r>
    </w:p>
    <w:p w14:paraId="58406BF4">
      <w:pPr>
        <w:rPr>
          <w:rFonts w:hint="eastAsia" w:ascii="宋体" w:hAnsi="宋体" w:cs="宋体"/>
          <w:color w:val="auto"/>
          <w:highlight w:val="none"/>
        </w:rPr>
      </w:pPr>
      <w:r>
        <w:rPr>
          <w:rFonts w:hint="eastAsia" w:ascii="宋体" w:hAnsi="宋体" w:cs="宋体"/>
          <w:color w:val="auto"/>
          <w:highlight w:val="none"/>
        </w:rPr>
        <w:t>4.1.1网上递交的投标文件需要对投标文件进行加密。</w:t>
      </w:r>
    </w:p>
    <w:p w14:paraId="261181EB">
      <w:pPr>
        <w:rPr>
          <w:rFonts w:hint="eastAsia" w:ascii="宋体" w:hAnsi="宋体" w:cs="宋体"/>
          <w:color w:val="auto"/>
          <w:highlight w:val="none"/>
        </w:rPr>
      </w:pPr>
      <w:r>
        <w:rPr>
          <w:rFonts w:hint="eastAsia" w:ascii="宋体" w:hAnsi="宋体" w:cs="宋体"/>
          <w:color w:val="auto"/>
          <w:highlight w:val="none"/>
        </w:rPr>
        <w:t>4.2投标文件的递交</w:t>
      </w:r>
    </w:p>
    <w:p w14:paraId="016CD26E">
      <w:pPr>
        <w:rPr>
          <w:rFonts w:hint="eastAsia" w:ascii="宋体" w:hAnsi="宋体" w:cs="宋体"/>
          <w:color w:val="auto"/>
          <w:highlight w:val="none"/>
        </w:rPr>
      </w:pPr>
      <w:r>
        <w:rPr>
          <w:rFonts w:hint="eastAsia" w:ascii="宋体" w:hAnsi="宋体" w:cs="宋体"/>
          <w:color w:val="auto"/>
          <w:highlight w:val="none"/>
        </w:rPr>
        <w:t>4.2.1投标人应在本章第2.2.2项规定的投标截止时间前递交投标文件。</w:t>
      </w:r>
    </w:p>
    <w:p w14:paraId="1CEBC8FE">
      <w:pPr>
        <w:rPr>
          <w:rFonts w:hint="eastAsia" w:ascii="宋体" w:hAnsi="宋体" w:cs="宋体"/>
          <w:color w:val="auto"/>
          <w:highlight w:val="none"/>
        </w:rPr>
      </w:pPr>
      <w:r>
        <w:rPr>
          <w:rFonts w:hint="eastAsia" w:ascii="宋体" w:hAnsi="宋体" w:cs="宋体"/>
          <w:color w:val="auto"/>
          <w:highlight w:val="none"/>
        </w:rPr>
        <w:t>4.2.2网上上传投标文件：投标人登录“</w:t>
      </w:r>
      <w:r>
        <w:rPr>
          <w:rFonts w:hint="eastAsia" w:ascii="宋体" w:hAnsi="宋体" w:cs="宋体"/>
          <w:color w:val="auto"/>
          <w:szCs w:val="21"/>
          <w:highlight w:val="none"/>
        </w:rPr>
        <w:t>昆明市公共资源交易电子服务系统</w:t>
      </w:r>
      <w:r>
        <w:rPr>
          <w:rFonts w:hint="eastAsia" w:ascii="宋体" w:hAnsi="宋体" w:cs="宋体"/>
          <w:color w:val="auto"/>
          <w:highlight w:val="none"/>
        </w:rPr>
        <w:t>”，根据拟要投标的项目，按照网上投标系统要求上传投标文件，包括资格审查文件、商务标文件、技术标文件，商务标电子文件必须使用《工程建设模块化投标工具》制作，并完成最后的“确认并签名”，打印“上传投标文件回执”，表明投标人网上上传投标文件成功。</w:t>
      </w:r>
    </w:p>
    <w:p w14:paraId="3BB3E994">
      <w:pPr>
        <w:rPr>
          <w:rFonts w:hint="eastAsia" w:ascii="宋体" w:hAnsi="宋体" w:cs="宋体"/>
          <w:color w:val="auto"/>
          <w:highlight w:val="none"/>
        </w:rPr>
      </w:pPr>
      <w:r>
        <w:rPr>
          <w:rFonts w:hint="eastAsia" w:ascii="宋体" w:hAnsi="宋体" w:cs="宋体"/>
          <w:color w:val="auto"/>
          <w:highlight w:val="none"/>
        </w:rPr>
        <w:t>4.2.3除投标人须知前附表另有规定外，投标人所递交的投标文件不予退还。</w:t>
      </w:r>
    </w:p>
    <w:p w14:paraId="120C8565">
      <w:pPr>
        <w:rPr>
          <w:rFonts w:hint="eastAsia" w:ascii="宋体" w:hAnsi="宋体" w:cs="宋体"/>
          <w:color w:val="auto"/>
          <w:highlight w:val="none"/>
        </w:rPr>
      </w:pPr>
      <w:r>
        <w:rPr>
          <w:rFonts w:hint="eastAsia" w:ascii="宋体" w:hAnsi="宋体" w:cs="宋体"/>
          <w:color w:val="auto"/>
          <w:highlight w:val="none"/>
        </w:rPr>
        <w:t>4.2.4投标人在提交投标文件截止时间前，将电子投标文件上传到</w:t>
      </w:r>
      <w:r>
        <w:rPr>
          <w:rFonts w:hint="eastAsia" w:ascii="宋体" w:hAnsi="宋体" w:cs="宋体"/>
          <w:color w:val="auto"/>
          <w:szCs w:val="21"/>
          <w:highlight w:val="none"/>
        </w:rPr>
        <w:t>昆明市公共资源交易电子服务系统</w:t>
      </w:r>
      <w:r>
        <w:rPr>
          <w:rFonts w:hint="eastAsia" w:ascii="宋体" w:hAnsi="宋体" w:cs="宋体"/>
          <w:color w:val="auto"/>
          <w:highlight w:val="none"/>
        </w:rPr>
        <w:t>，如果投标人没有按规定网上递交电子投标文件，视为投标无效。</w:t>
      </w:r>
    </w:p>
    <w:p w14:paraId="53D46955">
      <w:pPr>
        <w:rPr>
          <w:rFonts w:hint="eastAsia" w:ascii="宋体" w:hAnsi="宋体" w:cs="宋体"/>
          <w:color w:val="auto"/>
          <w:highlight w:val="none"/>
        </w:rPr>
      </w:pPr>
      <w:r>
        <w:rPr>
          <w:rFonts w:hint="eastAsia" w:ascii="宋体" w:hAnsi="宋体" w:cs="宋体"/>
          <w:color w:val="auto"/>
          <w:highlight w:val="none"/>
        </w:rPr>
        <w:t>4.3投标文件的修改与撤回</w:t>
      </w:r>
    </w:p>
    <w:p w14:paraId="4BC96D1D">
      <w:pPr>
        <w:rPr>
          <w:rFonts w:hint="eastAsia" w:ascii="宋体" w:hAnsi="宋体" w:cs="宋体"/>
          <w:color w:val="auto"/>
          <w:highlight w:val="none"/>
        </w:rPr>
      </w:pPr>
      <w:r>
        <w:rPr>
          <w:rFonts w:hint="eastAsia" w:ascii="宋体" w:hAnsi="宋体" w:cs="宋体"/>
          <w:color w:val="auto"/>
          <w:highlight w:val="none"/>
        </w:rPr>
        <w:t>4.3.1在本章第2.2.2项规定的投标截止时间前，投标人可以修改或撤回已在网上递交的投标文件，无须书面形式通知招标人。</w:t>
      </w:r>
    </w:p>
    <w:p w14:paraId="0637B1E1">
      <w:pPr>
        <w:rPr>
          <w:rFonts w:hint="eastAsia" w:ascii="宋体" w:hAnsi="宋体" w:cs="宋体"/>
          <w:color w:val="auto"/>
          <w:highlight w:val="none"/>
        </w:rPr>
      </w:pPr>
      <w:r>
        <w:rPr>
          <w:rFonts w:hint="eastAsia" w:ascii="宋体" w:hAnsi="宋体" w:cs="宋体"/>
          <w:color w:val="auto"/>
          <w:highlight w:val="none"/>
        </w:rPr>
        <w:t>4.3.2修改的投标文件应按照本章第3条、第4条规定进行编制、加密和递交。</w:t>
      </w:r>
    </w:p>
    <w:p w14:paraId="2ABA7164">
      <w:pPr>
        <w:ind w:firstLine="0" w:firstLineChars="0"/>
        <w:rPr>
          <w:rFonts w:hint="eastAsia" w:ascii="宋体" w:hAnsi="宋体" w:cs="宋体"/>
          <w:b/>
          <w:bCs/>
          <w:color w:val="auto"/>
          <w:szCs w:val="22"/>
          <w:highlight w:val="none"/>
        </w:rPr>
      </w:pPr>
      <w:r>
        <w:rPr>
          <w:rFonts w:hint="eastAsia" w:ascii="宋体" w:hAnsi="宋体" w:cs="宋体"/>
          <w:b/>
          <w:bCs/>
          <w:color w:val="auto"/>
          <w:szCs w:val="22"/>
          <w:highlight w:val="none"/>
        </w:rPr>
        <w:t>5、开标</w:t>
      </w:r>
    </w:p>
    <w:p w14:paraId="1BD083D4">
      <w:pPr>
        <w:rPr>
          <w:rFonts w:hint="eastAsia" w:ascii="宋体" w:hAnsi="宋体" w:cs="宋体"/>
          <w:color w:val="auto"/>
          <w:highlight w:val="none"/>
        </w:rPr>
      </w:pPr>
      <w:r>
        <w:rPr>
          <w:rFonts w:hint="eastAsia" w:ascii="宋体" w:hAnsi="宋体" w:cs="宋体"/>
          <w:color w:val="auto"/>
          <w:highlight w:val="none"/>
        </w:rPr>
        <w:t>5.1开标时间和地点</w:t>
      </w:r>
    </w:p>
    <w:p w14:paraId="16ABD974">
      <w:pPr>
        <w:rPr>
          <w:rFonts w:hint="eastAsia" w:ascii="宋体" w:hAnsi="宋体" w:cs="宋体"/>
          <w:color w:val="auto"/>
          <w:highlight w:val="none"/>
        </w:rPr>
      </w:pPr>
      <w:r>
        <w:rPr>
          <w:rFonts w:hint="eastAsia" w:ascii="宋体" w:hAnsi="宋体" w:cs="宋体"/>
          <w:color w:val="auto"/>
          <w:highlight w:val="none"/>
        </w:rPr>
        <w:t>招标人在本章第2.2.2项规定的投标截止时间（开标时间）和投标人须知前附表规定的地点公开开标。</w:t>
      </w:r>
    </w:p>
    <w:p w14:paraId="436657A3">
      <w:pPr>
        <w:rPr>
          <w:rFonts w:hint="eastAsia" w:ascii="宋体" w:hAnsi="宋体" w:cs="宋体"/>
          <w:color w:val="auto"/>
          <w:highlight w:val="none"/>
        </w:rPr>
      </w:pPr>
      <w:r>
        <w:rPr>
          <w:rFonts w:hint="eastAsia" w:ascii="宋体" w:hAnsi="宋体" w:cs="宋体"/>
          <w:color w:val="auto"/>
          <w:highlight w:val="none"/>
        </w:rPr>
        <w:t>5.2开标程序</w:t>
      </w:r>
    </w:p>
    <w:p w14:paraId="5571E36D">
      <w:pPr>
        <w:rPr>
          <w:rFonts w:hint="eastAsia" w:ascii="宋体" w:hAnsi="宋体" w:cs="宋体"/>
          <w:color w:val="auto"/>
          <w:highlight w:val="none"/>
        </w:rPr>
      </w:pPr>
      <w:r>
        <w:rPr>
          <w:rFonts w:hint="eastAsia" w:ascii="宋体" w:hAnsi="宋体" w:cs="宋体"/>
          <w:color w:val="auto"/>
          <w:highlight w:val="none"/>
        </w:rPr>
        <w:t>网络智能开标。</w:t>
      </w:r>
    </w:p>
    <w:p w14:paraId="5A53A513">
      <w:pPr>
        <w:rPr>
          <w:rFonts w:hint="eastAsia" w:ascii="宋体" w:hAnsi="宋体" w:cs="宋体"/>
          <w:color w:val="auto"/>
          <w:highlight w:val="none"/>
        </w:rPr>
      </w:pPr>
      <w:r>
        <w:rPr>
          <w:rFonts w:hint="eastAsia" w:ascii="宋体" w:hAnsi="宋体" w:cs="宋体"/>
          <w:color w:val="auto"/>
          <w:highlight w:val="none"/>
        </w:rPr>
        <w:t>5.3投标文件不予受理情形</w:t>
      </w:r>
    </w:p>
    <w:p w14:paraId="01EBC1F9">
      <w:pPr>
        <w:autoSpaceDE w:val="0"/>
        <w:autoSpaceDN w:val="0"/>
        <w:adjustRightInd w:val="0"/>
        <w:ind w:firstLine="359" w:firstLineChars="171"/>
        <w:jc w:val="left"/>
        <w:rPr>
          <w:rFonts w:hint="eastAsia" w:ascii="宋体" w:hAnsi="宋体" w:cs="宋体"/>
          <w:color w:val="auto"/>
          <w:kern w:val="0"/>
          <w:szCs w:val="21"/>
          <w:highlight w:val="none"/>
        </w:rPr>
      </w:pPr>
      <w:bookmarkStart w:id="50" w:name="bookmark106"/>
      <w:bookmarkStart w:id="51" w:name="bookmark105"/>
      <w:r>
        <w:rPr>
          <w:rFonts w:hint="eastAsia" w:ascii="宋体" w:hAnsi="宋体" w:cs="宋体"/>
          <w:color w:val="auto"/>
          <w:kern w:val="0"/>
          <w:szCs w:val="21"/>
          <w:highlight w:val="none"/>
        </w:rPr>
        <w:t>投标文件有下列情形之一的，招标人不予受理：</w:t>
      </w:r>
    </w:p>
    <w:p w14:paraId="4C9CC4F2">
      <w:pPr>
        <w:autoSpaceDE w:val="0"/>
        <w:autoSpaceDN w:val="0"/>
        <w:adjustRightInd w:val="0"/>
        <w:ind w:firstLine="359" w:firstLineChars="171"/>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（1）在2.2.2项规定的“投标截止时间”以后逾期送达的；</w:t>
      </w:r>
    </w:p>
    <w:p w14:paraId="7D0F2612">
      <w:pPr>
        <w:autoSpaceDE w:val="0"/>
        <w:autoSpaceDN w:val="0"/>
        <w:adjustRightInd w:val="0"/>
        <w:ind w:firstLine="359" w:firstLineChars="171"/>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（2）投标人提交的电子标书格式不符合3.7.1项要求或无法读取导入的。</w:t>
      </w:r>
    </w:p>
    <w:p w14:paraId="17588963">
      <w:pPr>
        <w:rPr>
          <w:rFonts w:hint="eastAsia" w:ascii="宋体" w:hAnsi="宋体" w:cs="宋体"/>
          <w:color w:val="auto"/>
          <w:highlight w:val="none"/>
        </w:rPr>
      </w:pPr>
      <w:r>
        <w:rPr>
          <w:rFonts w:hint="eastAsia" w:ascii="宋体" w:hAnsi="宋体" w:cs="宋体"/>
          <w:color w:val="auto"/>
          <w:highlight w:val="none"/>
        </w:rPr>
        <w:t>5.4开标异议</w:t>
      </w:r>
      <w:bookmarkEnd w:id="50"/>
      <w:bookmarkEnd w:id="51"/>
    </w:p>
    <w:p w14:paraId="61205946">
      <w:pPr>
        <w:rPr>
          <w:rFonts w:hint="eastAsia" w:ascii="宋体" w:hAnsi="宋体" w:cs="宋体"/>
          <w:color w:val="auto"/>
          <w:highlight w:val="none"/>
        </w:rPr>
      </w:pPr>
      <w:r>
        <w:rPr>
          <w:rFonts w:hint="eastAsia" w:ascii="宋体" w:hAnsi="宋体" w:cs="宋体"/>
          <w:color w:val="auto"/>
          <w:highlight w:val="none"/>
        </w:rPr>
        <w:t>投标人对开标有异议的，应当在开标现场提出，招标人当场作出答复，并制作记录。</w:t>
      </w:r>
    </w:p>
    <w:p w14:paraId="063B19EA">
      <w:pPr>
        <w:ind w:firstLine="0" w:firstLineChars="0"/>
        <w:rPr>
          <w:rFonts w:hint="eastAsia" w:ascii="宋体" w:hAnsi="宋体" w:cs="宋体"/>
          <w:b/>
          <w:bCs/>
          <w:color w:val="auto"/>
          <w:szCs w:val="22"/>
          <w:highlight w:val="none"/>
        </w:rPr>
      </w:pPr>
      <w:r>
        <w:rPr>
          <w:rFonts w:hint="eastAsia" w:ascii="宋体" w:hAnsi="宋体" w:cs="宋体"/>
          <w:b/>
          <w:bCs/>
          <w:color w:val="auto"/>
          <w:szCs w:val="22"/>
          <w:highlight w:val="none"/>
        </w:rPr>
        <w:t>6、评标</w:t>
      </w:r>
    </w:p>
    <w:p w14:paraId="49B2880A">
      <w:pPr>
        <w:rPr>
          <w:rFonts w:hint="eastAsia" w:ascii="宋体" w:hAnsi="宋体" w:cs="宋体"/>
          <w:color w:val="auto"/>
          <w:highlight w:val="none"/>
        </w:rPr>
      </w:pPr>
      <w:r>
        <w:rPr>
          <w:rFonts w:hint="eastAsia" w:ascii="宋体" w:hAnsi="宋体" w:cs="宋体"/>
          <w:color w:val="auto"/>
          <w:highlight w:val="none"/>
        </w:rPr>
        <w:t>6.1评标委员会</w:t>
      </w:r>
    </w:p>
    <w:p w14:paraId="004D4B66">
      <w:pPr>
        <w:rPr>
          <w:rFonts w:hint="eastAsia" w:ascii="宋体" w:hAnsi="宋体" w:cs="宋体"/>
          <w:color w:val="auto"/>
          <w:highlight w:val="none"/>
        </w:rPr>
      </w:pPr>
      <w:r>
        <w:rPr>
          <w:rFonts w:hint="eastAsia" w:ascii="宋体" w:hAnsi="宋体" w:cs="宋体"/>
          <w:color w:val="auto"/>
          <w:highlight w:val="none"/>
        </w:rPr>
        <w:t>6.1.1评标由招标人依法组建的评标委员会负责。评标委员会成员人数以及技术、经济等方面专家的确定方式见投标人须知前附表。</w:t>
      </w:r>
    </w:p>
    <w:p w14:paraId="12A0C54E">
      <w:pPr>
        <w:rPr>
          <w:rFonts w:hint="eastAsia" w:ascii="宋体" w:hAnsi="宋体" w:cs="宋体"/>
          <w:color w:val="auto"/>
          <w:highlight w:val="none"/>
        </w:rPr>
      </w:pPr>
      <w:r>
        <w:rPr>
          <w:rFonts w:hint="eastAsia" w:ascii="宋体" w:hAnsi="宋体" w:cs="宋体"/>
          <w:color w:val="auto"/>
          <w:highlight w:val="none"/>
        </w:rPr>
        <w:t>6.1.2评标委员会成员有下列情形之一的，应当回避：</w:t>
      </w:r>
    </w:p>
    <w:p w14:paraId="639BA5D1">
      <w:pPr>
        <w:rPr>
          <w:rFonts w:hint="eastAsia" w:ascii="宋体" w:hAnsi="宋体" w:cs="宋体"/>
          <w:color w:val="auto"/>
          <w:highlight w:val="none"/>
        </w:rPr>
      </w:pPr>
      <w:r>
        <w:rPr>
          <w:rFonts w:hint="eastAsia" w:ascii="宋体" w:hAnsi="宋体" w:cs="宋体"/>
          <w:color w:val="auto"/>
          <w:highlight w:val="none"/>
        </w:rPr>
        <w:t>（1）投标人或投标人的主要负责人的近亲属；</w:t>
      </w:r>
    </w:p>
    <w:p w14:paraId="0F19A7B6">
      <w:pPr>
        <w:rPr>
          <w:rFonts w:hint="eastAsia" w:ascii="宋体" w:hAnsi="宋体" w:cs="宋体"/>
          <w:color w:val="auto"/>
          <w:highlight w:val="none"/>
        </w:rPr>
      </w:pPr>
      <w:r>
        <w:rPr>
          <w:rFonts w:hint="eastAsia" w:ascii="宋体" w:hAnsi="宋体" w:cs="宋体"/>
          <w:color w:val="auto"/>
          <w:highlight w:val="none"/>
        </w:rPr>
        <w:t>（2）项目主管部门或者行政监督部门的人员；</w:t>
      </w:r>
    </w:p>
    <w:p w14:paraId="1C2501D1">
      <w:pPr>
        <w:rPr>
          <w:rFonts w:hint="eastAsia" w:ascii="宋体" w:hAnsi="宋体" w:cs="宋体"/>
          <w:color w:val="auto"/>
          <w:highlight w:val="none"/>
        </w:rPr>
      </w:pPr>
      <w:r>
        <w:rPr>
          <w:rFonts w:hint="eastAsia" w:ascii="宋体" w:hAnsi="宋体" w:cs="宋体"/>
          <w:color w:val="auto"/>
          <w:highlight w:val="none"/>
        </w:rPr>
        <w:t>（3）与投标人有经济利益关系，可能影响对投标公正评审的；</w:t>
      </w:r>
    </w:p>
    <w:p w14:paraId="4D8638E6">
      <w:pPr>
        <w:rPr>
          <w:rFonts w:hint="eastAsia" w:ascii="宋体" w:hAnsi="宋体" w:cs="宋体"/>
          <w:color w:val="auto"/>
          <w:highlight w:val="none"/>
        </w:rPr>
      </w:pPr>
      <w:r>
        <w:rPr>
          <w:rFonts w:hint="eastAsia" w:ascii="宋体" w:hAnsi="宋体" w:cs="宋体"/>
          <w:color w:val="auto"/>
          <w:highlight w:val="none"/>
        </w:rPr>
        <w:t>（4）曾因在招标、评标以及其他与招标投标有关活动中从事违法行为而受过行政处罚或刑事处罚的；</w:t>
      </w:r>
    </w:p>
    <w:p w14:paraId="3B69AEB1">
      <w:pPr>
        <w:rPr>
          <w:rFonts w:hint="eastAsia" w:ascii="宋体" w:hAnsi="宋体" w:cs="宋体"/>
          <w:color w:val="auto"/>
          <w:highlight w:val="none"/>
        </w:rPr>
      </w:pPr>
      <w:r>
        <w:rPr>
          <w:rFonts w:hint="eastAsia" w:ascii="宋体" w:hAnsi="宋体" w:cs="宋体"/>
          <w:color w:val="auto"/>
          <w:highlight w:val="none"/>
        </w:rPr>
        <w:t>（5）与投标人有其他利害关系。</w:t>
      </w:r>
    </w:p>
    <w:p w14:paraId="4F7F1FE6">
      <w:pPr>
        <w:rPr>
          <w:rFonts w:hint="eastAsia" w:ascii="宋体" w:hAnsi="宋体" w:cs="宋体"/>
          <w:color w:val="auto"/>
          <w:highlight w:val="none"/>
        </w:rPr>
      </w:pPr>
      <w:r>
        <w:rPr>
          <w:rFonts w:hint="eastAsia" w:ascii="宋体" w:hAnsi="宋体" w:cs="宋体"/>
          <w:color w:val="auto"/>
          <w:highlight w:val="none"/>
        </w:rPr>
        <w:t>6.1.3评标过程中，评标委员会成员有回避事由、擅离职守或者因健康等原因不能继续评标的，招标人有权更换。被更换的评标委员会成员作出的评审结论无效，由更换后的评标委员会成员重新进行评审。</w:t>
      </w:r>
    </w:p>
    <w:p w14:paraId="146DAA61">
      <w:pPr>
        <w:rPr>
          <w:rFonts w:hint="eastAsia" w:ascii="宋体" w:hAnsi="宋体" w:cs="宋体"/>
          <w:color w:val="auto"/>
          <w:highlight w:val="none"/>
        </w:rPr>
      </w:pPr>
      <w:r>
        <w:rPr>
          <w:rFonts w:hint="eastAsia" w:ascii="宋体" w:hAnsi="宋体" w:cs="宋体"/>
          <w:color w:val="auto"/>
          <w:highlight w:val="none"/>
        </w:rPr>
        <w:t>6.2评标原则</w:t>
      </w:r>
    </w:p>
    <w:p w14:paraId="165BAEC4">
      <w:pPr>
        <w:rPr>
          <w:rFonts w:hint="eastAsia" w:ascii="宋体" w:hAnsi="宋体" w:cs="宋体"/>
          <w:color w:val="auto"/>
          <w:highlight w:val="none"/>
        </w:rPr>
      </w:pPr>
      <w:r>
        <w:rPr>
          <w:rFonts w:hint="eastAsia" w:ascii="宋体" w:hAnsi="宋体" w:cs="宋体"/>
          <w:color w:val="auto"/>
          <w:highlight w:val="none"/>
        </w:rPr>
        <w:t>评标活动遵循公平、公正、科学和择优的原则。</w:t>
      </w:r>
    </w:p>
    <w:p w14:paraId="51219503">
      <w:pPr>
        <w:rPr>
          <w:rFonts w:hint="eastAsia" w:ascii="宋体" w:hAnsi="宋体" w:cs="宋体"/>
          <w:color w:val="auto"/>
          <w:highlight w:val="none"/>
        </w:rPr>
      </w:pPr>
      <w:r>
        <w:rPr>
          <w:rFonts w:hint="eastAsia" w:ascii="宋体" w:hAnsi="宋体" w:cs="宋体"/>
          <w:color w:val="auto"/>
          <w:highlight w:val="none"/>
        </w:rPr>
        <w:t>6.3评标</w:t>
      </w:r>
    </w:p>
    <w:p w14:paraId="0331F17C">
      <w:pPr>
        <w:rPr>
          <w:rFonts w:hint="eastAsia" w:ascii="宋体" w:hAnsi="宋体" w:cs="宋体"/>
          <w:color w:val="auto"/>
          <w:highlight w:val="none"/>
        </w:rPr>
      </w:pPr>
      <w:r>
        <w:rPr>
          <w:rFonts w:hint="eastAsia" w:ascii="宋体" w:hAnsi="宋体" w:cs="宋体"/>
          <w:color w:val="auto"/>
          <w:highlight w:val="none"/>
        </w:rPr>
        <w:t>评标委员会按照第三章“评标办法”规定的方法、评审因素、标准和程序对投标文件进行评审。第三章“评标办法”没有规定的方法、评审因素和标准，不作为评标依据。</w:t>
      </w:r>
    </w:p>
    <w:p w14:paraId="0D71418A">
      <w:pPr>
        <w:ind w:firstLine="0" w:firstLineChars="0"/>
        <w:rPr>
          <w:rFonts w:hint="eastAsia" w:ascii="宋体" w:hAnsi="宋体" w:cs="宋体"/>
          <w:b/>
          <w:bCs/>
          <w:color w:val="auto"/>
          <w:szCs w:val="22"/>
          <w:highlight w:val="none"/>
        </w:rPr>
      </w:pPr>
      <w:r>
        <w:rPr>
          <w:rFonts w:hint="eastAsia" w:ascii="宋体" w:hAnsi="宋体" w:cs="宋体"/>
          <w:b/>
          <w:bCs/>
          <w:color w:val="auto"/>
          <w:szCs w:val="22"/>
          <w:highlight w:val="none"/>
        </w:rPr>
        <w:t>7、合同授予</w:t>
      </w:r>
    </w:p>
    <w:p w14:paraId="4C07CD93">
      <w:pPr>
        <w:rPr>
          <w:rFonts w:hint="eastAsia" w:ascii="宋体" w:hAnsi="宋体" w:cs="宋体"/>
          <w:color w:val="auto"/>
          <w:highlight w:val="none"/>
        </w:rPr>
      </w:pPr>
      <w:r>
        <w:rPr>
          <w:rFonts w:hint="eastAsia" w:ascii="宋体" w:hAnsi="宋体" w:cs="宋体"/>
          <w:color w:val="auto"/>
          <w:highlight w:val="none"/>
        </w:rPr>
        <w:t>7.1中标候选人公示</w:t>
      </w:r>
    </w:p>
    <w:p w14:paraId="51BC1C35">
      <w:pPr>
        <w:rPr>
          <w:rFonts w:hint="eastAsia" w:ascii="宋体" w:hAnsi="宋体" w:cs="宋体"/>
          <w:color w:val="auto"/>
          <w:highlight w:val="none"/>
        </w:rPr>
      </w:pPr>
      <w:r>
        <w:rPr>
          <w:rFonts w:hint="eastAsia" w:ascii="宋体" w:hAnsi="宋体" w:cs="宋体"/>
          <w:color w:val="auto"/>
          <w:highlight w:val="none"/>
        </w:rPr>
        <w:t>招标人在收到评标报告之日起3日内，按照投标人须知前附表规定的公示媒介和期限公示中标候选人，公示期不得少于3天。</w:t>
      </w:r>
    </w:p>
    <w:p w14:paraId="4C0C06A4">
      <w:pPr>
        <w:rPr>
          <w:rFonts w:hint="eastAsia" w:ascii="宋体" w:hAnsi="宋体" w:cs="宋体"/>
          <w:color w:val="auto"/>
          <w:highlight w:val="none"/>
        </w:rPr>
      </w:pPr>
      <w:r>
        <w:rPr>
          <w:rFonts w:hint="eastAsia" w:ascii="宋体" w:hAnsi="宋体" w:cs="宋体"/>
          <w:color w:val="auto"/>
          <w:highlight w:val="none"/>
        </w:rPr>
        <w:t>7.2评标结果异议</w:t>
      </w:r>
    </w:p>
    <w:p w14:paraId="06D2BA77">
      <w:pPr>
        <w:rPr>
          <w:rFonts w:hint="eastAsia" w:ascii="宋体" w:hAnsi="宋体" w:cs="宋体"/>
          <w:color w:val="auto"/>
          <w:highlight w:val="none"/>
        </w:rPr>
      </w:pPr>
      <w:r>
        <w:rPr>
          <w:rFonts w:hint="eastAsia" w:ascii="宋体" w:hAnsi="宋体" w:cs="宋体"/>
          <w:color w:val="auto"/>
          <w:highlight w:val="none"/>
        </w:rPr>
        <w:t>投标人或者其他利害关系人对评标结果有异议的，应当在中标候选人公示期间提出。招标人将在收到异议之日起3日内作出答复；作出答复前，将暂停招标投标活动。</w:t>
      </w:r>
    </w:p>
    <w:p w14:paraId="6DAF8B6B">
      <w:pPr>
        <w:rPr>
          <w:rFonts w:hint="eastAsia" w:ascii="宋体" w:hAnsi="宋体" w:cs="宋体"/>
          <w:color w:val="auto"/>
          <w:highlight w:val="none"/>
        </w:rPr>
      </w:pPr>
      <w:r>
        <w:rPr>
          <w:rFonts w:hint="eastAsia" w:ascii="宋体" w:hAnsi="宋体" w:cs="宋体"/>
          <w:color w:val="auto"/>
          <w:highlight w:val="none"/>
        </w:rPr>
        <w:t>7.3中标候选人履约能力审查</w:t>
      </w:r>
    </w:p>
    <w:p w14:paraId="7C95D60B">
      <w:pPr>
        <w:rPr>
          <w:rFonts w:hint="eastAsia" w:ascii="宋体" w:hAnsi="宋体" w:cs="宋体"/>
          <w:color w:val="auto"/>
          <w:highlight w:val="none"/>
        </w:rPr>
      </w:pPr>
      <w:r>
        <w:rPr>
          <w:rFonts w:hint="eastAsia" w:ascii="宋体" w:hAnsi="宋体" w:cs="宋体"/>
          <w:color w:val="auto"/>
          <w:highlight w:val="none"/>
        </w:rPr>
        <w:t>中标候选人的经营、财务状况发生较大变化或存在违法行为，招标人认为可能影响其履约能力的，将在发出中标通知书前提请原评标委员会按照招标文件规定的标准和方法进行审查确认。</w:t>
      </w:r>
    </w:p>
    <w:p w14:paraId="1447D4F7">
      <w:pPr>
        <w:rPr>
          <w:rFonts w:hint="eastAsia" w:ascii="宋体" w:hAnsi="宋体" w:cs="宋体"/>
          <w:color w:val="auto"/>
          <w:highlight w:val="none"/>
        </w:rPr>
      </w:pPr>
      <w:r>
        <w:rPr>
          <w:rFonts w:hint="eastAsia" w:ascii="宋体" w:hAnsi="宋体" w:cs="宋体"/>
          <w:color w:val="auto"/>
          <w:highlight w:val="none"/>
        </w:rPr>
        <w:t>7.4定标</w:t>
      </w:r>
    </w:p>
    <w:p w14:paraId="7E6D3BF1">
      <w:pPr>
        <w:rPr>
          <w:rFonts w:hint="eastAsia" w:ascii="宋体" w:hAnsi="宋体" w:cs="宋体"/>
          <w:color w:val="auto"/>
          <w:highlight w:val="none"/>
        </w:rPr>
      </w:pPr>
      <w:r>
        <w:rPr>
          <w:rFonts w:hint="eastAsia" w:ascii="宋体" w:hAnsi="宋体" w:cs="宋体"/>
          <w:color w:val="auto"/>
          <w:highlight w:val="none"/>
        </w:rPr>
        <w:t>按照投标人须知前附表的规定，</w:t>
      </w:r>
      <w:r>
        <w:rPr>
          <w:rFonts w:hint="eastAsia" w:ascii="宋体" w:hAnsi="宋体" w:cs="宋体"/>
          <w:color w:val="auto"/>
          <w:highlight w:val="none"/>
          <w:lang w:val="en-US" w:eastAsia="zh-CN"/>
        </w:rPr>
        <w:t>由</w:t>
      </w:r>
      <w:r>
        <w:rPr>
          <w:rFonts w:hint="eastAsia" w:ascii="宋体" w:hAnsi="宋体" w:cs="宋体"/>
          <w:color w:val="auto"/>
          <w:highlight w:val="none"/>
        </w:rPr>
        <w:t>招标人或招标人授权的评标委员会依法确定中标人。</w:t>
      </w:r>
    </w:p>
    <w:p w14:paraId="0E869BD7">
      <w:pPr>
        <w:rPr>
          <w:rFonts w:hint="eastAsia" w:ascii="宋体" w:hAnsi="宋体" w:cs="宋体"/>
          <w:color w:val="auto"/>
          <w:highlight w:val="none"/>
        </w:rPr>
      </w:pPr>
      <w:r>
        <w:rPr>
          <w:rFonts w:hint="eastAsia" w:ascii="宋体" w:hAnsi="宋体" w:cs="宋体"/>
          <w:color w:val="auto"/>
          <w:highlight w:val="none"/>
        </w:rPr>
        <w:t>7.5中标通知</w:t>
      </w:r>
    </w:p>
    <w:p w14:paraId="7458492B">
      <w:pPr>
        <w:rPr>
          <w:rFonts w:hint="eastAsia" w:ascii="宋体" w:hAnsi="宋体" w:cs="宋体"/>
          <w:color w:val="auto"/>
          <w:highlight w:val="none"/>
        </w:rPr>
      </w:pPr>
      <w:r>
        <w:rPr>
          <w:rFonts w:hint="eastAsia" w:ascii="宋体" w:hAnsi="宋体" w:cs="宋体"/>
          <w:color w:val="auto"/>
          <w:highlight w:val="none"/>
        </w:rPr>
        <w:t>在本章第3.3款规定的投标有效期内，招标人以书面形式向中标人发出中标通知书，同时将中标结果通知未中标的投标人。</w:t>
      </w:r>
    </w:p>
    <w:p w14:paraId="5D206B8C">
      <w:pPr>
        <w:rPr>
          <w:rFonts w:hint="eastAsia" w:ascii="宋体" w:hAnsi="宋体" w:cs="宋体"/>
          <w:color w:val="auto"/>
          <w:highlight w:val="none"/>
        </w:rPr>
      </w:pPr>
      <w:r>
        <w:rPr>
          <w:rFonts w:hint="eastAsia" w:ascii="宋体" w:hAnsi="宋体" w:cs="宋体"/>
          <w:color w:val="auto"/>
          <w:highlight w:val="none"/>
        </w:rPr>
        <w:t>7.6履约保证金</w:t>
      </w:r>
    </w:p>
    <w:p w14:paraId="1A9DD8E6">
      <w:pPr>
        <w:rPr>
          <w:rFonts w:hint="eastAsia" w:ascii="宋体" w:hAnsi="宋体" w:cs="宋体"/>
          <w:color w:val="auto"/>
          <w:highlight w:val="none"/>
        </w:rPr>
      </w:pPr>
      <w:r>
        <w:rPr>
          <w:rFonts w:hint="eastAsia" w:ascii="宋体" w:hAnsi="宋体" w:cs="宋体"/>
          <w:color w:val="auto"/>
          <w:highlight w:val="none"/>
        </w:rPr>
        <w:t>7.6.1在签订合同前，中标人应按投标人须知前附表规定的形式、金额和招标文件第四章“合同条款及格式”规定的或者事先经过招标人书面认可的履约保证金格式向招标人提交履约保证金。除投标人须知前附表另有规定外，履约保证金为中标合同金额的10%。联合体中标的，其履约保证金以联合体各方或者联合体中牵头人的名义提交。</w:t>
      </w:r>
    </w:p>
    <w:p w14:paraId="1A39811E">
      <w:pPr>
        <w:rPr>
          <w:rFonts w:hint="eastAsia" w:ascii="宋体" w:hAnsi="宋体" w:cs="宋体"/>
          <w:color w:val="auto"/>
          <w:highlight w:val="none"/>
        </w:rPr>
      </w:pPr>
      <w:r>
        <w:rPr>
          <w:rFonts w:hint="eastAsia" w:ascii="宋体" w:hAnsi="宋体" w:cs="宋体"/>
          <w:color w:val="auto"/>
          <w:highlight w:val="none"/>
        </w:rPr>
        <w:t>7.6.2中标人不能按本章第7.6.1项要求提交履约保证金的，视为放弃中标，其投标保证金不予退还，给招标人造成的损失超过投标保证金数额的，中标人还应当对超过部分予以赔偿。</w:t>
      </w:r>
    </w:p>
    <w:p w14:paraId="66698DE1">
      <w:pPr>
        <w:rPr>
          <w:rFonts w:hint="eastAsia" w:ascii="宋体" w:hAnsi="宋体" w:cs="宋体"/>
          <w:color w:val="auto"/>
          <w:highlight w:val="none"/>
        </w:rPr>
      </w:pPr>
      <w:r>
        <w:rPr>
          <w:rFonts w:hint="eastAsia" w:ascii="宋体" w:hAnsi="宋体" w:cs="宋体"/>
          <w:color w:val="auto"/>
          <w:highlight w:val="none"/>
        </w:rPr>
        <w:t>7.7签订合同</w:t>
      </w:r>
    </w:p>
    <w:p w14:paraId="08CB5846">
      <w:pPr>
        <w:rPr>
          <w:rFonts w:hint="eastAsia" w:ascii="宋体" w:hAnsi="宋体" w:cs="宋体"/>
          <w:color w:val="auto"/>
          <w:highlight w:val="none"/>
        </w:rPr>
      </w:pPr>
      <w:r>
        <w:rPr>
          <w:rFonts w:hint="eastAsia" w:ascii="宋体" w:hAnsi="宋体" w:cs="宋体"/>
          <w:color w:val="auto"/>
          <w:highlight w:val="none"/>
        </w:rPr>
        <w:t>7.7.1招标人和中标人应当在中标通知书发出之日起30日内，根据招标文件和中标人的投标文件订立书面合同。中标人无正当理由拒签合同，在签订合同时向招标人提出附加条件，或者不按照招标文件要求提交履约保证金的，招标人有权取消其中标资格，其投标保证金不予退还；给招标人造成的损失超过投标保证金数额的，中标人还应当对超过部分予以赔偿。</w:t>
      </w:r>
    </w:p>
    <w:p w14:paraId="0E6EE62F">
      <w:pPr>
        <w:rPr>
          <w:rFonts w:hint="eastAsia" w:ascii="宋体" w:hAnsi="宋体" w:cs="宋体"/>
          <w:color w:val="auto"/>
          <w:highlight w:val="none"/>
        </w:rPr>
      </w:pPr>
      <w:r>
        <w:rPr>
          <w:rFonts w:hint="eastAsia" w:ascii="宋体" w:hAnsi="宋体" w:cs="宋体"/>
          <w:color w:val="auto"/>
          <w:highlight w:val="none"/>
        </w:rPr>
        <w:t>7.7.2发出中标通知书后，招标人无正当理由拒签合同，或者在签订合同时向中标人提出附加条件的，招标人向中标人退还投标保证金；给中标人造成损失的，还应当赔偿损失。</w:t>
      </w:r>
    </w:p>
    <w:p w14:paraId="79F3DB6B">
      <w:pPr>
        <w:rPr>
          <w:rFonts w:hint="eastAsia" w:ascii="宋体" w:hAnsi="宋体" w:cs="宋体"/>
          <w:color w:val="auto"/>
          <w:highlight w:val="none"/>
        </w:rPr>
      </w:pPr>
      <w:r>
        <w:rPr>
          <w:rFonts w:hint="eastAsia" w:ascii="宋体" w:hAnsi="宋体" w:cs="宋体"/>
          <w:color w:val="auto"/>
          <w:highlight w:val="none"/>
        </w:rPr>
        <w:t>7.7.3联合体中标的，联合体各方应当共同与招标人签订合同，就中标项目向招标人承担连带责任。</w:t>
      </w:r>
    </w:p>
    <w:p w14:paraId="726DE07B">
      <w:pPr>
        <w:rPr>
          <w:rFonts w:hint="eastAsia" w:ascii="宋体" w:hAnsi="宋体" w:cs="宋体"/>
          <w:color w:val="auto"/>
          <w:highlight w:val="none"/>
        </w:rPr>
      </w:pPr>
      <w:r>
        <w:rPr>
          <w:rFonts w:hint="eastAsia" w:ascii="宋体" w:hAnsi="宋体" w:cs="宋体"/>
          <w:color w:val="auto"/>
          <w:highlight w:val="none"/>
        </w:rPr>
        <w:t>8.重新招标</w:t>
      </w:r>
    </w:p>
    <w:p w14:paraId="2C4A6FA8">
      <w:pPr>
        <w:rPr>
          <w:rFonts w:hint="eastAsia" w:ascii="宋体" w:hAnsi="宋体" w:cs="宋体"/>
          <w:color w:val="auto"/>
          <w:highlight w:val="none"/>
        </w:rPr>
      </w:pPr>
      <w:r>
        <w:rPr>
          <w:rFonts w:hint="eastAsia" w:ascii="宋体" w:hAnsi="宋体" w:cs="宋体"/>
          <w:color w:val="auto"/>
          <w:highlight w:val="none"/>
        </w:rPr>
        <w:t>有下列情形之一的，招标人将重新招标：</w:t>
      </w:r>
    </w:p>
    <w:p w14:paraId="2521AF16">
      <w:pPr>
        <w:rPr>
          <w:rFonts w:hint="eastAsia" w:ascii="宋体" w:hAnsi="宋体" w:cs="宋体"/>
          <w:color w:val="auto"/>
          <w:highlight w:val="none"/>
        </w:rPr>
      </w:pPr>
      <w:r>
        <w:rPr>
          <w:rFonts w:hint="eastAsia" w:ascii="宋体" w:hAnsi="宋体" w:cs="宋体"/>
          <w:color w:val="auto"/>
          <w:highlight w:val="none"/>
        </w:rPr>
        <w:t>（1）投标截止时间止，投标人少于3个的；</w:t>
      </w:r>
    </w:p>
    <w:p w14:paraId="1EBFA78C">
      <w:pPr>
        <w:rPr>
          <w:rFonts w:hint="eastAsia" w:ascii="宋体" w:hAnsi="宋体" w:cs="宋体"/>
          <w:color w:val="auto"/>
          <w:highlight w:val="none"/>
        </w:rPr>
      </w:pPr>
      <w:r>
        <w:rPr>
          <w:rFonts w:hint="eastAsia" w:ascii="宋体" w:hAnsi="宋体" w:cs="宋体"/>
          <w:color w:val="auto"/>
          <w:highlight w:val="none"/>
        </w:rPr>
        <w:t>（2）经评标委员会评审后否决所有投标的。</w:t>
      </w:r>
    </w:p>
    <w:p w14:paraId="7C2D7181">
      <w:pPr>
        <w:rPr>
          <w:rFonts w:hint="eastAsia" w:ascii="宋体" w:hAnsi="宋体" w:cs="宋体"/>
          <w:color w:val="auto"/>
          <w:highlight w:val="none"/>
        </w:rPr>
      </w:pPr>
      <w:r>
        <w:rPr>
          <w:rFonts w:hint="eastAsia" w:ascii="宋体" w:hAnsi="宋体" w:cs="宋体"/>
          <w:color w:val="auto"/>
          <w:highlight w:val="none"/>
        </w:rPr>
        <w:t>9.纪律和监督</w:t>
      </w:r>
    </w:p>
    <w:p w14:paraId="6A99E4BF">
      <w:pPr>
        <w:rPr>
          <w:rFonts w:hint="eastAsia" w:ascii="宋体" w:hAnsi="宋体" w:cs="宋体"/>
          <w:color w:val="auto"/>
          <w:highlight w:val="none"/>
        </w:rPr>
      </w:pPr>
      <w:r>
        <w:rPr>
          <w:rFonts w:hint="eastAsia" w:ascii="宋体" w:hAnsi="宋体" w:cs="宋体"/>
          <w:color w:val="auto"/>
          <w:highlight w:val="none"/>
        </w:rPr>
        <w:t>9.1对招标人的纪律要求</w:t>
      </w:r>
    </w:p>
    <w:p w14:paraId="3A3C052E">
      <w:pPr>
        <w:rPr>
          <w:rFonts w:hint="eastAsia" w:ascii="宋体" w:hAnsi="宋体" w:cs="宋体"/>
          <w:color w:val="auto"/>
          <w:highlight w:val="none"/>
        </w:rPr>
      </w:pPr>
      <w:r>
        <w:rPr>
          <w:rFonts w:hint="eastAsia" w:ascii="宋体" w:hAnsi="宋体" w:cs="宋体"/>
          <w:color w:val="auto"/>
          <w:highlight w:val="none"/>
        </w:rPr>
        <w:t>招标人不得泄露招标投标活动中应当保密的情况和资料，不得与投标人串通损害国家利益、社会公共利益或者他人合法权益。</w:t>
      </w:r>
    </w:p>
    <w:p w14:paraId="1EF38A86">
      <w:pPr>
        <w:rPr>
          <w:rFonts w:hint="eastAsia" w:ascii="宋体" w:hAnsi="宋体" w:cs="宋体"/>
          <w:color w:val="auto"/>
          <w:highlight w:val="none"/>
        </w:rPr>
      </w:pPr>
      <w:r>
        <w:rPr>
          <w:rFonts w:hint="eastAsia" w:ascii="宋体" w:hAnsi="宋体" w:cs="宋体"/>
          <w:color w:val="auto"/>
          <w:highlight w:val="none"/>
        </w:rPr>
        <w:t>9.2对投标人的纪律要求</w:t>
      </w:r>
    </w:p>
    <w:p w14:paraId="35006B5C">
      <w:pPr>
        <w:rPr>
          <w:rFonts w:hint="eastAsia" w:ascii="宋体" w:hAnsi="宋体" w:cs="宋体"/>
          <w:color w:val="auto"/>
          <w:highlight w:val="none"/>
        </w:rPr>
      </w:pPr>
      <w:r>
        <w:rPr>
          <w:rFonts w:hint="eastAsia" w:ascii="宋体" w:hAnsi="宋体" w:cs="宋体"/>
          <w:color w:val="auto"/>
          <w:highlight w:val="none"/>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668D76EB">
      <w:pPr>
        <w:rPr>
          <w:rFonts w:hint="eastAsia" w:ascii="宋体" w:hAnsi="宋体" w:cs="宋体"/>
          <w:color w:val="auto"/>
          <w:highlight w:val="none"/>
        </w:rPr>
      </w:pPr>
      <w:r>
        <w:rPr>
          <w:rFonts w:hint="eastAsia" w:ascii="宋体" w:hAnsi="宋体" w:cs="宋体"/>
          <w:color w:val="auto"/>
          <w:highlight w:val="none"/>
        </w:rPr>
        <w:t>9.3对评标委员会成员的纪律要求</w:t>
      </w:r>
    </w:p>
    <w:p w14:paraId="3EE1BAFF">
      <w:pPr>
        <w:rPr>
          <w:rFonts w:hint="eastAsia" w:ascii="宋体" w:hAnsi="宋体" w:cs="宋体"/>
          <w:color w:val="auto"/>
          <w:highlight w:val="none"/>
        </w:rPr>
      </w:pPr>
      <w:r>
        <w:rPr>
          <w:rFonts w:hint="eastAsia" w:ascii="宋体" w:hAnsi="宋体" w:cs="宋体"/>
          <w:color w:val="auto"/>
          <w:highlight w:val="none"/>
        </w:rPr>
        <w:t>评标委员会成员不得收受他人的财物或者其他好处，不得向他人透露对投标文件的评审和比较、中标候选人的推荐情况以及评标有关的其他情况。在评标活动中，评标委员会成员不得擅离职守，影响评标程序正常进行，不得使用第三章“评标办法”没有规定的评审因素和标准进行评标。</w:t>
      </w:r>
    </w:p>
    <w:p w14:paraId="02D3CCF2">
      <w:pPr>
        <w:rPr>
          <w:rFonts w:hint="eastAsia" w:ascii="宋体" w:hAnsi="宋体" w:cs="宋体"/>
          <w:color w:val="auto"/>
          <w:highlight w:val="none"/>
        </w:rPr>
      </w:pPr>
      <w:r>
        <w:rPr>
          <w:rFonts w:hint="eastAsia" w:ascii="宋体" w:hAnsi="宋体" w:cs="宋体"/>
          <w:color w:val="auto"/>
          <w:highlight w:val="none"/>
        </w:rPr>
        <w:t>9.4对与评标活动有关的工作人员的纪律要求</w:t>
      </w:r>
    </w:p>
    <w:p w14:paraId="29D7A3CC">
      <w:pPr>
        <w:rPr>
          <w:rFonts w:hint="eastAsia" w:ascii="宋体" w:hAnsi="宋体" w:cs="宋体"/>
          <w:color w:val="auto"/>
          <w:highlight w:val="none"/>
        </w:rPr>
      </w:pPr>
      <w:r>
        <w:rPr>
          <w:rFonts w:hint="eastAsia" w:ascii="宋体" w:hAnsi="宋体" w:cs="宋体"/>
          <w:color w:val="auto"/>
          <w:highlight w:val="none"/>
        </w:rPr>
        <w:t>与评标活动有关的工作人员不得收受他人的财物或者其他好处，不得向他人透露对投标文件的评审和比较、中标候选人的推荐情况以及评标有关的其他情况。在评标活动中，与评标活动有关的工作人员不得擅离职守，影响评标程序正常进行。</w:t>
      </w:r>
    </w:p>
    <w:p w14:paraId="40C53EAD">
      <w:pPr>
        <w:rPr>
          <w:rFonts w:hint="eastAsia" w:ascii="宋体" w:hAnsi="宋体" w:cs="宋体"/>
          <w:color w:val="auto"/>
          <w:highlight w:val="none"/>
        </w:rPr>
      </w:pPr>
      <w:r>
        <w:rPr>
          <w:rFonts w:hint="eastAsia" w:ascii="宋体" w:hAnsi="宋体" w:cs="宋体"/>
          <w:color w:val="auto"/>
          <w:highlight w:val="none"/>
        </w:rPr>
        <w:t>9.5投诉</w:t>
      </w:r>
    </w:p>
    <w:p w14:paraId="038F5FF6">
      <w:pPr>
        <w:rPr>
          <w:rFonts w:hint="eastAsia" w:ascii="宋体" w:hAnsi="宋体" w:cs="宋体"/>
          <w:color w:val="auto"/>
          <w:highlight w:val="none"/>
        </w:rPr>
      </w:pPr>
      <w:r>
        <w:rPr>
          <w:rFonts w:hint="eastAsia" w:ascii="宋体" w:hAnsi="宋体" w:cs="宋体"/>
          <w:color w:val="auto"/>
          <w:highlight w:val="none"/>
        </w:rPr>
        <w:t>9.5.1投标人或者其他利害关系人认为招标投标活动不符合法律、行政法规规定的，可以自知道或者应当知道之日起10日内向有关行政监督部门投诉。投诉应当有明确的请求和必要的证明材料。</w:t>
      </w:r>
    </w:p>
    <w:p w14:paraId="38DCB48A">
      <w:pPr>
        <w:rPr>
          <w:rFonts w:hint="eastAsia" w:ascii="宋体" w:hAnsi="宋体" w:cs="宋体"/>
          <w:color w:val="auto"/>
          <w:highlight w:val="none"/>
        </w:rPr>
      </w:pPr>
      <w:r>
        <w:rPr>
          <w:rFonts w:hint="eastAsia" w:ascii="宋体" w:hAnsi="宋体" w:cs="宋体"/>
          <w:color w:val="auto"/>
          <w:highlight w:val="none"/>
        </w:rPr>
        <w:t>9.5.2投标人或者其他利害关系人对招标文件、开标和评标结果提出投诉的，应当按照投标人须知规定和第7.2款的规定先向招标人提出异议。异议答复期间不计算在第9.5.1项规定的期限内。</w:t>
      </w:r>
    </w:p>
    <w:p w14:paraId="10827019">
      <w:pPr>
        <w:rPr>
          <w:rFonts w:hint="eastAsia" w:ascii="宋体" w:hAnsi="宋体" w:cs="宋体"/>
          <w:color w:val="auto"/>
          <w:highlight w:val="none"/>
        </w:rPr>
      </w:pPr>
      <w:r>
        <w:rPr>
          <w:rFonts w:hint="eastAsia" w:ascii="宋体" w:hAnsi="宋体" w:cs="宋体"/>
          <w:color w:val="auto"/>
          <w:highlight w:val="none"/>
        </w:rPr>
        <w:t>10.需要补充的其他内容</w:t>
      </w:r>
    </w:p>
    <w:p w14:paraId="55276B02">
      <w:pPr>
        <w:rPr>
          <w:rFonts w:hint="eastAsia" w:ascii="宋体" w:hAnsi="宋体" w:cs="宋体"/>
          <w:color w:val="auto"/>
          <w:highlight w:val="none"/>
        </w:rPr>
      </w:pPr>
      <w:r>
        <w:rPr>
          <w:rFonts w:hint="eastAsia" w:ascii="宋体" w:hAnsi="宋体" w:cs="宋体"/>
          <w:color w:val="auto"/>
          <w:highlight w:val="none"/>
        </w:rPr>
        <w:t>需要补充的其他内容：见投标人须知前附表。</w:t>
      </w:r>
    </w:p>
    <w:p w14:paraId="1EEDDE6B">
      <w:pPr>
        <w:rPr>
          <w:rFonts w:hint="eastAsia" w:ascii="宋体" w:hAnsi="宋体" w:cs="宋体"/>
          <w:color w:val="auto"/>
          <w:szCs w:val="21"/>
          <w:highlight w:val="none"/>
        </w:rPr>
      </w:pPr>
      <w:r>
        <w:rPr>
          <w:rFonts w:hint="eastAsia" w:ascii="宋体" w:hAnsi="宋体" w:cs="宋体"/>
          <w:color w:val="auto"/>
          <w:highlight w:val="none"/>
        </w:rPr>
        <w:br w:type="page"/>
      </w:r>
      <w:r>
        <w:rPr>
          <w:rStyle w:val="37"/>
          <w:rFonts w:hint="eastAsia" w:ascii="宋体" w:hAnsi="宋体" w:cs="宋体"/>
          <w:color w:val="auto"/>
          <w:szCs w:val="21"/>
          <w:highlight w:val="none"/>
        </w:rPr>
        <w:t>附件一：问题澄清通知</w:t>
      </w:r>
    </w:p>
    <w:p w14:paraId="16410405">
      <w:pPr>
        <w:pStyle w:val="77"/>
        <w:rPr>
          <w:rFonts w:hint="eastAsia" w:ascii="宋体" w:eastAsia="宋体" w:cs="宋体"/>
          <w:color w:val="auto"/>
          <w:sz w:val="21"/>
          <w:szCs w:val="21"/>
          <w:highlight w:val="none"/>
        </w:rPr>
      </w:pPr>
      <w:r>
        <w:rPr>
          <w:rFonts w:hint="eastAsia" w:ascii="宋体" w:eastAsia="宋体" w:cs="宋体"/>
          <w:color w:val="auto"/>
          <w:sz w:val="21"/>
          <w:szCs w:val="21"/>
          <w:highlight w:val="none"/>
        </w:rPr>
        <w:t>问题澄清通知</w:t>
      </w:r>
    </w:p>
    <w:p w14:paraId="2886FC15">
      <w:pPr>
        <w:pStyle w:val="142"/>
        <w:ind w:firstLine="420"/>
        <w:rPr>
          <w:rFonts w:hint="eastAsia" w:cs="宋体"/>
          <w:color w:val="auto"/>
          <w:szCs w:val="21"/>
          <w:highlight w:val="none"/>
        </w:rPr>
      </w:pPr>
      <w:r>
        <w:rPr>
          <w:rFonts w:hint="eastAsia" w:cs="宋体"/>
          <w:color w:val="auto"/>
          <w:szCs w:val="21"/>
          <w:highlight w:val="none"/>
        </w:rPr>
        <w:t>编号：__________________</w:t>
      </w:r>
    </w:p>
    <w:p w14:paraId="5FBB9207">
      <w:pPr>
        <w:pStyle w:val="122"/>
        <w:rPr>
          <w:rFonts w:hint="eastAsia" w:cs="宋体"/>
          <w:color w:val="auto"/>
          <w:szCs w:val="21"/>
          <w:highlight w:val="none"/>
        </w:rPr>
      </w:pPr>
      <w:r>
        <w:rPr>
          <w:rFonts w:hint="eastAsia" w:cs="宋体"/>
          <w:color w:val="auto"/>
          <w:szCs w:val="21"/>
          <w:highlight w:val="none"/>
        </w:rPr>
        <w:t>___________________________（投标人名称）：</w:t>
      </w:r>
    </w:p>
    <w:p w14:paraId="0C63D090">
      <w:pPr>
        <w:pStyle w:val="122"/>
        <w:rPr>
          <w:rFonts w:hint="eastAsia" w:cs="宋体"/>
          <w:color w:val="auto"/>
          <w:szCs w:val="21"/>
          <w:highlight w:val="none"/>
        </w:rPr>
      </w:pPr>
      <w:r>
        <w:rPr>
          <w:rFonts w:hint="eastAsia" w:cs="宋体"/>
          <w:color w:val="auto"/>
          <w:szCs w:val="21"/>
          <w:highlight w:val="none"/>
        </w:rPr>
        <w:t>____________________（项目名称）招标的评标委员会，对你方的投标文件进行了仔细的审查，现需你方对本通知所附质疑问卷中的问题以书面形式予以澄清、说明或者补正。</w:t>
      </w:r>
    </w:p>
    <w:p w14:paraId="68D104A7">
      <w:pPr>
        <w:pStyle w:val="122"/>
        <w:rPr>
          <w:rFonts w:hint="eastAsia" w:cs="宋体"/>
          <w:color w:val="auto"/>
          <w:szCs w:val="21"/>
          <w:highlight w:val="none"/>
        </w:rPr>
      </w:pPr>
      <w:r>
        <w:rPr>
          <w:rFonts w:hint="eastAsia" w:cs="宋体"/>
          <w:color w:val="auto"/>
          <w:szCs w:val="21"/>
          <w:highlight w:val="none"/>
        </w:rPr>
        <w:t>1、…</w:t>
      </w:r>
    </w:p>
    <w:p w14:paraId="418B09B7">
      <w:pPr>
        <w:pStyle w:val="122"/>
        <w:rPr>
          <w:rFonts w:hint="eastAsia" w:cs="宋体"/>
          <w:color w:val="auto"/>
          <w:szCs w:val="21"/>
          <w:highlight w:val="none"/>
        </w:rPr>
      </w:pPr>
      <w:r>
        <w:rPr>
          <w:rFonts w:hint="eastAsia" w:cs="宋体"/>
          <w:color w:val="auto"/>
          <w:szCs w:val="21"/>
          <w:highlight w:val="none"/>
        </w:rPr>
        <w:t>2、…</w:t>
      </w:r>
    </w:p>
    <w:p w14:paraId="13643ABF">
      <w:pPr>
        <w:pStyle w:val="122"/>
        <w:rPr>
          <w:rFonts w:hint="eastAsia" w:cs="宋体"/>
          <w:color w:val="auto"/>
          <w:szCs w:val="21"/>
          <w:highlight w:val="none"/>
        </w:rPr>
      </w:pPr>
      <w:r>
        <w:rPr>
          <w:rFonts w:hint="eastAsia" w:cs="宋体"/>
          <w:color w:val="auto"/>
          <w:szCs w:val="21"/>
          <w:highlight w:val="none"/>
        </w:rPr>
        <w:t>…</w:t>
      </w:r>
    </w:p>
    <w:p w14:paraId="70F7D1B9">
      <w:pPr>
        <w:pStyle w:val="122"/>
        <w:rPr>
          <w:rFonts w:hint="eastAsia" w:cs="宋体"/>
          <w:color w:val="auto"/>
          <w:szCs w:val="21"/>
          <w:highlight w:val="none"/>
        </w:rPr>
      </w:pPr>
    </w:p>
    <w:p w14:paraId="2ADC9D9A">
      <w:pPr>
        <w:pStyle w:val="71"/>
        <w:ind w:firstLine="420"/>
        <w:rPr>
          <w:rFonts w:hint="eastAsia" w:cs="宋体"/>
          <w:color w:val="auto"/>
          <w:szCs w:val="21"/>
          <w:highlight w:val="none"/>
        </w:rPr>
      </w:pPr>
      <w:r>
        <w:rPr>
          <w:rFonts w:hint="eastAsia" w:cs="宋体"/>
          <w:color w:val="auto"/>
          <w:szCs w:val="21"/>
          <w:highlight w:val="none"/>
        </w:rPr>
        <w:t>请将上述问题的澄清于______年____月____日____时前递交至_______________________（详细地址）。</w:t>
      </w:r>
    </w:p>
    <w:p w14:paraId="4A8A6B9E">
      <w:pPr>
        <w:pStyle w:val="71"/>
        <w:ind w:firstLine="420"/>
        <w:jc w:val="right"/>
        <w:rPr>
          <w:rFonts w:hint="eastAsia" w:cs="宋体"/>
          <w:color w:val="auto"/>
          <w:szCs w:val="21"/>
          <w:highlight w:val="none"/>
        </w:rPr>
      </w:pPr>
    </w:p>
    <w:p w14:paraId="7D0E22FB">
      <w:pPr>
        <w:pStyle w:val="71"/>
        <w:ind w:firstLine="420"/>
        <w:jc w:val="right"/>
        <w:rPr>
          <w:rFonts w:hint="eastAsia" w:cs="宋体"/>
          <w:color w:val="auto"/>
          <w:szCs w:val="21"/>
          <w:highlight w:val="none"/>
        </w:rPr>
      </w:pPr>
      <w:r>
        <w:rPr>
          <w:rFonts w:hint="eastAsia" w:cs="宋体"/>
          <w:color w:val="auto"/>
          <w:szCs w:val="21"/>
          <w:highlight w:val="none"/>
        </w:rPr>
        <w:t>　</w:t>
      </w:r>
    </w:p>
    <w:p w14:paraId="5056B164">
      <w:pPr>
        <w:pStyle w:val="71"/>
        <w:ind w:firstLine="420"/>
        <w:jc w:val="right"/>
        <w:rPr>
          <w:rFonts w:hint="eastAsia" w:cs="宋体"/>
          <w:color w:val="auto"/>
          <w:szCs w:val="21"/>
          <w:highlight w:val="none"/>
        </w:rPr>
      </w:pPr>
    </w:p>
    <w:p w14:paraId="153BE07C">
      <w:pPr>
        <w:pStyle w:val="71"/>
        <w:ind w:firstLine="420"/>
        <w:jc w:val="right"/>
        <w:rPr>
          <w:rFonts w:hint="eastAsia" w:cs="宋体"/>
          <w:color w:val="auto"/>
          <w:szCs w:val="21"/>
          <w:highlight w:val="none"/>
        </w:rPr>
      </w:pPr>
      <w:r>
        <w:rPr>
          <w:rFonts w:hint="eastAsia" w:cs="宋体"/>
          <w:color w:val="auto"/>
          <w:szCs w:val="21"/>
          <w:highlight w:val="none"/>
        </w:rPr>
        <w:t>招标人或招标代理机构：_________（签字或盖章）</w:t>
      </w:r>
    </w:p>
    <w:p w14:paraId="42097E99">
      <w:pPr>
        <w:pStyle w:val="71"/>
        <w:ind w:firstLine="420"/>
        <w:jc w:val="right"/>
        <w:rPr>
          <w:rFonts w:hint="eastAsia" w:cs="宋体"/>
          <w:color w:val="auto"/>
          <w:szCs w:val="21"/>
          <w:highlight w:val="none"/>
        </w:rPr>
      </w:pPr>
    </w:p>
    <w:p w14:paraId="1E2C7A40">
      <w:pPr>
        <w:pStyle w:val="71"/>
        <w:ind w:firstLine="420"/>
        <w:jc w:val="right"/>
        <w:rPr>
          <w:rFonts w:hint="eastAsia" w:cs="宋体"/>
          <w:color w:val="auto"/>
          <w:szCs w:val="21"/>
          <w:highlight w:val="none"/>
        </w:rPr>
      </w:pPr>
      <w:r>
        <w:rPr>
          <w:rFonts w:hint="eastAsia" w:cs="宋体"/>
          <w:color w:val="auto"/>
          <w:szCs w:val="21"/>
          <w:highlight w:val="none"/>
        </w:rPr>
        <w:t>_________年________月________日</w:t>
      </w:r>
    </w:p>
    <w:p w14:paraId="3ADC110A">
      <w:pPr>
        <w:pStyle w:val="71"/>
        <w:ind w:firstLine="420"/>
        <w:jc w:val="right"/>
        <w:rPr>
          <w:rFonts w:hint="eastAsia" w:cs="宋体"/>
          <w:color w:val="auto"/>
          <w:szCs w:val="21"/>
          <w:highlight w:val="none"/>
        </w:rPr>
      </w:pPr>
    </w:p>
    <w:p w14:paraId="51975F4E">
      <w:pPr>
        <w:pStyle w:val="71"/>
        <w:ind w:firstLine="420"/>
        <w:rPr>
          <w:rFonts w:hint="eastAsia" w:cs="宋体"/>
          <w:color w:val="auto"/>
          <w:szCs w:val="21"/>
          <w:highlight w:val="none"/>
        </w:rPr>
      </w:pPr>
      <w:r>
        <w:rPr>
          <w:rFonts w:hint="eastAsia" w:cs="宋体"/>
          <w:color w:val="auto"/>
          <w:szCs w:val="21"/>
          <w:highlight w:val="none"/>
        </w:rPr>
        <w:br w:type="page"/>
      </w:r>
      <w:r>
        <w:rPr>
          <w:rFonts w:hint="eastAsia" w:cs="宋体"/>
          <w:color w:val="auto"/>
          <w:szCs w:val="21"/>
          <w:highlight w:val="none"/>
        </w:rPr>
        <w:t> </w:t>
      </w:r>
    </w:p>
    <w:p w14:paraId="407EF469">
      <w:pPr>
        <w:pStyle w:val="128"/>
        <w:ind w:firstLine="0" w:firstLineChars="0"/>
        <w:rPr>
          <w:rStyle w:val="37"/>
          <w:rFonts w:hint="eastAsia" w:cs="宋体"/>
          <w:color w:val="auto"/>
          <w:kern w:val="2"/>
          <w:sz w:val="21"/>
          <w:szCs w:val="21"/>
          <w:highlight w:val="none"/>
        </w:rPr>
      </w:pPr>
      <w:r>
        <w:rPr>
          <w:rStyle w:val="37"/>
          <w:rFonts w:hint="eastAsia" w:cs="宋体"/>
          <w:color w:val="auto"/>
          <w:kern w:val="2"/>
          <w:sz w:val="21"/>
          <w:szCs w:val="21"/>
          <w:highlight w:val="none"/>
        </w:rPr>
        <w:t xml:space="preserve">附件二：问题澄清 </w:t>
      </w:r>
    </w:p>
    <w:p w14:paraId="45B2F16E">
      <w:pPr>
        <w:pStyle w:val="92"/>
        <w:rPr>
          <w:rFonts w:hint="eastAsia" w:ascii="宋体" w:eastAsia="宋体" w:cs="宋体"/>
          <w:color w:val="auto"/>
          <w:sz w:val="21"/>
          <w:szCs w:val="21"/>
          <w:highlight w:val="none"/>
        </w:rPr>
      </w:pPr>
      <w:r>
        <w:rPr>
          <w:rFonts w:hint="eastAsia" w:ascii="宋体" w:eastAsia="宋体" w:cs="宋体"/>
          <w:color w:val="auto"/>
          <w:sz w:val="21"/>
          <w:szCs w:val="21"/>
          <w:highlight w:val="none"/>
        </w:rPr>
        <w:t xml:space="preserve">问题澄清 </w:t>
      </w:r>
    </w:p>
    <w:p w14:paraId="0E4209C7">
      <w:pPr>
        <w:pStyle w:val="142"/>
        <w:ind w:firstLine="420"/>
        <w:rPr>
          <w:rFonts w:hint="eastAsia" w:cs="宋体"/>
          <w:color w:val="auto"/>
          <w:szCs w:val="21"/>
          <w:highlight w:val="none"/>
        </w:rPr>
      </w:pPr>
      <w:r>
        <w:rPr>
          <w:rFonts w:hint="eastAsia" w:cs="宋体"/>
          <w:color w:val="auto"/>
          <w:szCs w:val="21"/>
          <w:highlight w:val="none"/>
        </w:rPr>
        <w:t>编号：__________________</w:t>
      </w:r>
    </w:p>
    <w:p w14:paraId="36F368AD">
      <w:pPr>
        <w:pStyle w:val="105"/>
        <w:ind w:firstLine="0" w:firstLineChars="0"/>
        <w:rPr>
          <w:rFonts w:hint="eastAsia" w:cs="宋体"/>
          <w:color w:val="auto"/>
          <w:szCs w:val="21"/>
          <w:highlight w:val="none"/>
        </w:rPr>
      </w:pPr>
      <w:r>
        <w:rPr>
          <w:rFonts w:hint="eastAsia" w:cs="宋体"/>
          <w:color w:val="auto"/>
          <w:szCs w:val="21"/>
          <w:highlight w:val="none"/>
        </w:rPr>
        <w:t>____________（项目名称）______招标评标委员会：</w:t>
      </w:r>
    </w:p>
    <w:p w14:paraId="77516D12">
      <w:pPr>
        <w:pStyle w:val="122"/>
        <w:rPr>
          <w:rFonts w:hint="eastAsia" w:cs="宋体"/>
          <w:color w:val="auto"/>
          <w:szCs w:val="21"/>
          <w:highlight w:val="none"/>
        </w:rPr>
      </w:pPr>
      <w:r>
        <w:rPr>
          <w:rFonts w:hint="eastAsia" w:cs="宋体"/>
          <w:color w:val="auto"/>
          <w:szCs w:val="21"/>
          <w:highlight w:val="none"/>
        </w:rPr>
        <w:t>问题澄清通知（编号：______）已收悉，现澄清、说明或者补正如下：</w:t>
      </w:r>
    </w:p>
    <w:p w14:paraId="1DD77081">
      <w:pPr>
        <w:pStyle w:val="122"/>
        <w:rPr>
          <w:rFonts w:hint="eastAsia" w:cs="宋体"/>
          <w:color w:val="auto"/>
          <w:szCs w:val="21"/>
          <w:highlight w:val="none"/>
        </w:rPr>
      </w:pPr>
      <w:r>
        <w:rPr>
          <w:rFonts w:hint="eastAsia" w:cs="宋体"/>
          <w:color w:val="auto"/>
          <w:szCs w:val="21"/>
          <w:highlight w:val="none"/>
        </w:rPr>
        <w:t>1.______________________________________________</w:t>
      </w:r>
    </w:p>
    <w:p w14:paraId="40B09C77">
      <w:pPr>
        <w:pStyle w:val="122"/>
        <w:rPr>
          <w:rFonts w:hint="eastAsia" w:cs="宋体"/>
          <w:color w:val="auto"/>
          <w:szCs w:val="21"/>
          <w:highlight w:val="none"/>
        </w:rPr>
      </w:pPr>
      <w:r>
        <w:rPr>
          <w:rFonts w:hint="eastAsia" w:cs="宋体"/>
          <w:color w:val="auto"/>
          <w:szCs w:val="21"/>
          <w:highlight w:val="none"/>
        </w:rPr>
        <w:t>2.______________________________________________</w:t>
      </w:r>
    </w:p>
    <w:p w14:paraId="27714FF6">
      <w:pPr>
        <w:pStyle w:val="122"/>
        <w:rPr>
          <w:rFonts w:hint="eastAsia" w:cs="宋体"/>
          <w:color w:val="auto"/>
          <w:szCs w:val="21"/>
          <w:highlight w:val="none"/>
        </w:rPr>
      </w:pPr>
      <w:r>
        <w:rPr>
          <w:rFonts w:hint="eastAsia" w:cs="宋体"/>
          <w:color w:val="auto"/>
          <w:szCs w:val="21"/>
          <w:highlight w:val="none"/>
        </w:rPr>
        <w:t>……</w:t>
      </w:r>
    </w:p>
    <w:p w14:paraId="4E665DD2">
      <w:pPr>
        <w:pStyle w:val="122"/>
        <w:rPr>
          <w:rFonts w:hint="eastAsia" w:cs="宋体"/>
          <w:color w:val="auto"/>
          <w:szCs w:val="21"/>
          <w:highlight w:val="none"/>
        </w:rPr>
      </w:pPr>
      <w:r>
        <w:rPr>
          <w:rFonts w:hint="eastAsia" w:cs="宋体"/>
          <w:color w:val="auto"/>
          <w:szCs w:val="21"/>
          <w:highlight w:val="none"/>
        </w:rPr>
        <w:t> </w:t>
      </w:r>
    </w:p>
    <w:p w14:paraId="1A0C0000">
      <w:pPr>
        <w:pStyle w:val="122"/>
        <w:rPr>
          <w:rFonts w:hint="eastAsia" w:cs="宋体"/>
          <w:color w:val="auto"/>
          <w:szCs w:val="21"/>
          <w:highlight w:val="none"/>
        </w:rPr>
      </w:pPr>
      <w:r>
        <w:rPr>
          <w:rFonts w:hint="eastAsia" w:cs="宋体"/>
          <w:color w:val="auto"/>
          <w:szCs w:val="21"/>
          <w:highlight w:val="none"/>
        </w:rPr>
        <w:t> </w:t>
      </w:r>
    </w:p>
    <w:p w14:paraId="6597FB27">
      <w:pPr>
        <w:pStyle w:val="122"/>
        <w:rPr>
          <w:rFonts w:hint="eastAsia" w:cs="宋体"/>
          <w:color w:val="auto"/>
          <w:szCs w:val="21"/>
          <w:highlight w:val="none"/>
        </w:rPr>
      </w:pPr>
      <w:r>
        <w:rPr>
          <w:rFonts w:hint="eastAsia" w:cs="宋体"/>
          <w:color w:val="auto"/>
          <w:szCs w:val="21"/>
          <w:highlight w:val="none"/>
        </w:rPr>
        <w:t> </w:t>
      </w:r>
    </w:p>
    <w:p w14:paraId="2AA7CE14">
      <w:pPr>
        <w:pStyle w:val="122"/>
        <w:rPr>
          <w:rFonts w:hint="eastAsia" w:cs="宋体"/>
          <w:color w:val="auto"/>
          <w:szCs w:val="21"/>
          <w:highlight w:val="none"/>
        </w:rPr>
      </w:pPr>
      <w:r>
        <w:rPr>
          <w:rFonts w:hint="eastAsia" w:cs="宋体"/>
          <w:color w:val="auto"/>
          <w:szCs w:val="21"/>
          <w:highlight w:val="none"/>
        </w:rPr>
        <w:t> </w:t>
      </w:r>
    </w:p>
    <w:p w14:paraId="6F1C12CB">
      <w:pPr>
        <w:pStyle w:val="122"/>
        <w:rPr>
          <w:rFonts w:hint="eastAsia" w:cs="宋体"/>
          <w:color w:val="auto"/>
          <w:szCs w:val="21"/>
          <w:highlight w:val="none"/>
        </w:rPr>
      </w:pPr>
      <w:r>
        <w:rPr>
          <w:rFonts w:hint="eastAsia" w:cs="宋体"/>
          <w:color w:val="auto"/>
          <w:szCs w:val="21"/>
          <w:highlight w:val="none"/>
        </w:rPr>
        <w:t> </w:t>
      </w:r>
    </w:p>
    <w:p w14:paraId="18C80AC9">
      <w:pPr>
        <w:pStyle w:val="122"/>
        <w:rPr>
          <w:rFonts w:hint="eastAsia" w:cs="宋体"/>
          <w:color w:val="auto"/>
          <w:szCs w:val="21"/>
          <w:highlight w:val="none"/>
        </w:rPr>
      </w:pPr>
      <w:r>
        <w:rPr>
          <w:rFonts w:hint="eastAsia" w:cs="宋体"/>
          <w:color w:val="auto"/>
          <w:szCs w:val="21"/>
          <w:highlight w:val="none"/>
        </w:rPr>
        <w:t> </w:t>
      </w:r>
    </w:p>
    <w:p w14:paraId="4DED68DC">
      <w:pPr>
        <w:pStyle w:val="122"/>
        <w:rPr>
          <w:rFonts w:hint="eastAsia" w:cs="宋体"/>
          <w:color w:val="auto"/>
          <w:szCs w:val="21"/>
          <w:highlight w:val="none"/>
        </w:rPr>
      </w:pPr>
      <w:r>
        <w:rPr>
          <w:rFonts w:hint="eastAsia" w:cs="宋体"/>
          <w:color w:val="auto"/>
          <w:szCs w:val="21"/>
          <w:highlight w:val="none"/>
        </w:rPr>
        <w:t> </w:t>
      </w:r>
    </w:p>
    <w:p w14:paraId="18E4738A">
      <w:pPr>
        <w:pStyle w:val="157"/>
        <w:rPr>
          <w:rFonts w:hint="eastAsia" w:cs="宋体"/>
          <w:color w:val="auto"/>
          <w:szCs w:val="21"/>
          <w:highlight w:val="none"/>
        </w:rPr>
      </w:pPr>
      <w:r>
        <w:rPr>
          <w:rFonts w:hint="eastAsia" w:cs="宋体"/>
          <w:color w:val="auto"/>
          <w:szCs w:val="21"/>
          <w:highlight w:val="none"/>
        </w:rPr>
        <w:t>投标人：___________________________（盖单位章）</w:t>
      </w:r>
    </w:p>
    <w:p w14:paraId="0F307B36">
      <w:pPr>
        <w:pStyle w:val="114"/>
        <w:rPr>
          <w:rFonts w:hint="eastAsia" w:ascii="宋体" w:eastAsia="宋体" w:cs="宋体"/>
          <w:color w:val="auto"/>
          <w:szCs w:val="21"/>
          <w:highlight w:val="none"/>
        </w:rPr>
      </w:pPr>
      <w:r>
        <w:rPr>
          <w:rFonts w:hint="eastAsia" w:ascii="宋体" w:eastAsia="宋体" w:cs="宋体"/>
          <w:color w:val="auto"/>
          <w:szCs w:val="21"/>
          <w:highlight w:val="none"/>
        </w:rPr>
        <w:t>法定代表人或其授权委托人：______（签字）</w:t>
      </w:r>
    </w:p>
    <w:p w14:paraId="001C3592">
      <w:pPr>
        <w:pStyle w:val="144"/>
        <w:ind w:firstLine="420"/>
        <w:jc w:val="right"/>
        <w:rPr>
          <w:rFonts w:hint="eastAsia" w:cs="宋体"/>
          <w:color w:val="auto"/>
          <w:szCs w:val="21"/>
          <w:highlight w:val="none"/>
        </w:rPr>
      </w:pPr>
      <w:r>
        <w:rPr>
          <w:rFonts w:hint="eastAsia" w:cs="宋体"/>
          <w:color w:val="auto"/>
          <w:szCs w:val="21"/>
          <w:highlight w:val="none"/>
        </w:rPr>
        <w:t>______年_____月_____日</w:t>
      </w:r>
    </w:p>
    <w:p w14:paraId="044333A9">
      <w:pPr>
        <w:widowControl/>
        <w:jc w:val="center"/>
        <w:rPr>
          <w:rFonts w:hint="eastAsia" w:ascii="宋体" w:hAnsi="宋体" w:cs="宋体"/>
          <w:color w:val="auto"/>
          <w:highlight w:val="none"/>
        </w:rPr>
      </w:pPr>
      <w:r>
        <w:rPr>
          <w:rFonts w:hint="eastAsia" w:ascii="宋体" w:hAnsi="宋体" w:cs="宋体"/>
          <w:color w:val="auto"/>
          <w:szCs w:val="21"/>
          <w:highlight w:val="none"/>
        </w:rPr>
        <w:br w:type="page"/>
      </w:r>
      <w:bookmarkStart w:id="52" w:name="_Toc417634872"/>
      <w:r>
        <w:rPr>
          <w:rFonts w:hint="eastAsia" w:ascii="宋体" w:hAnsi="宋体" w:cs="宋体"/>
          <w:b/>
          <w:bCs/>
          <w:color w:val="auto"/>
          <w:kern w:val="0"/>
          <w:sz w:val="28"/>
          <w:szCs w:val="28"/>
          <w:highlight w:val="none"/>
          <w:lang w:bidi="ar"/>
        </w:rPr>
        <w:t>云南省公共资源交易电子化招标文件应注明电子化交易的内容</w:t>
      </w:r>
    </w:p>
    <w:p w14:paraId="0A9C9643">
      <w:pPr>
        <w:widowControl/>
        <w:ind w:firstLine="562"/>
        <w:jc w:val="center"/>
        <w:rPr>
          <w:rFonts w:hint="eastAsia" w:ascii="宋体" w:hAnsi="宋体" w:cs="宋体"/>
          <w:color w:val="auto"/>
          <w:highlight w:val="none"/>
        </w:rPr>
      </w:pPr>
      <w:r>
        <w:rPr>
          <w:rFonts w:hint="eastAsia" w:ascii="宋体" w:hAnsi="宋体" w:cs="宋体"/>
          <w:b/>
          <w:bCs/>
          <w:color w:val="auto"/>
          <w:kern w:val="0"/>
          <w:sz w:val="28"/>
          <w:szCs w:val="28"/>
          <w:highlight w:val="none"/>
          <w:lang w:bidi="ar"/>
        </w:rPr>
        <w:t>（适用于工程建设网上智能开标招标文件编制）</w:t>
      </w:r>
    </w:p>
    <w:p w14:paraId="62730B8C">
      <w:pPr>
        <w:widowControl/>
        <w:ind w:firstLine="367" w:firstLineChars="175"/>
        <w:jc w:val="left"/>
        <w:rPr>
          <w:rFonts w:hint="eastAsia" w:ascii="宋体" w:hAnsi="宋体" w:cs="宋体"/>
          <w:color w:val="auto"/>
          <w:szCs w:val="21"/>
          <w:highlight w:val="none"/>
        </w:rPr>
      </w:pPr>
      <w:r>
        <w:rPr>
          <w:rFonts w:hint="eastAsia" w:ascii="宋体" w:hAnsi="宋体" w:cs="宋体"/>
          <w:color w:val="auto"/>
          <w:kern w:val="0"/>
          <w:szCs w:val="21"/>
          <w:highlight w:val="none"/>
          <w:lang w:bidi="ar"/>
        </w:rPr>
        <w:t xml:space="preserve">为规范云南省公共资源电子化交易，招标人、招标代理机构在编制电子化招标文件时应明确电子化交易的内容，详细内容如下： </w:t>
      </w:r>
    </w:p>
    <w:p w14:paraId="610B1856">
      <w:pPr>
        <w:widowControl/>
        <w:ind w:firstLine="369" w:firstLineChars="175"/>
        <w:jc w:val="left"/>
        <w:rPr>
          <w:rFonts w:hint="eastAsia" w:ascii="宋体" w:hAnsi="宋体" w:cs="宋体"/>
          <w:color w:val="auto"/>
          <w:szCs w:val="21"/>
          <w:highlight w:val="none"/>
        </w:rPr>
      </w:pPr>
      <w:r>
        <w:rPr>
          <w:rFonts w:hint="eastAsia" w:ascii="宋体" w:hAnsi="宋体" w:cs="宋体"/>
          <w:b/>
          <w:bCs/>
          <w:color w:val="auto"/>
          <w:kern w:val="0"/>
          <w:szCs w:val="21"/>
          <w:highlight w:val="none"/>
          <w:lang w:bidi="ar"/>
        </w:rPr>
        <w:t xml:space="preserve">1.电子招标文件获取 </w:t>
      </w:r>
    </w:p>
    <w:p w14:paraId="51EF4076">
      <w:pPr>
        <w:widowControl/>
        <w:ind w:firstLine="367" w:firstLineChars="175"/>
        <w:jc w:val="left"/>
        <w:rPr>
          <w:rFonts w:hint="eastAsia" w:ascii="宋体" w:hAnsi="宋体" w:cs="宋体"/>
          <w:color w:val="auto"/>
          <w:szCs w:val="21"/>
          <w:highlight w:val="none"/>
        </w:rPr>
      </w:pPr>
      <w:r>
        <w:rPr>
          <w:rFonts w:hint="eastAsia" w:ascii="宋体" w:hAnsi="宋体" w:cs="宋体"/>
          <w:color w:val="auto"/>
          <w:kern w:val="0"/>
          <w:szCs w:val="21"/>
          <w:highlight w:val="none"/>
          <w:lang w:bidi="ar"/>
        </w:rPr>
        <w:t xml:space="preserve">凡有意参加投标者，请于文件获取截止时间前（北京时间，下同），凭企业数字证书（CA）登录云南省公共资源交易信息网（网址：https://ggzy.yn.gov.cn/#/homePage），在网上获取招标文件及其他招标资料（电子招标文件格式为*.BZBJ），数字证书（CA）详见其办理流程。 </w:t>
      </w:r>
    </w:p>
    <w:p w14:paraId="1FF56C43">
      <w:pPr>
        <w:widowControl/>
        <w:ind w:firstLine="369" w:firstLineChars="175"/>
        <w:jc w:val="left"/>
        <w:rPr>
          <w:rFonts w:hint="eastAsia" w:ascii="宋体" w:hAnsi="宋体" w:cs="宋体"/>
          <w:color w:val="auto"/>
          <w:szCs w:val="21"/>
          <w:highlight w:val="none"/>
        </w:rPr>
      </w:pPr>
      <w:r>
        <w:rPr>
          <w:rFonts w:hint="eastAsia" w:ascii="宋体" w:hAnsi="宋体" w:cs="宋体"/>
          <w:b/>
          <w:bCs/>
          <w:color w:val="auto"/>
          <w:kern w:val="0"/>
          <w:szCs w:val="21"/>
          <w:highlight w:val="none"/>
          <w:lang w:bidi="ar"/>
        </w:rPr>
        <w:t xml:space="preserve">2.电子招标文件澄清与答疑 </w:t>
      </w:r>
    </w:p>
    <w:p w14:paraId="3418710A">
      <w:pPr>
        <w:widowControl/>
        <w:ind w:firstLine="367" w:firstLineChars="175"/>
        <w:jc w:val="left"/>
        <w:rPr>
          <w:rFonts w:hint="eastAsia" w:ascii="宋体" w:hAnsi="宋体" w:cs="宋体"/>
          <w:color w:val="auto"/>
          <w:szCs w:val="21"/>
          <w:highlight w:val="none"/>
        </w:rPr>
      </w:pPr>
      <w:r>
        <w:rPr>
          <w:rFonts w:hint="eastAsia" w:ascii="宋体" w:hAnsi="宋体" w:cs="宋体"/>
          <w:color w:val="auto"/>
          <w:kern w:val="0"/>
          <w:szCs w:val="21"/>
          <w:highlight w:val="none"/>
          <w:lang w:bidi="ar"/>
        </w:rPr>
        <w:t xml:space="preserve">所有获取了招标文件的潜在投标人，可凭企业数字证书（CA）登录云南省公共资源交易信息网（网址：https://ggzy.yn.gov.cn/#/homePage），在投标人须知前附表规定的时间前通过在线方式匿名进行询问、质疑。 </w:t>
      </w:r>
    </w:p>
    <w:p w14:paraId="469DB603">
      <w:pPr>
        <w:widowControl/>
        <w:ind w:firstLine="367" w:firstLineChars="175"/>
        <w:jc w:val="left"/>
        <w:rPr>
          <w:rFonts w:hint="eastAsia" w:ascii="宋体" w:hAnsi="宋体" w:cs="宋体"/>
          <w:color w:val="auto"/>
          <w:szCs w:val="21"/>
          <w:highlight w:val="none"/>
        </w:rPr>
      </w:pPr>
      <w:r>
        <w:rPr>
          <w:rFonts w:hint="eastAsia" w:ascii="宋体" w:hAnsi="宋体" w:cs="宋体"/>
          <w:color w:val="auto"/>
          <w:kern w:val="0"/>
          <w:szCs w:val="21"/>
          <w:highlight w:val="none"/>
          <w:lang w:bidi="ar"/>
        </w:rPr>
        <w:t xml:space="preserve">投标人应仔细阅读和检查招标文件的全部内容。如发现缺页或附件不全，应在投标人须知前附表规定的时间前向招标人提出询问，以便招标人补齐。如有疑问，应在投标人须知前附表 规定的时间前以在线不署名提交质疑，要求招标人对招标文件予以澄清。 </w:t>
      </w:r>
    </w:p>
    <w:p w14:paraId="11604302">
      <w:pPr>
        <w:widowControl/>
        <w:ind w:firstLine="369" w:firstLineChars="175"/>
        <w:jc w:val="left"/>
        <w:rPr>
          <w:rFonts w:hint="eastAsia" w:ascii="宋体" w:hAnsi="宋体" w:cs="宋体"/>
          <w:color w:val="auto"/>
          <w:szCs w:val="21"/>
          <w:highlight w:val="none"/>
        </w:rPr>
      </w:pPr>
      <w:r>
        <w:rPr>
          <w:rFonts w:hint="eastAsia" w:ascii="宋体" w:hAnsi="宋体" w:cs="宋体"/>
          <w:b/>
          <w:bCs/>
          <w:color w:val="auto"/>
          <w:kern w:val="0"/>
          <w:szCs w:val="21"/>
          <w:highlight w:val="none"/>
          <w:lang w:bidi="ar"/>
        </w:rPr>
        <w:t xml:space="preserve">3.电子招标文件的修改 </w:t>
      </w:r>
    </w:p>
    <w:p w14:paraId="51436B7A">
      <w:pPr>
        <w:widowControl/>
        <w:ind w:firstLine="367" w:firstLineChars="175"/>
        <w:jc w:val="left"/>
        <w:rPr>
          <w:rFonts w:hint="eastAsia" w:ascii="宋体" w:hAnsi="宋体" w:cs="宋体"/>
          <w:color w:val="auto"/>
          <w:szCs w:val="21"/>
          <w:highlight w:val="none"/>
        </w:rPr>
      </w:pPr>
      <w:r>
        <w:rPr>
          <w:rFonts w:hint="eastAsia" w:ascii="宋体" w:hAnsi="宋体" w:cs="宋体"/>
          <w:color w:val="auto"/>
          <w:kern w:val="0"/>
          <w:szCs w:val="21"/>
          <w:highlight w:val="none"/>
          <w:lang w:bidi="ar"/>
        </w:rPr>
        <w:t xml:space="preserve">（1）招标人对招标文件中的涉及评标办法、评审项目等重要评审内容做出变更，将同时发布补遗文件进行说明，以保证各投标人都能重新下载并用于编制电子投标文件。 </w:t>
      </w:r>
    </w:p>
    <w:p w14:paraId="0DC069B5">
      <w:pPr>
        <w:widowControl/>
        <w:ind w:firstLine="367" w:firstLineChars="175"/>
        <w:jc w:val="left"/>
        <w:rPr>
          <w:rFonts w:hint="eastAsia" w:ascii="宋体" w:hAnsi="宋体" w:cs="宋体"/>
          <w:color w:val="auto"/>
          <w:szCs w:val="21"/>
          <w:highlight w:val="none"/>
        </w:rPr>
      </w:pPr>
      <w:r>
        <w:rPr>
          <w:rFonts w:hint="eastAsia" w:ascii="宋体" w:hAnsi="宋体" w:cs="宋体"/>
          <w:color w:val="auto"/>
          <w:kern w:val="0"/>
          <w:szCs w:val="21"/>
          <w:highlight w:val="none"/>
          <w:lang w:bidi="ar"/>
        </w:rPr>
        <w:t xml:space="preserve">（2）投标人应在投标截止时间前及时登录云南省公共资源交易信息网（网址：https://ggzy.yn.gov.cn/#/homePage）中查看有关该工程招标文件的答疑、补遗内容。否则，后果自负。 </w:t>
      </w:r>
    </w:p>
    <w:p w14:paraId="1BB12DE8">
      <w:pPr>
        <w:widowControl/>
        <w:ind w:firstLine="367" w:firstLineChars="175"/>
        <w:jc w:val="left"/>
        <w:rPr>
          <w:rFonts w:hint="eastAsia" w:ascii="宋体" w:hAnsi="宋体" w:cs="宋体"/>
          <w:color w:val="auto"/>
          <w:szCs w:val="21"/>
          <w:highlight w:val="none"/>
        </w:rPr>
      </w:pPr>
      <w:r>
        <w:rPr>
          <w:rFonts w:hint="eastAsia" w:ascii="宋体" w:hAnsi="宋体" w:cs="宋体"/>
          <w:color w:val="auto"/>
          <w:kern w:val="0"/>
          <w:szCs w:val="21"/>
          <w:highlight w:val="none"/>
          <w:lang w:bidi="ar"/>
        </w:rPr>
        <w:t xml:space="preserve">（3）招标文件澄清、招标文件修改文件内容均以网上电子文件为准，当招标文件、招标 文件澄清、招标文件修改文件内容前后相互矛盾时，以最新发布的招标文件为准。 </w:t>
      </w:r>
    </w:p>
    <w:p w14:paraId="1B1E12D5">
      <w:pPr>
        <w:widowControl/>
        <w:ind w:firstLine="369" w:firstLineChars="175"/>
        <w:jc w:val="left"/>
        <w:rPr>
          <w:rFonts w:hint="eastAsia" w:ascii="宋体" w:hAnsi="宋体" w:cs="宋体"/>
          <w:color w:val="auto"/>
          <w:szCs w:val="21"/>
          <w:highlight w:val="none"/>
        </w:rPr>
      </w:pPr>
      <w:r>
        <w:rPr>
          <w:rFonts w:hint="eastAsia" w:ascii="宋体" w:hAnsi="宋体" w:cs="宋体"/>
          <w:b/>
          <w:bCs/>
          <w:color w:val="auto"/>
          <w:kern w:val="0"/>
          <w:szCs w:val="21"/>
          <w:highlight w:val="none"/>
          <w:lang w:bidi="ar"/>
        </w:rPr>
        <w:t xml:space="preserve">4.电子投标文件的组成及编制要求 </w:t>
      </w:r>
    </w:p>
    <w:p w14:paraId="0E72388F">
      <w:pPr>
        <w:widowControl/>
        <w:ind w:firstLine="367" w:firstLineChars="175"/>
        <w:jc w:val="left"/>
        <w:rPr>
          <w:rFonts w:hint="eastAsia" w:ascii="宋体" w:hAnsi="宋体" w:cs="宋体"/>
          <w:color w:val="auto"/>
          <w:szCs w:val="21"/>
          <w:highlight w:val="none"/>
        </w:rPr>
      </w:pPr>
      <w:r>
        <w:rPr>
          <w:rFonts w:hint="eastAsia" w:ascii="宋体" w:hAnsi="宋体" w:cs="宋体"/>
          <w:color w:val="auto"/>
          <w:kern w:val="0"/>
          <w:szCs w:val="21"/>
          <w:highlight w:val="none"/>
          <w:lang w:bidi="ar"/>
        </w:rPr>
        <w:t xml:space="preserve">投标文件全部采用电子文档，具体要求： </w:t>
      </w:r>
    </w:p>
    <w:p w14:paraId="186249CF">
      <w:pPr>
        <w:widowControl/>
        <w:ind w:firstLine="367" w:firstLineChars="175"/>
        <w:jc w:val="left"/>
        <w:rPr>
          <w:rFonts w:hint="eastAsia" w:ascii="宋体" w:hAnsi="宋体" w:cs="宋体"/>
          <w:color w:val="auto"/>
          <w:szCs w:val="21"/>
          <w:highlight w:val="none"/>
        </w:rPr>
      </w:pPr>
      <w:r>
        <w:rPr>
          <w:rFonts w:hint="eastAsia" w:ascii="宋体" w:hAnsi="宋体" w:cs="宋体"/>
          <w:color w:val="auto"/>
          <w:kern w:val="0"/>
          <w:szCs w:val="21"/>
          <w:highlight w:val="none"/>
          <w:lang w:bidi="ar"/>
        </w:rPr>
        <w:t xml:space="preserve">（1）非公路双信封项目的投标文件格式为*.BTBJ，使用云南省工程建设模块化投标文件编制系统完成编制，并完成电子签名及加密。 </w:t>
      </w:r>
    </w:p>
    <w:p w14:paraId="7BD67E50">
      <w:pPr>
        <w:widowControl/>
        <w:ind w:firstLine="367" w:firstLineChars="175"/>
        <w:jc w:val="left"/>
        <w:rPr>
          <w:rFonts w:hint="eastAsia" w:ascii="宋体" w:hAnsi="宋体" w:cs="宋体"/>
          <w:color w:val="auto"/>
          <w:szCs w:val="21"/>
          <w:highlight w:val="none"/>
        </w:rPr>
      </w:pPr>
      <w:r>
        <w:rPr>
          <w:rFonts w:hint="eastAsia" w:ascii="宋体" w:hAnsi="宋体" w:cs="宋体"/>
          <w:color w:val="auto"/>
          <w:kern w:val="0"/>
          <w:szCs w:val="21"/>
          <w:highlight w:val="none"/>
          <w:lang w:bidi="ar"/>
        </w:rPr>
        <w:t xml:space="preserve">（2）在编制投标文件时，图片建议使用 JPG 格式，并且每张图片的分辨率应小于 100dpi， 每份投标文件须小于100M。 </w:t>
      </w:r>
    </w:p>
    <w:p w14:paraId="051DCD5D">
      <w:pPr>
        <w:widowControl/>
        <w:ind w:firstLine="369" w:firstLineChars="175"/>
        <w:jc w:val="left"/>
        <w:rPr>
          <w:rFonts w:hint="eastAsia" w:ascii="宋体" w:hAnsi="宋体" w:cs="宋体"/>
          <w:color w:val="auto"/>
          <w:szCs w:val="21"/>
          <w:highlight w:val="none"/>
        </w:rPr>
      </w:pPr>
      <w:r>
        <w:rPr>
          <w:rFonts w:hint="eastAsia" w:ascii="宋体" w:hAnsi="宋体" w:cs="宋体"/>
          <w:b/>
          <w:bCs/>
          <w:color w:val="auto"/>
          <w:kern w:val="0"/>
          <w:szCs w:val="21"/>
          <w:highlight w:val="none"/>
          <w:lang w:bidi="ar"/>
        </w:rPr>
        <w:t xml:space="preserve">5.电子投标文件的递交 </w:t>
      </w:r>
    </w:p>
    <w:p w14:paraId="18254129">
      <w:pPr>
        <w:widowControl/>
        <w:ind w:firstLine="367" w:firstLineChars="175"/>
        <w:jc w:val="left"/>
        <w:rPr>
          <w:rFonts w:hint="eastAsia" w:ascii="宋体" w:hAnsi="宋体" w:cs="宋体"/>
          <w:color w:val="auto"/>
          <w:szCs w:val="21"/>
          <w:highlight w:val="none"/>
        </w:rPr>
      </w:pPr>
      <w:r>
        <w:rPr>
          <w:rFonts w:hint="eastAsia" w:ascii="宋体" w:hAnsi="宋体" w:cs="宋体"/>
          <w:color w:val="auto"/>
          <w:kern w:val="0"/>
          <w:szCs w:val="21"/>
          <w:highlight w:val="none"/>
          <w:lang w:bidi="ar"/>
        </w:rPr>
        <w:t xml:space="preserve">在投标文件递交截止时间前，投标人应根据招标文件要求，须登录云南省公共资源交易信息网（网址：https://ggzy.yn.gov.cn/#/homePage），在投标截止时间前完成所有电子投标文件的递交，且完成电子签名确认，并打印“上传投标文件回执”，以确保文件上传成功。投标文件在截止时间前未完成电子签名确认的，视为无效投标，不能进入开标阶段。 </w:t>
      </w:r>
    </w:p>
    <w:p w14:paraId="3A0A9A50">
      <w:pPr>
        <w:widowControl/>
        <w:ind w:firstLine="367" w:firstLineChars="175"/>
        <w:jc w:val="left"/>
        <w:rPr>
          <w:rFonts w:hint="eastAsia" w:ascii="宋体" w:hAnsi="宋体" w:cs="宋体"/>
          <w:color w:val="auto"/>
          <w:szCs w:val="21"/>
          <w:highlight w:val="none"/>
        </w:rPr>
      </w:pPr>
      <w:r>
        <w:rPr>
          <w:rFonts w:hint="eastAsia" w:ascii="宋体" w:hAnsi="宋体" w:cs="宋体"/>
          <w:color w:val="auto"/>
          <w:kern w:val="0"/>
          <w:szCs w:val="21"/>
          <w:highlight w:val="none"/>
          <w:lang w:bidi="ar"/>
        </w:rPr>
        <w:t xml:space="preserve">同时，投标人应自行下载已上传成功的投标文件，并进行查看、解密和核验投标文件，以确保上传投标文件的正确性。 </w:t>
      </w:r>
    </w:p>
    <w:p w14:paraId="5B373D73">
      <w:pPr>
        <w:widowControl/>
        <w:ind w:firstLine="369" w:firstLineChars="175"/>
        <w:jc w:val="left"/>
        <w:rPr>
          <w:rFonts w:hint="eastAsia" w:ascii="宋体" w:hAnsi="宋体" w:cs="宋体"/>
          <w:color w:val="auto"/>
          <w:szCs w:val="21"/>
          <w:highlight w:val="none"/>
        </w:rPr>
      </w:pPr>
      <w:r>
        <w:rPr>
          <w:rFonts w:hint="eastAsia" w:ascii="宋体" w:hAnsi="宋体" w:cs="宋体"/>
          <w:b/>
          <w:bCs/>
          <w:color w:val="auto"/>
          <w:kern w:val="0"/>
          <w:szCs w:val="21"/>
          <w:highlight w:val="none"/>
          <w:lang w:bidi="ar"/>
        </w:rPr>
        <w:t xml:space="preserve">6.电子投标文件的撤回、修改和重新递交 </w:t>
      </w:r>
    </w:p>
    <w:p w14:paraId="2B41F532">
      <w:pPr>
        <w:widowControl/>
        <w:ind w:firstLine="367" w:firstLineChars="175"/>
        <w:jc w:val="left"/>
        <w:rPr>
          <w:rFonts w:hint="eastAsia" w:ascii="宋体" w:hAnsi="宋体" w:cs="宋体"/>
          <w:color w:val="auto"/>
          <w:szCs w:val="21"/>
          <w:highlight w:val="none"/>
        </w:rPr>
      </w:pPr>
      <w:r>
        <w:rPr>
          <w:rFonts w:hint="eastAsia" w:ascii="宋体" w:hAnsi="宋体" w:cs="宋体"/>
          <w:color w:val="auto"/>
          <w:kern w:val="0"/>
          <w:szCs w:val="21"/>
          <w:highlight w:val="none"/>
          <w:lang w:bidi="ar"/>
        </w:rPr>
        <w:t xml:space="preserve">（1）在投标截止时间前，投标人可以撤回在网上已递交的投标文件，修改后重新递交，无须书面形式通知招标人。 </w:t>
      </w:r>
    </w:p>
    <w:p w14:paraId="539795BE">
      <w:pPr>
        <w:widowControl/>
        <w:ind w:firstLine="367" w:firstLineChars="175"/>
        <w:jc w:val="left"/>
        <w:rPr>
          <w:rFonts w:hint="eastAsia" w:ascii="宋体" w:hAnsi="宋体" w:cs="宋体"/>
          <w:color w:val="auto"/>
          <w:szCs w:val="21"/>
          <w:highlight w:val="none"/>
        </w:rPr>
      </w:pPr>
      <w:r>
        <w:rPr>
          <w:rFonts w:hint="eastAsia" w:ascii="宋体" w:hAnsi="宋体" w:cs="宋体"/>
          <w:color w:val="auto"/>
          <w:kern w:val="0"/>
          <w:szCs w:val="21"/>
          <w:highlight w:val="none"/>
          <w:lang w:bidi="ar"/>
        </w:rPr>
        <w:t xml:space="preserve">（2）修改的投标文件应按照本说明第 4 点、第 5 点的要求进行重新编制、加密和递交。 </w:t>
      </w:r>
    </w:p>
    <w:p w14:paraId="3B9A9A7A">
      <w:pPr>
        <w:widowControl/>
        <w:ind w:firstLine="369" w:firstLineChars="175"/>
        <w:jc w:val="left"/>
        <w:rPr>
          <w:rFonts w:hint="eastAsia" w:ascii="宋体" w:hAnsi="宋体" w:cs="宋体"/>
          <w:color w:val="auto"/>
          <w:szCs w:val="21"/>
          <w:highlight w:val="none"/>
        </w:rPr>
      </w:pPr>
      <w:r>
        <w:rPr>
          <w:rFonts w:hint="eastAsia" w:ascii="宋体" w:hAnsi="宋体" w:cs="宋体"/>
          <w:b/>
          <w:bCs/>
          <w:color w:val="auto"/>
          <w:kern w:val="0"/>
          <w:szCs w:val="21"/>
          <w:highlight w:val="none"/>
          <w:lang w:bidi="ar"/>
        </w:rPr>
        <w:t xml:space="preserve">7.电子开标及投标文件解密 </w:t>
      </w:r>
    </w:p>
    <w:p w14:paraId="067F41FE">
      <w:pPr>
        <w:widowControl/>
        <w:ind w:firstLine="367" w:firstLineChars="175"/>
        <w:jc w:val="left"/>
        <w:rPr>
          <w:rFonts w:hint="eastAsia" w:ascii="宋体" w:hAnsi="宋体" w:cs="宋体"/>
          <w:color w:val="auto"/>
          <w:szCs w:val="21"/>
          <w:highlight w:val="none"/>
        </w:rPr>
      </w:pPr>
      <w:r>
        <w:rPr>
          <w:rFonts w:hint="eastAsia" w:ascii="宋体" w:hAnsi="宋体" w:cs="宋体"/>
          <w:color w:val="auto"/>
          <w:kern w:val="0"/>
          <w:szCs w:val="21"/>
          <w:highlight w:val="none"/>
          <w:lang w:bidi="ar"/>
        </w:rPr>
        <w:t xml:space="preserve">网上智能开标及远程解密 </w:t>
      </w:r>
    </w:p>
    <w:p w14:paraId="15D03CA9">
      <w:pPr>
        <w:widowControl/>
        <w:ind w:firstLine="367" w:firstLineChars="175"/>
        <w:jc w:val="left"/>
        <w:rPr>
          <w:rFonts w:hint="eastAsia" w:ascii="宋体" w:hAnsi="宋体" w:cs="宋体"/>
          <w:color w:val="auto"/>
          <w:szCs w:val="21"/>
          <w:highlight w:val="none"/>
        </w:rPr>
      </w:pPr>
      <w:r>
        <w:rPr>
          <w:rFonts w:hint="eastAsia" w:ascii="宋体" w:hAnsi="宋体" w:cs="宋体"/>
          <w:color w:val="auto"/>
          <w:kern w:val="0"/>
          <w:szCs w:val="21"/>
          <w:highlight w:val="none"/>
          <w:lang w:bidi="ar"/>
        </w:rPr>
        <w:t xml:space="preserve">（1）投标人登录云南省公共资源交易信息网（网址：https://ggzy.yn.gov.cn/#/homeP age），按照《网上智能开标远程解密操作指南（投标人）》完成远程解密、查看开标一览表等相关操作。本项目解密时间为 60 分钟。若投标人未在规定时间内完成所有投标文件解密，则视为无效投标，不再进入评标阶段。 </w:t>
      </w:r>
    </w:p>
    <w:p w14:paraId="59ABBAB6">
      <w:pPr>
        <w:widowControl/>
        <w:ind w:firstLine="367" w:firstLineChars="175"/>
        <w:jc w:val="left"/>
        <w:rPr>
          <w:rFonts w:hint="eastAsia" w:ascii="宋体" w:hAnsi="宋体" w:cs="宋体"/>
          <w:color w:val="auto"/>
          <w:szCs w:val="21"/>
          <w:highlight w:val="none"/>
        </w:rPr>
      </w:pPr>
      <w:r>
        <w:rPr>
          <w:rFonts w:hint="eastAsia" w:ascii="宋体" w:hAnsi="宋体" w:cs="宋体"/>
          <w:color w:val="auto"/>
          <w:kern w:val="0"/>
          <w:szCs w:val="21"/>
          <w:highlight w:val="none"/>
          <w:lang w:bidi="ar"/>
        </w:rPr>
        <w:t xml:space="preserve">（2）因开标系统、开标现场网络、设备及其他特殊原因，导致不能正常解密投标文件的， 经核实和上报相关部门同意后，可再次下达网上解密指令来延长解密时间。 </w:t>
      </w:r>
    </w:p>
    <w:p w14:paraId="0DD3C0B6">
      <w:pPr>
        <w:widowControl/>
        <w:ind w:firstLine="367" w:firstLineChars="175"/>
        <w:jc w:val="left"/>
        <w:rPr>
          <w:rFonts w:hint="eastAsia" w:ascii="宋体" w:hAnsi="宋体" w:cs="宋体"/>
          <w:color w:val="auto"/>
          <w:szCs w:val="21"/>
          <w:highlight w:val="none"/>
        </w:rPr>
      </w:pPr>
      <w:r>
        <w:rPr>
          <w:rFonts w:hint="eastAsia" w:ascii="宋体" w:hAnsi="宋体" w:cs="宋体"/>
          <w:color w:val="auto"/>
          <w:kern w:val="0"/>
          <w:szCs w:val="21"/>
          <w:highlight w:val="none"/>
          <w:lang w:bidi="ar"/>
        </w:rPr>
        <w:t xml:space="preserve">（3）开标过程中如有问题，可以在线提出异议，由代理机构给予回复。在规定的异议询 问时间内未提出异议的，则视为对开标结果无异议。 </w:t>
      </w:r>
    </w:p>
    <w:p w14:paraId="5D7F18AF">
      <w:pPr>
        <w:widowControl/>
        <w:ind w:firstLine="369" w:firstLineChars="175"/>
        <w:jc w:val="left"/>
        <w:rPr>
          <w:rFonts w:hint="eastAsia" w:ascii="宋体" w:hAnsi="宋体" w:cs="宋体"/>
          <w:color w:val="auto"/>
          <w:szCs w:val="21"/>
          <w:highlight w:val="none"/>
        </w:rPr>
      </w:pPr>
      <w:r>
        <w:rPr>
          <w:rFonts w:hint="eastAsia" w:ascii="宋体" w:hAnsi="宋体" w:cs="宋体"/>
          <w:b/>
          <w:bCs/>
          <w:color w:val="auto"/>
          <w:kern w:val="0"/>
          <w:szCs w:val="21"/>
          <w:highlight w:val="none"/>
          <w:lang w:bidi="ar"/>
        </w:rPr>
        <w:t xml:space="preserve">8.技术支持 </w:t>
      </w:r>
    </w:p>
    <w:p w14:paraId="3B4C9731">
      <w:pPr>
        <w:widowControl/>
        <w:ind w:firstLine="367" w:firstLineChars="175"/>
        <w:jc w:val="left"/>
        <w:rPr>
          <w:rFonts w:hint="eastAsia" w:ascii="宋体" w:hAnsi="宋体" w:cs="宋体"/>
          <w:color w:val="auto"/>
          <w:szCs w:val="21"/>
          <w:highlight w:val="none"/>
        </w:rPr>
      </w:pPr>
      <w:r>
        <w:rPr>
          <w:rFonts w:hint="eastAsia" w:ascii="宋体" w:hAnsi="宋体" w:cs="宋体"/>
          <w:color w:val="auto"/>
          <w:kern w:val="0"/>
          <w:szCs w:val="21"/>
          <w:highlight w:val="none"/>
          <w:lang w:bidi="ar"/>
        </w:rPr>
        <w:t xml:space="preserve">交易平台技术支持 </w:t>
      </w:r>
    </w:p>
    <w:p w14:paraId="3727904D">
      <w:pPr>
        <w:widowControl/>
        <w:ind w:firstLine="367" w:firstLineChars="175"/>
        <w:jc w:val="left"/>
        <w:rPr>
          <w:rFonts w:hint="eastAsia" w:ascii="宋体" w:hAnsi="宋体" w:cs="宋体"/>
          <w:color w:val="auto"/>
          <w:szCs w:val="21"/>
          <w:highlight w:val="none"/>
        </w:rPr>
      </w:pPr>
      <w:r>
        <w:rPr>
          <w:rFonts w:hint="eastAsia" w:ascii="宋体" w:hAnsi="宋体" w:cs="宋体"/>
          <w:color w:val="auto"/>
          <w:kern w:val="0"/>
          <w:szCs w:val="21"/>
          <w:highlight w:val="none"/>
          <w:lang w:bidi="ar"/>
        </w:rPr>
        <w:t>服务电话：010-86483801</w:t>
      </w:r>
    </w:p>
    <w:p w14:paraId="4DBC5C9D">
      <w:pPr>
        <w:ind w:firstLine="643"/>
        <w:rPr>
          <w:rFonts w:hint="eastAsia" w:ascii="宋体" w:hAnsi="宋体" w:cs="宋体"/>
          <w:b/>
          <w:color w:val="auto"/>
          <w:sz w:val="32"/>
          <w:szCs w:val="32"/>
          <w:highlight w:val="none"/>
        </w:rPr>
      </w:pPr>
    </w:p>
    <w:p w14:paraId="7F78370D">
      <w:pPr>
        <w:widowControl/>
        <w:spacing w:line="480" w:lineRule="auto"/>
        <w:ind w:firstLineChars="0"/>
        <w:jc w:val="left"/>
        <w:rPr>
          <w:rFonts w:hint="eastAsia" w:ascii="宋体" w:hAnsi="宋体" w:cs="宋体"/>
          <w:b/>
          <w:color w:val="auto"/>
          <w:kern w:val="0"/>
          <w:szCs w:val="21"/>
          <w:highlight w:val="none"/>
        </w:rPr>
      </w:pPr>
    </w:p>
    <w:p w14:paraId="07F55032">
      <w:pPr>
        <w:pStyle w:val="185"/>
        <w:rPr>
          <w:rFonts w:hint="eastAsia" w:ascii="宋体" w:hAnsi="宋体" w:eastAsia="宋体"/>
          <w:color w:val="auto"/>
          <w:highlight w:val="none"/>
        </w:rPr>
      </w:pPr>
      <w:r>
        <w:rPr>
          <w:rFonts w:hint="eastAsia" w:ascii="宋体" w:hAnsi="宋体" w:eastAsia="宋体"/>
          <w:color w:val="auto"/>
          <w:highlight w:val="none"/>
        </w:rPr>
        <w:t xml:space="preserve"> </w:t>
      </w:r>
    </w:p>
    <w:p w14:paraId="05B49F88">
      <w:pPr>
        <w:pStyle w:val="2"/>
        <w:ind w:firstLine="851"/>
        <w:rPr>
          <w:rFonts w:hint="eastAsia" w:ascii="宋体" w:hAnsi="宋体" w:eastAsia="宋体" w:cs="宋体"/>
          <w:color w:val="auto"/>
          <w:highlight w:val="none"/>
        </w:rPr>
      </w:pPr>
    </w:p>
    <w:p w14:paraId="524AB1D7">
      <w:pPr>
        <w:widowControl/>
        <w:spacing w:line="240" w:lineRule="auto"/>
        <w:ind w:firstLine="0" w:firstLineChars="0"/>
        <w:jc w:val="center"/>
        <w:rPr>
          <w:rFonts w:hint="eastAsia" w:ascii="宋体" w:hAnsi="宋体" w:eastAsia="宋体" w:cs="宋体"/>
          <w:color w:val="auto"/>
          <w:kern w:val="0"/>
          <w:sz w:val="36"/>
          <w:szCs w:val="36"/>
          <w:highlight w:val="none"/>
        </w:rPr>
      </w:pPr>
      <w:r>
        <w:rPr>
          <w:rFonts w:hint="eastAsia" w:ascii="宋体" w:hAnsi="宋体" w:cs="宋体"/>
          <w:color w:val="auto"/>
          <w:kern w:val="0"/>
          <w:sz w:val="36"/>
          <w:szCs w:val="36"/>
          <w:highlight w:val="none"/>
        </w:rPr>
        <w:br w:type="page"/>
      </w:r>
      <w:bookmarkStart w:id="53" w:name="_Toc28014"/>
      <w:bookmarkStart w:id="54" w:name="_Toc28497"/>
      <w:r>
        <w:rPr>
          <w:rFonts w:hint="eastAsia" w:ascii="宋体" w:hAnsi="宋体" w:eastAsia="宋体" w:cs="宋体"/>
          <w:color w:val="auto"/>
          <w:kern w:val="0"/>
          <w:sz w:val="36"/>
          <w:szCs w:val="36"/>
          <w:highlight w:val="none"/>
        </w:rPr>
        <w:t>第三章 评标办法（综合评分法）</w:t>
      </w:r>
      <w:bookmarkEnd w:id="52"/>
      <w:bookmarkEnd w:id="53"/>
      <w:bookmarkEnd w:id="54"/>
    </w:p>
    <w:p w14:paraId="4CBB5E8F">
      <w:pPr>
        <w:pStyle w:val="4"/>
        <w:spacing w:before="240"/>
        <w:ind w:firstLine="0" w:firstLineChars="0"/>
        <w:jc w:val="center"/>
        <w:rPr>
          <w:rFonts w:hint="eastAsia" w:ascii="宋体" w:hAnsi="宋体" w:cs="宋体"/>
          <w:color w:val="auto"/>
          <w:highlight w:val="none"/>
        </w:rPr>
      </w:pPr>
      <w:bookmarkStart w:id="55" w:name="_Toc298248024"/>
      <w:bookmarkStart w:id="56" w:name="_Toc265506360"/>
      <w:bookmarkStart w:id="57" w:name="_Toc21916"/>
      <w:bookmarkStart w:id="58" w:name="_Toc11732"/>
      <w:bookmarkStart w:id="59" w:name="_Toc417634873"/>
      <w:bookmarkStart w:id="60" w:name="_Toc340141694"/>
      <w:r>
        <w:rPr>
          <w:rFonts w:hint="eastAsia" w:ascii="宋体" w:hAnsi="宋体" w:cs="宋体"/>
          <w:color w:val="auto"/>
          <w:highlight w:val="none"/>
        </w:rPr>
        <w:t>评标办法前附表</w:t>
      </w:r>
      <w:bookmarkEnd w:id="55"/>
      <w:bookmarkEnd w:id="56"/>
      <w:bookmarkEnd w:id="57"/>
      <w:bookmarkEnd w:id="58"/>
      <w:bookmarkEnd w:id="59"/>
      <w:bookmarkEnd w:id="60"/>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1"/>
        <w:gridCol w:w="471"/>
        <w:gridCol w:w="1566"/>
        <w:gridCol w:w="6058"/>
      </w:tblGrid>
      <w:tr w14:paraId="3400E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exact"/>
          <w:tblHeader/>
          <w:jc w:val="center"/>
        </w:trPr>
        <w:tc>
          <w:tcPr>
            <w:tcW w:w="0" w:type="auto"/>
            <w:gridSpan w:val="4"/>
            <w:vAlign w:val="center"/>
          </w:tcPr>
          <w:p w14:paraId="23FB016C">
            <w:pPr>
              <w:pStyle w:val="18"/>
              <w:spacing w:line="440" w:lineRule="exact"/>
              <w:ind w:firstLine="0" w:firstLineChars="0"/>
              <w:jc w:val="center"/>
              <w:rPr>
                <w:rFonts w:hint="eastAsia" w:hAnsi="宋体" w:cs="宋体"/>
                <w:color w:val="auto"/>
                <w:szCs w:val="21"/>
                <w:highlight w:val="none"/>
              </w:rPr>
            </w:pPr>
            <w:bookmarkStart w:id="61" w:name="_Toc387152552"/>
            <w:r>
              <w:rPr>
                <w:rFonts w:hint="eastAsia" w:hAnsi="宋体" w:cs="宋体"/>
                <w:color w:val="auto"/>
                <w:szCs w:val="21"/>
                <w:highlight w:val="none"/>
              </w:rPr>
              <w:t>2.1初步评审</w:t>
            </w:r>
          </w:p>
        </w:tc>
      </w:tr>
      <w:tr w14:paraId="56EF1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exact"/>
          <w:tblHeader/>
          <w:jc w:val="center"/>
        </w:trPr>
        <w:tc>
          <w:tcPr>
            <w:tcW w:w="0" w:type="auto"/>
            <w:gridSpan w:val="2"/>
            <w:vAlign w:val="center"/>
          </w:tcPr>
          <w:p w14:paraId="24107762">
            <w:pPr>
              <w:widowControl/>
              <w:spacing w:line="440" w:lineRule="exact"/>
              <w:ind w:firstLine="0" w:firstLineChars="0"/>
              <w:jc w:val="center"/>
              <w:rPr>
                <w:rFonts w:hint="eastAsia" w:ascii="宋体" w:hAnsi="宋体" w:cs="宋体"/>
                <w:color w:val="auto"/>
                <w:szCs w:val="21"/>
                <w:highlight w:val="none"/>
              </w:rPr>
            </w:pPr>
            <w:r>
              <w:rPr>
                <w:rFonts w:hint="eastAsia" w:ascii="宋体" w:hAnsi="宋体" w:cs="宋体"/>
                <w:color w:val="auto"/>
                <w:szCs w:val="21"/>
                <w:highlight w:val="none"/>
              </w:rPr>
              <w:t>条款号</w:t>
            </w:r>
          </w:p>
        </w:tc>
        <w:tc>
          <w:tcPr>
            <w:tcW w:w="1566" w:type="dxa"/>
            <w:vAlign w:val="center"/>
          </w:tcPr>
          <w:p w14:paraId="12FEC133">
            <w:pPr>
              <w:pStyle w:val="18"/>
              <w:spacing w:line="440" w:lineRule="exact"/>
              <w:ind w:firstLine="0" w:firstLineChars="0"/>
              <w:jc w:val="center"/>
              <w:rPr>
                <w:rFonts w:hint="eastAsia" w:hAnsi="宋体" w:cs="宋体"/>
                <w:color w:val="auto"/>
                <w:szCs w:val="21"/>
                <w:highlight w:val="none"/>
              </w:rPr>
            </w:pPr>
            <w:r>
              <w:rPr>
                <w:rFonts w:hint="eastAsia" w:hAnsi="宋体" w:cs="宋体"/>
                <w:color w:val="auto"/>
                <w:szCs w:val="21"/>
                <w:highlight w:val="none"/>
              </w:rPr>
              <w:t>评 审 因 素</w:t>
            </w:r>
          </w:p>
        </w:tc>
        <w:tc>
          <w:tcPr>
            <w:tcW w:w="6058" w:type="dxa"/>
            <w:vAlign w:val="center"/>
          </w:tcPr>
          <w:p w14:paraId="548CEBD3">
            <w:pPr>
              <w:pStyle w:val="18"/>
              <w:spacing w:line="440" w:lineRule="exact"/>
              <w:ind w:firstLine="0" w:firstLineChars="0"/>
              <w:jc w:val="center"/>
              <w:rPr>
                <w:rFonts w:hint="eastAsia" w:hAnsi="宋体" w:cs="宋体"/>
                <w:color w:val="auto"/>
                <w:szCs w:val="21"/>
                <w:highlight w:val="none"/>
              </w:rPr>
            </w:pPr>
            <w:r>
              <w:rPr>
                <w:rFonts w:hint="eastAsia" w:hAnsi="宋体" w:cs="宋体"/>
                <w:color w:val="auto"/>
                <w:szCs w:val="21"/>
                <w:highlight w:val="none"/>
              </w:rPr>
              <w:t>评 审 标 准</w:t>
            </w:r>
          </w:p>
        </w:tc>
      </w:tr>
      <w:tr w14:paraId="0A98E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0" w:type="auto"/>
            <w:vMerge w:val="restart"/>
            <w:vAlign w:val="center"/>
          </w:tcPr>
          <w:p w14:paraId="735E9331">
            <w:pPr>
              <w:ind w:firstLine="0" w:firstLineChars="0"/>
              <w:rPr>
                <w:rFonts w:hint="eastAsia" w:ascii="宋体" w:hAnsi="宋体" w:cs="宋体"/>
                <w:color w:val="auto"/>
                <w:szCs w:val="21"/>
                <w:highlight w:val="none"/>
              </w:rPr>
            </w:pPr>
            <w:r>
              <w:rPr>
                <w:rFonts w:hint="eastAsia" w:ascii="宋体" w:hAnsi="宋体" w:cs="宋体"/>
                <w:color w:val="auto"/>
                <w:szCs w:val="21"/>
                <w:highlight w:val="none"/>
              </w:rPr>
              <w:t>2.1.1</w:t>
            </w:r>
          </w:p>
        </w:tc>
        <w:tc>
          <w:tcPr>
            <w:tcW w:w="0" w:type="auto"/>
            <w:vMerge w:val="restart"/>
            <w:vAlign w:val="center"/>
          </w:tcPr>
          <w:p w14:paraId="66B5E456">
            <w:pPr>
              <w:pStyle w:val="18"/>
              <w:spacing w:line="440" w:lineRule="exact"/>
              <w:ind w:firstLine="0" w:firstLineChars="0"/>
              <w:jc w:val="center"/>
              <w:rPr>
                <w:rFonts w:hint="eastAsia" w:hAnsi="宋体" w:cs="宋体"/>
                <w:color w:val="auto"/>
                <w:szCs w:val="21"/>
                <w:highlight w:val="none"/>
              </w:rPr>
            </w:pPr>
            <w:r>
              <w:rPr>
                <w:rFonts w:hint="eastAsia" w:hAnsi="宋体" w:cs="宋体"/>
                <w:color w:val="auto"/>
                <w:szCs w:val="21"/>
                <w:highlight w:val="none"/>
              </w:rPr>
              <w:t>形式</w:t>
            </w:r>
          </w:p>
          <w:p w14:paraId="3960FA9E">
            <w:pPr>
              <w:pStyle w:val="18"/>
              <w:spacing w:line="440" w:lineRule="exact"/>
              <w:ind w:firstLine="0" w:firstLineChars="0"/>
              <w:jc w:val="center"/>
              <w:rPr>
                <w:rFonts w:hint="eastAsia" w:hAnsi="宋体" w:cs="宋体"/>
                <w:color w:val="auto"/>
                <w:szCs w:val="21"/>
                <w:highlight w:val="none"/>
              </w:rPr>
            </w:pPr>
            <w:r>
              <w:rPr>
                <w:rFonts w:hint="eastAsia" w:hAnsi="宋体" w:cs="宋体"/>
                <w:color w:val="auto"/>
                <w:szCs w:val="21"/>
                <w:highlight w:val="none"/>
              </w:rPr>
              <w:t>评审</w:t>
            </w:r>
          </w:p>
          <w:p w14:paraId="3F3F9729">
            <w:pPr>
              <w:pStyle w:val="18"/>
              <w:spacing w:line="440" w:lineRule="exact"/>
              <w:ind w:firstLine="0" w:firstLineChars="0"/>
              <w:jc w:val="center"/>
              <w:rPr>
                <w:rFonts w:hint="eastAsia" w:hAnsi="宋体" w:cs="宋体"/>
                <w:color w:val="auto"/>
                <w:szCs w:val="21"/>
                <w:highlight w:val="none"/>
              </w:rPr>
            </w:pPr>
            <w:r>
              <w:rPr>
                <w:rFonts w:hint="eastAsia" w:hAnsi="宋体" w:cs="宋体"/>
                <w:color w:val="auto"/>
                <w:szCs w:val="21"/>
                <w:highlight w:val="none"/>
              </w:rPr>
              <w:t>标准</w:t>
            </w:r>
          </w:p>
        </w:tc>
        <w:tc>
          <w:tcPr>
            <w:tcW w:w="1566" w:type="dxa"/>
            <w:vAlign w:val="center"/>
          </w:tcPr>
          <w:p w14:paraId="2CA42AB0">
            <w:pPr>
              <w:spacing w:line="440" w:lineRule="exact"/>
              <w:ind w:firstLine="0" w:firstLineChars="0"/>
              <w:rPr>
                <w:rFonts w:hint="eastAsia" w:ascii="宋体" w:hAnsi="宋体" w:cs="宋体"/>
                <w:color w:val="auto"/>
                <w:szCs w:val="21"/>
                <w:highlight w:val="none"/>
              </w:rPr>
            </w:pPr>
            <w:r>
              <w:rPr>
                <w:rFonts w:hint="eastAsia" w:ascii="宋体" w:hAnsi="宋体" w:cs="宋体"/>
                <w:color w:val="auto"/>
                <w:szCs w:val="21"/>
                <w:highlight w:val="none"/>
              </w:rPr>
              <w:t>投标人名称</w:t>
            </w:r>
          </w:p>
        </w:tc>
        <w:tc>
          <w:tcPr>
            <w:tcW w:w="6058" w:type="dxa"/>
            <w:vAlign w:val="center"/>
          </w:tcPr>
          <w:p w14:paraId="25A09359">
            <w:pPr>
              <w:spacing w:line="440" w:lineRule="exact"/>
              <w:ind w:firstLine="0" w:firstLineChars="0"/>
              <w:rPr>
                <w:rFonts w:hint="eastAsia" w:ascii="宋体" w:hAnsi="宋体" w:cs="宋体"/>
                <w:color w:val="auto"/>
                <w:szCs w:val="21"/>
                <w:highlight w:val="none"/>
              </w:rPr>
            </w:pPr>
            <w:r>
              <w:rPr>
                <w:rFonts w:hint="eastAsia" w:ascii="宋体" w:hAnsi="宋体" w:cs="宋体"/>
                <w:color w:val="auto"/>
                <w:szCs w:val="21"/>
                <w:highlight w:val="none"/>
              </w:rPr>
              <w:t>与有效营业执照一致</w:t>
            </w:r>
          </w:p>
        </w:tc>
      </w:tr>
      <w:tr w14:paraId="56C2A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0" w:type="auto"/>
            <w:vMerge w:val="continue"/>
            <w:vAlign w:val="center"/>
          </w:tcPr>
          <w:p w14:paraId="6BB4C22A">
            <w:pPr>
              <w:jc w:val="center"/>
              <w:rPr>
                <w:rFonts w:hint="eastAsia" w:ascii="宋体" w:hAnsi="宋体" w:cs="宋体"/>
                <w:color w:val="auto"/>
                <w:szCs w:val="21"/>
                <w:highlight w:val="none"/>
              </w:rPr>
            </w:pPr>
          </w:p>
        </w:tc>
        <w:tc>
          <w:tcPr>
            <w:tcW w:w="0" w:type="auto"/>
            <w:vMerge w:val="continue"/>
            <w:vAlign w:val="center"/>
          </w:tcPr>
          <w:p w14:paraId="223F29A3">
            <w:pPr>
              <w:jc w:val="center"/>
              <w:rPr>
                <w:rFonts w:hint="eastAsia" w:ascii="宋体" w:hAnsi="宋体" w:cs="宋体"/>
                <w:color w:val="auto"/>
                <w:szCs w:val="21"/>
                <w:highlight w:val="none"/>
              </w:rPr>
            </w:pPr>
          </w:p>
        </w:tc>
        <w:tc>
          <w:tcPr>
            <w:tcW w:w="1566" w:type="dxa"/>
            <w:vAlign w:val="center"/>
          </w:tcPr>
          <w:p w14:paraId="27BA9ECD">
            <w:pPr>
              <w:spacing w:line="440" w:lineRule="exact"/>
              <w:ind w:firstLine="0" w:firstLineChars="0"/>
              <w:rPr>
                <w:rFonts w:hint="eastAsia" w:ascii="宋体" w:hAnsi="宋体" w:cs="宋体"/>
                <w:color w:val="auto"/>
                <w:szCs w:val="21"/>
                <w:highlight w:val="none"/>
              </w:rPr>
            </w:pPr>
            <w:r>
              <w:rPr>
                <w:rFonts w:hint="eastAsia" w:ascii="宋体" w:hAnsi="宋体" w:cs="宋体"/>
                <w:color w:val="auto"/>
                <w:szCs w:val="21"/>
                <w:highlight w:val="none"/>
              </w:rPr>
              <w:t>投标文件的签署</w:t>
            </w:r>
          </w:p>
        </w:tc>
        <w:tc>
          <w:tcPr>
            <w:tcW w:w="6058" w:type="dxa"/>
            <w:vAlign w:val="center"/>
          </w:tcPr>
          <w:p w14:paraId="555420A8">
            <w:pPr>
              <w:spacing w:line="440" w:lineRule="exact"/>
              <w:ind w:firstLine="0" w:firstLineChars="0"/>
              <w:rPr>
                <w:rFonts w:hint="eastAsia" w:ascii="宋体" w:hAnsi="宋体" w:cs="宋体"/>
                <w:color w:val="auto"/>
                <w:szCs w:val="21"/>
                <w:highlight w:val="none"/>
              </w:rPr>
            </w:pPr>
            <w:r>
              <w:rPr>
                <w:rFonts w:hint="eastAsia" w:ascii="宋体" w:hAnsi="宋体" w:cs="宋体"/>
                <w:color w:val="auto"/>
                <w:szCs w:val="21"/>
                <w:highlight w:val="none"/>
              </w:rPr>
              <w:t>按照投标文件格式，采用单位和个人数字证书电子签章及电子签名：需要企业、法定代表人电子签章及电子签名</w:t>
            </w:r>
          </w:p>
        </w:tc>
      </w:tr>
      <w:tr w14:paraId="73B3C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exact"/>
          <w:tblHeader/>
          <w:jc w:val="center"/>
        </w:trPr>
        <w:tc>
          <w:tcPr>
            <w:tcW w:w="0" w:type="auto"/>
            <w:vMerge w:val="continue"/>
            <w:vAlign w:val="center"/>
          </w:tcPr>
          <w:p w14:paraId="718832A4">
            <w:pPr>
              <w:jc w:val="center"/>
              <w:rPr>
                <w:rFonts w:hint="eastAsia" w:ascii="宋体" w:hAnsi="宋体" w:cs="宋体"/>
                <w:color w:val="auto"/>
                <w:szCs w:val="21"/>
                <w:highlight w:val="none"/>
              </w:rPr>
            </w:pPr>
          </w:p>
        </w:tc>
        <w:tc>
          <w:tcPr>
            <w:tcW w:w="0" w:type="auto"/>
            <w:vMerge w:val="continue"/>
            <w:vAlign w:val="center"/>
          </w:tcPr>
          <w:p w14:paraId="1ABD7F6A">
            <w:pPr>
              <w:jc w:val="center"/>
              <w:rPr>
                <w:rFonts w:hint="eastAsia" w:ascii="宋体" w:hAnsi="宋体" w:cs="宋体"/>
                <w:color w:val="auto"/>
                <w:szCs w:val="21"/>
                <w:highlight w:val="none"/>
              </w:rPr>
            </w:pPr>
          </w:p>
        </w:tc>
        <w:tc>
          <w:tcPr>
            <w:tcW w:w="1566" w:type="dxa"/>
            <w:vAlign w:val="center"/>
          </w:tcPr>
          <w:p w14:paraId="6C486590">
            <w:pPr>
              <w:spacing w:line="440" w:lineRule="exact"/>
              <w:ind w:firstLine="0" w:firstLineChars="0"/>
              <w:rPr>
                <w:rFonts w:hint="eastAsia" w:ascii="宋体" w:hAnsi="宋体" w:cs="宋体"/>
                <w:color w:val="auto"/>
                <w:szCs w:val="21"/>
                <w:highlight w:val="none"/>
              </w:rPr>
            </w:pPr>
            <w:r>
              <w:rPr>
                <w:rFonts w:hint="eastAsia" w:ascii="宋体" w:hAnsi="宋体" w:cs="宋体"/>
                <w:color w:val="auto"/>
                <w:szCs w:val="21"/>
                <w:highlight w:val="none"/>
              </w:rPr>
              <w:t>投标文件格式</w:t>
            </w:r>
          </w:p>
        </w:tc>
        <w:tc>
          <w:tcPr>
            <w:tcW w:w="6058" w:type="dxa"/>
            <w:vAlign w:val="center"/>
          </w:tcPr>
          <w:p w14:paraId="7D861792">
            <w:pPr>
              <w:spacing w:line="400" w:lineRule="exact"/>
              <w:ind w:firstLine="0" w:firstLineChars="0"/>
              <w:rPr>
                <w:rFonts w:hint="eastAsia" w:ascii="宋体" w:hAnsi="宋体" w:cs="宋体"/>
                <w:color w:val="auto"/>
                <w:szCs w:val="21"/>
                <w:highlight w:val="none"/>
              </w:rPr>
            </w:pPr>
            <w:r>
              <w:rPr>
                <w:rFonts w:hint="eastAsia" w:ascii="宋体" w:hAnsi="宋体" w:cs="宋体"/>
                <w:color w:val="auto"/>
                <w:szCs w:val="21"/>
                <w:highlight w:val="none"/>
              </w:rPr>
              <w:t>符合第二章附件三电子投标文件编制及报送要求和“投标人须知”第3.7.1项要求</w:t>
            </w:r>
          </w:p>
        </w:tc>
      </w:tr>
      <w:tr w14:paraId="064C9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2" w:hRule="exact"/>
          <w:tblHeader/>
          <w:jc w:val="center"/>
        </w:trPr>
        <w:tc>
          <w:tcPr>
            <w:tcW w:w="0" w:type="auto"/>
            <w:vMerge w:val="continue"/>
            <w:vAlign w:val="center"/>
          </w:tcPr>
          <w:p w14:paraId="34C457C6">
            <w:pPr>
              <w:jc w:val="center"/>
              <w:rPr>
                <w:rFonts w:hint="eastAsia" w:ascii="宋体" w:hAnsi="宋体" w:cs="宋体"/>
                <w:color w:val="auto"/>
                <w:szCs w:val="21"/>
                <w:highlight w:val="none"/>
              </w:rPr>
            </w:pPr>
          </w:p>
        </w:tc>
        <w:tc>
          <w:tcPr>
            <w:tcW w:w="0" w:type="auto"/>
            <w:vMerge w:val="continue"/>
            <w:vAlign w:val="center"/>
          </w:tcPr>
          <w:p w14:paraId="7F29F2B1">
            <w:pPr>
              <w:jc w:val="center"/>
              <w:rPr>
                <w:rFonts w:hint="eastAsia" w:ascii="宋体" w:hAnsi="宋体" w:cs="宋体"/>
                <w:color w:val="auto"/>
                <w:szCs w:val="21"/>
                <w:highlight w:val="none"/>
              </w:rPr>
            </w:pPr>
          </w:p>
        </w:tc>
        <w:tc>
          <w:tcPr>
            <w:tcW w:w="1566" w:type="dxa"/>
            <w:vAlign w:val="center"/>
          </w:tcPr>
          <w:p w14:paraId="75C5E548">
            <w:pPr>
              <w:spacing w:line="440" w:lineRule="exact"/>
              <w:ind w:firstLine="0" w:firstLineChars="0"/>
              <w:rPr>
                <w:rFonts w:hint="eastAsia" w:ascii="宋体" w:hAnsi="宋体" w:cs="宋体"/>
                <w:color w:val="auto"/>
                <w:szCs w:val="21"/>
                <w:highlight w:val="none"/>
              </w:rPr>
            </w:pPr>
            <w:r>
              <w:rPr>
                <w:rFonts w:hint="eastAsia" w:ascii="宋体" w:hAnsi="宋体" w:cs="宋体"/>
                <w:color w:val="auto"/>
                <w:szCs w:val="21"/>
                <w:highlight w:val="none"/>
              </w:rPr>
              <w:t>投标报价</w:t>
            </w:r>
          </w:p>
        </w:tc>
        <w:tc>
          <w:tcPr>
            <w:tcW w:w="6058" w:type="dxa"/>
            <w:vAlign w:val="center"/>
          </w:tcPr>
          <w:p w14:paraId="2EB3209F">
            <w:pPr>
              <w:spacing w:line="400" w:lineRule="exact"/>
              <w:ind w:firstLine="0" w:firstLineChars="0"/>
              <w:rPr>
                <w:rFonts w:hint="eastAsia" w:ascii="宋体" w:hAnsi="宋体" w:cs="宋体"/>
                <w:color w:val="auto"/>
                <w:szCs w:val="21"/>
                <w:highlight w:val="none"/>
              </w:rPr>
            </w:pPr>
            <w:r>
              <w:rPr>
                <w:rFonts w:hint="eastAsia" w:ascii="宋体" w:hAnsi="宋体" w:cs="宋体"/>
                <w:color w:val="auto"/>
                <w:szCs w:val="21"/>
                <w:highlight w:val="none"/>
              </w:rPr>
              <w:t>低于（含等于）第二章“投标人须知”前附表第10.2款载明的</w:t>
            </w:r>
            <w:r>
              <w:rPr>
                <w:rFonts w:hint="eastAsia" w:ascii="宋体" w:hAnsi="宋体" w:cs="宋体"/>
                <w:color w:val="auto"/>
                <w:highlight w:val="none"/>
              </w:rPr>
              <w:t>最高投标限价</w:t>
            </w:r>
            <w:r>
              <w:rPr>
                <w:rFonts w:hint="eastAsia" w:ascii="宋体" w:hAnsi="宋体" w:cs="宋体"/>
                <w:color w:val="auto"/>
                <w:szCs w:val="21"/>
                <w:highlight w:val="none"/>
              </w:rPr>
              <w:t>，且只能有一个有效报价</w:t>
            </w:r>
          </w:p>
        </w:tc>
      </w:tr>
      <w:tr w14:paraId="25F55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0" w:type="auto"/>
            <w:vMerge w:val="restart"/>
            <w:vAlign w:val="center"/>
          </w:tcPr>
          <w:p w14:paraId="1A6304C0">
            <w:pPr>
              <w:ind w:firstLine="0" w:firstLineChars="0"/>
              <w:rPr>
                <w:rFonts w:hint="eastAsia" w:ascii="宋体" w:hAnsi="宋体" w:cs="宋体"/>
                <w:color w:val="auto"/>
                <w:szCs w:val="21"/>
                <w:highlight w:val="none"/>
              </w:rPr>
            </w:pPr>
            <w:r>
              <w:rPr>
                <w:rFonts w:hint="eastAsia" w:ascii="宋体" w:hAnsi="宋体" w:cs="宋体"/>
                <w:color w:val="auto"/>
                <w:szCs w:val="21"/>
                <w:highlight w:val="none"/>
              </w:rPr>
              <w:t>2.1.2</w:t>
            </w:r>
          </w:p>
        </w:tc>
        <w:tc>
          <w:tcPr>
            <w:tcW w:w="0" w:type="auto"/>
            <w:vMerge w:val="restart"/>
            <w:vAlign w:val="center"/>
          </w:tcPr>
          <w:p w14:paraId="712A8DDF">
            <w:pPr>
              <w:ind w:firstLine="0" w:firstLineChars="0"/>
              <w:jc w:val="center"/>
              <w:rPr>
                <w:rFonts w:hint="eastAsia" w:ascii="宋体" w:hAnsi="宋体" w:cs="宋体"/>
                <w:color w:val="auto"/>
                <w:szCs w:val="21"/>
                <w:highlight w:val="none"/>
              </w:rPr>
            </w:pPr>
            <w:r>
              <w:rPr>
                <w:rFonts w:hint="eastAsia" w:ascii="宋体" w:hAnsi="宋体" w:cs="宋体"/>
                <w:color w:val="auto"/>
                <w:szCs w:val="21"/>
                <w:highlight w:val="none"/>
              </w:rPr>
              <w:t>资格</w:t>
            </w:r>
          </w:p>
          <w:p w14:paraId="57F30EE2">
            <w:pPr>
              <w:ind w:firstLine="0" w:firstLineChars="0"/>
              <w:jc w:val="center"/>
              <w:rPr>
                <w:rFonts w:hint="eastAsia" w:ascii="宋体" w:hAnsi="宋体" w:cs="宋体"/>
                <w:color w:val="auto"/>
                <w:szCs w:val="21"/>
                <w:highlight w:val="none"/>
              </w:rPr>
            </w:pPr>
            <w:r>
              <w:rPr>
                <w:rFonts w:hint="eastAsia" w:ascii="宋体" w:hAnsi="宋体" w:cs="宋体"/>
                <w:color w:val="auto"/>
                <w:szCs w:val="21"/>
                <w:highlight w:val="none"/>
              </w:rPr>
              <w:t>评审</w:t>
            </w:r>
          </w:p>
          <w:p w14:paraId="6ECC52A3">
            <w:pPr>
              <w:ind w:firstLine="0" w:firstLineChars="0"/>
              <w:jc w:val="center"/>
              <w:rPr>
                <w:rFonts w:hint="eastAsia" w:ascii="宋体" w:hAnsi="宋体" w:cs="宋体"/>
                <w:color w:val="auto"/>
                <w:szCs w:val="21"/>
                <w:highlight w:val="none"/>
              </w:rPr>
            </w:pPr>
            <w:r>
              <w:rPr>
                <w:rFonts w:hint="eastAsia" w:ascii="宋体" w:hAnsi="宋体" w:cs="宋体"/>
                <w:color w:val="auto"/>
                <w:szCs w:val="21"/>
                <w:highlight w:val="none"/>
              </w:rPr>
              <w:t>标准</w:t>
            </w:r>
          </w:p>
        </w:tc>
        <w:tc>
          <w:tcPr>
            <w:tcW w:w="1566" w:type="dxa"/>
            <w:vAlign w:val="center"/>
          </w:tcPr>
          <w:p w14:paraId="6C51BABB">
            <w:pPr>
              <w:spacing w:line="440" w:lineRule="exact"/>
              <w:ind w:firstLine="0" w:firstLineChars="0"/>
              <w:rPr>
                <w:rFonts w:hint="eastAsia" w:ascii="宋体" w:hAnsi="宋体" w:cs="宋体"/>
                <w:color w:val="auto"/>
                <w:szCs w:val="21"/>
                <w:highlight w:val="none"/>
              </w:rPr>
            </w:pPr>
            <w:r>
              <w:rPr>
                <w:rFonts w:hint="eastAsia" w:ascii="宋体" w:hAnsi="宋体" w:cs="宋体"/>
                <w:color w:val="auto"/>
                <w:szCs w:val="21"/>
                <w:highlight w:val="none"/>
              </w:rPr>
              <w:t>投标人资格要求</w:t>
            </w:r>
          </w:p>
        </w:tc>
        <w:tc>
          <w:tcPr>
            <w:tcW w:w="6058" w:type="dxa"/>
            <w:vAlign w:val="center"/>
          </w:tcPr>
          <w:p w14:paraId="131E8C4F">
            <w:pPr>
              <w:spacing w:line="440" w:lineRule="exact"/>
              <w:ind w:firstLine="0" w:firstLineChars="0"/>
              <w:rPr>
                <w:rFonts w:hint="eastAsia" w:ascii="宋体" w:hAnsi="宋体" w:cs="宋体"/>
                <w:color w:val="auto"/>
                <w:szCs w:val="21"/>
                <w:highlight w:val="none"/>
              </w:rPr>
            </w:pPr>
            <w:r>
              <w:rPr>
                <w:rFonts w:hint="eastAsia" w:ascii="宋体" w:hAnsi="宋体" w:cs="宋体"/>
                <w:color w:val="auto"/>
                <w:szCs w:val="21"/>
                <w:highlight w:val="none"/>
              </w:rPr>
              <w:t>符合第一章“招标公告”第3项规定</w:t>
            </w:r>
          </w:p>
        </w:tc>
      </w:tr>
      <w:tr w14:paraId="26022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7" w:hRule="exact"/>
          <w:tblHeader/>
          <w:jc w:val="center"/>
        </w:trPr>
        <w:tc>
          <w:tcPr>
            <w:tcW w:w="0" w:type="auto"/>
            <w:vMerge w:val="continue"/>
            <w:vAlign w:val="center"/>
          </w:tcPr>
          <w:p w14:paraId="5384786B">
            <w:pPr>
              <w:jc w:val="center"/>
              <w:rPr>
                <w:rFonts w:hint="eastAsia" w:ascii="宋体" w:hAnsi="宋体" w:cs="宋体"/>
                <w:color w:val="auto"/>
                <w:szCs w:val="21"/>
                <w:highlight w:val="none"/>
              </w:rPr>
            </w:pPr>
          </w:p>
        </w:tc>
        <w:tc>
          <w:tcPr>
            <w:tcW w:w="0" w:type="auto"/>
            <w:vMerge w:val="continue"/>
            <w:vAlign w:val="center"/>
          </w:tcPr>
          <w:p w14:paraId="517FDFF4">
            <w:pPr>
              <w:jc w:val="center"/>
              <w:rPr>
                <w:rFonts w:hint="eastAsia" w:ascii="宋体" w:hAnsi="宋体" w:cs="宋体"/>
                <w:color w:val="auto"/>
                <w:szCs w:val="21"/>
                <w:highlight w:val="none"/>
              </w:rPr>
            </w:pPr>
          </w:p>
        </w:tc>
        <w:tc>
          <w:tcPr>
            <w:tcW w:w="1566" w:type="dxa"/>
            <w:vAlign w:val="center"/>
          </w:tcPr>
          <w:p w14:paraId="3766DCB5">
            <w:pPr>
              <w:spacing w:line="440" w:lineRule="exact"/>
              <w:ind w:firstLine="0" w:firstLineChars="0"/>
              <w:rPr>
                <w:rFonts w:hint="eastAsia" w:ascii="宋体" w:hAnsi="宋体" w:cs="宋体"/>
                <w:color w:val="auto"/>
                <w:szCs w:val="21"/>
                <w:highlight w:val="none"/>
              </w:rPr>
            </w:pPr>
            <w:r>
              <w:rPr>
                <w:rFonts w:hint="eastAsia" w:ascii="宋体" w:hAnsi="宋体" w:cs="宋体"/>
                <w:color w:val="auto"/>
                <w:szCs w:val="21"/>
                <w:highlight w:val="none"/>
              </w:rPr>
              <w:t>法定代表人身份证明及授权委托书</w:t>
            </w:r>
          </w:p>
          <w:p w14:paraId="31F6785A">
            <w:pPr>
              <w:spacing w:line="440" w:lineRule="exact"/>
              <w:ind w:firstLine="0" w:firstLineChars="0"/>
              <w:rPr>
                <w:rFonts w:hint="eastAsia" w:ascii="宋体" w:hAnsi="宋体" w:cs="宋体"/>
                <w:color w:val="auto"/>
                <w:szCs w:val="21"/>
                <w:highlight w:val="none"/>
              </w:rPr>
            </w:pPr>
          </w:p>
        </w:tc>
        <w:tc>
          <w:tcPr>
            <w:tcW w:w="6058" w:type="dxa"/>
            <w:vAlign w:val="center"/>
          </w:tcPr>
          <w:p w14:paraId="595ED858">
            <w:pPr>
              <w:spacing w:line="440" w:lineRule="exact"/>
              <w:ind w:firstLine="0" w:firstLineChars="0"/>
              <w:rPr>
                <w:rFonts w:hint="eastAsia" w:ascii="宋体" w:hAnsi="宋体" w:cs="宋体"/>
                <w:color w:val="auto"/>
                <w:szCs w:val="21"/>
                <w:highlight w:val="none"/>
              </w:rPr>
            </w:pPr>
            <w:r>
              <w:rPr>
                <w:rFonts w:hint="eastAsia" w:ascii="宋体" w:hAnsi="宋体" w:cs="宋体"/>
                <w:color w:val="auto"/>
                <w:highlight w:val="none"/>
              </w:rPr>
              <w:t>符合投标文件格式要求，内容真实有效审查上传投标文件中的扫描件</w:t>
            </w:r>
          </w:p>
        </w:tc>
      </w:tr>
      <w:tr w14:paraId="6D790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0" w:type="auto"/>
            <w:vMerge w:val="continue"/>
            <w:vAlign w:val="center"/>
          </w:tcPr>
          <w:p w14:paraId="211025E3">
            <w:pPr>
              <w:jc w:val="center"/>
              <w:rPr>
                <w:rFonts w:hint="eastAsia" w:ascii="宋体" w:hAnsi="宋体" w:cs="宋体"/>
                <w:color w:val="auto"/>
                <w:szCs w:val="21"/>
                <w:highlight w:val="none"/>
              </w:rPr>
            </w:pPr>
          </w:p>
        </w:tc>
        <w:tc>
          <w:tcPr>
            <w:tcW w:w="0" w:type="auto"/>
            <w:vMerge w:val="continue"/>
            <w:vAlign w:val="center"/>
          </w:tcPr>
          <w:p w14:paraId="4727BFB7">
            <w:pPr>
              <w:jc w:val="center"/>
              <w:rPr>
                <w:rFonts w:hint="eastAsia" w:ascii="宋体" w:hAnsi="宋体" w:cs="宋体"/>
                <w:color w:val="auto"/>
                <w:szCs w:val="21"/>
                <w:highlight w:val="none"/>
              </w:rPr>
            </w:pPr>
          </w:p>
        </w:tc>
        <w:tc>
          <w:tcPr>
            <w:tcW w:w="1566" w:type="dxa"/>
            <w:vAlign w:val="center"/>
          </w:tcPr>
          <w:p w14:paraId="74DED796">
            <w:pPr>
              <w:spacing w:line="440" w:lineRule="exact"/>
              <w:ind w:firstLine="0" w:firstLineChars="0"/>
              <w:jc w:val="left"/>
              <w:rPr>
                <w:rFonts w:hint="eastAsia" w:ascii="宋体" w:hAnsi="宋体" w:cs="宋体"/>
                <w:color w:val="auto"/>
                <w:szCs w:val="21"/>
                <w:highlight w:val="none"/>
              </w:rPr>
            </w:pPr>
            <w:r>
              <w:rPr>
                <w:rFonts w:hint="eastAsia" w:ascii="宋体" w:hAnsi="宋体" w:cs="宋体"/>
                <w:color w:val="auto"/>
                <w:szCs w:val="21"/>
                <w:highlight w:val="none"/>
              </w:rPr>
              <w:t>投标保证金缴纳凭证</w:t>
            </w:r>
          </w:p>
        </w:tc>
        <w:tc>
          <w:tcPr>
            <w:tcW w:w="6058" w:type="dxa"/>
            <w:vAlign w:val="center"/>
          </w:tcPr>
          <w:p w14:paraId="60D68E36">
            <w:pPr>
              <w:spacing w:line="440" w:lineRule="exact"/>
              <w:ind w:firstLine="0" w:firstLineChars="0"/>
              <w:rPr>
                <w:rFonts w:hint="eastAsia" w:ascii="宋体" w:hAnsi="宋体" w:cs="宋体"/>
                <w:color w:val="auto"/>
                <w:szCs w:val="21"/>
                <w:highlight w:val="none"/>
              </w:rPr>
            </w:pPr>
            <w:r>
              <w:rPr>
                <w:rFonts w:hint="eastAsia" w:ascii="宋体" w:hAnsi="宋体" w:cs="宋体"/>
                <w:color w:val="auto"/>
                <w:szCs w:val="21"/>
                <w:highlight w:val="none"/>
              </w:rPr>
              <w:t>符合第四章资格审查部分规定</w:t>
            </w:r>
          </w:p>
        </w:tc>
      </w:tr>
      <w:tr w14:paraId="62A13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7" w:hRule="exact"/>
          <w:tblHeader/>
          <w:jc w:val="center"/>
        </w:trPr>
        <w:tc>
          <w:tcPr>
            <w:tcW w:w="0" w:type="auto"/>
            <w:vMerge w:val="continue"/>
            <w:vAlign w:val="center"/>
          </w:tcPr>
          <w:p w14:paraId="28C7D134">
            <w:pPr>
              <w:jc w:val="center"/>
              <w:rPr>
                <w:rFonts w:hint="eastAsia" w:ascii="宋体" w:hAnsi="宋体" w:cs="宋体"/>
                <w:color w:val="auto"/>
                <w:szCs w:val="21"/>
                <w:highlight w:val="none"/>
              </w:rPr>
            </w:pPr>
          </w:p>
        </w:tc>
        <w:tc>
          <w:tcPr>
            <w:tcW w:w="0" w:type="auto"/>
            <w:vMerge w:val="continue"/>
            <w:vAlign w:val="center"/>
          </w:tcPr>
          <w:p w14:paraId="3DC399C8">
            <w:pPr>
              <w:jc w:val="center"/>
              <w:rPr>
                <w:rFonts w:hint="eastAsia" w:ascii="宋体" w:hAnsi="宋体" w:cs="宋体"/>
                <w:color w:val="auto"/>
                <w:szCs w:val="21"/>
                <w:highlight w:val="none"/>
              </w:rPr>
            </w:pPr>
          </w:p>
        </w:tc>
        <w:tc>
          <w:tcPr>
            <w:tcW w:w="1566" w:type="dxa"/>
            <w:vAlign w:val="center"/>
          </w:tcPr>
          <w:p w14:paraId="0C3C2BD8">
            <w:pPr>
              <w:spacing w:line="440" w:lineRule="exact"/>
              <w:ind w:firstLine="0" w:firstLineChars="0"/>
              <w:jc w:val="left"/>
              <w:rPr>
                <w:rFonts w:hint="eastAsia" w:ascii="宋体" w:hAnsi="宋体" w:cs="宋体"/>
                <w:color w:val="auto"/>
                <w:szCs w:val="21"/>
                <w:highlight w:val="none"/>
              </w:rPr>
            </w:pPr>
            <w:r>
              <w:rPr>
                <w:rFonts w:hint="eastAsia" w:ascii="宋体" w:hAnsi="宋体" w:cs="宋体"/>
                <w:color w:val="auto"/>
                <w:szCs w:val="21"/>
                <w:highlight w:val="none"/>
              </w:rPr>
              <w:t>不存在禁止投标的情形</w:t>
            </w:r>
          </w:p>
        </w:tc>
        <w:tc>
          <w:tcPr>
            <w:tcW w:w="6058" w:type="dxa"/>
            <w:vAlign w:val="center"/>
          </w:tcPr>
          <w:p w14:paraId="2B369498">
            <w:pPr>
              <w:spacing w:line="440" w:lineRule="exact"/>
              <w:ind w:firstLine="0" w:firstLineChars="0"/>
              <w:rPr>
                <w:rFonts w:hint="eastAsia" w:ascii="宋体" w:hAnsi="宋体" w:cs="宋体"/>
                <w:color w:val="auto"/>
                <w:szCs w:val="21"/>
                <w:highlight w:val="none"/>
              </w:rPr>
            </w:pPr>
            <w:r>
              <w:rPr>
                <w:rFonts w:hint="eastAsia" w:ascii="宋体" w:hAnsi="宋体" w:cs="宋体"/>
                <w:color w:val="auto"/>
                <w:szCs w:val="21"/>
                <w:highlight w:val="none"/>
              </w:rPr>
              <w:t>不存在第二章“投标人须知”第1.4.3项规定的任何一种情形</w:t>
            </w:r>
          </w:p>
        </w:tc>
      </w:tr>
      <w:tr w14:paraId="3CFCA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0" w:type="auto"/>
            <w:vMerge w:val="restart"/>
            <w:vAlign w:val="center"/>
          </w:tcPr>
          <w:p w14:paraId="65C84DDA">
            <w:pPr>
              <w:ind w:firstLine="0" w:firstLineChars="0"/>
              <w:rPr>
                <w:rFonts w:hint="eastAsia" w:ascii="宋体" w:hAnsi="宋体" w:cs="宋体"/>
                <w:color w:val="auto"/>
                <w:szCs w:val="21"/>
                <w:highlight w:val="none"/>
              </w:rPr>
            </w:pPr>
            <w:r>
              <w:rPr>
                <w:rFonts w:hint="eastAsia" w:ascii="宋体" w:hAnsi="宋体" w:cs="宋体"/>
                <w:color w:val="auto"/>
                <w:szCs w:val="21"/>
                <w:highlight w:val="none"/>
              </w:rPr>
              <w:t>2.1.3</w:t>
            </w:r>
          </w:p>
        </w:tc>
        <w:tc>
          <w:tcPr>
            <w:tcW w:w="0" w:type="auto"/>
            <w:vMerge w:val="restart"/>
            <w:vAlign w:val="center"/>
          </w:tcPr>
          <w:p w14:paraId="636CFA61">
            <w:pPr>
              <w:ind w:firstLine="0" w:firstLineChars="0"/>
              <w:jc w:val="center"/>
              <w:rPr>
                <w:rFonts w:hint="eastAsia" w:ascii="宋体" w:hAnsi="宋体" w:cs="宋体"/>
                <w:color w:val="auto"/>
                <w:szCs w:val="21"/>
                <w:highlight w:val="none"/>
              </w:rPr>
            </w:pPr>
            <w:r>
              <w:rPr>
                <w:rFonts w:hint="eastAsia" w:ascii="宋体" w:hAnsi="宋体" w:cs="宋体"/>
                <w:color w:val="auto"/>
                <w:szCs w:val="21"/>
                <w:highlight w:val="none"/>
              </w:rPr>
              <w:t>响应性</w:t>
            </w:r>
          </w:p>
          <w:p w14:paraId="7108833C">
            <w:pPr>
              <w:ind w:firstLine="0" w:firstLineChars="0"/>
              <w:jc w:val="center"/>
              <w:rPr>
                <w:rFonts w:hint="eastAsia" w:ascii="宋体" w:hAnsi="宋体" w:cs="宋体"/>
                <w:color w:val="auto"/>
                <w:szCs w:val="21"/>
                <w:highlight w:val="none"/>
              </w:rPr>
            </w:pPr>
            <w:r>
              <w:rPr>
                <w:rFonts w:hint="eastAsia" w:ascii="宋体" w:hAnsi="宋体" w:cs="宋体"/>
                <w:color w:val="auto"/>
                <w:szCs w:val="21"/>
                <w:highlight w:val="none"/>
              </w:rPr>
              <w:t>评审</w:t>
            </w:r>
          </w:p>
          <w:p w14:paraId="3B38A13E">
            <w:pPr>
              <w:ind w:firstLine="0" w:firstLineChars="0"/>
              <w:jc w:val="center"/>
              <w:rPr>
                <w:rFonts w:hint="eastAsia" w:ascii="宋体" w:hAnsi="宋体" w:cs="宋体"/>
                <w:color w:val="auto"/>
                <w:szCs w:val="21"/>
                <w:highlight w:val="none"/>
              </w:rPr>
            </w:pPr>
            <w:r>
              <w:rPr>
                <w:rFonts w:hint="eastAsia" w:ascii="宋体" w:hAnsi="宋体" w:cs="宋体"/>
                <w:color w:val="auto"/>
                <w:szCs w:val="21"/>
                <w:highlight w:val="none"/>
              </w:rPr>
              <w:t>标准</w:t>
            </w:r>
          </w:p>
        </w:tc>
        <w:tc>
          <w:tcPr>
            <w:tcW w:w="1566" w:type="dxa"/>
            <w:vAlign w:val="center"/>
          </w:tcPr>
          <w:p w14:paraId="0A08D4EE">
            <w:pPr>
              <w:spacing w:line="440" w:lineRule="exact"/>
              <w:ind w:firstLine="0" w:firstLineChars="0"/>
              <w:rPr>
                <w:rFonts w:hint="eastAsia" w:ascii="宋体" w:hAnsi="宋体" w:cs="宋体"/>
                <w:color w:val="auto"/>
                <w:szCs w:val="21"/>
                <w:highlight w:val="none"/>
              </w:rPr>
            </w:pPr>
            <w:r>
              <w:rPr>
                <w:rFonts w:hint="eastAsia" w:ascii="宋体" w:hAnsi="宋体" w:cs="宋体"/>
                <w:color w:val="auto"/>
                <w:szCs w:val="21"/>
                <w:highlight w:val="none"/>
              </w:rPr>
              <w:t>投标范围</w:t>
            </w:r>
          </w:p>
        </w:tc>
        <w:tc>
          <w:tcPr>
            <w:tcW w:w="6058" w:type="dxa"/>
            <w:vAlign w:val="center"/>
          </w:tcPr>
          <w:p w14:paraId="2C372E30">
            <w:pPr>
              <w:spacing w:line="440" w:lineRule="exact"/>
              <w:ind w:firstLine="0" w:firstLineChars="0"/>
              <w:rPr>
                <w:rFonts w:hint="eastAsia" w:ascii="宋体" w:hAnsi="宋体" w:cs="宋体"/>
                <w:color w:val="auto"/>
                <w:szCs w:val="21"/>
                <w:highlight w:val="none"/>
              </w:rPr>
            </w:pPr>
            <w:r>
              <w:rPr>
                <w:rFonts w:hint="eastAsia" w:ascii="宋体" w:hAnsi="宋体" w:cs="宋体"/>
                <w:color w:val="auto"/>
                <w:szCs w:val="21"/>
                <w:highlight w:val="none"/>
              </w:rPr>
              <w:t>符合第一章“招标公告”第2.1项规定</w:t>
            </w:r>
          </w:p>
        </w:tc>
      </w:tr>
      <w:tr w14:paraId="5092B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0" w:type="auto"/>
            <w:vMerge w:val="continue"/>
            <w:vAlign w:val="center"/>
          </w:tcPr>
          <w:p w14:paraId="5A398284">
            <w:pPr>
              <w:widowControl/>
              <w:spacing w:line="440" w:lineRule="exact"/>
              <w:ind w:firstLine="0" w:firstLineChars="0"/>
              <w:jc w:val="center"/>
              <w:rPr>
                <w:rFonts w:hint="eastAsia" w:ascii="宋体" w:hAnsi="宋体" w:cs="宋体"/>
                <w:color w:val="auto"/>
                <w:szCs w:val="21"/>
                <w:highlight w:val="none"/>
              </w:rPr>
            </w:pPr>
          </w:p>
        </w:tc>
        <w:tc>
          <w:tcPr>
            <w:tcW w:w="0" w:type="auto"/>
            <w:vMerge w:val="continue"/>
            <w:vAlign w:val="center"/>
          </w:tcPr>
          <w:p w14:paraId="702426A1">
            <w:pPr>
              <w:widowControl/>
              <w:spacing w:line="440" w:lineRule="exact"/>
              <w:ind w:firstLine="0" w:firstLineChars="0"/>
              <w:jc w:val="center"/>
              <w:rPr>
                <w:rFonts w:hint="eastAsia" w:ascii="宋体" w:hAnsi="宋体" w:cs="宋体"/>
                <w:color w:val="auto"/>
                <w:szCs w:val="21"/>
                <w:highlight w:val="none"/>
              </w:rPr>
            </w:pPr>
          </w:p>
        </w:tc>
        <w:tc>
          <w:tcPr>
            <w:tcW w:w="1566" w:type="dxa"/>
            <w:vAlign w:val="center"/>
          </w:tcPr>
          <w:p w14:paraId="6DD96CF3">
            <w:pPr>
              <w:spacing w:line="440" w:lineRule="exact"/>
              <w:ind w:firstLine="0" w:firstLineChars="0"/>
              <w:rPr>
                <w:rFonts w:hint="eastAsia" w:ascii="宋体" w:hAnsi="宋体" w:cs="宋体"/>
                <w:color w:val="auto"/>
                <w:szCs w:val="21"/>
                <w:highlight w:val="none"/>
              </w:rPr>
            </w:pPr>
            <w:r>
              <w:rPr>
                <w:rFonts w:hint="eastAsia" w:ascii="宋体" w:hAnsi="宋体" w:cs="宋体"/>
                <w:color w:val="auto"/>
                <w:highlight w:val="none"/>
              </w:rPr>
              <w:t>交货地点</w:t>
            </w:r>
          </w:p>
        </w:tc>
        <w:tc>
          <w:tcPr>
            <w:tcW w:w="6058" w:type="dxa"/>
            <w:vAlign w:val="center"/>
          </w:tcPr>
          <w:p w14:paraId="1FACCF4D">
            <w:pPr>
              <w:spacing w:line="440" w:lineRule="exact"/>
              <w:ind w:firstLine="0" w:firstLineChars="0"/>
              <w:rPr>
                <w:rFonts w:hint="eastAsia" w:ascii="宋体" w:hAnsi="宋体" w:cs="宋体"/>
                <w:color w:val="auto"/>
                <w:szCs w:val="21"/>
                <w:highlight w:val="none"/>
              </w:rPr>
            </w:pPr>
            <w:r>
              <w:rPr>
                <w:rFonts w:hint="eastAsia" w:ascii="宋体" w:hAnsi="宋体" w:cs="宋体"/>
                <w:color w:val="auto"/>
                <w:szCs w:val="21"/>
                <w:highlight w:val="none"/>
              </w:rPr>
              <w:t>符合第一章“招标公告”第2.3项规定</w:t>
            </w:r>
          </w:p>
        </w:tc>
      </w:tr>
      <w:tr w14:paraId="66B97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0" w:type="auto"/>
            <w:vMerge w:val="continue"/>
            <w:vAlign w:val="center"/>
          </w:tcPr>
          <w:p w14:paraId="00ECA04E">
            <w:pPr>
              <w:widowControl/>
              <w:spacing w:line="440" w:lineRule="exact"/>
              <w:ind w:firstLine="0" w:firstLineChars="0"/>
              <w:jc w:val="center"/>
              <w:rPr>
                <w:rFonts w:hint="eastAsia" w:ascii="宋体" w:hAnsi="宋体" w:cs="宋体"/>
                <w:color w:val="auto"/>
                <w:szCs w:val="21"/>
                <w:highlight w:val="none"/>
              </w:rPr>
            </w:pPr>
          </w:p>
        </w:tc>
        <w:tc>
          <w:tcPr>
            <w:tcW w:w="0" w:type="auto"/>
            <w:vMerge w:val="continue"/>
            <w:vAlign w:val="center"/>
          </w:tcPr>
          <w:p w14:paraId="1B6718A6">
            <w:pPr>
              <w:widowControl/>
              <w:spacing w:line="440" w:lineRule="exact"/>
              <w:ind w:firstLine="0" w:firstLineChars="0"/>
              <w:jc w:val="center"/>
              <w:rPr>
                <w:rFonts w:hint="eastAsia" w:ascii="宋体" w:hAnsi="宋体" w:cs="宋体"/>
                <w:color w:val="auto"/>
                <w:szCs w:val="21"/>
                <w:highlight w:val="none"/>
              </w:rPr>
            </w:pPr>
          </w:p>
        </w:tc>
        <w:tc>
          <w:tcPr>
            <w:tcW w:w="1566" w:type="dxa"/>
            <w:vAlign w:val="center"/>
          </w:tcPr>
          <w:p w14:paraId="0D754915">
            <w:pPr>
              <w:spacing w:line="440" w:lineRule="exact"/>
              <w:ind w:firstLine="0" w:firstLineChars="0"/>
              <w:rPr>
                <w:rFonts w:hint="eastAsia" w:ascii="宋体" w:hAnsi="宋体" w:cs="宋体"/>
                <w:color w:val="auto"/>
                <w:szCs w:val="21"/>
                <w:highlight w:val="none"/>
              </w:rPr>
            </w:pPr>
            <w:r>
              <w:rPr>
                <w:rFonts w:hint="eastAsia" w:ascii="宋体" w:hAnsi="宋体" w:cs="宋体"/>
                <w:color w:val="auto"/>
                <w:highlight w:val="none"/>
              </w:rPr>
              <w:t>交货期</w:t>
            </w:r>
          </w:p>
        </w:tc>
        <w:tc>
          <w:tcPr>
            <w:tcW w:w="6058" w:type="dxa"/>
            <w:vAlign w:val="center"/>
          </w:tcPr>
          <w:p w14:paraId="77042F3C">
            <w:pPr>
              <w:spacing w:line="440" w:lineRule="exact"/>
              <w:ind w:firstLine="0" w:firstLineChars="0"/>
              <w:rPr>
                <w:rFonts w:hint="eastAsia" w:ascii="宋体" w:hAnsi="宋体" w:cs="宋体"/>
                <w:color w:val="auto"/>
                <w:szCs w:val="21"/>
                <w:highlight w:val="none"/>
              </w:rPr>
            </w:pPr>
            <w:r>
              <w:rPr>
                <w:rFonts w:hint="eastAsia" w:ascii="宋体" w:hAnsi="宋体" w:cs="宋体"/>
                <w:color w:val="auto"/>
                <w:szCs w:val="21"/>
                <w:highlight w:val="none"/>
              </w:rPr>
              <w:t>符合第一章“招标公告”第2.4项规定</w:t>
            </w:r>
          </w:p>
        </w:tc>
      </w:tr>
      <w:tr w14:paraId="11F3F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0" w:type="auto"/>
            <w:vMerge w:val="continue"/>
            <w:vAlign w:val="center"/>
          </w:tcPr>
          <w:p w14:paraId="1AE66923">
            <w:pPr>
              <w:widowControl/>
              <w:spacing w:line="440" w:lineRule="exact"/>
              <w:ind w:firstLine="0" w:firstLineChars="0"/>
              <w:jc w:val="center"/>
              <w:rPr>
                <w:rFonts w:hint="eastAsia" w:ascii="宋体" w:hAnsi="宋体" w:cs="宋体"/>
                <w:color w:val="auto"/>
                <w:szCs w:val="21"/>
                <w:highlight w:val="none"/>
              </w:rPr>
            </w:pPr>
          </w:p>
        </w:tc>
        <w:tc>
          <w:tcPr>
            <w:tcW w:w="0" w:type="auto"/>
            <w:vMerge w:val="continue"/>
            <w:vAlign w:val="center"/>
          </w:tcPr>
          <w:p w14:paraId="77533692">
            <w:pPr>
              <w:widowControl/>
              <w:spacing w:line="440" w:lineRule="exact"/>
              <w:ind w:firstLine="0" w:firstLineChars="0"/>
              <w:jc w:val="center"/>
              <w:rPr>
                <w:rFonts w:hint="eastAsia" w:ascii="宋体" w:hAnsi="宋体" w:cs="宋体"/>
                <w:color w:val="auto"/>
                <w:szCs w:val="21"/>
                <w:highlight w:val="none"/>
              </w:rPr>
            </w:pPr>
          </w:p>
        </w:tc>
        <w:tc>
          <w:tcPr>
            <w:tcW w:w="1566" w:type="dxa"/>
            <w:vAlign w:val="center"/>
          </w:tcPr>
          <w:p w14:paraId="2F67910A">
            <w:pPr>
              <w:spacing w:line="440" w:lineRule="exact"/>
              <w:ind w:firstLine="0" w:firstLineChars="0"/>
              <w:rPr>
                <w:rFonts w:hint="eastAsia" w:ascii="宋体" w:hAnsi="宋体" w:cs="宋体"/>
                <w:color w:val="auto"/>
                <w:szCs w:val="21"/>
                <w:highlight w:val="none"/>
              </w:rPr>
            </w:pPr>
            <w:r>
              <w:rPr>
                <w:rFonts w:hint="eastAsia" w:ascii="宋体" w:hAnsi="宋体" w:cs="宋体"/>
                <w:color w:val="auto"/>
                <w:highlight w:val="none"/>
              </w:rPr>
              <w:t>质量承诺</w:t>
            </w:r>
          </w:p>
        </w:tc>
        <w:tc>
          <w:tcPr>
            <w:tcW w:w="6058" w:type="dxa"/>
            <w:vAlign w:val="center"/>
          </w:tcPr>
          <w:p w14:paraId="2ED5EB45">
            <w:pPr>
              <w:spacing w:line="440" w:lineRule="exact"/>
              <w:ind w:firstLine="0" w:firstLineChars="0"/>
              <w:rPr>
                <w:rFonts w:hint="eastAsia" w:ascii="宋体" w:hAnsi="宋体" w:cs="宋体"/>
                <w:color w:val="auto"/>
                <w:szCs w:val="21"/>
                <w:highlight w:val="none"/>
              </w:rPr>
            </w:pPr>
            <w:r>
              <w:rPr>
                <w:rFonts w:hint="eastAsia" w:ascii="宋体" w:hAnsi="宋体" w:cs="宋体"/>
                <w:color w:val="auto"/>
                <w:szCs w:val="21"/>
                <w:highlight w:val="none"/>
              </w:rPr>
              <w:t>符合第一章“招标公告”第2.5项规定</w:t>
            </w:r>
          </w:p>
        </w:tc>
      </w:tr>
      <w:tr w14:paraId="75B6F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0" w:type="auto"/>
            <w:vMerge w:val="continue"/>
            <w:vAlign w:val="center"/>
          </w:tcPr>
          <w:p w14:paraId="60D368D5">
            <w:pPr>
              <w:widowControl/>
              <w:spacing w:line="440" w:lineRule="exact"/>
              <w:ind w:firstLine="0" w:firstLineChars="0"/>
              <w:jc w:val="center"/>
              <w:rPr>
                <w:rFonts w:hint="eastAsia" w:ascii="宋体" w:hAnsi="宋体" w:cs="宋体"/>
                <w:color w:val="auto"/>
                <w:szCs w:val="21"/>
                <w:highlight w:val="none"/>
              </w:rPr>
            </w:pPr>
          </w:p>
        </w:tc>
        <w:tc>
          <w:tcPr>
            <w:tcW w:w="0" w:type="auto"/>
            <w:vMerge w:val="continue"/>
            <w:vAlign w:val="center"/>
          </w:tcPr>
          <w:p w14:paraId="11783DCF">
            <w:pPr>
              <w:widowControl/>
              <w:spacing w:line="440" w:lineRule="exact"/>
              <w:ind w:firstLine="0" w:firstLineChars="0"/>
              <w:jc w:val="center"/>
              <w:rPr>
                <w:rFonts w:hint="eastAsia" w:ascii="宋体" w:hAnsi="宋体" w:cs="宋体"/>
                <w:color w:val="auto"/>
                <w:szCs w:val="21"/>
                <w:highlight w:val="none"/>
              </w:rPr>
            </w:pPr>
          </w:p>
        </w:tc>
        <w:tc>
          <w:tcPr>
            <w:tcW w:w="1566" w:type="dxa"/>
            <w:vAlign w:val="center"/>
          </w:tcPr>
          <w:p w14:paraId="417B17D0">
            <w:pPr>
              <w:spacing w:line="440" w:lineRule="exact"/>
              <w:ind w:firstLine="0" w:firstLineChars="0"/>
              <w:rPr>
                <w:rFonts w:hint="eastAsia" w:ascii="宋体" w:hAnsi="宋体" w:cs="宋体"/>
                <w:color w:val="auto"/>
                <w:szCs w:val="21"/>
                <w:highlight w:val="none"/>
              </w:rPr>
            </w:pPr>
            <w:r>
              <w:rPr>
                <w:rFonts w:hint="eastAsia" w:ascii="宋体" w:hAnsi="宋体" w:cs="宋体"/>
                <w:color w:val="auto"/>
                <w:szCs w:val="21"/>
                <w:highlight w:val="none"/>
              </w:rPr>
              <w:t>否决投标条件</w:t>
            </w:r>
          </w:p>
        </w:tc>
        <w:tc>
          <w:tcPr>
            <w:tcW w:w="6058" w:type="dxa"/>
            <w:vAlign w:val="center"/>
          </w:tcPr>
          <w:p w14:paraId="3A3827C6">
            <w:pPr>
              <w:spacing w:line="440" w:lineRule="exact"/>
              <w:ind w:firstLine="0" w:firstLineChars="0"/>
              <w:rPr>
                <w:rFonts w:hint="eastAsia" w:ascii="宋体" w:hAnsi="宋体" w:cs="宋体"/>
                <w:color w:val="auto"/>
                <w:szCs w:val="21"/>
                <w:highlight w:val="none"/>
              </w:rPr>
            </w:pPr>
            <w:r>
              <w:rPr>
                <w:rFonts w:hint="eastAsia" w:ascii="宋体" w:hAnsi="宋体" w:cs="宋体"/>
                <w:color w:val="auto"/>
                <w:szCs w:val="21"/>
                <w:highlight w:val="none"/>
              </w:rPr>
              <w:t>未出现否决投标条件</w:t>
            </w:r>
          </w:p>
        </w:tc>
      </w:tr>
      <w:tr w14:paraId="6AAAF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tblHeader/>
          <w:jc w:val="center"/>
        </w:trPr>
        <w:tc>
          <w:tcPr>
            <w:tcW w:w="0" w:type="auto"/>
            <w:gridSpan w:val="2"/>
            <w:vAlign w:val="center"/>
          </w:tcPr>
          <w:p w14:paraId="37410D71">
            <w:pPr>
              <w:widowControl/>
              <w:spacing w:line="440" w:lineRule="exact"/>
              <w:ind w:firstLine="0" w:firstLineChars="0"/>
              <w:jc w:val="center"/>
              <w:rPr>
                <w:rFonts w:hint="eastAsia" w:ascii="宋体" w:hAnsi="宋体" w:cs="宋体"/>
                <w:color w:val="auto"/>
                <w:szCs w:val="21"/>
                <w:highlight w:val="none"/>
              </w:rPr>
            </w:pPr>
            <w:r>
              <w:rPr>
                <w:rFonts w:hint="eastAsia" w:ascii="宋体" w:hAnsi="宋体" w:cs="宋体"/>
                <w:color w:val="auto"/>
                <w:szCs w:val="21"/>
                <w:highlight w:val="none"/>
              </w:rPr>
              <w:t>条款号</w:t>
            </w:r>
          </w:p>
        </w:tc>
        <w:tc>
          <w:tcPr>
            <w:tcW w:w="1566" w:type="dxa"/>
            <w:vAlign w:val="center"/>
          </w:tcPr>
          <w:p w14:paraId="0FD3E824">
            <w:pPr>
              <w:pStyle w:val="18"/>
              <w:spacing w:line="440" w:lineRule="exact"/>
              <w:ind w:firstLine="0" w:firstLineChars="0"/>
              <w:jc w:val="center"/>
              <w:rPr>
                <w:rFonts w:hint="eastAsia" w:hAnsi="宋体" w:cs="宋体"/>
                <w:color w:val="auto"/>
                <w:szCs w:val="21"/>
                <w:highlight w:val="none"/>
              </w:rPr>
            </w:pPr>
            <w:r>
              <w:rPr>
                <w:rFonts w:hint="eastAsia" w:hAnsi="宋体" w:cs="宋体"/>
                <w:color w:val="auto"/>
                <w:szCs w:val="21"/>
                <w:highlight w:val="none"/>
              </w:rPr>
              <w:t>评 审 因 素</w:t>
            </w:r>
          </w:p>
        </w:tc>
        <w:tc>
          <w:tcPr>
            <w:tcW w:w="6058" w:type="dxa"/>
            <w:vAlign w:val="center"/>
          </w:tcPr>
          <w:p w14:paraId="38F0C0B8">
            <w:pPr>
              <w:pStyle w:val="18"/>
              <w:spacing w:line="440" w:lineRule="exact"/>
              <w:ind w:firstLine="0" w:firstLineChars="0"/>
              <w:jc w:val="center"/>
              <w:rPr>
                <w:rFonts w:hint="eastAsia" w:hAnsi="宋体" w:cs="宋体"/>
                <w:color w:val="auto"/>
                <w:szCs w:val="21"/>
                <w:highlight w:val="none"/>
              </w:rPr>
            </w:pPr>
            <w:r>
              <w:rPr>
                <w:rFonts w:hint="eastAsia" w:hAnsi="宋体" w:cs="宋体"/>
                <w:color w:val="auto"/>
                <w:szCs w:val="21"/>
                <w:highlight w:val="none"/>
              </w:rPr>
              <w:t>评 审 标 准</w:t>
            </w:r>
          </w:p>
        </w:tc>
      </w:tr>
      <w:tr w14:paraId="5ECF4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0" w:type="auto"/>
            <w:gridSpan w:val="2"/>
            <w:vAlign w:val="center"/>
          </w:tcPr>
          <w:p w14:paraId="335031A2">
            <w:pPr>
              <w:widowControl/>
              <w:spacing w:line="440" w:lineRule="exact"/>
              <w:ind w:firstLine="0" w:firstLineChars="0"/>
              <w:jc w:val="center"/>
              <w:rPr>
                <w:rFonts w:hint="eastAsia" w:ascii="宋体" w:hAnsi="宋体" w:cs="宋体"/>
                <w:color w:val="auto"/>
                <w:szCs w:val="21"/>
                <w:highlight w:val="none"/>
              </w:rPr>
            </w:pPr>
            <w:r>
              <w:rPr>
                <w:rFonts w:hint="eastAsia" w:ascii="宋体" w:hAnsi="宋体" w:cs="宋体"/>
                <w:color w:val="auto"/>
                <w:szCs w:val="21"/>
                <w:highlight w:val="none"/>
              </w:rPr>
              <w:t>2.2</w:t>
            </w:r>
          </w:p>
        </w:tc>
        <w:tc>
          <w:tcPr>
            <w:tcW w:w="1566" w:type="dxa"/>
            <w:vAlign w:val="center"/>
          </w:tcPr>
          <w:p w14:paraId="5AF03AC2">
            <w:pPr>
              <w:pStyle w:val="18"/>
              <w:spacing w:line="440" w:lineRule="exact"/>
              <w:ind w:firstLine="0" w:firstLineChars="0"/>
              <w:jc w:val="center"/>
              <w:rPr>
                <w:rFonts w:hint="eastAsia" w:hAnsi="宋体" w:cs="宋体"/>
                <w:color w:val="auto"/>
                <w:szCs w:val="21"/>
                <w:highlight w:val="none"/>
              </w:rPr>
            </w:pPr>
            <w:r>
              <w:rPr>
                <w:rFonts w:hint="eastAsia" w:hAnsi="宋体" w:cs="宋体"/>
                <w:color w:val="auto"/>
                <w:szCs w:val="21"/>
                <w:highlight w:val="none"/>
              </w:rPr>
              <w:t>详细评审标准</w:t>
            </w:r>
          </w:p>
        </w:tc>
        <w:tc>
          <w:tcPr>
            <w:tcW w:w="6058" w:type="dxa"/>
            <w:vAlign w:val="center"/>
          </w:tcPr>
          <w:p w14:paraId="75AA2B67">
            <w:pPr>
              <w:pStyle w:val="18"/>
              <w:spacing w:line="440" w:lineRule="exact"/>
              <w:ind w:firstLine="0" w:firstLineChars="0"/>
              <w:jc w:val="center"/>
              <w:rPr>
                <w:rFonts w:hint="eastAsia" w:hAnsi="宋体" w:cs="宋体"/>
                <w:color w:val="auto"/>
                <w:szCs w:val="21"/>
                <w:highlight w:val="none"/>
              </w:rPr>
            </w:pPr>
            <w:r>
              <w:rPr>
                <w:rFonts w:hint="eastAsia" w:hAnsi="宋体" w:cs="宋体"/>
                <w:color w:val="auto"/>
                <w:szCs w:val="21"/>
                <w:highlight w:val="none"/>
              </w:rPr>
              <w:t>分值100分</w:t>
            </w:r>
          </w:p>
        </w:tc>
      </w:tr>
      <w:tr w14:paraId="799AF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4" w:hRule="exact"/>
          <w:tblHeader/>
          <w:jc w:val="center"/>
        </w:trPr>
        <w:tc>
          <w:tcPr>
            <w:tcW w:w="1212" w:type="dxa"/>
            <w:gridSpan w:val="2"/>
            <w:vAlign w:val="center"/>
          </w:tcPr>
          <w:p w14:paraId="643EC582">
            <w:pPr>
              <w:spacing w:line="440" w:lineRule="exact"/>
              <w:ind w:firstLine="0" w:firstLineChars="0"/>
              <w:jc w:val="center"/>
              <w:rPr>
                <w:rFonts w:hint="eastAsia" w:ascii="宋体" w:hAnsi="宋体" w:cs="宋体"/>
                <w:color w:val="auto"/>
                <w:szCs w:val="21"/>
                <w:highlight w:val="none"/>
              </w:rPr>
            </w:pPr>
            <w:r>
              <w:rPr>
                <w:rFonts w:hint="eastAsia" w:ascii="宋体" w:hAnsi="宋体" w:cs="宋体"/>
                <w:color w:val="auto"/>
                <w:szCs w:val="21"/>
                <w:highlight w:val="none"/>
              </w:rPr>
              <w:t>2.2.1</w:t>
            </w:r>
          </w:p>
        </w:tc>
        <w:tc>
          <w:tcPr>
            <w:tcW w:w="1566" w:type="dxa"/>
            <w:vAlign w:val="center"/>
          </w:tcPr>
          <w:p w14:paraId="63D54E2B">
            <w:pPr>
              <w:widowControl/>
              <w:spacing w:line="440" w:lineRule="exact"/>
              <w:ind w:firstLine="0" w:firstLineChars="0"/>
              <w:jc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报价部分得分</w:t>
            </w:r>
          </w:p>
          <w:p w14:paraId="17AE98E7">
            <w:pPr>
              <w:spacing w:line="440" w:lineRule="exact"/>
              <w:ind w:firstLine="0" w:firstLineChars="0"/>
              <w:jc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（满分30分）</w:t>
            </w:r>
          </w:p>
        </w:tc>
        <w:tc>
          <w:tcPr>
            <w:tcW w:w="6058" w:type="dxa"/>
            <w:vAlign w:val="center"/>
          </w:tcPr>
          <w:p w14:paraId="27DD835B">
            <w:pPr>
              <w:keepNext w:val="0"/>
              <w:keepLines w:val="0"/>
              <w:pageBreakBefore w:val="0"/>
              <w:kinsoku/>
              <w:wordWrap/>
              <w:overflowPunct/>
              <w:topLinePunct w:val="0"/>
              <w:autoSpaceDE/>
              <w:autoSpaceDN/>
              <w:bidi w:val="0"/>
              <w:adjustRightInd/>
              <w:snapToGrid/>
              <w:ind w:firstLine="0" w:firstLineChars="0"/>
              <w:jc w:val="left"/>
              <w:textAlignment w:val="baseline"/>
              <w:rPr>
                <w:rFonts w:hint="eastAsia" w:asciiTheme="majorEastAsia" w:hAnsiTheme="majorEastAsia" w:eastAsiaTheme="majorEastAsia" w:cstheme="majorEastAsia"/>
                <w:b/>
                <w:bCs/>
                <w:color w:val="auto"/>
                <w:kern w:val="0"/>
                <w:sz w:val="21"/>
                <w:szCs w:val="21"/>
                <w:highlight w:val="none"/>
              </w:rPr>
            </w:pPr>
            <w:r>
              <w:rPr>
                <w:rFonts w:hint="eastAsia" w:asciiTheme="majorEastAsia" w:hAnsiTheme="majorEastAsia" w:eastAsiaTheme="majorEastAsia" w:cstheme="majorEastAsia"/>
                <w:b/>
                <w:bCs/>
                <w:color w:val="auto"/>
                <w:kern w:val="0"/>
                <w:sz w:val="21"/>
                <w:szCs w:val="21"/>
                <w:highlight w:val="none"/>
                <w:lang w:val="en-US" w:eastAsia="zh-CN"/>
              </w:rPr>
              <w:t>一</w:t>
            </w:r>
            <w:r>
              <w:rPr>
                <w:rFonts w:hint="eastAsia" w:asciiTheme="majorEastAsia" w:hAnsiTheme="majorEastAsia" w:eastAsiaTheme="majorEastAsia" w:cstheme="majorEastAsia"/>
                <w:b/>
                <w:bCs/>
                <w:color w:val="auto"/>
                <w:kern w:val="0"/>
                <w:sz w:val="21"/>
                <w:szCs w:val="21"/>
                <w:highlight w:val="none"/>
              </w:rPr>
              <w:t>、评标指标价的计算：</w:t>
            </w:r>
          </w:p>
          <w:p w14:paraId="13095AB8">
            <w:pPr>
              <w:keepNext w:val="0"/>
              <w:keepLines w:val="0"/>
              <w:pageBreakBefore w:val="0"/>
              <w:kinsoku/>
              <w:wordWrap/>
              <w:overflowPunct/>
              <w:topLinePunct w:val="0"/>
              <w:autoSpaceDE/>
              <w:autoSpaceDN/>
              <w:bidi w:val="0"/>
              <w:adjustRightInd/>
              <w:snapToGrid/>
              <w:ind w:firstLine="0" w:firstLineChars="0"/>
              <w:jc w:val="left"/>
              <w:textAlignment w:val="baseline"/>
              <w:rPr>
                <w:rFonts w:hint="eastAsia" w:asciiTheme="majorEastAsia" w:hAnsiTheme="majorEastAsia" w:eastAsiaTheme="majorEastAsia" w:cstheme="majorEastAsia"/>
                <w:color w:val="auto"/>
                <w:kern w:val="0"/>
                <w:sz w:val="21"/>
                <w:szCs w:val="21"/>
                <w:highlight w:val="none"/>
              </w:rPr>
            </w:pPr>
            <w:r>
              <w:rPr>
                <w:rFonts w:hint="eastAsia" w:asciiTheme="majorEastAsia" w:hAnsiTheme="majorEastAsia" w:eastAsiaTheme="majorEastAsia" w:cstheme="majorEastAsia"/>
                <w:color w:val="auto"/>
                <w:kern w:val="0"/>
                <w:sz w:val="21"/>
                <w:szCs w:val="21"/>
                <w:highlight w:val="none"/>
              </w:rPr>
              <w:t>公式一：（适用于当投标报价个数n≥3范围时）</w:t>
            </w:r>
          </w:p>
          <w:p w14:paraId="1CB5D827">
            <w:pPr>
              <w:keepNext w:val="0"/>
              <w:keepLines w:val="0"/>
              <w:pageBreakBefore w:val="0"/>
              <w:kinsoku/>
              <w:wordWrap/>
              <w:overflowPunct/>
              <w:topLinePunct w:val="0"/>
              <w:autoSpaceDE/>
              <w:autoSpaceDN/>
              <w:bidi w:val="0"/>
              <w:adjustRightInd/>
              <w:snapToGrid/>
              <w:ind w:firstLine="0" w:firstLineChars="0"/>
              <w:jc w:val="left"/>
              <w:textAlignment w:val="baseline"/>
              <w:rPr>
                <w:rFonts w:hint="eastAsia" w:asciiTheme="majorEastAsia" w:hAnsiTheme="majorEastAsia" w:eastAsiaTheme="majorEastAsia" w:cstheme="majorEastAsia"/>
                <w:color w:val="auto"/>
                <w:kern w:val="0"/>
                <w:sz w:val="21"/>
                <w:szCs w:val="21"/>
                <w:highlight w:val="none"/>
              </w:rPr>
            </w:pPr>
            <w:r>
              <w:rPr>
                <w:rFonts w:hint="eastAsia" w:asciiTheme="majorEastAsia" w:hAnsiTheme="majorEastAsia" w:eastAsiaTheme="majorEastAsia" w:cstheme="majorEastAsia"/>
                <w:color w:val="auto"/>
                <w:kern w:val="0"/>
                <w:sz w:val="21"/>
                <w:szCs w:val="21"/>
                <w:highlight w:val="none"/>
              </w:rPr>
              <w:t>p=(t1+t2+t3+...+tn-2)/(n-1)</w:t>
            </w:r>
          </w:p>
          <w:p w14:paraId="7E04B855">
            <w:pPr>
              <w:keepNext w:val="0"/>
              <w:keepLines w:val="0"/>
              <w:pageBreakBefore w:val="0"/>
              <w:kinsoku/>
              <w:wordWrap/>
              <w:overflowPunct/>
              <w:topLinePunct w:val="0"/>
              <w:autoSpaceDE/>
              <w:autoSpaceDN/>
              <w:bidi w:val="0"/>
              <w:adjustRightInd/>
              <w:snapToGrid/>
              <w:ind w:firstLine="0" w:firstLineChars="0"/>
              <w:jc w:val="left"/>
              <w:textAlignment w:val="baseline"/>
              <w:rPr>
                <w:rFonts w:hint="eastAsia" w:asciiTheme="majorEastAsia" w:hAnsiTheme="majorEastAsia" w:eastAsiaTheme="majorEastAsia" w:cstheme="majorEastAsia"/>
                <w:color w:val="auto"/>
                <w:kern w:val="0"/>
                <w:sz w:val="21"/>
                <w:szCs w:val="21"/>
                <w:highlight w:val="none"/>
              </w:rPr>
            </w:pPr>
            <w:r>
              <w:rPr>
                <w:rFonts w:hint="eastAsia" w:asciiTheme="majorEastAsia" w:hAnsiTheme="majorEastAsia" w:eastAsiaTheme="majorEastAsia" w:cstheme="majorEastAsia"/>
                <w:color w:val="auto"/>
                <w:kern w:val="0"/>
                <w:sz w:val="21"/>
                <w:szCs w:val="21"/>
                <w:highlight w:val="none"/>
              </w:rPr>
              <w:t>其中：t1、t2、…、tn-2指去掉一个最高值后的投标报价。</w:t>
            </w:r>
          </w:p>
          <w:p w14:paraId="677D2B07">
            <w:pPr>
              <w:keepNext w:val="0"/>
              <w:keepLines w:val="0"/>
              <w:pageBreakBefore w:val="0"/>
              <w:kinsoku/>
              <w:wordWrap/>
              <w:overflowPunct/>
              <w:topLinePunct w:val="0"/>
              <w:autoSpaceDE/>
              <w:autoSpaceDN/>
              <w:bidi w:val="0"/>
              <w:adjustRightInd/>
              <w:snapToGrid/>
              <w:ind w:firstLine="0" w:firstLineChars="0"/>
              <w:jc w:val="left"/>
              <w:textAlignment w:val="baseline"/>
              <w:rPr>
                <w:rFonts w:hint="eastAsia" w:asciiTheme="majorEastAsia" w:hAnsiTheme="majorEastAsia" w:eastAsiaTheme="majorEastAsia" w:cstheme="majorEastAsia"/>
                <w:color w:val="auto"/>
                <w:kern w:val="0"/>
                <w:sz w:val="21"/>
                <w:szCs w:val="21"/>
                <w:highlight w:val="none"/>
              </w:rPr>
            </w:pPr>
            <w:r>
              <w:rPr>
                <w:rFonts w:hint="eastAsia" w:asciiTheme="majorEastAsia" w:hAnsiTheme="majorEastAsia" w:eastAsiaTheme="majorEastAsia" w:cstheme="majorEastAsia"/>
                <w:color w:val="auto"/>
                <w:kern w:val="0"/>
                <w:sz w:val="21"/>
                <w:szCs w:val="21"/>
                <w:highlight w:val="none"/>
                <w:lang w:val="en-US" w:eastAsia="zh-CN"/>
              </w:rPr>
              <w:t>二</w:t>
            </w:r>
            <w:r>
              <w:rPr>
                <w:rFonts w:hint="eastAsia" w:asciiTheme="majorEastAsia" w:hAnsiTheme="majorEastAsia" w:eastAsiaTheme="majorEastAsia" w:cstheme="majorEastAsia"/>
                <w:color w:val="auto"/>
                <w:kern w:val="0"/>
                <w:sz w:val="21"/>
                <w:szCs w:val="21"/>
                <w:highlight w:val="none"/>
              </w:rPr>
              <w:t>、评分原则为：评分时用评标指标价进行考核。投标人最终评审报价等于评标指标价时得满分；最终评审报价与评标指标价差额相比每向上浮动1%扣1分，每向下浮动1%扣0.2分，分值扣完为止（扣减分值的中间值用插入法，小数点后保留两位）。</w:t>
            </w:r>
          </w:p>
        </w:tc>
      </w:tr>
      <w:tr w14:paraId="2B4D9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6" w:hRule="atLeast"/>
          <w:tblHeader/>
          <w:jc w:val="center"/>
        </w:trPr>
        <w:tc>
          <w:tcPr>
            <w:tcW w:w="1212" w:type="dxa"/>
            <w:gridSpan w:val="2"/>
            <w:vAlign w:val="center"/>
          </w:tcPr>
          <w:p w14:paraId="66EF460C">
            <w:pPr>
              <w:widowControl/>
              <w:spacing w:line="440" w:lineRule="exact"/>
              <w:ind w:firstLine="0" w:firstLineChars="0"/>
              <w:jc w:val="center"/>
              <w:rPr>
                <w:rFonts w:hint="eastAsia" w:ascii="宋体" w:hAnsi="宋体" w:cs="宋体"/>
                <w:color w:val="auto"/>
                <w:szCs w:val="21"/>
                <w:highlight w:val="none"/>
              </w:rPr>
            </w:pPr>
            <w:r>
              <w:rPr>
                <w:rFonts w:hint="eastAsia" w:ascii="宋体" w:hAnsi="宋体" w:cs="宋体"/>
                <w:color w:val="auto"/>
                <w:szCs w:val="21"/>
                <w:highlight w:val="none"/>
              </w:rPr>
              <w:t>2.2.2</w:t>
            </w:r>
          </w:p>
        </w:tc>
        <w:tc>
          <w:tcPr>
            <w:tcW w:w="1566" w:type="dxa"/>
            <w:vAlign w:val="center"/>
          </w:tcPr>
          <w:p w14:paraId="41C1B04F">
            <w:pPr>
              <w:widowControl/>
              <w:spacing w:line="440" w:lineRule="exact"/>
              <w:ind w:firstLine="0" w:firstLineChars="0"/>
              <w:jc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企业销售业绩</w:t>
            </w:r>
          </w:p>
          <w:p w14:paraId="407FC32C">
            <w:pPr>
              <w:widowControl/>
              <w:spacing w:line="440" w:lineRule="exact"/>
              <w:ind w:firstLine="0" w:firstLineChars="0"/>
              <w:jc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（满分6分）</w:t>
            </w:r>
          </w:p>
        </w:tc>
        <w:tc>
          <w:tcPr>
            <w:tcW w:w="6058" w:type="dxa"/>
            <w:vAlign w:val="center"/>
          </w:tcPr>
          <w:p w14:paraId="1CBB8B48">
            <w:pPr>
              <w:keepNext w:val="0"/>
              <w:keepLines w:val="0"/>
              <w:pageBreakBefore w:val="0"/>
              <w:kinsoku/>
              <w:wordWrap/>
              <w:overflowPunct/>
              <w:topLinePunct w:val="0"/>
              <w:autoSpaceDE/>
              <w:autoSpaceDN/>
              <w:bidi w:val="0"/>
              <w:adjustRightInd/>
              <w:snapToGrid/>
              <w:spacing w:line="440" w:lineRule="exact"/>
              <w:ind w:firstLine="0" w:firstLineChars="0"/>
              <w:jc w:val="left"/>
              <w:textAlignment w:val="baseline"/>
              <w:rPr>
                <w:rFonts w:hint="eastAsia" w:asciiTheme="majorEastAsia" w:hAnsiTheme="majorEastAsia" w:eastAsiaTheme="majorEastAsia" w:cstheme="majorEastAsia"/>
                <w:color w:val="auto"/>
                <w:kern w:val="0"/>
                <w:sz w:val="21"/>
                <w:szCs w:val="21"/>
                <w:highlight w:val="none"/>
              </w:rPr>
            </w:pPr>
            <w:r>
              <w:rPr>
                <w:rFonts w:hint="eastAsia" w:asciiTheme="majorEastAsia" w:hAnsiTheme="majorEastAsia" w:eastAsiaTheme="majorEastAsia" w:cstheme="majorEastAsia"/>
                <w:color w:val="auto"/>
                <w:kern w:val="0"/>
                <w:sz w:val="21"/>
                <w:szCs w:val="21"/>
                <w:highlight w:val="none"/>
              </w:rPr>
              <w:t>投标人所投品牌生产制造商2025年1月至</w:t>
            </w:r>
            <w:r>
              <w:rPr>
                <w:rFonts w:hint="eastAsia" w:asciiTheme="majorEastAsia" w:hAnsiTheme="majorEastAsia" w:eastAsiaTheme="majorEastAsia" w:cstheme="majorEastAsia"/>
                <w:color w:val="auto"/>
                <w:kern w:val="0"/>
                <w:sz w:val="21"/>
                <w:szCs w:val="21"/>
                <w:highlight w:val="none"/>
                <w:lang w:val="en-US" w:eastAsia="zh-CN"/>
              </w:rPr>
              <w:t>12</w:t>
            </w:r>
            <w:r>
              <w:rPr>
                <w:rFonts w:hint="eastAsia" w:asciiTheme="majorEastAsia" w:hAnsiTheme="majorEastAsia" w:eastAsiaTheme="majorEastAsia" w:cstheme="majorEastAsia"/>
                <w:color w:val="auto"/>
                <w:kern w:val="0"/>
                <w:sz w:val="21"/>
                <w:szCs w:val="21"/>
                <w:highlight w:val="none"/>
              </w:rPr>
              <w:t>月中国客车销量排行6米以上新能源客车的销量证明，</w:t>
            </w:r>
            <w:r>
              <w:rPr>
                <w:rFonts w:hint="eastAsia" w:asciiTheme="majorEastAsia" w:hAnsiTheme="majorEastAsia" w:eastAsiaTheme="majorEastAsia" w:cstheme="majorEastAsia"/>
                <w:color w:val="auto"/>
                <w:kern w:val="0"/>
                <w:sz w:val="21"/>
                <w:szCs w:val="21"/>
                <w:highlight w:val="none"/>
                <w:lang w:val="en-US" w:eastAsia="zh-CN"/>
              </w:rPr>
              <w:t>6辆</w:t>
            </w:r>
            <w:r>
              <w:rPr>
                <w:rFonts w:hint="default" w:ascii="Arial" w:hAnsi="Arial" w:cs="Arial" w:eastAsiaTheme="majorEastAsia"/>
                <w:color w:val="auto"/>
                <w:kern w:val="0"/>
                <w:sz w:val="21"/>
                <w:szCs w:val="21"/>
                <w:highlight w:val="none"/>
              </w:rPr>
              <w:t>≤</w:t>
            </w:r>
            <w:r>
              <w:rPr>
                <w:rFonts w:hint="eastAsia" w:asciiTheme="majorEastAsia" w:hAnsiTheme="majorEastAsia" w:eastAsiaTheme="majorEastAsia" w:cstheme="majorEastAsia"/>
                <w:color w:val="auto"/>
                <w:kern w:val="0"/>
                <w:sz w:val="21"/>
                <w:szCs w:val="21"/>
                <w:highlight w:val="none"/>
                <w:lang w:val="en-US" w:eastAsia="zh-CN"/>
              </w:rPr>
              <w:t>销量</w:t>
            </w:r>
            <w:r>
              <w:rPr>
                <w:rFonts w:hint="default" w:ascii="Arial" w:hAnsi="Arial" w:cs="Arial" w:eastAsiaTheme="majorEastAsia"/>
                <w:color w:val="auto"/>
                <w:kern w:val="0"/>
                <w:sz w:val="21"/>
                <w:szCs w:val="21"/>
                <w:highlight w:val="none"/>
                <w:lang w:val="en-US" w:eastAsia="zh-CN"/>
              </w:rPr>
              <w:t>≤</w:t>
            </w:r>
            <w:r>
              <w:rPr>
                <w:rFonts w:hint="eastAsia" w:asciiTheme="majorEastAsia" w:hAnsiTheme="majorEastAsia" w:eastAsiaTheme="majorEastAsia" w:cstheme="majorEastAsia"/>
                <w:color w:val="auto"/>
                <w:kern w:val="0"/>
                <w:sz w:val="21"/>
                <w:szCs w:val="21"/>
                <w:highlight w:val="none"/>
                <w:lang w:val="en-US" w:eastAsia="zh-CN"/>
              </w:rPr>
              <w:t>1000辆得2分；1000辆</w:t>
            </w:r>
            <w:r>
              <w:rPr>
                <w:rFonts w:hint="eastAsia" w:ascii="宋体" w:hAnsi="宋体" w:eastAsia="宋体" w:cs="宋体"/>
                <w:color w:val="auto"/>
                <w:kern w:val="0"/>
                <w:sz w:val="21"/>
                <w:szCs w:val="21"/>
                <w:highlight w:val="none"/>
                <w:lang w:val="en-US" w:eastAsia="zh-CN"/>
              </w:rPr>
              <w:t>&lt;</w:t>
            </w:r>
            <w:r>
              <w:rPr>
                <w:rFonts w:hint="eastAsia" w:asciiTheme="majorEastAsia" w:hAnsiTheme="majorEastAsia" w:eastAsiaTheme="majorEastAsia" w:cstheme="majorEastAsia"/>
                <w:color w:val="auto"/>
                <w:kern w:val="0"/>
                <w:sz w:val="21"/>
                <w:szCs w:val="21"/>
                <w:highlight w:val="none"/>
                <w:lang w:val="en-US" w:eastAsia="zh-CN"/>
              </w:rPr>
              <w:t>销量</w:t>
            </w:r>
            <w:r>
              <w:rPr>
                <w:rFonts w:hint="default" w:ascii="Arial" w:hAnsi="Arial" w:cs="Arial" w:eastAsiaTheme="majorEastAsia"/>
                <w:color w:val="auto"/>
                <w:kern w:val="0"/>
                <w:sz w:val="21"/>
                <w:szCs w:val="21"/>
                <w:highlight w:val="none"/>
                <w:lang w:val="en-US" w:eastAsia="zh-CN"/>
              </w:rPr>
              <w:t>≤</w:t>
            </w:r>
            <w:r>
              <w:rPr>
                <w:rFonts w:hint="eastAsia" w:asciiTheme="majorEastAsia" w:hAnsiTheme="majorEastAsia" w:eastAsiaTheme="majorEastAsia" w:cstheme="majorEastAsia"/>
                <w:color w:val="auto"/>
                <w:kern w:val="0"/>
                <w:sz w:val="21"/>
                <w:szCs w:val="21"/>
                <w:highlight w:val="none"/>
                <w:lang w:val="en-US" w:eastAsia="zh-CN"/>
              </w:rPr>
              <w:t>2</w:t>
            </w:r>
            <w:r>
              <w:rPr>
                <w:rFonts w:hint="eastAsia" w:asciiTheme="majorEastAsia" w:hAnsiTheme="majorEastAsia" w:eastAsiaTheme="majorEastAsia" w:cstheme="majorEastAsia"/>
                <w:color w:val="auto"/>
                <w:kern w:val="0"/>
                <w:sz w:val="21"/>
                <w:szCs w:val="21"/>
                <w:highlight w:val="none"/>
              </w:rPr>
              <w:t>000辆得</w:t>
            </w:r>
            <w:r>
              <w:rPr>
                <w:rFonts w:hint="eastAsia" w:asciiTheme="majorEastAsia" w:hAnsiTheme="majorEastAsia" w:eastAsiaTheme="majorEastAsia" w:cstheme="majorEastAsia"/>
                <w:color w:val="auto"/>
                <w:kern w:val="0"/>
                <w:sz w:val="21"/>
                <w:szCs w:val="21"/>
                <w:highlight w:val="none"/>
                <w:lang w:val="en-US" w:eastAsia="zh-CN"/>
              </w:rPr>
              <w:t>3</w:t>
            </w:r>
            <w:r>
              <w:rPr>
                <w:rFonts w:hint="eastAsia" w:asciiTheme="majorEastAsia" w:hAnsiTheme="majorEastAsia" w:eastAsiaTheme="majorEastAsia" w:cstheme="majorEastAsia"/>
                <w:color w:val="auto"/>
                <w:kern w:val="0"/>
                <w:sz w:val="21"/>
                <w:szCs w:val="21"/>
                <w:highlight w:val="none"/>
              </w:rPr>
              <w:t>分</w:t>
            </w:r>
            <w:r>
              <w:rPr>
                <w:rFonts w:hint="eastAsia" w:asciiTheme="majorEastAsia" w:hAnsiTheme="majorEastAsia" w:eastAsiaTheme="majorEastAsia" w:cstheme="majorEastAsia"/>
                <w:color w:val="auto"/>
                <w:kern w:val="0"/>
                <w:sz w:val="21"/>
                <w:szCs w:val="21"/>
                <w:highlight w:val="none"/>
                <w:lang w:eastAsia="zh-CN"/>
              </w:rPr>
              <w:t>；</w:t>
            </w:r>
            <w:r>
              <w:rPr>
                <w:rFonts w:hint="eastAsia" w:asciiTheme="majorEastAsia" w:hAnsiTheme="majorEastAsia" w:eastAsiaTheme="majorEastAsia" w:cstheme="majorEastAsia"/>
                <w:color w:val="auto"/>
                <w:kern w:val="0"/>
                <w:sz w:val="21"/>
                <w:szCs w:val="21"/>
                <w:highlight w:val="none"/>
                <w:lang w:val="en-US" w:eastAsia="zh-CN"/>
              </w:rPr>
              <w:t>2000辆</w:t>
            </w:r>
            <w:r>
              <w:rPr>
                <w:rFonts w:hint="eastAsia" w:ascii="宋体" w:hAnsi="宋体" w:eastAsia="宋体" w:cs="宋体"/>
                <w:color w:val="auto"/>
                <w:kern w:val="0"/>
                <w:sz w:val="21"/>
                <w:szCs w:val="21"/>
                <w:highlight w:val="none"/>
                <w:lang w:val="en-US" w:eastAsia="zh-CN"/>
              </w:rPr>
              <w:t>&lt;</w:t>
            </w:r>
            <w:r>
              <w:rPr>
                <w:rFonts w:hint="eastAsia" w:asciiTheme="majorEastAsia" w:hAnsiTheme="majorEastAsia" w:eastAsiaTheme="majorEastAsia" w:cstheme="majorEastAsia"/>
                <w:color w:val="auto"/>
                <w:kern w:val="0"/>
                <w:sz w:val="21"/>
                <w:szCs w:val="21"/>
                <w:highlight w:val="none"/>
                <w:lang w:val="en-US" w:eastAsia="zh-CN"/>
              </w:rPr>
              <w:t>销量</w:t>
            </w:r>
            <w:r>
              <w:rPr>
                <w:rFonts w:hint="default" w:ascii="Arial" w:hAnsi="Arial" w:cs="Arial" w:eastAsiaTheme="majorEastAsia"/>
                <w:color w:val="auto"/>
                <w:kern w:val="0"/>
                <w:sz w:val="21"/>
                <w:szCs w:val="21"/>
                <w:highlight w:val="none"/>
                <w:lang w:val="en-US" w:eastAsia="zh-CN"/>
              </w:rPr>
              <w:t>≤</w:t>
            </w:r>
            <w:r>
              <w:rPr>
                <w:rFonts w:hint="eastAsia" w:asciiTheme="majorEastAsia" w:hAnsiTheme="majorEastAsia" w:eastAsiaTheme="majorEastAsia" w:cstheme="majorEastAsia"/>
                <w:color w:val="auto"/>
                <w:kern w:val="0"/>
                <w:sz w:val="21"/>
                <w:szCs w:val="21"/>
                <w:highlight w:val="none"/>
                <w:lang w:val="en-US" w:eastAsia="zh-CN"/>
              </w:rPr>
              <w:t>3</w:t>
            </w:r>
            <w:r>
              <w:rPr>
                <w:rFonts w:hint="eastAsia" w:asciiTheme="majorEastAsia" w:hAnsiTheme="majorEastAsia" w:eastAsiaTheme="majorEastAsia" w:cstheme="majorEastAsia"/>
                <w:color w:val="auto"/>
                <w:kern w:val="0"/>
                <w:sz w:val="21"/>
                <w:szCs w:val="21"/>
                <w:highlight w:val="none"/>
              </w:rPr>
              <w:t>000辆得</w:t>
            </w:r>
            <w:r>
              <w:rPr>
                <w:rFonts w:hint="eastAsia" w:asciiTheme="majorEastAsia" w:hAnsiTheme="majorEastAsia" w:eastAsiaTheme="majorEastAsia" w:cstheme="majorEastAsia"/>
                <w:color w:val="auto"/>
                <w:kern w:val="0"/>
                <w:sz w:val="21"/>
                <w:szCs w:val="21"/>
                <w:highlight w:val="none"/>
                <w:lang w:val="en-US" w:eastAsia="zh-CN"/>
              </w:rPr>
              <w:t>4</w:t>
            </w:r>
            <w:r>
              <w:rPr>
                <w:rFonts w:hint="eastAsia" w:asciiTheme="majorEastAsia" w:hAnsiTheme="majorEastAsia" w:eastAsiaTheme="majorEastAsia" w:cstheme="majorEastAsia"/>
                <w:color w:val="auto"/>
                <w:kern w:val="0"/>
                <w:sz w:val="21"/>
                <w:szCs w:val="21"/>
                <w:highlight w:val="none"/>
              </w:rPr>
              <w:t>分</w:t>
            </w:r>
            <w:r>
              <w:rPr>
                <w:rFonts w:hint="eastAsia" w:asciiTheme="majorEastAsia" w:hAnsiTheme="majorEastAsia" w:eastAsiaTheme="majorEastAsia" w:cstheme="majorEastAsia"/>
                <w:color w:val="auto"/>
                <w:kern w:val="0"/>
                <w:sz w:val="21"/>
                <w:szCs w:val="21"/>
                <w:highlight w:val="none"/>
                <w:lang w:val="en-US" w:eastAsia="zh-CN"/>
              </w:rPr>
              <w:t>；销量</w:t>
            </w:r>
            <w:r>
              <w:rPr>
                <w:rFonts w:hint="eastAsia" w:ascii="宋体" w:hAnsi="宋体" w:eastAsia="宋体" w:cs="宋体"/>
                <w:color w:val="auto"/>
                <w:kern w:val="0"/>
                <w:sz w:val="21"/>
                <w:szCs w:val="21"/>
                <w:highlight w:val="none"/>
                <w:lang w:val="en-US" w:eastAsia="zh-CN"/>
              </w:rPr>
              <w:t>&gt;</w:t>
            </w:r>
            <w:r>
              <w:rPr>
                <w:rFonts w:hint="eastAsia" w:asciiTheme="majorEastAsia" w:hAnsiTheme="majorEastAsia" w:eastAsiaTheme="majorEastAsia" w:cstheme="majorEastAsia"/>
                <w:color w:val="auto"/>
                <w:kern w:val="0"/>
                <w:sz w:val="21"/>
                <w:szCs w:val="21"/>
                <w:highlight w:val="none"/>
              </w:rPr>
              <w:t>3000辆得</w:t>
            </w:r>
            <w:r>
              <w:rPr>
                <w:rFonts w:hint="eastAsia" w:asciiTheme="majorEastAsia" w:hAnsiTheme="majorEastAsia" w:eastAsiaTheme="majorEastAsia" w:cstheme="majorEastAsia"/>
                <w:color w:val="auto"/>
                <w:kern w:val="0"/>
                <w:sz w:val="21"/>
                <w:szCs w:val="21"/>
                <w:highlight w:val="none"/>
                <w:lang w:val="en-US" w:eastAsia="zh-CN"/>
              </w:rPr>
              <w:t>6</w:t>
            </w:r>
            <w:r>
              <w:rPr>
                <w:rFonts w:hint="eastAsia" w:asciiTheme="majorEastAsia" w:hAnsiTheme="majorEastAsia" w:eastAsiaTheme="majorEastAsia" w:cstheme="majorEastAsia"/>
                <w:color w:val="auto"/>
                <w:kern w:val="0"/>
                <w:sz w:val="21"/>
                <w:szCs w:val="21"/>
                <w:highlight w:val="none"/>
              </w:rPr>
              <w:t>分。</w:t>
            </w:r>
          </w:p>
          <w:p w14:paraId="66CD2009">
            <w:pPr>
              <w:keepNext w:val="0"/>
              <w:keepLines w:val="0"/>
              <w:pageBreakBefore w:val="0"/>
              <w:kinsoku/>
              <w:wordWrap/>
              <w:overflowPunct/>
              <w:topLinePunct w:val="0"/>
              <w:autoSpaceDE/>
              <w:autoSpaceDN/>
              <w:bidi w:val="0"/>
              <w:adjustRightInd/>
              <w:snapToGrid/>
              <w:spacing w:line="440" w:lineRule="exact"/>
              <w:ind w:firstLine="0" w:firstLineChars="0"/>
              <w:jc w:val="left"/>
              <w:textAlignment w:val="baseline"/>
              <w:rPr>
                <w:rFonts w:hint="eastAsia" w:asciiTheme="majorEastAsia" w:hAnsiTheme="majorEastAsia" w:eastAsiaTheme="majorEastAsia" w:cstheme="majorEastAsia"/>
                <w:color w:val="auto"/>
                <w:kern w:val="0"/>
                <w:sz w:val="21"/>
                <w:szCs w:val="21"/>
                <w:highlight w:val="none"/>
              </w:rPr>
            </w:pPr>
            <w:r>
              <w:rPr>
                <w:rFonts w:hint="eastAsia" w:asciiTheme="majorEastAsia" w:hAnsiTheme="majorEastAsia" w:eastAsiaTheme="majorEastAsia" w:cstheme="majorEastAsia"/>
                <w:color w:val="auto"/>
                <w:kern w:val="0"/>
                <w:sz w:val="21"/>
                <w:szCs w:val="21"/>
                <w:highlight w:val="yellow"/>
              </w:rPr>
              <w:t>注：提供中国汽车工业协会发布</w:t>
            </w:r>
            <w:r>
              <w:rPr>
                <w:rFonts w:hint="eastAsia" w:asciiTheme="majorEastAsia" w:hAnsiTheme="majorEastAsia" w:eastAsiaTheme="majorEastAsia" w:cstheme="majorEastAsia"/>
                <w:color w:val="auto"/>
                <w:kern w:val="0"/>
                <w:sz w:val="21"/>
                <w:szCs w:val="21"/>
                <w:highlight w:val="yellow"/>
                <w:lang w:eastAsia="zh-CN"/>
              </w:rPr>
              <w:t>的</w:t>
            </w:r>
            <w:r>
              <w:rPr>
                <w:rFonts w:hint="eastAsia" w:asciiTheme="majorEastAsia" w:hAnsiTheme="majorEastAsia" w:eastAsiaTheme="majorEastAsia" w:cstheme="majorEastAsia"/>
                <w:color w:val="auto"/>
                <w:kern w:val="0"/>
                <w:sz w:val="21"/>
                <w:szCs w:val="21"/>
                <w:highlight w:val="yellow"/>
              </w:rPr>
              <w:t>2025年客车（含非完整车辆）分车型销量和排名证明。</w:t>
            </w:r>
          </w:p>
        </w:tc>
      </w:tr>
      <w:tr w14:paraId="0BE23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2" w:hRule="atLeast"/>
          <w:tblHeader/>
          <w:jc w:val="center"/>
        </w:trPr>
        <w:tc>
          <w:tcPr>
            <w:tcW w:w="1212" w:type="dxa"/>
            <w:gridSpan w:val="2"/>
            <w:vMerge w:val="restart"/>
            <w:vAlign w:val="center"/>
          </w:tcPr>
          <w:p w14:paraId="28C2EC63">
            <w:pPr>
              <w:widowControl/>
              <w:spacing w:line="440" w:lineRule="exact"/>
              <w:ind w:firstLine="0" w:firstLineChars="0"/>
              <w:jc w:val="center"/>
              <w:rPr>
                <w:rFonts w:hint="eastAsia" w:ascii="宋体" w:hAnsi="宋体" w:cs="宋体"/>
                <w:color w:val="auto"/>
                <w:szCs w:val="21"/>
                <w:highlight w:val="none"/>
              </w:rPr>
            </w:pPr>
            <w:r>
              <w:rPr>
                <w:rFonts w:hint="eastAsia" w:ascii="宋体" w:hAnsi="宋体" w:cs="宋体"/>
                <w:color w:val="auto"/>
                <w:szCs w:val="21"/>
                <w:highlight w:val="none"/>
              </w:rPr>
              <w:t>2.2.3</w:t>
            </w:r>
          </w:p>
        </w:tc>
        <w:tc>
          <w:tcPr>
            <w:tcW w:w="1566" w:type="dxa"/>
            <w:vMerge w:val="restart"/>
            <w:vAlign w:val="center"/>
          </w:tcPr>
          <w:p w14:paraId="3FBFD6E1">
            <w:pPr>
              <w:spacing w:line="440" w:lineRule="exact"/>
              <w:ind w:firstLine="0" w:firstLineChars="0"/>
              <w:jc w:val="center"/>
              <w:textAlignment w:val="baseline"/>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生产企业实力</w:t>
            </w:r>
          </w:p>
          <w:p w14:paraId="1BD1285C">
            <w:pPr>
              <w:spacing w:line="440" w:lineRule="exact"/>
              <w:ind w:firstLine="0" w:firstLineChars="0"/>
              <w:jc w:val="center"/>
              <w:textAlignment w:val="baseline"/>
              <w:rPr>
                <w:rFonts w:hint="eastAsia" w:ascii="宋体" w:hAnsi="宋体" w:cs="宋体"/>
                <w:color w:val="auto"/>
                <w:kern w:val="0"/>
                <w:szCs w:val="21"/>
                <w:highlight w:val="none"/>
              </w:rPr>
            </w:pPr>
            <w:r>
              <w:rPr>
                <w:rFonts w:hint="eastAsia" w:ascii="宋体" w:hAnsi="宋体" w:cs="宋体"/>
                <w:b/>
                <w:bCs/>
                <w:color w:val="auto"/>
                <w:kern w:val="0"/>
                <w:szCs w:val="21"/>
                <w:highlight w:val="none"/>
              </w:rPr>
              <w:t>（满分4分）</w:t>
            </w:r>
          </w:p>
        </w:tc>
        <w:tc>
          <w:tcPr>
            <w:tcW w:w="6058" w:type="dxa"/>
          </w:tcPr>
          <w:p w14:paraId="52EBD677">
            <w:pPr>
              <w:keepNext w:val="0"/>
              <w:keepLines w:val="0"/>
              <w:pageBreakBefore w:val="0"/>
              <w:kinsoku/>
              <w:wordWrap/>
              <w:overflowPunct/>
              <w:topLinePunct w:val="0"/>
              <w:autoSpaceDE/>
              <w:autoSpaceDN/>
              <w:bidi w:val="0"/>
              <w:adjustRightInd/>
              <w:snapToGrid/>
              <w:spacing w:line="440" w:lineRule="exact"/>
              <w:ind w:firstLine="0" w:firstLineChars="0"/>
              <w:jc w:val="left"/>
              <w:textAlignment w:val="baseline"/>
              <w:rPr>
                <w:rFonts w:hint="eastAsia" w:asciiTheme="majorEastAsia" w:hAnsiTheme="majorEastAsia" w:eastAsiaTheme="majorEastAsia" w:cstheme="majorEastAsia"/>
                <w:color w:val="auto"/>
                <w:kern w:val="0"/>
                <w:sz w:val="21"/>
                <w:szCs w:val="21"/>
                <w:highlight w:val="none"/>
              </w:rPr>
            </w:pPr>
            <w:r>
              <w:rPr>
                <w:rFonts w:hint="eastAsia" w:asciiTheme="majorEastAsia" w:hAnsiTheme="majorEastAsia" w:eastAsiaTheme="majorEastAsia" w:cstheme="majorEastAsia"/>
                <w:color w:val="auto"/>
                <w:kern w:val="0"/>
                <w:sz w:val="21"/>
                <w:szCs w:val="21"/>
                <w:highlight w:val="none"/>
              </w:rPr>
              <w:t>1、投标人所投品牌生产制造商拥有先进的客车实验能力，具有国家认可实验室的得2分；实验能力获得地方认可或认证的得1分（提供证明材料，未提供资料或提供不符合要求均不得分）</w:t>
            </w:r>
          </w:p>
        </w:tc>
      </w:tr>
      <w:tr w14:paraId="43CCB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5" w:hRule="atLeast"/>
          <w:tblHeader/>
          <w:jc w:val="center"/>
        </w:trPr>
        <w:tc>
          <w:tcPr>
            <w:tcW w:w="1212" w:type="dxa"/>
            <w:gridSpan w:val="2"/>
            <w:vMerge w:val="continue"/>
            <w:vAlign w:val="center"/>
          </w:tcPr>
          <w:p w14:paraId="61617363">
            <w:pPr>
              <w:widowControl/>
              <w:spacing w:line="440" w:lineRule="exact"/>
              <w:ind w:firstLine="0" w:firstLineChars="0"/>
              <w:jc w:val="center"/>
              <w:rPr>
                <w:rFonts w:hint="eastAsia" w:ascii="宋体" w:hAnsi="宋体" w:cs="宋体"/>
                <w:color w:val="auto"/>
                <w:szCs w:val="21"/>
                <w:highlight w:val="none"/>
              </w:rPr>
            </w:pPr>
          </w:p>
        </w:tc>
        <w:tc>
          <w:tcPr>
            <w:tcW w:w="1566" w:type="dxa"/>
            <w:vMerge w:val="continue"/>
            <w:vAlign w:val="center"/>
          </w:tcPr>
          <w:p w14:paraId="4A5A23AA">
            <w:pPr>
              <w:spacing w:line="440" w:lineRule="exact"/>
              <w:ind w:firstLine="0" w:firstLineChars="0"/>
              <w:jc w:val="center"/>
              <w:textAlignment w:val="baseline"/>
              <w:rPr>
                <w:rFonts w:hint="eastAsia" w:ascii="宋体" w:hAnsi="宋体" w:cs="宋体"/>
                <w:color w:val="auto"/>
                <w:kern w:val="0"/>
                <w:szCs w:val="21"/>
                <w:highlight w:val="none"/>
              </w:rPr>
            </w:pPr>
          </w:p>
        </w:tc>
        <w:tc>
          <w:tcPr>
            <w:tcW w:w="6058" w:type="dxa"/>
          </w:tcPr>
          <w:p w14:paraId="32FC9CD6">
            <w:pPr>
              <w:keepNext w:val="0"/>
              <w:keepLines w:val="0"/>
              <w:pageBreakBefore w:val="0"/>
              <w:kinsoku/>
              <w:wordWrap/>
              <w:overflowPunct/>
              <w:topLinePunct w:val="0"/>
              <w:autoSpaceDE/>
              <w:autoSpaceDN/>
              <w:bidi w:val="0"/>
              <w:adjustRightInd/>
              <w:snapToGrid/>
              <w:spacing w:line="440" w:lineRule="exact"/>
              <w:ind w:firstLine="0" w:firstLineChars="0"/>
              <w:jc w:val="left"/>
              <w:textAlignment w:val="baseline"/>
              <w:rPr>
                <w:rFonts w:hint="eastAsia" w:asciiTheme="majorEastAsia" w:hAnsiTheme="majorEastAsia" w:eastAsiaTheme="majorEastAsia" w:cstheme="majorEastAsia"/>
                <w:color w:val="auto"/>
                <w:kern w:val="0"/>
                <w:sz w:val="21"/>
                <w:szCs w:val="21"/>
                <w:highlight w:val="none"/>
              </w:rPr>
            </w:pPr>
            <w:r>
              <w:rPr>
                <w:rFonts w:hint="eastAsia" w:asciiTheme="majorEastAsia" w:hAnsiTheme="majorEastAsia" w:eastAsiaTheme="majorEastAsia" w:cstheme="majorEastAsia"/>
                <w:color w:val="auto"/>
                <w:kern w:val="0"/>
                <w:sz w:val="21"/>
                <w:szCs w:val="21"/>
                <w:highlight w:val="none"/>
              </w:rPr>
              <w:t>2、投标人所投品牌生产制造商具有的有效期内的ISO9001质量管理体系、ISO14001环境管理体系、IATF16949:2016汽车质量管理体系，ISO45001 职业健康安全管理体系认证证书，四证齐全的得2分，有一项证书不满足扣0.5分，扣完为止。（提供证明材料，未提供不得分）</w:t>
            </w:r>
          </w:p>
        </w:tc>
      </w:tr>
      <w:tr w14:paraId="3E792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1212" w:type="dxa"/>
            <w:gridSpan w:val="2"/>
            <w:vMerge w:val="restart"/>
            <w:vAlign w:val="center"/>
          </w:tcPr>
          <w:p w14:paraId="0804381C">
            <w:pPr>
              <w:widowControl/>
              <w:spacing w:line="440" w:lineRule="exact"/>
              <w:ind w:firstLine="0" w:firstLineChars="0"/>
              <w:jc w:val="center"/>
              <w:rPr>
                <w:rFonts w:hint="eastAsia" w:ascii="宋体" w:hAnsi="宋体" w:cs="宋体"/>
                <w:color w:val="auto"/>
                <w:szCs w:val="21"/>
                <w:highlight w:val="none"/>
              </w:rPr>
            </w:pPr>
            <w:r>
              <w:rPr>
                <w:rFonts w:hint="eastAsia" w:ascii="宋体" w:hAnsi="宋体" w:cs="宋体"/>
                <w:color w:val="auto"/>
                <w:szCs w:val="21"/>
                <w:highlight w:val="none"/>
              </w:rPr>
              <w:t>2.2.4</w:t>
            </w:r>
          </w:p>
        </w:tc>
        <w:tc>
          <w:tcPr>
            <w:tcW w:w="1566" w:type="dxa"/>
            <w:vMerge w:val="restart"/>
            <w:vAlign w:val="center"/>
          </w:tcPr>
          <w:p w14:paraId="03D2F0BD">
            <w:pPr>
              <w:spacing w:line="440" w:lineRule="exact"/>
              <w:ind w:firstLine="0" w:firstLineChars="0"/>
              <w:jc w:val="center"/>
              <w:textAlignment w:val="baseline"/>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综合服务能力</w:t>
            </w:r>
          </w:p>
          <w:p w14:paraId="033F1F29">
            <w:pPr>
              <w:spacing w:line="440" w:lineRule="exact"/>
              <w:ind w:firstLine="0" w:firstLineChars="0"/>
              <w:jc w:val="center"/>
              <w:textAlignment w:val="baseline"/>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（满分</w:t>
            </w:r>
            <w:r>
              <w:rPr>
                <w:rFonts w:hint="eastAsia" w:ascii="宋体" w:hAnsi="宋体" w:cs="宋体"/>
                <w:b/>
                <w:bCs/>
                <w:color w:val="auto"/>
                <w:kern w:val="0"/>
                <w:szCs w:val="21"/>
                <w:highlight w:val="none"/>
                <w:lang w:val="en-US" w:eastAsia="zh-CN"/>
              </w:rPr>
              <w:t>27</w:t>
            </w:r>
            <w:r>
              <w:rPr>
                <w:rFonts w:hint="eastAsia" w:ascii="宋体" w:hAnsi="宋体" w:cs="宋体"/>
                <w:b/>
                <w:bCs/>
                <w:color w:val="auto"/>
                <w:kern w:val="0"/>
                <w:szCs w:val="21"/>
                <w:highlight w:val="none"/>
              </w:rPr>
              <w:t>分）</w:t>
            </w:r>
          </w:p>
        </w:tc>
        <w:tc>
          <w:tcPr>
            <w:tcW w:w="6058" w:type="dxa"/>
          </w:tcPr>
          <w:p w14:paraId="3AF93649">
            <w:pPr>
              <w:keepNext w:val="0"/>
              <w:keepLines w:val="0"/>
              <w:pageBreakBefore w:val="0"/>
              <w:kinsoku/>
              <w:wordWrap/>
              <w:overflowPunct/>
              <w:topLinePunct w:val="0"/>
              <w:autoSpaceDE/>
              <w:autoSpaceDN/>
              <w:bidi w:val="0"/>
              <w:adjustRightInd/>
              <w:snapToGrid/>
              <w:spacing w:line="440" w:lineRule="exact"/>
              <w:ind w:firstLine="0" w:firstLineChars="0"/>
              <w:jc w:val="left"/>
              <w:textAlignment w:val="baseline"/>
              <w:rPr>
                <w:rFonts w:hint="eastAsia" w:asciiTheme="majorEastAsia" w:hAnsiTheme="majorEastAsia" w:eastAsiaTheme="majorEastAsia" w:cstheme="majorEastAsia"/>
                <w:color w:val="auto"/>
                <w:kern w:val="0"/>
                <w:sz w:val="21"/>
                <w:szCs w:val="21"/>
                <w:highlight w:val="none"/>
              </w:rPr>
            </w:pPr>
            <w:r>
              <w:rPr>
                <w:rFonts w:hint="eastAsia" w:asciiTheme="majorEastAsia" w:hAnsiTheme="majorEastAsia" w:eastAsiaTheme="majorEastAsia" w:cstheme="majorEastAsia"/>
                <w:b w:val="0"/>
                <w:bCs/>
                <w:color w:val="auto"/>
                <w:sz w:val="21"/>
                <w:szCs w:val="21"/>
                <w:highlight w:val="none"/>
              </w:rPr>
              <w:t>1.综合比较在</w:t>
            </w:r>
            <w:r>
              <w:rPr>
                <w:rFonts w:hint="eastAsia" w:asciiTheme="majorEastAsia" w:hAnsiTheme="majorEastAsia" w:eastAsiaTheme="majorEastAsia" w:cstheme="majorEastAsia"/>
                <w:b w:val="0"/>
                <w:bCs/>
                <w:color w:val="auto"/>
                <w:sz w:val="21"/>
                <w:szCs w:val="21"/>
                <w:highlight w:val="none"/>
                <w:lang w:val="en-US" w:eastAsia="zh-CN"/>
              </w:rPr>
              <w:t>全国</w:t>
            </w:r>
            <w:r>
              <w:rPr>
                <w:rFonts w:hint="eastAsia" w:asciiTheme="majorEastAsia" w:hAnsiTheme="majorEastAsia" w:eastAsiaTheme="majorEastAsia" w:cstheme="majorEastAsia"/>
                <w:b w:val="0"/>
                <w:bCs/>
                <w:color w:val="auto"/>
                <w:sz w:val="21"/>
                <w:szCs w:val="21"/>
                <w:highlight w:val="none"/>
              </w:rPr>
              <w:t>曾经使用过的公交、公路车辆的稳定性、故障率、合同履约、售后服务、车辆交货期等情况，至少提交4家使用企业证明材料，按以下四个档次进行打分：较优得</w:t>
            </w:r>
            <w:r>
              <w:rPr>
                <w:rFonts w:hint="eastAsia" w:asciiTheme="majorEastAsia" w:hAnsiTheme="majorEastAsia" w:eastAsiaTheme="majorEastAsia" w:cstheme="majorEastAsia"/>
                <w:b w:val="0"/>
                <w:bCs/>
                <w:color w:val="auto"/>
                <w:sz w:val="21"/>
                <w:szCs w:val="21"/>
                <w:highlight w:val="none"/>
                <w:lang w:val="en-US" w:eastAsia="zh-CN"/>
              </w:rPr>
              <w:t>4</w:t>
            </w:r>
            <w:r>
              <w:rPr>
                <w:rFonts w:hint="eastAsia" w:asciiTheme="majorEastAsia" w:hAnsiTheme="majorEastAsia" w:eastAsiaTheme="majorEastAsia" w:cstheme="majorEastAsia"/>
                <w:b w:val="0"/>
                <w:bCs/>
                <w:color w:val="auto"/>
                <w:sz w:val="21"/>
                <w:szCs w:val="21"/>
                <w:highlight w:val="none"/>
              </w:rPr>
              <w:t>分，优良得3分，一般得2分，差或没有提供4家以上相关证明材料的不得分。（满分</w:t>
            </w:r>
            <w:r>
              <w:rPr>
                <w:rFonts w:hint="eastAsia" w:asciiTheme="majorEastAsia" w:hAnsiTheme="majorEastAsia" w:eastAsiaTheme="majorEastAsia" w:cstheme="majorEastAsia"/>
                <w:b w:val="0"/>
                <w:bCs/>
                <w:color w:val="auto"/>
                <w:sz w:val="21"/>
                <w:szCs w:val="21"/>
                <w:highlight w:val="none"/>
                <w:lang w:val="en-US" w:eastAsia="zh-CN"/>
              </w:rPr>
              <w:t>4</w:t>
            </w:r>
            <w:r>
              <w:rPr>
                <w:rFonts w:hint="eastAsia" w:asciiTheme="majorEastAsia" w:hAnsiTheme="majorEastAsia" w:eastAsiaTheme="majorEastAsia" w:cstheme="majorEastAsia"/>
                <w:b w:val="0"/>
                <w:bCs/>
                <w:color w:val="auto"/>
                <w:sz w:val="21"/>
                <w:szCs w:val="21"/>
                <w:highlight w:val="none"/>
              </w:rPr>
              <w:t>分）</w:t>
            </w:r>
          </w:p>
        </w:tc>
      </w:tr>
      <w:tr w14:paraId="1E182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6" w:hRule="atLeast"/>
          <w:tblHeader/>
          <w:jc w:val="center"/>
        </w:trPr>
        <w:tc>
          <w:tcPr>
            <w:tcW w:w="1212" w:type="dxa"/>
            <w:gridSpan w:val="2"/>
            <w:vMerge w:val="continue"/>
            <w:vAlign w:val="center"/>
          </w:tcPr>
          <w:p w14:paraId="382220FA">
            <w:pPr>
              <w:widowControl/>
              <w:spacing w:line="440" w:lineRule="exact"/>
              <w:ind w:firstLine="0" w:firstLineChars="0"/>
              <w:jc w:val="center"/>
              <w:rPr>
                <w:rFonts w:hint="eastAsia" w:ascii="宋体" w:hAnsi="宋体" w:cs="宋体"/>
                <w:color w:val="auto"/>
                <w:szCs w:val="21"/>
                <w:highlight w:val="none"/>
              </w:rPr>
            </w:pPr>
          </w:p>
        </w:tc>
        <w:tc>
          <w:tcPr>
            <w:tcW w:w="1566" w:type="dxa"/>
            <w:vMerge w:val="continue"/>
            <w:vAlign w:val="center"/>
          </w:tcPr>
          <w:p w14:paraId="76D3BE36">
            <w:pPr>
              <w:spacing w:line="440" w:lineRule="exact"/>
              <w:ind w:firstLine="0" w:firstLineChars="0"/>
              <w:jc w:val="center"/>
              <w:textAlignment w:val="baseline"/>
              <w:rPr>
                <w:rFonts w:hint="eastAsia" w:ascii="宋体" w:hAnsi="宋体" w:cs="宋体"/>
                <w:color w:val="auto"/>
                <w:kern w:val="0"/>
                <w:szCs w:val="21"/>
                <w:highlight w:val="none"/>
              </w:rPr>
            </w:pPr>
          </w:p>
        </w:tc>
        <w:tc>
          <w:tcPr>
            <w:tcW w:w="6058" w:type="dxa"/>
          </w:tcPr>
          <w:p w14:paraId="45A378B6">
            <w:pPr>
              <w:keepNext w:val="0"/>
              <w:keepLines w:val="0"/>
              <w:pageBreakBefore w:val="0"/>
              <w:kinsoku/>
              <w:wordWrap/>
              <w:overflowPunct/>
              <w:topLinePunct w:val="0"/>
              <w:autoSpaceDE/>
              <w:autoSpaceDN/>
              <w:bidi w:val="0"/>
              <w:adjustRightInd/>
              <w:snapToGrid/>
              <w:spacing w:line="440" w:lineRule="exact"/>
              <w:ind w:firstLine="0" w:firstLineChars="0"/>
              <w:jc w:val="left"/>
              <w:textAlignment w:val="baseline"/>
              <w:rPr>
                <w:rFonts w:hint="eastAsia" w:asciiTheme="majorEastAsia" w:hAnsiTheme="majorEastAsia" w:eastAsiaTheme="majorEastAsia" w:cstheme="majorEastAsia"/>
                <w:color w:val="auto"/>
                <w:kern w:val="0"/>
                <w:sz w:val="21"/>
                <w:szCs w:val="21"/>
                <w:highlight w:val="none"/>
              </w:rPr>
            </w:pPr>
            <w:r>
              <w:rPr>
                <w:rFonts w:hint="eastAsia" w:asciiTheme="majorEastAsia" w:hAnsiTheme="majorEastAsia" w:eastAsiaTheme="majorEastAsia" w:cstheme="majorEastAsia"/>
                <w:b w:val="0"/>
                <w:bCs/>
                <w:color w:val="auto"/>
                <w:sz w:val="21"/>
                <w:szCs w:val="21"/>
                <w:highlight w:val="none"/>
              </w:rPr>
              <w:t>2.</w:t>
            </w:r>
            <w:r>
              <w:rPr>
                <w:rFonts w:hint="eastAsia" w:asciiTheme="majorEastAsia" w:hAnsiTheme="majorEastAsia" w:eastAsiaTheme="majorEastAsia" w:cstheme="majorEastAsia"/>
                <w:b w:val="0"/>
                <w:bCs/>
                <w:color w:val="auto"/>
                <w:sz w:val="21"/>
                <w:szCs w:val="21"/>
                <w:highlight w:val="none"/>
                <w:lang w:eastAsia="zh-CN"/>
              </w:rPr>
              <w:t>根据投标车辆制造商售后服务体系完善程度评分：获得售后服务能力持续有效验证十二星级及以上认证的，得</w:t>
            </w:r>
            <w:r>
              <w:rPr>
                <w:rFonts w:hint="eastAsia" w:asciiTheme="majorEastAsia" w:hAnsiTheme="majorEastAsia" w:eastAsiaTheme="majorEastAsia" w:cstheme="majorEastAsia"/>
                <w:b w:val="0"/>
                <w:bCs/>
                <w:color w:val="auto"/>
                <w:sz w:val="21"/>
                <w:szCs w:val="21"/>
                <w:highlight w:val="none"/>
                <w:lang w:val="en-US" w:eastAsia="zh-CN"/>
              </w:rPr>
              <w:t>3</w:t>
            </w:r>
            <w:r>
              <w:rPr>
                <w:rFonts w:hint="eastAsia" w:asciiTheme="majorEastAsia" w:hAnsiTheme="majorEastAsia" w:eastAsiaTheme="majorEastAsia" w:cstheme="majorEastAsia"/>
                <w:b w:val="0"/>
                <w:bCs/>
                <w:color w:val="auto"/>
                <w:sz w:val="21"/>
                <w:szCs w:val="21"/>
                <w:highlight w:val="none"/>
                <w:lang w:eastAsia="zh-CN"/>
              </w:rPr>
              <w:t>分；获得七星级认证的，得</w:t>
            </w:r>
            <w:r>
              <w:rPr>
                <w:rFonts w:hint="eastAsia" w:asciiTheme="majorEastAsia" w:hAnsiTheme="majorEastAsia" w:eastAsiaTheme="majorEastAsia" w:cstheme="majorEastAsia"/>
                <w:b w:val="0"/>
                <w:bCs/>
                <w:color w:val="auto"/>
                <w:sz w:val="21"/>
                <w:szCs w:val="21"/>
                <w:highlight w:val="none"/>
                <w:lang w:val="en-US" w:eastAsia="zh-CN"/>
              </w:rPr>
              <w:t>2</w:t>
            </w:r>
            <w:r>
              <w:rPr>
                <w:rFonts w:hint="eastAsia" w:asciiTheme="majorEastAsia" w:hAnsiTheme="majorEastAsia" w:eastAsiaTheme="majorEastAsia" w:cstheme="majorEastAsia"/>
                <w:b w:val="0"/>
                <w:bCs/>
                <w:color w:val="auto"/>
                <w:sz w:val="21"/>
                <w:szCs w:val="21"/>
                <w:highlight w:val="none"/>
                <w:lang w:eastAsia="zh-CN"/>
              </w:rPr>
              <w:t>分；获得五星级认证的，得</w:t>
            </w:r>
            <w:r>
              <w:rPr>
                <w:rFonts w:hint="eastAsia" w:asciiTheme="majorEastAsia" w:hAnsiTheme="majorEastAsia" w:eastAsiaTheme="majorEastAsia" w:cstheme="majorEastAsia"/>
                <w:b w:val="0"/>
                <w:bCs/>
                <w:color w:val="auto"/>
                <w:sz w:val="21"/>
                <w:szCs w:val="21"/>
                <w:highlight w:val="none"/>
                <w:lang w:val="en-US" w:eastAsia="zh-CN"/>
              </w:rPr>
              <w:t>1</w:t>
            </w:r>
            <w:r>
              <w:rPr>
                <w:rFonts w:hint="eastAsia" w:asciiTheme="majorEastAsia" w:hAnsiTheme="majorEastAsia" w:eastAsiaTheme="majorEastAsia" w:cstheme="majorEastAsia"/>
                <w:b w:val="0"/>
                <w:bCs/>
                <w:color w:val="auto"/>
                <w:sz w:val="21"/>
                <w:szCs w:val="21"/>
                <w:highlight w:val="none"/>
                <w:lang w:eastAsia="zh-CN"/>
              </w:rPr>
              <w:t>分。</w:t>
            </w:r>
            <w:r>
              <w:rPr>
                <w:rFonts w:hint="eastAsia" w:asciiTheme="majorEastAsia" w:hAnsiTheme="majorEastAsia" w:eastAsiaTheme="majorEastAsia" w:cstheme="majorEastAsia"/>
                <w:b w:val="0"/>
                <w:bCs/>
                <w:color w:val="auto"/>
                <w:sz w:val="21"/>
                <w:szCs w:val="21"/>
                <w:highlight w:val="none"/>
              </w:rPr>
              <w:t>（满分</w:t>
            </w:r>
            <w:r>
              <w:rPr>
                <w:rFonts w:hint="eastAsia" w:asciiTheme="majorEastAsia" w:hAnsiTheme="majorEastAsia" w:eastAsiaTheme="majorEastAsia" w:cstheme="majorEastAsia"/>
                <w:b w:val="0"/>
                <w:bCs/>
                <w:color w:val="auto"/>
                <w:sz w:val="21"/>
                <w:szCs w:val="21"/>
                <w:highlight w:val="none"/>
                <w:lang w:val="en-US" w:eastAsia="zh-CN"/>
              </w:rPr>
              <w:t>3</w:t>
            </w:r>
            <w:r>
              <w:rPr>
                <w:rFonts w:hint="eastAsia" w:asciiTheme="majorEastAsia" w:hAnsiTheme="majorEastAsia" w:eastAsiaTheme="majorEastAsia" w:cstheme="majorEastAsia"/>
                <w:b w:val="0"/>
                <w:bCs/>
                <w:color w:val="auto"/>
                <w:sz w:val="21"/>
                <w:szCs w:val="21"/>
                <w:highlight w:val="none"/>
              </w:rPr>
              <w:t>分）</w:t>
            </w:r>
          </w:p>
        </w:tc>
      </w:tr>
      <w:tr w14:paraId="376A7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1212" w:type="dxa"/>
            <w:gridSpan w:val="2"/>
            <w:vMerge w:val="continue"/>
            <w:vAlign w:val="center"/>
          </w:tcPr>
          <w:p w14:paraId="757D289B">
            <w:pPr>
              <w:widowControl/>
              <w:spacing w:line="440" w:lineRule="exact"/>
              <w:ind w:firstLine="0" w:firstLineChars="0"/>
              <w:jc w:val="center"/>
              <w:rPr>
                <w:rFonts w:hint="eastAsia" w:ascii="宋体" w:hAnsi="宋体" w:cs="宋体"/>
                <w:color w:val="auto"/>
                <w:szCs w:val="21"/>
                <w:highlight w:val="none"/>
              </w:rPr>
            </w:pPr>
          </w:p>
        </w:tc>
        <w:tc>
          <w:tcPr>
            <w:tcW w:w="1566" w:type="dxa"/>
            <w:vMerge w:val="continue"/>
            <w:vAlign w:val="center"/>
          </w:tcPr>
          <w:p w14:paraId="6A9811CD">
            <w:pPr>
              <w:spacing w:line="440" w:lineRule="exact"/>
              <w:ind w:firstLine="0" w:firstLineChars="0"/>
              <w:jc w:val="center"/>
              <w:textAlignment w:val="baseline"/>
              <w:rPr>
                <w:rFonts w:hint="eastAsia" w:ascii="宋体" w:hAnsi="宋体" w:cs="宋体"/>
                <w:color w:val="auto"/>
                <w:kern w:val="0"/>
                <w:szCs w:val="21"/>
                <w:highlight w:val="none"/>
              </w:rPr>
            </w:pPr>
          </w:p>
        </w:tc>
        <w:tc>
          <w:tcPr>
            <w:tcW w:w="6058" w:type="dxa"/>
          </w:tcPr>
          <w:p w14:paraId="7C7F4986">
            <w:pPr>
              <w:keepNext w:val="0"/>
              <w:keepLines w:val="0"/>
              <w:pageBreakBefore w:val="0"/>
              <w:kinsoku/>
              <w:wordWrap/>
              <w:overflowPunct/>
              <w:topLinePunct w:val="0"/>
              <w:autoSpaceDE/>
              <w:autoSpaceDN/>
              <w:bidi w:val="0"/>
              <w:adjustRightInd/>
              <w:snapToGrid/>
              <w:spacing w:line="440" w:lineRule="exact"/>
              <w:ind w:firstLine="0" w:firstLineChars="0"/>
              <w:jc w:val="left"/>
              <w:textAlignment w:val="baseline"/>
              <w:rPr>
                <w:rFonts w:hint="eastAsia" w:asciiTheme="majorEastAsia" w:hAnsiTheme="majorEastAsia" w:eastAsiaTheme="majorEastAsia" w:cstheme="majorEastAsia"/>
                <w:color w:val="auto"/>
                <w:kern w:val="0"/>
                <w:sz w:val="21"/>
                <w:szCs w:val="21"/>
                <w:highlight w:val="none"/>
              </w:rPr>
            </w:pPr>
            <w:r>
              <w:rPr>
                <w:rFonts w:hint="eastAsia" w:asciiTheme="majorEastAsia" w:hAnsiTheme="majorEastAsia" w:eastAsiaTheme="majorEastAsia" w:cstheme="majorEastAsia"/>
                <w:color w:val="auto"/>
                <w:sz w:val="21"/>
                <w:szCs w:val="21"/>
                <w:highlight w:val="none"/>
              </w:rPr>
              <w:t>3.</w:t>
            </w:r>
            <w:r>
              <w:rPr>
                <w:rFonts w:hint="eastAsia" w:asciiTheme="majorEastAsia" w:hAnsiTheme="majorEastAsia" w:eastAsiaTheme="majorEastAsia" w:cstheme="majorEastAsia"/>
                <w:color w:val="auto"/>
                <w:sz w:val="21"/>
                <w:szCs w:val="21"/>
                <w:highlight w:val="none"/>
                <w:lang w:val="en-US" w:eastAsia="zh-CN"/>
              </w:rPr>
              <w:t>按期交付</w:t>
            </w:r>
            <w:r>
              <w:rPr>
                <w:rFonts w:hint="eastAsia" w:asciiTheme="majorEastAsia" w:hAnsiTheme="majorEastAsia" w:eastAsiaTheme="majorEastAsia" w:cstheme="majorEastAsia"/>
                <w:color w:val="auto"/>
                <w:sz w:val="21"/>
                <w:szCs w:val="21"/>
                <w:highlight w:val="none"/>
              </w:rPr>
              <w:t>得</w:t>
            </w:r>
            <w:r>
              <w:rPr>
                <w:rFonts w:hint="eastAsia" w:asciiTheme="majorEastAsia" w:hAnsiTheme="majorEastAsia" w:eastAsiaTheme="majorEastAsia" w:cstheme="majorEastAsia"/>
                <w:color w:val="auto"/>
                <w:sz w:val="21"/>
                <w:szCs w:val="21"/>
                <w:highlight w:val="none"/>
                <w:lang w:val="en-US" w:eastAsia="zh-CN"/>
              </w:rPr>
              <w:t>2</w:t>
            </w:r>
            <w:r>
              <w:rPr>
                <w:rFonts w:hint="eastAsia" w:asciiTheme="majorEastAsia" w:hAnsiTheme="majorEastAsia" w:eastAsiaTheme="majorEastAsia" w:cstheme="majorEastAsia"/>
                <w:color w:val="auto"/>
                <w:sz w:val="21"/>
                <w:szCs w:val="21"/>
                <w:highlight w:val="none"/>
              </w:rPr>
              <w:t>分</w:t>
            </w:r>
            <w:r>
              <w:rPr>
                <w:rFonts w:hint="eastAsia" w:asciiTheme="majorEastAsia" w:hAnsiTheme="majorEastAsia" w:eastAsiaTheme="majorEastAsia" w:cstheme="majorEastAsia"/>
                <w:color w:val="auto"/>
                <w:sz w:val="21"/>
                <w:szCs w:val="21"/>
                <w:highlight w:val="none"/>
                <w:lang w:eastAsia="zh-CN"/>
              </w:rPr>
              <w:t>，</w:t>
            </w:r>
            <w:r>
              <w:rPr>
                <w:rFonts w:hint="eastAsia" w:asciiTheme="majorEastAsia" w:hAnsiTheme="majorEastAsia" w:eastAsiaTheme="majorEastAsia" w:cstheme="majorEastAsia"/>
                <w:color w:val="auto"/>
                <w:sz w:val="21"/>
                <w:szCs w:val="21"/>
                <w:highlight w:val="none"/>
                <w:lang w:val="en-US" w:eastAsia="zh-CN"/>
              </w:rPr>
              <w:t>超过规定期限不得分</w:t>
            </w:r>
            <w:r>
              <w:rPr>
                <w:rFonts w:hint="eastAsia" w:asciiTheme="majorEastAsia" w:hAnsiTheme="majorEastAsia" w:eastAsiaTheme="majorEastAsia" w:cstheme="majorEastAsia"/>
                <w:color w:val="auto"/>
                <w:sz w:val="21"/>
                <w:szCs w:val="21"/>
                <w:highlight w:val="none"/>
              </w:rPr>
              <w:t>。中标人提供承诺函，如最终不能按照承诺交车日期交付按照违约处理，中标人无理由接受退车处理。（满分</w:t>
            </w:r>
            <w:r>
              <w:rPr>
                <w:rFonts w:hint="eastAsia" w:asciiTheme="majorEastAsia" w:hAnsiTheme="majorEastAsia" w:eastAsiaTheme="majorEastAsia" w:cstheme="majorEastAsia"/>
                <w:color w:val="auto"/>
                <w:sz w:val="21"/>
                <w:szCs w:val="21"/>
                <w:highlight w:val="none"/>
                <w:lang w:val="en-US" w:eastAsia="zh-CN"/>
              </w:rPr>
              <w:t>2</w:t>
            </w:r>
            <w:r>
              <w:rPr>
                <w:rFonts w:hint="eastAsia" w:asciiTheme="majorEastAsia" w:hAnsiTheme="majorEastAsia" w:eastAsiaTheme="majorEastAsia" w:cstheme="majorEastAsia"/>
                <w:color w:val="auto"/>
                <w:sz w:val="21"/>
                <w:szCs w:val="21"/>
                <w:highlight w:val="none"/>
              </w:rPr>
              <w:t>分）</w:t>
            </w:r>
          </w:p>
        </w:tc>
      </w:tr>
      <w:tr w14:paraId="274DA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blHeader/>
          <w:jc w:val="center"/>
        </w:trPr>
        <w:tc>
          <w:tcPr>
            <w:tcW w:w="1212" w:type="dxa"/>
            <w:gridSpan w:val="2"/>
            <w:vMerge w:val="continue"/>
            <w:vAlign w:val="center"/>
          </w:tcPr>
          <w:p w14:paraId="1CE542B5">
            <w:pPr>
              <w:widowControl/>
              <w:spacing w:line="440" w:lineRule="exact"/>
              <w:ind w:firstLine="0" w:firstLineChars="0"/>
              <w:jc w:val="center"/>
              <w:rPr>
                <w:rFonts w:hint="eastAsia" w:ascii="宋体" w:hAnsi="宋体" w:cs="宋体"/>
                <w:color w:val="auto"/>
                <w:szCs w:val="21"/>
                <w:highlight w:val="none"/>
              </w:rPr>
            </w:pPr>
          </w:p>
        </w:tc>
        <w:tc>
          <w:tcPr>
            <w:tcW w:w="1566" w:type="dxa"/>
            <w:vMerge w:val="continue"/>
            <w:vAlign w:val="center"/>
          </w:tcPr>
          <w:p w14:paraId="4F6E63E9">
            <w:pPr>
              <w:spacing w:line="440" w:lineRule="exact"/>
              <w:ind w:firstLine="0" w:firstLineChars="0"/>
              <w:jc w:val="center"/>
              <w:textAlignment w:val="baseline"/>
              <w:rPr>
                <w:rFonts w:hint="eastAsia" w:ascii="宋体" w:hAnsi="宋体" w:cs="宋体"/>
                <w:color w:val="auto"/>
                <w:kern w:val="0"/>
                <w:szCs w:val="21"/>
                <w:highlight w:val="none"/>
              </w:rPr>
            </w:pPr>
          </w:p>
        </w:tc>
        <w:tc>
          <w:tcPr>
            <w:tcW w:w="6058" w:type="dxa"/>
          </w:tcPr>
          <w:p w14:paraId="67BE34AA">
            <w:pPr>
              <w:keepNext w:val="0"/>
              <w:keepLines w:val="0"/>
              <w:pageBreakBefore w:val="0"/>
              <w:kinsoku/>
              <w:wordWrap/>
              <w:overflowPunct/>
              <w:topLinePunct w:val="0"/>
              <w:autoSpaceDE/>
              <w:autoSpaceDN/>
              <w:bidi w:val="0"/>
              <w:adjustRightInd/>
              <w:snapToGrid/>
              <w:spacing w:line="440" w:lineRule="exact"/>
              <w:ind w:firstLine="0" w:firstLineChars="0"/>
              <w:jc w:val="left"/>
              <w:textAlignment w:val="baseline"/>
              <w:rPr>
                <w:rFonts w:hint="eastAsia" w:asciiTheme="majorEastAsia" w:hAnsiTheme="majorEastAsia" w:eastAsiaTheme="majorEastAsia" w:cstheme="majorEastAsia"/>
                <w:color w:val="auto"/>
                <w:kern w:val="0"/>
                <w:sz w:val="21"/>
                <w:szCs w:val="21"/>
                <w:highlight w:val="none"/>
              </w:rPr>
            </w:pPr>
            <w:r>
              <w:rPr>
                <w:rFonts w:hint="eastAsia" w:asciiTheme="majorEastAsia" w:hAnsiTheme="majorEastAsia" w:eastAsiaTheme="majorEastAsia" w:cstheme="majorEastAsia"/>
                <w:color w:val="auto"/>
                <w:sz w:val="21"/>
                <w:szCs w:val="21"/>
                <w:highlight w:val="none"/>
              </w:rPr>
              <w:t>4、</w:t>
            </w:r>
            <w:r>
              <w:rPr>
                <w:rFonts w:hint="eastAsia" w:asciiTheme="majorEastAsia" w:hAnsiTheme="majorEastAsia" w:eastAsiaTheme="majorEastAsia" w:cstheme="majorEastAsia"/>
                <w:color w:val="auto"/>
                <w:sz w:val="21"/>
                <w:szCs w:val="21"/>
                <w:highlight w:val="none"/>
                <w:lang w:val="en-US" w:eastAsia="zh-CN"/>
              </w:rPr>
              <w:t>昆明</w:t>
            </w:r>
            <w:r>
              <w:rPr>
                <w:rFonts w:hint="eastAsia" w:asciiTheme="majorEastAsia" w:hAnsiTheme="majorEastAsia" w:eastAsiaTheme="majorEastAsia" w:cstheme="majorEastAsia"/>
                <w:color w:val="auto"/>
                <w:sz w:val="21"/>
                <w:szCs w:val="21"/>
                <w:highlight w:val="none"/>
              </w:rPr>
              <w:t>本地设立配件中心库得</w:t>
            </w:r>
            <w:r>
              <w:rPr>
                <w:rFonts w:hint="eastAsia" w:asciiTheme="majorEastAsia" w:hAnsiTheme="majorEastAsia" w:eastAsiaTheme="majorEastAsia" w:cstheme="majorEastAsia"/>
                <w:color w:val="auto"/>
                <w:sz w:val="21"/>
                <w:szCs w:val="21"/>
                <w:highlight w:val="none"/>
                <w:lang w:val="en-US" w:eastAsia="zh-CN"/>
              </w:rPr>
              <w:t>3</w:t>
            </w:r>
            <w:r>
              <w:rPr>
                <w:rFonts w:hint="eastAsia" w:asciiTheme="majorEastAsia" w:hAnsiTheme="majorEastAsia" w:eastAsiaTheme="majorEastAsia" w:cstheme="majorEastAsia"/>
                <w:color w:val="auto"/>
                <w:sz w:val="21"/>
                <w:szCs w:val="21"/>
                <w:highlight w:val="none"/>
              </w:rPr>
              <w:t>分，本地没有设立配件中心库机构不得分（须提供制造商对配件中心库的授权书，以及中心库出具的配件相关证明资料</w:t>
            </w:r>
            <w:r>
              <w:rPr>
                <w:rFonts w:hint="eastAsia" w:asciiTheme="majorEastAsia" w:hAnsiTheme="majorEastAsia" w:eastAsiaTheme="majorEastAsia" w:cstheme="majorEastAsia"/>
                <w:color w:val="auto"/>
                <w:sz w:val="21"/>
                <w:szCs w:val="21"/>
                <w:highlight w:val="none"/>
                <w:lang w:eastAsia="zh-CN"/>
              </w:rPr>
              <w:t>，投标人须对证明材料的真实性负法律责任，招标人有权查证</w:t>
            </w:r>
            <w:r>
              <w:rPr>
                <w:rFonts w:hint="eastAsia" w:asciiTheme="majorEastAsia" w:hAnsiTheme="majorEastAsia" w:eastAsiaTheme="majorEastAsia" w:cstheme="majorEastAsia"/>
                <w:color w:val="auto"/>
                <w:sz w:val="21"/>
                <w:szCs w:val="21"/>
                <w:highlight w:val="none"/>
              </w:rPr>
              <w:t>）。（满分</w:t>
            </w:r>
            <w:r>
              <w:rPr>
                <w:rFonts w:hint="eastAsia" w:asciiTheme="majorEastAsia" w:hAnsiTheme="majorEastAsia" w:eastAsiaTheme="majorEastAsia" w:cstheme="majorEastAsia"/>
                <w:color w:val="auto"/>
                <w:sz w:val="21"/>
                <w:szCs w:val="21"/>
                <w:highlight w:val="none"/>
                <w:lang w:val="en-US" w:eastAsia="zh-CN"/>
              </w:rPr>
              <w:t>3</w:t>
            </w:r>
            <w:r>
              <w:rPr>
                <w:rFonts w:hint="eastAsia" w:asciiTheme="majorEastAsia" w:hAnsiTheme="majorEastAsia" w:eastAsiaTheme="majorEastAsia" w:cstheme="majorEastAsia"/>
                <w:color w:val="auto"/>
                <w:sz w:val="21"/>
                <w:szCs w:val="21"/>
                <w:highlight w:val="none"/>
              </w:rPr>
              <w:t>分）</w:t>
            </w:r>
          </w:p>
        </w:tc>
      </w:tr>
      <w:tr w14:paraId="37FAE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blHeader/>
          <w:jc w:val="center"/>
        </w:trPr>
        <w:tc>
          <w:tcPr>
            <w:tcW w:w="1212" w:type="dxa"/>
            <w:gridSpan w:val="2"/>
            <w:vMerge w:val="continue"/>
            <w:vAlign w:val="center"/>
          </w:tcPr>
          <w:p w14:paraId="0338F0C4">
            <w:pPr>
              <w:widowControl/>
              <w:spacing w:line="440" w:lineRule="exact"/>
              <w:ind w:firstLine="0" w:firstLineChars="0"/>
              <w:jc w:val="center"/>
              <w:rPr>
                <w:rFonts w:hint="eastAsia" w:ascii="宋体" w:hAnsi="宋体" w:cs="宋体"/>
                <w:color w:val="auto"/>
                <w:szCs w:val="21"/>
                <w:highlight w:val="none"/>
              </w:rPr>
            </w:pPr>
          </w:p>
        </w:tc>
        <w:tc>
          <w:tcPr>
            <w:tcW w:w="1566" w:type="dxa"/>
            <w:vMerge w:val="continue"/>
            <w:vAlign w:val="center"/>
          </w:tcPr>
          <w:p w14:paraId="2338ED39">
            <w:pPr>
              <w:spacing w:line="440" w:lineRule="exact"/>
              <w:ind w:firstLine="0" w:firstLineChars="0"/>
              <w:jc w:val="center"/>
              <w:textAlignment w:val="baseline"/>
              <w:rPr>
                <w:rFonts w:hint="eastAsia" w:ascii="宋体" w:hAnsi="宋体" w:cs="宋体"/>
                <w:color w:val="auto"/>
                <w:kern w:val="0"/>
                <w:szCs w:val="21"/>
                <w:highlight w:val="none"/>
              </w:rPr>
            </w:pPr>
          </w:p>
        </w:tc>
        <w:tc>
          <w:tcPr>
            <w:tcW w:w="6058" w:type="dxa"/>
          </w:tcPr>
          <w:p w14:paraId="5CAFB329">
            <w:pPr>
              <w:keepNext w:val="0"/>
              <w:keepLines w:val="0"/>
              <w:pageBreakBefore w:val="0"/>
              <w:kinsoku/>
              <w:wordWrap/>
              <w:overflowPunct/>
              <w:topLinePunct w:val="0"/>
              <w:autoSpaceDE/>
              <w:autoSpaceDN/>
              <w:bidi w:val="0"/>
              <w:adjustRightInd/>
              <w:snapToGrid/>
              <w:spacing w:line="380" w:lineRule="exact"/>
              <w:ind w:firstLine="0" w:firstLineChars="0"/>
              <w:jc w:val="left"/>
              <w:rPr>
                <w:rFonts w:hint="eastAsia" w:asciiTheme="majorEastAsia" w:hAnsiTheme="majorEastAsia" w:eastAsiaTheme="majorEastAsia" w:cstheme="majorEastAsia"/>
                <w:bCs/>
                <w:color w:val="auto"/>
                <w:sz w:val="21"/>
                <w:szCs w:val="21"/>
                <w:highlight w:val="none"/>
              </w:rPr>
            </w:pPr>
            <w:r>
              <w:rPr>
                <w:rFonts w:hint="eastAsia" w:asciiTheme="majorEastAsia" w:hAnsiTheme="majorEastAsia" w:eastAsiaTheme="majorEastAsia" w:cstheme="majorEastAsia"/>
                <w:bCs/>
                <w:color w:val="auto"/>
                <w:kern w:val="0"/>
                <w:sz w:val="21"/>
                <w:szCs w:val="21"/>
                <w:highlight w:val="none"/>
                <w:lang w:val="en-US" w:eastAsia="zh-CN"/>
              </w:rPr>
              <w:t>5</w:t>
            </w:r>
            <w:r>
              <w:rPr>
                <w:rFonts w:hint="eastAsia" w:asciiTheme="majorEastAsia" w:hAnsiTheme="majorEastAsia" w:eastAsiaTheme="majorEastAsia" w:cstheme="majorEastAsia"/>
                <w:bCs/>
                <w:color w:val="auto"/>
                <w:kern w:val="0"/>
                <w:sz w:val="21"/>
                <w:szCs w:val="21"/>
                <w:highlight w:val="none"/>
              </w:rPr>
              <w:t>、</w:t>
            </w:r>
            <w:r>
              <w:rPr>
                <w:rFonts w:hint="eastAsia" w:asciiTheme="majorEastAsia" w:hAnsiTheme="majorEastAsia" w:eastAsiaTheme="majorEastAsia" w:cstheme="majorEastAsia"/>
                <w:bCs/>
                <w:color w:val="auto"/>
                <w:sz w:val="21"/>
                <w:szCs w:val="21"/>
                <w:highlight w:val="none"/>
              </w:rPr>
              <w:t>培训计划及措施（满分</w:t>
            </w:r>
            <w:r>
              <w:rPr>
                <w:rFonts w:hint="eastAsia" w:asciiTheme="majorEastAsia" w:hAnsiTheme="majorEastAsia" w:eastAsiaTheme="majorEastAsia" w:cstheme="majorEastAsia"/>
                <w:bCs/>
                <w:color w:val="auto"/>
                <w:sz w:val="21"/>
                <w:szCs w:val="21"/>
                <w:highlight w:val="none"/>
                <w:lang w:val="en-US" w:eastAsia="zh-CN"/>
              </w:rPr>
              <w:t>4</w:t>
            </w:r>
            <w:r>
              <w:rPr>
                <w:rFonts w:hint="eastAsia" w:asciiTheme="majorEastAsia" w:hAnsiTheme="majorEastAsia" w:eastAsiaTheme="majorEastAsia" w:cstheme="majorEastAsia"/>
                <w:bCs/>
                <w:color w:val="auto"/>
                <w:sz w:val="21"/>
                <w:szCs w:val="21"/>
                <w:highlight w:val="none"/>
              </w:rPr>
              <w:t>分）</w:t>
            </w:r>
          </w:p>
          <w:p w14:paraId="5F607043">
            <w:pPr>
              <w:keepNext w:val="0"/>
              <w:keepLines w:val="0"/>
              <w:pageBreakBefore w:val="0"/>
              <w:kinsoku/>
              <w:wordWrap/>
              <w:overflowPunct/>
              <w:topLinePunct w:val="0"/>
              <w:autoSpaceDE/>
              <w:autoSpaceDN/>
              <w:bidi w:val="0"/>
              <w:adjustRightInd/>
              <w:snapToGrid/>
              <w:spacing w:line="380" w:lineRule="exact"/>
              <w:ind w:firstLine="0" w:firstLineChars="0"/>
              <w:jc w:val="left"/>
              <w:rPr>
                <w:rFonts w:hint="eastAsia" w:asciiTheme="majorEastAsia" w:hAnsiTheme="majorEastAsia" w:eastAsiaTheme="majorEastAsia" w:cstheme="majorEastAsia"/>
                <w:bCs/>
                <w:color w:val="auto"/>
                <w:sz w:val="21"/>
                <w:szCs w:val="21"/>
                <w:highlight w:val="none"/>
              </w:rPr>
            </w:pPr>
            <w:r>
              <w:rPr>
                <w:rFonts w:hint="eastAsia" w:asciiTheme="majorEastAsia" w:hAnsiTheme="majorEastAsia" w:eastAsiaTheme="majorEastAsia" w:cstheme="majorEastAsia"/>
                <w:bCs/>
                <w:color w:val="auto"/>
                <w:sz w:val="21"/>
                <w:szCs w:val="21"/>
                <w:highlight w:val="none"/>
              </w:rPr>
              <w:t>a.培训计划及措施较详细、全面、可行，培训团队配备齐全，培训师资力量雄厚，能够对项目的使用对象提供全面培训的，得</w:t>
            </w:r>
            <w:r>
              <w:rPr>
                <w:rFonts w:hint="eastAsia" w:asciiTheme="majorEastAsia" w:hAnsiTheme="majorEastAsia" w:eastAsiaTheme="majorEastAsia" w:cstheme="majorEastAsia"/>
                <w:bCs/>
                <w:color w:val="auto"/>
                <w:sz w:val="21"/>
                <w:szCs w:val="21"/>
                <w:highlight w:val="none"/>
                <w:lang w:val="en-US" w:eastAsia="zh-CN"/>
              </w:rPr>
              <w:t>4</w:t>
            </w:r>
            <w:r>
              <w:rPr>
                <w:rFonts w:hint="eastAsia" w:asciiTheme="majorEastAsia" w:hAnsiTheme="majorEastAsia" w:eastAsiaTheme="majorEastAsia" w:cstheme="majorEastAsia"/>
                <w:bCs/>
                <w:color w:val="auto"/>
                <w:sz w:val="21"/>
                <w:szCs w:val="21"/>
                <w:highlight w:val="none"/>
              </w:rPr>
              <w:t>分；</w:t>
            </w:r>
          </w:p>
          <w:p w14:paraId="6355D1A3">
            <w:pPr>
              <w:keepNext w:val="0"/>
              <w:keepLines w:val="0"/>
              <w:pageBreakBefore w:val="0"/>
              <w:kinsoku/>
              <w:wordWrap/>
              <w:overflowPunct/>
              <w:topLinePunct w:val="0"/>
              <w:autoSpaceDE/>
              <w:autoSpaceDN/>
              <w:bidi w:val="0"/>
              <w:adjustRightInd/>
              <w:snapToGrid/>
              <w:spacing w:line="380" w:lineRule="exact"/>
              <w:ind w:firstLine="0" w:firstLineChars="0"/>
              <w:jc w:val="left"/>
              <w:rPr>
                <w:rFonts w:hint="eastAsia" w:asciiTheme="majorEastAsia" w:hAnsiTheme="majorEastAsia" w:eastAsiaTheme="majorEastAsia" w:cstheme="majorEastAsia"/>
                <w:bCs/>
                <w:color w:val="auto"/>
                <w:sz w:val="21"/>
                <w:szCs w:val="21"/>
                <w:highlight w:val="none"/>
                <w:lang w:eastAsia="zh-CN"/>
              </w:rPr>
            </w:pPr>
            <w:r>
              <w:rPr>
                <w:rFonts w:hint="eastAsia" w:asciiTheme="majorEastAsia" w:hAnsiTheme="majorEastAsia" w:eastAsiaTheme="majorEastAsia" w:cstheme="majorEastAsia"/>
                <w:bCs/>
                <w:color w:val="auto"/>
                <w:sz w:val="21"/>
                <w:szCs w:val="21"/>
                <w:highlight w:val="none"/>
              </w:rPr>
              <w:t>b.培训计划及措施基本可行，培训团队配备一般，培训师资力量一般的，得</w:t>
            </w:r>
            <w:r>
              <w:rPr>
                <w:rFonts w:hint="eastAsia" w:asciiTheme="majorEastAsia" w:hAnsiTheme="majorEastAsia" w:eastAsiaTheme="majorEastAsia" w:cstheme="majorEastAsia"/>
                <w:bCs/>
                <w:color w:val="auto"/>
                <w:sz w:val="21"/>
                <w:szCs w:val="21"/>
                <w:highlight w:val="none"/>
                <w:lang w:val="en-US" w:eastAsia="zh-CN"/>
              </w:rPr>
              <w:t>3</w:t>
            </w:r>
            <w:r>
              <w:rPr>
                <w:rFonts w:hint="eastAsia" w:asciiTheme="majorEastAsia" w:hAnsiTheme="majorEastAsia" w:eastAsiaTheme="majorEastAsia" w:cstheme="majorEastAsia"/>
                <w:bCs/>
                <w:color w:val="auto"/>
                <w:sz w:val="21"/>
                <w:szCs w:val="21"/>
                <w:highlight w:val="none"/>
              </w:rPr>
              <w:t>分；</w:t>
            </w:r>
          </w:p>
          <w:p w14:paraId="27BDD3D1">
            <w:pPr>
              <w:keepNext w:val="0"/>
              <w:keepLines w:val="0"/>
              <w:pageBreakBefore w:val="0"/>
              <w:kinsoku/>
              <w:wordWrap/>
              <w:overflowPunct/>
              <w:topLinePunct w:val="0"/>
              <w:autoSpaceDE/>
              <w:autoSpaceDN/>
              <w:bidi w:val="0"/>
              <w:adjustRightInd/>
              <w:snapToGrid/>
              <w:spacing w:line="380" w:lineRule="exact"/>
              <w:ind w:firstLine="0" w:firstLineChars="0"/>
              <w:jc w:val="left"/>
              <w:rPr>
                <w:rFonts w:hint="eastAsia" w:asciiTheme="majorEastAsia" w:hAnsiTheme="majorEastAsia" w:eastAsiaTheme="majorEastAsia" w:cstheme="majorEastAsia"/>
                <w:bCs/>
                <w:color w:val="auto"/>
                <w:sz w:val="21"/>
                <w:szCs w:val="21"/>
                <w:highlight w:val="none"/>
              </w:rPr>
            </w:pPr>
            <w:r>
              <w:rPr>
                <w:rFonts w:hint="eastAsia" w:asciiTheme="majorEastAsia" w:hAnsiTheme="majorEastAsia" w:eastAsiaTheme="majorEastAsia" w:cstheme="majorEastAsia"/>
                <w:bCs/>
                <w:color w:val="auto"/>
                <w:sz w:val="21"/>
                <w:szCs w:val="21"/>
                <w:highlight w:val="none"/>
              </w:rPr>
              <w:t>c.培训计划及措施较粗略、可行性较差，得1分；</w:t>
            </w:r>
          </w:p>
          <w:p w14:paraId="49184D87">
            <w:pPr>
              <w:keepNext w:val="0"/>
              <w:keepLines w:val="0"/>
              <w:pageBreakBefore w:val="0"/>
              <w:kinsoku/>
              <w:wordWrap/>
              <w:overflowPunct/>
              <w:topLinePunct w:val="0"/>
              <w:autoSpaceDE/>
              <w:autoSpaceDN/>
              <w:bidi w:val="0"/>
              <w:adjustRightInd/>
              <w:snapToGrid/>
              <w:spacing w:line="440" w:lineRule="exact"/>
              <w:ind w:firstLine="0" w:firstLineChars="0"/>
              <w:jc w:val="left"/>
              <w:textAlignment w:val="baseline"/>
              <w:rPr>
                <w:rFonts w:hint="eastAsia" w:asciiTheme="majorEastAsia" w:hAnsiTheme="majorEastAsia" w:eastAsiaTheme="majorEastAsia" w:cstheme="majorEastAsia"/>
                <w:color w:val="auto"/>
                <w:kern w:val="0"/>
                <w:sz w:val="21"/>
                <w:szCs w:val="21"/>
                <w:highlight w:val="none"/>
              </w:rPr>
            </w:pPr>
            <w:r>
              <w:rPr>
                <w:rFonts w:hint="eastAsia" w:asciiTheme="majorEastAsia" w:hAnsiTheme="majorEastAsia" w:eastAsiaTheme="majorEastAsia" w:cstheme="majorEastAsia"/>
                <w:bCs/>
                <w:color w:val="auto"/>
                <w:sz w:val="21"/>
                <w:szCs w:val="21"/>
                <w:highlight w:val="none"/>
              </w:rPr>
              <w:t>d.未提供培训计划及措施的，该项不得分。</w:t>
            </w:r>
          </w:p>
        </w:tc>
      </w:tr>
      <w:tr w14:paraId="39B37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blHeader/>
          <w:jc w:val="center"/>
        </w:trPr>
        <w:tc>
          <w:tcPr>
            <w:tcW w:w="1212" w:type="dxa"/>
            <w:gridSpan w:val="2"/>
            <w:vMerge w:val="continue"/>
            <w:vAlign w:val="center"/>
          </w:tcPr>
          <w:p w14:paraId="44A0E3DE">
            <w:pPr>
              <w:widowControl/>
              <w:spacing w:line="440" w:lineRule="exact"/>
              <w:ind w:firstLine="0" w:firstLineChars="0"/>
              <w:jc w:val="center"/>
              <w:rPr>
                <w:rFonts w:hint="eastAsia" w:ascii="宋体" w:hAnsi="宋体" w:cs="宋体"/>
                <w:color w:val="auto"/>
                <w:szCs w:val="21"/>
                <w:highlight w:val="none"/>
              </w:rPr>
            </w:pPr>
          </w:p>
        </w:tc>
        <w:tc>
          <w:tcPr>
            <w:tcW w:w="1566" w:type="dxa"/>
            <w:vMerge w:val="continue"/>
            <w:vAlign w:val="center"/>
          </w:tcPr>
          <w:p w14:paraId="5468A605">
            <w:pPr>
              <w:spacing w:line="440" w:lineRule="exact"/>
              <w:ind w:firstLine="0" w:firstLineChars="0"/>
              <w:jc w:val="center"/>
              <w:textAlignment w:val="baseline"/>
              <w:rPr>
                <w:rFonts w:hint="eastAsia" w:ascii="宋体" w:hAnsi="宋体" w:cs="宋体"/>
                <w:color w:val="auto"/>
                <w:kern w:val="0"/>
                <w:szCs w:val="21"/>
                <w:highlight w:val="none"/>
              </w:rPr>
            </w:pPr>
          </w:p>
        </w:tc>
        <w:tc>
          <w:tcPr>
            <w:tcW w:w="6058" w:type="dxa"/>
          </w:tcPr>
          <w:p w14:paraId="752973F9">
            <w:pPr>
              <w:numPr>
                <w:ilvl w:val="0"/>
                <w:numId w:val="0"/>
              </w:numPr>
              <w:spacing w:line="440" w:lineRule="exact"/>
              <w:ind w:leftChars="0"/>
              <w:textAlignment w:val="baseline"/>
              <w:rPr>
                <w:rFonts w:hint="eastAsia" w:ascii="宋体" w:hAnsi="宋体" w:cs="宋体"/>
                <w:color w:val="auto"/>
                <w:kern w:val="0"/>
                <w:szCs w:val="21"/>
              </w:rPr>
            </w:pPr>
            <w:r>
              <w:rPr>
                <w:rFonts w:hint="eastAsia" w:ascii="宋体" w:hAnsi="宋体" w:cs="宋体"/>
                <w:color w:val="auto"/>
                <w:kern w:val="0"/>
                <w:szCs w:val="21"/>
                <w:lang w:val="en-US" w:eastAsia="zh-CN"/>
              </w:rPr>
              <w:t>6、</w:t>
            </w:r>
            <w:r>
              <w:rPr>
                <w:rFonts w:hint="eastAsia" w:ascii="宋体" w:hAnsi="宋体" w:cs="宋体"/>
                <w:color w:val="auto"/>
                <w:kern w:val="0"/>
                <w:szCs w:val="21"/>
              </w:rPr>
              <w:t>综合比较在该地区销售过的车辆的稳定性、故障率、服务情况、产品的生产厂家设备的技术和工艺先进性、安全性、可靠性、经济性等。（满分3分）</w:t>
            </w:r>
          </w:p>
          <w:p w14:paraId="155557C8">
            <w:pPr>
              <w:keepNext w:val="0"/>
              <w:keepLines w:val="0"/>
              <w:pageBreakBefore w:val="0"/>
              <w:kinsoku/>
              <w:wordWrap/>
              <w:overflowPunct/>
              <w:topLinePunct w:val="0"/>
              <w:autoSpaceDE/>
              <w:autoSpaceDN/>
              <w:bidi w:val="0"/>
              <w:adjustRightInd/>
              <w:snapToGrid/>
              <w:spacing w:line="440" w:lineRule="exact"/>
              <w:ind w:firstLine="0" w:firstLineChars="0"/>
              <w:jc w:val="left"/>
              <w:textAlignment w:val="baseline"/>
              <w:rPr>
                <w:rFonts w:hint="eastAsia" w:asciiTheme="majorEastAsia" w:hAnsiTheme="majorEastAsia" w:eastAsiaTheme="majorEastAsia" w:cstheme="majorEastAsia"/>
                <w:bCs/>
                <w:color w:val="auto"/>
                <w:sz w:val="21"/>
                <w:szCs w:val="21"/>
                <w:highlight w:val="none"/>
              </w:rPr>
            </w:pPr>
            <w:r>
              <w:rPr>
                <w:rFonts w:hint="eastAsia" w:ascii="宋体" w:hAnsi="宋体" w:cs="宋体"/>
                <w:color w:val="auto"/>
                <w:kern w:val="0"/>
                <w:szCs w:val="21"/>
              </w:rPr>
              <w:t>较优得2.1—3分；良好的得1.1—2分；一般得0.1—1分，没有说明不得分。</w:t>
            </w:r>
          </w:p>
        </w:tc>
      </w:tr>
      <w:tr w14:paraId="4828A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blHeader/>
          <w:jc w:val="center"/>
        </w:trPr>
        <w:tc>
          <w:tcPr>
            <w:tcW w:w="1212" w:type="dxa"/>
            <w:gridSpan w:val="2"/>
            <w:vMerge w:val="continue"/>
            <w:vAlign w:val="center"/>
          </w:tcPr>
          <w:p w14:paraId="73C69570">
            <w:pPr>
              <w:widowControl/>
              <w:spacing w:line="440" w:lineRule="exact"/>
              <w:ind w:firstLine="0" w:firstLineChars="0"/>
              <w:jc w:val="center"/>
              <w:rPr>
                <w:rFonts w:hint="eastAsia" w:ascii="宋体" w:hAnsi="宋体" w:cs="宋体"/>
                <w:color w:val="auto"/>
                <w:szCs w:val="21"/>
                <w:highlight w:val="none"/>
              </w:rPr>
            </w:pPr>
          </w:p>
        </w:tc>
        <w:tc>
          <w:tcPr>
            <w:tcW w:w="1566" w:type="dxa"/>
            <w:vMerge w:val="continue"/>
            <w:vAlign w:val="center"/>
          </w:tcPr>
          <w:p w14:paraId="09815CA6">
            <w:pPr>
              <w:spacing w:line="440" w:lineRule="exact"/>
              <w:ind w:firstLine="0" w:firstLineChars="0"/>
              <w:jc w:val="center"/>
              <w:textAlignment w:val="baseline"/>
              <w:rPr>
                <w:rFonts w:hint="eastAsia" w:ascii="宋体" w:hAnsi="宋体" w:cs="宋体"/>
                <w:color w:val="auto"/>
                <w:kern w:val="0"/>
                <w:szCs w:val="21"/>
                <w:highlight w:val="none"/>
              </w:rPr>
            </w:pPr>
          </w:p>
        </w:tc>
        <w:tc>
          <w:tcPr>
            <w:tcW w:w="6058" w:type="dxa"/>
          </w:tcPr>
          <w:p w14:paraId="607DFBDE">
            <w:pPr>
              <w:keepNext w:val="0"/>
              <w:keepLines w:val="0"/>
              <w:pageBreakBefore w:val="0"/>
              <w:numPr>
                <w:ilvl w:val="0"/>
                <w:numId w:val="0"/>
              </w:numPr>
              <w:kinsoku/>
              <w:wordWrap/>
              <w:overflowPunct/>
              <w:topLinePunct w:val="0"/>
              <w:autoSpaceDE/>
              <w:autoSpaceDN/>
              <w:bidi w:val="0"/>
              <w:adjustRightInd/>
              <w:snapToGrid/>
              <w:spacing w:line="440" w:lineRule="exact"/>
              <w:jc w:val="left"/>
              <w:textAlignment w:val="baseline"/>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7</w:t>
            </w:r>
            <w:r>
              <w:rPr>
                <w:rFonts w:hint="eastAsia" w:ascii="宋体" w:hAnsi="宋体" w:eastAsia="宋体" w:cs="宋体"/>
                <w:color w:val="auto"/>
                <w:kern w:val="0"/>
                <w:sz w:val="21"/>
                <w:szCs w:val="21"/>
              </w:rPr>
              <w:t>、</w:t>
            </w:r>
            <w:r>
              <w:rPr>
                <w:rFonts w:hint="eastAsia" w:ascii="宋体" w:hAnsi="宋体" w:eastAsia="宋体" w:cs="宋体"/>
                <w:color w:val="auto"/>
                <w:kern w:val="0"/>
                <w:sz w:val="21"/>
                <w:szCs w:val="21"/>
                <w:lang w:eastAsia="zh-CN"/>
              </w:rPr>
              <w:t>分期年限</w:t>
            </w:r>
            <w:r>
              <w:rPr>
                <w:rFonts w:hint="eastAsia" w:ascii="宋体" w:hAnsi="宋体" w:eastAsia="宋体" w:cs="宋体"/>
                <w:color w:val="auto"/>
                <w:kern w:val="0"/>
                <w:sz w:val="21"/>
                <w:szCs w:val="21"/>
              </w:rPr>
              <w:t>,按整年计（满分5分）</w:t>
            </w:r>
          </w:p>
          <w:p w14:paraId="47CFD309">
            <w:pPr>
              <w:keepNext w:val="0"/>
              <w:keepLines w:val="0"/>
              <w:pageBreakBefore w:val="0"/>
              <w:numPr>
                <w:ilvl w:val="0"/>
                <w:numId w:val="0"/>
              </w:numPr>
              <w:kinsoku/>
              <w:wordWrap/>
              <w:overflowPunct/>
              <w:topLinePunct w:val="0"/>
              <w:autoSpaceDE/>
              <w:autoSpaceDN/>
              <w:bidi w:val="0"/>
              <w:adjustRightInd/>
              <w:snapToGrid/>
              <w:spacing w:line="440" w:lineRule="exact"/>
              <w:ind w:firstLine="0" w:firstLineChars="0"/>
              <w:jc w:val="left"/>
              <w:textAlignment w:val="baseline"/>
              <w:rPr>
                <w:rFonts w:hint="eastAsia" w:asciiTheme="majorEastAsia" w:hAnsiTheme="majorEastAsia" w:eastAsiaTheme="majorEastAsia" w:cstheme="majorEastAsia"/>
                <w:color w:val="auto"/>
                <w:kern w:val="0"/>
                <w:sz w:val="21"/>
                <w:szCs w:val="21"/>
                <w:highlight w:val="none"/>
              </w:rPr>
            </w:pPr>
            <w:r>
              <w:rPr>
                <w:rFonts w:hint="eastAsia" w:ascii="宋体" w:hAnsi="宋体" w:eastAsia="宋体" w:cs="宋体"/>
                <w:color w:val="auto"/>
                <w:kern w:val="0"/>
                <w:sz w:val="21"/>
                <w:szCs w:val="21"/>
                <w:lang w:val="en-US" w:eastAsia="zh-CN"/>
              </w:rPr>
              <w:t>5年分期得基础分4分</w:t>
            </w:r>
            <w:r>
              <w:rPr>
                <w:rFonts w:hint="eastAsia" w:ascii="宋体" w:hAnsi="宋体" w:eastAsia="宋体" w:cs="宋体"/>
                <w:color w:val="auto"/>
                <w:kern w:val="0"/>
                <w:sz w:val="21"/>
                <w:szCs w:val="21"/>
              </w:rPr>
              <w:t>，</w:t>
            </w:r>
            <w:r>
              <w:rPr>
                <w:rFonts w:hint="eastAsia" w:ascii="宋体" w:hAnsi="宋体" w:eastAsia="宋体" w:cs="宋体"/>
                <w:b w:val="0"/>
                <w:color w:val="auto"/>
                <w:spacing w:val="0"/>
                <w:kern w:val="0"/>
                <w:sz w:val="21"/>
                <w:szCs w:val="21"/>
                <w:lang w:val="en-US" w:eastAsia="zh-CN" w:bidi="ar-SA"/>
              </w:rPr>
              <w:t>少于5年不得分</w:t>
            </w:r>
            <w:r>
              <w:rPr>
                <w:rFonts w:hint="eastAsia" w:ascii="宋体" w:hAnsi="宋体" w:eastAsia="宋体" w:cs="宋体"/>
                <w:color w:val="auto"/>
                <w:kern w:val="0"/>
                <w:sz w:val="21"/>
                <w:szCs w:val="21"/>
              </w:rPr>
              <w:t>。</w:t>
            </w:r>
            <w:r>
              <w:rPr>
                <w:rFonts w:hint="eastAsia" w:ascii="宋体" w:hAnsi="宋体" w:eastAsia="宋体" w:cs="宋体"/>
                <w:b w:val="0"/>
                <w:color w:val="auto"/>
                <w:spacing w:val="0"/>
                <w:kern w:val="0"/>
                <w:sz w:val="21"/>
                <w:szCs w:val="21"/>
                <w:lang w:val="en-US" w:eastAsia="zh-CN" w:bidi="ar-SA"/>
              </w:rPr>
              <w:t>5年以上的每增加一年在基础分上加0.5分，加满为止。</w:t>
            </w:r>
          </w:p>
        </w:tc>
      </w:tr>
      <w:tr w14:paraId="1C3B9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blHeader/>
          <w:jc w:val="center"/>
        </w:trPr>
        <w:tc>
          <w:tcPr>
            <w:tcW w:w="1212" w:type="dxa"/>
            <w:gridSpan w:val="2"/>
            <w:vMerge w:val="continue"/>
            <w:vAlign w:val="center"/>
          </w:tcPr>
          <w:p w14:paraId="4CEB7FA5">
            <w:pPr>
              <w:widowControl/>
              <w:spacing w:line="440" w:lineRule="exact"/>
              <w:ind w:firstLine="0" w:firstLineChars="0"/>
              <w:jc w:val="center"/>
              <w:rPr>
                <w:rFonts w:hint="eastAsia" w:ascii="宋体" w:hAnsi="宋体" w:cs="宋体"/>
                <w:color w:val="auto"/>
                <w:szCs w:val="21"/>
                <w:highlight w:val="none"/>
              </w:rPr>
            </w:pPr>
          </w:p>
        </w:tc>
        <w:tc>
          <w:tcPr>
            <w:tcW w:w="1566" w:type="dxa"/>
            <w:vMerge w:val="continue"/>
            <w:vAlign w:val="center"/>
          </w:tcPr>
          <w:p w14:paraId="0AD4E381">
            <w:pPr>
              <w:spacing w:line="440" w:lineRule="exact"/>
              <w:ind w:firstLine="0" w:firstLineChars="0"/>
              <w:jc w:val="center"/>
              <w:textAlignment w:val="baseline"/>
              <w:rPr>
                <w:rFonts w:hint="eastAsia" w:ascii="宋体" w:hAnsi="宋体" w:cs="宋体"/>
                <w:color w:val="auto"/>
                <w:kern w:val="0"/>
                <w:szCs w:val="21"/>
                <w:highlight w:val="none"/>
              </w:rPr>
            </w:pPr>
          </w:p>
        </w:tc>
        <w:tc>
          <w:tcPr>
            <w:tcW w:w="6058" w:type="dxa"/>
          </w:tcPr>
          <w:p w14:paraId="38265E01">
            <w:pPr>
              <w:keepNext w:val="0"/>
              <w:keepLines w:val="0"/>
              <w:pageBreakBefore w:val="0"/>
              <w:numPr>
                <w:ilvl w:val="0"/>
                <w:numId w:val="0"/>
              </w:numPr>
              <w:kinsoku/>
              <w:wordWrap/>
              <w:overflowPunct/>
              <w:topLinePunct w:val="0"/>
              <w:autoSpaceDE/>
              <w:autoSpaceDN/>
              <w:bidi w:val="0"/>
              <w:adjustRightInd/>
              <w:snapToGrid/>
              <w:spacing w:line="440" w:lineRule="exact"/>
              <w:jc w:val="left"/>
              <w:textAlignment w:val="baseline"/>
              <w:rPr>
                <w:rFonts w:hint="eastAsia" w:asciiTheme="majorEastAsia" w:hAnsiTheme="majorEastAsia" w:eastAsiaTheme="majorEastAsia" w:cstheme="majorEastAsia"/>
                <w:color w:val="auto"/>
                <w:kern w:val="0"/>
                <w:sz w:val="21"/>
                <w:szCs w:val="21"/>
                <w:highlight w:val="none"/>
              </w:rPr>
            </w:pPr>
            <w:r>
              <w:rPr>
                <w:rFonts w:hint="eastAsia" w:asciiTheme="majorEastAsia" w:hAnsiTheme="majorEastAsia" w:eastAsiaTheme="majorEastAsia" w:cstheme="majorEastAsia"/>
                <w:color w:val="auto"/>
                <w:sz w:val="21"/>
                <w:szCs w:val="21"/>
                <w:highlight w:val="none"/>
                <w:lang w:val="en-US" w:eastAsia="zh-CN"/>
              </w:rPr>
              <w:t>7、</w:t>
            </w:r>
            <w:r>
              <w:rPr>
                <w:rFonts w:hint="eastAsia" w:asciiTheme="majorEastAsia" w:hAnsiTheme="majorEastAsia" w:eastAsiaTheme="majorEastAsia" w:cstheme="majorEastAsia"/>
                <w:color w:val="auto"/>
                <w:sz w:val="21"/>
                <w:szCs w:val="21"/>
                <w:highlight w:val="none"/>
              </w:rPr>
              <w:t>招标人提车前需支付款项占购车款总额比例</w:t>
            </w:r>
            <w:r>
              <w:rPr>
                <w:rFonts w:hint="eastAsia" w:asciiTheme="majorEastAsia" w:hAnsiTheme="majorEastAsia" w:eastAsiaTheme="majorEastAsia" w:cstheme="majorEastAsia"/>
                <w:color w:val="auto"/>
                <w:kern w:val="0"/>
                <w:sz w:val="21"/>
                <w:szCs w:val="21"/>
                <w:highlight w:val="none"/>
              </w:rPr>
              <w:t>（满分</w:t>
            </w:r>
            <w:r>
              <w:rPr>
                <w:rFonts w:hint="eastAsia" w:asciiTheme="majorEastAsia" w:hAnsiTheme="majorEastAsia" w:eastAsiaTheme="majorEastAsia" w:cstheme="majorEastAsia"/>
                <w:color w:val="auto"/>
                <w:kern w:val="0"/>
                <w:sz w:val="21"/>
                <w:szCs w:val="21"/>
                <w:highlight w:val="none"/>
                <w:lang w:val="en-US" w:eastAsia="zh-CN"/>
              </w:rPr>
              <w:t>3</w:t>
            </w:r>
            <w:r>
              <w:rPr>
                <w:rFonts w:hint="eastAsia" w:asciiTheme="majorEastAsia" w:hAnsiTheme="majorEastAsia" w:eastAsiaTheme="majorEastAsia" w:cstheme="majorEastAsia"/>
                <w:color w:val="auto"/>
                <w:kern w:val="0"/>
                <w:sz w:val="21"/>
                <w:szCs w:val="21"/>
                <w:highlight w:val="none"/>
              </w:rPr>
              <w:t>分）</w:t>
            </w:r>
          </w:p>
          <w:p w14:paraId="78DD944E">
            <w:pPr>
              <w:pStyle w:val="2"/>
              <w:keepNext w:val="0"/>
              <w:keepLines w:val="0"/>
              <w:pageBreakBefore w:val="0"/>
              <w:kinsoku/>
              <w:wordWrap/>
              <w:overflowPunct/>
              <w:topLinePunct w:val="0"/>
              <w:autoSpaceDE/>
              <w:autoSpaceDN/>
              <w:bidi w:val="0"/>
              <w:adjustRightInd/>
              <w:snapToGrid/>
              <w:ind w:firstLine="0" w:firstLineChars="0"/>
              <w:jc w:val="left"/>
              <w:rPr>
                <w:rFonts w:hint="eastAsia" w:asciiTheme="majorEastAsia" w:hAnsiTheme="majorEastAsia" w:eastAsiaTheme="majorEastAsia" w:cstheme="majorEastAsia"/>
                <w:b w:val="0"/>
                <w:color w:val="auto"/>
                <w:spacing w:val="0"/>
                <w:kern w:val="0"/>
                <w:sz w:val="21"/>
                <w:szCs w:val="21"/>
                <w:highlight w:val="none"/>
                <w:lang w:eastAsia="zh-CN"/>
              </w:rPr>
            </w:pPr>
            <w:r>
              <w:rPr>
                <w:rFonts w:hint="eastAsia" w:asciiTheme="majorEastAsia" w:hAnsiTheme="majorEastAsia" w:eastAsiaTheme="majorEastAsia" w:cstheme="majorEastAsia"/>
                <w:b w:val="0"/>
                <w:color w:val="auto"/>
                <w:spacing w:val="0"/>
                <w:kern w:val="0"/>
                <w:sz w:val="21"/>
                <w:szCs w:val="21"/>
                <w:highlight w:val="none"/>
                <w:lang w:eastAsia="zh-CN"/>
              </w:rPr>
              <w:t>①</w:t>
            </w:r>
            <w:r>
              <w:rPr>
                <w:rFonts w:hint="eastAsia" w:asciiTheme="majorEastAsia" w:hAnsiTheme="majorEastAsia" w:eastAsiaTheme="majorEastAsia" w:cstheme="majorEastAsia"/>
                <w:b w:val="0"/>
                <w:color w:val="auto"/>
                <w:spacing w:val="0"/>
                <w:kern w:val="0"/>
                <w:sz w:val="21"/>
                <w:szCs w:val="21"/>
                <w:highlight w:val="none"/>
              </w:rPr>
              <w:t>响应值低于0.1%的部分按四舍五入计算。</w:t>
            </w:r>
          </w:p>
          <w:p w14:paraId="048FE259">
            <w:pPr>
              <w:pStyle w:val="2"/>
              <w:keepNext w:val="0"/>
              <w:keepLines w:val="0"/>
              <w:pageBreakBefore w:val="0"/>
              <w:kinsoku/>
              <w:wordWrap/>
              <w:overflowPunct/>
              <w:topLinePunct w:val="0"/>
              <w:autoSpaceDE/>
              <w:autoSpaceDN/>
              <w:bidi w:val="0"/>
              <w:adjustRightInd/>
              <w:snapToGrid/>
              <w:ind w:firstLine="0" w:firstLineChars="0"/>
              <w:jc w:val="left"/>
              <w:rPr>
                <w:rFonts w:hint="eastAsia" w:asciiTheme="majorEastAsia" w:hAnsiTheme="majorEastAsia" w:eastAsiaTheme="majorEastAsia" w:cstheme="majorEastAsia"/>
                <w:color w:val="auto"/>
                <w:kern w:val="0"/>
                <w:sz w:val="21"/>
                <w:szCs w:val="21"/>
                <w:highlight w:val="none"/>
              </w:rPr>
            </w:pPr>
            <w:r>
              <w:rPr>
                <w:rFonts w:hint="eastAsia" w:asciiTheme="majorEastAsia" w:hAnsiTheme="majorEastAsia" w:eastAsiaTheme="majorEastAsia" w:cstheme="majorEastAsia"/>
                <w:b w:val="0"/>
                <w:color w:val="auto"/>
                <w:spacing w:val="0"/>
                <w:kern w:val="0"/>
                <w:sz w:val="21"/>
                <w:szCs w:val="21"/>
                <w:highlight w:val="none"/>
              </w:rPr>
              <w:t>响应值</w:t>
            </w:r>
            <w:r>
              <w:rPr>
                <w:rFonts w:hint="eastAsia" w:asciiTheme="majorEastAsia" w:hAnsiTheme="majorEastAsia" w:eastAsiaTheme="majorEastAsia" w:cstheme="majorEastAsia"/>
                <w:b w:val="0"/>
                <w:color w:val="auto"/>
                <w:spacing w:val="0"/>
                <w:kern w:val="0"/>
                <w:sz w:val="21"/>
                <w:szCs w:val="21"/>
                <w:highlight w:val="none"/>
                <w:lang w:val="en-US" w:eastAsia="zh-CN"/>
              </w:rPr>
              <w:t>为0.0%得3分</w:t>
            </w:r>
            <w:r>
              <w:rPr>
                <w:rFonts w:hint="eastAsia" w:asciiTheme="majorEastAsia" w:hAnsiTheme="majorEastAsia" w:eastAsiaTheme="majorEastAsia" w:cstheme="majorEastAsia"/>
                <w:b w:val="0"/>
                <w:color w:val="auto"/>
                <w:spacing w:val="0"/>
                <w:kern w:val="0"/>
                <w:sz w:val="21"/>
                <w:szCs w:val="21"/>
                <w:highlight w:val="none"/>
                <w:lang w:eastAsia="zh-CN"/>
              </w:rPr>
              <w:t>；</w:t>
            </w:r>
            <w:r>
              <w:rPr>
                <w:rFonts w:hint="eastAsia" w:asciiTheme="majorEastAsia" w:hAnsiTheme="majorEastAsia" w:eastAsiaTheme="majorEastAsia" w:cstheme="majorEastAsia"/>
                <w:b w:val="0"/>
                <w:color w:val="auto"/>
                <w:spacing w:val="0"/>
                <w:kern w:val="0"/>
                <w:sz w:val="21"/>
                <w:szCs w:val="21"/>
                <w:highlight w:val="none"/>
              </w:rPr>
              <w:t>响应值</w:t>
            </w:r>
            <w:r>
              <w:rPr>
                <w:rFonts w:hint="eastAsia" w:asciiTheme="majorEastAsia" w:hAnsiTheme="majorEastAsia" w:eastAsiaTheme="majorEastAsia" w:cstheme="majorEastAsia"/>
                <w:b w:val="0"/>
                <w:color w:val="auto"/>
                <w:spacing w:val="0"/>
                <w:kern w:val="0"/>
                <w:sz w:val="21"/>
                <w:szCs w:val="21"/>
                <w:highlight w:val="none"/>
                <w:lang w:val="en-US" w:eastAsia="zh-CN"/>
              </w:rPr>
              <w:t>为0.%~2%得2分；</w:t>
            </w:r>
            <w:r>
              <w:rPr>
                <w:rFonts w:hint="eastAsia" w:asciiTheme="majorEastAsia" w:hAnsiTheme="majorEastAsia" w:eastAsiaTheme="majorEastAsia" w:cstheme="majorEastAsia"/>
                <w:b w:val="0"/>
                <w:color w:val="auto"/>
                <w:spacing w:val="0"/>
                <w:kern w:val="0"/>
                <w:sz w:val="21"/>
                <w:szCs w:val="21"/>
                <w:highlight w:val="none"/>
              </w:rPr>
              <w:t>响应值</w:t>
            </w:r>
            <w:r>
              <w:rPr>
                <w:rFonts w:hint="eastAsia" w:asciiTheme="majorEastAsia" w:hAnsiTheme="majorEastAsia" w:eastAsiaTheme="majorEastAsia" w:cstheme="majorEastAsia"/>
                <w:b w:val="0"/>
                <w:color w:val="auto"/>
                <w:spacing w:val="0"/>
                <w:kern w:val="0"/>
                <w:sz w:val="21"/>
                <w:szCs w:val="21"/>
                <w:highlight w:val="none"/>
                <w:lang w:val="en-US" w:eastAsia="zh-CN"/>
              </w:rPr>
              <w:t>为2.1%~3%得1分；</w:t>
            </w:r>
            <w:r>
              <w:rPr>
                <w:rFonts w:hint="eastAsia" w:asciiTheme="majorEastAsia" w:hAnsiTheme="majorEastAsia" w:eastAsiaTheme="majorEastAsia" w:cstheme="majorEastAsia"/>
                <w:b w:val="0"/>
                <w:color w:val="auto"/>
                <w:spacing w:val="0"/>
                <w:kern w:val="0"/>
                <w:sz w:val="21"/>
                <w:szCs w:val="21"/>
                <w:highlight w:val="none"/>
              </w:rPr>
              <w:t>响应值</w:t>
            </w:r>
            <w:r>
              <w:rPr>
                <w:rFonts w:hint="eastAsia" w:ascii="宋体" w:hAnsi="宋体" w:eastAsia="宋体" w:cs="宋体"/>
                <w:b w:val="0"/>
                <w:color w:val="auto"/>
                <w:spacing w:val="0"/>
                <w:kern w:val="0"/>
                <w:sz w:val="21"/>
                <w:szCs w:val="21"/>
                <w:highlight w:val="none"/>
                <w:lang w:val="en-US" w:eastAsia="zh-CN"/>
              </w:rPr>
              <w:t>&gt;</w:t>
            </w:r>
            <w:r>
              <w:rPr>
                <w:rFonts w:hint="eastAsia" w:asciiTheme="majorEastAsia" w:hAnsiTheme="majorEastAsia" w:eastAsiaTheme="majorEastAsia" w:cstheme="majorEastAsia"/>
                <w:b w:val="0"/>
                <w:color w:val="auto"/>
                <w:spacing w:val="0"/>
                <w:kern w:val="0"/>
                <w:sz w:val="21"/>
                <w:szCs w:val="21"/>
                <w:highlight w:val="none"/>
                <w:lang w:val="en-US" w:eastAsia="zh-CN"/>
              </w:rPr>
              <w:t>3%不得分。</w:t>
            </w:r>
          </w:p>
        </w:tc>
      </w:tr>
      <w:tr w14:paraId="3F6DA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0" w:hRule="atLeast"/>
          <w:tblHeader/>
          <w:jc w:val="center"/>
        </w:trPr>
        <w:tc>
          <w:tcPr>
            <w:tcW w:w="1212" w:type="dxa"/>
            <w:gridSpan w:val="2"/>
            <w:vMerge w:val="restart"/>
            <w:vAlign w:val="center"/>
          </w:tcPr>
          <w:p w14:paraId="32093BE7">
            <w:pPr>
              <w:spacing w:line="440" w:lineRule="exact"/>
              <w:ind w:firstLine="0" w:firstLineChars="0"/>
              <w:rPr>
                <w:rFonts w:hint="eastAsia" w:ascii="宋体" w:hAnsi="宋体" w:cs="宋体"/>
                <w:color w:val="auto"/>
                <w:szCs w:val="21"/>
                <w:highlight w:val="none"/>
              </w:rPr>
            </w:pPr>
            <w:r>
              <w:rPr>
                <w:rFonts w:hint="eastAsia" w:ascii="宋体" w:hAnsi="宋体" w:cs="宋体"/>
                <w:color w:val="auto"/>
                <w:szCs w:val="21"/>
                <w:highlight w:val="none"/>
              </w:rPr>
              <w:t>2.2.5</w:t>
            </w:r>
          </w:p>
        </w:tc>
        <w:tc>
          <w:tcPr>
            <w:tcW w:w="1566" w:type="dxa"/>
            <w:vMerge w:val="restart"/>
            <w:vAlign w:val="center"/>
          </w:tcPr>
          <w:p w14:paraId="0C5C3C3A">
            <w:pPr>
              <w:spacing w:line="440" w:lineRule="exact"/>
              <w:ind w:firstLine="0" w:firstLineChars="0"/>
              <w:textAlignment w:val="baseline"/>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技术参数综合响应情况（满分</w:t>
            </w:r>
            <w:r>
              <w:rPr>
                <w:rFonts w:hint="eastAsia" w:ascii="宋体" w:hAnsi="宋体" w:cs="宋体"/>
                <w:b/>
                <w:bCs/>
                <w:color w:val="auto"/>
                <w:kern w:val="0"/>
                <w:szCs w:val="21"/>
                <w:highlight w:val="none"/>
                <w:lang w:val="en-US" w:eastAsia="zh-CN"/>
              </w:rPr>
              <w:t>33</w:t>
            </w:r>
            <w:r>
              <w:rPr>
                <w:rFonts w:hint="eastAsia" w:ascii="宋体" w:hAnsi="宋体" w:cs="宋体"/>
                <w:b/>
                <w:bCs/>
                <w:color w:val="auto"/>
                <w:kern w:val="0"/>
                <w:szCs w:val="21"/>
                <w:highlight w:val="none"/>
              </w:rPr>
              <w:t>分）</w:t>
            </w:r>
          </w:p>
        </w:tc>
        <w:tc>
          <w:tcPr>
            <w:tcW w:w="6058" w:type="dxa"/>
          </w:tcPr>
          <w:p w14:paraId="6C3CB565">
            <w:pPr>
              <w:keepNext w:val="0"/>
              <w:keepLines w:val="0"/>
              <w:pageBreakBefore w:val="0"/>
              <w:kinsoku/>
              <w:wordWrap/>
              <w:overflowPunct/>
              <w:topLinePunct w:val="0"/>
              <w:autoSpaceDE/>
              <w:autoSpaceDN/>
              <w:bidi w:val="0"/>
              <w:adjustRightInd/>
              <w:snapToGrid/>
              <w:ind w:firstLine="0" w:firstLineChars="0"/>
              <w:jc w:val="left"/>
              <w:textAlignment w:val="baseline"/>
              <w:rPr>
                <w:rFonts w:hint="eastAsia" w:asciiTheme="majorEastAsia" w:hAnsiTheme="majorEastAsia" w:eastAsiaTheme="majorEastAsia" w:cstheme="majorEastAsia"/>
                <w:color w:val="auto"/>
                <w:kern w:val="0"/>
                <w:sz w:val="21"/>
                <w:szCs w:val="21"/>
                <w:highlight w:val="none"/>
              </w:rPr>
            </w:pPr>
            <w:r>
              <w:rPr>
                <w:rFonts w:hint="eastAsia" w:asciiTheme="majorEastAsia" w:hAnsiTheme="majorEastAsia" w:eastAsiaTheme="majorEastAsia" w:cstheme="majorEastAsia"/>
                <w:color w:val="auto"/>
                <w:kern w:val="0"/>
                <w:sz w:val="21"/>
                <w:szCs w:val="21"/>
                <w:highlight w:val="none"/>
              </w:rPr>
              <w:t>一、技术参数响应（满分</w:t>
            </w:r>
            <w:r>
              <w:rPr>
                <w:rFonts w:hint="eastAsia" w:asciiTheme="majorEastAsia" w:hAnsiTheme="majorEastAsia" w:eastAsiaTheme="majorEastAsia" w:cstheme="majorEastAsia"/>
                <w:color w:val="auto"/>
                <w:kern w:val="0"/>
                <w:sz w:val="21"/>
                <w:szCs w:val="21"/>
                <w:highlight w:val="none"/>
                <w:lang w:val="en-US" w:eastAsia="zh-CN"/>
              </w:rPr>
              <w:t>17</w:t>
            </w:r>
            <w:r>
              <w:rPr>
                <w:rFonts w:hint="eastAsia" w:asciiTheme="majorEastAsia" w:hAnsiTheme="majorEastAsia" w:eastAsiaTheme="majorEastAsia" w:cstheme="majorEastAsia"/>
                <w:color w:val="auto"/>
                <w:kern w:val="0"/>
                <w:sz w:val="21"/>
                <w:szCs w:val="21"/>
                <w:highlight w:val="none"/>
              </w:rPr>
              <w:t>分）</w:t>
            </w:r>
          </w:p>
          <w:p w14:paraId="1E009B0B">
            <w:pPr>
              <w:keepNext w:val="0"/>
              <w:keepLines w:val="0"/>
              <w:pageBreakBefore w:val="0"/>
              <w:kinsoku/>
              <w:wordWrap/>
              <w:overflowPunct/>
              <w:topLinePunct w:val="0"/>
              <w:autoSpaceDE/>
              <w:autoSpaceDN/>
              <w:bidi w:val="0"/>
              <w:adjustRightInd/>
              <w:snapToGrid/>
              <w:spacing w:line="440" w:lineRule="exact"/>
              <w:ind w:firstLine="420" w:firstLineChars="200"/>
              <w:jc w:val="left"/>
              <w:textAlignment w:val="baseline"/>
              <w:rPr>
                <w:rFonts w:hint="eastAsia" w:asciiTheme="majorEastAsia" w:hAnsiTheme="majorEastAsia" w:eastAsiaTheme="majorEastAsia" w:cstheme="majorEastAsia"/>
                <w:color w:val="auto"/>
                <w:kern w:val="0"/>
                <w:sz w:val="21"/>
                <w:szCs w:val="21"/>
                <w:highlight w:val="none"/>
              </w:rPr>
            </w:pPr>
            <w:r>
              <w:rPr>
                <w:rFonts w:hint="eastAsia" w:asciiTheme="majorEastAsia" w:hAnsiTheme="majorEastAsia" w:eastAsiaTheme="majorEastAsia" w:cstheme="majorEastAsia"/>
                <w:color w:val="auto"/>
                <w:kern w:val="0"/>
                <w:sz w:val="21"/>
                <w:szCs w:val="21"/>
                <w:highlight w:val="none"/>
                <w:lang w:eastAsia="zh-CN"/>
              </w:rPr>
              <w:t>根据投标人投标文件中车辆配置技术参数若</w:t>
            </w:r>
            <w:r>
              <w:rPr>
                <w:rFonts w:hint="eastAsia" w:asciiTheme="majorEastAsia" w:hAnsiTheme="majorEastAsia" w:eastAsiaTheme="majorEastAsia" w:cstheme="majorEastAsia"/>
                <w:color w:val="auto"/>
                <w:kern w:val="0"/>
                <w:sz w:val="21"/>
                <w:szCs w:val="21"/>
                <w:highlight w:val="none"/>
                <w:lang w:val="en-US" w:eastAsia="zh-CN"/>
              </w:rPr>
              <w:t>全满足的17分，</w:t>
            </w:r>
            <w:r>
              <w:rPr>
                <w:rFonts w:hint="eastAsia" w:asciiTheme="majorEastAsia" w:hAnsiTheme="majorEastAsia" w:eastAsiaTheme="majorEastAsia" w:cstheme="majorEastAsia"/>
                <w:color w:val="auto"/>
                <w:kern w:val="0"/>
                <w:sz w:val="21"/>
                <w:szCs w:val="21"/>
                <w:highlight w:val="none"/>
                <w:lang w:eastAsia="zh-CN"/>
              </w:rPr>
              <w:t>出现一项负偏离的</w:t>
            </w:r>
            <w:r>
              <w:rPr>
                <w:rFonts w:hint="eastAsia" w:asciiTheme="majorEastAsia" w:hAnsiTheme="majorEastAsia" w:eastAsiaTheme="majorEastAsia" w:cstheme="majorEastAsia"/>
                <w:color w:val="auto"/>
                <w:kern w:val="0"/>
                <w:sz w:val="21"/>
                <w:szCs w:val="21"/>
                <w:highlight w:val="none"/>
                <w:lang w:val="en-US" w:eastAsia="zh-CN"/>
              </w:rPr>
              <w:t>扣1</w:t>
            </w:r>
            <w:r>
              <w:rPr>
                <w:rFonts w:hint="eastAsia" w:asciiTheme="majorEastAsia" w:hAnsiTheme="majorEastAsia" w:eastAsiaTheme="majorEastAsia" w:cstheme="majorEastAsia"/>
                <w:color w:val="auto"/>
                <w:kern w:val="0"/>
                <w:sz w:val="21"/>
                <w:szCs w:val="21"/>
                <w:highlight w:val="none"/>
                <w:lang w:eastAsia="zh-CN"/>
              </w:rPr>
              <w:t>分，扣完为止。</w:t>
            </w:r>
          </w:p>
        </w:tc>
      </w:tr>
      <w:tr w14:paraId="19664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0" w:hRule="atLeast"/>
          <w:tblHeader/>
          <w:jc w:val="center"/>
        </w:trPr>
        <w:tc>
          <w:tcPr>
            <w:tcW w:w="1212" w:type="dxa"/>
            <w:gridSpan w:val="2"/>
            <w:vMerge w:val="continue"/>
            <w:vAlign w:val="center"/>
          </w:tcPr>
          <w:p w14:paraId="2A780A65">
            <w:pPr>
              <w:spacing w:line="440" w:lineRule="exact"/>
              <w:ind w:firstLine="0" w:firstLineChars="0"/>
              <w:rPr>
                <w:rFonts w:hint="eastAsia" w:ascii="宋体" w:hAnsi="宋体" w:cs="宋体"/>
                <w:color w:val="auto"/>
                <w:szCs w:val="21"/>
                <w:highlight w:val="none"/>
              </w:rPr>
            </w:pPr>
          </w:p>
        </w:tc>
        <w:tc>
          <w:tcPr>
            <w:tcW w:w="1566" w:type="dxa"/>
            <w:vMerge w:val="continue"/>
            <w:vAlign w:val="center"/>
          </w:tcPr>
          <w:p w14:paraId="20CEC82F">
            <w:pPr>
              <w:spacing w:line="440" w:lineRule="exact"/>
              <w:ind w:firstLine="0" w:firstLineChars="0"/>
              <w:textAlignment w:val="baseline"/>
              <w:rPr>
                <w:rFonts w:hint="eastAsia" w:ascii="宋体" w:hAnsi="宋体" w:cs="宋体"/>
                <w:b/>
                <w:bCs/>
                <w:color w:val="auto"/>
                <w:kern w:val="0"/>
                <w:szCs w:val="21"/>
                <w:highlight w:val="none"/>
              </w:rPr>
            </w:pPr>
          </w:p>
        </w:tc>
        <w:tc>
          <w:tcPr>
            <w:tcW w:w="6058" w:type="dxa"/>
          </w:tcPr>
          <w:p w14:paraId="6697D1D7">
            <w:pPr>
              <w:keepNext w:val="0"/>
              <w:keepLines w:val="0"/>
              <w:pageBreakBefore w:val="0"/>
              <w:kinsoku/>
              <w:wordWrap/>
              <w:overflowPunct/>
              <w:topLinePunct w:val="0"/>
              <w:autoSpaceDE/>
              <w:autoSpaceDN/>
              <w:bidi w:val="0"/>
              <w:adjustRightInd/>
              <w:snapToGrid/>
              <w:ind w:firstLine="0" w:firstLineChars="0"/>
              <w:jc w:val="left"/>
              <w:textAlignment w:val="baseline"/>
              <w:rPr>
                <w:rFonts w:hint="eastAsia" w:asciiTheme="majorEastAsia" w:hAnsiTheme="majorEastAsia" w:eastAsiaTheme="majorEastAsia" w:cstheme="majorEastAsia"/>
                <w:color w:val="auto"/>
                <w:kern w:val="0"/>
                <w:sz w:val="21"/>
                <w:szCs w:val="21"/>
                <w:highlight w:val="none"/>
                <w:lang w:val="en-US" w:eastAsia="zh-CN"/>
              </w:rPr>
            </w:pPr>
            <w:r>
              <w:rPr>
                <w:rFonts w:hint="eastAsia" w:asciiTheme="majorEastAsia" w:hAnsiTheme="majorEastAsia" w:eastAsiaTheme="majorEastAsia" w:cstheme="majorEastAsia"/>
                <w:color w:val="auto"/>
                <w:kern w:val="0"/>
                <w:sz w:val="21"/>
                <w:szCs w:val="21"/>
                <w:highlight w:val="none"/>
                <w:lang w:val="en-US" w:eastAsia="zh-CN"/>
              </w:rPr>
              <w:t>二、电量要求</w:t>
            </w:r>
            <w:r>
              <w:rPr>
                <w:rFonts w:hint="eastAsia" w:asciiTheme="majorEastAsia" w:hAnsiTheme="majorEastAsia" w:eastAsiaTheme="majorEastAsia" w:cstheme="majorEastAsia"/>
                <w:color w:val="auto"/>
                <w:kern w:val="0"/>
                <w:sz w:val="21"/>
                <w:szCs w:val="21"/>
                <w:highlight w:val="none"/>
              </w:rPr>
              <w:t>(满分</w:t>
            </w:r>
            <w:r>
              <w:rPr>
                <w:rFonts w:hint="eastAsia" w:asciiTheme="majorEastAsia" w:hAnsiTheme="majorEastAsia" w:eastAsiaTheme="majorEastAsia" w:cstheme="majorEastAsia"/>
                <w:color w:val="auto"/>
                <w:kern w:val="0"/>
                <w:sz w:val="21"/>
                <w:szCs w:val="21"/>
                <w:highlight w:val="none"/>
                <w:lang w:val="en-US" w:eastAsia="zh-CN"/>
              </w:rPr>
              <w:t>5</w:t>
            </w:r>
            <w:r>
              <w:rPr>
                <w:rFonts w:hint="eastAsia" w:asciiTheme="majorEastAsia" w:hAnsiTheme="majorEastAsia" w:eastAsiaTheme="majorEastAsia" w:cstheme="majorEastAsia"/>
                <w:color w:val="auto"/>
                <w:kern w:val="0"/>
                <w:sz w:val="21"/>
                <w:szCs w:val="21"/>
                <w:highlight w:val="none"/>
              </w:rPr>
              <w:t>分)</w:t>
            </w:r>
          </w:p>
          <w:p w14:paraId="672BAB2F">
            <w:pPr>
              <w:keepNext w:val="0"/>
              <w:keepLines w:val="0"/>
              <w:pageBreakBefore w:val="0"/>
              <w:kinsoku/>
              <w:wordWrap/>
              <w:overflowPunct/>
              <w:topLinePunct w:val="0"/>
              <w:autoSpaceDE/>
              <w:autoSpaceDN/>
              <w:bidi w:val="0"/>
              <w:adjustRightInd/>
              <w:snapToGrid/>
              <w:spacing w:line="440" w:lineRule="exact"/>
              <w:ind w:firstLine="420" w:firstLineChars="200"/>
              <w:jc w:val="left"/>
              <w:textAlignment w:val="baseline"/>
              <w:rPr>
                <w:rFonts w:hint="eastAsia" w:asciiTheme="majorEastAsia" w:hAnsiTheme="majorEastAsia" w:eastAsiaTheme="majorEastAsia" w:cstheme="majorEastAsia"/>
                <w:color w:val="auto"/>
                <w:kern w:val="0"/>
                <w:sz w:val="21"/>
                <w:szCs w:val="21"/>
                <w:highlight w:val="none"/>
                <w:lang w:eastAsia="zh-CN"/>
              </w:rPr>
            </w:pPr>
            <w:r>
              <w:rPr>
                <w:rFonts w:hint="eastAsia" w:asciiTheme="majorEastAsia" w:hAnsiTheme="majorEastAsia" w:eastAsiaTheme="majorEastAsia" w:cstheme="majorEastAsia"/>
                <w:color w:val="auto"/>
                <w:kern w:val="0"/>
                <w:sz w:val="21"/>
                <w:szCs w:val="21"/>
                <w:highlight w:val="none"/>
              </w:rPr>
              <w:t>电量</w:t>
            </w:r>
            <w:r>
              <w:rPr>
                <w:rFonts w:hint="eastAsia" w:asciiTheme="majorEastAsia" w:hAnsiTheme="majorEastAsia" w:eastAsiaTheme="majorEastAsia" w:cstheme="majorEastAsia"/>
                <w:color w:val="auto"/>
                <w:kern w:val="0"/>
                <w:sz w:val="21"/>
                <w:szCs w:val="21"/>
                <w:highlight w:val="none"/>
                <w:lang w:val="en-US" w:eastAsia="zh-CN"/>
              </w:rPr>
              <w:t>为3</w:t>
            </w:r>
            <w:r>
              <w:rPr>
                <w:rFonts w:hint="eastAsia" w:asciiTheme="majorEastAsia" w:hAnsiTheme="majorEastAsia" w:eastAsiaTheme="majorEastAsia" w:cstheme="majorEastAsia"/>
                <w:color w:val="auto"/>
                <w:kern w:val="0"/>
                <w:sz w:val="21"/>
                <w:szCs w:val="21"/>
                <w:highlight w:val="none"/>
              </w:rPr>
              <w:t>10KW.h</w:t>
            </w:r>
            <w:r>
              <w:rPr>
                <w:rFonts w:hint="eastAsia" w:asciiTheme="majorEastAsia" w:hAnsiTheme="majorEastAsia" w:eastAsiaTheme="majorEastAsia" w:cstheme="majorEastAsia"/>
                <w:color w:val="auto"/>
                <w:kern w:val="0"/>
                <w:sz w:val="21"/>
                <w:szCs w:val="21"/>
                <w:highlight w:val="none"/>
                <w:lang w:val="en-US" w:eastAsia="zh-CN"/>
              </w:rPr>
              <w:t>~330</w:t>
            </w:r>
            <w:r>
              <w:rPr>
                <w:rFonts w:hint="eastAsia" w:asciiTheme="majorEastAsia" w:hAnsiTheme="majorEastAsia" w:eastAsiaTheme="majorEastAsia" w:cstheme="majorEastAsia"/>
                <w:color w:val="auto"/>
                <w:kern w:val="0"/>
                <w:sz w:val="21"/>
                <w:szCs w:val="21"/>
                <w:highlight w:val="none"/>
              </w:rPr>
              <w:t>KW.h的得</w:t>
            </w:r>
            <w:r>
              <w:rPr>
                <w:rFonts w:hint="eastAsia" w:asciiTheme="majorEastAsia" w:hAnsiTheme="majorEastAsia" w:eastAsiaTheme="majorEastAsia" w:cstheme="majorEastAsia"/>
                <w:color w:val="auto"/>
                <w:kern w:val="0"/>
                <w:sz w:val="21"/>
                <w:szCs w:val="21"/>
                <w:highlight w:val="none"/>
                <w:lang w:val="en-US" w:eastAsia="zh-CN"/>
              </w:rPr>
              <w:t>3</w:t>
            </w:r>
            <w:r>
              <w:rPr>
                <w:rFonts w:hint="eastAsia" w:asciiTheme="majorEastAsia" w:hAnsiTheme="majorEastAsia" w:eastAsiaTheme="majorEastAsia" w:cstheme="majorEastAsia"/>
                <w:color w:val="auto"/>
                <w:kern w:val="0"/>
                <w:sz w:val="21"/>
                <w:szCs w:val="21"/>
                <w:highlight w:val="none"/>
              </w:rPr>
              <w:t>分，</w:t>
            </w:r>
            <w:r>
              <w:rPr>
                <w:rFonts w:hint="eastAsia" w:asciiTheme="majorEastAsia" w:hAnsiTheme="majorEastAsia" w:eastAsiaTheme="majorEastAsia" w:cstheme="majorEastAsia"/>
                <w:color w:val="auto"/>
                <w:kern w:val="0"/>
                <w:sz w:val="21"/>
                <w:szCs w:val="21"/>
                <w:highlight w:val="none"/>
                <w:lang w:val="en-US" w:eastAsia="zh-CN"/>
              </w:rPr>
              <w:t>331</w:t>
            </w:r>
            <w:r>
              <w:rPr>
                <w:rFonts w:hint="eastAsia" w:asciiTheme="majorEastAsia" w:hAnsiTheme="majorEastAsia" w:eastAsiaTheme="majorEastAsia" w:cstheme="majorEastAsia"/>
                <w:color w:val="auto"/>
                <w:kern w:val="0"/>
                <w:sz w:val="21"/>
                <w:szCs w:val="21"/>
                <w:highlight w:val="none"/>
              </w:rPr>
              <w:t>KW.h</w:t>
            </w:r>
            <w:r>
              <w:rPr>
                <w:rFonts w:hint="eastAsia" w:asciiTheme="majorEastAsia" w:hAnsiTheme="majorEastAsia" w:eastAsiaTheme="majorEastAsia" w:cstheme="majorEastAsia"/>
                <w:color w:val="auto"/>
                <w:kern w:val="0"/>
                <w:sz w:val="21"/>
                <w:szCs w:val="21"/>
                <w:highlight w:val="none"/>
                <w:lang w:val="en-US" w:eastAsia="zh-CN"/>
              </w:rPr>
              <w:t>~350</w:t>
            </w:r>
            <w:r>
              <w:rPr>
                <w:rFonts w:hint="eastAsia" w:asciiTheme="majorEastAsia" w:hAnsiTheme="majorEastAsia" w:eastAsiaTheme="majorEastAsia" w:cstheme="majorEastAsia"/>
                <w:color w:val="auto"/>
                <w:kern w:val="0"/>
                <w:sz w:val="21"/>
                <w:szCs w:val="21"/>
                <w:highlight w:val="none"/>
              </w:rPr>
              <w:t>KW.h</w:t>
            </w:r>
            <w:r>
              <w:rPr>
                <w:rFonts w:hint="eastAsia" w:asciiTheme="majorEastAsia" w:hAnsiTheme="majorEastAsia" w:eastAsiaTheme="majorEastAsia" w:cstheme="majorEastAsia"/>
                <w:color w:val="auto"/>
                <w:kern w:val="0"/>
                <w:sz w:val="21"/>
                <w:szCs w:val="21"/>
                <w:highlight w:val="none"/>
                <w:lang w:eastAsia="zh-CN"/>
              </w:rPr>
              <w:t>的</w:t>
            </w:r>
            <w:r>
              <w:rPr>
                <w:rFonts w:hint="eastAsia" w:asciiTheme="majorEastAsia" w:hAnsiTheme="majorEastAsia" w:eastAsiaTheme="majorEastAsia" w:cstheme="majorEastAsia"/>
                <w:color w:val="auto"/>
                <w:kern w:val="0"/>
                <w:sz w:val="21"/>
                <w:szCs w:val="21"/>
                <w:highlight w:val="none"/>
                <w:lang w:val="en-US" w:eastAsia="zh-CN"/>
              </w:rPr>
              <w:t>得4分，电量大于350</w:t>
            </w:r>
            <w:r>
              <w:rPr>
                <w:rFonts w:hint="eastAsia" w:asciiTheme="majorEastAsia" w:hAnsiTheme="majorEastAsia" w:eastAsiaTheme="majorEastAsia" w:cstheme="majorEastAsia"/>
                <w:color w:val="auto"/>
                <w:kern w:val="0"/>
                <w:sz w:val="21"/>
                <w:szCs w:val="21"/>
                <w:highlight w:val="none"/>
              </w:rPr>
              <w:t>KW.h</w:t>
            </w:r>
            <w:r>
              <w:rPr>
                <w:rFonts w:hint="eastAsia" w:asciiTheme="majorEastAsia" w:hAnsiTheme="majorEastAsia" w:eastAsiaTheme="majorEastAsia" w:cstheme="majorEastAsia"/>
                <w:color w:val="auto"/>
                <w:kern w:val="0"/>
                <w:sz w:val="21"/>
                <w:szCs w:val="21"/>
                <w:highlight w:val="none"/>
                <w:lang w:val="en-US" w:eastAsia="zh-CN"/>
              </w:rPr>
              <w:t>得5分，</w:t>
            </w:r>
            <w:r>
              <w:rPr>
                <w:rFonts w:hint="eastAsia" w:asciiTheme="majorEastAsia" w:hAnsiTheme="majorEastAsia" w:eastAsiaTheme="majorEastAsia" w:cstheme="majorEastAsia"/>
                <w:color w:val="auto"/>
                <w:kern w:val="0"/>
                <w:sz w:val="21"/>
                <w:szCs w:val="21"/>
                <w:highlight w:val="none"/>
              </w:rPr>
              <w:t>电量</w:t>
            </w:r>
            <w:r>
              <w:rPr>
                <w:rFonts w:hint="eastAsia" w:asciiTheme="majorEastAsia" w:hAnsiTheme="majorEastAsia" w:eastAsiaTheme="majorEastAsia" w:cstheme="majorEastAsia"/>
                <w:color w:val="auto"/>
                <w:kern w:val="0"/>
                <w:sz w:val="21"/>
                <w:szCs w:val="21"/>
                <w:highlight w:val="none"/>
                <w:lang w:val="en-US" w:eastAsia="zh-CN"/>
              </w:rPr>
              <w:t>小于3</w:t>
            </w:r>
            <w:r>
              <w:rPr>
                <w:rFonts w:hint="eastAsia" w:asciiTheme="majorEastAsia" w:hAnsiTheme="majorEastAsia" w:eastAsiaTheme="majorEastAsia" w:cstheme="majorEastAsia"/>
                <w:color w:val="auto"/>
                <w:kern w:val="0"/>
                <w:sz w:val="21"/>
                <w:szCs w:val="21"/>
                <w:highlight w:val="none"/>
              </w:rPr>
              <w:t>10KW.h的不得分。</w:t>
            </w:r>
          </w:p>
        </w:tc>
      </w:tr>
      <w:tr w14:paraId="0FD8C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8" w:hRule="atLeast"/>
          <w:tblHeader/>
          <w:jc w:val="center"/>
        </w:trPr>
        <w:tc>
          <w:tcPr>
            <w:tcW w:w="1212" w:type="dxa"/>
            <w:gridSpan w:val="2"/>
            <w:vMerge w:val="continue"/>
            <w:vAlign w:val="center"/>
          </w:tcPr>
          <w:p w14:paraId="7FEB3C95">
            <w:pPr>
              <w:spacing w:line="440" w:lineRule="exact"/>
              <w:ind w:firstLine="0" w:firstLineChars="0"/>
              <w:rPr>
                <w:rFonts w:hint="eastAsia" w:ascii="宋体" w:hAnsi="宋体" w:cs="宋体"/>
                <w:color w:val="auto"/>
                <w:szCs w:val="21"/>
                <w:highlight w:val="none"/>
              </w:rPr>
            </w:pPr>
          </w:p>
        </w:tc>
        <w:tc>
          <w:tcPr>
            <w:tcW w:w="1566" w:type="dxa"/>
            <w:vMerge w:val="continue"/>
            <w:vAlign w:val="center"/>
          </w:tcPr>
          <w:p w14:paraId="4814B961">
            <w:pPr>
              <w:spacing w:line="440" w:lineRule="exact"/>
              <w:ind w:firstLine="0" w:firstLineChars="0"/>
              <w:textAlignment w:val="baseline"/>
              <w:rPr>
                <w:rFonts w:hint="eastAsia" w:ascii="宋体" w:hAnsi="宋体" w:cs="宋体"/>
                <w:color w:val="auto"/>
                <w:kern w:val="0"/>
                <w:szCs w:val="21"/>
                <w:highlight w:val="none"/>
              </w:rPr>
            </w:pPr>
          </w:p>
        </w:tc>
        <w:tc>
          <w:tcPr>
            <w:tcW w:w="6058" w:type="dxa"/>
          </w:tcPr>
          <w:p w14:paraId="29C9F24E">
            <w:pPr>
              <w:keepNext w:val="0"/>
              <w:keepLines w:val="0"/>
              <w:pageBreakBefore w:val="0"/>
              <w:widowControl/>
              <w:kinsoku/>
              <w:wordWrap/>
              <w:overflowPunct/>
              <w:topLinePunct w:val="0"/>
              <w:autoSpaceDE/>
              <w:autoSpaceDN/>
              <w:bidi w:val="0"/>
              <w:adjustRightInd/>
              <w:snapToGrid/>
              <w:spacing w:line="440" w:lineRule="exact"/>
              <w:ind w:firstLine="0" w:firstLineChars="0"/>
              <w:jc w:val="left"/>
              <w:rPr>
                <w:rFonts w:hint="eastAsia" w:asciiTheme="majorEastAsia" w:hAnsiTheme="majorEastAsia" w:eastAsiaTheme="majorEastAsia" w:cstheme="majorEastAsia"/>
                <w:color w:val="auto"/>
                <w:kern w:val="0"/>
                <w:sz w:val="21"/>
                <w:szCs w:val="21"/>
                <w:highlight w:val="none"/>
                <w:lang w:val="en-US" w:eastAsia="zh-CN"/>
              </w:rPr>
            </w:pPr>
            <w:r>
              <w:rPr>
                <w:rFonts w:hint="eastAsia" w:asciiTheme="majorEastAsia" w:hAnsiTheme="majorEastAsia" w:eastAsiaTheme="majorEastAsia" w:cstheme="majorEastAsia"/>
                <w:color w:val="auto"/>
                <w:kern w:val="0"/>
                <w:sz w:val="21"/>
                <w:szCs w:val="21"/>
                <w:highlight w:val="none"/>
                <w:lang w:val="en-US" w:eastAsia="zh-CN"/>
              </w:rPr>
              <w:t>三</w:t>
            </w:r>
            <w:r>
              <w:rPr>
                <w:rFonts w:hint="eastAsia" w:asciiTheme="majorEastAsia" w:hAnsiTheme="majorEastAsia" w:eastAsiaTheme="majorEastAsia" w:cstheme="majorEastAsia"/>
                <w:color w:val="auto"/>
                <w:kern w:val="0"/>
                <w:sz w:val="21"/>
                <w:szCs w:val="21"/>
                <w:highlight w:val="none"/>
              </w:rPr>
              <w:t>、投标人承诺在动力电池质保期满后，配合招标人更换动力电池或延长动力电池质保期，提供符合承诺的得1分。</w:t>
            </w:r>
            <w:r>
              <w:rPr>
                <w:rFonts w:hint="eastAsia" w:asciiTheme="majorEastAsia" w:hAnsiTheme="majorEastAsia" w:eastAsiaTheme="majorEastAsia" w:cstheme="majorEastAsia"/>
                <w:color w:val="auto"/>
                <w:kern w:val="0"/>
                <w:sz w:val="21"/>
                <w:szCs w:val="21"/>
                <w:highlight w:val="none"/>
                <w:lang w:val="en-US" w:eastAsia="zh-CN"/>
              </w:rPr>
              <w:t>已配合昆明公交实施过</w:t>
            </w:r>
            <w:r>
              <w:rPr>
                <w:rFonts w:hint="eastAsia" w:asciiTheme="majorEastAsia" w:hAnsiTheme="majorEastAsia" w:eastAsiaTheme="majorEastAsia" w:cstheme="majorEastAsia"/>
                <w:color w:val="auto"/>
                <w:kern w:val="0"/>
                <w:sz w:val="21"/>
                <w:szCs w:val="21"/>
                <w:highlight w:val="none"/>
              </w:rPr>
              <w:t>更换动力电池或延长动力电池质保期</w:t>
            </w:r>
            <w:r>
              <w:rPr>
                <w:rFonts w:hint="eastAsia" w:asciiTheme="majorEastAsia" w:hAnsiTheme="majorEastAsia" w:eastAsiaTheme="majorEastAsia" w:cstheme="majorEastAsia"/>
                <w:color w:val="auto"/>
                <w:kern w:val="0"/>
                <w:sz w:val="21"/>
                <w:szCs w:val="21"/>
                <w:highlight w:val="none"/>
                <w:lang w:val="en-US" w:eastAsia="zh-CN"/>
              </w:rPr>
              <w:t>加1分。</w:t>
            </w:r>
            <w:r>
              <w:rPr>
                <w:rFonts w:hint="eastAsia" w:asciiTheme="majorEastAsia" w:hAnsiTheme="majorEastAsia" w:eastAsiaTheme="majorEastAsia" w:cstheme="majorEastAsia"/>
                <w:color w:val="auto"/>
                <w:kern w:val="0"/>
                <w:sz w:val="21"/>
                <w:szCs w:val="21"/>
                <w:highlight w:val="none"/>
              </w:rPr>
              <w:t>(满分</w:t>
            </w:r>
            <w:r>
              <w:rPr>
                <w:rFonts w:hint="eastAsia" w:asciiTheme="majorEastAsia" w:hAnsiTheme="majorEastAsia" w:eastAsiaTheme="majorEastAsia" w:cstheme="majorEastAsia"/>
                <w:color w:val="auto"/>
                <w:kern w:val="0"/>
                <w:sz w:val="21"/>
                <w:szCs w:val="21"/>
                <w:highlight w:val="none"/>
                <w:lang w:val="en-US" w:eastAsia="zh-CN"/>
              </w:rPr>
              <w:t>2</w:t>
            </w:r>
            <w:r>
              <w:rPr>
                <w:rFonts w:hint="eastAsia" w:asciiTheme="majorEastAsia" w:hAnsiTheme="majorEastAsia" w:eastAsiaTheme="majorEastAsia" w:cstheme="majorEastAsia"/>
                <w:color w:val="auto"/>
                <w:kern w:val="0"/>
                <w:sz w:val="21"/>
                <w:szCs w:val="21"/>
                <w:highlight w:val="none"/>
              </w:rPr>
              <w:t>分)</w:t>
            </w:r>
          </w:p>
        </w:tc>
      </w:tr>
      <w:tr w14:paraId="6FC2F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8" w:hRule="atLeast"/>
          <w:tblHeader/>
          <w:jc w:val="center"/>
        </w:trPr>
        <w:tc>
          <w:tcPr>
            <w:tcW w:w="1212" w:type="dxa"/>
            <w:gridSpan w:val="2"/>
            <w:vMerge w:val="continue"/>
            <w:vAlign w:val="center"/>
          </w:tcPr>
          <w:p w14:paraId="76AFC292">
            <w:pPr>
              <w:spacing w:line="440" w:lineRule="exact"/>
              <w:ind w:firstLine="0" w:firstLineChars="0"/>
              <w:rPr>
                <w:rFonts w:hint="eastAsia" w:ascii="宋体" w:hAnsi="宋体" w:cs="宋体"/>
                <w:color w:val="auto"/>
                <w:szCs w:val="21"/>
                <w:highlight w:val="none"/>
              </w:rPr>
            </w:pPr>
          </w:p>
        </w:tc>
        <w:tc>
          <w:tcPr>
            <w:tcW w:w="1566" w:type="dxa"/>
            <w:vMerge w:val="continue"/>
            <w:vAlign w:val="center"/>
          </w:tcPr>
          <w:p w14:paraId="544D8750">
            <w:pPr>
              <w:spacing w:line="440" w:lineRule="exact"/>
              <w:ind w:firstLine="0" w:firstLineChars="0"/>
              <w:textAlignment w:val="baseline"/>
              <w:rPr>
                <w:rFonts w:hint="eastAsia" w:ascii="宋体" w:hAnsi="宋体" w:cs="宋体"/>
                <w:color w:val="auto"/>
                <w:kern w:val="0"/>
                <w:szCs w:val="21"/>
                <w:highlight w:val="none"/>
              </w:rPr>
            </w:pPr>
          </w:p>
        </w:tc>
        <w:tc>
          <w:tcPr>
            <w:tcW w:w="6058" w:type="dxa"/>
          </w:tcPr>
          <w:p w14:paraId="0A5EC1FD">
            <w:pPr>
              <w:keepNext w:val="0"/>
              <w:keepLines w:val="0"/>
              <w:pageBreakBefore w:val="0"/>
              <w:widowControl/>
              <w:kinsoku/>
              <w:wordWrap/>
              <w:overflowPunct/>
              <w:topLinePunct w:val="0"/>
              <w:autoSpaceDE/>
              <w:autoSpaceDN/>
              <w:bidi w:val="0"/>
              <w:adjustRightInd/>
              <w:snapToGrid/>
              <w:spacing w:line="440" w:lineRule="exact"/>
              <w:ind w:firstLine="0" w:firstLineChars="0"/>
              <w:jc w:val="left"/>
              <w:rPr>
                <w:rFonts w:hint="eastAsia" w:asciiTheme="majorEastAsia" w:hAnsiTheme="majorEastAsia" w:eastAsiaTheme="majorEastAsia" w:cstheme="majorEastAsia"/>
                <w:color w:val="auto"/>
                <w:kern w:val="0"/>
                <w:sz w:val="21"/>
                <w:szCs w:val="21"/>
                <w:highlight w:val="none"/>
              </w:rPr>
            </w:pPr>
            <w:r>
              <w:rPr>
                <w:rFonts w:hint="eastAsia" w:asciiTheme="majorEastAsia" w:hAnsiTheme="majorEastAsia" w:eastAsiaTheme="majorEastAsia" w:cstheme="majorEastAsia"/>
                <w:color w:val="auto"/>
                <w:kern w:val="0"/>
                <w:sz w:val="21"/>
                <w:szCs w:val="21"/>
                <w:highlight w:val="none"/>
              </w:rPr>
              <w:t>四、投标人承诺动力电池质保 10 年或100万公里，衰减≤20%得3分，未承诺或达不到要求的不得分。(满分3分)。</w:t>
            </w:r>
          </w:p>
        </w:tc>
      </w:tr>
      <w:tr w14:paraId="68A3C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8" w:hRule="atLeast"/>
          <w:tblHeader/>
          <w:jc w:val="center"/>
        </w:trPr>
        <w:tc>
          <w:tcPr>
            <w:tcW w:w="1212" w:type="dxa"/>
            <w:gridSpan w:val="2"/>
            <w:vMerge w:val="continue"/>
            <w:vAlign w:val="center"/>
          </w:tcPr>
          <w:p w14:paraId="3687EA28">
            <w:pPr>
              <w:spacing w:line="440" w:lineRule="exact"/>
              <w:ind w:firstLine="0" w:firstLineChars="0"/>
              <w:rPr>
                <w:rFonts w:hint="eastAsia" w:ascii="宋体" w:hAnsi="宋体" w:cs="宋体"/>
                <w:color w:val="auto"/>
                <w:szCs w:val="21"/>
                <w:highlight w:val="none"/>
              </w:rPr>
            </w:pPr>
          </w:p>
        </w:tc>
        <w:tc>
          <w:tcPr>
            <w:tcW w:w="1566" w:type="dxa"/>
            <w:vMerge w:val="continue"/>
            <w:vAlign w:val="center"/>
          </w:tcPr>
          <w:p w14:paraId="362211AC">
            <w:pPr>
              <w:spacing w:line="440" w:lineRule="exact"/>
              <w:ind w:firstLine="0" w:firstLineChars="0"/>
              <w:textAlignment w:val="baseline"/>
              <w:rPr>
                <w:rFonts w:hint="eastAsia" w:ascii="宋体" w:hAnsi="宋体" w:cs="宋体"/>
                <w:color w:val="auto"/>
                <w:kern w:val="0"/>
                <w:szCs w:val="21"/>
                <w:highlight w:val="none"/>
              </w:rPr>
            </w:pPr>
          </w:p>
        </w:tc>
        <w:tc>
          <w:tcPr>
            <w:tcW w:w="6058" w:type="dxa"/>
          </w:tcPr>
          <w:p w14:paraId="0EAC1145">
            <w:pPr>
              <w:keepNext w:val="0"/>
              <w:keepLines w:val="0"/>
              <w:pageBreakBefore w:val="0"/>
              <w:widowControl/>
              <w:kinsoku/>
              <w:wordWrap/>
              <w:overflowPunct/>
              <w:topLinePunct w:val="0"/>
              <w:autoSpaceDE/>
              <w:autoSpaceDN/>
              <w:bidi w:val="0"/>
              <w:adjustRightInd/>
              <w:snapToGrid/>
              <w:spacing w:line="440" w:lineRule="exact"/>
              <w:ind w:firstLine="0" w:firstLineChars="0"/>
              <w:jc w:val="left"/>
              <w:rPr>
                <w:rFonts w:hint="eastAsia" w:asciiTheme="majorEastAsia" w:hAnsiTheme="majorEastAsia" w:eastAsiaTheme="majorEastAsia" w:cstheme="majorEastAsia"/>
                <w:color w:val="auto"/>
                <w:kern w:val="0"/>
                <w:sz w:val="21"/>
                <w:szCs w:val="21"/>
                <w:highlight w:val="none"/>
              </w:rPr>
            </w:pPr>
            <w:r>
              <w:rPr>
                <w:rFonts w:hint="eastAsia" w:asciiTheme="majorEastAsia" w:hAnsiTheme="majorEastAsia" w:eastAsiaTheme="majorEastAsia" w:cstheme="majorEastAsia"/>
                <w:color w:val="auto"/>
                <w:kern w:val="0"/>
                <w:sz w:val="21"/>
                <w:szCs w:val="21"/>
                <w:highlight w:val="none"/>
              </w:rPr>
              <w:t>五、投标人承诺电机、电控系统质保</w:t>
            </w:r>
            <w:r>
              <w:rPr>
                <w:rFonts w:hint="eastAsia" w:asciiTheme="majorEastAsia" w:hAnsiTheme="majorEastAsia" w:eastAsiaTheme="majorEastAsia" w:cstheme="majorEastAsia"/>
                <w:color w:val="auto"/>
                <w:kern w:val="0"/>
                <w:sz w:val="21"/>
                <w:szCs w:val="21"/>
                <w:highlight w:val="none"/>
                <w:lang w:val="en-US" w:eastAsia="zh-CN"/>
              </w:rPr>
              <w:t>10</w:t>
            </w:r>
            <w:r>
              <w:rPr>
                <w:rFonts w:hint="eastAsia" w:asciiTheme="majorEastAsia" w:hAnsiTheme="majorEastAsia" w:eastAsiaTheme="majorEastAsia" w:cstheme="majorEastAsia"/>
                <w:color w:val="auto"/>
                <w:kern w:val="0"/>
                <w:sz w:val="21"/>
                <w:szCs w:val="21"/>
                <w:highlight w:val="none"/>
              </w:rPr>
              <w:t>年得</w:t>
            </w:r>
            <w:r>
              <w:rPr>
                <w:rFonts w:hint="eastAsia" w:asciiTheme="majorEastAsia" w:hAnsiTheme="majorEastAsia" w:eastAsiaTheme="majorEastAsia" w:cstheme="majorEastAsia"/>
                <w:color w:val="auto"/>
                <w:kern w:val="0"/>
                <w:sz w:val="21"/>
                <w:szCs w:val="21"/>
                <w:highlight w:val="none"/>
                <w:lang w:val="en-US" w:eastAsia="zh-CN"/>
              </w:rPr>
              <w:t>2</w:t>
            </w:r>
            <w:r>
              <w:rPr>
                <w:rFonts w:hint="eastAsia" w:asciiTheme="majorEastAsia" w:hAnsiTheme="majorEastAsia" w:eastAsiaTheme="majorEastAsia" w:cstheme="majorEastAsia"/>
                <w:color w:val="auto"/>
                <w:kern w:val="0"/>
                <w:sz w:val="21"/>
                <w:szCs w:val="21"/>
                <w:highlight w:val="none"/>
              </w:rPr>
              <w:t>分，未承诺或达不到要求不得分(满分</w:t>
            </w:r>
            <w:r>
              <w:rPr>
                <w:rFonts w:hint="eastAsia" w:asciiTheme="majorEastAsia" w:hAnsiTheme="majorEastAsia" w:eastAsiaTheme="majorEastAsia" w:cstheme="majorEastAsia"/>
                <w:color w:val="auto"/>
                <w:kern w:val="0"/>
                <w:sz w:val="21"/>
                <w:szCs w:val="21"/>
                <w:highlight w:val="none"/>
                <w:lang w:val="en-US" w:eastAsia="zh-CN"/>
              </w:rPr>
              <w:t>2</w:t>
            </w:r>
            <w:r>
              <w:rPr>
                <w:rFonts w:hint="eastAsia" w:asciiTheme="majorEastAsia" w:hAnsiTheme="majorEastAsia" w:eastAsiaTheme="majorEastAsia" w:cstheme="majorEastAsia"/>
                <w:color w:val="auto"/>
                <w:kern w:val="0"/>
                <w:sz w:val="21"/>
                <w:szCs w:val="21"/>
                <w:highlight w:val="none"/>
              </w:rPr>
              <w:t>分)。</w:t>
            </w:r>
          </w:p>
        </w:tc>
      </w:tr>
      <w:tr w14:paraId="327D6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8" w:hRule="atLeast"/>
          <w:tblHeader/>
          <w:jc w:val="center"/>
        </w:trPr>
        <w:tc>
          <w:tcPr>
            <w:tcW w:w="1212" w:type="dxa"/>
            <w:gridSpan w:val="2"/>
            <w:vMerge w:val="continue"/>
            <w:vAlign w:val="center"/>
          </w:tcPr>
          <w:p w14:paraId="6941EED8">
            <w:pPr>
              <w:spacing w:line="440" w:lineRule="exact"/>
              <w:ind w:firstLine="0" w:firstLineChars="0"/>
              <w:rPr>
                <w:rFonts w:hint="eastAsia" w:ascii="宋体" w:hAnsi="宋体" w:cs="宋体"/>
                <w:color w:val="auto"/>
                <w:szCs w:val="21"/>
                <w:highlight w:val="none"/>
              </w:rPr>
            </w:pPr>
          </w:p>
        </w:tc>
        <w:tc>
          <w:tcPr>
            <w:tcW w:w="1566" w:type="dxa"/>
            <w:vMerge w:val="continue"/>
            <w:vAlign w:val="center"/>
          </w:tcPr>
          <w:p w14:paraId="698FDAE7">
            <w:pPr>
              <w:spacing w:line="440" w:lineRule="exact"/>
              <w:ind w:firstLine="0" w:firstLineChars="0"/>
              <w:textAlignment w:val="baseline"/>
              <w:rPr>
                <w:rFonts w:hint="eastAsia" w:ascii="宋体" w:hAnsi="宋体" w:cs="宋体"/>
                <w:color w:val="auto"/>
                <w:kern w:val="0"/>
                <w:szCs w:val="21"/>
                <w:highlight w:val="none"/>
              </w:rPr>
            </w:pPr>
          </w:p>
        </w:tc>
        <w:tc>
          <w:tcPr>
            <w:tcW w:w="6058" w:type="dxa"/>
          </w:tcPr>
          <w:p w14:paraId="690575C5">
            <w:pPr>
              <w:keepNext w:val="0"/>
              <w:keepLines w:val="0"/>
              <w:pageBreakBefore w:val="0"/>
              <w:widowControl/>
              <w:kinsoku/>
              <w:wordWrap/>
              <w:overflowPunct/>
              <w:topLinePunct w:val="0"/>
              <w:autoSpaceDE/>
              <w:autoSpaceDN/>
              <w:bidi w:val="0"/>
              <w:adjustRightInd/>
              <w:snapToGrid/>
              <w:spacing w:line="440" w:lineRule="exact"/>
              <w:ind w:firstLine="0" w:firstLineChars="0"/>
              <w:jc w:val="left"/>
              <w:rPr>
                <w:rFonts w:hint="eastAsia" w:asciiTheme="majorEastAsia" w:hAnsiTheme="majorEastAsia" w:eastAsiaTheme="majorEastAsia" w:cstheme="majorEastAsia"/>
                <w:color w:val="auto"/>
                <w:kern w:val="0"/>
                <w:sz w:val="21"/>
                <w:szCs w:val="21"/>
                <w:highlight w:val="none"/>
              </w:rPr>
            </w:pPr>
            <w:r>
              <w:rPr>
                <w:rFonts w:hint="eastAsia" w:asciiTheme="majorEastAsia" w:hAnsiTheme="majorEastAsia" w:eastAsiaTheme="majorEastAsia" w:cstheme="majorEastAsia"/>
                <w:color w:val="auto"/>
                <w:kern w:val="0"/>
                <w:sz w:val="21"/>
                <w:szCs w:val="21"/>
                <w:highlight w:val="none"/>
              </w:rPr>
              <w:t>六、投标人承诺空调质保</w:t>
            </w:r>
            <w:r>
              <w:rPr>
                <w:rFonts w:hint="eastAsia" w:asciiTheme="majorEastAsia" w:hAnsiTheme="majorEastAsia" w:eastAsiaTheme="majorEastAsia" w:cstheme="majorEastAsia"/>
                <w:color w:val="auto"/>
                <w:kern w:val="0"/>
                <w:sz w:val="21"/>
                <w:szCs w:val="21"/>
                <w:highlight w:val="none"/>
                <w:lang w:val="en-US" w:eastAsia="zh-CN"/>
              </w:rPr>
              <w:t>6</w:t>
            </w:r>
            <w:r>
              <w:rPr>
                <w:rFonts w:hint="eastAsia" w:asciiTheme="majorEastAsia" w:hAnsiTheme="majorEastAsia" w:eastAsiaTheme="majorEastAsia" w:cstheme="majorEastAsia"/>
                <w:color w:val="auto"/>
                <w:kern w:val="0"/>
                <w:sz w:val="21"/>
                <w:szCs w:val="21"/>
                <w:highlight w:val="none"/>
              </w:rPr>
              <w:t>年得2分，未承诺或达不到要求不得分。(满分2分)。</w:t>
            </w:r>
          </w:p>
        </w:tc>
      </w:tr>
      <w:tr w14:paraId="39E64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1212" w:type="dxa"/>
            <w:gridSpan w:val="2"/>
            <w:vMerge w:val="continue"/>
            <w:vAlign w:val="center"/>
          </w:tcPr>
          <w:p w14:paraId="02092371">
            <w:pPr>
              <w:spacing w:line="440" w:lineRule="exact"/>
              <w:rPr>
                <w:rFonts w:hint="eastAsia" w:ascii="宋体" w:hAnsi="宋体" w:cs="宋体"/>
                <w:color w:val="auto"/>
                <w:szCs w:val="21"/>
                <w:highlight w:val="none"/>
              </w:rPr>
            </w:pPr>
          </w:p>
        </w:tc>
        <w:tc>
          <w:tcPr>
            <w:tcW w:w="1566" w:type="dxa"/>
            <w:vMerge w:val="continue"/>
            <w:vAlign w:val="center"/>
          </w:tcPr>
          <w:p w14:paraId="4697D3F3">
            <w:pPr>
              <w:spacing w:line="440" w:lineRule="exact"/>
              <w:ind w:firstLine="0" w:firstLineChars="0"/>
              <w:textAlignment w:val="baseline"/>
              <w:rPr>
                <w:rFonts w:hint="eastAsia" w:ascii="宋体" w:hAnsi="宋体" w:cs="宋体"/>
                <w:color w:val="auto"/>
                <w:kern w:val="0"/>
                <w:szCs w:val="21"/>
                <w:highlight w:val="none"/>
              </w:rPr>
            </w:pPr>
          </w:p>
        </w:tc>
        <w:tc>
          <w:tcPr>
            <w:tcW w:w="6058" w:type="dxa"/>
            <w:vAlign w:val="center"/>
          </w:tcPr>
          <w:p w14:paraId="2E1CB4F0">
            <w:pPr>
              <w:keepNext w:val="0"/>
              <w:keepLines w:val="0"/>
              <w:pageBreakBefore w:val="0"/>
              <w:kinsoku/>
              <w:wordWrap/>
              <w:overflowPunct/>
              <w:topLinePunct w:val="0"/>
              <w:autoSpaceDE/>
              <w:autoSpaceDN/>
              <w:bidi w:val="0"/>
              <w:adjustRightInd/>
              <w:snapToGrid/>
              <w:spacing w:line="440" w:lineRule="exact"/>
              <w:ind w:firstLine="0" w:firstLineChars="0"/>
              <w:jc w:val="left"/>
              <w:textAlignment w:val="baseline"/>
              <w:rPr>
                <w:rFonts w:hint="default" w:asciiTheme="majorEastAsia" w:hAnsiTheme="majorEastAsia" w:eastAsiaTheme="majorEastAsia" w:cstheme="majorEastAsia"/>
                <w:color w:val="auto"/>
                <w:kern w:val="0"/>
                <w:sz w:val="21"/>
                <w:szCs w:val="21"/>
                <w:highlight w:val="none"/>
                <w:lang w:val="en-US"/>
              </w:rPr>
            </w:pPr>
            <w:r>
              <w:rPr>
                <w:rFonts w:hint="eastAsia" w:asciiTheme="majorEastAsia" w:hAnsiTheme="majorEastAsia" w:eastAsiaTheme="majorEastAsia" w:cstheme="majorEastAsia"/>
                <w:color w:val="auto"/>
                <w:kern w:val="0"/>
                <w:sz w:val="21"/>
                <w:szCs w:val="21"/>
                <w:highlight w:val="none"/>
                <w:lang w:val="en-US" w:eastAsia="zh-CN"/>
              </w:rPr>
              <w:t>七</w:t>
            </w:r>
            <w:r>
              <w:rPr>
                <w:rFonts w:hint="eastAsia" w:asciiTheme="majorEastAsia" w:hAnsiTheme="majorEastAsia" w:eastAsiaTheme="majorEastAsia" w:cstheme="majorEastAsia"/>
                <w:color w:val="auto"/>
                <w:kern w:val="0"/>
                <w:sz w:val="21"/>
                <w:szCs w:val="21"/>
                <w:highlight w:val="none"/>
              </w:rPr>
              <w:t>、</w:t>
            </w:r>
            <w:r>
              <w:rPr>
                <w:rFonts w:hint="eastAsia" w:asciiTheme="majorEastAsia" w:hAnsiTheme="majorEastAsia" w:eastAsiaTheme="majorEastAsia" w:cstheme="majorEastAsia"/>
                <w:b w:val="0"/>
                <w:color w:val="auto"/>
                <w:spacing w:val="0"/>
                <w:kern w:val="0"/>
                <w:sz w:val="21"/>
                <w:szCs w:val="21"/>
                <w:highlight w:val="none"/>
                <w:lang w:val="en-US" w:eastAsia="zh-CN" w:bidi="ar-SA"/>
              </w:rPr>
              <w:t>整车质保期：车辆上牌投入运行后36个月的得基础分1分，每增加一年加1分，加满为止（满分3分）。（备注：若是授权经销商投标的1、须提供所投品牌生产制造商的质量保证及售后服务承诺和措施（生产制造商加盖公章）及授权经销商自身的质量保证及售后）服务承诺和措施）。</w:t>
            </w:r>
          </w:p>
        </w:tc>
      </w:tr>
      <w:tr w14:paraId="0CCCA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exact"/>
          <w:tblHeader/>
          <w:jc w:val="center"/>
        </w:trPr>
        <w:tc>
          <w:tcPr>
            <w:tcW w:w="2778" w:type="dxa"/>
            <w:gridSpan w:val="3"/>
            <w:vAlign w:val="center"/>
          </w:tcPr>
          <w:p w14:paraId="6A94FFEF">
            <w:pPr>
              <w:widowControl/>
              <w:spacing w:line="440" w:lineRule="exact"/>
              <w:ind w:firstLine="0" w:firstLineChars="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条款号</w:t>
            </w:r>
          </w:p>
        </w:tc>
        <w:tc>
          <w:tcPr>
            <w:tcW w:w="6058" w:type="dxa"/>
            <w:vAlign w:val="center"/>
          </w:tcPr>
          <w:p w14:paraId="64F492F1">
            <w:pPr>
              <w:widowControl/>
              <w:spacing w:line="440" w:lineRule="exact"/>
              <w:ind w:firstLine="0" w:firstLineChars="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编列内容</w:t>
            </w:r>
          </w:p>
        </w:tc>
      </w:tr>
      <w:tr w14:paraId="43321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exact"/>
          <w:tblHeader/>
          <w:jc w:val="center"/>
        </w:trPr>
        <w:tc>
          <w:tcPr>
            <w:tcW w:w="0" w:type="auto"/>
            <w:gridSpan w:val="2"/>
            <w:vAlign w:val="center"/>
          </w:tcPr>
          <w:p w14:paraId="7BEE10FF">
            <w:pPr>
              <w:widowControl/>
              <w:spacing w:line="440" w:lineRule="exact"/>
              <w:ind w:firstLine="0" w:firstLineChars="0"/>
              <w:jc w:val="center"/>
              <w:rPr>
                <w:rFonts w:hint="eastAsia" w:ascii="宋体" w:hAnsi="宋体" w:cs="宋体"/>
                <w:color w:val="auto"/>
                <w:szCs w:val="21"/>
                <w:highlight w:val="none"/>
              </w:rPr>
            </w:pPr>
            <w:r>
              <w:rPr>
                <w:rFonts w:hint="eastAsia" w:ascii="宋体" w:hAnsi="宋体" w:cs="宋体"/>
                <w:color w:val="auto"/>
                <w:szCs w:val="21"/>
                <w:highlight w:val="none"/>
              </w:rPr>
              <w:t>3</w:t>
            </w:r>
          </w:p>
        </w:tc>
        <w:tc>
          <w:tcPr>
            <w:tcW w:w="1566" w:type="dxa"/>
            <w:vAlign w:val="center"/>
          </w:tcPr>
          <w:p w14:paraId="53B4B773">
            <w:pPr>
              <w:widowControl/>
              <w:spacing w:line="440" w:lineRule="exact"/>
              <w:ind w:firstLine="0" w:firstLineChars="0"/>
              <w:jc w:val="left"/>
              <w:rPr>
                <w:rFonts w:hint="eastAsia" w:ascii="宋体" w:hAnsi="宋体" w:cs="宋体"/>
                <w:color w:val="auto"/>
                <w:szCs w:val="21"/>
                <w:highlight w:val="none"/>
              </w:rPr>
            </w:pPr>
            <w:r>
              <w:rPr>
                <w:rFonts w:hint="eastAsia" w:ascii="宋体" w:hAnsi="宋体" w:cs="宋体"/>
                <w:color w:val="auto"/>
                <w:szCs w:val="21"/>
                <w:highlight w:val="none"/>
              </w:rPr>
              <w:t>评标程序</w:t>
            </w:r>
          </w:p>
        </w:tc>
        <w:tc>
          <w:tcPr>
            <w:tcW w:w="6058" w:type="dxa"/>
            <w:vAlign w:val="center"/>
          </w:tcPr>
          <w:p w14:paraId="111A91C5">
            <w:pPr>
              <w:widowControl/>
              <w:spacing w:line="440" w:lineRule="exact"/>
              <w:ind w:firstLine="0" w:firstLineChars="0"/>
              <w:jc w:val="left"/>
              <w:rPr>
                <w:rFonts w:hint="eastAsia" w:ascii="宋体" w:hAnsi="宋体" w:cs="宋体"/>
                <w:color w:val="auto"/>
                <w:szCs w:val="21"/>
                <w:highlight w:val="none"/>
              </w:rPr>
            </w:pPr>
            <w:r>
              <w:rPr>
                <w:rFonts w:hint="eastAsia" w:ascii="宋体" w:hAnsi="宋体" w:cs="宋体"/>
                <w:color w:val="auto"/>
                <w:szCs w:val="21"/>
                <w:highlight w:val="none"/>
              </w:rPr>
              <w:t>详见本章附件A：评标详细程序</w:t>
            </w:r>
          </w:p>
        </w:tc>
      </w:tr>
      <w:tr w14:paraId="1551E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exact"/>
          <w:tblHeader/>
          <w:jc w:val="center"/>
        </w:trPr>
        <w:tc>
          <w:tcPr>
            <w:tcW w:w="0" w:type="auto"/>
            <w:gridSpan w:val="2"/>
            <w:vAlign w:val="center"/>
          </w:tcPr>
          <w:p w14:paraId="3AF07035">
            <w:pPr>
              <w:widowControl/>
              <w:spacing w:line="440" w:lineRule="exact"/>
              <w:ind w:firstLine="0" w:firstLineChars="0"/>
              <w:jc w:val="center"/>
              <w:rPr>
                <w:rFonts w:hint="eastAsia" w:ascii="宋体" w:hAnsi="宋体" w:cs="宋体"/>
                <w:color w:val="auto"/>
                <w:szCs w:val="21"/>
                <w:highlight w:val="none"/>
              </w:rPr>
            </w:pPr>
            <w:r>
              <w:rPr>
                <w:rFonts w:hint="eastAsia" w:ascii="宋体" w:hAnsi="宋体" w:cs="宋体"/>
                <w:color w:val="auto"/>
                <w:szCs w:val="21"/>
                <w:highlight w:val="none"/>
              </w:rPr>
              <w:t>3.1.2</w:t>
            </w:r>
          </w:p>
        </w:tc>
        <w:tc>
          <w:tcPr>
            <w:tcW w:w="1566" w:type="dxa"/>
            <w:vAlign w:val="center"/>
          </w:tcPr>
          <w:p w14:paraId="7B6D09AE">
            <w:pPr>
              <w:widowControl/>
              <w:spacing w:line="440" w:lineRule="exact"/>
              <w:ind w:firstLine="0" w:firstLineChars="0"/>
              <w:jc w:val="left"/>
              <w:rPr>
                <w:rFonts w:hint="eastAsia" w:ascii="宋体" w:hAnsi="宋体" w:cs="宋体"/>
                <w:color w:val="auto"/>
                <w:szCs w:val="21"/>
                <w:highlight w:val="none"/>
              </w:rPr>
            </w:pPr>
            <w:r>
              <w:rPr>
                <w:rFonts w:hint="eastAsia" w:ascii="宋体" w:hAnsi="宋体" w:cs="宋体"/>
                <w:color w:val="auto"/>
                <w:szCs w:val="21"/>
                <w:highlight w:val="none"/>
              </w:rPr>
              <w:t>否决投标条件</w:t>
            </w:r>
          </w:p>
        </w:tc>
        <w:tc>
          <w:tcPr>
            <w:tcW w:w="6058" w:type="dxa"/>
            <w:vAlign w:val="center"/>
          </w:tcPr>
          <w:p w14:paraId="52706828">
            <w:pPr>
              <w:widowControl/>
              <w:spacing w:line="440" w:lineRule="exact"/>
              <w:ind w:firstLine="0" w:firstLineChars="0"/>
              <w:jc w:val="left"/>
              <w:rPr>
                <w:rFonts w:hint="eastAsia" w:ascii="宋体" w:hAnsi="宋体" w:cs="宋体"/>
                <w:color w:val="auto"/>
                <w:szCs w:val="21"/>
                <w:highlight w:val="none"/>
              </w:rPr>
            </w:pPr>
            <w:r>
              <w:rPr>
                <w:rFonts w:hint="eastAsia" w:ascii="宋体" w:hAnsi="宋体" w:cs="宋体"/>
                <w:color w:val="auto"/>
                <w:szCs w:val="21"/>
                <w:highlight w:val="none"/>
              </w:rPr>
              <w:t>详见本章附件B：否决投标条件</w:t>
            </w:r>
          </w:p>
        </w:tc>
      </w:tr>
      <w:tr w14:paraId="6A7E5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exact"/>
          <w:tblHeader/>
          <w:jc w:val="center"/>
        </w:trPr>
        <w:tc>
          <w:tcPr>
            <w:tcW w:w="0" w:type="auto"/>
            <w:gridSpan w:val="2"/>
            <w:vAlign w:val="center"/>
          </w:tcPr>
          <w:p w14:paraId="67989647">
            <w:pPr>
              <w:widowControl/>
              <w:spacing w:line="440" w:lineRule="exact"/>
              <w:ind w:firstLine="0" w:firstLineChars="0"/>
              <w:jc w:val="center"/>
              <w:rPr>
                <w:rFonts w:hint="eastAsia" w:ascii="宋体" w:hAnsi="宋体" w:cs="宋体"/>
                <w:color w:val="auto"/>
                <w:szCs w:val="21"/>
                <w:highlight w:val="none"/>
              </w:rPr>
            </w:pPr>
            <w:r>
              <w:rPr>
                <w:rFonts w:hint="eastAsia" w:ascii="宋体" w:hAnsi="宋体" w:cs="宋体"/>
                <w:color w:val="auto"/>
                <w:szCs w:val="21"/>
                <w:highlight w:val="none"/>
              </w:rPr>
              <w:t>说明</w:t>
            </w:r>
          </w:p>
        </w:tc>
        <w:tc>
          <w:tcPr>
            <w:tcW w:w="0" w:type="auto"/>
            <w:gridSpan w:val="2"/>
            <w:vAlign w:val="center"/>
          </w:tcPr>
          <w:p w14:paraId="37884107">
            <w:pPr>
              <w:widowControl/>
              <w:spacing w:line="440" w:lineRule="exact"/>
              <w:ind w:firstLine="0" w:firstLineChars="0"/>
              <w:jc w:val="left"/>
              <w:rPr>
                <w:rFonts w:hint="eastAsia" w:ascii="宋体" w:hAnsi="宋体" w:cs="宋体"/>
                <w:color w:val="auto"/>
                <w:szCs w:val="21"/>
                <w:highlight w:val="none"/>
              </w:rPr>
            </w:pPr>
            <w:r>
              <w:rPr>
                <w:rFonts w:hint="eastAsia" w:ascii="宋体" w:hAnsi="宋体" w:cs="宋体"/>
                <w:color w:val="auto"/>
                <w:szCs w:val="21"/>
                <w:highlight w:val="none"/>
              </w:rPr>
              <w:t>各评分因素得分应以评标委员会各成员的打分平均值确定。</w:t>
            </w:r>
          </w:p>
        </w:tc>
      </w:tr>
    </w:tbl>
    <w:p w14:paraId="65FC1EB6">
      <w:pPr>
        <w:spacing w:line="440" w:lineRule="exact"/>
        <w:ind w:firstLine="0" w:firstLineChars="0"/>
        <w:rPr>
          <w:rFonts w:hint="eastAsia" w:ascii="宋体" w:hAnsi="宋体" w:cs="宋体"/>
          <w:color w:val="auto"/>
          <w:szCs w:val="21"/>
          <w:highlight w:val="none"/>
        </w:rPr>
      </w:pPr>
      <w:r>
        <w:rPr>
          <w:rFonts w:hint="eastAsia" w:ascii="宋体" w:hAnsi="宋体" w:cs="宋体"/>
          <w:b/>
          <w:color w:val="auto"/>
          <w:sz w:val="24"/>
          <w:highlight w:val="none"/>
        </w:rPr>
        <w:br w:type="page"/>
      </w:r>
      <w:bookmarkStart w:id="62" w:name="_Toc417634874"/>
      <w:bookmarkStart w:id="63" w:name="_Toc407114937"/>
      <w:r>
        <w:rPr>
          <w:rFonts w:hint="eastAsia" w:ascii="宋体" w:hAnsi="宋体" w:cs="宋体"/>
          <w:color w:val="auto"/>
          <w:szCs w:val="21"/>
          <w:highlight w:val="none"/>
        </w:rPr>
        <w:t>1. 评标方法</w:t>
      </w:r>
    </w:p>
    <w:p w14:paraId="4B9A9962">
      <w:pPr>
        <w:spacing w:line="440" w:lineRule="exact"/>
        <w:ind w:firstLine="386" w:firstLineChars="184"/>
        <w:rPr>
          <w:rFonts w:hint="eastAsia" w:ascii="宋体" w:hAnsi="宋体" w:cs="宋体"/>
          <w:color w:val="auto"/>
          <w:szCs w:val="21"/>
          <w:highlight w:val="none"/>
        </w:rPr>
      </w:pPr>
      <w:r>
        <w:rPr>
          <w:rFonts w:hint="eastAsia" w:ascii="宋体" w:hAnsi="宋体" w:cs="宋体"/>
          <w:color w:val="auto"/>
          <w:highlight w:val="none"/>
        </w:rPr>
        <w:t>本次评标采用综合评分法。评标委员会应按照得分的高低推荐中标候选人，推荐的中标候选人应当限定在一至三人，并标明排列。评标委员会应推荐得分最高的投标人为第一中标候选人</w:t>
      </w:r>
      <w:r>
        <w:rPr>
          <w:rFonts w:hint="eastAsia" w:ascii="宋体" w:hAnsi="宋体" w:cs="宋体"/>
          <w:color w:val="auto"/>
          <w:szCs w:val="21"/>
          <w:highlight w:val="none"/>
        </w:rPr>
        <w:t>，若出现推荐中标候选人之一无故不履行合同则由推荐排名前三名中标候选人顺序承接。</w:t>
      </w:r>
    </w:p>
    <w:p w14:paraId="4706BDCE">
      <w:pPr>
        <w:spacing w:line="440" w:lineRule="exact"/>
        <w:ind w:firstLine="0" w:firstLineChars="0"/>
        <w:rPr>
          <w:rFonts w:hint="eastAsia" w:ascii="宋体" w:hAnsi="宋体" w:cs="宋体"/>
          <w:color w:val="auto"/>
          <w:szCs w:val="21"/>
          <w:highlight w:val="none"/>
        </w:rPr>
      </w:pPr>
      <w:r>
        <w:rPr>
          <w:rFonts w:hint="eastAsia" w:ascii="宋体" w:hAnsi="宋体" w:cs="宋体"/>
          <w:color w:val="auto"/>
          <w:szCs w:val="21"/>
          <w:highlight w:val="none"/>
        </w:rPr>
        <w:t>2. 评审标准</w:t>
      </w:r>
    </w:p>
    <w:p w14:paraId="407B7518">
      <w:pPr>
        <w:spacing w:line="440" w:lineRule="exact"/>
        <w:ind w:firstLine="283" w:firstLineChars="135"/>
        <w:rPr>
          <w:rFonts w:hint="eastAsia" w:ascii="宋体" w:hAnsi="宋体" w:cs="宋体"/>
          <w:color w:val="auto"/>
          <w:szCs w:val="21"/>
          <w:highlight w:val="none"/>
        </w:rPr>
      </w:pPr>
      <w:r>
        <w:rPr>
          <w:rFonts w:hint="eastAsia" w:ascii="宋体" w:hAnsi="宋体" w:cs="宋体"/>
          <w:color w:val="auto"/>
          <w:szCs w:val="21"/>
          <w:highlight w:val="none"/>
        </w:rPr>
        <w:t>2.1 初步评审标准</w:t>
      </w:r>
    </w:p>
    <w:p w14:paraId="34344872">
      <w:pPr>
        <w:spacing w:line="440" w:lineRule="exact"/>
        <w:ind w:firstLine="283" w:firstLineChars="135"/>
        <w:rPr>
          <w:rFonts w:hint="eastAsia" w:ascii="宋体" w:hAnsi="宋体" w:cs="宋体"/>
          <w:color w:val="auto"/>
          <w:szCs w:val="21"/>
          <w:highlight w:val="none"/>
        </w:rPr>
      </w:pPr>
      <w:r>
        <w:rPr>
          <w:rFonts w:hint="eastAsia" w:ascii="宋体" w:hAnsi="宋体" w:cs="宋体"/>
          <w:color w:val="auto"/>
          <w:szCs w:val="21"/>
          <w:highlight w:val="none"/>
        </w:rPr>
        <w:t>2.1.1 形式评审标准：见评标办法前附表。</w:t>
      </w:r>
    </w:p>
    <w:p w14:paraId="51E8AC01">
      <w:pPr>
        <w:spacing w:line="440" w:lineRule="exact"/>
        <w:ind w:firstLine="283" w:firstLineChars="135"/>
        <w:rPr>
          <w:rFonts w:hint="eastAsia" w:ascii="宋体" w:hAnsi="宋体" w:cs="宋体"/>
          <w:color w:val="auto"/>
          <w:szCs w:val="21"/>
          <w:highlight w:val="none"/>
        </w:rPr>
      </w:pPr>
      <w:r>
        <w:rPr>
          <w:rFonts w:hint="eastAsia" w:ascii="宋体" w:hAnsi="宋体" w:cs="宋体"/>
          <w:color w:val="auto"/>
          <w:szCs w:val="21"/>
          <w:highlight w:val="none"/>
        </w:rPr>
        <w:t>2.1.2 资格评审标准：见评标办法前附表。</w:t>
      </w:r>
    </w:p>
    <w:p w14:paraId="7ABA2516">
      <w:pPr>
        <w:spacing w:line="440" w:lineRule="exact"/>
        <w:ind w:firstLine="283" w:firstLineChars="135"/>
        <w:rPr>
          <w:rFonts w:hint="eastAsia" w:ascii="宋体" w:hAnsi="宋体" w:cs="宋体"/>
          <w:color w:val="auto"/>
          <w:szCs w:val="21"/>
          <w:highlight w:val="none"/>
        </w:rPr>
      </w:pPr>
      <w:r>
        <w:rPr>
          <w:rFonts w:hint="eastAsia" w:ascii="宋体" w:hAnsi="宋体" w:cs="宋体"/>
          <w:color w:val="auto"/>
          <w:szCs w:val="21"/>
          <w:highlight w:val="none"/>
        </w:rPr>
        <w:t>2.1.3响应性评审标准：见评标办法前附表。</w:t>
      </w:r>
    </w:p>
    <w:p w14:paraId="58CAA3A6">
      <w:pPr>
        <w:spacing w:line="440" w:lineRule="exact"/>
        <w:ind w:firstLine="283" w:firstLineChars="135"/>
        <w:rPr>
          <w:rFonts w:hint="eastAsia" w:ascii="宋体" w:hAnsi="宋体" w:cs="宋体"/>
          <w:color w:val="auto"/>
          <w:szCs w:val="21"/>
          <w:highlight w:val="none"/>
        </w:rPr>
      </w:pPr>
      <w:r>
        <w:rPr>
          <w:rFonts w:hint="eastAsia" w:ascii="宋体" w:hAnsi="宋体" w:cs="宋体"/>
          <w:color w:val="auto"/>
          <w:szCs w:val="21"/>
          <w:highlight w:val="none"/>
        </w:rPr>
        <w:t>2.2 详细评审标准：见评标办法前附表。</w:t>
      </w:r>
    </w:p>
    <w:p w14:paraId="3D73D8C1">
      <w:pPr>
        <w:spacing w:line="440" w:lineRule="exact"/>
        <w:ind w:firstLine="0" w:firstLineChars="0"/>
        <w:rPr>
          <w:rFonts w:hint="eastAsia" w:ascii="宋体" w:hAnsi="宋体" w:cs="宋体"/>
          <w:color w:val="auto"/>
          <w:szCs w:val="21"/>
          <w:highlight w:val="none"/>
        </w:rPr>
      </w:pPr>
      <w:r>
        <w:rPr>
          <w:rFonts w:hint="eastAsia" w:ascii="宋体" w:hAnsi="宋体" w:cs="宋体"/>
          <w:color w:val="auto"/>
          <w:szCs w:val="21"/>
          <w:highlight w:val="none"/>
        </w:rPr>
        <w:t>3. 评标程序</w:t>
      </w:r>
    </w:p>
    <w:p w14:paraId="71468538">
      <w:pPr>
        <w:spacing w:line="440" w:lineRule="exact"/>
        <w:ind w:firstLine="283" w:firstLineChars="135"/>
        <w:rPr>
          <w:rFonts w:hint="eastAsia" w:ascii="宋体" w:hAnsi="宋体" w:cs="宋体"/>
          <w:color w:val="auto"/>
          <w:szCs w:val="21"/>
          <w:highlight w:val="none"/>
        </w:rPr>
      </w:pPr>
      <w:r>
        <w:rPr>
          <w:rFonts w:hint="eastAsia" w:ascii="宋体" w:hAnsi="宋体" w:cs="宋体"/>
          <w:color w:val="auto"/>
          <w:szCs w:val="21"/>
          <w:highlight w:val="none"/>
        </w:rPr>
        <w:t>3.1 初步评审</w:t>
      </w:r>
    </w:p>
    <w:p w14:paraId="18B6A911">
      <w:pPr>
        <w:spacing w:line="440" w:lineRule="exact"/>
        <w:ind w:firstLine="283" w:firstLineChars="135"/>
        <w:rPr>
          <w:rFonts w:hint="eastAsia" w:ascii="宋体" w:hAnsi="宋体" w:cs="宋体"/>
          <w:color w:val="auto"/>
          <w:szCs w:val="21"/>
          <w:highlight w:val="none"/>
        </w:rPr>
      </w:pPr>
      <w:r>
        <w:rPr>
          <w:rFonts w:hint="eastAsia" w:ascii="宋体" w:hAnsi="宋体" w:cs="宋体"/>
          <w:color w:val="auto"/>
          <w:szCs w:val="21"/>
          <w:highlight w:val="none"/>
        </w:rPr>
        <w:t>3.1.1 评标委员会依据本章第2.1.1项、第2.1.2项、第2.1.3项顺序及规定的评审标准对投标文件进行初步评审。有一项不符合评审标准的，作否决投标处理。</w:t>
      </w:r>
    </w:p>
    <w:p w14:paraId="6DFB31D1">
      <w:pPr>
        <w:spacing w:line="440" w:lineRule="exact"/>
        <w:ind w:firstLine="283" w:firstLineChars="135"/>
        <w:rPr>
          <w:rFonts w:hint="eastAsia" w:ascii="宋体" w:hAnsi="宋体" w:cs="宋体"/>
          <w:color w:val="auto"/>
          <w:szCs w:val="21"/>
          <w:highlight w:val="none"/>
        </w:rPr>
      </w:pPr>
      <w:r>
        <w:rPr>
          <w:rFonts w:hint="eastAsia" w:ascii="宋体" w:hAnsi="宋体" w:cs="宋体"/>
          <w:color w:val="auto"/>
          <w:szCs w:val="21"/>
          <w:highlight w:val="none"/>
        </w:rPr>
        <w:t>3.1.2投标报价有算术错误的，评标委员会按以下原则对投标报价进行修正，修正的价格经投标人书面确认后具有约束力。投标人不接受修正价格的，其投标作否决投标处理。</w:t>
      </w:r>
    </w:p>
    <w:p w14:paraId="52245A10">
      <w:pPr>
        <w:spacing w:line="440" w:lineRule="exact"/>
        <w:ind w:firstLine="283" w:firstLineChars="135"/>
        <w:rPr>
          <w:rFonts w:hint="eastAsia" w:ascii="宋体" w:hAnsi="宋体" w:cs="宋体"/>
          <w:color w:val="auto"/>
          <w:szCs w:val="21"/>
          <w:highlight w:val="none"/>
        </w:rPr>
      </w:pPr>
      <w:r>
        <w:rPr>
          <w:rFonts w:hint="eastAsia" w:ascii="宋体" w:hAnsi="宋体" w:cs="宋体"/>
          <w:color w:val="auto"/>
          <w:szCs w:val="21"/>
          <w:highlight w:val="none"/>
        </w:rPr>
        <w:t>（1）投标文件中的大写金额与小写金额不一致的，以大写金额为准；</w:t>
      </w:r>
    </w:p>
    <w:p w14:paraId="3E74218A">
      <w:pPr>
        <w:spacing w:line="440" w:lineRule="exact"/>
        <w:ind w:firstLine="283" w:firstLineChars="135"/>
        <w:rPr>
          <w:rFonts w:hint="eastAsia" w:ascii="宋体" w:hAnsi="宋体" w:cs="宋体"/>
          <w:color w:val="auto"/>
          <w:szCs w:val="21"/>
          <w:highlight w:val="none"/>
        </w:rPr>
      </w:pPr>
      <w:r>
        <w:rPr>
          <w:rFonts w:hint="eastAsia" w:ascii="宋体" w:hAnsi="宋体" w:cs="宋体"/>
          <w:color w:val="auto"/>
          <w:szCs w:val="21"/>
          <w:highlight w:val="none"/>
        </w:rPr>
        <w:t>（2）总价金额与依据单价计算出的结果不一致的，以单价金额为准修正总价，但单价金额小数点有明显错误的除外。</w:t>
      </w:r>
    </w:p>
    <w:p w14:paraId="75967201">
      <w:pPr>
        <w:spacing w:line="440" w:lineRule="exact"/>
        <w:ind w:firstLine="283" w:firstLineChars="135"/>
        <w:rPr>
          <w:rFonts w:hint="eastAsia" w:ascii="宋体" w:hAnsi="宋体" w:cs="宋体"/>
          <w:color w:val="auto"/>
          <w:szCs w:val="21"/>
          <w:highlight w:val="none"/>
        </w:rPr>
      </w:pPr>
      <w:r>
        <w:rPr>
          <w:rFonts w:hint="eastAsia" w:ascii="宋体" w:hAnsi="宋体" w:cs="宋体"/>
          <w:color w:val="auto"/>
          <w:szCs w:val="21"/>
          <w:highlight w:val="none"/>
        </w:rPr>
        <w:t>3.2 详细评审</w:t>
      </w:r>
    </w:p>
    <w:p w14:paraId="1381B06A">
      <w:pPr>
        <w:spacing w:line="440" w:lineRule="exact"/>
        <w:ind w:firstLine="283" w:firstLineChars="135"/>
        <w:rPr>
          <w:rFonts w:hint="eastAsia" w:ascii="宋体" w:hAnsi="宋体" w:cs="宋体"/>
          <w:color w:val="auto"/>
          <w:szCs w:val="21"/>
          <w:highlight w:val="none"/>
        </w:rPr>
      </w:pPr>
      <w:r>
        <w:rPr>
          <w:rFonts w:hint="eastAsia" w:ascii="宋体" w:hAnsi="宋体" w:cs="宋体"/>
          <w:color w:val="auto"/>
          <w:szCs w:val="21"/>
          <w:highlight w:val="none"/>
        </w:rPr>
        <w:t>3.2.1 评标委员会按本章第2.2款规定的量化因素和分值进行打分，并计算出最终得分。</w:t>
      </w:r>
    </w:p>
    <w:p w14:paraId="5B25769C">
      <w:pPr>
        <w:spacing w:line="440" w:lineRule="exact"/>
        <w:ind w:firstLine="283" w:firstLineChars="135"/>
        <w:rPr>
          <w:rFonts w:hint="eastAsia" w:ascii="宋体" w:hAnsi="宋体" w:cs="宋体"/>
          <w:color w:val="auto"/>
          <w:szCs w:val="21"/>
          <w:highlight w:val="none"/>
        </w:rPr>
      </w:pPr>
      <w:r>
        <w:rPr>
          <w:rFonts w:hint="eastAsia" w:ascii="宋体" w:hAnsi="宋体" w:cs="宋体"/>
          <w:color w:val="auto"/>
          <w:szCs w:val="21"/>
          <w:highlight w:val="none"/>
        </w:rPr>
        <w:t>3.2.2 评标委员会发现投标人的报价明显低于其他投标报价，或者在设有标底时明显低于标底，使得其投标报价可能低于其个别成本的，应当要求该投标人作出书面说明并提供相应的证明材料。投标人不能合理说明或者不能提供相应证明材料的，由评标委员会认定该投标人以低于成本报价竞标，其投标作否决投标处理。</w:t>
      </w:r>
    </w:p>
    <w:p w14:paraId="61AFF346">
      <w:pPr>
        <w:spacing w:line="440" w:lineRule="exact"/>
        <w:ind w:firstLine="283" w:firstLineChars="135"/>
        <w:rPr>
          <w:rFonts w:hint="eastAsia" w:ascii="宋体" w:hAnsi="宋体" w:cs="宋体"/>
          <w:color w:val="auto"/>
          <w:szCs w:val="21"/>
          <w:highlight w:val="none"/>
        </w:rPr>
      </w:pPr>
      <w:r>
        <w:rPr>
          <w:rFonts w:hint="eastAsia" w:ascii="宋体" w:hAnsi="宋体" w:cs="宋体"/>
          <w:color w:val="auto"/>
          <w:szCs w:val="21"/>
          <w:highlight w:val="none"/>
        </w:rPr>
        <w:t>3.3 投标文件的澄清和补正</w:t>
      </w:r>
    </w:p>
    <w:p w14:paraId="34C1F561">
      <w:pPr>
        <w:spacing w:line="440" w:lineRule="exact"/>
        <w:ind w:firstLine="283" w:firstLineChars="135"/>
        <w:rPr>
          <w:rFonts w:hint="eastAsia" w:ascii="宋体" w:hAnsi="宋体" w:cs="宋体"/>
          <w:color w:val="auto"/>
          <w:szCs w:val="21"/>
          <w:highlight w:val="none"/>
        </w:rPr>
      </w:pPr>
      <w:r>
        <w:rPr>
          <w:rFonts w:hint="eastAsia" w:ascii="宋体" w:hAnsi="宋体" w:cs="宋体"/>
          <w:color w:val="auto"/>
          <w:szCs w:val="21"/>
          <w:highlight w:val="none"/>
        </w:rPr>
        <w:t>3.3.1 在评标过程中，评标委员会可以书面形式要求投标人对所提交投标文件中不明确的内容进行书面澄清或说明，或者对细微偏差进行补正。评标委员会不接受投标人主动提出的澄清、说明或补正。</w:t>
      </w:r>
    </w:p>
    <w:p w14:paraId="647C5BAC">
      <w:pPr>
        <w:spacing w:line="440" w:lineRule="exact"/>
        <w:ind w:firstLine="283" w:firstLineChars="135"/>
        <w:rPr>
          <w:rFonts w:hint="eastAsia" w:ascii="宋体" w:hAnsi="宋体" w:cs="宋体"/>
          <w:color w:val="auto"/>
          <w:szCs w:val="21"/>
          <w:highlight w:val="none"/>
        </w:rPr>
      </w:pPr>
      <w:r>
        <w:rPr>
          <w:rFonts w:hint="eastAsia" w:ascii="宋体" w:hAnsi="宋体" w:cs="宋体"/>
          <w:color w:val="auto"/>
          <w:szCs w:val="21"/>
          <w:highlight w:val="none"/>
        </w:rPr>
        <w:t>3.3.2 澄清、说明和补正不得改变投标文件的实质性内容（算术性错误修正的除外）。投标人的书面澄清、说明和补正属于投标文件的组成部分。</w:t>
      </w:r>
    </w:p>
    <w:p w14:paraId="389EA942">
      <w:pPr>
        <w:spacing w:line="440" w:lineRule="exact"/>
        <w:ind w:firstLine="283" w:firstLineChars="135"/>
        <w:rPr>
          <w:rFonts w:hint="eastAsia" w:ascii="宋体" w:hAnsi="宋体" w:cs="宋体"/>
          <w:color w:val="auto"/>
          <w:szCs w:val="21"/>
          <w:highlight w:val="none"/>
        </w:rPr>
      </w:pPr>
      <w:r>
        <w:rPr>
          <w:rFonts w:hint="eastAsia" w:ascii="宋体" w:hAnsi="宋体" w:cs="宋体"/>
          <w:color w:val="auto"/>
          <w:szCs w:val="21"/>
          <w:highlight w:val="none"/>
        </w:rPr>
        <w:t>3.3.3 评标委员会对投标人提交的澄清、说明或补正有疑问的，可以要求投标人进一步澄清、说明或补正，直至满足评标委员会的要求。</w:t>
      </w:r>
    </w:p>
    <w:p w14:paraId="07576334">
      <w:pPr>
        <w:spacing w:line="440" w:lineRule="exact"/>
        <w:ind w:firstLine="283" w:firstLineChars="135"/>
        <w:rPr>
          <w:rFonts w:hint="eastAsia" w:ascii="宋体" w:hAnsi="宋体" w:cs="宋体"/>
          <w:color w:val="auto"/>
          <w:szCs w:val="21"/>
          <w:highlight w:val="none"/>
        </w:rPr>
      </w:pPr>
      <w:r>
        <w:rPr>
          <w:rFonts w:hint="eastAsia" w:ascii="宋体" w:hAnsi="宋体" w:cs="宋体"/>
          <w:color w:val="auto"/>
          <w:szCs w:val="21"/>
          <w:highlight w:val="none"/>
        </w:rPr>
        <w:t>3.4评标结果</w:t>
      </w:r>
    </w:p>
    <w:p w14:paraId="3176E21B">
      <w:pPr>
        <w:spacing w:line="440" w:lineRule="exact"/>
        <w:ind w:firstLine="283" w:firstLineChars="135"/>
        <w:rPr>
          <w:rFonts w:hint="eastAsia" w:ascii="宋体" w:hAnsi="宋体" w:cs="宋体"/>
          <w:color w:val="auto"/>
          <w:szCs w:val="21"/>
          <w:highlight w:val="none"/>
        </w:rPr>
      </w:pPr>
      <w:r>
        <w:rPr>
          <w:rFonts w:hint="eastAsia" w:ascii="宋体" w:hAnsi="宋体" w:cs="宋体"/>
          <w:color w:val="auto"/>
          <w:szCs w:val="21"/>
          <w:highlight w:val="none"/>
        </w:rPr>
        <w:t>3.4.1 除第二章“投标人须知”前附表授权直接确定中标人外，评标委员会按照得分由高到低的顺序推荐中标候选人。</w:t>
      </w:r>
      <w:bookmarkStart w:id="64" w:name="_Toc508808764"/>
      <w:bookmarkStart w:id="65" w:name="_Toc519842355"/>
      <w:bookmarkStart w:id="66" w:name="_Toc500419002"/>
      <w:bookmarkStart w:id="67" w:name="_Toc508809006"/>
    </w:p>
    <w:p w14:paraId="124E8888">
      <w:pPr>
        <w:spacing w:line="440" w:lineRule="exact"/>
        <w:ind w:firstLine="283" w:firstLineChars="135"/>
        <w:rPr>
          <w:rFonts w:hint="eastAsia" w:ascii="宋体" w:hAnsi="宋体" w:cs="宋体"/>
          <w:color w:val="auto"/>
          <w:szCs w:val="21"/>
          <w:highlight w:val="none"/>
        </w:rPr>
      </w:pPr>
      <w:r>
        <w:rPr>
          <w:rFonts w:hint="eastAsia" w:ascii="宋体" w:hAnsi="宋体" w:cs="宋体"/>
          <w:color w:val="auto"/>
          <w:szCs w:val="21"/>
          <w:highlight w:val="none"/>
        </w:rPr>
        <w:t>3.4.2 评</w:t>
      </w:r>
      <w:bookmarkEnd w:id="64"/>
      <w:bookmarkEnd w:id="65"/>
      <w:bookmarkEnd w:id="66"/>
      <w:bookmarkEnd w:id="67"/>
      <w:r>
        <w:rPr>
          <w:rFonts w:hint="eastAsia" w:ascii="宋体" w:hAnsi="宋体" w:cs="宋体"/>
          <w:color w:val="auto"/>
          <w:szCs w:val="21"/>
          <w:highlight w:val="none"/>
        </w:rPr>
        <w:t>标委员会完成评标后，应当向招标人提交书面评标报告。评标报告由评标委员会全体成员签字。对评标结论和建议持有异议的评标委员可以书面方式阐述其不同意见和理由。评标委员会成员拒绝在评标报告上签字且不陈述其不同意见和理由的，视为同意评标结论和建议。评标委员会负责人应当对此作出书面说明并记录在案。</w:t>
      </w:r>
    </w:p>
    <w:p w14:paraId="10E6752B">
      <w:pPr>
        <w:pStyle w:val="164"/>
        <w:adjustRightInd w:val="0"/>
        <w:ind w:firstLine="0" w:firstLineChars="0"/>
        <w:rPr>
          <w:rFonts w:hint="eastAsia" w:ascii="宋体" w:hAnsi="宋体" w:cs="宋体"/>
          <w:b/>
          <w:color w:val="auto"/>
          <w:sz w:val="21"/>
          <w:szCs w:val="21"/>
          <w:highlight w:val="none"/>
        </w:rPr>
      </w:pPr>
      <w:r>
        <w:rPr>
          <w:rFonts w:hint="eastAsia" w:ascii="宋体" w:hAnsi="宋体" w:cs="宋体"/>
          <w:b/>
          <w:color w:val="auto"/>
          <w:sz w:val="21"/>
          <w:szCs w:val="21"/>
          <w:highlight w:val="none"/>
        </w:rPr>
        <w:br w:type="page"/>
      </w:r>
      <w:r>
        <w:rPr>
          <w:rFonts w:hint="eastAsia" w:ascii="宋体" w:hAnsi="宋体" w:cs="宋体"/>
          <w:b/>
          <w:color w:val="auto"/>
          <w:sz w:val="21"/>
          <w:szCs w:val="21"/>
          <w:highlight w:val="none"/>
        </w:rPr>
        <w:t>附件A：评标详细程序</w:t>
      </w:r>
      <w:bookmarkEnd w:id="61"/>
      <w:bookmarkEnd w:id="62"/>
      <w:bookmarkEnd w:id="63"/>
    </w:p>
    <w:p w14:paraId="57F91F2E">
      <w:pPr>
        <w:pStyle w:val="143"/>
        <w:rPr>
          <w:rFonts w:hint="eastAsia" w:ascii="宋体" w:eastAsia="宋体" w:cs="宋体"/>
          <w:color w:val="auto"/>
          <w:sz w:val="21"/>
          <w:szCs w:val="21"/>
          <w:highlight w:val="none"/>
        </w:rPr>
      </w:pPr>
      <w:r>
        <w:rPr>
          <w:rFonts w:hint="eastAsia" w:ascii="宋体" w:eastAsia="宋体" w:cs="宋体"/>
          <w:color w:val="auto"/>
          <w:sz w:val="21"/>
          <w:szCs w:val="21"/>
          <w:highlight w:val="none"/>
        </w:rPr>
        <w:t>评标详细程序</w:t>
      </w:r>
    </w:p>
    <w:p w14:paraId="50C9AA14">
      <w:pPr>
        <w:pStyle w:val="148"/>
        <w:rPr>
          <w:rFonts w:hint="eastAsia" w:ascii="宋体" w:eastAsia="宋体" w:cs="宋体"/>
          <w:color w:val="auto"/>
          <w:szCs w:val="21"/>
          <w:highlight w:val="none"/>
        </w:rPr>
      </w:pPr>
      <w:r>
        <w:rPr>
          <w:rFonts w:hint="eastAsia" w:ascii="宋体" w:eastAsia="宋体" w:cs="宋体"/>
          <w:color w:val="auto"/>
          <w:szCs w:val="21"/>
          <w:highlight w:val="none"/>
        </w:rPr>
        <w:t>A0.总  则</w:t>
      </w:r>
    </w:p>
    <w:p w14:paraId="3E1F7243">
      <w:pPr>
        <w:pStyle w:val="110"/>
        <w:spacing w:line="360" w:lineRule="auto"/>
        <w:rPr>
          <w:rFonts w:hint="eastAsia" w:cs="宋体"/>
          <w:color w:val="auto"/>
          <w:szCs w:val="21"/>
          <w:highlight w:val="none"/>
        </w:rPr>
      </w:pPr>
      <w:r>
        <w:rPr>
          <w:rFonts w:hint="eastAsia" w:cs="宋体"/>
          <w:color w:val="auto"/>
          <w:szCs w:val="21"/>
          <w:highlight w:val="none"/>
        </w:rPr>
        <w:t>本附件是本章“评标办法”的组成部分，是对本章第3条所规定的评标程序的进一步细化，评标委员会应当按照本附件所规定的详细程序开展并完成评标工作。</w:t>
      </w:r>
    </w:p>
    <w:p w14:paraId="5F8719A0">
      <w:pPr>
        <w:pStyle w:val="148"/>
        <w:rPr>
          <w:rFonts w:hint="eastAsia" w:ascii="宋体" w:eastAsia="宋体" w:cs="宋体"/>
          <w:color w:val="auto"/>
          <w:szCs w:val="21"/>
          <w:highlight w:val="none"/>
        </w:rPr>
      </w:pPr>
      <w:r>
        <w:rPr>
          <w:rFonts w:hint="eastAsia" w:ascii="宋体" w:eastAsia="宋体" w:cs="宋体"/>
          <w:color w:val="auto"/>
          <w:szCs w:val="21"/>
          <w:highlight w:val="none"/>
        </w:rPr>
        <w:t>A1.基本程序</w:t>
      </w:r>
    </w:p>
    <w:p w14:paraId="4A2A4634">
      <w:pPr>
        <w:pStyle w:val="110"/>
        <w:spacing w:line="360" w:lineRule="auto"/>
        <w:rPr>
          <w:rFonts w:hint="eastAsia" w:cs="宋体"/>
          <w:color w:val="auto"/>
          <w:szCs w:val="21"/>
          <w:highlight w:val="none"/>
        </w:rPr>
      </w:pPr>
      <w:r>
        <w:rPr>
          <w:rFonts w:hint="eastAsia" w:cs="宋体"/>
          <w:color w:val="auto"/>
          <w:szCs w:val="21"/>
          <w:highlight w:val="none"/>
        </w:rPr>
        <w:t>评标活动将按以下五个步骤进行：</w:t>
      </w:r>
    </w:p>
    <w:p w14:paraId="2A552E90">
      <w:pPr>
        <w:pStyle w:val="110"/>
        <w:spacing w:line="360" w:lineRule="auto"/>
        <w:rPr>
          <w:rFonts w:hint="eastAsia" w:cs="宋体"/>
          <w:color w:val="auto"/>
          <w:szCs w:val="21"/>
          <w:highlight w:val="none"/>
        </w:rPr>
      </w:pPr>
      <w:r>
        <w:rPr>
          <w:rFonts w:hint="eastAsia" w:cs="宋体"/>
          <w:color w:val="auto"/>
          <w:szCs w:val="21"/>
          <w:highlight w:val="none"/>
        </w:rPr>
        <w:t>（1）评标准备；</w:t>
      </w:r>
    </w:p>
    <w:p w14:paraId="3C4A843C">
      <w:pPr>
        <w:pStyle w:val="110"/>
        <w:spacing w:line="360" w:lineRule="auto"/>
        <w:rPr>
          <w:rFonts w:hint="eastAsia" w:cs="宋体"/>
          <w:color w:val="auto"/>
          <w:szCs w:val="21"/>
          <w:highlight w:val="none"/>
        </w:rPr>
      </w:pPr>
      <w:r>
        <w:rPr>
          <w:rFonts w:hint="eastAsia" w:cs="宋体"/>
          <w:color w:val="auto"/>
          <w:szCs w:val="21"/>
          <w:highlight w:val="none"/>
        </w:rPr>
        <w:t>（2）初步评审；</w:t>
      </w:r>
    </w:p>
    <w:p w14:paraId="6FA11BCD">
      <w:pPr>
        <w:pStyle w:val="110"/>
        <w:spacing w:line="360" w:lineRule="auto"/>
        <w:rPr>
          <w:rFonts w:hint="eastAsia" w:cs="宋体"/>
          <w:color w:val="auto"/>
          <w:szCs w:val="21"/>
          <w:highlight w:val="none"/>
        </w:rPr>
      </w:pPr>
      <w:r>
        <w:rPr>
          <w:rFonts w:hint="eastAsia" w:cs="宋体"/>
          <w:color w:val="auto"/>
          <w:szCs w:val="21"/>
          <w:highlight w:val="none"/>
        </w:rPr>
        <w:t>（3）详细评审；</w:t>
      </w:r>
    </w:p>
    <w:p w14:paraId="78486715">
      <w:pPr>
        <w:pStyle w:val="110"/>
        <w:spacing w:line="360" w:lineRule="auto"/>
        <w:rPr>
          <w:rFonts w:hint="eastAsia" w:cs="宋体"/>
          <w:color w:val="auto"/>
          <w:szCs w:val="21"/>
          <w:highlight w:val="none"/>
        </w:rPr>
      </w:pPr>
      <w:r>
        <w:rPr>
          <w:rFonts w:hint="eastAsia" w:cs="宋体"/>
          <w:color w:val="auto"/>
          <w:szCs w:val="21"/>
          <w:highlight w:val="none"/>
        </w:rPr>
        <w:t>（4）澄清、说明或补正；</w:t>
      </w:r>
    </w:p>
    <w:p w14:paraId="54FBDA47">
      <w:pPr>
        <w:pStyle w:val="110"/>
        <w:spacing w:line="360" w:lineRule="auto"/>
        <w:rPr>
          <w:rFonts w:hint="eastAsia" w:cs="宋体"/>
          <w:color w:val="auto"/>
          <w:szCs w:val="21"/>
          <w:highlight w:val="none"/>
        </w:rPr>
      </w:pPr>
      <w:r>
        <w:rPr>
          <w:rFonts w:hint="eastAsia" w:cs="宋体"/>
          <w:color w:val="auto"/>
          <w:szCs w:val="21"/>
          <w:highlight w:val="none"/>
        </w:rPr>
        <w:t>（5）推荐中标候选人或者直接确定中标人及提交评标报告。</w:t>
      </w:r>
    </w:p>
    <w:p w14:paraId="2F5FFBFC">
      <w:pPr>
        <w:pStyle w:val="148"/>
        <w:rPr>
          <w:rFonts w:hint="eastAsia" w:ascii="宋体" w:eastAsia="宋体" w:cs="宋体"/>
          <w:color w:val="auto"/>
          <w:szCs w:val="21"/>
          <w:highlight w:val="none"/>
        </w:rPr>
      </w:pPr>
      <w:r>
        <w:rPr>
          <w:rFonts w:hint="eastAsia" w:ascii="宋体" w:eastAsia="宋体" w:cs="宋体"/>
          <w:color w:val="auto"/>
          <w:szCs w:val="21"/>
          <w:highlight w:val="none"/>
        </w:rPr>
        <w:t>A2.评标准备</w:t>
      </w:r>
    </w:p>
    <w:p w14:paraId="3750EFB0">
      <w:pPr>
        <w:pStyle w:val="120"/>
        <w:rPr>
          <w:rFonts w:hint="eastAsia" w:ascii="宋体" w:eastAsia="宋体" w:cs="宋体"/>
          <w:color w:val="auto"/>
          <w:szCs w:val="21"/>
          <w:highlight w:val="none"/>
        </w:rPr>
      </w:pPr>
      <w:r>
        <w:rPr>
          <w:rFonts w:hint="eastAsia" w:ascii="宋体" w:eastAsia="宋体" w:cs="宋体"/>
          <w:color w:val="auto"/>
          <w:szCs w:val="21"/>
          <w:highlight w:val="none"/>
        </w:rPr>
        <w:t>A2.1评标委员会成员签到</w:t>
      </w:r>
    </w:p>
    <w:p w14:paraId="00CAE33B">
      <w:pPr>
        <w:pStyle w:val="110"/>
        <w:spacing w:line="360" w:lineRule="auto"/>
        <w:rPr>
          <w:rFonts w:hint="eastAsia" w:cs="宋体"/>
          <w:color w:val="auto"/>
          <w:szCs w:val="21"/>
          <w:highlight w:val="none"/>
        </w:rPr>
      </w:pPr>
      <w:r>
        <w:rPr>
          <w:rFonts w:hint="eastAsia" w:cs="宋体"/>
          <w:color w:val="auto"/>
          <w:szCs w:val="21"/>
          <w:highlight w:val="none"/>
        </w:rPr>
        <w:t>评标委员会成员到达评标现场签到并组建评标委员会。</w:t>
      </w:r>
    </w:p>
    <w:p w14:paraId="16B684CC">
      <w:pPr>
        <w:pStyle w:val="120"/>
        <w:rPr>
          <w:rFonts w:hint="eastAsia" w:ascii="宋体" w:eastAsia="宋体" w:cs="宋体"/>
          <w:color w:val="auto"/>
          <w:szCs w:val="21"/>
          <w:highlight w:val="none"/>
        </w:rPr>
      </w:pPr>
      <w:r>
        <w:rPr>
          <w:rFonts w:hint="eastAsia" w:ascii="宋体" w:eastAsia="宋体" w:cs="宋体"/>
          <w:color w:val="auto"/>
          <w:szCs w:val="21"/>
          <w:highlight w:val="none"/>
        </w:rPr>
        <w:t>A2.2评标委员会的分工</w:t>
      </w:r>
    </w:p>
    <w:p w14:paraId="6DF4E84D">
      <w:pPr>
        <w:pStyle w:val="110"/>
        <w:spacing w:line="360" w:lineRule="auto"/>
        <w:rPr>
          <w:rFonts w:hint="eastAsia" w:cs="宋体"/>
          <w:color w:val="auto"/>
          <w:szCs w:val="21"/>
          <w:highlight w:val="none"/>
        </w:rPr>
      </w:pPr>
      <w:r>
        <w:rPr>
          <w:rFonts w:hint="eastAsia" w:cs="宋体"/>
          <w:color w:val="auto"/>
          <w:szCs w:val="21"/>
          <w:highlight w:val="none"/>
        </w:rPr>
        <w:t>评标委员会首先推选一名评标委员会主任。招标人也可以直接指定评标委员会主任。评标委员会主任负责评标活动的组织领导工作。评标委员会主任在与其他评标委员会成员协商的基础上，可以将评标委员会划分为技术组和商务组。</w:t>
      </w:r>
    </w:p>
    <w:p w14:paraId="4F15CBBA">
      <w:pPr>
        <w:pStyle w:val="120"/>
        <w:rPr>
          <w:rFonts w:hint="eastAsia" w:ascii="宋体" w:eastAsia="宋体" w:cs="宋体"/>
          <w:color w:val="auto"/>
          <w:szCs w:val="21"/>
          <w:highlight w:val="none"/>
        </w:rPr>
      </w:pPr>
      <w:r>
        <w:rPr>
          <w:rFonts w:hint="eastAsia" w:ascii="宋体" w:eastAsia="宋体" w:cs="宋体"/>
          <w:color w:val="auto"/>
          <w:szCs w:val="21"/>
          <w:highlight w:val="none"/>
        </w:rPr>
        <w:t>A2.3熟悉文件资料</w:t>
      </w:r>
    </w:p>
    <w:p w14:paraId="45579D20">
      <w:pPr>
        <w:pStyle w:val="110"/>
        <w:spacing w:line="360" w:lineRule="auto"/>
        <w:rPr>
          <w:rFonts w:hint="eastAsia" w:cs="宋体"/>
          <w:color w:val="auto"/>
          <w:szCs w:val="21"/>
          <w:highlight w:val="none"/>
        </w:rPr>
      </w:pPr>
      <w:r>
        <w:rPr>
          <w:rFonts w:hint="eastAsia" w:cs="宋体"/>
          <w:color w:val="auto"/>
          <w:szCs w:val="21"/>
          <w:highlight w:val="none"/>
        </w:rPr>
        <w:t>A2.3.1评标委员会主任应组织评标委员会成员认真研究招标文件，了解和熟悉招标目的、招标范围、技术标准和要求、质量标准和交货期要求等，掌握评标标准和方法，熟悉本章及附件中包括的评标表格的使用，如果本章及附件所附的表格不能满足评标所需时，评标委员会应补充编制评标所需的表格，尤其是用于详细分析计算的表格。未在招标文件中规定的标准和方法不得作为评标的依据。</w:t>
      </w:r>
    </w:p>
    <w:p w14:paraId="7006ADFE">
      <w:pPr>
        <w:pStyle w:val="110"/>
        <w:spacing w:line="360" w:lineRule="auto"/>
        <w:rPr>
          <w:rFonts w:hint="eastAsia" w:cs="宋体"/>
          <w:color w:val="auto"/>
          <w:szCs w:val="21"/>
          <w:highlight w:val="none"/>
        </w:rPr>
      </w:pPr>
      <w:r>
        <w:rPr>
          <w:rFonts w:hint="eastAsia" w:cs="宋体"/>
          <w:color w:val="auto"/>
          <w:szCs w:val="21"/>
          <w:highlight w:val="none"/>
        </w:rPr>
        <w:t>A2.3.2招标人或招标代理机构应向评标委员会提供评标所需的信息和数据，包括招标文件、未在开标会上当场拒绝的各投标文件、开标会记录、最高投标限价。</w:t>
      </w:r>
    </w:p>
    <w:p w14:paraId="16E2663B">
      <w:pPr>
        <w:pStyle w:val="148"/>
        <w:rPr>
          <w:rFonts w:hint="eastAsia" w:ascii="宋体" w:eastAsia="宋体" w:cs="宋体"/>
          <w:color w:val="auto"/>
          <w:szCs w:val="21"/>
          <w:highlight w:val="none"/>
        </w:rPr>
      </w:pPr>
      <w:r>
        <w:rPr>
          <w:rFonts w:hint="eastAsia" w:ascii="宋体" w:eastAsia="宋体" w:cs="宋体"/>
          <w:color w:val="auto"/>
          <w:szCs w:val="21"/>
          <w:highlight w:val="none"/>
        </w:rPr>
        <w:t>A3.初步评审</w:t>
      </w:r>
    </w:p>
    <w:p w14:paraId="36BABC59">
      <w:pPr>
        <w:pStyle w:val="120"/>
        <w:rPr>
          <w:rFonts w:hint="eastAsia" w:ascii="宋体" w:eastAsia="宋体" w:cs="宋体"/>
          <w:color w:val="auto"/>
          <w:szCs w:val="21"/>
          <w:highlight w:val="none"/>
        </w:rPr>
      </w:pPr>
      <w:r>
        <w:rPr>
          <w:rFonts w:hint="eastAsia" w:ascii="宋体" w:eastAsia="宋体" w:cs="宋体"/>
          <w:color w:val="auto"/>
          <w:szCs w:val="21"/>
          <w:highlight w:val="none"/>
        </w:rPr>
        <w:t>A3.1形式响应性评审</w:t>
      </w:r>
    </w:p>
    <w:p w14:paraId="7A91F03D">
      <w:pPr>
        <w:pStyle w:val="110"/>
        <w:spacing w:line="360" w:lineRule="auto"/>
        <w:rPr>
          <w:rFonts w:hint="eastAsia" w:cs="宋体"/>
          <w:color w:val="auto"/>
          <w:szCs w:val="21"/>
          <w:highlight w:val="none"/>
        </w:rPr>
      </w:pPr>
      <w:r>
        <w:rPr>
          <w:rFonts w:hint="eastAsia" w:cs="宋体"/>
          <w:color w:val="auto"/>
          <w:szCs w:val="21"/>
          <w:highlight w:val="none"/>
        </w:rPr>
        <w:t>评标委员会根据评标办法前附表中规定的评审因素和评审标准，对投标人的投标文件进行形式响应性评审。</w:t>
      </w:r>
    </w:p>
    <w:p w14:paraId="64AA9E53">
      <w:pPr>
        <w:pStyle w:val="120"/>
        <w:rPr>
          <w:rFonts w:hint="eastAsia" w:ascii="宋体" w:eastAsia="宋体" w:cs="宋体"/>
          <w:color w:val="auto"/>
          <w:szCs w:val="21"/>
          <w:highlight w:val="none"/>
        </w:rPr>
      </w:pPr>
      <w:r>
        <w:rPr>
          <w:rFonts w:hint="eastAsia" w:ascii="宋体" w:eastAsia="宋体" w:cs="宋体"/>
          <w:color w:val="auto"/>
          <w:szCs w:val="21"/>
          <w:highlight w:val="none"/>
        </w:rPr>
        <w:t>A3.2资格评审</w:t>
      </w:r>
    </w:p>
    <w:p w14:paraId="31E1FDC6">
      <w:pPr>
        <w:pStyle w:val="110"/>
        <w:spacing w:line="360" w:lineRule="auto"/>
        <w:rPr>
          <w:rFonts w:hint="eastAsia" w:cs="宋体"/>
          <w:color w:val="auto"/>
          <w:szCs w:val="21"/>
          <w:highlight w:val="none"/>
        </w:rPr>
      </w:pPr>
      <w:r>
        <w:rPr>
          <w:rFonts w:hint="eastAsia" w:cs="宋体"/>
          <w:color w:val="auto"/>
          <w:szCs w:val="21"/>
          <w:highlight w:val="none"/>
        </w:rPr>
        <w:t>评标委员会根据评标办法前附表中规定的评审因素和评审标准，对投标人的投标文件进行资格评审。</w:t>
      </w:r>
    </w:p>
    <w:p w14:paraId="6D984E46">
      <w:pPr>
        <w:pStyle w:val="120"/>
        <w:tabs>
          <w:tab w:val="left" w:pos="3281"/>
        </w:tabs>
        <w:rPr>
          <w:rFonts w:hint="eastAsia" w:ascii="宋体" w:eastAsia="宋体" w:cs="宋体"/>
          <w:color w:val="auto"/>
          <w:szCs w:val="21"/>
          <w:highlight w:val="none"/>
        </w:rPr>
      </w:pPr>
      <w:r>
        <w:rPr>
          <w:rFonts w:hint="eastAsia" w:ascii="宋体" w:eastAsia="宋体" w:cs="宋体"/>
          <w:color w:val="auto"/>
          <w:szCs w:val="21"/>
          <w:highlight w:val="none"/>
        </w:rPr>
        <w:t>A3.3判断投标是否为否决投标</w:t>
      </w:r>
      <w:r>
        <w:rPr>
          <w:rFonts w:hint="eastAsia" w:ascii="宋体" w:eastAsia="宋体" w:cs="宋体"/>
          <w:color w:val="auto"/>
          <w:szCs w:val="21"/>
          <w:highlight w:val="none"/>
        </w:rPr>
        <w:tab/>
      </w:r>
    </w:p>
    <w:p w14:paraId="25B6FC2F">
      <w:pPr>
        <w:pStyle w:val="120"/>
        <w:rPr>
          <w:rFonts w:hint="eastAsia" w:ascii="宋体" w:eastAsia="宋体" w:cs="宋体"/>
          <w:color w:val="auto"/>
          <w:szCs w:val="21"/>
          <w:highlight w:val="none"/>
        </w:rPr>
      </w:pPr>
      <w:r>
        <w:rPr>
          <w:rFonts w:hint="eastAsia" w:ascii="宋体" w:eastAsia="宋体" w:cs="宋体"/>
          <w:color w:val="auto"/>
          <w:szCs w:val="21"/>
          <w:highlight w:val="none"/>
        </w:rPr>
        <w:t>A3.3.1  判断投标人的投标是否为否决投标的全部条件，在本章附件B中集中列示。</w:t>
      </w:r>
    </w:p>
    <w:p w14:paraId="4CAA21F3">
      <w:pPr>
        <w:pStyle w:val="120"/>
        <w:rPr>
          <w:rFonts w:hint="eastAsia" w:ascii="宋体" w:eastAsia="宋体" w:cs="宋体"/>
          <w:color w:val="auto"/>
          <w:szCs w:val="21"/>
          <w:highlight w:val="none"/>
        </w:rPr>
      </w:pPr>
      <w:r>
        <w:rPr>
          <w:rFonts w:hint="eastAsia" w:ascii="宋体" w:eastAsia="宋体" w:cs="宋体"/>
          <w:color w:val="auto"/>
          <w:szCs w:val="21"/>
          <w:highlight w:val="none"/>
        </w:rPr>
        <w:t>A3.3.2  本章附件B集中列示的否决投标条件不应与第二章“投标人须知”和本章正文部分包括的否决投标条件抵触，如果出现相互矛盾的情况，以第二章“投标人须知”和本章正文部分的规定为准。</w:t>
      </w:r>
    </w:p>
    <w:p w14:paraId="5E383044">
      <w:pPr>
        <w:pStyle w:val="120"/>
        <w:rPr>
          <w:rFonts w:hint="eastAsia" w:ascii="宋体" w:eastAsia="宋体" w:cs="宋体"/>
          <w:color w:val="auto"/>
          <w:szCs w:val="21"/>
          <w:highlight w:val="none"/>
        </w:rPr>
      </w:pPr>
      <w:r>
        <w:rPr>
          <w:rFonts w:hint="eastAsia" w:ascii="宋体" w:eastAsia="宋体" w:cs="宋体"/>
          <w:color w:val="auto"/>
          <w:szCs w:val="21"/>
          <w:highlight w:val="none"/>
        </w:rPr>
        <w:t>A3.3.3  评标委员会在评标（包括初步评审和详细评审）过程中，依据本章附件B中规定的否决投标条件判断投标人的投标是否为否决投标。</w:t>
      </w:r>
    </w:p>
    <w:p w14:paraId="6FC00D94">
      <w:pPr>
        <w:pStyle w:val="120"/>
        <w:tabs>
          <w:tab w:val="left" w:pos="3281"/>
        </w:tabs>
        <w:rPr>
          <w:rFonts w:hint="eastAsia" w:ascii="宋体" w:eastAsia="宋体" w:cs="宋体"/>
          <w:color w:val="auto"/>
          <w:szCs w:val="21"/>
          <w:highlight w:val="none"/>
        </w:rPr>
      </w:pPr>
      <w:r>
        <w:rPr>
          <w:rFonts w:hint="eastAsia" w:ascii="宋体" w:eastAsia="宋体" w:cs="宋体"/>
          <w:color w:val="auto"/>
          <w:szCs w:val="21"/>
          <w:highlight w:val="none"/>
        </w:rPr>
        <w:t>A3.4算术错误修正</w:t>
      </w:r>
    </w:p>
    <w:p w14:paraId="38775660">
      <w:pPr>
        <w:pStyle w:val="120"/>
        <w:tabs>
          <w:tab w:val="left" w:pos="3281"/>
        </w:tabs>
        <w:rPr>
          <w:rFonts w:hint="eastAsia" w:ascii="宋体" w:eastAsia="宋体" w:cs="宋体"/>
          <w:color w:val="auto"/>
          <w:szCs w:val="21"/>
          <w:highlight w:val="none"/>
        </w:rPr>
      </w:pPr>
      <w:r>
        <w:rPr>
          <w:rFonts w:hint="eastAsia" w:ascii="宋体" w:eastAsia="宋体" w:cs="宋体"/>
          <w:color w:val="auto"/>
          <w:szCs w:val="21"/>
          <w:highlight w:val="none"/>
        </w:rPr>
        <w:t>评标委员会依据本章规定的相关原则对投标报价中存在的算术错误进行修正，并根据算术错误修正结果计算评标价。</w:t>
      </w:r>
    </w:p>
    <w:p w14:paraId="577D7595">
      <w:pPr>
        <w:pStyle w:val="120"/>
        <w:rPr>
          <w:rFonts w:hint="eastAsia" w:ascii="宋体" w:eastAsia="宋体" w:cs="宋体"/>
          <w:color w:val="auto"/>
          <w:szCs w:val="21"/>
          <w:highlight w:val="none"/>
        </w:rPr>
      </w:pPr>
      <w:r>
        <w:rPr>
          <w:rFonts w:hint="eastAsia" w:ascii="宋体" w:eastAsia="宋体" w:cs="宋体"/>
          <w:color w:val="auto"/>
          <w:szCs w:val="21"/>
          <w:highlight w:val="none"/>
        </w:rPr>
        <w:t>A3.5澄清、说明或补正</w:t>
      </w:r>
    </w:p>
    <w:p w14:paraId="09AD78F9">
      <w:pPr>
        <w:pStyle w:val="110"/>
        <w:spacing w:line="360" w:lineRule="auto"/>
        <w:rPr>
          <w:rFonts w:hint="eastAsia" w:cs="宋体"/>
          <w:color w:val="auto"/>
          <w:szCs w:val="21"/>
          <w:highlight w:val="none"/>
        </w:rPr>
      </w:pPr>
      <w:r>
        <w:rPr>
          <w:rFonts w:hint="eastAsia" w:cs="宋体"/>
          <w:color w:val="auto"/>
          <w:szCs w:val="21"/>
          <w:highlight w:val="none"/>
        </w:rPr>
        <w:t>在初步评审过程中，评标委员会应当就投标文件中不明确的内容要求投标人进行澄清、说明或者补正。投标人应当根据问题澄清通知要求，以书面形式予以澄清、说明或者补正。澄清、说明或补正根据本章第3.3款的规定进行。</w:t>
      </w:r>
    </w:p>
    <w:p w14:paraId="001F3CAA">
      <w:pPr>
        <w:pStyle w:val="148"/>
        <w:rPr>
          <w:rFonts w:hint="eastAsia" w:ascii="宋体" w:eastAsia="宋体" w:cs="宋体"/>
          <w:color w:val="auto"/>
          <w:szCs w:val="21"/>
          <w:highlight w:val="none"/>
        </w:rPr>
      </w:pPr>
      <w:r>
        <w:rPr>
          <w:rFonts w:hint="eastAsia" w:ascii="宋体" w:eastAsia="宋体" w:cs="宋体"/>
          <w:color w:val="auto"/>
          <w:szCs w:val="21"/>
          <w:highlight w:val="none"/>
        </w:rPr>
        <w:t>A4.详细评审</w:t>
      </w:r>
    </w:p>
    <w:p w14:paraId="27097BDE">
      <w:pPr>
        <w:pStyle w:val="110"/>
        <w:spacing w:line="360" w:lineRule="auto"/>
        <w:rPr>
          <w:rFonts w:hint="eastAsia" w:cs="宋体"/>
          <w:color w:val="auto"/>
          <w:szCs w:val="21"/>
          <w:highlight w:val="none"/>
        </w:rPr>
      </w:pPr>
      <w:r>
        <w:rPr>
          <w:rFonts w:hint="eastAsia" w:cs="宋体"/>
          <w:color w:val="auto"/>
          <w:szCs w:val="21"/>
          <w:highlight w:val="none"/>
        </w:rPr>
        <w:t>只有通过了初步评审、被判定为合格的投标方可进入详细评审。</w:t>
      </w:r>
    </w:p>
    <w:p w14:paraId="1165F2F8">
      <w:pPr>
        <w:pStyle w:val="141"/>
        <w:rPr>
          <w:rFonts w:hint="eastAsia" w:cs="宋体"/>
          <w:color w:val="auto"/>
          <w:szCs w:val="21"/>
          <w:highlight w:val="none"/>
        </w:rPr>
      </w:pPr>
      <w:r>
        <w:rPr>
          <w:rStyle w:val="37"/>
          <w:rFonts w:hint="eastAsia" w:cs="宋体"/>
          <w:color w:val="auto"/>
          <w:szCs w:val="21"/>
          <w:highlight w:val="none"/>
        </w:rPr>
        <w:t>A4.1详细评审的程序</w:t>
      </w:r>
    </w:p>
    <w:p w14:paraId="39233C3C">
      <w:pPr>
        <w:pStyle w:val="110"/>
        <w:spacing w:line="360" w:lineRule="auto"/>
        <w:rPr>
          <w:rFonts w:hint="eastAsia" w:cs="宋体"/>
          <w:color w:val="auto"/>
          <w:szCs w:val="21"/>
          <w:highlight w:val="none"/>
        </w:rPr>
      </w:pPr>
      <w:r>
        <w:rPr>
          <w:rFonts w:hint="eastAsia" w:cs="宋体"/>
          <w:color w:val="auto"/>
          <w:szCs w:val="21"/>
          <w:highlight w:val="none"/>
        </w:rPr>
        <w:t>评标委员会按照本章第2．2款中规定的程序进行详细评审：</w:t>
      </w:r>
    </w:p>
    <w:p w14:paraId="760003AB">
      <w:pPr>
        <w:pStyle w:val="141"/>
        <w:rPr>
          <w:rStyle w:val="37"/>
          <w:rFonts w:hint="eastAsia" w:cs="宋体"/>
          <w:color w:val="auto"/>
          <w:szCs w:val="21"/>
          <w:highlight w:val="none"/>
        </w:rPr>
      </w:pPr>
      <w:r>
        <w:rPr>
          <w:rStyle w:val="37"/>
          <w:rFonts w:hint="eastAsia" w:cs="宋体"/>
          <w:color w:val="auto"/>
          <w:szCs w:val="21"/>
          <w:highlight w:val="none"/>
        </w:rPr>
        <w:t>A4.2详细评审评分</w:t>
      </w:r>
    </w:p>
    <w:p w14:paraId="6AB08B26">
      <w:pPr>
        <w:pStyle w:val="110"/>
        <w:spacing w:line="360" w:lineRule="auto"/>
        <w:rPr>
          <w:rFonts w:hint="eastAsia" w:cs="宋体"/>
          <w:color w:val="auto"/>
          <w:szCs w:val="21"/>
          <w:highlight w:val="none"/>
        </w:rPr>
      </w:pPr>
      <w:r>
        <w:rPr>
          <w:rFonts w:hint="eastAsia" w:cs="宋体"/>
          <w:color w:val="auto"/>
          <w:szCs w:val="21"/>
          <w:highlight w:val="none"/>
        </w:rPr>
        <w:t>按照评标办法前附表中规定的分值设定、各项评分因素、评分标准。</w:t>
      </w:r>
    </w:p>
    <w:p w14:paraId="22A5B6C6">
      <w:pPr>
        <w:pStyle w:val="141"/>
        <w:rPr>
          <w:rFonts w:hint="eastAsia" w:cs="宋体"/>
          <w:color w:val="auto"/>
          <w:szCs w:val="21"/>
          <w:highlight w:val="none"/>
        </w:rPr>
      </w:pPr>
      <w:r>
        <w:rPr>
          <w:rStyle w:val="37"/>
          <w:rFonts w:hint="eastAsia" w:cs="宋体"/>
          <w:color w:val="auto"/>
          <w:szCs w:val="21"/>
          <w:highlight w:val="none"/>
        </w:rPr>
        <w:t>A4.3澄清、说明或补正</w:t>
      </w:r>
    </w:p>
    <w:p w14:paraId="7126634C">
      <w:pPr>
        <w:pStyle w:val="110"/>
        <w:spacing w:line="360" w:lineRule="auto"/>
        <w:rPr>
          <w:rFonts w:hint="eastAsia" w:cs="宋体"/>
          <w:color w:val="auto"/>
          <w:szCs w:val="21"/>
          <w:highlight w:val="none"/>
        </w:rPr>
      </w:pPr>
      <w:r>
        <w:rPr>
          <w:rFonts w:hint="eastAsia" w:cs="宋体"/>
          <w:color w:val="auto"/>
          <w:szCs w:val="21"/>
          <w:highlight w:val="none"/>
        </w:rPr>
        <w:t>在详细评审过程中，评标委员会应当就投标文件中不明确的内容要求投标人进行澄清、说明或者补正。投标人对此以书面形式予以澄清、说明或者补正。澄清、说明或补正根据本章第3.4款的规定执行。</w:t>
      </w:r>
    </w:p>
    <w:p w14:paraId="1A124332">
      <w:pPr>
        <w:pStyle w:val="141"/>
        <w:rPr>
          <w:rFonts w:hint="eastAsia" w:cs="宋体"/>
          <w:color w:val="auto"/>
          <w:szCs w:val="21"/>
          <w:highlight w:val="none"/>
        </w:rPr>
      </w:pPr>
      <w:r>
        <w:rPr>
          <w:rStyle w:val="37"/>
          <w:rFonts w:hint="eastAsia" w:cs="宋体"/>
          <w:color w:val="auto"/>
          <w:szCs w:val="21"/>
          <w:highlight w:val="none"/>
        </w:rPr>
        <w:t>A4.4汇总评分结果</w:t>
      </w:r>
    </w:p>
    <w:p w14:paraId="24A09705">
      <w:pPr>
        <w:pStyle w:val="141"/>
        <w:ind w:firstLine="420"/>
        <w:rPr>
          <w:rFonts w:hint="eastAsia" w:cs="宋体"/>
          <w:color w:val="auto"/>
          <w:szCs w:val="21"/>
          <w:highlight w:val="none"/>
        </w:rPr>
      </w:pPr>
      <w:r>
        <w:rPr>
          <w:rFonts w:hint="eastAsia" w:cs="宋体"/>
          <w:color w:val="auto"/>
          <w:szCs w:val="21"/>
          <w:highlight w:val="none"/>
        </w:rPr>
        <w:t>A4.4.1评标委员会成员应填写详细评审评分汇总表。</w:t>
      </w:r>
    </w:p>
    <w:p w14:paraId="25F6CDC7">
      <w:pPr>
        <w:pStyle w:val="141"/>
        <w:ind w:firstLine="420"/>
        <w:rPr>
          <w:rFonts w:hint="eastAsia" w:cs="宋体"/>
          <w:color w:val="auto"/>
          <w:szCs w:val="21"/>
          <w:highlight w:val="none"/>
        </w:rPr>
      </w:pPr>
      <w:r>
        <w:rPr>
          <w:rFonts w:hint="eastAsia" w:cs="宋体"/>
          <w:color w:val="auto"/>
          <w:szCs w:val="21"/>
          <w:highlight w:val="none"/>
        </w:rPr>
        <w:t>A4.4.2详细评审工作全部结束后，汇总各个评标委员会成员的详细评审评分结果，并按照详细评审最终得分由高至低的次序对投标人进行排序。</w:t>
      </w:r>
    </w:p>
    <w:p w14:paraId="4345B7F9">
      <w:pPr>
        <w:pStyle w:val="141"/>
        <w:rPr>
          <w:rStyle w:val="37"/>
          <w:rFonts w:hint="eastAsia" w:cs="宋体"/>
          <w:color w:val="auto"/>
          <w:szCs w:val="21"/>
          <w:highlight w:val="none"/>
        </w:rPr>
      </w:pPr>
      <w:r>
        <w:rPr>
          <w:rStyle w:val="37"/>
          <w:rFonts w:hint="eastAsia" w:cs="宋体"/>
          <w:color w:val="auto"/>
          <w:szCs w:val="21"/>
          <w:highlight w:val="none"/>
        </w:rPr>
        <w:t>A5.推荐中标候选人或者直接确定中标人</w:t>
      </w:r>
    </w:p>
    <w:p w14:paraId="4C4B88F2">
      <w:pPr>
        <w:pStyle w:val="141"/>
        <w:rPr>
          <w:rFonts w:hint="eastAsia" w:cs="宋体"/>
          <w:color w:val="auto"/>
          <w:szCs w:val="21"/>
          <w:highlight w:val="none"/>
        </w:rPr>
      </w:pPr>
      <w:r>
        <w:rPr>
          <w:rStyle w:val="37"/>
          <w:rFonts w:hint="eastAsia" w:cs="宋体"/>
          <w:color w:val="auto"/>
          <w:szCs w:val="21"/>
          <w:highlight w:val="none"/>
        </w:rPr>
        <w:t>A5.1推荐中标候选人</w:t>
      </w:r>
    </w:p>
    <w:p w14:paraId="579F3FBC">
      <w:pPr>
        <w:pStyle w:val="110"/>
        <w:spacing w:line="360" w:lineRule="auto"/>
        <w:rPr>
          <w:rFonts w:hint="eastAsia" w:cs="宋体"/>
          <w:color w:val="auto"/>
          <w:szCs w:val="21"/>
          <w:highlight w:val="none"/>
        </w:rPr>
      </w:pPr>
      <w:r>
        <w:rPr>
          <w:rFonts w:hint="eastAsia" w:cs="宋体"/>
          <w:color w:val="auto"/>
          <w:szCs w:val="21"/>
          <w:highlight w:val="none"/>
        </w:rPr>
        <w:t>除第二章“投标人须知”前附表第7．1款授权直接确定中标人外，评标委员会在推荐中标候选人时，应遵照以下原则：</w:t>
      </w:r>
    </w:p>
    <w:p w14:paraId="0329CB7F">
      <w:pPr>
        <w:pStyle w:val="110"/>
        <w:spacing w:line="360" w:lineRule="auto"/>
        <w:rPr>
          <w:rFonts w:hint="eastAsia" w:cs="宋体"/>
          <w:color w:val="auto"/>
          <w:szCs w:val="21"/>
          <w:highlight w:val="none"/>
        </w:rPr>
      </w:pPr>
      <w:r>
        <w:rPr>
          <w:rFonts w:hint="eastAsia" w:cs="宋体"/>
          <w:color w:val="auto"/>
          <w:szCs w:val="21"/>
          <w:highlight w:val="none"/>
        </w:rPr>
        <w:t>（1）评标委员会按照最终得分由高至低的次序排列，并根据第二章“投标人须知”前附表第7.1款规定的中标候选人数量，将排序在前的投标人推荐为中标候选人。</w:t>
      </w:r>
    </w:p>
    <w:p w14:paraId="77483C26">
      <w:pPr>
        <w:pStyle w:val="110"/>
        <w:spacing w:line="360" w:lineRule="auto"/>
        <w:rPr>
          <w:rFonts w:hint="eastAsia" w:cs="宋体"/>
          <w:color w:val="auto"/>
          <w:szCs w:val="21"/>
          <w:highlight w:val="none"/>
        </w:rPr>
      </w:pPr>
      <w:r>
        <w:rPr>
          <w:rFonts w:hint="eastAsia" w:cs="宋体"/>
          <w:color w:val="auto"/>
          <w:szCs w:val="21"/>
          <w:highlight w:val="none"/>
        </w:rPr>
        <w:t>（2）如果评标委员会根据本章的规定作否决投标处理后，有效投标不足三个，且少于第二章“投标人须知”前附表第7.1款规定的中标候选人数量的，则评标委员会可以将所有有效投标按最终得分由高至低的次序作为中标候选人向招标人推荐。如果因有效投标不足三个使得投标明显缺乏竞争的，评标委员会可以建议招标人重新招标。</w:t>
      </w:r>
    </w:p>
    <w:p w14:paraId="3339EFC1">
      <w:pPr>
        <w:pStyle w:val="110"/>
        <w:spacing w:line="360" w:lineRule="auto"/>
        <w:rPr>
          <w:rFonts w:hint="eastAsia" w:cs="宋体"/>
          <w:color w:val="auto"/>
          <w:szCs w:val="21"/>
          <w:highlight w:val="none"/>
        </w:rPr>
      </w:pPr>
      <w:r>
        <w:rPr>
          <w:rFonts w:hint="eastAsia" w:cs="宋体"/>
          <w:color w:val="auto"/>
          <w:szCs w:val="21"/>
          <w:highlight w:val="none"/>
        </w:rPr>
        <w:t>（3）根据《昆明市人民政府办公厅关于印发昆明市工程建设招标投标管理办法的通知》昆政办〔2017〕36号第四十六条 评标委员会对投标文件进行评审后，因有效投标人不足3个的，可以否决全部投标；未否决全部投标的，评标委员会应当在评标报告中阐明理由并推荐中标候选人。</w:t>
      </w:r>
    </w:p>
    <w:p w14:paraId="3E08625C">
      <w:pPr>
        <w:pStyle w:val="141"/>
        <w:rPr>
          <w:rFonts w:hint="eastAsia" w:cs="宋体"/>
          <w:color w:val="auto"/>
          <w:szCs w:val="21"/>
          <w:highlight w:val="none"/>
        </w:rPr>
      </w:pPr>
      <w:r>
        <w:rPr>
          <w:rStyle w:val="37"/>
          <w:rFonts w:hint="eastAsia" w:cs="宋体"/>
          <w:color w:val="auto"/>
          <w:szCs w:val="21"/>
          <w:highlight w:val="none"/>
        </w:rPr>
        <w:t>A5.2直接确定中标人</w:t>
      </w:r>
    </w:p>
    <w:p w14:paraId="566CF8AC">
      <w:pPr>
        <w:pStyle w:val="110"/>
        <w:spacing w:line="360" w:lineRule="auto"/>
        <w:rPr>
          <w:rFonts w:hint="eastAsia" w:cs="宋体"/>
          <w:color w:val="auto"/>
          <w:szCs w:val="21"/>
          <w:highlight w:val="none"/>
        </w:rPr>
      </w:pPr>
      <w:r>
        <w:rPr>
          <w:rFonts w:hint="eastAsia" w:cs="宋体"/>
          <w:color w:val="auto"/>
          <w:szCs w:val="21"/>
          <w:highlight w:val="none"/>
        </w:rPr>
        <w:t>第二章“投标人须知”前附表授权评标委员会直接确定中标人的，评标委员会应按照得分的高低推荐中标候选人，推荐的中标候选人应当限定在一至三人，并标明排列。评标委员会应推荐得分最高的投标人为第一中标候选人，若出现推荐中标候选人之一无故不履行合同则由推荐排名前三名中标候选人顺序承接。</w:t>
      </w:r>
    </w:p>
    <w:p w14:paraId="6FDCA837">
      <w:pPr>
        <w:pStyle w:val="141"/>
        <w:rPr>
          <w:rStyle w:val="37"/>
          <w:rFonts w:hint="eastAsia" w:cs="宋体"/>
          <w:color w:val="auto"/>
          <w:highlight w:val="none"/>
        </w:rPr>
      </w:pPr>
      <w:r>
        <w:rPr>
          <w:rStyle w:val="37"/>
          <w:rFonts w:hint="eastAsia" w:cs="宋体"/>
          <w:color w:val="auto"/>
          <w:szCs w:val="21"/>
          <w:highlight w:val="none"/>
        </w:rPr>
        <w:t>A5.3编制评标报告</w:t>
      </w:r>
    </w:p>
    <w:p w14:paraId="585C40D9">
      <w:pPr>
        <w:pStyle w:val="110"/>
        <w:spacing w:line="360" w:lineRule="auto"/>
        <w:rPr>
          <w:rFonts w:hint="eastAsia" w:cs="宋体"/>
          <w:color w:val="auto"/>
          <w:szCs w:val="21"/>
          <w:highlight w:val="none"/>
        </w:rPr>
      </w:pPr>
      <w:r>
        <w:rPr>
          <w:rFonts w:hint="eastAsia" w:cs="宋体"/>
          <w:color w:val="auto"/>
          <w:szCs w:val="21"/>
          <w:highlight w:val="none"/>
        </w:rPr>
        <w:t>评标委员会根据本章第3.4.2项的规定向招标人提交评标报告。评标报告应当由全体评标委员会成员签字，并于评标结束时抄送有关行政监督部门。评标报告应当包括以下内容：</w:t>
      </w:r>
    </w:p>
    <w:p w14:paraId="2833B3B3">
      <w:pPr>
        <w:pStyle w:val="110"/>
        <w:spacing w:line="360" w:lineRule="auto"/>
        <w:rPr>
          <w:rFonts w:hint="eastAsia" w:cs="宋体"/>
          <w:color w:val="auto"/>
          <w:szCs w:val="21"/>
          <w:highlight w:val="none"/>
        </w:rPr>
      </w:pPr>
      <w:r>
        <w:rPr>
          <w:rFonts w:hint="eastAsia" w:cs="宋体"/>
          <w:color w:val="auto"/>
          <w:szCs w:val="21"/>
          <w:highlight w:val="none"/>
        </w:rPr>
        <w:t>（1）基本情况和数据表；</w:t>
      </w:r>
    </w:p>
    <w:p w14:paraId="23F47842">
      <w:pPr>
        <w:pStyle w:val="110"/>
        <w:spacing w:line="360" w:lineRule="auto"/>
        <w:rPr>
          <w:rFonts w:hint="eastAsia" w:cs="宋体"/>
          <w:color w:val="auto"/>
          <w:szCs w:val="21"/>
          <w:highlight w:val="none"/>
        </w:rPr>
      </w:pPr>
      <w:r>
        <w:rPr>
          <w:rFonts w:hint="eastAsia" w:cs="宋体"/>
          <w:color w:val="auto"/>
          <w:szCs w:val="21"/>
          <w:highlight w:val="none"/>
        </w:rPr>
        <w:t>（2）评标委员会成员名单；</w:t>
      </w:r>
    </w:p>
    <w:p w14:paraId="597CAAFE">
      <w:pPr>
        <w:pStyle w:val="110"/>
        <w:spacing w:line="360" w:lineRule="auto"/>
        <w:rPr>
          <w:rFonts w:hint="eastAsia" w:cs="宋体"/>
          <w:color w:val="auto"/>
          <w:szCs w:val="21"/>
          <w:highlight w:val="none"/>
        </w:rPr>
      </w:pPr>
      <w:r>
        <w:rPr>
          <w:rFonts w:hint="eastAsia" w:cs="宋体"/>
          <w:color w:val="auto"/>
          <w:szCs w:val="21"/>
          <w:highlight w:val="none"/>
        </w:rPr>
        <w:t>（3）开标记录；</w:t>
      </w:r>
    </w:p>
    <w:p w14:paraId="372CD3B7">
      <w:pPr>
        <w:pStyle w:val="110"/>
        <w:spacing w:line="360" w:lineRule="auto"/>
        <w:rPr>
          <w:rFonts w:hint="eastAsia" w:cs="宋体"/>
          <w:color w:val="auto"/>
          <w:szCs w:val="21"/>
          <w:highlight w:val="none"/>
        </w:rPr>
      </w:pPr>
      <w:r>
        <w:rPr>
          <w:rFonts w:hint="eastAsia" w:cs="宋体"/>
          <w:color w:val="auto"/>
          <w:szCs w:val="21"/>
          <w:highlight w:val="none"/>
        </w:rPr>
        <w:t>（4）符合要求的投标一览表；</w:t>
      </w:r>
    </w:p>
    <w:p w14:paraId="152E9D72">
      <w:pPr>
        <w:pStyle w:val="110"/>
        <w:spacing w:line="360" w:lineRule="auto"/>
        <w:rPr>
          <w:rFonts w:hint="eastAsia" w:cs="宋体"/>
          <w:color w:val="auto"/>
          <w:szCs w:val="21"/>
          <w:highlight w:val="none"/>
        </w:rPr>
      </w:pPr>
      <w:r>
        <w:rPr>
          <w:rFonts w:hint="eastAsia" w:cs="宋体"/>
          <w:color w:val="auto"/>
          <w:szCs w:val="21"/>
          <w:highlight w:val="none"/>
        </w:rPr>
        <w:t>（5）否决投标情况说明；</w:t>
      </w:r>
    </w:p>
    <w:p w14:paraId="30AEE166">
      <w:pPr>
        <w:pStyle w:val="110"/>
        <w:spacing w:line="360" w:lineRule="auto"/>
        <w:rPr>
          <w:rFonts w:hint="eastAsia" w:cs="宋体"/>
          <w:color w:val="auto"/>
          <w:szCs w:val="21"/>
          <w:highlight w:val="none"/>
        </w:rPr>
      </w:pPr>
      <w:r>
        <w:rPr>
          <w:rFonts w:hint="eastAsia" w:cs="宋体"/>
          <w:color w:val="auto"/>
          <w:szCs w:val="21"/>
          <w:highlight w:val="none"/>
        </w:rPr>
        <w:t>（6）评标标准、评标方法或者评标因素一览表；</w:t>
      </w:r>
    </w:p>
    <w:p w14:paraId="5C5CCBAC">
      <w:pPr>
        <w:pStyle w:val="110"/>
        <w:spacing w:line="360" w:lineRule="auto"/>
        <w:rPr>
          <w:rFonts w:hint="eastAsia" w:cs="宋体"/>
          <w:color w:val="auto"/>
          <w:szCs w:val="21"/>
          <w:highlight w:val="none"/>
        </w:rPr>
      </w:pPr>
      <w:r>
        <w:rPr>
          <w:rFonts w:hint="eastAsia" w:cs="宋体"/>
          <w:color w:val="auto"/>
          <w:szCs w:val="21"/>
          <w:highlight w:val="none"/>
        </w:rPr>
        <w:t>（7）经评审的价格一览表（包括评标委员会在评标过程中所形成的所有记载评标结果、结论的表格、说明、记录等文件）；</w:t>
      </w:r>
    </w:p>
    <w:p w14:paraId="0877F9FB">
      <w:pPr>
        <w:pStyle w:val="110"/>
        <w:spacing w:line="360" w:lineRule="auto"/>
        <w:rPr>
          <w:rFonts w:hint="eastAsia" w:cs="宋体"/>
          <w:color w:val="auto"/>
          <w:szCs w:val="21"/>
          <w:highlight w:val="none"/>
        </w:rPr>
      </w:pPr>
      <w:r>
        <w:rPr>
          <w:rFonts w:hint="eastAsia" w:cs="宋体"/>
          <w:color w:val="auto"/>
          <w:szCs w:val="21"/>
          <w:highlight w:val="none"/>
        </w:rPr>
        <w:t>（8）经评审的投标人排序；</w:t>
      </w:r>
    </w:p>
    <w:p w14:paraId="1860EB05">
      <w:pPr>
        <w:pStyle w:val="110"/>
        <w:spacing w:line="360" w:lineRule="auto"/>
        <w:rPr>
          <w:rFonts w:hint="eastAsia" w:cs="宋体"/>
          <w:color w:val="auto"/>
          <w:szCs w:val="21"/>
          <w:highlight w:val="none"/>
        </w:rPr>
      </w:pPr>
      <w:r>
        <w:rPr>
          <w:rFonts w:hint="eastAsia" w:cs="宋体"/>
          <w:color w:val="auto"/>
          <w:szCs w:val="21"/>
          <w:highlight w:val="none"/>
        </w:rPr>
        <w:t>（9）推荐的中标候选人名单（如果第二章“投标人须知”前附表授权评标委员会直接确定中标人，则为“确定的中标人”）与签订合同前要处理的事宜；</w:t>
      </w:r>
    </w:p>
    <w:p w14:paraId="5171BD4B">
      <w:pPr>
        <w:pStyle w:val="110"/>
        <w:spacing w:line="360" w:lineRule="auto"/>
        <w:rPr>
          <w:rFonts w:hint="eastAsia" w:cs="宋体"/>
          <w:color w:val="auto"/>
          <w:szCs w:val="21"/>
          <w:highlight w:val="none"/>
        </w:rPr>
      </w:pPr>
      <w:r>
        <w:rPr>
          <w:rFonts w:hint="eastAsia" w:cs="宋体"/>
          <w:color w:val="auto"/>
          <w:szCs w:val="21"/>
          <w:highlight w:val="none"/>
        </w:rPr>
        <w:t>（10）澄清、说明、补正事项纪要。</w:t>
      </w:r>
    </w:p>
    <w:p w14:paraId="2D5E8729">
      <w:pPr>
        <w:pStyle w:val="141"/>
        <w:rPr>
          <w:rStyle w:val="37"/>
          <w:rFonts w:hint="eastAsia" w:cs="宋体"/>
          <w:color w:val="auto"/>
          <w:szCs w:val="21"/>
          <w:highlight w:val="none"/>
        </w:rPr>
      </w:pPr>
      <w:r>
        <w:rPr>
          <w:rStyle w:val="37"/>
          <w:rFonts w:hint="eastAsia" w:cs="宋体"/>
          <w:color w:val="auto"/>
          <w:szCs w:val="21"/>
          <w:highlight w:val="none"/>
        </w:rPr>
        <w:t>A6．特殊情况的处置程序</w:t>
      </w:r>
    </w:p>
    <w:p w14:paraId="03492AE0">
      <w:pPr>
        <w:pStyle w:val="141"/>
        <w:rPr>
          <w:rStyle w:val="37"/>
          <w:rFonts w:hint="eastAsia" w:cs="宋体"/>
          <w:color w:val="auto"/>
          <w:szCs w:val="21"/>
          <w:highlight w:val="none"/>
        </w:rPr>
      </w:pPr>
      <w:bookmarkStart w:id="68" w:name="_Toc387152553"/>
      <w:r>
        <w:rPr>
          <w:rStyle w:val="37"/>
          <w:rFonts w:hint="eastAsia" w:cs="宋体"/>
          <w:color w:val="auto"/>
          <w:szCs w:val="21"/>
          <w:highlight w:val="none"/>
        </w:rPr>
        <w:t>A6.1  暗标评审的评审程序规定（本项目不采用）。</w:t>
      </w:r>
    </w:p>
    <w:p w14:paraId="27DEC235">
      <w:pPr>
        <w:pStyle w:val="141"/>
        <w:rPr>
          <w:rStyle w:val="37"/>
          <w:rFonts w:hint="eastAsia" w:cs="宋体"/>
          <w:color w:val="auto"/>
          <w:szCs w:val="21"/>
          <w:highlight w:val="none"/>
        </w:rPr>
      </w:pPr>
      <w:r>
        <w:rPr>
          <w:rStyle w:val="37"/>
          <w:rFonts w:hint="eastAsia" w:cs="宋体"/>
          <w:color w:val="auto"/>
          <w:szCs w:val="21"/>
          <w:highlight w:val="none"/>
        </w:rPr>
        <w:t>A6.2  关于评标活动暂停</w:t>
      </w:r>
    </w:p>
    <w:p w14:paraId="7D54A437">
      <w:pPr>
        <w:pStyle w:val="110"/>
        <w:spacing w:line="360" w:lineRule="auto"/>
        <w:rPr>
          <w:rFonts w:hint="eastAsia" w:cs="宋体"/>
          <w:color w:val="auto"/>
          <w:szCs w:val="21"/>
          <w:highlight w:val="none"/>
        </w:rPr>
      </w:pPr>
      <w:r>
        <w:rPr>
          <w:rFonts w:hint="eastAsia" w:cs="宋体"/>
          <w:color w:val="auto"/>
          <w:szCs w:val="21"/>
          <w:highlight w:val="none"/>
        </w:rPr>
        <w:t>A6.2.1  评标委员会应当执行连续评标的原则，按评标办法中规定的程序、内容、方法、标准完成全部评标工作。只有发生不可抗力导致评标工作无法继续时，评标活动方可暂停。</w:t>
      </w:r>
    </w:p>
    <w:p w14:paraId="1A90A3CB">
      <w:pPr>
        <w:pStyle w:val="110"/>
        <w:spacing w:line="360" w:lineRule="auto"/>
        <w:rPr>
          <w:rFonts w:hint="eastAsia" w:cs="宋体"/>
          <w:color w:val="auto"/>
          <w:szCs w:val="21"/>
          <w:highlight w:val="none"/>
        </w:rPr>
      </w:pPr>
      <w:r>
        <w:rPr>
          <w:rFonts w:hint="eastAsia" w:cs="宋体"/>
          <w:color w:val="auto"/>
          <w:szCs w:val="21"/>
          <w:highlight w:val="none"/>
        </w:rPr>
        <w:t>A6.2.2  发生评标暂停情况时，评标委员会应当封存全部投标文件和评标记录，待不可抗力的影响结束且具备继续评标的条件时，由原评标委员会继续评标。</w:t>
      </w:r>
    </w:p>
    <w:p w14:paraId="679972C7">
      <w:pPr>
        <w:pStyle w:val="141"/>
        <w:rPr>
          <w:rStyle w:val="37"/>
          <w:rFonts w:hint="eastAsia" w:cs="宋体"/>
          <w:color w:val="auto"/>
          <w:szCs w:val="21"/>
          <w:highlight w:val="none"/>
        </w:rPr>
      </w:pPr>
      <w:r>
        <w:rPr>
          <w:rStyle w:val="37"/>
          <w:rFonts w:hint="eastAsia" w:cs="宋体"/>
          <w:color w:val="auto"/>
          <w:szCs w:val="21"/>
          <w:highlight w:val="none"/>
        </w:rPr>
        <w:t>A6.3  关于评标中途更换评委</w:t>
      </w:r>
    </w:p>
    <w:p w14:paraId="4A3C716B">
      <w:pPr>
        <w:pStyle w:val="110"/>
        <w:spacing w:line="360" w:lineRule="auto"/>
        <w:rPr>
          <w:rFonts w:hint="eastAsia" w:cs="宋体"/>
          <w:color w:val="auto"/>
          <w:szCs w:val="21"/>
          <w:highlight w:val="none"/>
        </w:rPr>
      </w:pPr>
      <w:r>
        <w:rPr>
          <w:rFonts w:hint="eastAsia" w:cs="宋体"/>
          <w:color w:val="auto"/>
          <w:szCs w:val="21"/>
          <w:highlight w:val="none"/>
        </w:rPr>
        <w:t>A6.3.1  除非发生下列情况之一，评标委员会成员不得在评标中途更换：</w:t>
      </w:r>
    </w:p>
    <w:p w14:paraId="3633C32D">
      <w:pPr>
        <w:pStyle w:val="110"/>
        <w:spacing w:line="360" w:lineRule="auto"/>
        <w:rPr>
          <w:rFonts w:hint="eastAsia" w:cs="宋体"/>
          <w:color w:val="auto"/>
          <w:szCs w:val="21"/>
          <w:highlight w:val="none"/>
        </w:rPr>
      </w:pPr>
      <w:r>
        <w:rPr>
          <w:rFonts w:hint="eastAsia" w:cs="宋体"/>
          <w:color w:val="auto"/>
          <w:szCs w:val="21"/>
          <w:highlight w:val="none"/>
        </w:rPr>
        <w:t>（1） 因不可抗拒的客观原因，不能到场或需在评标中途退出评标活动。</w:t>
      </w:r>
    </w:p>
    <w:p w14:paraId="5CBC794B">
      <w:pPr>
        <w:pStyle w:val="110"/>
        <w:spacing w:line="360" w:lineRule="auto"/>
        <w:rPr>
          <w:rFonts w:hint="eastAsia" w:cs="宋体"/>
          <w:color w:val="auto"/>
          <w:szCs w:val="21"/>
          <w:highlight w:val="none"/>
        </w:rPr>
      </w:pPr>
      <w:r>
        <w:rPr>
          <w:rFonts w:hint="eastAsia" w:cs="宋体"/>
          <w:color w:val="auto"/>
          <w:szCs w:val="21"/>
          <w:highlight w:val="none"/>
        </w:rPr>
        <w:t>（2） 根据法律法规规定，某个或某几个评标委员会成员需要回避。</w:t>
      </w:r>
    </w:p>
    <w:p w14:paraId="368470F5">
      <w:pPr>
        <w:pStyle w:val="110"/>
        <w:spacing w:line="360" w:lineRule="auto"/>
        <w:rPr>
          <w:rFonts w:hint="eastAsia" w:cs="宋体"/>
          <w:color w:val="auto"/>
          <w:szCs w:val="21"/>
          <w:highlight w:val="none"/>
        </w:rPr>
      </w:pPr>
      <w:r>
        <w:rPr>
          <w:rFonts w:hint="eastAsia" w:cs="宋体"/>
          <w:color w:val="auto"/>
          <w:szCs w:val="21"/>
          <w:highlight w:val="none"/>
        </w:rPr>
        <w:t>A6.3.2 退出评标的评标委员会成员，其已完成的评标行为无效。由招标人根据本招标文件规定的评标委员会成员生产方式另行确定替代者进行评标。</w:t>
      </w:r>
    </w:p>
    <w:p w14:paraId="3156CCAF">
      <w:pPr>
        <w:pStyle w:val="141"/>
        <w:rPr>
          <w:rStyle w:val="37"/>
          <w:rFonts w:hint="eastAsia" w:cs="宋体"/>
          <w:color w:val="auto"/>
          <w:szCs w:val="21"/>
          <w:highlight w:val="none"/>
        </w:rPr>
      </w:pPr>
      <w:r>
        <w:rPr>
          <w:rStyle w:val="37"/>
          <w:rFonts w:hint="eastAsia" w:cs="宋体"/>
          <w:color w:val="auto"/>
          <w:szCs w:val="21"/>
          <w:highlight w:val="none"/>
        </w:rPr>
        <w:t>A6.4  不记名投票</w:t>
      </w:r>
    </w:p>
    <w:p w14:paraId="310D6121">
      <w:pPr>
        <w:pStyle w:val="110"/>
        <w:spacing w:line="360" w:lineRule="auto"/>
        <w:rPr>
          <w:rFonts w:hint="eastAsia" w:cs="宋体"/>
          <w:color w:val="auto"/>
          <w:szCs w:val="21"/>
          <w:highlight w:val="none"/>
        </w:rPr>
      </w:pPr>
      <w:r>
        <w:rPr>
          <w:rFonts w:hint="eastAsia" w:cs="宋体"/>
          <w:color w:val="auto"/>
          <w:szCs w:val="21"/>
          <w:highlight w:val="none"/>
        </w:rPr>
        <w:t>在任何评标环节中，需评标委员会就某项定性的评审结论作出表决的，由评标委员会全体成员按照少数服从多数的原则，以不记名投票方式表决。</w:t>
      </w:r>
    </w:p>
    <w:p w14:paraId="003A74A0">
      <w:pPr>
        <w:pStyle w:val="164"/>
        <w:adjustRightInd w:val="0"/>
        <w:ind w:firstLine="0" w:firstLineChars="0"/>
        <w:rPr>
          <w:rFonts w:hint="eastAsia" w:ascii="宋体" w:hAnsi="宋体" w:cs="宋体"/>
          <w:b/>
          <w:color w:val="auto"/>
          <w:sz w:val="21"/>
          <w:szCs w:val="21"/>
          <w:highlight w:val="none"/>
        </w:rPr>
      </w:pPr>
      <w:bookmarkStart w:id="69" w:name="_Toc417634875"/>
      <w:r>
        <w:rPr>
          <w:rFonts w:hint="eastAsia" w:ascii="宋体" w:hAnsi="宋体" w:cs="宋体"/>
          <w:b/>
          <w:color w:val="auto"/>
          <w:sz w:val="30"/>
          <w:highlight w:val="none"/>
        </w:rPr>
        <w:br w:type="page"/>
      </w:r>
      <w:r>
        <w:rPr>
          <w:rFonts w:hint="eastAsia" w:ascii="宋体" w:hAnsi="宋体" w:cs="宋体"/>
          <w:b/>
          <w:color w:val="auto"/>
          <w:sz w:val="21"/>
          <w:szCs w:val="21"/>
          <w:highlight w:val="none"/>
        </w:rPr>
        <w:t>附件B：</w:t>
      </w:r>
      <w:bookmarkEnd w:id="68"/>
      <w:bookmarkEnd w:id="69"/>
      <w:r>
        <w:rPr>
          <w:rFonts w:hint="eastAsia" w:ascii="宋体" w:hAnsi="宋体" w:cs="宋体"/>
          <w:b/>
          <w:color w:val="auto"/>
          <w:sz w:val="21"/>
          <w:szCs w:val="21"/>
          <w:highlight w:val="none"/>
        </w:rPr>
        <w:t>否决投标条款</w:t>
      </w:r>
    </w:p>
    <w:p w14:paraId="7ED74DED">
      <w:pPr>
        <w:pStyle w:val="148"/>
        <w:ind w:firstLine="480"/>
        <w:jc w:val="center"/>
        <w:rPr>
          <w:rFonts w:hint="eastAsia" w:ascii="宋体" w:eastAsia="宋体" w:cs="宋体"/>
          <w:color w:val="auto"/>
          <w:sz w:val="28"/>
          <w:szCs w:val="28"/>
          <w:highlight w:val="none"/>
        </w:rPr>
      </w:pPr>
      <w:r>
        <w:rPr>
          <w:rFonts w:hint="eastAsia" w:ascii="宋体" w:eastAsia="宋体" w:cs="宋体"/>
          <w:color w:val="auto"/>
          <w:sz w:val="24"/>
          <w:highlight w:val="none"/>
        </w:rPr>
        <w:t>否决投标条款</w:t>
      </w:r>
    </w:p>
    <w:p w14:paraId="718E2C1F">
      <w:pPr>
        <w:pStyle w:val="148"/>
        <w:rPr>
          <w:rFonts w:hint="eastAsia" w:ascii="宋体" w:eastAsia="宋体" w:cs="宋体"/>
          <w:color w:val="auto"/>
          <w:szCs w:val="21"/>
          <w:highlight w:val="none"/>
        </w:rPr>
      </w:pPr>
      <w:r>
        <w:rPr>
          <w:rFonts w:hint="eastAsia" w:ascii="宋体" w:eastAsia="宋体" w:cs="宋体"/>
          <w:color w:val="auto"/>
          <w:szCs w:val="21"/>
          <w:highlight w:val="none"/>
        </w:rPr>
        <w:t>B0.总  则</w:t>
      </w:r>
    </w:p>
    <w:p w14:paraId="6C707C86">
      <w:pPr>
        <w:pStyle w:val="119"/>
        <w:rPr>
          <w:rFonts w:hint="eastAsia" w:cs="宋体"/>
          <w:color w:val="auto"/>
          <w:szCs w:val="21"/>
          <w:highlight w:val="none"/>
        </w:rPr>
      </w:pPr>
      <w:r>
        <w:rPr>
          <w:rFonts w:hint="eastAsia" w:cs="宋体"/>
          <w:color w:val="auto"/>
          <w:szCs w:val="21"/>
          <w:highlight w:val="none"/>
        </w:rPr>
        <w:t>本附件所集中列示的否决投标条件，是本章“评标办法”的组成部分，是对第二章“投标人须知”和本章正文部分所规定的否决投标条件的总结和补充，如果出现相互矛盾的情况，以本节的规定为准。</w:t>
      </w:r>
    </w:p>
    <w:p w14:paraId="02DA0D1F">
      <w:pPr>
        <w:pStyle w:val="148"/>
        <w:rPr>
          <w:rFonts w:hint="eastAsia" w:ascii="宋体" w:eastAsia="宋体" w:cs="宋体"/>
          <w:color w:val="auto"/>
          <w:szCs w:val="21"/>
          <w:highlight w:val="none"/>
        </w:rPr>
      </w:pPr>
      <w:r>
        <w:rPr>
          <w:rFonts w:hint="eastAsia" w:ascii="宋体" w:eastAsia="宋体" w:cs="宋体"/>
          <w:color w:val="auto"/>
          <w:szCs w:val="21"/>
          <w:highlight w:val="none"/>
        </w:rPr>
        <w:t>B1.</w:t>
      </w:r>
      <w:r>
        <w:rPr>
          <w:rFonts w:hint="eastAsia" w:ascii="宋体" w:eastAsia="宋体" w:cs="宋体"/>
          <w:color w:val="auto"/>
          <w:highlight w:val="none"/>
        </w:rPr>
        <w:t xml:space="preserve"> </w:t>
      </w:r>
      <w:r>
        <w:rPr>
          <w:rFonts w:hint="eastAsia" w:ascii="宋体" w:eastAsia="宋体" w:cs="宋体"/>
          <w:color w:val="auto"/>
          <w:szCs w:val="21"/>
          <w:highlight w:val="none"/>
        </w:rPr>
        <w:t>否决投标条款</w:t>
      </w:r>
    </w:p>
    <w:p w14:paraId="607B4076">
      <w:pPr>
        <w:pStyle w:val="171"/>
        <w:spacing w:line="360" w:lineRule="auto"/>
        <w:rPr>
          <w:rFonts w:hint="eastAsia" w:cs="宋体"/>
          <w:color w:val="auto"/>
          <w:szCs w:val="21"/>
          <w:highlight w:val="none"/>
        </w:rPr>
      </w:pPr>
      <w:r>
        <w:rPr>
          <w:rFonts w:hint="eastAsia" w:cs="宋体"/>
          <w:color w:val="auto"/>
          <w:szCs w:val="21"/>
          <w:highlight w:val="none"/>
        </w:rPr>
        <w:t>B1.1投标函未满足第四章“投标函”要求的；</w:t>
      </w:r>
    </w:p>
    <w:p w14:paraId="3B0E5676">
      <w:pPr>
        <w:pStyle w:val="171"/>
        <w:spacing w:line="360" w:lineRule="auto"/>
        <w:rPr>
          <w:rFonts w:hint="eastAsia" w:cs="宋体"/>
          <w:color w:val="auto"/>
          <w:szCs w:val="21"/>
          <w:highlight w:val="none"/>
        </w:rPr>
      </w:pPr>
      <w:r>
        <w:rPr>
          <w:rFonts w:hint="eastAsia" w:cs="宋体"/>
          <w:color w:val="auto"/>
          <w:szCs w:val="21"/>
          <w:highlight w:val="none"/>
        </w:rPr>
        <w:t>B1.2交货期不满足投标人须知1.3.2条的；</w:t>
      </w:r>
    </w:p>
    <w:p w14:paraId="1562911D">
      <w:pPr>
        <w:pStyle w:val="171"/>
        <w:spacing w:line="360" w:lineRule="auto"/>
        <w:rPr>
          <w:rFonts w:hint="eastAsia" w:cs="宋体"/>
          <w:color w:val="auto"/>
          <w:szCs w:val="21"/>
          <w:highlight w:val="none"/>
        </w:rPr>
      </w:pPr>
      <w:r>
        <w:rPr>
          <w:rFonts w:hint="eastAsia" w:cs="宋体"/>
          <w:color w:val="auto"/>
          <w:szCs w:val="21"/>
          <w:highlight w:val="none"/>
        </w:rPr>
        <w:t>B1.3</w:t>
      </w:r>
      <w:r>
        <w:rPr>
          <w:rFonts w:hint="eastAsia" w:cs="宋体"/>
          <w:color w:val="auto"/>
          <w:szCs w:val="22"/>
          <w:highlight w:val="none"/>
        </w:rPr>
        <w:t>交货地点</w:t>
      </w:r>
      <w:r>
        <w:rPr>
          <w:rFonts w:hint="eastAsia" w:cs="宋体"/>
          <w:color w:val="auto"/>
          <w:szCs w:val="21"/>
          <w:highlight w:val="none"/>
        </w:rPr>
        <w:t>不满足投标人须知1.3.3条的；</w:t>
      </w:r>
    </w:p>
    <w:p w14:paraId="261F8F81">
      <w:pPr>
        <w:pStyle w:val="171"/>
        <w:spacing w:line="360" w:lineRule="auto"/>
        <w:rPr>
          <w:rFonts w:hint="eastAsia" w:cs="宋体"/>
          <w:color w:val="auto"/>
          <w:szCs w:val="21"/>
          <w:highlight w:val="none"/>
        </w:rPr>
      </w:pPr>
      <w:r>
        <w:rPr>
          <w:rFonts w:hint="eastAsia" w:cs="宋体"/>
          <w:color w:val="auto"/>
          <w:szCs w:val="21"/>
          <w:highlight w:val="none"/>
        </w:rPr>
        <w:t>B1.4质量要求不满足投标人须知1.3.4条的；</w:t>
      </w:r>
    </w:p>
    <w:p w14:paraId="311F36E9">
      <w:pPr>
        <w:pStyle w:val="171"/>
        <w:spacing w:line="360" w:lineRule="auto"/>
        <w:rPr>
          <w:rFonts w:hint="eastAsia" w:cs="宋体"/>
          <w:color w:val="auto"/>
          <w:szCs w:val="21"/>
          <w:highlight w:val="none"/>
        </w:rPr>
      </w:pPr>
      <w:r>
        <w:rPr>
          <w:rFonts w:hint="eastAsia" w:cs="宋体"/>
          <w:color w:val="auto"/>
          <w:szCs w:val="21"/>
          <w:highlight w:val="none"/>
        </w:rPr>
        <w:t>B1.5扫描件模糊不清无法辨认的；</w:t>
      </w:r>
    </w:p>
    <w:p w14:paraId="6C0B982C">
      <w:pPr>
        <w:pStyle w:val="171"/>
        <w:spacing w:line="360" w:lineRule="auto"/>
        <w:rPr>
          <w:rFonts w:hint="eastAsia" w:cs="宋体"/>
          <w:color w:val="auto"/>
          <w:szCs w:val="21"/>
          <w:highlight w:val="none"/>
        </w:rPr>
      </w:pPr>
      <w:r>
        <w:rPr>
          <w:rFonts w:hint="eastAsia" w:cs="宋体"/>
          <w:color w:val="auto"/>
          <w:szCs w:val="21"/>
          <w:highlight w:val="none"/>
        </w:rPr>
        <w:t>B1.6资格条件、能力和信誉不满足投标人须知1.4.1条的；</w:t>
      </w:r>
    </w:p>
    <w:p w14:paraId="5FDDD770">
      <w:pPr>
        <w:pStyle w:val="171"/>
        <w:spacing w:line="360" w:lineRule="auto"/>
        <w:rPr>
          <w:rFonts w:hint="eastAsia" w:cs="宋体"/>
          <w:color w:val="auto"/>
          <w:szCs w:val="21"/>
          <w:highlight w:val="none"/>
        </w:rPr>
      </w:pPr>
      <w:r>
        <w:rPr>
          <w:rFonts w:hint="eastAsia" w:cs="宋体"/>
          <w:color w:val="auto"/>
          <w:szCs w:val="21"/>
          <w:highlight w:val="none"/>
        </w:rPr>
        <w:t>B1.7投标有效期未满足投标人须知3.3.1条的；</w:t>
      </w:r>
    </w:p>
    <w:p w14:paraId="0E94BE54">
      <w:pPr>
        <w:pStyle w:val="171"/>
        <w:spacing w:line="360" w:lineRule="auto"/>
        <w:rPr>
          <w:rFonts w:hint="eastAsia" w:cs="宋体"/>
          <w:color w:val="auto"/>
          <w:szCs w:val="21"/>
          <w:highlight w:val="none"/>
        </w:rPr>
      </w:pPr>
      <w:r>
        <w:rPr>
          <w:rFonts w:hint="eastAsia" w:cs="宋体"/>
          <w:color w:val="auto"/>
          <w:szCs w:val="21"/>
          <w:highlight w:val="none"/>
        </w:rPr>
        <w:t>B1.8投标保证金未满足投标人须知3.4.1条的；</w:t>
      </w:r>
    </w:p>
    <w:p w14:paraId="486F8DB5">
      <w:pPr>
        <w:pStyle w:val="171"/>
        <w:spacing w:line="360" w:lineRule="auto"/>
        <w:rPr>
          <w:rFonts w:hint="eastAsia" w:cs="宋体"/>
          <w:color w:val="auto"/>
          <w:szCs w:val="21"/>
          <w:highlight w:val="none"/>
        </w:rPr>
      </w:pPr>
      <w:r>
        <w:rPr>
          <w:rFonts w:hint="eastAsia" w:cs="宋体"/>
          <w:color w:val="auto"/>
          <w:szCs w:val="21"/>
          <w:highlight w:val="none"/>
        </w:rPr>
        <w:t>B1.9资格审查文件未满足投标人须知3.5条的；</w:t>
      </w:r>
    </w:p>
    <w:p w14:paraId="790B7672">
      <w:pPr>
        <w:pStyle w:val="171"/>
        <w:spacing w:line="360" w:lineRule="auto"/>
        <w:rPr>
          <w:rFonts w:hint="eastAsia" w:cs="宋体"/>
          <w:color w:val="auto"/>
          <w:szCs w:val="21"/>
          <w:highlight w:val="none"/>
        </w:rPr>
      </w:pPr>
      <w:r>
        <w:rPr>
          <w:rFonts w:hint="eastAsia" w:cs="宋体"/>
          <w:color w:val="auto"/>
          <w:szCs w:val="21"/>
          <w:highlight w:val="none"/>
        </w:rPr>
        <w:t>B1.10投标文件格式未满足投标人须知3.7.1条的；</w:t>
      </w:r>
    </w:p>
    <w:p w14:paraId="3762E393">
      <w:pPr>
        <w:pStyle w:val="171"/>
        <w:spacing w:line="360" w:lineRule="auto"/>
        <w:rPr>
          <w:rFonts w:hint="eastAsia" w:cs="宋体"/>
          <w:color w:val="auto"/>
          <w:szCs w:val="21"/>
          <w:highlight w:val="none"/>
        </w:rPr>
      </w:pPr>
      <w:r>
        <w:rPr>
          <w:rFonts w:hint="eastAsia" w:cs="宋体"/>
          <w:color w:val="auto"/>
          <w:szCs w:val="21"/>
          <w:highlight w:val="none"/>
        </w:rPr>
        <w:t>B1.11投标文件签署未满足投标人须知3.7.5条的；</w:t>
      </w:r>
    </w:p>
    <w:p w14:paraId="3FCB5FD8">
      <w:pPr>
        <w:pStyle w:val="171"/>
        <w:spacing w:line="360" w:lineRule="auto"/>
        <w:rPr>
          <w:rFonts w:hint="eastAsia" w:cs="宋体"/>
          <w:color w:val="auto"/>
          <w:szCs w:val="21"/>
          <w:highlight w:val="none"/>
        </w:rPr>
      </w:pPr>
      <w:r>
        <w:rPr>
          <w:rFonts w:hint="eastAsia" w:cs="宋体"/>
          <w:color w:val="auto"/>
          <w:szCs w:val="21"/>
          <w:highlight w:val="none"/>
        </w:rPr>
        <w:t>B1.12投标价高于投标人须知10.2条的；</w:t>
      </w:r>
    </w:p>
    <w:p w14:paraId="0CF9A1BB">
      <w:pPr>
        <w:pStyle w:val="171"/>
        <w:spacing w:line="360" w:lineRule="auto"/>
        <w:rPr>
          <w:rFonts w:hint="eastAsia" w:cs="宋体"/>
          <w:color w:val="auto"/>
          <w:szCs w:val="21"/>
          <w:highlight w:val="none"/>
        </w:rPr>
      </w:pPr>
      <w:r>
        <w:rPr>
          <w:rFonts w:hint="eastAsia" w:cs="宋体"/>
          <w:color w:val="auto"/>
          <w:szCs w:val="21"/>
          <w:highlight w:val="none"/>
        </w:rPr>
        <w:t>B1.13低于成本报价的；</w:t>
      </w:r>
    </w:p>
    <w:p w14:paraId="23ABA336">
      <w:pPr>
        <w:pStyle w:val="171"/>
        <w:spacing w:line="360" w:lineRule="auto"/>
        <w:rPr>
          <w:rFonts w:hint="eastAsia" w:cs="宋体"/>
          <w:color w:val="auto"/>
          <w:szCs w:val="21"/>
          <w:highlight w:val="none"/>
        </w:rPr>
      </w:pPr>
      <w:r>
        <w:rPr>
          <w:rFonts w:hint="eastAsia" w:cs="宋体"/>
          <w:color w:val="auto"/>
          <w:szCs w:val="21"/>
          <w:highlight w:val="none"/>
        </w:rPr>
        <w:t>B1.14未按规定格式填写，内容不全或者关键内容字迹模糊，无法辨认的；</w:t>
      </w:r>
    </w:p>
    <w:p w14:paraId="0C0B05AC">
      <w:pPr>
        <w:pStyle w:val="171"/>
        <w:spacing w:line="360" w:lineRule="auto"/>
        <w:rPr>
          <w:rFonts w:hint="eastAsia" w:cs="宋体"/>
          <w:color w:val="auto"/>
          <w:szCs w:val="21"/>
          <w:highlight w:val="none"/>
        </w:rPr>
      </w:pPr>
      <w:r>
        <w:rPr>
          <w:rFonts w:hint="eastAsia" w:cs="宋体"/>
          <w:color w:val="auto"/>
          <w:szCs w:val="21"/>
          <w:highlight w:val="none"/>
        </w:rPr>
        <w:t>B1.15投标人上传的电子投标文件中有两份或多份内容不同的投标文件，或者在一份投标文件中对同一招标项目报有两个或多个报价，且未声明哪一个有效，按招标文件规定提交备选投标方案的除外；</w:t>
      </w:r>
    </w:p>
    <w:p w14:paraId="2B40E8E3">
      <w:pPr>
        <w:pStyle w:val="171"/>
        <w:spacing w:line="360" w:lineRule="auto"/>
        <w:rPr>
          <w:rFonts w:hint="eastAsia" w:cs="宋体"/>
          <w:color w:val="auto"/>
          <w:szCs w:val="21"/>
          <w:highlight w:val="none"/>
        </w:rPr>
      </w:pPr>
      <w:r>
        <w:rPr>
          <w:rFonts w:hint="eastAsia" w:cs="宋体"/>
          <w:color w:val="auto"/>
          <w:szCs w:val="21"/>
          <w:highlight w:val="none"/>
        </w:rPr>
        <w:t>B1.16投标人在投标文件中电子签章或电子签名的名称或人员与其他投标人在投标文件中的电子签章或电子签名的名称或人员为同一人的；</w:t>
      </w:r>
    </w:p>
    <w:p w14:paraId="2854A3D6">
      <w:pPr>
        <w:pStyle w:val="171"/>
        <w:spacing w:line="360" w:lineRule="auto"/>
        <w:rPr>
          <w:rFonts w:hint="eastAsia" w:cs="宋体"/>
          <w:color w:val="auto"/>
          <w:szCs w:val="21"/>
          <w:highlight w:val="none"/>
        </w:rPr>
      </w:pPr>
      <w:r>
        <w:rPr>
          <w:rFonts w:hint="eastAsia" w:cs="宋体"/>
          <w:color w:val="auto"/>
          <w:szCs w:val="21"/>
          <w:highlight w:val="none"/>
        </w:rPr>
        <w:t>B1.17违反国家、省、市相关法律法规的。</w:t>
      </w:r>
    </w:p>
    <w:p w14:paraId="28AA3C98">
      <w:pPr>
        <w:rPr>
          <w:rFonts w:hint="eastAsia" w:ascii="宋体" w:hAnsi="宋体" w:cs="宋体"/>
          <w:color w:val="auto"/>
          <w:sz w:val="24"/>
          <w:highlight w:val="none"/>
        </w:rPr>
      </w:pPr>
      <w:r>
        <w:rPr>
          <w:rFonts w:hint="eastAsia" w:ascii="宋体" w:hAnsi="宋体" w:cs="宋体"/>
          <w:color w:val="auto"/>
          <w:highlight w:val="none"/>
        </w:rPr>
        <w:br w:type="page"/>
      </w:r>
    </w:p>
    <w:p w14:paraId="2D6D3F24">
      <w:pPr>
        <w:rPr>
          <w:rFonts w:hint="eastAsia" w:ascii="宋体" w:hAnsi="宋体" w:cs="宋体"/>
          <w:color w:val="auto"/>
          <w:highlight w:val="none"/>
        </w:rPr>
      </w:pPr>
    </w:p>
    <w:p w14:paraId="3CB91EFD">
      <w:pPr>
        <w:rPr>
          <w:rFonts w:hint="eastAsia" w:ascii="宋体" w:hAnsi="宋体" w:cs="宋体"/>
          <w:color w:val="auto"/>
          <w:highlight w:val="none"/>
        </w:rPr>
      </w:pPr>
    </w:p>
    <w:p w14:paraId="067D484D">
      <w:pPr>
        <w:rPr>
          <w:rFonts w:hint="eastAsia" w:ascii="宋体" w:hAnsi="宋体" w:cs="宋体"/>
          <w:color w:val="auto"/>
          <w:highlight w:val="none"/>
        </w:rPr>
      </w:pPr>
    </w:p>
    <w:p w14:paraId="6875E272">
      <w:pPr>
        <w:rPr>
          <w:rFonts w:hint="eastAsia" w:ascii="宋体" w:hAnsi="宋体" w:cs="宋体"/>
          <w:color w:val="auto"/>
          <w:highlight w:val="none"/>
        </w:rPr>
      </w:pPr>
    </w:p>
    <w:p w14:paraId="74F2CF25">
      <w:pPr>
        <w:rPr>
          <w:rFonts w:hint="eastAsia" w:ascii="宋体" w:hAnsi="宋体" w:cs="宋体"/>
          <w:color w:val="auto"/>
          <w:highlight w:val="none"/>
        </w:rPr>
      </w:pPr>
    </w:p>
    <w:p w14:paraId="0596F5C5">
      <w:pPr>
        <w:pStyle w:val="164"/>
        <w:spacing w:line="640" w:lineRule="atLeast"/>
        <w:ind w:firstLine="400"/>
        <w:rPr>
          <w:rFonts w:hint="eastAsia" w:ascii="宋体" w:hAnsi="宋体" w:cs="宋体"/>
          <w:color w:val="auto"/>
          <w:highlight w:val="none"/>
        </w:rPr>
      </w:pPr>
      <w:bookmarkStart w:id="70" w:name="_Toc417634876"/>
    </w:p>
    <w:p w14:paraId="1D57CE0C">
      <w:pPr>
        <w:pStyle w:val="164"/>
        <w:spacing w:line="640" w:lineRule="atLeast"/>
        <w:ind w:firstLine="400"/>
        <w:rPr>
          <w:rFonts w:hint="eastAsia" w:ascii="宋体" w:hAnsi="宋体" w:cs="宋体"/>
          <w:color w:val="auto"/>
          <w:highlight w:val="none"/>
        </w:rPr>
      </w:pPr>
    </w:p>
    <w:p w14:paraId="06914FA9">
      <w:pPr>
        <w:pStyle w:val="164"/>
        <w:spacing w:line="640" w:lineRule="atLeast"/>
        <w:ind w:firstLine="400"/>
        <w:rPr>
          <w:rFonts w:hint="eastAsia" w:ascii="宋体" w:hAnsi="宋体" w:cs="宋体"/>
          <w:color w:val="auto"/>
          <w:highlight w:val="none"/>
        </w:rPr>
      </w:pPr>
    </w:p>
    <w:p w14:paraId="6330DCAA">
      <w:pPr>
        <w:pStyle w:val="3"/>
        <w:ind w:firstLine="0" w:firstLineChars="0"/>
        <w:jc w:val="center"/>
        <w:rPr>
          <w:rFonts w:hint="eastAsia" w:ascii="宋体" w:hAnsi="宋体" w:eastAsia="宋体" w:cs="宋体"/>
          <w:color w:val="auto"/>
          <w:kern w:val="0"/>
          <w:sz w:val="36"/>
          <w:szCs w:val="36"/>
          <w:highlight w:val="none"/>
        </w:rPr>
      </w:pPr>
      <w:bookmarkStart w:id="71" w:name="_Toc1601"/>
      <w:bookmarkStart w:id="72" w:name="_Toc20774"/>
      <w:r>
        <w:rPr>
          <w:rFonts w:hint="eastAsia" w:ascii="宋体" w:hAnsi="宋体" w:eastAsia="宋体" w:cs="宋体"/>
          <w:color w:val="auto"/>
          <w:kern w:val="0"/>
          <w:sz w:val="36"/>
          <w:szCs w:val="36"/>
          <w:highlight w:val="none"/>
        </w:rPr>
        <w:t>第四章  投标文件格式</w:t>
      </w:r>
      <w:bookmarkEnd w:id="70"/>
      <w:bookmarkEnd w:id="71"/>
      <w:bookmarkEnd w:id="72"/>
    </w:p>
    <w:p w14:paraId="6F00A0FF">
      <w:pPr>
        <w:pStyle w:val="164"/>
        <w:spacing w:line="640" w:lineRule="atLeast"/>
        <w:ind w:firstLine="400"/>
        <w:rPr>
          <w:rFonts w:hint="eastAsia" w:ascii="宋体" w:hAnsi="宋体" w:eastAsia="宋体" w:cs="宋体"/>
          <w:color w:val="auto"/>
          <w:highlight w:val="none"/>
          <w:lang w:eastAsia="zh-CN"/>
        </w:rPr>
      </w:pPr>
      <w:r>
        <w:rPr>
          <w:rFonts w:hint="eastAsia" w:ascii="宋体" w:hAnsi="宋体" w:cs="宋体"/>
          <w:color w:val="auto"/>
          <w:highlight w:val="none"/>
        </w:rPr>
        <w:br w:type="page"/>
      </w:r>
      <w:r>
        <w:rPr>
          <w:rFonts w:hint="eastAsia" w:ascii="宋体" w:hAnsi="宋体" w:cs="宋体"/>
          <w:color w:val="auto"/>
          <w:highlight w:val="none"/>
          <w:lang w:eastAsia="zh-CN"/>
        </w:rPr>
        <w:t>（</w:t>
      </w:r>
      <w:r>
        <w:rPr>
          <w:rFonts w:hint="eastAsia" w:ascii="宋体" w:hAnsi="宋体" w:cs="宋体"/>
          <w:color w:val="auto"/>
          <w:highlight w:val="none"/>
          <w:lang w:val="en-US" w:eastAsia="zh-CN"/>
        </w:rPr>
        <w:t>封面</w:t>
      </w:r>
      <w:r>
        <w:rPr>
          <w:rFonts w:hint="eastAsia" w:ascii="宋体" w:hAnsi="宋体" w:cs="宋体"/>
          <w:color w:val="auto"/>
          <w:highlight w:val="none"/>
          <w:lang w:eastAsia="zh-CN"/>
        </w:rPr>
        <w:t>）</w:t>
      </w:r>
    </w:p>
    <w:p w14:paraId="779CEA5D">
      <w:pPr>
        <w:pStyle w:val="164"/>
        <w:spacing w:line="640" w:lineRule="atLeast"/>
        <w:ind w:firstLine="400"/>
        <w:rPr>
          <w:rFonts w:hint="eastAsia" w:ascii="宋体" w:hAnsi="宋体" w:eastAsia="宋体" w:cs="宋体"/>
          <w:color w:val="auto"/>
          <w:highlight w:val="none"/>
          <w:lang w:val="en-US" w:eastAsia="zh-CN"/>
        </w:rPr>
      </w:pPr>
    </w:p>
    <w:p w14:paraId="7AAFAE90">
      <w:pPr>
        <w:ind w:firstLine="0" w:firstLineChars="0"/>
        <w:jc w:val="center"/>
        <w:rPr>
          <w:rFonts w:hint="eastAsia" w:ascii="宋体" w:hAnsi="宋体" w:cs="宋体"/>
          <w:b/>
          <w:color w:val="auto"/>
          <w:sz w:val="52"/>
          <w:szCs w:val="52"/>
          <w:highlight w:val="none"/>
        </w:rPr>
      </w:pPr>
    </w:p>
    <w:p w14:paraId="0DDFCD8E">
      <w:pPr>
        <w:ind w:firstLine="0" w:firstLineChars="0"/>
        <w:jc w:val="center"/>
        <w:rPr>
          <w:rFonts w:hint="eastAsia" w:ascii="宋体" w:hAnsi="宋体" w:cs="宋体"/>
          <w:b/>
          <w:color w:val="auto"/>
          <w:sz w:val="36"/>
          <w:szCs w:val="36"/>
          <w:highlight w:val="none"/>
        </w:rPr>
      </w:pPr>
      <w:r>
        <w:rPr>
          <w:rFonts w:hint="eastAsia" w:ascii="宋体" w:hAnsi="宋体" w:cs="宋体"/>
          <w:b/>
          <w:color w:val="auto"/>
          <w:sz w:val="48"/>
          <w:szCs w:val="48"/>
          <w:highlight w:val="none"/>
          <w:lang w:eastAsia="zh-CN"/>
        </w:rPr>
        <w:t>昆明公交城市巴士有限责任公司纯电动高一级公路客车采购项目</w:t>
      </w:r>
    </w:p>
    <w:p w14:paraId="0A6016A5">
      <w:pPr>
        <w:rPr>
          <w:rFonts w:hint="eastAsia" w:ascii="宋体" w:hAnsi="宋体" w:cs="宋体"/>
          <w:color w:val="auto"/>
          <w:highlight w:val="none"/>
        </w:rPr>
      </w:pPr>
    </w:p>
    <w:p w14:paraId="0D26C443">
      <w:pPr>
        <w:ind w:firstLine="0" w:firstLineChars="0"/>
        <w:jc w:val="center"/>
        <w:rPr>
          <w:rFonts w:hint="eastAsia" w:ascii="宋体" w:hAnsi="宋体" w:cs="宋体"/>
          <w:b/>
          <w:color w:val="auto"/>
          <w:sz w:val="36"/>
          <w:szCs w:val="36"/>
          <w:highlight w:val="none"/>
        </w:rPr>
      </w:pPr>
    </w:p>
    <w:p w14:paraId="00F5DA90">
      <w:pPr>
        <w:pStyle w:val="2"/>
        <w:ind w:firstLine="851"/>
        <w:rPr>
          <w:rFonts w:hint="eastAsia" w:ascii="宋体" w:hAnsi="宋体" w:eastAsia="宋体" w:cs="宋体"/>
          <w:color w:val="auto"/>
          <w:highlight w:val="none"/>
        </w:rPr>
      </w:pPr>
    </w:p>
    <w:p w14:paraId="44CAA915">
      <w:pPr>
        <w:ind w:firstLine="0" w:firstLineChars="0"/>
        <w:jc w:val="center"/>
        <w:rPr>
          <w:rFonts w:hint="eastAsia" w:ascii="宋体" w:hAnsi="宋体" w:cs="宋体"/>
          <w:b/>
          <w:bCs/>
          <w:color w:val="auto"/>
          <w:sz w:val="72"/>
          <w:szCs w:val="72"/>
          <w:highlight w:val="none"/>
        </w:rPr>
      </w:pPr>
      <w:r>
        <w:rPr>
          <w:rFonts w:hint="eastAsia" w:ascii="宋体" w:hAnsi="宋体" w:cs="宋体"/>
          <w:b/>
          <w:bCs/>
          <w:color w:val="auto"/>
          <w:sz w:val="72"/>
          <w:szCs w:val="72"/>
          <w:highlight w:val="none"/>
        </w:rPr>
        <w:t>投标文件</w:t>
      </w:r>
    </w:p>
    <w:p w14:paraId="3201DF24">
      <w:pPr>
        <w:ind w:firstLine="0" w:firstLineChars="0"/>
        <w:jc w:val="center"/>
        <w:rPr>
          <w:rFonts w:hint="eastAsia" w:ascii="宋体" w:hAnsi="宋体" w:cs="宋体"/>
          <w:color w:val="auto"/>
          <w:sz w:val="36"/>
          <w:szCs w:val="36"/>
          <w:highlight w:val="none"/>
          <w:u w:val="single"/>
        </w:rPr>
      </w:pPr>
      <w:r>
        <w:rPr>
          <w:rFonts w:hint="eastAsia" w:ascii="宋体" w:hAnsi="宋体" w:cs="宋体"/>
          <w:color w:val="auto"/>
          <w:sz w:val="36"/>
          <w:szCs w:val="36"/>
          <w:highlight w:val="none"/>
          <w:u w:val="single"/>
        </w:rPr>
        <w:t xml:space="preserve"> </w:t>
      </w:r>
    </w:p>
    <w:p w14:paraId="1DB1A3C1">
      <w:pPr>
        <w:ind w:firstLine="0" w:firstLineChars="0"/>
        <w:jc w:val="center"/>
        <w:rPr>
          <w:rFonts w:hint="eastAsia" w:ascii="宋体" w:hAnsi="宋体" w:cs="宋体"/>
          <w:b/>
          <w:color w:val="auto"/>
          <w:sz w:val="36"/>
          <w:szCs w:val="36"/>
          <w:highlight w:val="none"/>
        </w:rPr>
      </w:pPr>
    </w:p>
    <w:p w14:paraId="03E6D86E">
      <w:pPr>
        <w:ind w:firstLine="0" w:firstLineChars="0"/>
        <w:jc w:val="center"/>
        <w:rPr>
          <w:rFonts w:hint="eastAsia" w:ascii="宋体" w:hAnsi="宋体" w:cs="宋体"/>
          <w:color w:val="auto"/>
          <w:sz w:val="36"/>
          <w:szCs w:val="36"/>
          <w:highlight w:val="none"/>
        </w:rPr>
      </w:pPr>
      <w:r>
        <w:rPr>
          <w:rFonts w:hint="eastAsia" w:ascii="宋体" w:hAnsi="宋体" w:cs="宋体"/>
          <w:color w:val="auto"/>
          <w:sz w:val="36"/>
          <w:szCs w:val="36"/>
          <w:highlight w:val="none"/>
        </w:rPr>
        <w:t xml:space="preserve">   </w:t>
      </w:r>
    </w:p>
    <w:p w14:paraId="0343EAC1">
      <w:pPr>
        <w:widowControl/>
        <w:ind w:firstLine="1446"/>
        <w:jc w:val="center"/>
        <w:rPr>
          <w:rFonts w:hint="eastAsia" w:ascii="宋体" w:hAnsi="宋体" w:cs="宋体"/>
          <w:b/>
          <w:color w:val="auto"/>
          <w:kern w:val="0"/>
          <w:sz w:val="72"/>
          <w:highlight w:val="none"/>
        </w:rPr>
      </w:pPr>
      <w:r>
        <w:rPr>
          <w:rFonts w:hint="eastAsia" w:ascii="宋体" w:hAnsi="宋体" w:cs="宋体"/>
          <w:b/>
          <w:color w:val="auto"/>
          <w:kern w:val="0"/>
          <w:sz w:val="72"/>
          <w:highlight w:val="none"/>
        </w:rPr>
        <w:t xml:space="preserve"> </w:t>
      </w:r>
    </w:p>
    <w:p w14:paraId="763B40E0">
      <w:pPr>
        <w:widowControl/>
        <w:spacing w:line="540" w:lineRule="atLeast"/>
        <w:ind w:firstLine="400"/>
        <w:rPr>
          <w:rFonts w:hint="eastAsia" w:ascii="宋体" w:hAnsi="宋体" w:cs="宋体"/>
          <w:color w:val="auto"/>
          <w:kern w:val="0"/>
          <w:highlight w:val="none"/>
        </w:rPr>
      </w:pPr>
      <w:r>
        <w:rPr>
          <w:rFonts w:hint="eastAsia" w:ascii="宋体" w:hAnsi="宋体" w:cs="宋体"/>
          <w:color w:val="auto"/>
          <w:kern w:val="0"/>
          <w:sz w:val="20"/>
          <w:highlight w:val="none"/>
        </w:rPr>
        <w:t xml:space="preserve"> </w:t>
      </w:r>
    </w:p>
    <w:p w14:paraId="1CEF4444">
      <w:pPr>
        <w:jc w:val="center"/>
        <w:rPr>
          <w:rFonts w:hint="eastAsia" w:ascii="宋体" w:hAnsi="宋体" w:cs="宋体"/>
          <w:color w:val="auto"/>
          <w:sz w:val="28"/>
          <w:szCs w:val="28"/>
          <w:highlight w:val="none"/>
        </w:rPr>
      </w:pPr>
      <w:r>
        <w:rPr>
          <w:rFonts w:hint="eastAsia" w:ascii="宋体" w:hAnsi="宋体" w:cs="宋体"/>
          <w:color w:val="auto"/>
          <w:kern w:val="0"/>
          <w:highlight w:val="none"/>
        </w:rPr>
        <w:t xml:space="preserve"> </w:t>
      </w:r>
      <w:r>
        <w:rPr>
          <w:rFonts w:hint="eastAsia" w:ascii="宋体" w:hAnsi="宋体" w:cs="宋体"/>
          <w:color w:val="auto"/>
          <w:sz w:val="28"/>
          <w:szCs w:val="28"/>
          <w:highlight w:val="none"/>
        </w:rPr>
        <w:t>投标人：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（电子签章）</w:t>
      </w:r>
    </w:p>
    <w:p w14:paraId="5FDED3C9">
      <w:pPr>
        <w:ind w:firstLine="56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法定代表人：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（电子签章）</w:t>
      </w:r>
    </w:p>
    <w:p w14:paraId="2A84A5E5">
      <w:pPr>
        <w:ind w:firstLine="560"/>
        <w:jc w:val="center"/>
        <w:rPr>
          <w:rFonts w:hint="eastAsia" w:ascii="宋体" w:hAnsi="宋体" w:cs="宋体"/>
          <w:color w:val="auto"/>
          <w:sz w:val="28"/>
          <w:szCs w:val="28"/>
          <w:highlight w:val="none"/>
        </w:rPr>
      </w:pP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年</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月</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日</w:t>
      </w:r>
    </w:p>
    <w:p w14:paraId="3B804703">
      <w:pPr>
        <w:pStyle w:val="168"/>
        <w:snapToGrid w:val="0"/>
        <w:spacing w:before="0" w:after="0" w:line="600" w:lineRule="exact"/>
        <w:ind w:left="342" w:hanging="367" w:hangingChars="122"/>
        <w:outlineLvl w:val="1"/>
        <w:rPr>
          <w:rFonts w:hint="eastAsia" w:ascii="宋体" w:hAnsi="宋体" w:cs="宋体"/>
          <w:color w:val="auto"/>
          <w:spacing w:val="10"/>
          <w:szCs w:val="24"/>
          <w:highlight w:val="none"/>
          <w:lang w:val="en-US" w:eastAsia="zh-CN"/>
        </w:rPr>
      </w:pPr>
      <w:bookmarkStart w:id="73" w:name="_Toc26352"/>
      <w:bookmarkStart w:id="74" w:name="_Toc339612587"/>
      <w:bookmarkStart w:id="75" w:name="_Toc417634891"/>
      <w:r>
        <w:rPr>
          <w:rFonts w:hint="eastAsia" w:ascii="宋体" w:hAnsi="宋体" w:cs="宋体"/>
          <w:color w:val="auto"/>
          <w:spacing w:val="10"/>
          <w:szCs w:val="24"/>
          <w:highlight w:val="none"/>
          <w:lang w:val="en-US" w:eastAsia="zh-CN"/>
        </w:rPr>
        <w:t>目录</w:t>
      </w:r>
    </w:p>
    <w:p w14:paraId="0E25537E">
      <w:pPr>
        <w:bidi w:val="0"/>
        <w:ind w:left="0" w:leftChars="0" w:firstLine="0" w:firstLineChars="0"/>
        <w:jc w:val="center"/>
        <w:rPr>
          <w:rFonts w:hint="eastAsia"/>
          <w:color w:val="auto"/>
          <w:highlight w:val="none"/>
          <w:lang w:val="en-US" w:eastAsia="zh-CN"/>
        </w:rPr>
      </w:pPr>
    </w:p>
    <w:p w14:paraId="1F10AB73">
      <w:pPr>
        <w:bidi w:val="0"/>
        <w:ind w:left="0" w:leftChars="0" w:firstLine="0" w:firstLineChars="0"/>
        <w:jc w:val="center"/>
        <w:rPr>
          <w:rFonts w:hint="eastAsia"/>
          <w:color w:val="auto"/>
          <w:highlight w:val="none"/>
          <w:lang w:val="en-US" w:eastAsia="zh-CN"/>
        </w:rPr>
      </w:pPr>
      <w:r>
        <w:rPr>
          <w:rFonts w:hint="eastAsia"/>
          <w:color w:val="auto"/>
          <w:highlight w:val="none"/>
          <w:lang w:val="en-US" w:eastAsia="zh-CN"/>
        </w:rPr>
        <w:t>（自拟格式）</w:t>
      </w:r>
    </w:p>
    <w:p w14:paraId="25D3AB4F">
      <w:pPr>
        <w:pStyle w:val="168"/>
        <w:snapToGrid w:val="0"/>
        <w:spacing w:before="0" w:after="0" w:line="600" w:lineRule="exact"/>
        <w:ind w:left="342" w:hanging="367" w:hangingChars="122"/>
        <w:outlineLvl w:val="1"/>
        <w:rPr>
          <w:rFonts w:hint="eastAsia" w:ascii="宋体" w:hAnsi="宋体" w:cs="宋体"/>
          <w:color w:val="auto"/>
          <w:spacing w:val="10"/>
          <w:szCs w:val="24"/>
          <w:highlight w:val="none"/>
        </w:rPr>
      </w:pPr>
      <w:r>
        <w:rPr>
          <w:rFonts w:hint="eastAsia" w:ascii="宋体" w:hAnsi="宋体" w:cs="宋体"/>
          <w:color w:val="auto"/>
          <w:spacing w:val="10"/>
          <w:szCs w:val="24"/>
          <w:highlight w:val="none"/>
        </w:rPr>
        <w:br w:type="page"/>
      </w:r>
      <w:r>
        <w:rPr>
          <w:rFonts w:hint="eastAsia" w:ascii="宋体" w:hAnsi="宋体" w:cs="宋体"/>
          <w:color w:val="auto"/>
          <w:spacing w:val="10"/>
          <w:szCs w:val="24"/>
          <w:highlight w:val="none"/>
        </w:rPr>
        <w:t>资格审查部分</w:t>
      </w:r>
      <w:bookmarkEnd w:id="73"/>
    </w:p>
    <w:p w14:paraId="6B28B625">
      <w:pPr>
        <w:pStyle w:val="168"/>
        <w:snapToGrid w:val="0"/>
        <w:spacing w:before="0" w:after="0" w:line="600" w:lineRule="exact"/>
        <w:ind w:left="426" w:hanging="458" w:hangingChars="152"/>
        <w:outlineLvl w:val="2"/>
        <w:rPr>
          <w:rFonts w:hint="eastAsia" w:ascii="宋体" w:hAnsi="宋体" w:cs="宋体"/>
          <w:color w:val="auto"/>
          <w:spacing w:val="10"/>
          <w:szCs w:val="24"/>
          <w:highlight w:val="none"/>
        </w:rPr>
      </w:pPr>
      <w:bookmarkStart w:id="76" w:name="_Toc17526"/>
      <w:r>
        <w:rPr>
          <w:rFonts w:hint="eastAsia" w:ascii="宋体" w:hAnsi="宋体" w:cs="宋体"/>
          <w:color w:val="auto"/>
          <w:spacing w:val="10"/>
          <w:szCs w:val="24"/>
          <w:highlight w:val="none"/>
        </w:rPr>
        <w:t>一、投标人基本情况表</w:t>
      </w:r>
      <w:bookmarkEnd w:id="76"/>
    </w:p>
    <w:tbl>
      <w:tblPr>
        <w:tblStyle w:val="34"/>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3"/>
        <w:gridCol w:w="1233"/>
        <w:gridCol w:w="1608"/>
        <w:gridCol w:w="1710"/>
        <w:gridCol w:w="1088"/>
        <w:gridCol w:w="2189"/>
      </w:tblGrid>
      <w:tr w14:paraId="57344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jc w:val="center"/>
        </w:trPr>
        <w:tc>
          <w:tcPr>
            <w:tcW w:w="1266" w:type="pct"/>
            <w:gridSpan w:val="2"/>
            <w:vAlign w:val="center"/>
          </w:tcPr>
          <w:p w14:paraId="75445573">
            <w:pPr>
              <w:spacing w:line="440" w:lineRule="exact"/>
              <w:ind w:firstLine="0" w:firstLineChars="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投标人名称</w:t>
            </w:r>
          </w:p>
        </w:tc>
        <w:tc>
          <w:tcPr>
            <w:tcW w:w="3733" w:type="pct"/>
            <w:gridSpan w:val="4"/>
            <w:vAlign w:val="center"/>
          </w:tcPr>
          <w:p w14:paraId="7C8A373A">
            <w:pPr>
              <w:spacing w:line="440" w:lineRule="exact"/>
              <w:ind w:firstLine="0" w:firstLineChars="0"/>
              <w:jc w:val="center"/>
              <w:rPr>
                <w:rFonts w:hint="eastAsia" w:ascii="宋体" w:hAnsi="宋体" w:cs="宋体"/>
                <w:color w:val="auto"/>
                <w:sz w:val="24"/>
                <w:szCs w:val="24"/>
                <w:highlight w:val="none"/>
              </w:rPr>
            </w:pPr>
          </w:p>
        </w:tc>
      </w:tr>
      <w:tr w14:paraId="26D75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266" w:type="pct"/>
            <w:gridSpan w:val="2"/>
            <w:vAlign w:val="center"/>
          </w:tcPr>
          <w:p w14:paraId="0149B1FF">
            <w:pPr>
              <w:spacing w:line="440" w:lineRule="exact"/>
              <w:ind w:firstLine="0" w:firstLineChars="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注册地址</w:t>
            </w:r>
          </w:p>
        </w:tc>
        <w:tc>
          <w:tcPr>
            <w:tcW w:w="3733" w:type="pct"/>
            <w:gridSpan w:val="4"/>
            <w:vAlign w:val="center"/>
          </w:tcPr>
          <w:p w14:paraId="2F0D0571">
            <w:pPr>
              <w:spacing w:line="440" w:lineRule="exact"/>
              <w:ind w:firstLine="0" w:firstLineChars="0"/>
              <w:jc w:val="center"/>
              <w:rPr>
                <w:rFonts w:hint="eastAsia" w:ascii="宋体" w:hAnsi="宋体" w:cs="宋体"/>
                <w:color w:val="auto"/>
                <w:sz w:val="24"/>
                <w:szCs w:val="24"/>
                <w:highlight w:val="none"/>
              </w:rPr>
            </w:pPr>
          </w:p>
        </w:tc>
      </w:tr>
      <w:tr w14:paraId="4675C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266" w:type="pct"/>
            <w:gridSpan w:val="2"/>
            <w:vMerge w:val="restart"/>
            <w:vAlign w:val="center"/>
          </w:tcPr>
          <w:p w14:paraId="4B276392">
            <w:pPr>
              <w:spacing w:line="440" w:lineRule="exact"/>
              <w:ind w:firstLine="0" w:firstLineChars="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联系方式</w:t>
            </w:r>
          </w:p>
        </w:tc>
        <w:tc>
          <w:tcPr>
            <w:tcW w:w="910" w:type="pct"/>
            <w:vAlign w:val="center"/>
          </w:tcPr>
          <w:p w14:paraId="12ECF5C3">
            <w:pPr>
              <w:pStyle w:val="32"/>
              <w:widowControl w:val="0"/>
              <w:spacing w:before="0" w:beforeAutospacing="0" w:after="0" w:afterAutospacing="0" w:line="440" w:lineRule="exact"/>
              <w:ind w:firstLine="0" w:firstLineChars="0"/>
              <w:jc w:val="center"/>
              <w:rPr>
                <w:rFonts w:hint="eastAsia" w:cs="宋体"/>
                <w:color w:val="auto"/>
                <w:kern w:val="2"/>
                <w:sz w:val="24"/>
                <w:szCs w:val="24"/>
                <w:highlight w:val="none"/>
              </w:rPr>
            </w:pPr>
            <w:r>
              <w:rPr>
                <w:rFonts w:hint="eastAsia" w:cs="宋体"/>
                <w:color w:val="auto"/>
                <w:kern w:val="2"/>
                <w:sz w:val="24"/>
                <w:szCs w:val="24"/>
                <w:highlight w:val="none"/>
              </w:rPr>
              <w:t>联系人</w:t>
            </w:r>
          </w:p>
        </w:tc>
        <w:tc>
          <w:tcPr>
            <w:tcW w:w="968" w:type="pct"/>
            <w:vAlign w:val="center"/>
          </w:tcPr>
          <w:p w14:paraId="169BBFEC">
            <w:pPr>
              <w:pStyle w:val="32"/>
              <w:widowControl w:val="0"/>
              <w:spacing w:before="0" w:beforeAutospacing="0" w:after="0" w:afterAutospacing="0" w:line="440" w:lineRule="exact"/>
              <w:ind w:firstLine="0" w:firstLineChars="0"/>
              <w:jc w:val="center"/>
              <w:rPr>
                <w:rFonts w:hint="eastAsia" w:cs="宋体"/>
                <w:color w:val="auto"/>
                <w:kern w:val="2"/>
                <w:sz w:val="24"/>
                <w:szCs w:val="24"/>
                <w:highlight w:val="none"/>
              </w:rPr>
            </w:pPr>
          </w:p>
        </w:tc>
        <w:tc>
          <w:tcPr>
            <w:tcW w:w="616" w:type="pct"/>
            <w:vAlign w:val="center"/>
          </w:tcPr>
          <w:p w14:paraId="2E3E8BB7">
            <w:pPr>
              <w:pStyle w:val="32"/>
              <w:widowControl w:val="0"/>
              <w:spacing w:before="0" w:beforeAutospacing="0" w:after="0" w:afterAutospacing="0" w:line="440" w:lineRule="exact"/>
              <w:ind w:firstLine="0" w:firstLineChars="0"/>
              <w:jc w:val="center"/>
              <w:rPr>
                <w:rFonts w:hint="eastAsia" w:cs="宋体"/>
                <w:color w:val="auto"/>
                <w:kern w:val="2"/>
                <w:sz w:val="24"/>
                <w:szCs w:val="24"/>
                <w:highlight w:val="none"/>
              </w:rPr>
            </w:pPr>
            <w:r>
              <w:rPr>
                <w:rFonts w:hint="eastAsia" w:cs="宋体"/>
                <w:color w:val="auto"/>
                <w:kern w:val="2"/>
                <w:sz w:val="24"/>
                <w:szCs w:val="24"/>
                <w:highlight w:val="none"/>
              </w:rPr>
              <w:t>电话</w:t>
            </w:r>
          </w:p>
        </w:tc>
        <w:tc>
          <w:tcPr>
            <w:tcW w:w="1238" w:type="pct"/>
            <w:vAlign w:val="center"/>
          </w:tcPr>
          <w:p w14:paraId="0E68F9CC">
            <w:pPr>
              <w:pStyle w:val="32"/>
              <w:widowControl w:val="0"/>
              <w:spacing w:before="0" w:beforeAutospacing="0" w:after="0" w:afterAutospacing="0" w:line="440" w:lineRule="exact"/>
              <w:ind w:firstLine="0" w:firstLineChars="0"/>
              <w:jc w:val="center"/>
              <w:rPr>
                <w:rFonts w:hint="eastAsia" w:cs="宋体"/>
                <w:color w:val="auto"/>
                <w:kern w:val="2"/>
                <w:sz w:val="24"/>
                <w:szCs w:val="24"/>
                <w:highlight w:val="none"/>
              </w:rPr>
            </w:pPr>
          </w:p>
        </w:tc>
      </w:tr>
      <w:tr w14:paraId="794CB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266" w:type="pct"/>
            <w:gridSpan w:val="2"/>
            <w:vMerge w:val="continue"/>
            <w:vAlign w:val="center"/>
          </w:tcPr>
          <w:p w14:paraId="78DEA73B">
            <w:pPr>
              <w:spacing w:line="440" w:lineRule="exact"/>
              <w:ind w:firstLine="0" w:firstLineChars="0"/>
              <w:jc w:val="center"/>
              <w:rPr>
                <w:rFonts w:hint="eastAsia" w:ascii="宋体" w:hAnsi="宋体" w:cs="宋体"/>
                <w:color w:val="auto"/>
                <w:sz w:val="24"/>
                <w:szCs w:val="24"/>
                <w:highlight w:val="none"/>
              </w:rPr>
            </w:pPr>
          </w:p>
        </w:tc>
        <w:tc>
          <w:tcPr>
            <w:tcW w:w="910" w:type="pct"/>
            <w:vAlign w:val="center"/>
          </w:tcPr>
          <w:p w14:paraId="6EB98400">
            <w:pPr>
              <w:pStyle w:val="32"/>
              <w:widowControl w:val="0"/>
              <w:spacing w:before="0" w:beforeAutospacing="0" w:after="0" w:afterAutospacing="0" w:line="440" w:lineRule="exact"/>
              <w:ind w:firstLine="0" w:firstLineChars="0"/>
              <w:jc w:val="center"/>
              <w:rPr>
                <w:rFonts w:hint="eastAsia" w:cs="宋体"/>
                <w:color w:val="auto"/>
                <w:kern w:val="2"/>
                <w:sz w:val="24"/>
                <w:szCs w:val="24"/>
                <w:highlight w:val="none"/>
              </w:rPr>
            </w:pPr>
            <w:r>
              <w:rPr>
                <w:rFonts w:hint="eastAsia" w:cs="宋体"/>
                <w:color w:val="auto"/>
                <w:kern w:val="2"/>
                <w:sz w:val="24"/>
                <w:szCs w:val="24"/>
                <w:highlight w:val="none"/>
              </w:rPr>
              <w:t>传真</w:t>
            </w:r>
          </w:p>
        </w:tc>
        <w:tc>
          <w:tcPr>
            <w:tcW w:w="968" w:type="pct"/>
            <w:vAlign w:val="center"/>
          </w:tcPr>
          <w:p w14:paraId="0C402C87">
            <w:pPr>
              <w:pStyle w:val="32"/>
              <w:widowControl w:val="0"/>
              <w:spacing w:before="0" w:beforeAutospacing="0" w:after="0" w:afterAutospacing="0" w:line="440" w:lineRule="exact"/>
              <w:ind w:firstLine="0" w:firstLineChars="0"/>
              <w:jc w:val="center"/>
              <w:rPr>
                <w:rFonts w:hint="eastAsia" w:cs="宋体"/>
                <w:color w:val="auto"/>
                <w:kern w:val="2"/>
                <w:sz w:val="24"/>
                <w:szCs w:val="24"/>
                <w:highlight w:val="none"/>
              </w:rPr>
            </w:pPr>
          </w:p>
        </w:tc>
        <w:tc>
          <w:tcPr>
            <w:tcW w:w="616" w:type="pct"/>
            <w:vAlign w:val="center"/>
          </w:tcPr>
          <w:p w14:paraId="3F728028">
            <w:pPr>
              <w:pStyle w:val="32"/>
              <w:widowControl w:val="0"/>
              <w:spacing w:before="0" w:beforeAutospacing="0" w:after="0" w:afterAutospacing="0" w:line="440" w:lineRule="exact"/>
              <w:ind w:firstLine="0" w:firstLineChars="0"/>
              <w:jc w:val="center"/>
              <w:rPr>
                <w:rFonts w:hint="eastAsia" w:cs="宋体"/>
                <w:color w:val="auto"/>
                <w:kern w:val="2"/>
                <w:sz w:val="24"/>
                <w:szCs w:val="24"/>
                <w:highlight w:val="none"/>
              </w:rPr>
            </w:pPr>
            <w:r>
              <w:rPr>
                <w:rFonts w:hint="eastAsia" w:cs="宋体"/>
                <w:color w:val="auto"/>
                <w:kern w:val="2"/>
                <w:sz w:val="24"/>
                <w:szCs w:val="24"/>
                <w:highlight w:val="none"/>
              </w:rPr>
              <w:t>网址</w:t>
            </w:r>
          </w:p>
        </w:tc>
        <w:tc>
          <w:tcPr>
            <w:tcW w:w="1238" w:type="pct"/>
            <w:vAlign w:val="center"/>
          </w:tcPr>
          <w:p w14:paraId="1C491711">
            <w:pPr>
              <w:spacing w:line="440" w:lineRule="exact"/>
              <w:ind w:firstLine="0" w:firstLineChars="0"/>
              <w:jc w:val="center"/>
              <w:rPr>
                <w:rFonts w:hint="eastAsia" w:ascii="宋体" w:hAnsi="宋体" w:cs="宋体"/>
                <w:color w:val="auto"/>
                <w:sz w:val="24"/>
                <w:szCs w:val="24"/>
                <w:highlight w:val="none"/>
              </w:rPr>
            </w:pPr>
          </w:p>
        </w:tc>
      </w:tr>
      <w:tr w14:paraId="50B71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266" w:type="pct"/>
            <w:gridSpan w:val="2"/>
            <w:vAlign w:val="center"/>
          </w:tcPr>
          <w:p w14:paraId="1D7F2E32">
            <w:pPr>
              <w:spacing w:line="440" w:lineRule="exact"/>
              <w:ind w:firstLine="0" w:firstLineChars="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法定代表人</w:t>
            </w:r>
          </w:p>
        </w:tc>
        <w:tc>
          <w:tcPr>
            <w:tcW w:w="910" w:type="pct"/>
            <w:vAlign w:val="center"/>
          </w:tcPr>
          <w:p w14:paraId="31823EB1">
            <w:pPr>
              <w:widowControl/>
              <w:spacing w:before="100" w:beforeAutospacing="1" w:after="100" w:afterAutospacing="1" w:line="440" w:lineRule="exact"/>
              <w:ind w:firstLine="0" w:firstLineChars="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姓名</w:t>
            </w:r>
          </w:p>
        </w:tc>
        <w:tc>
          <w:tcPr>
            <w:tcW w:w="968" w:type="pct"/>
            <w:vAlign w:val="center"/>
          </w:tcPr>
          <w:p w14:paraId="2229632B">
            <w:pPr>
              <w:spacing w:line="440" w:lineRule="exact"/>
              <w:ind w:firstLine="0" w:firstLineChars="0"/>
              <w:jc w:val="center"/>
              <w:rPr>
                <w:rFonts w:hint="eastAsia" w:ascii="宋体" w:hAnsi="宋体" w:cs="宋体"/>
                <w:color w:val="auto"/>
                <w:sz w:val="24"/>
                <w:szCs w:val="24"/>
                <w:highlight w:val="none"/>
              </w:rPr>
            </w:pPr>
          </w:p>
        </w:tc>
        <w:tc>
          <w:tcPr>
            <w:tcW w:w="616" w:type="pct"/>
            <w:vAlign w:val="center"/>
          </w:tcPr>
          <w:p w14:paraId="48ECB1DA">
            <w:pPr>
              <w:widowControl/>
              <w:wordWrap w:val="0"/>
              <w:spacing w:before="100" w:beforeAutospacing="1" w:after="100" w:afterAutospacing="1" w:line="440" w:lineRule="exact"/>
              <w:ind w:firstLine="0" w:firstLineChars="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电话</w:t>
            </w:r>
          </w:p>
        </w:tc>
        <w:tc>
          <w:tcPr>
            <w:tcW w:w="1238" w:type="pct"/>
            <w:vAlign w:val="center"/>
          </w:tcPr>
          <w:p w14:paraId="1B86C956">
            <w:pPr>
              <w:spacing w:line="440" w:lineRule="exact"/>
              <w:ind w:firstLine="0" w:firstLineChars="0"/>
              <w:jc w:val="center"/>
              <w:rPr>
                <w:rFonts w:hint="eastAsia" w:ascii="宋体" w:hAnsi="宋体" w:cs="宋体"/>
                <w:color w:val="auto"/>
                <w:sz w:val="24"/>
                <w:szCs w:val="24"/>
                <w:highlight w:val="none"/>
              </w:rPr>
            </w:pPr>
          </w:p>
        </w:tc>
      </w:tr>
      <w:tr w14:paraId="13F5E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266" w:type="pct"/>
            <w:gridSpan w:val="2"/>
            <w:vAlign w:val="center"/>
          </w:tcPr>
          <w:p w14:paraId="2DB4428D">
            <w:pPr>
              <w:spacing w:line="440" w:lineRule="exact"/>
              <w:ind w:firstLine="0" w:firstLineChars="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注册资金</w:t>
            </w:r>
          </w:p>
        </w:tc>
        <w:tc>
          <w:tcPr>
            <w:tcW w:w="3733" w:type="pct"/>
            <w:gridSpan w:val="4"/>
            <w:vAlign w:val="center"/>
          </w:tcPr>
          <w:p w14:paraId="137A456D">
            <w:pPr>
              <w:spacing w:line="440" w:lineRule="exact"/>
              <w:ind w:firstLine="0" w:firstLineChars="0"/>
              <w:jc w:val="center"/>
              <w:rPr>
                <w:rFonts w:hint="eastAsia" w:ascii="宋体" w:hAnsi="宋体" w:cs="宋体"/>
                <w:color w:val="auto"/>
                <w:sz w:val="24"/>
                <w:szCs w:val="24"/>
                <w:highlight w:val="none"/>
              </w:rPr>
            </w:pPr>
          </w:p>
        </w:tc>
      </w:tr>
      <w:tr w14:paraId="0B520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266" w:type="pct"/>
            <w:gridSpan w:val="2"/>
            <w:vAlign w:val="center"/>
          </w:tcPr>
          <w:p w14:paraId="092872AA">
            <w:pPr>
              <w:spacing w:line="440" w:lineRule="exact"/>
              <w:ind w:firstLine="0" w:firstLineChars="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注册号</w:t>
            </w:r>
          </w:p>
        </w:tc>
        <w:tc>
          <w:tcPr>
            <w:tcW w:w="3733" w:type="pct"/>
            <w:gridSpan w:val="4"/>
            <w:vAlign w:val="center"/>
          </w:tcPr>
          <w:p w14:paraId="454C66FA">
            <w:pPr>
              <w:spacing w:line="440" w:lineRule="exact"/>
              <w:ind w:firstLine="0" w:firstLineChars="0"/>
              <w:jc w:val="center"/>
              <w:rPr>
                <w:rFonts w:hint="eastAsia" w:ascii="宋体" w:hAnsi="宋体" w:cs="宋体"/>
                <w:color w:val="auto"/>
                <w:sz w:val="24"/>
                <w:szCs w:val="24"/>
                <w:highlight w:val="none"/>
              </w:rPr>
            </w:pPr>
          </w:p>
        </w:tc>
      </w:tr>
      <w:tr w14:paraId="14E4C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266" w:type="pct"/>
            <w:gridSpan w:val="2"/>
            <w:vAlign w:val="center"/>
          </w:tcPr>
          <w:p w14:paraId="60F1052B">
            <w:pPr>
              <w:spacing w:line="440" w:lineRule="exact"/>
              <w:ind w:firstLine="0" w:firstLineChars="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发证机关</w:t>
            </w:r>
          </w:p>
        </w:tc>
        <w:tc>
          <w:tcPr>
            <w:tcW w:w="3733" w:type="pct"/>
            <w:gridSpan w:val="4"/>
            <w:vAlign w:val="center"/>
          </w:tcPr>
          <w:p w14:paraId="3041020B">
            <w:pPr>
              <w:spacing w:line="440" w:lineRule="exact"/>
              <w:ind w:firstLine="0" w:firstLineChars="0"/>
              <w:jc w:val="center"/>
              <w:rPr>
                <w:rFonts w:hint="eastAsia" w:ascii="宋体" w:hAnsi="宋体" w:cs="宋体"/>
                <w:color w:val="auto"/>
                <w:sz w:val="24"/>
                <w:szCs w:val="24"/>
                <w:highlight w:val="none"/>
              </w:rPr>
            </w:pPr>
          </w:p>
        </w:tc>
      </w:tr>
      <w:tr w14:paraId="3407E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84" w:hRule="atLeast"/>
          <w:jc w:val="center"/>
        </w:trPr>
        <w:tc>
          <w:tcPr>
            <w:tcW w:w="568" w:type="pct"/>
            <w:vMerge w:val="restart"/>
            <w:vAlign w:val="center"/>
          </w:tcPr>
          <w:p w14:paraId="2C17528E">
            <w:pPr>
              <w:spacing w:line="440" w:lineRule="exact"/>
              <w:ind w:firstLine="0" w:firstLineChars="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经</w:t>
            </w:r>
          </w:p>
          <w:p w14:paraId="3DF24359">
            <w:pPr>
              <w:spacing w:line="440" w:lineRule="exact"/>
              <w:ind w:firstLine="0" w:firstLineChars="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营</w:t>
            </w:r>
          </w:p>
          <w:p w14:paraId="2E5474A6">
            <w:pPr>
              <w:spacing w:line="440" w:lineRule="exact"/>
              <w:ind w:firstLine="0" w:firstLineChars="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范</w:t>
            </w:r>
          </w:p>
          <w:p w14:paraId="2126A347">
            <w:pPr>
              <w:spacing w:line="440" w:lineRule="exact"/>
              <w:ind w:firstLine="0" w:firstLineChars="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围</w:t>
            </w:r>
          </w:p>
        </w:tc>
        <w:tc>
          <w:tcPr>
            <w:tcW w:w="697" w:type="pct"/>
            <w:vAlign w:val="center"/>
          </w:tcPr>
          <w:p w14:paraId="2D98241D">
            <w:pPr>
              <w:spacing w:line="440" w:lineRule="exact"/>
              <w:ind w:firstLine="0" w:firstLineChars="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主营</w:t>
            </w:r>
          </w:p>
        </w:tc>
        <w:tc>
          <w:tcPr>
            <w:tcW w:w="3733" w:type="pct"/>
            <w:gridSpan w:val="4"/>
            <w:vAlign w:val="center"/>
          </w:tcPr>
          <w:p w14:paraId="5B7021CA">
            <w:pPr>
              <w:spacing w:line="440" w:lineRule="exact"/>
              <w:ind w:firstLine="0" w:firstLineChars="0"/>
              <w:jc w:val="center"/>
              <w:rPr>
                <w:rFonts w:hint="eastAsia" w:ascii="宋体" w:hAnsi="宋体" w:cs="宋体"/>
                <w:color w:val="auto"/>
                <w:sz w:val="24"/>
                <w:szCs w:val="24"/>
                <w:highlight w:val="none"/>
              </w:rPr>
            </w:pPr>
          </w:p>
        </w:tc>
      </w:tr>
      <w:tr w14:paraId="048FA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62" w:hRule="atLeast"/>
          <w:jc w:val="center"/>
        </w:trPr>
        <w:tc>
          <w:tcPr>
            <w:tcW w:w="568" w:type="pct"/>
            <w:vMerge w:val="continue"/>
            <w:vAlign w:val="center"/>
          </w:tcPr>
          <w:p w14:paraId="6CEFD9DF">
            <w:pPr>
              <w:spacing w:line="440" w:lineRule="exact"/>
              <w:ind w:firstLine="0" w:firstLineChars="0"/>
              <w:jc w:val="center"/>
              <w:rPr>
                <w:rFonts w:hint="eastAsia" w:ascii="宋体" w:hAnsi="宋体" w:cs="宋体"/>
                <w:color w:val="auto"/>
                <w:sz w:val="24"/>
                <w:szCs w:val="24"/>
                <w:highlight w:val="none"/>
              </w:rPr>
            </w:pPr>
          </w:p>
        </w:tc>
        <w:tc>
          <w:tcPr>
            <w:tcW w:w="697" w:type="pct"/>
            <w:vAlign w:val="center"/>
          </w:tcPr>
          <w:p w14:paraId="06FDE781">
            <w:pPr>
              <w:spacing w:line="440" w:lineRule="exact"/>
              <w:ind w:firstLine="0" w:firstLineChars="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兼营</w:t>
            </w:r>
          </w:p>
        </w:tc>
        <w:tc>
          <w:tcPr>
            <w:tcW w:w="3733" w:type="pct"/>
            <w:gridSpan w:val="4"/>
            <w:vAlign w:val="center"/>
          </w:tcPr>
          <w:p w14:paraId="0C09EA2F">
            <w:pPr>
              <w:spacing w:line="440" w:lineRule="exact"/>
              <w:ind w:firstLine="0" w:firstLineChars="0"/>
              <w:jc w:val="center"/>
              <w:rPr>
                <w:rFonts w:hint="eastAsia" w:ascii="宋体" w:hAnsi="宋体" w:cs="宋体"/>
                <w:color w:val="auto"/>
                <w:sz w:val="24"/>
                <w:szCs w:val="24"/>
                <w:highlight w:val="none"/>
              </w:rPr>
            </w:pPr>
          </w:p>
        </w:tc>
      </w:tr>
    </w:tbl>
    <w:p w14:paraId="36DD98BD">
      <w:pPr>
        <w:spacing w:line="578" w:lineRule="atLeas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注：表后附投标人营业执照、经销商投标的须提供生产制造商出具的授权书原件等材料扫描件</w:t>
      </w:r>
    </w:p>
    <w:p w14:paraId="1715104D">
      <w:pPr>
        <w:spacing w:line="578" w:lineRule="atLeas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r>
    </w:p>
    <w:p w14:paraId="30D0BA26">
      <w:pPr>
        <w:pStyle w:val="168"/>
        <w:snapToGrid w:val="0"/>
        <w:spacing w:before="0" w:after="0" w:line="600" w:lineRule="exact"/>
        <w:ind w:left="426" w:hanging="458" w:hangingChars="152"/>
        <w:outlineLvl w:val="2"/>
        <w:rPr>
          <w:rFonts w:hint="eastAsia" w:ascii="宋体" w:hAnsi="宋体" w:cs="宋体"/>
          <w:color w:val="auto"/>
          <w:spacing w:val="10"/>
          <w:szCs w:val="24"/>
          <w:highlight w:val="none"/>
        </w:rPr>
      </w:pPr>
      <w:bookmarkStart w:id="77" w:name="_Toc8707"/>
      <w:r>
        <w:rPr>
          <w:rFonts w:hint="eastAsia" w:ascii="宋体" w:hAnsi="宋体" w:cs="宋体"/>
          <w:color w:val="auto"/>
          <w:spacing w:val="10"/>
          <w:szCs w:val="24"/>
          <w:highlight w:val="none"/>
        </w:rPr>
        <w:t>二、法定代表人身份证明及授权委托书</w:t>
      </w:r>
      <w:bookmarkEnd w:id="77"/>
    </w:p>
    <w:p w14:paraId="3D3F4ADE">
      <w:pPr>
        <w:pStyle w:val="121"/>
        <w:ind w:firstLine="640"/>
        <w:rPr>
          <w:rFonts w:hint="eastAsia" w:ascii="宋体" w:eastAsia="宋体" w:cs="宋体"/>
          <w:color w:val="auto"/>
          <w:sz w:val="32"/>
          <w:highlight w:val="none"/>
        </w:rPr>
      </w:pPr>
    </w:p>
    <w:p w14:paraId="3D1D65DC">
      <w:pPr>
        <w:pStyle w:val="174"/>
        <w:ind w:firstLine="0" w:firstLineChars="0"/>
        <w:rPr>
          <w:rFonts w:hint="eastAsia" w:ascii="宋体" w:eastAsia="宋体" w:cs="宋体"/>
          <w:color w:val="auto"/>
          <w:szCs w:val="24"/>
          <w:highlight w:val="none"/>
        </w:rPr>
      </w:pPr>
      <w:r>
        <w:rPr>
          <w:rFonts w:hint="eastAsia" w:ascii="宋体" w:eastAsia="宋体" w:cs="宋体"/>
          <w:color w:val="auto"/>
          <w:szCs w:val="24"/>
          <w:highlight w:val="none"/>
        </w:rPr>
        <w:t>（一）法定代表人身份证明</w:t>
      </w:r>
    </w:p>
    <w:p w14:paraId="6A6D3C19">
      <w:pPr>
        <w:pStyle w:val="97"/>
        <w:ind w:firstLine="480"/>
        <w:rPr>
          <w:rFonts w:hint="eastAsia" w:ascii="宋体" w:eastAsia="宋体" w:cs="宋体"/>
          <w:color w:val="auto"/>
          <w:sz w:val="24"/>
          <w:szCs w:val="24"/>
          <w:highlight w:val="none"/>
        </w:rPr>
      </w:pPr>
      <w:r>
        <w:rPr>
          <w:rFonts w:hint="eastAsia" w:ascii="宋体" w:eastAsia="宋体" w:cs="宋体"/>
          <w:color w:val="auto"/>
          <w:sz w:val="24"/>
          <w:szCs w:val="24"/>
          <w:highlight w:val="none"/>
        </w:rPr>
        <w:t>投 标 人：______________________________________________________</w:t>
      </w:r>
    </w:p>
    <w:p w14:paraId="7239544B">
      <w:pPr>
        <w:pStyle w:val="97"/>
        <w:ind w:firstLine="480"/>
        <w:rPr>
          <w:rFonts w:hint="eastAsia" w:ascii="宋体" w:eastAsia="宋体" w:cs="宋体"/>
          <w:color w:val="auto"/>
          <w:sz w:val="24"/>
          <w:szCs w:val="24"/>
          <w:highlight w:val="none"/>
        </w:rPr>
      </w:pPr>
      <w:r>
        <w:rPr>
          <w:rFonts w:hint="eastAsia" w:ascii="宋体" w:eastAsia="宋体" w:cs="宋体"/>
          <w:color w:val="auto"/>
          <w:sz w:val="24"/>
          <w:szCs w:val="24"/>
          <w:highlight w:val="none"/>
        </w:rPr>
        <w:t>单位性质：________________________________________________________</w:t>
      </w:r>
    </w:p>
    <w:p w14:paraId="48B6F8A4">
      <w:pPr>
        <w:pStyle w:val="97"/>
        <w:ind w:firstLine="480"/>
        <w:rPr>
          <w:rFonts w:hint="eastAsia" w:ascii="宋体" w:eastAsia="宋体" w:cs="宋体"/>
          <w:color w:val="auto"/>
          <w:sz w:val="24"/>
          <w:szCs w:val="24"/>
          <w:highlight w:val="none"/>
        </w:rPr>
      </w:pPr>
      <w:r>
        <w:rPr>
          <w:rFonts w:hint="eastAsia" w:ascii="宋体" w:eastAsia="宋体" w:cs="宋体"/>
          <w:color w:val="auto"/>
          <w:sz w:val="24"/>
          <w:szCs w:val="24"/>
          <w:highlight w:val="none"/>
        </w:rPr>
        <w:t>地  址：________________________________________________________</w:t>
      </w:r>
    </w:p>
    <w:p w14:paraId="20F0B955">
      <w:pPr>
        <w:pStyle w:val="97"/>
        <w:ind w:firstLine="480"/>
        <w:rPr>
          <w:rFonts w:hint="eastAsia" w:ascii="宋体" w:eastAsia="宋体" w:cs="宋体"/>
          <w:color w:val="auto"/>
          <w:sz w:val="24"/>
          <w:szCs w:val="24"/>
          <w:highlight w:val="none"/>
        </w:rPr>
      </w:pPr>
      <w:r>
        <w:rPr>
          <w:rFonts w:hint="eastAsia" w:ascii="宋体" w:eastAsia="宋体" w:cs="宋体"/>
          <w:color w:val="auto"/>
          <w:sz w:val="24"/>
          <w:szCs w:val="24"/>
          <w:highlight w:val="none"/>
        </w:rPr>
        <w:t>成立时间：_________________年______________月______________日</w:t>
      </w:r>
    </w:p>
    <w:p w14:paraId="4522140B">
      <w:pPr>
        <w:pStyle w:val="97"/>
        <w:ind w:firstLine="480"/>
        <w:rPr>
          <w:rFonts w:hint="eastAsia" w:ascii="宋体" w:eastAsia="宋体" w:cs="宋体"/>
          <w:color w:val="auto"/>
          <w:sz w:val="24"/>
          <w:szCs w:val="24"/>
          <w:highlight w:val="none"/>
        </w:rPr>
      </w:pPr>
      <w:r>
        <w:rPr>
          <w:rFonts w:hint="eastAsia" w:ascii="宋体" w:eastAsia="宋体" w:cs="宋体"/>
          <w:color w:val="auto"/>
          <w:sz w:val="24"/>
          <w:szCs w:val="24"/>
          <w:highlight w:val="none"/>
        </w:rPr>
        <w:t>经营期限：________________________________________________________</w:t>
      </w:r>
    </w:p>
    <w:p w14:paraId="020B0D6E">
      <w:pPr>
        <w:pStyle w:val="97"/>
        <w:ind w:firstLine="480"/>
        <w:rPr>
          <w:rFonts w:hint="eastAsia" w:ascii="宋体" w:eastAsia="宋体" w:cs="宋体"/>
          <w:color w:val="auto"/>
          <w:sz w:val="24"/>
          <w:szCs w:val="24"/>
          <w:highlight w:val="none"/>
        </w:rPr>
      </w:pPr>
      <w:r>
        <w:rPr>
          <w:rFonts w:hint="eastAsia" w:ascii="宋体" w:eastAsia="宋体" w:cs="宋体"/>
          <w:color w:val="auto"/>
          <w:sz w:val="24"/>
          <w:szCs w:val="24"/>
          <w:highlight w:val="none"/>
        </w:rPr>
        <w:t>姓  名：_______________________________性  别：________________</w:t>
      </w:r>
    </w:p>
    <w:p w14:paraId="40CA7F36">
      <w:pPr>
        <w:pStyle w:val="97"/>
        <w:ind w:firstLine="480"/>
        <w:rPr>
          <w:rFonts w:hint="eastAsia" w:ascii="宋体" w:eastAsia="宋体" w:cs="宋体"/>
          <w:color w:val="auto"/>
          <w:sz w:val="24"/>
          <w:szCs w:val="24"/>
          <w:highlight w:val="none"/>
        </w:rPr>
      </w:pPr>
      <w:r>
        <w:rPr>
          <w:rFonts w:hint="eastAsia" w:ascii="宋体" w:eastAsia="宋体" w:cs="宋体"/>
          <w:color w:val="auto"/>
          <w:sz w:val="24"/>
          <w:szCs w:val="24"/>
          <w:highlight w:val="none"/>
        </w:rPr>
        <w:t>年  龄：_______________________________职  务：________________</w:t>
      </w:r>
    </w:p>
    <w:p w14:paraId="056FC29E">
      <w:pPr>
        <w:pStyle w:val="96"/>
        <w:ind w:firstLine="480"/>
        <w:rPr>
          <w:rFonts w:hint="eastAsia" w:cs="宋体"/>
          <w:color w:val="auto"/>
          <w:sz w:val="24"/>
          <w:szCs w:val="24"/>
          <w:highlight w:val="none"/>
        </w:rPr>
      </w:pPr>
      <w:r>
        <w:rPr>
          <w:rFonts w:hint="eastAsia" w:cs="宋体"/>
          <w:color w:val="auto"/>
          <w:sz w:val="24"/>
          <w:szCs w:val="24"/>
          <w:highlight w:val="none"/>
        </w:rPr>
        <w:t>系_________________________________________________（投标人名称）的法定代表人。</w:t>
      </w:r>
    </w:p>
    <w:p w14:paraId="6F115EBA">
      <w:pPr>
        <w:pStyle w:val="96"/>
        <w:ind w:firstLine="480"/>
        <w:rPr>
          <w:rFonts w:hint="eastAsia" w:cs="宋体"/>
          <w:color w:val="auto"/>
          <w:sz w:val="24"/>
          <w:szCs w:val="24"/>
          <w:highlight w:val="none"/>
        </w:rPr>
      </w:pPr>
      <w:r>
        <w:rPr>
          <w:rFonts w:hint="eastAsia" w:cs="宋体"/>
          <w:color w:val="auto"/>
          <w:sz w:val="24"/>
          <w:szCs w:val="24"/>
          <w:highlight w:val="none"/>
        </w:rPr>
        <w:t>特此证明。</w:t>
      </w:r>
    </w:p>
    <w:p w14:paraId="5D13DD94">
      <w:pPr>
        <w:rPr>
          <w:rFonts w:hint="eastAsia" w:ascii="宋体" w:hAnsi="宋体" w:cs="宋体"/>
          <w:color w:val="auto"/>
          <w:highlight w:val="none"/>
        </w:rPr>
      </w:pPr>
      <w:r>
        <w:rPr>
          <w:rFonts w:hint="eastAsia" w:ascii="宋体" w:hAnsi="宋体" w:cs="宋体"/>
          <w:color w:val="auto"/>
          <w:highlight w:val="none"/>
        </w:rPr>
        <w:t> </w:t>
      </w:r>
    </w:p>
    <w:p w14:paraId="750C2489">
      <w:pPr>
        <w:rPr>
          <w:rFonts w:hint="eastAsia" w:ascii="宋体" w:hAnsi="宋体" w:cs="宋体"/>
          <w:color w:val="auto"/>
          <w:highlight w:val="none"/>
        </w:rPr>
      </w:pPr>
      <w:r>
        <w:rPr>
          <w:rFonts w:hint="eastAsia" w:ascii="宋体" w:hAnsi="宋体" w:cs="宋体"/>
          <w:color w:val="auto"/>
          <w:highlight w:val="none"/>
        </w:rPr>
        <w:t> </w:t>
      </w:r>
    </w:p>
    <w:p w14:paraId="4F8F265F">
      <w:pPr>
        <w:pStyle w:val="149"/>
        <w:ind w:firstLine="480"/>
        <w:rPr>
          <w:rFonts w:hint="eastAsia" w:cs="宋体"/>
          <w:color w:val="auto"/>
          <w:sz w:val="24"/>
          <w:szCs w:val="24"/>
          <w:highlight w:val="none"/>
        </w:rPr>
      </w:pPr>
      <w:r>
        <w:rPr>
          <w:rFonts w:hint="eastAsia" w:cs="宋体"/>
          <w:color w:val="auto"/>
          <w:sz w:val="24"/>
          <w:szCs w:val="24"/>
          <w:highlight w:val="none"/>
        </w:rPr>
        <w:t>投标人：__________________________（电子签章）</w:t>
      </w:r>
    </w:p>
    <w:p w14:paraId="680563E4">
      <w:pPr>
        <w:pStyle w:val="149"/>
        <w:ind w:firstLine="480"/>
        <w:rPr>
          <w:rFonts w:hint="eastAsia" w:cs="宋体"/>
          <w:color w:val="auto"/>
          <w:sz w:val="24"/>
          <w:szCs w:val="24"/>
          <w:highlight w:val="none"/>
        </w:rPr>
      </w:pPr>
      <w:r>
        <w:rPr>
          <w:rFonts w:hint="eastAsia" w:cs="宋体"/>
          <w:color w:val="auto"/>
          <w:sz w:val="24"/>
          <w:szCs w:val="24"/>
          <w:highlight w:val="none"/>
        </w:rPr>
        <w:t>_________年________月________日</w:t>
      </w:r>
    </w:p>
    <w:p w14:paraId="5961A9A9">
      <w:pPr>
        <w:pStyle w:val="96"/>
        <w:ind w:firstLine="480"/>
        <w:rPr>
          <w:rFonts w:hint="eastAsia" w:cs="宋体"/>
          <w:color w:val="auto"/>
          <w:sz w:val="24"/>
          <w:szCs w:val="24"/>
          <w:highlight w:val="none"/>
        </w:rPr>
      </w:pPr>
      <w:r>
        <w:rPr>
          <w:rFonts w:hint="eastAsia" w:cs="宋体"/>
          <w:color w:val="auto"/>
          <w:sz w:val="24"/>
          <w:szCs w:val="24"/>
          <w:highlight w:val="none"/>
        </w:rPr>
        <w:t>注：附法定代表人身份证（或身份证明）扫描件（正反面）。</w:t>
      </w:r>
    </w:p>
    <w:p w14:paraId="35C7750E">
      <w:pPr>
        <w:pStyle w:val="174"/>
        <w:ind w:firstLine="0" w:firstLineChars="0"/>
        <w:rPr>
          <w:rFonts w:hint="eastAsia" w:ascii="宋体" w:eastAsia="宋体" w:cs="宋体"/>
          <w:color w:val="auto"/>
          <w:highlight w:val="none"/>
        </w:rPr>
      </w:pPr>
      <w:r>
        <w:rPr>
          <w:rFonts w:hint="eastAsia" w:ascii="宋体" w:eastAsia="宋体" w:cs="宋体"/>
          <w:color w:val="auto"/>
          <w:spacing w:val="10"/>
          <w:szCs w:val="24"/>
          <w:highlight w:val="none"/>
        </w:rPr>
        <w:br w:type="page"/>
      </w:r>
      <w:r>
        <w:rPr>
          <w:rFonts w:hint="eastAsia" w:ascii="宋体" w:eastAsia="宋体" w:cs="宋体"/>
          <w:color w:val="auto"/>
          <w:highlight w:val="none"/>
        </w:rPr>
        <w:t>（二）授权委托书</w:t>
      </w:r>
    </w:p>
    <w:p w14:paraId="17A61DC9">
      <w:pPr>
        <w:pStyle w:val="126"/>
        <w:ind w:firstLine="480"/>
        <w:rPr>
          <w:rFonts w:hint="eastAsia" w:cs="宋体"/>
          <w:color w:val="auto"/>
          <w:sz w:val="24"/>
          <w:highlight w:val="none"/>
        </w:rPr>
      </w:pPr>
      <w:r>
        <w:rPr>
          <w:rFonts w:hint="eastAsia" w:cs="宋体"/>
          <w:color w:val="auto"/>
          <w:sz w:val="24"/>
          <w:highlight w:val="none"/>
        </w:rPr>
        <w:t> </w:t>
      </w:r>
    </w:p>
    <w:p w14:paraId="126FA96E">
      <w:pPr>
        <w:pStyle w:val="126"/>
        <w:ind w:firstLine="480"/>
        <w:rPr>
          <w:rFonts w:hint="eastAsia" w:cs="宋体"/>
          <w:color w:val="auto"/>
          <w:sz w:val="24"/>
          <w:szCs w:val="24"/>
          <w:highlight w:val="none"/>
        </w:rPr>
      </w:pPr>
      <w:r>
        <w:rPr>
          <w:rFonts w:hint="eastAsia" w:cs="宋体"/>
          <w:color w:val="auto"/>
          <w:sz w:val="24"/>
          <w:szCs w:val="24"/>
          <w:highlight w:val="none"/>
        </w:rPr>
        <w:t>本人_________（姓名）系_________（投标人名称）的法定代表人，现委托______（姓名）为我方代理人。代理人根据授权，以我方名义签署、澄清、说明、补正、递交、撤回、修改_____________（项目名称）</w:t>
      </w:r>
      <w:r>
        <w:rPr>
          <w:rFonts w:hint="eastAsia" w:cs="宋体"/>
          <w:color w:val="auto"/>
          <w:sz w:val="24"/>
          <w:szCs w:val="24"/>
          <w:highlight w:val="none"/>
          <w:u w:val="single"/>
        </w:rPr>
        <w:t xml:space="preserve">      </w:t>
      </w:r>
      <w:r>
        <w:rPr>
          <w:rFonts w:hint="eastAsia" w:cs="宋体"/>
          <w:color w:val="auto"/>
          <w:sz w:val="24"/>
          <w:szCs w:val="24"/>
          <w:highlight w:val="none"/>
        </w:rPr>
        <w:t>（标段名称）投标文件、签订合同和处理有关事宜，其法律后果由我方承担。</w:t>
      </w:r>
    </w:p>
    <w:p w14:paraId="027F7CFF">
      <w:pPr>
        <w:pStyle w:val="133"/>
        <w:ind w:firstLine="480"/>
        <w:rPr>
          <w:rFonts w:hint="eastAsia" w:cs="宋体"/>
          <w:color w:val="auto"/>
          <w:sz w:val="24"/>
          <w:szCs w:val="24"/>
          <w:highlight w:val="none"/>
        </w:rPr>
      </w:pPr>
      <w:r>
        <w:rPr>
          <w:rFonts w:hint="eastAsia" w:cs="宋体"/>
          <w:color w:val="auto"/>
          <w:sz w:val="24"/>
          <w:szCs w:val="24"/>
          <w:highlight w:val="none"/>
        </w:rPr>
        <w:t>委托期限：</w:t>
      </w:r>
      <w:r>
        <w:rPr>
          <w:rFonts w:hint="eastAsia" w:cs="宋体"/>
          <w:color w:val="auto"/>
          <w:sz w:val="24"/>
          <w:szCs w:val="24"/>
          <w:highlight w:val="none"/>
          <w:u w:val="single"/>
        </w:rPr>
        <w:t>投标截止90日历天后止</w:t>
      </w:r>
      <w:r>
        <w:rPr>
          <w:rFonts w:hint="eastAsia" w:cs="宋体"/>
          <w:color w:val="auto"/>
          <w:sz w:val="24"/>
          <w:szCs w:val="24"/>
          <w:highlight w:val="none"/>
        </w:rPr>
        <w:t>。</w:t>
      </w:r>
    </w:p>
    <w:p w14:paraId="2A9C6A8B">
      <w:pPr>
        <w:pStyle w:val="82"/>
        <w:ind w:firstLine="480"/>
        <w:rPr>
          <w:rFonts w:hint="eastAsia" w:cs="宋体"/>
          <w:color w:val="auto"/>
          <w:sz w:val="24"/>
          <w:szCs w:val="24"/>
          <w:highlight w:val="none"/>
        </w:rPr>
      </w:pPr>
      <w:r>
        <w:rPr>
          <w:rFonts w:hint="eastAsia" w:cs="宋体"/>
          <w:color w:val="auto"/>
          <w:sz w:val="24"/>
          <w:szCs w:val="24"/>
          <w:highlight w:val="none"/>
        </w:rPr>
        <w:t>代理人无转委托权。</w:t>
      </w:r>
    </w:p>
    <w:p w14:paraId="62FB8BBE">
      <w:pPr>
        <w:pStyle w:val="139"/>
        <w:ind w:firstLine="480"/>
        <w:rPr>
          <w:rFonts w:hint="eastAsia" w:cs="宋体"/>
          <w:color w:val="auto"/>
          <w:sz w:val="24"/>
          <w:szCs w:val="24"/>
          <w:highlight w:val="none"/>
        </w:rPr>
      </w:pPr>
      <w:r>
        <w:rPr>
          <w:rFonts w:hint="eastAsia" w:cs="宋体"/>
          <w:color w:val="auto"/>
          <w:sz w:val="24"/>
          <w:szCs w:val="24"/>
          <w:highlight w:val="none"/>
        </w:rPr>
        <w:t>附：附授权委托人身份证扫描件（正反面）</w:t>
      </w:r>
    </w:p>
    <w:p w14:paraId="5EE46C8A">
      <w:pPr>
        <w:pStyle w:val="96"/>
        <w:ind w:firstLine="480"/>
        <w:rPr>
          <w:rFonts w:hint="eastAsia" w:cs="宋体"/>
          <w:color w:val="auto"/>
          <w:sz w:val="24"/>
          <w:szCs w:val="24"/>
          <w:highlight w:val="none"/>
        </w:rPr>
      </w:pPr>
      <w:r>
        <w:rPr>
          <w:rFonts w:hint="eastAsia" w:cs="宋体"/>
          <w:color w:val="auto"/>
          <w:sz w:val="24"/>
          <w:szCs w:val="24"/>
          <w:highlight w:val="none"/>
        </w:rPr>
        <w:t> </w:t>
      </w:r>
    </w:p>
    <w:p w14:paraId="0D2F4156">
      <w:pPr>
        <w:pStyle w:val="96"/>
        <w:spacing w:before="120" w:beforeLines="50" w:after="120" w:afterLines="50"/>
        <w:ind w:firstLine="480"/>
        <w:jc w:val="center"/>
        <w:rPr>
          <w:rFonts w:hint="eastAsia" w:cs="宋体"/>
          <w:color w:val="auto"/>
          <w:sz w:val="24"/>
          <w:szCs w:val="24"/>
          <w:highlight w:val="none"/>
        </w:rPr>
      </w:pPr>
      <w:r>
        <w:rPr>
          <w:rFonts w:hint="eastAsia" w:cs="宋体"/>
          <w:color w:val="auto"/>
          <w:sz w:val="24"/>
          <w:szCs w:val="24"/>
          <w:highlight w:val="none"/>
        </w:rPr>
        <w:t xml:space="preserve">                     投 标 人：_________________________（电子签章） </w:t>
      </w:r>
    </w:p>
    <w:p w14:paraId="5F12051D">
      <w:pPr>
        <w:pStyle w:val="80"/>
        <w:spacing w:before="120" w:beforeLines="50" w:after="120" w:afterLines="50" w:line="480" w:lineRule="auto"/>
        <w:ind w:right="120" w:firstLine="480"/>
        <w:jc w:val="center"/>
        <w:rPr>
          <w:rFonts w:hint="eastAsia" w:cs="宋体"/>
          <w:color w:val="auto"/>
          <w:sz w:val="24"/>
          <w:szCs w:val="24"/>
          <w:highlight w:val="none"/>
        </w:rPr>
      </w:pPr>
      <w:r>
        <w:rPr>
          <w:rFonts w:hint="eastAsia" w:cs="宋体"/>
          <w:color w:val="auto"/>
          <w:sz w:val="24"/>
          <w:szCs w:val="24"/>
          <w:highlight w:val="none"/>
        </w:rPr>
        <w:t xml:space="preserve">                        法定代表人：___________________（电子签章） </w:t>
      </w:r>
    </w:p>
    <w:p w14:paraId="45ECD0F2">
      <w:pPr>
        <w:pStyle w:val="87"/>
        <w:spacing w:before="120" w:beforeLines="50" w:after="120" w:afterLines="50" w:line="480" w:lineRule="auto"/>
        <w:ind w:firstLine="480"/>
        <w:jc w:val="center"/>
        <w:rPr>
          <w:rFonts w:hint="eastAsia" w:ascii="宋体" w:eastAsia="宋体" w:cs="宋体"/>
          <w:color w:val="auto"/>
          <w:sz w:val="24"/>
          <w:szCs w:val="24"/>
          <w:highlight w:val="none"/>
        </w:rPr>
      </w:pPr>
      <w:r>
        <w:rPr>
          <w:rFonts w:hint="eastAsia" w:ascii="宋体" w:eastAsia="宋体" w:cs="宋体"/>
          <w:color w:val="auto"/>
          <w:sz w:val="24"/>
          <w:szCs w:val="24"/>
          <w:highlight w:val="none"/>
        </w:rPr>
        <w:t xml:space="preserve">                      身份证号码：____________________________ </w:t>
      </w:r>
    </w:p>
    <w:p w14:paraId="76AB60DC">
      <w:pPr>
        <w:pStyle w:val="80"/>
        <w:spacing w:before="120" w:beforeLines="50" w:after="120" w:afterLines="50" w:line="480" w:lineRule="auto"/>
        <w:ind w:firstLine="480"/>
        <w:jc w:val="center"/>
        <w:rPr>
          <w:rFonts w:hint="eastAsia" w:cs="宋体"/>
          <w:color w:val="auto"/>
          <w:sz w:val="24"/>
          <w:szCs w:val="24"/>
          <w:highlight w:val="none"/>
        </w:rPr>
      </w:pPr>
      <w:r>
        <w:rPr>
          <w:rFonts w:hint="eastAsia" w:cs="宋体"/>
          <w:color w:val="auto"/>
          <w:sz w:val="24"/>
          <w:szCs w:val="24"/>
          <w:highlight w:val="none"/>
        </w:rPr>
        <w:t xml:space="preserve">  委托代理人：__________________</w:t>
      </w:r>
    </w:p>
    <w:p w14:paraId="74D6E1CA">
      <w:pPr>
        <w:pStyle w:val="80"/>
        <w:spacing w:before="120" w:beforeLines="50" w:after="120" w:afterLines="50" w:line="480" w:lineRule="auto"/>
        <w:ind w:firstLine="480"/>
        <w:jc w:val="center"/>
        <w:rPr>
          <w:rFonts w:hint="eastAsia" w:cs="宋体"/>
          <w:color w:val="auto"/>
          <w:sz w:val="24"/>
          <w:szCs w:val="24"/>
          <w:highlight w:val="none"/>
        </w:rPr>
      </w:pPr>
      <w:r>
        <w:rPr>
          <w:rFonts w:hint="eastAsia" w:cs="宋体"/>
          <w:color w:val="auto"/>
          <w:sz w:val="24"/>
          <w:szCs w:val="24"/>
          <w:highlight w:val="none"/>
        </w:rPr>
        <w:t xml:space="preserve">                      身份证号码：___________________________</w:t>
      </w:r>
    </w:p>
    <w:p w14:paraId="5FE43951">
      <w:pPr>
        <w:pStyle w:val="80"/>
        <w:spacing w:before="120" w:beforeLines="50" w:after="120" w:afterLines="50" w:line="480" w:lineRule="auto"/>
        <w:ind w:firstLine="480"/>
        <w:jc w:val="center"/>
        <w:rPr>
          <w:rFonts w:hint="eastAsia" w:cs="宋体"/>
          <w:color w:val="auto"/>
          <w:sz w:val="24"/>
          <w:szCs w:val="24"/>
          <w:highlight w:val="none"/>
        </w:rPr>
      </w:pPr>
      <w:r>
        <w:rPr>
          <w:rFonts w:hint="eastAsia" w:cs="宋体"/>
          <w:color w:val="auto"/>
          <w:sz w:val="24"/>
          <w:szCs w:val="24"/>
          <w:highlight w:val="none"/>
        </w:rPr>
        <w:t> </w:t>
      </w:r>
    </w:p>
    <w:p w14:paraId="3EB64B39">
      <w:pPr>
        <w:pStyle w:val="80"/>
        <w:spacing w:before="120" w:beforeLines="50" w:after="120" w:afterLines="50" w:line="480" w:lineRule="auto"/>
        <w:ind w:firstLine="480"/>
        <w:jc w:val="center"/>
        <w:rPr>
          <w:rFonts w:hint="eastAsia" w:cs="宋体"/>
          <w:color w:val="auto"/>
          <w:sz w:val="24"/>
          <w:szCs w:val="24"/>
          <w:highlight w:val="none"/>
        </w:rPr>
      </w:pPr>
      <w:r>
        <w:rPr>
          <w:rFonts w:hint="eastAsia" w:cs="宋体"/>
          <w:color w:val="auto"/>
          <w:sz w:val="24"/>
          <w:szCs w:val="24"/>
          <w:highlight w:val="none"/>
        </w:rPr>
        <w:t>________年________月________日</w:t>
      </w:r>
    </w:p>
    <w:p w14:paraId="6979BA43">
      <w:pPr>
        <w:rPr>
          <w:rFonts w:hint="eastAsia"/>
          <w:color w:val="auto"/>
          <w:highlight w:val="none"/>
        </w:rPr>
      </w:pPr>
      <w:r>
        <w:rPr>
          <w:rFonts w:hint="eastAsia"/>
          <w:color w:val="auto"/>
          <w:highlight w:val="none"/>
        </w:rPr>
        <w:br w:type="page"/>
      </w:r>
    </w:p>
    <w:p w14:paraId="47BA0872">
      <w:pPr>
        <w:pStyle w:val="168"/>
        <w:snapToGrid w:val="0"/>
        <w:spacing w:before="0" w:after="0" w:line="360" w:lineRule="auto"/>
        <w:ind w:left="547" w:hanging="580" w:hangingChars="152"/>
        <w:outlineLvl w:val="2"/>
        <w:rPr>
          <w:rFonts w:hint="eastAsia" w:ascii="宋体" w:hAnsi="宋体" w:cs="宋体"/>
          <w:color w:val="auto"/>
          <w:spacing w:val="10"/>
          <w:sz w:val="36"/>
          <w:szCs w:val="32"/>
          <w:highlight w:val="none"/>
        </w:rPr>
      </w:pPr>
      <w:bookmarkStart w:id="78" w:name="_Toc24687"/>
      <w:r>
        <w:rPr>
          <w:rFonts w:hint="eastAsia" w:ascii="宋体" w:hAnsi="宋体" w:cs="宋体"/>
          <w:color w:val="auto"/>
          <w:spacing w:val="10"/>
          <w:sz w:val="36"/>
          <w:szCs w:val="32"/>
          <w:highlight w:val="none"/>
        </w:rPr>
        <w:t>三、承  诺  书 </w:t>
      </w:r>
      <w:bookmarkEnd w:id="78"/>
    </w:p>
    <w:p w14:paraId="1F0B255B">
      <w:pPr>
        <w:pStyle w:val="174"/>
        <w:ind w:firstLine="0" w:firstLineChars="0"/>
        <w:rPr>
          <w:rFonts w:hint="eastAsia" w:ascii="宋体" w:eastAsia="宋体" w:cs="宋体"/>
          <w:color w:val="auto"/>
          <w:szCs w:val="24"/>
          <w:highlight w:val="none"/>
        </w:rPr>
      </w:pPr>
      <w:r>
        <w:rPr>
          <w:rFonts w:hint="eastAsia" w:ascii="宋体" w:eastAsia="宋体" w:cs="宋体"/>
          <w:color w:val="auto"/>
          <w:szCs w:val="24"/>
          <w:highlight w:val="none"/>
        </w:rPr>
        <w:t>（1）承诺书</w:t>
      </w:r>
    </w:p>
    <w:p w14:paraId="7BD58654">
      <w:pPr>
        <w:pStyle w:val="73"/>
        <w:ind w:firstLine="480"/>
        <w:rPr>
          <w:rFonts w:hint="eastAsia" w:cs="宋体"/>
          <w:color w:val="auto"/>
          <w:sz w:val="24"/>
          <w:szCs w:val="24"/>
          <w:highlight w:val="none"/>
        </w:rPr>
      </w:pPr>
      <w:r>
        <w:rPr>
          <w:rFonts w:hint="eastAsia" w:cs="宋体"/>
          <w:color w:val="auto"/>
          <w:sz w:val="24"/>
          <w:szCs w:val="24"/>
          <w:highlight w:val="none"/>
        </w:rPr>
        <w:t>____________________（招标人名称）：</w:t>
      </w:r>
    </w:p>
    <w:p w14:paraId="3C7C20A2">
      <w:pPr>
        <w:spacing w:line="480" w:lineRule="auto"/>
        <w:ind w:left="368" w:leftChars="175" w:firstLine="660" w:firstLineChars="275"/>
        <w:rPr>
          <w:rFonts w:hint="eastAsia" w:ascii="宋体" w:hAnsi="宋体" w:cs="宋体"/>
          <w:color w:val="auto"/>
          <w:sz w:val="24"/>
          <w:szCs w:val="24"/>
          <w:highlight w:val="none"/>
        </w:rPr>
      </w:pPr>
      <w:r>
        <w:rPr>
          <w:rFonts w:hint="eastAsia" w:ascii="宋体" w:hAnsi="宋体" w:cs="宋体"/>
          <w:color w:val="auto"/>
          <w:sz w:val="24"/>
          <w:szCs w:val="24"/>
          <w:highlight w:val="none"/>
        </w:rPr>
        <w:t>若我方中标，我方承诺所提供车型在昆明市内能正常落户上牌、办理各种营运资格证，且能顺利通过年度各种检审，投入使用后能顺利运营，若给招标人造成损失由我方负责赔偿。</w:t>
      </w:r>
    </w:p>
    <w:p w14:paraId="61F9C663">
      <w:pPr>
        <w:spacing w:line="480" w:lineRule="auto"/>
        <w:ind w:left="368" w:leftChars="175"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我方承诺所投车型生产制造商具有生产专用客车的主体资格，所投车辆能办理道路运输经营资质许可证，因我方原因或所投车型不满足办理条件，则招标人有权终止合同，造成的全部损失由我方全权负责赔偿</w:t>
      </w:r>
      <w:r>
        <w:rPr>
          <w:rFonts w:hint="eastAsia" w:hAnsi="宋体" w:cs="宋体"/>
          <w:color w:val="auto"/>
          <w:sz w:val="24"/>
          <w:szCs w:val="24"/>
          <w:highlight w:val="none"/>
        </w:rPr>
        <w:t>（包括但不限于由此导致招标人逾期向第三方公司提供车辆或失去业务中标资格，招标人受到第三方公司违约处罚2倍的违约金额）</w:t>
      </w:r>
      <w:r>
        <w:rPr>
          <w:rFonts w:hint="eastAsia" w:ascii="宋体" w:hAnsi="宋体" w:cs="宋体"/>
          <w:color w:val="auto"/>
          <w:sz w:val="24"/>
          <w:szCs w:val="24"/>
          <w:highlight w:val="none"/>
        </w:rPr>
        <w:t>。</w:t>
      </w:r>
    </w:p>
    <w:p w14:paraId="2F55E268">
      <w:pPr>
        <w:spacing w:line="480" w:lineRule="auto"/>
        <w:ind w:left="368" w:leftChars="175" w:firstLine="660" w:firstLineChars="275"/>
        <w:rPr>
          <w:rFonts w:hint="eastAsia" w:ascii="宋体" w:hAnsi="宋体" w:cs="宋体"/>
          <w:color w:val="auto"/>
          <w:sz w:val="24"/>
          <w:szCs w:val="24"/>
          <w:highlight w:val="none"/>
        </w:rPr>
      </w:pPr>
      <w:r>
        <w:rPr>
          <w:rFonts w:hint="eastAsia" w:ascii="宋体" w:hAnsi="宋体" w:cs="宋体"/>
          <w:color w:val="auto"/>
          <w:sz w:val="24"/>
          <w:szCs w:val="24"/>
          <w:highlight w:val="none"/>
        </w:rPr>
        <w:t>我方协助招标人办理所投车型在昆明市落户上牌工作；对拟投标车型投入到</w:t>
      </w:r>
      <w:r>
        <w:rPr>
          <w:rFonts w:hint="eastAsia" w:ascii="宋体" w:hAnsi="宋体" w:cs="宋体"/>
          <w:color w:val="auto"/>
          <w:sz w:val="24"/>
          <w:szCs w:val="24"/>
          <w:highlight w:val="none"/>
          <w:lang w:eastAsia="zh-CN"/>
        </w:rPr>
        <w:t>昆明公交城市巴士有限责任公司</w:t>
      </w:r>
      <w:r>
        <w:rPr>
          <w:rFonts w:hint="eastAsia" w:ascii="宋体" w:hAnsi="宋体" w:cs="宋体"/>
          <w:color w:val="auto"/>
          <w:sz w:val="24"/>
          <w:szCs w:val="24"/>
          <w:highlight w:val="none"/>
        </w:rPr>
        <w:t>的车辆均有良好的售后服务。</w:t>
      </w:r>
    </w:p>
    <w:p w14:paraId="677B930D">
      <w:pPr>
        <w:spacing w:line="480" w:lineRule="auto"/>
        <w:ind w:left="368" w:leftChars="175" w:firstLine="660" w:firstLineChars="275"/>
        <w:rPr>
          <w:rFonts w:hint="eastAsia" w:ascii="宋体" w:hAnsi="宋体" w:cs="宋体"/>
          <w:color w:val="auto"/>
          <w:highlight w:val="none"/>
        </w:rPr>
      </w:pPr>
      <w:r>
        <w:rPr>
          <w:rFonts w:hint="eastAsia" w:ascii="宋体" w:hAnsi="宋体" w:cs="宋体"/>
          <w:color w:val="auto"/>
          <w:sz w:val="24"/>
          <w:szCs w:val="24"/>
          <w:highlight w:val="none"/>
        </w:rPr>
        <w:t>若我方中标，我方承诺在规定时间内完成车辆交付并能正常投入使用，逾期交货，每超过一天按照500元每辆车进行罚款，如最终不能按照承诺交车日期交付按照违约处理，我方无理由接受退车处理。</w:t>
      </w:r>
    </w:p>
    <w:p w14:paraId="45900675">
      <w:pPr>
        <w:spacing w:line="480" w:lineRule="auto"/>
        <w:ind w:left="368" w:leftChars="175" w:firstLine="660" w:firstLineChars="275"/>
        <w:rPr>
          <w:rFonts w:hint="eastAsia" w:ascii="宋体" w:hAnsi="宋体" w:cs="宋体"/>
          <w:color w:val="auto"/>
          <w:sz w:val="24"/>
          <w:szCs w:val="24"/>
          <w:highlight w:val="none"/>
        </w:rPr>
      </w:pPr>
      <w:r>
        <w:rPr>
          <w:rFonts w:hint="eastAsia" w:ascii="宋体" w:hAnsi="宋体" w:cs="宋体"/>
          <w:color w:val="auto"/>
          <w:sz w:val="24"/>
          <w:szCs w:val="24"/>
          <w:highlight w:val="none"/>
        </w:rPr>
        <w:t>此承诺书作为合同书的补充。</w:t>
      </w:r>
    </w:p>
    <w:p w14:paraId="7289C477">
      <w:pPr>
        <w:ind w:left="0" w:leftChars="0" w:firstLine="0" w:firstLineChars="0"/>
        <w:rPr>
          <w:rFonts w:hint="eastAsia" w:ascii="宋体" w:hAnsi="宋体" w:cs="宋体"/>
          <w:color w:val="auto"/>
          <w:sz w:val="24"/>
          <w:szCs w:val="24"/>
          <w:highlight w:val="none"/>
        </w:rPr>
      </w:pPr>
    </w:p>
    <w:p w14:paraId="00393467">
      <w:pPr>
        <w:ind w:left="368" w:leftChars="175" w:firstLine="480"/>
        <w:rPr>
          <w:rFonts w:hint="eastAsia" w:ascii="宋体" w:hAnsi="宋体" w:cs="宋体"/>
          <w:color w:val="auto"/>
          <w:sz w:val="24"/>
          <w:szCs w:val="24"/>
          <w:highlight w:val="none"/>
        </w:rPr>
      </w:pPr>
    </w:p>
    <w:p w14:paraId="6F6FE01B">
      <w:pPr>
        <w:pStyle w:val="149"/>
        <w:ind w:firstLine="480"/>
        <w:rPr>
          <w:rFonts w:hint="eastAsia" w:cs="宋体"/>
          <w:color w:val="auto"/>
          <w:sz w:val="24"/>
          <w:szCs w:val="24"/>
          <w:highlight w:val="none"/>
        </w:rPr>
      </w:pPr>
      <w:r>
        <w:rPr>
          <w:rFonts w:hint="eastAsia" w:cs="宋体"/>
          <w:color w:val="auto"/>
          <w:sz w:val="24"/>
          <w:szCs w:val="24"/>
          <w:highlight w:val="none"/>
        </w:rPr>
        <w:t>投标人：__________________________（电子签章）</w:t>
      </w:r>
    </w:p>
    <w:p w14:paraId="50EEEA89">
      <w:pPr>
        <w:pStyle w:val="149"/>
        <w:ind w:firstLine="480"/>
        <w:rPr>
          <w:rFonts w:hint="eastAsia" w:cs="宋体"/>
          <w:color w:val="auto"/>
          <w:sz w:val="24"/>
          <w:szCs w:val="24"/>
          <w:highlight w:val="none"/>
        </w:rPr>
      </w:pPr>
      <w:r>
        <w:rPr>
          <w:rFonts w:hint="eastAsia" w:cs="宋体"/>
          <w:color w:val="auto"/>
          <w:sz w:val="24"/>
          <w:szCs w:val="24"/>
          <w:highlight w:val="none"/>
        </w:rPr>
        <w:t>法定代表人：____________________________（电子签章）</w:t>
      </w:r>
    </w:p>
    <w:p w14:paraId="24F21FDE">
      <w:pPr>
        <w:pStyle w:val="149"/>
        <w:ind w:firstLine="480"/>
        <w:rPr>
          <w:rFonts w:hint="eastAsia" w:cs="宋体"/>
          <w:color w:val="auto"/>
          <w:sz w:val="24"/>
          <w:szCs w:val="24"/>
          <w:highlight w:val="none"/>
        </w:rPr>
      </w:pPr>
      <w:r>
        <w:rPr>
          <w:rFonts w:hint="eastAsia" w:cs="宋体"/>
          <w:color w:val="auto"/>
          <w:sz w:val="24"/>
          <w:szCs w:val="24"/>
          <w:highlight w:val="none"/>
        </w:rPr>
        <w:t>________年________月________日</w:t>
      </w:r>
    </w:p>
    <w:p w14:paraId="2A4222B4">
      <w:pPr>
        <w:pStyle w:val="174"/>
        <w:ind w:firstLine="0" w:firstLineChars="0"/>
        <w:rPr>
          <w:rFonts w:hint="eastAsia" w:ascii="宋体" w:eastAsia="宋体" w:cs="宋体"/>
          <w:color w:val="auto"/>
          <w:szCs w:val="24"/>
          <w:highlight w:val="none"/>
        </w:rPr>
      </w:pPr>
      <w:r>
        <w:rPr>
          <w:rFonts w:hint="eastAsia" w:ascii="宋体" w:eastAsia="宋体" w:cs="宋体"/>
          <w:color w:val="auto"/>
          <w:szCs w:val="24"/>
          <w:highlight w:val="none"/>
        </w:rPr>
        <w:t>（2）投标人承诺书</w:t>
      </w:r>
    </w:p>
    <w:p w14:paraId="12DCC86D">
      <w:pPr>
        <w:ind w:firstLine="480"/>
        <w:jc w:val="center"/>
        <w:rPr>
          <w:rFonts w:hint="eastAsia" w:ascii="宋体" w:hAnsi="宋体" w:cs="宋体"/>
          <w:color w:val="auto"/>
          <w:sz w:val="24"/>
          <w:szCs w:val="24"/>
          <w:highlight w:val="none"/>
        </w:rPr>
      </w:pPr>
    </w:p>
    <w:p w14:paraId="4AC6C34C">
      <w:pPr>
        <w:spacing w:line="480" w:lineRule="auto"/>
        <w:ind w:left="368" w:leftChars="175" w:firstLine="660" w:firstLineChars="275"/>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本企业参与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（项目名称）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（标段名称）的投标，现作如下承诺：</w:t>
      </w:r>
    </w:p>
    <w:p w14:paraId="2F3F8763">
      <w:pPr>
        <w:spacing w:line="480" w:lineRule="auto"/>
        <w:ind w:left="368" w:leftChars="175" w:firstLine="660" w:firstLineChars="275"/>
        <w:rPr>
          <w:rFonts w:hint="eastAsia" w:ascii="宋体" w:hAnsi="宋体" w:cs="宋体"/>
          <w:color w:val="auto"/>
          <w:sz w:val="24"/>
          <w:szCs w:val="24"/>
          <w:highlight w:val="none"/>
        </w:rPr>
      </w:pPr>
      <w:r>
        <w:rPr>
          <w:rFonts w:hint="eastAsia" w:ascii="宋体" w:hAnsi="宋体" w:cs="宋体"/>
          <w:color w:val="auto"/>
          <w:sz w:val="24"/>
          <w:szCs w:val="24"/>
          <w:highlight w:val="none"/>
        </w:rPr>
        <w:t>1、我公司参与此次投标活动所提交的所有资料都是合法、真实、有效的。</w:t>
      </w:r>
    </w:p>
    <w:p w14:paraId="174AABFE">
      <w:pPr>
        <w:spacing w:line="480" w:lineRule="auto"/>
        <w:ind w:left="368" w:leftChars="175" w:firstLine="660" w:firstLineChars="275"/>
        <w:rPr>
          <w:rFonts w:hint="eastAsia" w:ascii="宋体" w:hAnsi="宋体" w:cs="宋体"/>
          <w:color w:val="auto"/>
          <w:sz w:val="24"/>
          <w:szCs w:val="24"/>
          <w:highlight w:val="none"/>
        </w:rPr>
      </w:pPr>
      <w:r>
        <w:rPr>
          <w:rFonts w:hint="eastAsia" w:ascii="宋体" w:hAnsi="宋体" w:cs="宋体"/>
          <w:color w:val="auto"/>
          <w:sz w:val="24"/>
          <w:szCs w:val="24"/>
          <w:highlight w:val="none"/>
        </w:rPr>
        <w:t>2、不与其他投标人串通投标、围标，依法、依规公平竞争，不损害招标人或其他投标人的合法权益。</w:t>
      </w:r>
    </w:p>
    <w:p w14:paraId="12EBE940">
      <w:pPr>
        <w:spacing w:line="480" w:lineRule="auto"/>
        <w:ind w:left="368" w:leftChars="175" w:firstLine="660" w:firstLineChars="275"/>
        <w:rPr>
          <w:rFonts w:hint="eastAsia" w:ascii="宋体" w:hAnsi="宋体" w:cs="宋体"/>
          <w:color w:val="auto"/>
          <w:sz w:val="24"/>
          <w:szCs w:val="24"/>
          <w:highlight w:val="none"/>
        </w:rPr>
      </w:pPr>
      <w:r>
        <w:rPr>
          <w:rFonts w:hint="eastAsia" w:ascii="宋体" w:hAnsi="宋体" w:cs="宋体"/>
          <w:color w:val="auto"/>
          <w:sz w:val="24"/>
          <w:szCs w:val="24"/>
          <w:highlight w:val="none"/>
        </w:rPr>
        <w:t>3、不转让、出租、出借资质证书、人员岗位证书，不以法律、法规禁止的方式投标。</w:t>
      </w:r>
    </w:p>
    <w:p w14:paraId="798E2A3E">
      <w:pPr>
        <w:spacing w:line="480" w:lineRule="auto"/>
        <w:ind w:left="368" w:leftChars="175" w:firstLine="660" w:firstLineChars="275"/>
        <w:rPr>
          <w:rFonts w:hint="eastAsia" w:ascii="宋体" w:hAnsi="宋体" w:cs="宋体"/>
          <w:color w:val="auto"/>
          <w:sz w:val="24"/>
          <w:szCs w:val="24"/>
          <w:highlight w:val="none"/>
        </w:rPr>
      </w:pPr>
      <w:r>
        <w:rPr>
          <w:rFonts w:hint="eastAsia" w:ascii="宋体" w:hAnsi="宋体" w:cs="宋体"/>
          <w:color w:val="auto"/>
          <w:sz w:val="24"/>
          <w:szCs w:val="24"/>
          <w:highlight w:val="none"/>
        </w:rPr>
        <w:t>4、不与招标人或招标代理机构串通投标，不损害国家利益、社会公共利益或其他当事人的合法权益。</w:t>
      </w:r>
    </w:p>
    <w:p w14:paraId="061DAEF7">
      <w:pPr>
        <w:spacing w:line="480" w:lineRule="auto"/>
        <w:ind w:left="368" w:leftChars="175" w:firstLine="660" w:firstLineChars="275"/>
        <w:rPr>
          <w:rFonts w:hint="eastAsia" w:ascii="宋体" w:hAnsi="宋体" w:cs="宋体"/>
          <w:color w:val="auto"/>
          <w:sz w:val="24"/>
          <w:szCs w:val="24"/>
          <w:highlight w:val="none"/>
        </w:rPr>
      </w:pPr>
      <w:r>
        <w:rPr>
          <w:rFonts w:hint="eastAsia" w:ascii="宋体" w:hAnsi="宋体" w:cs="宋体"/>
          <w:color w:val="auto"/>
          <w:sz w:val="24"/>
          <w:szCs w:val="24"/>
          <w:highlight w:val="none"/>
        </w:rPr>
        <w:t>5、不向招标人、评标委员会成员、监督人员行贿。</w:t>
      </w:r>
    </w:p>
    <w:p w14:paraId="785D9B3D">
      <w:pPr>
        <w:spacing w:line="480" w:lineRule="auto"/>
        <w:ind w:left="368" w:leftChars="175" w:firstLine="660" w:firstLineChars="275"/>
        <w:rPr>
          <w:rFonts w:hint="eastAsia" w:ascii="宋体" w:hAnsi="宋体" w:cs="宋体"/>
          <w:color w:val="auto"/>
          <w:sz w:val="24"/>
          <w:szCs w:val="24"/>
          <w:highlight w:val="none"/>
        </w:rPr>
      </w:pPr>
      <w:r>
        <w:rPr>
          <w:rFonts w:hint="eastAsia" w:ascii="宋体" w:hAnsi="宋体" w:cs="宋体"/>
          <w:color w:val="auto"/>
          <w:sz w:val="24"/>
          <w:szCs w:val="24"/>
          <w:highlight w:val="none"/>
        </w:rPr>
        <w:t>6、不扰乱公共资源交易正常秩序。</w:t>
      </w:r>
    </w:p>
    <w:p w14:paraId="17715C6B">
      <w:pPr>
        <w:spacing w:line="480" w:lineRule="auto"/>
        <w:ind w:left="368" w:leftChars="175" w:firstLine="660" w:firstLineChars="275"/>
        <w:rPr>
          <w:rFonts w:hint="eastAsia" w:ascii="宋体" w:hAnsi="宋体" w:cs="宋体"/>
          <w:color w:val="auto"/>
          <w:sz w:val="24"/>
          <w:szCs w:val="24"/>
          <w:highlight w:val="none"/>
        </w:rPr>
      </w:pPr>
      <w:r>
        <w:rPr>
          <w:rFonts w:hint="eastAsia" w:ascii="宋体" w:hAnsi="宋体" w:cs="宋体"/>
          <w:color w:val="auto"/>
          <w:sz w:val="24"/>
          <w:szCs w:val="24"/>
          <w:highlight w:val="none"/>
        </w:rPr>
        <w:t>7、不进行虚假恶意投诉。</w:t>
      </w:r>
    </w:p>
    <w:p w14:paraId="4417B594">
      <w:pPr>
        <w:spacing w:line="480" w:lineRule="auto"/>
        <w:ind w:left="368" w:leftChars="175" w:firstLine="660" w:firstLineChars="275"/>
        <w:rPr>
          <w:rFonts w:hint="eastAsia" w:ascii="宋体" w:hAnsi="宋体" w:cs="宋体"/>
          <w:color w:val="auto"/>
          <w:sz w:val="24"/>
          <w:szCs w:val="24"/>
          <w:highlight w:val="none"/>
        </w:rPr>
      </w:pPr>
      <w:r>
        <w:rPr>
          <w:rFonts w:hint="eastAsia" w:ascii="宋体" w:hAnsi="宋体" w:cs="宋体"/>
          <w:color w:val="auto"/>
          <w:sz w:val="24"/>
          <w:szCs w:val="24"/>
          <w:highlight w:val="none"/>
        </w:rPr>
        <w:t>8、因违反法律、法规或相关规定被查处的，不干预案件查处。</w:t>
      </w:r>
    </w:p>
    <w:p w14:paraId="6C0D5207">
      <w:pPr>
        <w:spacing w:line="480" w:lineRule="auto"/>
        <w:ind w:left="368" w:leftChars="175" w:firstLine="660" w:firstLineChars="275"/>
        <w:rPr>
          <w:rFonts w:hint="eastAsia" w:ascii="宋体" w:hAnsi="宋体" w:cs="宋体"/>
          <w:color w:val="auto"/>
          <w:sz w:val="24"/>
          <w:szCs w:val="24"/>
          <w:highlight w:val="none"/>
        </w:rPr>
      </w:pPr>
      <w:r>
        <w:rPr>
          <w:rFonts w:hint="eastAsia" w:ascii="宋体" w:hAnsi="宋体" w:cs="宋体"/>
          <w:color w:val="auto"/>
          <w:sz w:val="24"/>
          <w:szCs w:val="24"/>
          <w:highlight w:val="none"/>
        </w:rPr>
        <w:t>如违反以上承诺，涉嫌违纪违法、犯罪的，由纪检监察机关、行政监管部门、公安机关依法调查处理。违法、违规或不良行为事实成立的，本投标人不再要求退还投标时所提交的投标保证金和廉政保证金，并承担相关责任。给招标人造成损失的，依法承担赔偿责任。</w:t>
      </w:r>
    </w:p>
    <w:p w14:paraId="005500FB">
      <w:pPr>
        <w:rPr>
          <w:rFonts w:hint="eastAsia" w:ascii="宋体" w:hAnsi="宋体" w:cs="宋体"/>
          <w:color w:val="auto"/>
          <w:highlight w:val="none"/>
        </w:rPr>
      </w:pPr>
      <w:r>
        <w:rPr>
          <w:rFonts w:hint="eastAsia" w:ascii="宋体" w:hAnsi="宋体" w:cs="宋体"/>
          <w:color w:val="auto"/>
          <w:highlight w:val="none"/>
        </w:rPr>
        <w:t> </w:t>
      </w:r>
    </w:p>
    <w:p w14:paraId="703FC878">
      <w:pPr>
        <w:pStyle w:val="110"/>
        <w:ind w:firstLine="480"/>
        <w:jc w:val="right"/>
        <w:rPr>
          <w:rFonts w:hint="eastAsia" w:cs="宋体"/>
          <w:color w:val="auto"/>
          <w:sz w:val="24"/>
          <w:szCs w:val="24"/>
          <w:highlight w:val="none"/>
        </w:rPr>
      </w:pPr>
      <w:r>
        <w:rPr>
          <w:rFonts w:hint="eastAsia" w:cs="宋体"/>
          <w:color w:val="auto"/>
          <w:sz w:val="24"/>
          <w:szCs w:val="24"/>
          <w:highlight w:val="none"/>
        </w:rPr>
        <w:t>投标人（电子签章）： ___________________________</w:t>
      </w:r>
    </w:p>
    <w:p w14:paraId="0F37FAA8">
      <w:pPr>
        <w:pStyle w:val="110"/>
        <w:ind w:firstLine="480"/>
        <w:jc w:val="right"/>
        <w:rPr>
          <w:rFonts w:hint="eastAsia" w:cs="宋体"/>
          <w:color w:val="auto"/>
          <w:sz w:val="24"/>
          <w:szCs w:val="24"/>
          <w:highlight w:val="none"/>
        </w:rPr>
      </w:pPr>
      <w:r>
        <w:rPr>
          <w:rFonts w:hint="eastAsia" w:cs="宋体"/>
          <w:color w:val="auto"/>
          <w:sz w:val="24"/>
          <w:szCs w:val="24"/>
          <w:highlight w:val="none"/>
        </w:rPr>
        <w:t>法定代表人（电子签章）：________________________</w:t>
      </w:r>
    </w:p>
    <w:p w14:paraId="101AF3FB">
      <w:pPr>
        <w:pStyle w:val="110"/>
        <w:ind w:firstLine="480"/>
        <w:jc w:val="right"/>
        <w:rPr>
          <w:rFonts w:hint="eastAsia" w:cs="宋体"/>
          <w:color w:val="auto"/>
          <w:szCs w:val="21"/>
          <w:highlight w:val="none"/>
        </w:rPr>
      </w:pPr>
      <w:r>
        <w:rPr>
          <w:rFonts w:hint="eastAsia" w:cs="宋体"/>
          <w:color w:val="auto"/>
          <w:sz w:val="24"/>
          <w:szCs w:val="24"/>
          <w:highlight w:val="none"/>
        </w:rPr>
        <w:t>________年_____月______日</w:t>
      </w:r>
    </w:p>
    <w:p w14:paraId="6DD8AD4A">
      <w:pPr>
        <w:pStyle w:val="174"/>
        <w:ind w:firstLine="0" w:firstLineChars="0"/>
        <w:rPr>
          <w:rFonts w:hint="eastAsia" w:ascii="宋体" w:eastAsia="宋体" w:cs="宋体"/>
          <w:color w:val="auto"/>
          <w:highlight w:val="none"/>
        </w:rPr>
      </w:pPr>
      <w:r>
        <w:rPr>
          <w:rFonts w:hint="eastAsia" w:ascii="宋体" w:eastAsia="宋体" w:cs="宋体"/>
          <w:color w:val="auto"/>
          <w:highlight w:val="none"/>
        </w:rPr>
        <w:br w:type="page"/>
      </w:r>
    </w:p>
    <w:p w14:paraId="48C0FA1E">
      <w:pPr>
        <w:pStyle w:val="168"/>
        <w:snapToGrid w:val="0"/>
        <w:spacing w:before="0" w:after="0" w:line="600" w:lineRule="exact"/>
        <w:ind w:left="426" w:hanging="458" w:hangingChars="152"/>
        <w:outlineLvl w:val="2"/>
        <w:rPr>
          <w:rFonts w:hint="eastAsia" w:ascii="宋体" w:hAnsi="宋体" w:cs="宋体"/>
          <w:color w:val="auto"/>
          <w:spacing w:val="10"/>
          <w:szCs w:val="24"/>
          <w:highlight w:val="none"/>
        </w:rPr>
      </w:pPr>
      <w:bookmarkStart w:id="79" w:name="_Toc13223"/>
      <w:r>
        <w:rPr>
          <w:rFonts w:hint="eastAsia" w:ascii="宋体" w:hAnsi="宋体" w:cs="宋体"/>
          <w:color w:val="auto"/>
          <w:spacing w:val="10"/>
          <w:szCs w:val="24"/>
          <w:highlight w:val="none"/>
        </w:rPr>
        <w:t>四、近年度财务状况</w:t>
      </w:r>
      <w:bookmarkEnd w:id="79"/>
    </w:p>
    <w:p w14:paraId="2F97D169">
      <w:pPr>
        <w:pStyle w:val="159"/>
        <w:ind w:firstLine="480"/>
        <w:rPr>
          <w:rFonts w:hint="eastAsia" w:cs="宋体"/>
          <w:color w:val="auto"/>
          <w:sz w:val="24"/>
          <w:highlight w:val="none"/>
        </w:rPr>
      </w:pPr>
      <w:r>
        <w:rPr>
          <w:rFonts w:hint="eastAsia" w:cs="宋体"/>
          <w:color w:val="auto"/>
          <w:sz w:val="24"/>
          <w:highlight w:val="none"/>
        </w:rPr>
        <w:t> </w:t>
      </w:r>
    </w:p>
    <w:p w14:paraId="58E48084">
      <w:pPr>
        <w:ind w:firstLine="480" w:firstLineChars="0"/>
        <w:rPr>
          <w:rFonts w:hint="eastAsia" w:ascii="宋体" w:hAnsi="宋体" w:cs="宋体"/>
          <w:color w:val="auto"/>
          <w:sz w:val="24"/>
          <w:szCs w:val="24"/>
          <w:highlight w:val="none"/>
        </w:rPr>
      </w:pPr>
      <w:bookmarkStart w:id="80" w:name="_Toc519842358"/>
      <w:r>
        <w:rPr>
          <w:rFonts w:hint="eastAsia" w:ascii="宋体" w:hAnsi="宋体" w:cs="宋体"/>
          <w:color w:val="auto"/>
          <w:sz w:val="24"/>
          <w:szCs w:val="24"/>
          <w:highlight w:val="none"/>
        </w:rPr>
        <w:t>投标人提供①2022—2024年三个年度经会计师事务所或审计机构审计的财务审计报告及财务报表（包括资产负债表、现金流量表、利润表和财务情况说明书或附注）；</w:t>
      </w:r>
    </w:p>
    <w:p w14:paraId="2E18BD10">
      <w:pPr>
        <w:ind w:firstLine="480" w:firstLineChars="0"/>
        <w:rPr>
          <w:rFonts w:hint="eastAsia" w:ascii="宋体" w:hAnsi="宋体" w:cs="宋体"/>
          <w:color w:val="auto"/>
          <w:sz w:val="24"/>
          <w:szCs w:val="24"/>
          <w:highlight w:val="none"/>
        </w:rPr>
      </w:pPr>
      <w:r>
        <w:rPr>
          <w:rFonts w:hint="eastAsia" w:ascii="宋体" w:hAnsi="宋体" w:cs="宋体"/>
          <w:color w:val="auto"/>
          <w:sz w:val="24"/>
          <w:szCs w:val="24"/>
          <w:highlight w:val="none"/>
        </w:rPr>
        <w:t>②成立不满1年提供自成立之日至投标文件截止时间前1个月公司财务报表，包括资产负债表、现金流量表及利润表或提供自投标文件提交截止时间前三个月内开户银行出具的资信证明或资金存款证明；</w:t>
      </w:r>
    </w:p>
    <w:p w14:paraId="1B061714">
      <w:pPr>
        <w:ind w:firstLine="480" w:firstLineChars="0"/>
        <w:rPr>
          <w:rFonts w:hint="eastAsia" w:ascii="宋体" w:hAnsi="宋体" w:cs="宋体"/>
          <w:color w:val="auto"/>
          <w:sz w:val="24"/>
          <w:szCs w:val="24"/>
          <w:highlight w:val="none"/>
        </w:rPr>
      </w:pPr>
      <w:r>
        <w:rPr>
          <w:rFonts w:hint="eastAsia" w:ascii="宋体" w:hAnsi="宋体" w:cs="宋体"/>
          <w:color w:val="auto"/>
          <w:sz w:val="24"/>
          <w:szCs w:val="24"/>
          <w:highlight w:val="none"/>
        </w:rPr>
        <w:t>备注：投标人可根据自身情况提供上述任意一种证明材料。</w:t>
      </w:r>
    </w:p>
    <w:p w14:paraId="763D8883">
      <w:pPr>
        <w:pStyle w:val="168"/>
        <w:snapToGrid w:val="0"/>
        <w:spacing w:before="0" w:after="0" w:line="600" w:lineRule="exact"/>
        <w:ind w:left="365" w:hanging="366" w:hangingChars="152"/>
        <w:outlineLvl w:val="2"/>
        <w:rPr>
          <w:rFonts w:hint="eastAsia" w:ascii="宋体" w:hAnsi="宋体" w:cs="宋体"/>
          <w:color w:val="auto"/>
          <w:spacing w:val="10"/>
          <w:szCs w:val="24"/>
          <w:highlight w:val="none"/>
        </w:rPr>
      </w:pPr>
      <w:r>
        <w:rPr>
          <w:rFonts w:hint="eastAsia" w:ascii="宋体" w:hAnsi="宋体" w:cs="宋体"/>
          <w:color w:val="auto"/>
          <w:sz w:val="24"/>
          <w:highlight w:val="none"/>
        </w:rPr>
        <w:br w:type="page"/>
      </w:r>
      <w:bookmarkStart w:id="81" w:name="_Toc4985"/>
      <w:r>
        <w:rPr>
          <w:rFonts w:hint="eastAsia" w:ascii="宋体" w:hAnsi="宋体" w:cs="宋体"/>
          <w:color w:val="auto"/>
          <w:spacing w:val="10"/>
          <w:szCs w:val="24"/>
          <w:highlight w:val="none"/>
        </w:rPr>
        <w:t>五、业绩情况表</w:t>
      </w:r>
      <w:bookmarkEnd w:id="80"/>
      <w:bookmarkEnd w:id="81"/>
    </w:p>
    <w:p w14:paraId="3A48D493">
      <w:pPr>
        <w:ind w:firstLine="480" w:firstLineChars="0"/>
        <w:jc w:val="center"/>
        <w:rPr>
          <w:rFonts w:hint="eastAsia" w:ascii="宋体" w:hAnsi="宋体" w:cs="宋体"/>
          <w:color w:val="auto"/>
          <w:sz w:val="24"/>
          <w:szCs w:val="24"/>
          <w:highlight w:val="none"/>
        </w:rPr>
      </w:pPr>
    </w:p>
    <w:p w14:paraId="1E1D0274">
      <w:pPr>
        <w:widowControl/>
        <w:spacing w:line="240" w:lineRule="auto"/>
        <w:ind w:firstLine="0" w:firstLineChars="0"/>
        <w:jc w:val="center"/>
        <w:rPr>
          <w:rFonts w:hint="eastAsia" w:ascii="宋体" w:hAnsi="宋体" w:cs="宋体"/>
          <w:b/>
          <w:color w:val="auto"/>
          <w:kern w:val="0"/>
          <w:sz w:val="28"/>
          <w:szCs w:val="21"/>
          <w:highlight w:val="none"/>
        </w:rPr>
      </w:pPr>
      <w:r>
        <w:rPr>
          <w:rFonts w:hint="eastAsia" w:ascii="宋体" w:hAnsi="宋体" w:cs="宋体"/>
          <w:color w:val="auto"/>
          <w:sz w:val="24"/>
          <w:szCs w:val="24"/>
          <w:highlight w:val="none"/>
        </w:rPr>
        <w:t>提供由中国工业汽车协会出具的业绩证明材料扫描件。。</w:t>
      </w:r>
    </w:p>
    <w:p w14:paraId="10B31BDA">
      <w:pPr>
        <w:spacing w:line="578" w:lineRule="atLeast"/>
        <w:ind w:left="1"/>
        <w:rPr>
          <w:rFonts w:hint="eastAsia" w:ascii="宋体" w:hAnsi="宋体" w:cs="宋体"/>
          <w:color w:val="auto"/>
          <w:spacing w:val="10"/>
          <w:szCs w:val="24"/>
          <w:highlight w:val="none"/>
        </w:rPr>
      </w:pPr>
      <w:r>
        <w:rPr>
          <w:rFonts w:hint="eastAsia" w:ascii="宋体" w:hAnsi="宋体" w:cs="宋体"/>
          <w:color w:val="auto"/>
          <w:kern w:val="0"/>
          <w:szCs w:val="21"/>
          <w:highlight w:val="none"/>
        </w:rPr>
        <w:br w:type="page"/>
      </w:r>
    </w:p>
    <w:p w14:paraId="33404363">
      <w:pPr>
        <w:pStyle w:val="168"/>
        <w:snapToGrid w:val="0"/>
        <w:spacing w:before="0" w:after="0" w:line="360" w:lineRule="auto"/>
        <w:ind w:left="426" w:hanging="458" w:hangingChars="152"/>
        <w:outlineLvl w:val="2"/>
        <w:rPr>
          <w:rFonts w:hint="eastAsia" w:ascii="宋体" w:hAnsi="宋体" w:cs="宋体"/>
          <w:color w:val="auto"/>
          <w:spacing w:val="10"/>
          <w:szCs w:val="24"/>
          <w:highlight w:val="none"/>
        </w:rPr>
      </w:pPr>
      <w:bookmarkStart w:id="82" w:name="_Toc6339"/>
      <w:r>
        <w:rPr>
          <w:rFonts w:hint="eastAsia" w:ascii="宋体" w:hAnsi="宋体" w:cs="宋体"/>
          <w:color w:val="auto"/>
          <w:spacing w:val="10"/>
          <w:szCs w:val="24"/>
          <w:highlight w:val="none"/>
        </w:rPr>
        <w:t>六、企业其他信誉情况表</w:t>
      </w:r>
      <w:bookmarkEnd w:id="82"/>
    </w:p>
    <w:p w14:paraId="782B46A0">
      <w:pPr>
        <w:widowControl/>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企业目前没有处于被停产停业、暂扣或吊销许可证、暂扣或吊销执照的；未进入清算程序、财产被接管或破产状态，投标资格被暂停或取消，无国家禁止市场准入等情形或其他丧失履约能力的情形；在最近三年内没有骗取中标行为（自行提供承诺，格式自拟）。</w:t>
      </w:r>
    </w:p>
    <w:p w14:paraId="794AAFD0">
      <w:pPr>
        <w:widowControl/>
        <w:ind w:firstLine="480"/>
        <w:jc w:val="left"/>
        <w:rPr>
          <w:rFonts w:hint="eastAsia" w:ascii="宋体" w:hAnsi="宋体" w:cs="宋体"/>
          <w:color w:val="auto"/>
          <w:kern w:val="0"/>
          <w:sz w:val="24"/>
          <w:highlight w:val="none"/>
        </w:rPr>
      </w:pPr>
    </w:p>
    <w:p w14:paraId="69679630">
      <w:pPr>
        <w:pStyle w:val="18"/>
        <w:spacing w:line="500" w:lineRule="exact"/>
        <w:ind w:firstLine="424" w:firstLineChars="177"/>
        <w:jc w:val="left"/>
        <w:rPr>
          <w:rFonts w:hint="eastAsia" w:hAnsi="宋体" w:cs="宋体"/>
          <w:color w:val="auto"/>
          <w:sz w:val="32"/>
          <w:szCs w:val="22"/>
          <w:highlight w:val="none"/>
        </w:rPr>
      </w:pPr>
      <w:r>
        <w:rPr>
          <w:rFonts w:hint="eastAsia" w:hAnsi="宋体" w:cs="宋体"/>
          <w:color w:val="auto"/>
          <w:sz w:val="24"/>
          <w:highlight w:val="none"/>
        </w:rPr>
        <w:br w:type="page"/>
      </w:r>
    </w:p>
    <w:p w14:paraId="576C4E87">
      <w:pPr>
        <w:pStyle w:val="168"/>
        <w:snapToGrid w:val="0"/>
        <w:spacing w:before="0" w:after="0" w:line="480" w:lineRule="auto"/>
        <w:ind w:left="342" w:hanging="367" w:hangingChars="122"/>
        <w:outlineLvl w:val="2"/>
        <w:rPr>
          <w:rFonts w:hint="eastAsia" w:ascii="宋体" w:hAnsi="宋体" w:cs="宋体"/>
          <w:color w:val="auto"/>
          <w:spacing w:val="10"/>
          <w:szCs w:val="24"/>
          <w:highlight w:val="none"/>
        </w:rPr>
      </w:pPr>
      <w:bookmarkStart w:id="83" w:name="_Toc18196"/>
      <w:r>
        <w:rPr>
          <w:rFonts w:hint="eastAsia" w:ascii="宋体" w:hAnsi="宋体" w:cs="宋体"/>
          <w:color w:val="auto"/>
          <w:spacing w:val="10"/>
          <w:szCs w:val="24"/>
          <w:highlight w:val="none"/>
        </w:rPr>
        <w:t>七、投标保证金缴纳凭证</w:t>
      </w:r>
      <w:bookmarkEnd w:id="83"/>
    </w:p>
    <w:p w14:paraId="787D6ED9">
      <w:pPr>
        <w:pStyle w:val="171"/>
        <w:ind w:firstLine="480"/>
        <w:rPr>
          <w:rFonts w:hint="eastAsia" w:cs="宋体"/>
          <w:color w:val="auto"/>
          <w:sz w:val="24"/>
          <w:szCs w:val="24"/>
          <w:highlight w:val="none"/>
        </w:rPr>
      </w:pPr>
      <w:r>
        <w:rPr>
          <w:rFonts w:hint="eastAsia" w:cs="宋体"/>
          <w:color w:val="auto"/>
          <w:sz w:val="24"/>
          <w:szCs w:val="24"/>
          <w:highlight w:val="none"/>
        </w:rPr>
        <w:t>___________________________（招标人名称）：</w:t>
      </w:r>
    </w:p>
    <w:p w14:paraId="0928EA77">
      <w:pPr>
        <w:pStyle w:val="110"/>
        <w:ind w:firstLine="480"/>
        <w:rPr>
          <w:rFonts w:hint="eastAsia" w:cs="宋体"/>
          <w:color w:val="auto"/>
          <w:sz w:val="24"/>
          <w:szCs w:val="24"/>
          <w:highlight w:val="none"/>
        </w:rPr>
      </w:pPr>
      <w:r>
        <w:rPr>
          <w:rFonts w:hint="eastAsia" w:cs="宋体"/>
          <w:color w:val="auto"/>
          <w:sz w:val="24"/>
          <w:szCs w:val="24"/>
          <w:highlight w:val="none"/>
        </w:rPr>
        <w:t>本投标人自愿参加______________________（项目名称）</w:t>
      </w:r>
      <w:r>
        <w:rPr>
          <w:rFonts w:hint="eastAsia" w:cs="宋体"/>
          <w:color w:val="auto"/>
          <w:sz w:val="24"/>
          <w:szCs w:val="24"/>
          <w:highlight w:val="none"/>
          <w:u w:val="single"/>
        </w:rPr>
        <w:t xml:space="preserve">      </w:t>
      </w:r>
      <w:r>
        <w:rPr>
          <w:rFonts w:hint="eastAsia" w:cs="宋体"/>
          <w:color w:val="auto"/>
          <w:sz w:val="24"/>
          <w:szCs w:val="24"/>
          <w:highlight w:val="none"/>
        </w:rPr>
        <w:t>（标段名称）的投标，并按招标文件要求缴纳投标保证金，金额为人民币（大写：________元，￥____________）。</w:t>
      </w:r>
    </w:p>
    <w:p w14:paraId="3912CF68">
      <w:pPr>
        <w:pStyle w:val="110"/>
        <w:ind w:firstLine="480"/>
        <w:rPr>
          <w:rFonts w:hint="eastAsia" w:cs="宋体"/>
          <w:color w:val="auto"/>
          <w:sz w:val="24"/>
          <w:szCs w:val="24"/>
          <w:highlight w:val="none"/>
        </w:rPr>
      </w:pPr>
      <w:r>
        <w:rPr>
          <w:rFonts w:hint="eastAsia" w:cs="宋体"/>
          <w:color w:val="auto"/>
          <w:sz w:val="24"/>
          <w:szCs w:val="24"/>
          <w:highlight w:val="none"/>
        </w:rPr>
        <w:t> </w:t>
      </w:r>
    </w:p>
    <w:p w14:paraId="122EAC60">
      <w:pPr>
        <w:pStyle w:val="110"/>
        <w:ind w:firstLine="480"/>
        <w:rPr>
          <w:rFonts w:hint="eastAsia" w:cs="宋体"/>
          <w:color w:val="auto"/>
          <w:sz w:val="24"/>
          <w:szCs w:val="24"/>
          <w:highlight w:val="none"/>
        </w:rPr>
      </w:pPr>
      <w:r>
        <w:rPr>
          <w:rFonts w:hint="eastAsia" w:cs="宋体"/>
          <w:color w:val="auto"/>
          <w:sz w:val="24"/>
          <w:szCs w:val="24"/>
          <w:highlight w:val="none"/>
        </w:rPr>
        <w:t xml:space="preserve">附：转账凭证或保函等证明材料 </w:t>
      </w:r>
    </w:p>
    <w:p w14:paraId="217086BB">
      <w:pPr>
        <w:pStyle w:val="110"/>
        <w:ind w:firstLine="480"/>
        <w:rPr>
          <w:rFonts w:hint="eastAsia" w:cs="宋体"/>
          <w:color w:val="auto"/>
          <w:sz w:val="24"/>
          <w:szCs w:val="24"/>
          <w:highlight w:val="none"/>
        </w:rPr>
      </w:pPr>
      <w:r>
        <w:rPr>
          <w:rFonts w:hint="eastAsia" w:cs="宋体"/>
          <w:color w:val="auto"/>
          <w:sz w:val="24"/>
          <w:szCs w:val="24"/>
          <w:highlight w:val="none"/>
        </w:rPr>
        <w:t> </w:t>
      </w:r>
    </w:p>
    <w:p w14:paraId="3BE27D91">
      <w:pPr>
        <w:pStyle w:val="134"/>
        <w:spacing w:line="480" w:lineRule="auto"/>
        <w:ind w:firstLine="480"/>
        <w:rPr>
          <w:rFonts w:hint="eastAsia" w:cs="宋体"/>
          <w:color w:val="auto"/>
          <w:sz w:val="24"/>
          <w:szCs w:val="24"/>
          <w:highlight w:val="none"/>
        </w:rPr>
      </w:pPr>
      <w:r>
        <w:rPr>
          <w:rFonts w:hint="eastAsia" w:cs="宋体"/>
          <w:color w:val="auto"/>
          <w:sz w:val="24"/>
          <w:szCs w:val="24"/>
          <w:highlight w:val="none"/>
        </w:rPr>
        <w:t>投标人：___________（电子签章）</w:t>
      </w:r>
    </w:p>
    <w:p w14:paraId="44CDAEDE">
      <w:pPr>
        <w:pStyle w:val="134"/>
        <w:spacing w:line="480" w:lineRule="auto"/>
        <w:ind w:firstLine="480"/>
        <w:rPr>
          <w:rFonts w:hint="eastAsia" w:cs="宋体"/>
          <w:color w:val="auto"/>
          <w:sz w:val="24"/>
          <w:szCs w:val="24"/>
          <w:highlight w:val="none"/>
        </w:rPr>
      </w:pPr>
      <w:r>
        <w:rPr>
          <w:rFonts w:hint="eastAsia" w:cs="宋体"/>
          <w:color w:val="auto"/>
          <w:sz w:val="24"/>
          <w:szCs w:val="24"/>
          <w:highlight w:val="none"/>
        </w:rPr>
        <w:t>法定代表人：_________（电子签章）</w:t>
      </w:r>
    </w:p>
    <w:p w14:paraId="68CB069E">
      <w:pPr>
        <w:pStyle w:val="178"/>
        <w:spacing w:line="480" w:lineRule="auto"/>
        <w:ind w:firstLine="480"/>
        <w:rPr>
          <w:rFonts w:hint="eastAsia" w:cs="宋体"/>
          <w:color w:val="auto"/>
          <w:sz w:val="24"/>
          <w:szCs w:val="24"/>
          <w:highlight w:val="none"/>
        </w:rPr>
      </w:pPr>
      <w:r>
        <w:rPr>
          <w:rFonts w:hint="eastAsia" w:cs="宋体"/>
          <w:color w:val="auto"/>
          <w:sz w:val="24"/>
          <w:szCs w:val="24"/>
          <w:highlight w:val="none"/>
        </w:rPr>
        <w:t>________年_____月______日</w:t>
      </w:r>
    </w:p>
    <w:p w14:paraId="6A79CBE3">
      <w:pPr>
        <w:pStyle w:val="168"/>
        <w:snapToGrid w:val="0"/>
        <w:spacing w:before="0" w:after="0" w:line="480" w:lineRule="auto"/>
        <w:ind w:left="342" w:hanging="367" w:hangingChars="122"/>
        <w:outlineLvl w:val="2"/>
        <w:rPr>
          <w:rFonts w:hint="eastAsia" w:ascii="宋体" w:hAnsi="宋体" w:cs="宋体"/>
          <w:color w:val="auto"/>
          <w:spacing w:val="10"/>
          <w:szCs w:val="24"/>
          <w:highlight w:val="none"/>
        </w:rPr>
      </w:pPr>
      <w:r>
        <w:rPr>
          <w:rFonts w:hint="eastAsia" w:ascii="宋体" w:hAnsi="宋体" w:cs="宋体"/>
          <w:color w:val="auto"/>
          <w:spacing w:val="10"/>
          <w:szCs w:val="24"/>
          <w:highlight w:val="none"/>
        </w:rPr>
        <w:br w:type="page"/>
      </w:r>
      <w:bookmarkStart w:id="84" w:name="_Toc15429"/>
      <w:r>
        <w:rPr>
          <w:rFonts w:hint="eastAsia" w:ascii="宋体" w:hAnsi="宋体" w:cs="宋体"/>
          <w:color w:val="auto"/>
          <w:highlight w:val="none"/>
        </w:rPr>
        <w:t>八</w:t>
      </w:r>
      <w:r>
        <w:rPr>
          <w:rFonts w:hint="eastAsia" w:ascii="宋体" w:hAnsi="宋体" w:cs="宋体"/>
          <w:color w:val="auto"/>
          <w:spacing w:val="10"/>
          <w:szCs w:val="24"/>
          <w:highlight w:val="none"/>
        </w:rPr>
        <w:t>、投标人资格要求规定提交的相关证明文件</w:t>
      </w:r>
      <w:bookmarkEnd w:id="84"/>
    </w:p>
    <w:p w14:paraId="450A2ED9">
      <w:pPr>
        <w:pStyle w:val="18"/>
        <w:spacing w:line="480" w:lineRule="auto"/>
        <w:ind w:firstLine="480"/>
        <w:rPr>
          <w:rFonts w:hint="eastAsia" w:hAnsi="宋体" w:cs="宋体"/>
          <w:color w:val="auto"/>
          <w:sz w:val="24"/>
          <w:szCs w:val="24"/>
          <w:highlight w:val="none"/>
        </w:rPr>
      </w:pPr>
      <w:r>
        <w:rPr>
          <w:rFonts w:hint="eastAsia" w:hAnsi="宋体" w:cs="宋体"/>
          <w:color w:val="auto"/>
          <w:sz w:val="24"/>
          <w:szCs w:val="24"/>
          <w:highlight w:val="none"/>
        </w:rPr>
        <w:t>1、投标人企业简介；</w:t>
      </w:r>
    </w:p>
    <w:p w14:paraId="34D9BCB5">
      <w:pPr>
        <w:pStyle w:val="18"/>
        <w:spacing w:line="480" w:lineRule="auto"/>
        <w:ind w:firstLine="480"/>
        <w:rPr>
          <w:rFonts w:hAnsi="宋体" w:cs="宋体"/>
          <w:color w:val="auto"/>
          <w:sz w:val="24"/>
          <w:szCs w:val="24"/>
          <w:highlight w:val="none"/>
        </w:rPr>
      </w:pPr>
      <w:r>
        <w:rPr>
          <w:rFonts w:hint="eastAsia" w:hAnsi="宋体" w:cs="宋体"/>
          <w:color w:val="auto"/>
          <w:sz w:val="24"/>
          <w:szCs w:val="24"/>
          <w:highlight w:val="none"/>
        </w:rPr>
        <w:t>2、投标人所投车型生产制造商具有生产专用客车的主体资格，所投车辆能办理道路运输经营资质许可证，提供书面承诺(书面承诺中须载明违约责任)。</w:t>
      </w:r>
    </w:p>
    <w:p w14:paraId="37BEF9C3">
      <w:pPr>
        <w:pStyle w:val="18"/>
        <w:spacing w:line="480" w:lineRule="auto"/>
        <w:ind w:firstLine="480"/>
        <w:rPr>
          <w:rFonts w:hint="eastAsia" w:hAnsi="宋体" w:cs="宋体"/>
          <w:color w:val="auto"/>
          <w:sz w:val="24"/>
          <w:szCs w:val="24"/>
          <w:highlight w:val="none"/>
        </w:rPr>
      </w:pPr>
      <w:r>
        <w:rPr>
          <w:rFonts w:hint="eastAsia" w:hAnsi="宋体" w:cs="宋体"/>
          <w:color w:val="auto"/>
          <w:sz w:val="24"/>
          <w:szCs w:val="24"/>
          <w:highlight w:val="none"/>
        </w:rPr>
        <w:t>3、投标人认为为本项目提供的有利证明材料。</w:t>
      </w:r>
    </w:p>
    <w:p w14:paraId="4EED2F7C">
      <w:pPr>
        <w:pStyle w:val="18"/>
        <w:spacing w:line="480" w:lineRule="auto"/>
        <w:ind w:firstLine="480"/>
        <w:rPr>
          <w:rFonts w:hint="eastAsia" w:hAnsi="宋体" w:cs="宋体"/>
          <w:color w:val="auto"/>
          <w:sz w:val="24"/>
          <w:szCs w:val="24"/>
          <w:highlight w:val="none"/>
        </w:rPr>
      </w:pPr>
    </w:p>
    <w:p w14:paraId="2972D0F2">
      <w:pPr>
        <w:pStyle w:val="18"/>
        <w:spacing w:line="480" w:lineRule="auto"/>
        <w:ind w:firstLine="480"/>
        <w:rPr>
          <w:rFonts w:hint="eastAsia" w:hAnsi="宋体" w:cs="宋体"/>
          <w:color w:val="auto"/>
          <w:sz w:val="24"/>
          <w:szCs w:val="24"/>
          <w:highlight w:val="none"/>
        </w:rPr>
      </w:pPr>
      <w:r>
        <w:rPr>
          <w:rFonts w:hint="eastAsia" w:hAnsi="宋体" w:cs="宋体"/>
          <w:color w:val="auto"/>
          <w:sz w:val="24"/>
          <w:szCs w:val="24"/>
          <w:highlight w:val="none"/>
        </w:rPr>
        <w:t>参照第三章要求提供证明材料</w:t>
      </w:r>
    </w:p>
    <w:p w14:paraId="78109858">
      <w:pPr>
        <w:pStyle w:val="18"/>
        <w:spacing w:line="480" w:lineRule="auto"/>
        <w:ind w:firstLine="480"/>
        <w:rPr>
          <w:rFonts w:hint="eastAsia" w:hAnsi="宋体" w:cs="宋体"/>
          <w:color w:val="auto"/>
          <w:sz w:val="24"/>
          <w:szCs w:val="24"/>
          <w:highlight w:val="none"/>
        </w:rPr>
      </w:pPr>
    </w:p>
    <w:p w14:paraId="49FE7D81">
      <w:pPr>
        <w:pStyle w:val="18"/>
        <w:spacing w:line="480" w:lineRule="auto"/>
        <w:ind w:firstLine="480"/>
        <w:rPr>
          <w:rFonts w:hint="eastAsia" w:hAnsi="宋体" w:cs="宋体"/>
          <w:color w:val="auto"/>
          <w:sz w:val="24"/>
          <w:szCs w:val="24"/>
          <w:highlight w:val="none"/>
        </w:rPr>
      </w:pPr>
    </w:p>
    <w:p w14:paraId="644B5F06">
      <w:pPr>
        <w:pStyle w:val="18"/>
        <w:spacing w:line="480" w:lineRule="auto"/>
        <w:ind w:firstLine="480"/>
        <w:rPr>
          <w:rFonts w:hint="eastAsia" w:hAnsi="宋体" w:cs="宋体"/>
          <w:color w:val="auto"/>
          <w:sz w:val="24"/>
          <w:szCs w:val="24"/>
          <w:highlight w:val="none"/>
        </w:rPr>
      </w:pPr>
    </w:p>
    <w:p w14:paraId="7F54A6D5">
      <w:pPr>
        <w:pStyle w:val="18"/>
        <w:spacing w:line="480" w:lineRule="auto"/>
        <w:ind w:firstLine="480"/>
        <w:rPr>
          <w:rFonts w:hint="eastAsia" w:hAnsi="宋体" w:cs="宋体"/>
          <w:color w:val="auto"/>
          <w:sz w:val="24"/>
          <w:szCs w:val="24"/>
          <w:highlight w:val="none"/>
        </w:rPr>
      </w:pPr>
    </w:p>
    <w:p w14:paraId="789BEE72">
      <w:pPr>
        <w:pStyle w:val="18"/>
        <w:spacing w:line="480" w:lineRule="auto"/>
        <w:ind w:firstLine="480"/>
        <w:rPr>
          <w:rFonts w:hint="eastAsia" w:hAnsi="宋体" w:cs="宋体"/>
          <w:color w:val="auto"/>
          <w:sz w:val="24"/>
          <w:szCs w:val="24"/>
          <w:highlight w:val="none"/>
        </w:rPr>
      </w:pPr>
    </w:p>
    <w:p w14:paraId="37FB35B8">
      <w:pPr>
        <w:pStyle w:val="18"/>
        <w:rPr>
          <w:rFonts w:hint="eastAsia" w:hAnsi="宋体" w:cs="宋体"/>
          <w:color w:val="auto"/>
          <w:szCs w:val="21"/>
          <w:highlight w:val="none"/>
        </w:rPr>
      </w:pPr>
    </w:p>
    <w:p w14:paraId="1434E828">
      <w:pPr>
        <w:pStyle w:val="18"/>
        <w:ind w:firstLine="480"/>
        <w:rPr>
          <w:rFonts w:hint="eastAsia" w:hAnsi="宋体" w:cs="宋体"/>
          <w:color w:val="auto"/>
          <w:sz w:val="24"/>
          <w:szCs w:val="24"/>
          <w:highlight w:val="none"/>
        </w:rPr>
      </w:pPr>
    </w:p>
    <w:p w14:paraId="4E32DE34">
      <w:pPr>
        <w:pStyle w:val="18"/>
        <w:ind w:firstLine="480"/>
        <w:rPr>
          <w:rFonts w:hint="eastAsia" w:hAnsi="宋体" w:cs="宋体"/>
          <w:color w:val="auto"/>
          <w:sz w:val="24"/>
          <w:szCs w:val="24"/>
          <w:highlight w:val="none"/>
        </w:rPr>
      </w:pPr>
    </w:p>
    <w:p w14:paraId="779202B0">
      <w:pPr>
        <w:pStyle w:val="18"/>
        <w:ind w:firstLine="480"/>
        <w:rPr>
          <w:rFonts w:hint="eastAsia" w:hAnsi="宋体" w:cs="宋体"/>
          <w:color w:val="auto"/>
          <w:sz w:val="24"/>
          <w:szCs w:val="24"/>
          <w:highlight w:val="none"/>
        </w:rPr>
      </w:pPr>
    </w:p>
    <w:p w14:paraId="14420219">
      <w:pPr>
        <w:pStyle w:val="18"/>
        <w:ind w:firstLine="480"/>
        <w:rPr>
          <w:rFonts w:hint="eastAsia" w:hAnsi="宋体" w:cs="宋体"/>
          <w:color w:val="auto"/>
          <w:sz w:val="24"/>
          <w:szCs w:val="24"/>
          <w:highlight w:val="none"/>
        </w:rPr>
      </w:pPr>
    </w:p>
    <w:p w14:paraId="3910C744">
      <w:pPr>
        <w:pStyle w:val="18"/>
        <w:ind w:firstLine="480"/>
        <w:rPr>
          <w:rFonts w:hint="eastAsia" w:hAnsi="宋体" w:cs="宋体"/>
          <w:color w:val="auto"/>
          <w:sz w:val="24"/>
          <w:szCs w:val="24"/>
          <w:highlight w:val="none"/>
        </w:rPr>
      </w:pPr>
    </w:p>
    <w:p w14:paraId="2100248E">
      <w:pPr>
        <w:pStyle w:val="18"/>
        <w:ind w:firstLine="480"/>
        <w:rPr>
          <w:rFonts w:hint="eastAsia" w:hAnsi="宋体" w:cs="宋体"/>
          <w:color w:val="auto"/>
          <w:sz w:val="24"/>
          <w:szCs w:val="24"/>
          <w:highlight w:val="none"/>
        </w:rPr>
      </w:pPr>
    </w:p>
    <w:p w14:paraId="58389425">
      <w:pPr>
        <w:pStyle w:val="18"/>
        <w:ind w:firstLine="480"/>
        <w:rPr>
          <w:rFonts w:hint="eastAsia" w:hAnsi="宋体" w:cs="宋体"/>
          <w:color w:val="auto"/>
          <w:kern w:val="0"/>
          <w:sz w:val="24"/>
          <w:szCs w:val="24"/>
          <w:highlight w:val="none"/>
        </w:rPr>
      </w:pPr>
    </w:p>
    <w:p w14:paraId="52FDC586">
      <w:pPr>
        <w:pStyle w:val="18"/>
        <w:ind w:firstLine="0" w:firstLineChars="0"/>
        <w:rPr>
          <w:rFonts w:hint="eastAsia" w:hAnsi="宋体" w:cs="宋体"/>
          <w:color w:val="auto"/>
          <w:sz w:val="24"/>
          <w:szCs w:val="24"/>
          <w:highlight w:val="none"/>
        </w:rPr>
      </w:pPr>
    </w:p>
    <w:p w14:paraId="7F4EAB0D">
      <w:pPr>
        <w:pStyle w:val="130"/>
        <w:ind w:firstLine="0" w:firstLineChars="0"/>
        <w:rPr>
          <w:rStyle w:val="37"/>
          <w:rFonts w:hint="eastAsia" w:ascii="宋体" w:eastAsia="宋体" w:cs="宋体"/>
          <w:color w:val="auto"/>
          <w:highlight w:val="none"/>
        </w:rPr>
      </w:pPr>
    </w:p>
    <w:p w14:paraId="28708434">
      <w:pPr>
        <w:pStyle w:val="130"/>
        <w:ind w:firstLine="0" w:firstLineChars="0"/>
        <w:rPr>
          <w:rStyle w:val="37"/>
          <w:rFonts w:hint="eastAsia" w:ascii="宋体" w:eastAsia="宋体" w:cs="宋体"/>
          <w:color w:val="auto"/>
          <w:highlight w:val="none"/>
        </w:rPr>
      </w:pPr>
    </w:p>
    <w:p w14:paraId="719AAEA9">
      <w:pPr>
        <w:pStyle w:val="130"/>
        <w:ind w:firstLine="0" w:firstLineChars="0"/>
        <w:rPr>
          <w:rStyle w:val="37"/>
          <w:rFonts w:hint="eastAsia" w:ascii="宋体" w:eastAsia="宋体" w:cs="宋体"/>
          <w:color w:val="auto"/>
          <w:highlight w:val="none"/>
        </w:rPr>
      </w:pPr>
    </w:p>
    <w:p w14:paraId="5FF3F97E">
      <w:pPr>
        <w:pStyle w:val="4"/>
        <w:spacing w:before="240"/>
        <w:ind w:firstLine="720"/>
        <w:jc w:val="center"/>
        <w:rPr>
          <w:rFonts w:hint="eastAsia"/>
          <w:b w:val="0"/>
          <w:color w:val="000000"/>
          <w:szCs w:val="28"/>
        </w:rPr>
      </w:pPr>
      <w:bookmarkStart w:id="85" w:name="_Toc533406978"/>
      <w:bookmarkStart w:id="86" w:name="_Toc21613294"/>
      <w:r>
        <w:rPr>
          <w:rFonts w:hint="eastAsia"/>
          <w:b w:val="0"/>
          <w:color w:val="000000"/>
          <w:szCs w:val="28"/>
          <w:lang w:val="en-US" w:eastAsia="zh-CN"/>
        </w:rPr>
        <w:t>九</w:t>
      </w:r>
      <w:r>
        <w:rPr>
          <w:rFonts w:hint="eastAsia"/>
          <w:b w:val="0"/>
          <w:color w:val="000000"/>
          <w:szCs w:val="28"/>
        </w:rPr>
        <w:t>、</w:t>
      </w:r>
      <w:r>
        <w:rPr>
          <w:b w:val="0"/>
          <w:color w:val="000000"/>
          <w:szCs w:val="28"/>
        </w:rPr>
        <w:t>制造商授权书</w:t>
      </w:r>
      <w:bookmarkEnd w:id="85"/>
      <w:bookmarkEnd w:id="86"/>
    </w:p>
    <w:p w14:paraId="392D3FC5">
      <w:pPr>
        <w:pStyle w:val="18"/>
        <w:spacing w:line="500" w:lineRule="exact"/>
        <w:ind w:left="368" w:leftChars="175" w:firstLine="480"/>
        <w:jc w:val="center"/>
        <w:rPr>
          <w:rFonts w:hint="eastAsia" w:hAnsi="宋体" w:cs="宋体"/>
          <w:bCs/>
          <w:color w:val="000000"/>
          <w:sz w:val="24"/>
        </w:rPr>
      </w:pPr>
      <w:r>
        <w:rPr>
          <w:rFonts w:hint="eastAsia" w:hAnsi="宋体" w:cs="宋体"/>
          <w:bCs/>
          <w:color w:val="000000"/>
          <w:sz w:val="24"/>
        </w:rPr>
        <w:t>制造商出具的授权函</w:t>
      </w:r>
    </w:p>
    <w:p w14:paraId="60BEC644">
      <w:pPr>
        <w:pStyle w:val="18"/>
        <w:spacing w:line="500" w:lineRule="exact"/>
        <w:ind w:left="368" w:leftChars="175" w:firstLine="422"/>
        <w:jc w:val="center"/>
        <w:rPr>
          <w:rFonts w:hint="eastAsia" w:hAnsi="宋体" w:cs="宋体"/>
          <w:b/>
          <w:color w:val="000000"/>
          <w:szCs w:val="21"/>
        </w:rPr>
      </w:pPr>
      <w:r>
        <w:rPr>
          <w:rFonts w:hint="eastAsia" w:hAnsi="宋体" w:cs="宋体"/>
          <w:b/>
          <w:color w:val="000000"/>
          <w:szCs w:val="21"/>
        </w:rPr>
        <w:t>（经销商须提供制造商针对所投产品的授权书，制造商作为投标人则不需填写和提交，以下格式仅供参考）</w:t>
      </w:r>
    </w:p>
    <w:p w14:paraId="100B9F1C">
      <w:pPr>
        <w:pStyle w:val="18"/>
        <w:spacing w:line="500" w:lineRule="exact"/>
        <w:ind w:left="368" w:leftChars="175"/>
        <w:rPr>
          <w:rFonts w:hint="eastAsia" w:hAnsi="宋体" w:cs="宋体"/>
          <w:color w:val="000000"/>
          <w:sz w:val="24"/>
          <w:szCs w:val="24"/>
        </w:rPr>
      </w:pPr>
      <w:r>
        <w:rPr>
          <w:rFonts w:hint="eastAsia" w:hAnsi="宋体" w:cs="宋体"/>
          <w:color w:val="000000"/>
          <w:sz w:val="24"/>
          <w:szCs w:val="24"/>
        </w:rPr>
        <w:t>致：</w:t>
      </w:r>
      <w:r>
        <w:rPr>
          <w:rFonts w:hint="eastAsia" w:hAnsi="宋体" w:cs="宋体"/>
          <w:color w:val="000000"/>
          <w:sz w:val="24"/>
          <w:szCs w:val="24"/>
          <w:u w:val="single"/>
        </w:rPr>
        <w:t xml:space="preserve">                       </w:t>
      </w:r>
    </w:p>
    <w:p w14:paraId="6012482E">
      <w:pPr>
        <w:pStyle w:val="18"/>
        <w:spacing w:line="500" w:lineRule="exact"/>
        <w:ind w:left="368" w:leftChars="175"/>
        <w:rPr>
          <w:rFonts w:hint="eastAsia" w:hAnsi="宋体" w:cs="宋体"/>
          <w:color w:val="000000"/>
          <w:sz w:val="24"/>
          <w:szCs w:val="24"/>
        </w:rPr>
      </w:pPr>
      <w:r>
        <w:rPr>
          <w:rFonts w:hint="eastAsia" w:hAnsi="宋体" w:cs="宋体"/>
          <w:color w:val="000000"/>
          <w:sz w:val="24"/>
          <w:szCs w:val="24"/>
        </w:rPr>
        <w:t xml:space="preserve">    我们</w:t>
      </w:r>
      <w:r>
        <w:rPr>
          <w:rFonts w:hint="eastAsia" w:hAnsi="宋体" w:cs="宋体"/>
          <w:iCs/>
          <w:color w:val="000000"/>
          <w:sz w:val="24"/>
          <w:szCs w:val="24"/>
          <w:u w:val="single"/>
        </w:rPr>
        <w:t>（制造商名称）</w:t>
      </w:r>
      <w:r>
        <w:rPr>
          <w:rFonts w:hint="eastAsia" w:hAnsi="宋体" w:cs="宋体"/>
          <w:color w:val="000000"/>
          <w:sz w:val="24"/>
          <w:szCs w:val="24"/>
        </w:rPr>
        <w:t>是按</w:t>
      </w:r>
      <w:r>
        <w:rPr>
          <w:rFonts w:hint="eastAsia" w:hAnsi="宋体" w:cs="宋体"/>
          <w:iCs/>
          <w:color w:val="000000"/>
          <w:sz w:val="24"/>
          <w:szCs w:val="24"/>
          <w:u w:val="single"/>
        </w:rPr>
        <w:t>（国家名称）</w:t>
      </w:r>
      <w:r>
        <w:rPr>
          <w:rFonts w:hint="eastAsia" w:hAnsi="宋体" w:cs="宋体"/>
          <w:color w:val="000000"/>
          <w:sz w:val="24"/>
          <w:szCs w:val="24"/>
        </w:rPr>
        <w:t>法律成立的一家制造商，主要营业地点设在</w:t>
      </w:r>
      <w:r>
        <w:rPr>
          <w:rFonts w:hint="eastAsia" w:hAnsi="宋体" w:cs="宋体"/>
          <w:iCs/>
          <w:color w:val="000000"/>
          <w:sz w:val="24"/>
          <w:szCs w:val="24"/>
          <w:u w:val="single"/>
        </w:rPr>
        <w:t>（制造商地址）</w:t>
      </w:r>
      <w:r>
        <w:rPr>
          <w:rFonts w:hint="eastAsia" w:hAnsi="宋体" w:cs="宋体"/>
          <w:color w:val="000000"/>
          <w:sz w:val="24"/>
          <w:szCs w:val="24"/>
        </w:rPr>
        <w:t>。兹指派按</w:t>
      </w:r>
      <w:r>
        <w:rPr>
          <w:rFonts w:hint="eastAsia" w:hAnsi="宋体" w:cs="宋体"/>
          <w:iCs/>
          <w:color w:val="000000"/>
          <w:sz w:val="24"/>
          <w:szCs w:val="24"/>
        </w:rPr>
        <w:t>中华人民共和国</w:t>
      </w:r>
      <w:r>
        <w:rPr>
          <w:rFonts w:hint="eastAsia" w:hAnsi="宋体" w:cs="宋体"/>
          <w:color w:val="000000"/>
          <w:sz w:val="24"/>
          <w:szCs w:val="24"/>
        </w:rPr>
        <w:t>的法律正式成立的，主要营业地点设在</w:t>
      </w:r>
      <w:r>
        <w:rPr>
          <w:rFonts w:hint="eastAsia" w:hAnsi="宋体" w:cs="宋体"/>
          <w:iCs/>
          <w:color w:val="000000"/>
          <w:sz w:val="24"/>
          <w:szCs w:val="24"/>
          <w:u w:val="single"/>
        </w:rPr>
        <w:t>（贸易公司地址）</w:t>
      </w:r>
      <w:r>
        <w:rPr>
          <w:rFonts w:hint="eastAsia" w:hAnsi="宋体" w:cs="宋体"/>
          <w:color w:val="000000"/>
          <w:sz w:val="24"/>
          <w:szCs w:val="24"/>
        </w:rPr>
        <w:t>的</w:t>
      </w:r>
      <w:r>
        <w:rPr>
          <w:rFonts w:hint="eastAsia" w:hAnsi="宋体" w:cs="宋体"/>
          <w:iCs/>
          <w:color w:val="000000"/>
          <w:sz w:val="24"/>
          <w:szCs w:val="24"/>
          <w:u w:val="single"/>
        </w:rPr>
        <w:t>（贸易公司名称）</w:t>
      </w:r>
      <w:r>
        <w:rPr>
          <w:rFonts w:hint="eastAsia" w:hAnsi="宋体" w:cs="宋体"/>
          <w:color w:val="000000"/>
          <w:sz w:val="24"/>
          <w:szCs w:val="24"/>
        </w:rPr>
        <w:t>作为我方真正的和合法的代理人进行下列有效的活动：</w:t>
      </w:r>
    </w:p>
    <w:p w14:paraId="05C1F45C">
      <w:pPr>
        <w:pStyle w:val="18"/>
        <w:numPr>
          <w:ilvl w:val="0"/>
          <w:numId w:val="3"/>
        </w:numPr>
        <w:spacing w:line="500" w:lineRule="exact"/>
        <w:ind w:left="368" w:leftChars="175" w:firstLineChars="0"/>
        <w:rPr>
          <w:rFonts w:hint="eastAsia" w:hAnsi="宋体" w:cs="宋体"/>
          <w:color w:val="000000"/>
          <w:sz w:val="24"/>
          <w:szCs w:val="24"/>
        </w:rPr>
      </w:pPr>
      <w:r>
        <w:rPr>
          <w:rFonts w:hint="eastAsia" w:hAnsi="宋体" w:cs="宋体"/>
          <w:color w:val="000000"/>
          <w:sz w:val="24"/>
          <w:szCs w:val="24"/>
        </w:rPr>
        <w:t>代表我方办理贵方</w:t>
      </w:r>
      <w:r>
        <w:rPr>
          <w:rFonts w:hint="eastAsia" w:hAnsi="宋体" w:cs="宋体"/>
          <w:color w:val="000000"/>
          <w:sz w:val="24"/>
          <w:szCs w:val="24"/>
          <w:u w:val="single"/>
        </w:rPr>
        <w:t>（项目名称）</w:t>
      </w:r>
      <w:r>
        <w:rPr>
          <w:rFonts w:hint="eastAsia" w:hAnsi="宋体" w:cs="宋体"/>
          <w:color w:val="000000"/>
          <w:sz w:val="24"/>
          <w:szCs w:val="24"/>
        </w:rPr>
        <w:t>投标邀请要求提供的由我方制造的货物的有关事宜，并对我方具有约束力。</w:t>
      </w:r>
    </w:p>
    <w:p w14:paraId="2778E914">
      <w:pPr>
        <w:pStyle w:val="18"/>
        <w:numPr>
          <w:ilvl w:val="0"/>
          <w:numId w:val="3"/>
        </w:numPr>
        <w:spacing w:line="500" w:lineRule="exact"/>
        <w:ind w:left="368" w:leftChars="175" w:firstLineChars="0"/>
        <w:rPr>
          <w:rFonts w:hint="eastAsia" w:hAnsi="宋体" w:cs="宋体"/>
          <w:color w:val="000000"/>
          <w:sz w:val="24"/>
          <w:szCs w:val="24"/>
        </w:rPr>
      </w:pPr>
      <w:r>
        <w:rPr>
          <w:rFonts w:hint="eastAsia" w:hAnsi="宋体" w:cs="宋体"/>
          <w:color w:val="000000"/>
          <w:sz w:val="24"/>
          <w:szCs w:val="24"/>
        </w:rPr>
        <w:t>作为制造商，我方保证以投标合作者来约束自己，并对该投标共同和分别承担招标文件中所规定的义务。</w:t>
      </w:r>
    </w:p>
    <w:p w14:paraId="1948BE11">
      <w:pPr>
        <w:pStyle w:val="18"/>
        <w:numPr>
          <w:ilvl w:val="0"/>
          <w:numId w:val="3"/>
        </w:numPr>
        <w:spacing w:line="500" w:lineRule="exact"/>
        <w:ind w:left="368" w:leftChars="175" w:firstLineChars="0"/>
        <w:rPr>
          <w:rFonts w:hint="eastAsia" w:hAnsi="宋体" w:cs="宋体"/>
          <w:color w:val="000000"/>
          <w:sz w:val="24"/>
          <w:szCs w:val="24"/>
        </w:rPr>
      </w:pPr>
      <w:r>
        <w:rPr>
          <w:rFonts w:hint="eastAsia" w:hAnsi="宋体" w:cs="宋体"/>
          <w:color w:val="000000"/>
          <w:sz w:val="24"/>
          <w:szCs w:val="24"/>
        </w:rPr>
        <w:t>我方兹授予</w:t>
      </w:r>
      <w:r>
        <w:rPr>
          <w:rFonts w:hint="eastAsia" w:hAnsi="宋体" w:cs="宋体"/>
          <w:i/>
          <w:iCs/>
          <w:color w:val="000000"/>
          <w:sz w:val="24"/>
          <w:szCs w:val="24"/>
          <w:u w:val="single"/>
        </w:rPr>
        <w:t>（贸易公司名称）</w:t>
      </w:r>
      <w:r>
        <w:rPr>
          <w:rFonts w:hint="eastAsia" w:hAnsi="宋体" w:cs="宋体"/>
          <w:color w:val="000000"/>
          <w:sz w:val="24"/>
          <w:szCs w:val="24"/>
        </w:rPr>
        <w:t>全权办理和履行上述我方为完成上述各点所必须的事宜，具有替换或</w:t>
      </w:r>
      <w:r>
        <w:rPr>
          <w:rFonts w:hint="eastAsia" w:hAnsi="宋体" w:cs="宋体"/>
          <w:color w:val="000000"/>
          <w:sz w:val="24"/>
          <w:szCs w:val="24"/>
          <w:lang w:eastAsia="zh-CN"/>
        </w:rPr>
        <w:t>撤销的</w:t>
      </w:r>
      <w:r>
        <w:rPr>
          <w:rFonts w:hint="eastAsia" w:hAnsi="宋体" w:cs="宋体"/>
          <w:color w:val="000000"/>
          <w:sz w:val="24"/>
          <w:szCs w:val="24"/>
        </w:rPr>
        <w:t>全权。兹确认</w:t>
      </w:r>
      <w:r>
        <w:rPr>
          <w:rFonts w:hint="eastAsia" w:hAnsi="宋体" w:cs="宋体"/>
          <w:i/>
          <w:iCs/>
          <w:color w:val="000000"/>
          <w:sz w:val="24"/>
          <w:szCs w:val="24"/>
          <w:u w:val="single"/>
        </w:rPr>
        <w:t>（贸易公司名称）</w:t>
      </w:r>
      <w:r>
        <w:rPr>
          <w:rFonts w:hint="eastAsia" w:hAnsi="宋体" w:cs="宋体"/>
          <w:color w:val="000000"/>
          <w:sz w:val="24"/>
          <w:szCs w:val="24"/>
        </w:rPr>
        <w:t>或其正式授权代表依此合法地办理一切事宜。</w:t>
      </w:r>
    </w:p>
    <w:p w14:paraId="31C1115E">
      <w:pPr>
        <w:pStyle w:val="18"/>
        <w:spacing w:line="500" w:lineRule="exact"/>
        <w:ind w:left="368" w:leftChars="175"/>
        <w:rPr>
          <w:rFonts w:hint="eastAsia" w:hAnsi="宋体" w:cs="宋体"/>
          <w:color w:val="000000"/>
          <w:sz w:val="24"/>
          <w:szCs w:val="24"/>
        </w:rPr>
      </w:pPr>
      <w:r>
        <w:rPr>
          <w:rFonts w:hint="eastAsia" w:hAnsi="宋体" w:cs="宋体"/>
          <w:color w:val="000000"/>
          <w:sz w:val="24"/>
          <w:szCs w:val="24"/>
        </w:rPr>
        <w:t>我方于</w:t>
      </w:r>
      <w:r>
        <w:rPr>
          <w:rFonts w:hint="eastAsia" w:hAnsi="宋体" w:cs="宋体"/>
          <w:color w:val="000000"/>
          <w:sz w:val="24"/>
          <w:szCs w:val="24"/>
          <w:u w:val="single"/>
        </w:rPr>
        <w:tab/>
      </w:r>
      <w:r>
        <w:rPr>
          <w:rFonts w:hint="eastAsia" w:hAnsi="宋体" w:cs="宋体"/>
          <w:color w:val="000000"/>
          <w:sz w:val="24"/>
          <w:szCs w:val="24"/>
          <w:u w:val="single"/>
        </w:rPr>
        <w:tab/>
      </w:r>
      <w:r>
        <w:rPr>
          <w:rFonts w:hint="eastAsia" w:hAnsi="宋体" w:cs="宋体"/>
          <w:color w:val="000000"/>
          <w:sz w:val="24"/>
          <w:szCs w:val="24"/>
          <w:u w:val="single"/>
        </w:rPr>
        <w:tab/>
      </w:r>
      <w:r>
        <w:rPr>
          <w:rFonts w:hint="eastAsia" w:hAnsi="宋体" w:cs="宋体"/>
          <w:color w:val="000000"/>
          <w:sz w:val="24"/>
          <w:szCs w:val="24"/>
        </w:rPr>
        <w:t>年</w:t>
      </w:r>
      <w:r>
        <w:rPr>
          <w:rFonts w:hint="eastAsia" w:hAnsi="宋体" w:cs="宋体"/>
          <w:color w:val="000000"/>
          <w:sz w:val="24"/>
          <w:szCs w:val="24"/>
          <w:u w:val="single"/>
        </w:rPr>
        <w:tab/>
      </w:r>
      <w:r>
        <w:rPr>
          <w:rFonts w:hint="eastAsia" w:hAnsi="宋体" w:cs="宋体"/>
          <w:color w:val="000000"/>
          <w:sz w:val="24"/>
          <w:szCs w:val="24"/>
          <w:u w:val="single"/>
        </w:rPr>
        <w:tab/>
      </w:r>
      <w:r>
        <w:rPr>
          <w:rFonts w:hint="eastAsia" w:hAnsi="宋体" w:cs="宋体"/>
          <w:color w:val="000000"/>
          <w:sz w:val="24"/>
          <w:szCs w:val="24"/>
        </w:rPr>
        <w:t>月</w:t>
      </w:r>
      <w:r>
        <w:rPr>
          <w:rFonts w:hint="eastAsia" w:hAnsi="宋体" w:cs="宋体"/>
          <w:color w:val="000000"/>
          <w:sz w:val="24"/>
          <w:szCs w:val="24"/>
          <w:u w:val="single"/>
        </w:rPr>
        <w:tab/>
      </w:r>
      <w:r>
        <w:rPr>
          <w:rFonts w:hint="eastAsia" w:hAnsi="宋体" w:cs="宋体"/>
          <w:color w:val="000000"/>
          <w:sz w:val="24"/>
          <w:szCs w:val="24"/>
          <w:u w:val="single"/>
        </w:rPr>
        <w:tab/>
      </w:r>
      <w:r>
        <w:rPr>
          <w:rFonts w:hint="eastAsia" w:hAnsi="宋体" w:cs="宋体"/>
          <w:color w:val="000000"/>
          <w:sz w:val="24"/>
          <w:szCs w:val="24"/>
        </w:rPr>
        <w:t>日签署本文件，</w:t>
      </w:r>
      <w:r>
        <w:rPr>
          <w:rFonts w:hint="eastAsia" w:hAnsi="宋体" w:cs="宋体"/>
          <w:color w:val="000000"/>
          <w:sz w:val="24"/>
          <w:szCs w:val="24"/>
          <w:u w:val="single"/>
        </w:rPr>
        <w:t>（贸易公司名称）</w:t>
      </w:r>
      <w:r>
        <w:rPr>
          <w:rFonts w:hint="eastAsia" w:hAnsi="宋体" w:cs="宋体"/>
          <w:color w:val="000000"/>
          <w:sz w:val="24"/>
          <w:szCs w:val="24"/>
        </w:rPr>
        <w:t>于</w:t>
      </w:r>
      <w:r>
        <w:rPr>
          <w:rFonts w:hint="eastAsia" w:hAnsi="宋体" w:cs="宋体"/>
          <w:color w:val="000000"/>
          <w:sz w:val="24"/>
          <w:szCs w:val="24"/>
          <w:u w:val="single"/>
        </w:rPr>
        <w:tab/>
      </w:r>
      <w:r>
        <w:rPr>
          <w:rFonts w:hint="eastAsia" w:hAnsi="宋体" w:cs="宋体"/>
          <w:color w:val="000000"/>
          <w:sz w:val="24"/>
          <w:szCs w:val="24"/>
          <w:u w:val="single"/>
        </w:rPr>
        <w:tab/>
      </w:r>
      <w:r>
        <w:rPr>
          <w:rFonts w:hint="eastAsia" w:hAnsi="宋体" w:cs="宋体"/>
          <w:color w:val="000000"/>
          <w:sz w:val="24"/>
          <w:szCs w:val="24"/>
        </w:rPr>
        <w:t>年</w:t>
      </w:r>
      <w:r>
        <w:rPr>
          <w:rFonts w:hint="eastAsia" w:hAnsi="宋体" w:cs="宋体"/>
          <w:color w:val="000000"/>
          <w:sz w:val="24"/>
          <w:szCs w:val="24"/>
          <w:u w:val="single"/>
        </w:rPr>
        <w:tab/>
      </w:r>
      <w:r>
        <w:rPr>
          <w:rFonts w:hint="eastAsia" w:hAnsi="宋体" w:cs="宋体"/>
          <w:color w:val="000000"/>
          <w:sz w:val="24"/>
          <w:szCs w:val="24"/>
          <w:u w:val="single"/>
        </w:rPr>
        <w:tab/>
      </w:r>
      <w:r>
        <w:rPr>
          <w:rFonts w:hint="eastAsia" w:hAnsi="宋体" w:cs="宋体"/>
          <w:color w:val="000000"/>
          <w:sz w:val="24"/>
          <w:szCs w:val="24"/>
        </w:rPr>
        <w:t>月</w:t>
      </w:r>
      <w:r>
        <w:rPr>
          <w:rFonts w:hint="eastAsia" w:hAnsi="宋体" w:cs="宋体"/>
          <w:color w:val="000000"/>
          <w:sz w:val="24"/>
          <w:szCs w:val="24"/>
          <w:u w:val="single"/>
        </w:rPr>
        <w:tab/>
      </w:r>
      <w:r>
        <w:rPr>
          <w:rFonts w:hint="eastAsia" w:hAnsi="宋体" w:cs="宋体"/>
          <w:color w:val="000000"/>
          <w:sz w:val="24"/>
          <w:szCs w:val="24"/>
          <w:u w:val="single"/>
        </w:rPr>
        <w:tab/>
      </w:r>
      <w:r>
        <w:rPr>
          <w:rFonts w:hint="eastAsia" w:hAnsi="宋体" w:cs="宋体"/>
          <w:color w:val="000000"/>
          <w:sz w:val="24"/>
          <w:szCs w:val="24"/>
        </w:rPr>
        <w:t>日接受此件，以此为证。</w:t>
      </w:r>
    </w:p>
    <w:p w14:paraId="23C06AD1">
      <w:pPr>
        <w:pStyle w:val="18"/>
        <w:spacing w:line="500" w:lineRule="exact"/>
        <w:ind w:left="368" w:leftChars="175"/>
        <w:rPr>
          <w:rFonts w:hint="eastAsia" w:hAnsi="宋体" w:cs="宋体"/>
          <w:color w:val="000000"/>
          <w:sz w:val="24"/>
          <w:szCs w:val="24"/>
        </w:rPr>
      </w:pPr>
    </w:p>
    <w:p w14:paraId="035F775A">
      <w:pPr>
        <w:jc w:val="left"/>
        <w:rPr>
          <w:rFonts w:hint="eastAsia"/>
          <w:color w:val="000000"/>
          <w:sz w:val="24"/>
          <w:szCs w:val="24"/>
        </w:rPr>
      </w:pPr>
      <w:r>
        <w:rPr>
          <w:rFonts w:hint="eastAsia" w:hAnsi="宋体" w:cs="宋体"/>
          <w:color w:val="000000"/>
          <w:sz w:val="24"/>
          <w:szCs w:val="24"/>
        </w:rPr>
        <w:t>贸易公司名称</w:t>
      </w:r>
      <w:r>
        <w:rPr>
          <w:rFonts w:hint="eastAsia" w:hAnsi="宋体" w:cs="宋体"/>
          <w:color w:val="000000"/>
          <w:sz w:val="24"/>
          <w:szCs w:val="24"/>
          <w:u w:val="single"/>
        </w:rPr>
        <w:t xml:space="preserve">       </w:t>
      </w:r>
      <w:r>
        <w:rPr>
          <w:rFonts w:hint="eastAsia" w:ascii="宋体" w:hAnsi="宋体" w:cs="宋体"/>
          <w:color w:val="000000"/>
          <w:sz w:val="24"/>
          <w:szCs w:val="24"/>
          <w:u w:val="single"/>
        </w:rPr>
        <w:t xml:space="preserve"> </w:t>
      </w:r>
      <w:r>
        <w:rPr>
          <w:rStyle w:val="195"/>
          <w:rFonts w:ascii="宋体" w:hAnsi="宋体"/>
          <w:color w:val="000000"/>
          <w:sz w:val="24"/>
          <w:szCs w:val="24"/>
          <w:u w:val="single"/>
        </w:rPr>
        <w:t>（盖单位章）</w:t>
      </w:r>
      <w:r>
        <w:rPr>
          <w:rFonts w:hint="eastAsia" w:ascii="宋体" w:hAnsi="宋体" w:cs="宋体"/>
          <w:color w:val="000000"/>
          <w:sz w:val="24"/>
          <w:szCs w:val="24"/>
          <w:u w:val="single"/>
        </w:rPr>
        <w:t xml:space="preserve">       </w:t>
      </w:r>
      <w:r>
        <w:rPr>
          <w:rFonts w:hint="eastAsia" w:hAnsi="宋体" w:cs="宋体"/>
          <w:color w:val="000000"/>
          <w:sz w:val="24"/>
          <w:szCs w:val="24"/>
          <w:u w:val="single"/>
        </w:rPr>
        <w:t xml:space="preserve">   </w:t>
      </w:r>
      <w:r>
        <w:rPr>
          <w:rFonts w:hint="eastAsia" w:hAnsi="宋体" w:cs="宋体"/>
          <w:color w:val="000000"/>
          <w:sz w:val="24"/>
          <w:szCs w:val="24"/>
        </w:rPr>
        <w:t xml:space="preserve">    制造商名称</w:t>
      </w:r>
      <w:r>
        <w:rPr>
          <w:rFonts w:hint="eastAsia" w:hAnsi="宋体" w:cs="宋体"/>
          <w:color w:val="000000"/>
          <w:sz w:val="24"/>
          <w:szCs w:val="24"/>
          <w:u w:val="single"/>
        </w:rPr>
        <w:tab/>
      </w:r>
      <w:r>
        <w:rPr>
          <w:rFonts w:hint="eastAsia" w:hAnsi="宋体" w:cs="宋体"/>
          <w:color w:val="000000"/>
          <w:sz w:val="24"/>
          <w:szCs w:val="24"/>
          <w:u w:val="single"/>
        </w:rPr>
        <w:tab/>
      </w:r>
      <w:r>
        <w:rPr>
          <w:rFonts w:hint="eastAsia" w:hAnsi="宋体" w:cs="宋体"/>
          <w:color w:val="000000"/>
          <w:sz w:val="24"/>
          <w:szCs w:val="24"/>
          <w:u w:val="single"/>
        </w:rPr>
        <w:t xml:space="preserve"> </w:t>
      </w:r>
      <w:r>
        <w:rPr>
          <w:rFonts w:hint="eastAsia" w:ascii="宋体" w:hAnsi="宋体" w:cs="宋体"/>
          <w:color w:val="000000"/>
          <w:sz w:val="24"/>
          <w:szCs w:val="24"/>
          <w:u w:val="single"/>
        </w:rPr>
        <w:t xml:space="preserve"> </w:t>
      </w:r>
      <w:r>
        <w:rPr>
          <w:rStyle w:val="195"/>
          <w:rFonts w:ascii="宋体" w:hAnsi="宋体"/>
          <w:color w:val="000000"/>
          <w:sz w:val="24"/>
          <w:szCs w:val="24"/>
          <w:u w:val="single"/>
        </w:rPr>
        <w:t>（盖单位章）</w:t>
      </w:r>
      <w:r>
        <w:rPr>
          <w:rFonts w:hint="eastAsia" w:ascii="宋体" w:hAnsi="宋体" w:cs="宋体"/>
          <w:color w:val="000000"/>
          <w:sz w:val="24"/>
          <w:szCs w:val="24"/>
          <w:u w:val="single"/>
        </w:rPr>
        <w:t xml:space="preserve">   </w:t>
      </w:r>
      <w:r>
        <w:rPr>
          <w:rFonts w:hint="eastAsia" w:hAnsi="宋体" w:cs="宋体"/>
          <w:color w:val="000000"/>
          <w:sz w:val="24"/>
          <w:szCs w:val="24"/>
          <w:u w:val="single"/>
        </w:rPr>
        <w:tab/>
      </w:r>
    </w:p>
    <w:p w14:paraId="090BC34D">
      <w:pPr>
        <w:pStyle w:val="18"/>
        <w:spacing w:line="500" w:lineRule="exact"/>
        <w:ind w:left="368" w:leftChars="175"/>
        <w:rPr>
          <w:rFonts w:hint="eastAsia" w:hAnsi="宋体" w:cs="宋体"/>
          <w:color w:val="000000"/>
          <w:sz w:val="24"/>
          <w:szCs w:val="24"/>
          <w:u w:val="single"/>
        </w:rPr>
      </w:pPr>
      <w:r>
        <w:rPr>
          <w:rFonts w:hint="eastAsia" w:hAnsi="宋体" w:cs="宋体"/>
          <w:color w:val="000000"/>
          <w:sz w:val="24"/>
          <w:szCs w:val="24"/>
        </w:rPr>
        <w:t>签字人职务和部门</w:t>
      </w:r>
      <w:r>
        <w:rPr>
          <w:rFonts w:hint="eastAsia" w:hAnsi="宋体" w:cs="宋体"/>
          <w:color w:val="000000"/>
          <w:sz w:val="24"/>
          <w:szCs w:val="24"/>
          <w:u w:val="single"/>
        </w:rPr>
        <w:t xml:space="preserve">              </w:t>
      </w:r>
      <w:r>
        <w:rPr>
          <w:rFonts w:hint="eastAsia" w:hAnsi="宋体" w:cs="宋体"/>
          <w:color w:val="000000"/>
          <w:sz w:val="24"/>
          <w:szCs w:val="24"/>
        </w:rPr>
        <w:t xml:space="preserve">        签字人职务和部门</w:t>
      </w:r>
      <w:r>
        <w:rPr>
          <w:rFonts w:hint="eastAsia" w:hAnsi="宋体" w:cs="宋体"/>
          <w:color w:val="000000"/>
          <w:sz w:val="24"/>
          <w:szCs w:val="24"/>
          <w:u w:val="single"/>
        </w:rPr>
        <w:tab/>
      </w:r>
      <w:r>
        <w:rPr>
          <w:rFonts w:hint="eastAsia" w:hAnsi="宋体" w:cs="宋体"/>
          <w:color w:val="000000"/>
          <w:sz w:val="24"/>
          <w:szCs w:val="24"/>
          <w:u w:val="single"/>
        </w:rPr>
        <w:tab/>
      </w:r>
      <w:r>
        <w:rPr>
          <w:rFonts w:hint="eastAsia" w:hAnsi="宋体" w:cs="宋体"/>
          <w:color w:val="000000"/>
          <w:sz w:val="24"/>
          <w:szCs w:val="24"/>
          <w:u w:val="single"/>
        </w:rPr>
        <w:tab/>
      </w:r>
    </w:p>
    <w:p w14:paraId="5030EE79">
      <w:pPr>
        <w:pStyle w:val="18"/>
        <w:spacing w:line="500" w:lineRule="exact"/>
        <w:ind w:left="368" w:leftChars="175"/>
        <w:rPr>
          <w:rFonts w:hint="eastAsia" w:hAnsi="宋体" w:cs="宋体"/>
          <w:color w:val="000000"/>
          <w:sz w:val="24"/>
          <w:szCs w:val="24"/>
          <w:u w:val="single"/>
        </w:rPr>
      </w:pPr>
      <w:r>
        <w:rPr>
          <w:rFonts w:hint="eastAsia" w:hAnsi="宋体" w:cs="宋体"/>
          <w:color w:val="000000"/>
          <w:sz w:val="24"/>
          <w:szCs w:val="24"/>
        </w:rPr>
        <w:t>签字人姓名</w:t>
      </w:r>
      <w:r>
        <w:rPr>
          <w:rFonts w:hint="eastAsia" w:hAnsi="宋体" w:cs="宋体"/>
          <w:color w:val="000000"/>
          <w:sz w:val="24"/>
          <w:szCs w:val="24"/>
          <w:u w:val="single"/>
        </w:rPr>
        <w:t xml:space="preserve">                    </w:t>
      </w:r>
      <w:r>
        <w:rPr>
          <w:rFonts w:hint="eastAsia" w:hAnsi="宋体" w:cs="宋体"/>
          <w:color w:val="000000"/>
          <w:sz w:val="24"/>
          <w:szCs w:val="24"/>
        </w:rPr>
        <w:t xml:space="preserve">        签字人姓名</w:t>
      </w:r>
      <w:r>
        <w:rPr>
          <w:rFonts w:hint="eastAsia" w:hAnsi="宋体" w:cs="宋体"/>
          <w:color w:val="000000"/>
          <w:sz w:val="24"/>
          <w:szCs w:val="24"/>
          <w:u w:val="single"/>
        </w:rPr>
        <w:tab/>
      </w:r>
      <w:r>
        <w:rPr>
          <w:rFonts w:hint="eastAsia" w:hAnsi="宋体" w:cs="宋体"/>
          <w:color w:val="000000"/>
          <w:sz w:val="24"/>
          <w:szCs w:val="24"/>
          <w:u w:val="single"/>
        </w:rPr>
        <w:tab/>
      </w:r>
      <w:r>
        <w:rPr>
          <w:rFonts w:hint="eastAsia" w:hAnsi="宋体" w:cs="宋体"/>
          <w:color w:val="000000"/>
          <w:sz w:val="24"/>
          <w:szCs w:val="24"/>
          <w:u w:val="single"/>
        </w:rPr>
        <w:tab/>
      </w:r>
      <w:r>
        <w:rPr>
          <w:rFonts w:hint="eastAsia" w:hAnsi="宋体" w:cs="宋体"/>
          <w:color w:val="000000"/>
          <w:sz w:val="24"/>
          <w:szCs w:val="24"/>
          <w:u w:val="single"/>
        </w:rPr>
        <w:tab/>
      </w:r>
      <w:r>
        <w:rPr>
          <w:rFonts w:hint="eastAsia" w:hAnsi="宋体" w:cs="宋体"/>
          <w:color w:val="000000"/>
          <w:sz w:val="24"/>
          <w:szCs w:val="24"/>
          <w:u w:val="single"/>
        </w:rPr>
        <w:tab/>
      </w:r>
    </w:p>
    <w:p w14:paraId="00D352B2">
      <w:pPr>
        <w:pStyle w:val="18"/>
        <w:spacing w:line="500" w:lineRule="exact"/>
        <w:ind w:left="368" w:leftChars="175"/>
        <w:rPr>
          <w:rFonts w:hint="eastAsia" w:hAnsi="宋体" w:cs="宋体"/>
          <w:color w:val="000000"/>
          <w:sz w:val="24"/>
          <w:szCs w:val="24"/>
          <w:u w:val="single"/>
        </w:rPr>
      </w:pPr>
      <w:r>
        <w:rPr>
          <w:rFonts w:hint="eastAsia" w:hAnsi="宋体" w:cs="宋体"/>
          <w:color w:val="000000"/>
          <w:sz w:val="24"/>
          <w:szCs w:val="24"/>
        </w:rPr>
        <w:t>签字人签名</w:t>
      </w:r>
      <w:r>
        <w:rPr>
          <w:rFonts w:hint="eastAsia" w:hAnsi="宋体" w:cs="宋体"/>
          <w:color w:val="000000"/>
          <w:sz w:val="24"/>
          <w:szCs w:val="24"/>
          <w:u w:val="single"/>
        </w:rPr>
        <w:t xml:space="preserve">         (签字)     </w:t>
      </w:r>
      <w:r>
        <w:rPr>
          <w:rFonts w:hint="eastAsia" w:hAnsi="宋体" w:cs="宋体"/>
          <w:color w:val="000000"/>
          <w:sz w:val="24"/>
          <w:szCs w:val="24"/>
        </w:rPr>
        <w:t xml:space="preserve">        签字人签名</w:t>
      </w:r>
      <w:r>
        <w:rPr>
          <w:rFonts w:hint="eastAsia" w:hAnsi="宋体" w:cs="宋体"/>
          <w:color w:val="000000"/>
          <w:sz w:val="24"/>
          <w:szCs w:val="24"/>
          <w:u w:val="single"/>
        </w:rPr>
        <w:tab/>
      </w:r>
      <w:r>
        <w:rPr>
          <w:rFonts w:hint="eastAsia" w:hAnsi="宋体" w:cs="宋体"/>
          <w:color w:val="000000"/>
          <w:sz w:val="24"/>
          <w:szCs w:val="24"/>
          <w:u w:val="single"/>
        </w:rPr>
        <w:tab/>
      </w:r>
      <w:r>
        <w:rPr>
          <w:rFonts w:hint="eastAsia" w:hAnsi="宋体" w:cs="宋体"/>
          <w:color w:val="000000"/>
          <w:sz w:val="24"/>
          <w:szCs w:val="24"/>
          <w:u w:val="single"/>
        </w:rPr>
        <w:t>(签字)</w:t>
      </w:r>
      <w:r>
        <w:rPr>
          <w:rFonts w:hint="eastAsia" w:hAnsi="宋体" w:cs="宋体"/>
          <w:color w:val="000000"/>
          <w:sz w:val="24"/>
          <w:szCs w:val="24"/>
          <w:u w:val="single"/>
        </w:rPr>
        <w:tab/>
      </w:r>
      <w:r>
        <w:rPr>
          <w:rFonts w:hint="eastAsia" w:hAnsi="宋体" w:cs="宋体"/>
          <w:color w:val="000000"/>
          <w:sz w:val="24"/>
          <w:szCs w:val="24"/>
          <w:u w:val="single"/>
        </w:rPr>
        <w:tab/>
      </w:r>
    </w:p>
    <w:p w14:paraId="6E1880A4">
      <w:pPr>
        <w:pStyle w:val="130"/>
        <w:ind w:firstLine="0" w:firstLineChars="0"/>
        <w:jc w:val="both"/>
        <w:rPr>
          <w:rStyle w:val="37"/>
          <w:rFonts w:hint="eastAsia" w:ascii="宋体" w:eastAsia="宋体" w:cs="宋体"/>
          <w:color w:val="auto"/>
          <w:sz w:val="24"/>
          <w:szCs w:val="24"/>
          <w:highlight w:val="none"/>
        </w:rPr>
      </w:pPr>
      <w:r>
        <w:rPr>
          <w:rStyle w:val="37"/>
          <w:rFonts w:hint="eastAsia" w:ascii="宋体" w:eastAsia="宋体" w:cs="宋体"/>
          <w:color w:val="auto"/>
          <w:sz w:val="24"/>
          <w:szCs w:val="24"/>
          <w:highlight w:val="none"/>
        </w:rPr>
        <w:br w:type="page"/>
      </w:r>
    </w:p>
    <w:p w14:paraId="311C5E8C">
      <w:pPr>
        <w:pStyle w:val="168"/>
        <w:snapToGrid w:val="0"/>
        <w:spacing w:before="0" w:after="0" w:line="480" w:lineRule="auto"/>
        <w:ind w:left="342" w:hanging="367" w:hangingChars="122"/>
        <w:outlineLvl w:val="1"/>
        <w:rPr>
          <w:rFonts w:hint="eastAsia" w:ascii="宋体" w:hAnsi="宋体" w:cs="宋体"/>
          <w:color w:val="auto"/>
          <w:spacing w:val="10"/>
          <w:szCs w:val="24"/>
          <w:highlight w:val="none"/>
        </w:rPr>
      </w:pPr>
      <w:bookmarkStart w:id="87" w:name="_Toc27705"/>
      <w:bookmarkStart w:id="88" w:name="_Toc350671683"/>
      <w:bookmarkStart w:id="89" w:name="_Toc23201"/>
      <w:r>
        <w:rPr>
          <w:rFonts w:hint="eastAsia" w:ascii="宋体" w:hAnsi="宋体" w:cs="宋体"/>
          <w:color w:val="auto"/>
          <w:spacing w:val="10"/>
          <w:szCs w:val="24"/>
          <w:highlight w:val="none"/>
        </w:rPr>
        <w:t>商务标部分</w:t>
      </w:r>
      <w:bookmarkEnd w:id="87"/>
    </w:p>
    <w:p w14:paraId="58D8073D">
      <w:pPr>
        <w:pStyle w:val="168"/>
        <w:snapToGrid w:val="0"/>
        <w:spacing w:before="0" w:after="0" w:line="480" w:lineRule="auto"/>
        <w:ind w:left="342" w:hanging="367" w:hangingChars="122"/>
        <w:outlineLvl w:val="2"/>
        <w:rPr>
          <w:rFonts w:hint="eastAsia" w:ascii="宋体" w:hAnsi="宋体" w:cs="宋体"/>
          <w:color w:val="auto"/>
          <w:spacing w:val="10"/>
          <w:szCs w:val="24"/>
          <w:highlight w:val="none"/>
        </w:rPr>
      </w:pPr>
      <w:bookmarkStart w:id="90" w:name="_Toc15865"/>
      <w:bookmarkStart w:id="91" w:name="_Toc417634877"/>
      <w:bookmarkStart w:id="92" w:name="_Toc14896"/>
      <w:bookmarkStart w:id="93" w:name="_Toc31044"/>
      <w:bookmarkStart w:id="94" w:name="_Toc387152560"/>
      <w:r>
        <w:rPr>
          <w:rFonts w:hint="eastAsia" w:ascii="宋体" w:hAnsi="宋体" w:cs="宋体"/>
          <w:color w:val="auto"/>
          <w:spacing w:val="10"/>
          <w:szCs w:val="24"/>
          <w:highlight w:val="none"/>
        </w:rPr>
        <w:t>一、投标函</w:t>
      </w:r>
      <w:bookmarkEnd w:id="90"/>
      <w:bookmarkEnd w:id="91"/>
      <w:bookmarkEnd w:id="92"/>
      <w:bookmarkEnd w:id="93"/>
      <w:bookmarkEnd w:id="94"/>
    </w:p>
    <w:bookmarkEnd w:id="88"/>
    <w:bookmarkEnd w:id="89"/>
    <w:p w14:paraId="4F19293F">
      <w:pPr>
        <w:pStyle w:val="18"/>
        <w:ind w:firstLine="480"/>
        <w:rPr>
          <w:rFonts w:hint="eastAsia" w:hAnsi="宋体" w:cs="宋体"/>
          <w:color w:val="auto"/>
          <w:sz w:val="24"/>
          <w:szCs w:val="24"/>
          <w:highlight w:val="none"/>
          <w:u w:val="single"/>
        </w:rPr>
      </w:pPr>
      <w:r>
        <w:rPr>
          <w:rFonts w:hint="eastAsia" w:hAnsi="宋体" w:cs="宋体"/>
          <w:color w:val="auto"/>
          <w:sz w:val="24"/>
          <w:szCs w:val="24"/>
          <w:highlight w:val="none"/>
        </w:rPr>
        <w:t>致：</w:t>
      </w:r>
      <w:r>
        <w:rPr>
          <w:rFonts w:hint="eastAsia" w:hAnsi="宋体" w:cs="宋体"/>
          <w:color w:val="auto"/>
          <w:sz w:val="24"/>
          <w:szCs w:val="24"/>
          <w:highlight w:val="none"/>
          <w:u w:val="single"/>
        </w:rPr>
        <w:t>　　　　　　　　　（</w:t>
      </w:r>
      <w:r>
        <w:rPr>
          <w:rFonts w:hint="eastAsia" w:hAnsi="宋体" w:cs="宋体"/>
          <w:color w:val="auto"/>
          <w:sz w:val="24"/>
          <w:szCs w:val="24"/>
          <w:highlight w:val="none"/>
        </w:rPr>
        <w:t>招标人）</w:t>
      </w:r>
    </w:p>
    <w:p w14:paraId="475F8F8A">
      <w:pPr>
        <w:pStyle w:val="18"/>
        <w:ind w:firstLine="480"/>
        <w:rPr>
          <w:rFonts w:hint="eastAsia" w:hAnsi="宋体" w:cs="宋体"/>
          <w:color w:val="auto"/>
          <w:sz w:val="24"/>
          <w:szCs w:val="24"/>
          <w:highlight w:val="none"/>
        </w:rPr>
      </w:pPr>
      <w:r>
        <w:rPr>
          <w:rFonts w:hint="eastAsia" w:hAnsi="宋体" w:cs="宋体"/>
          <w:color w:val="auto"/>
          <w:sz w:val="24"/>
          <w:szCs w:val="24"/>
          <w:highlight w:val="none"/>
        </w:rPr>
        <w:t>根据贵方</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（项目名称）</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（标段名称），正式授权下述签字人</w:t>
      </w:r>
      <w:r>
        <w:rPr>
          <w:rFonts w:hint="eastAsia" w:hAnsi="宋体" w:cs="宋体"/>
          <w:color w:val="auto"/>
          <w:sz w:val="24"/>
          <w:szCs w:val="24"/>
          <w:highlight w:val="none"/>
          <w:u w:val="single"/>
        </w:rPr>
        <w:t xml:space="preserve">           （姓名和职务）</w:t>
      </w:r>
      <w:r>
        <w:rPr>
          <w:rFonts w:hint="eastAsia" w:hAnsi="宋体" w:cs="宋体"/>
          <w:color w:val="auto"/>
          <w:sz w:val="24"/>
          <w:szCs w:val="24"/>
          <w:highlight w:val="none"/>
        </w:rPr>
        <w:t>全权代表投标人</w:t>
      </w:r>
      <w:r>
        <w:rPr>
          <w:rFonts w:hint="eastAsia" w:hAnsi="宋体" w:cs="宋体"/>
          <w:color w:val="auto"/>
          <w:sz w:val="24"/>
          <w:szCs w:val="24"/>
          <w:highlight w:val="none"/>
          <w:u w:val="single"/>
        </w:rPr>
        <w:t xml:space="preserve">           （投标人全称）</w:t>
      </w:r>
      <w:r>
        <w:rPr>
          <w:rFonts w:hint="eastAsia" w:hAnsi="宋体" w:cs="宋体"/>
          <w:color w:val="auto"/>
          <w:sz w:val="24"/>
          <w:szCs w:val="24"/>
          <w:highlight w:val="none"/>
        </w:rPr>
        <w:t>参加贵方组织的有关招标活动，并提交下述文件。</w:t>
      </w:r>
    </w:p>
    <w:p w14:paraId="32555BBC">
      <w:pPr>
        <w:pStyle w:val="18"/>
        <w:ind w:firstLine="480"/>
        <w:rPr>
          <w:rFonts w:hint="eastAsia" w:hAnsi="宋体" w:cs="宋体"/>
          <w:color w:val="auto"/>
          <w:sz w:val="24"/>
          <w:szCs w:val="24"/>
          <w:highlight w:val="none"/>
        </w:rPr>
      </w:pPr>
      <w:r>
        <w:rPr>
          <w:rFonts w:hint="eastAsia" w:hAnsi="宋体" w:cs="宋体"/>
          <w:color w:val="auto"/>
          <w:sz w:val="24"/>
          <w:szCs w:val="24"/>
          <w:highlight w:val="none"/>
        </w:rPr>
        <w:t>据此函，签字人兹宣布同意如下：</w:t>
      </w:r>
    </w:p>
    <w:p w14:paraId="083080B1">
      <w:pPr>
        <w:pStyle w:val="18"/>
        <w:ind w:firstLine="480"/>
        <w:rPr>
          <w:rFonts w:hint="eastAsia" w:hAnsi="宋体" w:cs="宋体"/>
          <w:color w:val="auto"/>
          <w:sz w:val="24"/>
          <w:szCs w:val="24"/>
          <w:highlight w:val="none"/>
        </w:rPr>
      </w:pPr>
      <w:r>
        <w:rPr>
          <w:rFonts w:hint="eastAsia" w:hAnsi="宋体" w:cs="宋体"/>
          <w:color w:val="auto"/>
          <w:sz w:val="24"/>
          <w:szCs w:val="24"/>
          <w:highlight w:val="none"/>
        </w:rPr>
        <w:t>1、按招标文件投标报价：</w:t>
      </w:r>
    </w:p>
    <w:p w14:paraId="29F03DA1">
      <w:pPr>
        <w:ind w:firstLine="600" w:firstLineChars="25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车型</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，单价：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元/辆，送车费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元/辆，融资成本：</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元/辆，合价（单价+送车费+融资成本）: 大写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元/辆（小写</w:t>
      </w:r>
      <w:r>
        <w:rPr>
          <w:rFonts w:hint="eastAsia" w:ascii="宋体" w:hAnsi="宋体" w:cs="宋体"/>
          <w:color w:val="auto"/>
          <w:sz w:val="24"/>
          <w:szCs w:val="24"/>
          <w:highlight w:val="none"/>
          <w:u w:val="single"/>
        </w:rPr>
        <w:t xml:space="preserve">   元/辆  ）</w:t>
      </w:r>
      <w:r>
        <w:rPr>
          <w:rFonts w:hint="eastAsia" w:ascii="宋体" w:hAnsi="宋体" w:cs="宋体"/>
          <w:color w:val="auto"/>
          <w:sz w:val="24"/>
          <w:szCs w:val="24"/>
          <w:highlight w:val="none"/>
        </w:rPr>
        <w:t>；交货期：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；交货地点：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；质量承诺：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60C159B6">
      <w:pPr>
        <w:pStyle w:val="18"/>
        <w:ind w:firstLine="480"/>
        <w:rPr>
          <w:rFonts w:hint="eastAsia" w:hAnsi="宋体" w:cs="宋体"/>
          <w:color w:val="auto"/>
          <w:sz w:val="24"/>
          <w:szCs w:val="24"/>
          <w:highlight w:val="none"/>
        </w:rPr>
      </w:pPr>
      <w:r>
        <w:rPr>
          <w:rFonts w:hint="eastAsia" w:hAnsi="宋体" w:cs="宋体"/>
          <w:color w:val="auto"/>
          <w:sz w:val="24"/>
          <w:szCs w:val="24"/>
          <w:highlight w:val="none"/>
        </w:rPr>
        <w:t>2、我方同意在投标人须知规定的开标日期起遵循本投标文件，并在投标人须知第3.3.1条规定的投标文件有效期满之前均具有约束力。如果我方投标被接受，则至合同履行完、质保期满为止，本投标函保持有效。</w:t>
      </w:r>
    </w:p>
    <w:p w14:paraId="5F95DF4B">
      <w:pPr>
        <w:pStyle w:val="18"/>
        <w:ind w:firstLine="420" w:firstLineChars="175"/>
        <w:rPr>
          <w:rFonts w:hint="eastAsia" w:hAnsi="宋体" w:cs="宋体"/>
          <w:color w:val="auto"/>
          <w:sz w:val="24"/>
          <w:szCs w:val="24"/>
          <w:highlight w:val="none"/>
        </w:rPr>
      </w:pPr>
      <w:r>
        <w:rPr>
          <w:rFonts w:hint="eastAsia" w:hAnsi="宋体" w:cs="宋体"/>
          <w:color w:val="auto"/>
          <w:sz w:val="24"/>
          <w:szCs w:val="24"/>
          <w:highlight w:val="none"/>
        </w:rPr>
        <w:t>3、我方承诺已经具备《中华人民共和国招标投标法》中规定的参加招标活动的投标人应当具备的条件。</w:t>
      </w:r>
    </w:p>
    <w:p w14:paraId="71AC3F70">
      <w:pPr>
        <w:pStyle w:val="18"/>
        <w:ind w:firstLine="480"/>
        <w:rPr>
          <w:rFonts w:hint="eastAsia" w:hAnsi="宋体" w:cs="宋体"/>
          <w:color w:val="auto"/>
          <w:sz w:val="24"/>
          <w:szCs w:val="24"/>
          <w:highlight w:val="none"/>
        </w:rPr>
      </w:pPr>
      <w:r>
        <w:rPr>
          <w:rFonts w:hint="eastAsia" w:hAnsi="宋体" w:cs="宋体"/>
          <w:color w:val="auto"/>
          <w:sz w:val="24"/>
          <w:szCs w:val="24"/>
          <w:highlight w:val="none"/>
        </w:rPr>
        <w:t>4、如我方投标被接受，将保证忠实地执行买卖双方所签经济合同，在合同生效后</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日内完成交货，并承担合同规定的责任义务。</w:t>
      </w:r>
    </w:p>
    <w:p w14:paraId="0F610062">
      <w:pPr>
        <w:pStyle w:val="18"/>
        <w:ind w:firstLine="480"/>
        <w:rPr>
          <w:rFonts w:hint="eastAsia" w:hAnsi="宋体" w:cs="宋体"/>
          <w:color w:val="auto"/>
          <w:sz w:val="24"/>
          <w:szCs w:val="24"/>
          <w:highlight w:val="none"/>
        </w:rPr>
      </w:pPr>
      <w:r>
        <w:rPr>
          <w:rFonts w:hint="eastAsia" w:hAnsi="宋体" w:cs="宋体"/>
          <w:color w:val="auto"/>
          <w:sz w:val="24"/>
          <w:szCs w:val="24"/>
          <w:highlight w:val="none"/>
        </w:rPr>
        <w:t>5、我方已详细审核招标文件，我方知道必须放弃提出含糊不清或误解问题的权利。</w:t>
      </w:r>
    </w:p>
    <w:p w14:paraId="6076C6FC">
      <w:pPr>
        <w:pStyle w:val="18"/>
        <w:ind w:firstLine="480"/>
        <w:rPr>
          <w:rFonts w:hint="eastAsia" w:hAnsi="宋体" w:cs="宋体"/>
          <w:color w:val="auto"/>
          <w:sz w:val="24"/>
          <w:szCs w:val="24"/>
          <w:highlight w:val="none"/>
        </w:rPr>
      </w:pPr>
      <w:r>
        <w:rPr>
          <w:rFonts w:hint="eastAsia" w:hAnsi="宋体" w:cs="宋体"/>
          <w:color w:val="auto"/>
          <w:sz w:val="24"/>
          <w:szCs w:val="24"/>
          <w:highlight w:val="none"/>
        </w:rPr>
        <w:t>6、如果在投标文件有效期内撤回投标或者有其他违约行为，我方的投标保证金可被贵方全部或部分没收。</w:t>
      </w:r>
    </w:p>
    <w:p w14:paraId="0137E72D">
      <w:pPr>
        <w:pStyle w:val="18"/>
        <w:ind w:firstLine="480"/>
        <w:rPr>
          <w:rFonts w:hint="eastAsia" w:hAnsi="宋体" w:cs="宋体"/>
          <w:color w:val="auto"/>
          <w:sz w:val="24"/>
          <w:szCs w:val="24"/>
          <w:highlight w:val="none"/>
        </w:rPr>
      </w:pPr>
      <w:r>
        <w:rPr>
          <w:rFonts w:hint="eastAsia" w:hAnsi="宋体" w:cs="宋体"/>
          <w:color w:val="auto"/>
          <w:sz w:val="24"/>
          <w:szCs w:val="24"/>
          <w:highlight w:val="none"/>
        </w:rPr>
        <w:t>7、同意应贵方要求提供与本投标有关的任何数据或资料。</w:t>
      </w:r>
    </w:p>
    <w:p w14:paraId="65A3B259">
      <w:pPr>
        <w:pStyle w:val="18"/>
        <w:ind w:firstLine="480"/>
        <w:rPr>
          <w:rFonts w:hint="eastAsia" w:hAnsi="宋体" w:cs="宋体"/>
          <w:color w:val="auto"/>
          <w:sz w:val="24"/>
          <w:szCs w:val="24"/>
          <w:highlight w:val="none"/>
        </w:rPr>
      </w:pPr>
      <w:r>
        <w:rPr>
          <w:rFonts w:hint="eastAsia" w:hAnsi="宋体" w:cs="宋体"/>
          <w:color w:val="auto"/>
          <w:sz w:val="24"/>
          <w:szCs w:val="24"/>
          <w:highlight w:val="none"/>
        </w:rPr>
        <w:t>8、我方完全理解贵方不一定要接受最低报价的投标人为中标人的行为。</w:t>
      </w:r>
    </w:p>
    <w:p w14:paraId="6CD22C55">
      <w:pPr>
        <w:pStyle w:val="18"/>
        <w:ind w:firstLine="480"/>
        <w:rPr>
          <w:rFonts w:hint="eastAsia" w:hAnsi="宋体" w:cs="宋体"/>
          <w:color w:val="auto"/>
          <w:sz w:val="24"/>
          <w:szCs w:val="24"/>
          <w:highlight w:val="none"/>
        </w:rPr>
      </w:pPr>
      <w:r>
        <w:rPr>
          <w:rFonts w:hint="eastAsia" w:hAnsi="宋体" w:cs="宋体"/>
          <w:color w:val="auto"/>
          <w:sz w:val="24"/>
          <w:szCs w:val="24"/>
          <w:highlight w:val="none"/>
        </w:rPr>
        <w:t>9、若贵方需要，我方愿意提供我方作出的一切承诺的证明材料。</w:t>
      </w:r>
    </w:p>
    <w:p w14:paraId="2CA244E7">
      <w:pPr>
        <w:pStyle w:val="18"/>
        <w:ind w:firstLine="480"/>
        <w:rPr>
          <w:rFonts w:hint="eastAsia" w:hAnsi="宋体" w:cs="宋体"/>
          <w:color w:val="auto"/>
          <w:sz w:val="24"/>
          <w:szCs w:val="24"/>
          <w:highlight w:val="none"/>
        </w:rPr>
      </w:pPr>
      <w:r>
        <w:rPr>
          <w:rFonts w:hint="eastAsia" w:hAnsi="宋体" w:cs="宋体"/>
          <w:color w:val="auto"/>
          <w:sz w:val="24"/>
          <w:szCs w:val="24"/>
          <w:highlight w:val="none"/>
        </w:rPr>
        <w:t>10、我方将与本投标函一起，提交人民币</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万元作为投标保证金。</w:t>
      </w:r>
    </w:p>
    <w:p w14:paraId="3CAA04DC">
      <w:pPr>
        <w:pStyle w:val="18"/>
        <w:ind w:firstLine="480"/>
        <w:rPr>
          <w:rFonts w:hint="eastAsia" w:hAnsi="宋体" w:cs="宋体"/>
          <w:color w:val="auto"/>
          <w:sz w:val="24"/>
          <w:szCs w:val="24"/>
          <w:highlight w:val="none"/>
        </w:rPr>
      </w:pPr>
      <w:r>
        <w:rPr>
          <w:rFonts w:hint="eastAsia" w:hAnsi="宋体" w:cs="宋体"/>
          <w:color w:val="auto"/>
          <w:sz w:val="24"/>
          <w:szCs w:val="24"/>
          <w:highlight w:val="none"/>
        </w:rPr>
        <w:t>11、在此我方郑重承诺：我方将按业主的要求提供高质量的后续服务。</w:t>
      </w:r>
    </w:p>
    <w:p w14:paraId="5C6218FF">
      <w:pPr>
        <w:pStyle w:val="18"/>
        <w:ind w:firstLine="480"/>
        <w:rPr>
          <w:rFonts w:hint="eastAsia" w:hAnsi="宋体" w:cs="宋体"/>
          <w:color w:val="auto"/>
          <w:sz w:val="24"/>
          <w:szCs w:val="24"/>
          <w:highlight w:val="none"/>
        </w:rPr>
      </w:pPr>
      <w:r>
        <w:rPr>
          <w:rFonts w:hint="eastAsia" w:hAnsi="宋体" w:cs="宋体"/>
          <w:color w:val="auto"/>
          <w:sz w:val="24"/>
          <w:szCs w:val="24"/>
          <w:highlight w:val="none"/>
        </w:rPr>
        <w:t>12、我方在此声明，所递交的投标文件及有关资料内容完整、真实和准确，且不存在第二章“投标人须知”第 1.4.3 项规定的任何一种情形。</w:t>
      </w:r>
    </w:p>
    <w:p w14:paraId="03F2C810">
      <w:pPr>
        <w:pStyle w:val="18"/>
        <w:ind w:firstLine="480"/>
        <w:rPr>
          <w:rFonts w:hint="eastAsia" w:hAnsi="宋体" w:cs="宋体"/>
          <w:color w:val="auto"/>
          <w:sz w:val="24"/>
          <w:szCs w:val="24"/>
          <w:highlight w:val="none"/>
        </w:rPr>
      </w:pPr>
      <w:r>
        <w:rPr>
          <w:rFonts w:hint="eastAsia" w:hAnsi="宋体" w:cs="宋体"/>
          <w:color w:val="auto"/>
          <w:sz w:val="24"/>
          <w:szCs w:val="24"/>
          <w:highlight w:val="none"/>
        </w:rPr>
        <w:t>与本投标有关的正式通讯地址为：</w:t>
      </w:r>
    </w:p>
    <w:tbl>
      <w:tblPr>
        <w:tblStyle w:val="34"/>
        <w:tblW w:w="0" w:type="auto"/>
        <w:jc w:val="right"/>
        <w:tblLayout w:type="fixed"/>
        <w:tblCellMar>
          <w:top w:w="0" w:type="dxa"/>
          <w:left w:w="108" w:type="dxa"/>
          <w:bottom w:w="0" w:type="dxa"/>
          <w:right w:w="108" w:type="dxa"/>
        </w:tblCellMar>
      </w:tblPr>
      <w:tblGrid>
        <w:gridCol w:w="1871"/>
        <w:gridCol w:w="5070"/>
      </w:tblGrid>
      <w:tr w14:paraId="474D3058">
        <w:tblPrEx>
          <w:tblCellMar>
            <w:top w:w="0" w:type="dxa"/>
            <w:left w:w="108" w:type="dxa"/>
            <w:bottom w:w="0" w:type="dxa"/>
            <w:right w:w="108" w:type="dxa"/>
          </w:tblCellMar>
        </w:tblPrEx>
        <w:trPr>
          <w:trHeight w:val="449" w:hRule="atLeast"/>
          <w:jc w:val="right"/>
        </w:trPr>
        <w:tc>
          <w:tcPr>
            <w:tcW w:w="1871" w:type="dxa"/>
            <w:vAlign w:val="center"/>
          </w:tcPr>
          <w:p w14:paraId="15D5743E">
            <w:pPr>
              <w:pStyle w:val="18"/>
              <w:ind w:firstLine="480"/>
              <w:rPr>
                <w:rFonts w:hint="eastAsia" w:hAnsi="宋体" w:cs="宋体"/>
                <w:color w:val="auto"/>
                <w:sz w:val="24"/>
                <w:szCs w:val="24"/>
                <w:highlight w:val="none"/>
              </w:rPr>
            </w:pPr>
            <w:r>
              <w:rPr>
                <w:rFonts w:hint="eastAsia" w:hAnsi="宋体" w:cs="宋体"/>
                <w:color w:val="auto"/>
                <w:sz w:val="24"/>
                <w:szCs w:val="24"/>
                <w:highlight w:val="none"/>
              </w:rPr>
              <w:t>地址：</w:t>
            </w:r>
          </w:p>
        </w:tc>
        <w:tc>
          <w:tcPr>
            <w:tcW w:w="5070" w:type="dxa"/>
            <w:tcBorders>
              <w:bottom w:val="single" w:color="auto" w:sz="4" w:space="0"/>
            </w:tcBorders>
            <w:vAlign w:val="center"/>
          </w:tcPr>
          <w:p w14:paraId="29A1C300">
            <w:pPr>
              <w:pStyle w:val="18"/>
              <w:ind w:firstLine="480"/>
              <w:rPr>
                <w:rFonts w:hint="eastAsia" w:hAnsi="宋体" w:cs="宋体"/>
                <w:color w:val="auto"/>
                <w:sz w:val="24"/>
                <w:szCs w:val="24"/>
                <w:highlight w:val="none"/>
              </w:rPr>
            </w:pPr>
          </w:p>
        </w:tc>
      </w:tr>
      <w:tr w14:paraId="7F54E7ED">
        <w:tblPrEx>
          <w:tblCellMar>
            <w:top w:w="0" w:type="dxa"/>
            <w:left w:w="108" w:type="dxa"/>
            <w:bottom w:w="0" w:type="dxa"/>
            <w:right w:w="108" w:type="dxa"/>
          </w:tblCellMar>
        </w:tblPrEx>
        <w:trPr>
          <w:trHeight w:val="449" w:hRule="atLeast"/>
          <w:jc w:val="right"/>
        </w:trPr>
        <w:tc>
          <w:tcPr>
            <w:tcW w:w="1871" w:type="dxa"/>
            <w:vAlign w:val="center"/>
          </w:tcPr>
          <w:p w14:paraId="5CE84286">
            <w:pPr>
              <w:pStyle w:val="18"/>
              <w:ind w:firstLine="480"/>
              <w:rPr>
                <w:rFonts w:hint="eastAsia" w:hAnsi="宋体" w:cs="宋体"/>
                <w:color w:val="auto"/>
                <w:sz w:val="24"/>
                <w:szCs w:val="24"/>
                <w:highlight w:val="none"/>
              </w:rPr>
            </w:pPr>
            <w:r>
              <w:rPr>
                <w:rFonts w:hint="eastAsia" w:hAnsi="宋体" w:cs="宋体"/>
                <w:color w:val="auto"/>
                <w:sz w:val="24"/>
                <w:szCs w:val="24"/>
                <w:highlight w:val="none"/>
              </w:rPr>
              <w:t>邮政编码：</w:t>
            </w:r>
          </w:p>
        </w:tc>
        <w:tc>
          <w:tcPr>
            <w:tcW w:w="5070" w:type="dxa"/>
            <w:tcBorders>
              <w:top w:val="single" w:color="auto" w:sz="4" w:space="0"/>
              <w:bottom w:val="single" w:color="auto" w:sz="4" w:space="0"/>
            </w:tcBorders>
            <w:vAlign w:val="center"/>
          </w:tcPr>
          <w:p w14:paraId="4746A28B">
            <w:pPr>
              <w:pStyle w:val="18"/>
              <w:ind w:firstLine="480"/>
              <w:rPr>
                <w:rFonts w:hint="eastAsia" w:hAnsi="宋体" w:cs="宋体"/>
                <w:color w:val="auto"/>
                <w:sz w:val="24"/>
                <w:szCs w:val="24"/>
                <w:highlight w:val="none"/>
              </w:rPr>
            </w:pPr>
          </w:p>
        </w:tc>
      </w:tr>
      <w:tr w14:paraId="3C7EC20E">
        <w:tblPrEx>
          <w:tblCellMar>
            <w:top w:w="0" w:type="dxa"/>
            <w:left w:w="108" w:type="dxa"/>
            <w:bottom w:w="0" w:type="dxa"/>
            <w:right w:w="108" w:type="dxa"/>
          </w:tblCellMar>
        </w:tblPrEx>
        <w:trPr>
          <w:trHeight w:val="449" w:hRule="atLeast"/>
          <w:jc w:val="right"/>
        </w:trPr>
        <w:tc>
          <w:tcPr>
            <w:tcW w:w="1871" w:type="dxa"/>
            <w:vAlign w:val="center"/>
          </w:tcPr>
          <w:p w14:paraId="69EC0D68">
            <w:pPr>
              <w:pStyle w:val="18"/>
              <w:ind w:firstLine="480"/>
              <w:rPr>
                <w:rFonts w:hint="eastAsia" w:hAnsi="宋体" w:cs="宋体"/>
                <w:color w:val="auto"/>
                <w:sz w:val="24"/>
                <w:szCs w:val="24"/>
                <w:highlight w:val="none"/>
              </w:rPr>
            </w:pPr>
            <w:r>
              <w:rPr>
                <w:rFonts w:hint="eastAsia" w:hAnsi="宋体" w:cs="宋体"/>
                <w:color w:val="auto"/>
                <w:sz w:val="24"/>
                <w:szCs w:val="24"/>
                <w:highlight w:val="none"/>
              </w:rPr>
              <w:t>电话：</w:t>
            </w:r>
          </w:p>
        </w:tc>
        <w:tc>
          <w:tcPr>
            <w:tcW w:w="5070" w:type="dxa"/>
            <w:tcBorders>
              <w:top w:val="single" w:color="auto" w:sz="4" w:space="0"/>
              <w:bottom w:val="single" w:color="auto" w:sz="4" w:space="0"/>
            </w:tcBorders>
            <w:vAlign w:val="center"/>
          </w:tcPr>
          <w:p w14:paraId="44148D46">
            <w:pPr>
              <w:pStyle w:val="18"/>
              <w:ind w:firstLine="480"/>
              <w:rPr>
                <w:rFonts w:hint="eastAsia" w:hAnsi="宋体" w:cs="宋体"/>
                <w:color w:val="auto"/>
                <w:sz w:val="24"/>
                <w:szCs w:val="24"/>
                <w:highlight w:val="none"/>
              </w:rPr>
            </w:pPr>
          </w:p>
        </w:tc>
      </w:tr>
      <w:tr w14:paraId="15C86818">
        <w:tblPrEx>
          <w:tblCellMar>
            <w:top w:w="0" w:type="dxa"/>
            <w:left w:w="108" w:type="dxa"/>
            <w:bottom w:w="0" w:type="dxa"/>
            <w:right w:w="108" w:type="dxa"/>
          </w:tblCellMar>
        </w:tblPrEx>
        <w:trPr>
          <w:trHeight w:val="449" w:hRule="atLeast"/>
          <w:jc w:val="right"/>
        </w:trPr>
        <w:tc>
          <w:tcPr>
            <w:tcW w:w="1871" w:type="dxa"/>
            <w:vAlign w:val="center"/>
          </w:tcPr>
          <w:p w14:paraId="05BF2855">
            <w:pPr>
              <w:pStyle w:val="18"/>
              <w:ind w:firstLine="480"/>
              <w:rPr>
                <w:rFonts w:hint="eastAsia" w:hAnsi="宋体" w:cs="宋体"/>
                <w:color w:val="auto"/>
                <w:sz w:val="24"/>
                <w:szCs w:val="24"/>
                <w:highlight w:val="none"/>
              </w:rPr>
            </w:pPr>
            <w:r>
              <w:rPr>
                <w:rFonts w:hint="eastAsia" w:hAnsi="宋体" w:cs="宋体"/>
                <w:color w:val="auto"/>
                <w:sz w:val="24"/>
                <w:szCs w:val="24"/>
                <w:highlight w:val="none"/>
              </w:rPr>
              <w:t>传真：</w:t>
            </w:r>
          </w:p>
        </w:tc>
        <w:tc>
          <w:tcPr>
            <w:tcW w:w="5070" w:type="dxa"/>
            <w:tcBorders>
              <w:top w:val="single" w:color="auto" w:sz="4" w:space="0"/>
              <w:bottom w:val="single" w:color="auto" w:sz="4" w:space="0"/>
            </w:tcBorders>
            <w:vAlign w:val="center"/>
          </w:tcPr>
          <w:p w14:paraId="19229EBD">
            <w:pPr>
              <w:pStyle w:val="18"/>
              <w:ind w:firstLine="480"/>
              <w:rPr>
                <w:rFonts w:hint="eastAsia" w:hAnsi="宋体" w:cs="宋体"/>
                <w:color w:val="auto"/>
                <w:sz w:val="24"/>
                <w:szCs w:val="24"/>
                <w:highlight w:val="none"/>
              </w:rPr>
            </w:pPr>
          </w:p>
        </w:tc>
      </w:tr>
      <w:tr w14:paraId="0E17E44D">
        <w:tblPrEx>
          <w:tblCellMar>
            <w:top w:w="0" w:type="dxa"/>
            <w:left w:w="108" w:type="dxa"/>
            <w:bottom w:w="0" w:type="dxa"/>
            <w:right w:w="108" w:type="dxa"/>
          </w:tblCellMar>
        </w:tblPrEx>
        <w:trPr>
          <w:trHeight w:val="449" w:hRule="atLeast"/>
          <w:jc w:val="right"/>
        </w:trPr>
        <w:tc>
          <w:tcPr>
            <w:tcW w:w="1871" w:type="dxa"/>
            <w:vAlign w:val="center"/>
          </w:tcPr>
          <w:p w14:paraId="6B86253D">
            <w:pPr>
              <w:pStyle w:val="18"/>
              <w:ind w:firstLine="480"/>
              <w:rPr>
                <w:rFonts w:hint="eastAsia" w:hAnsi="宋体" w:cs="宋体"/>
                <w:color w:val="auto"/>
                <w:sz w:val="24"/>
                <w:szCs w:val="24"/>
                <w:highlight w:val="none"/>
              </w:rPr>
            </w:pPr>
            <w:r>
              <w:rPr>
                <w:rFonts w:hint="eastAsia" w:hAnsi="宋体" w:cs="宋体"/>
                <w:color w:val="auto"/>
                <w:sz w:val="24"/>
                <w:szCs w:val="24"/>
                <w:highlight w:val="none"/>
              </w:rPr>
              <w:t>开户名称：</w:t>
            </w:r>
          </w:p>
        </w:tc>
        <w:tc>
          <w:tcPr>
            <w:tcW w:w="5070" w:type="dxa"/>
            <w:tcBorders>
              <w:top w:val="single" w:color="auto" w:sz="4" w:space="0"/>
              <w:bottom w:val="single" w:color="auto" w:sz="4" w:space="0"/>
            </w:tcBorders>
            <w:vAlign w:val="center"/>
          </w:tcPr>
          <w:p w14:paraId="514EE045">
            <w:pPr>
              <w:pStyle w:val="18"/>
              <w:ind w:firstLine="480"/>
              <w:rPr>
                <w:rFonts w:hint="eastAsia" w:hAnsi="宋体" w:cs="宋体"/>
                <w:color w:val="auto"/>
                <w:sz w:val="24"/>
                <w:szCs w:val="24"/>
                <w:highlight w:val="none"/>
              </w:rPr>
            </w:pPr>
          </w:p>
        </w:tc>
      </w:tr>
      <w:tr w14:paraId="0E61E1FE">
        <w:tblPrEx>
          <w:tblCellMar>
            <w:top w:w="0" w:type="dxa"/>
            <w:left w:w="108" w:type="dxa"/>
            <w:bottom w:w="0" w:type="dxa"/>
            <w:right w:w="108" w:type="dxa"/>
          </w:tblCellMar>
        </w:tblPrEx>
        <w:trPr>
          <w:trHeight w:val="449" w:hRule="atLeast"/>
          <w:jc w:val="right"/>
        </w:trPr>
        <w:tc>
          <w:tcPr>
            <w:tcW w:w="1871" w:type="dxa"/>
            <w:vAlign w:val="center"/>
          </w:tcPr>
          <w:p w14:paraId="7C144F5D">
            <w:pPr>
              <w:pStyle w:val="18"/>
              <w:ind w:firstLine="480"/>
              <w:rPr>
                <w:rFonts w:hint="eastAsia" w:hAnsi="宋体" w:cs="宋体"/>
                <w:color w:val="auto"/>
                <w:sz w:val="24"/>
                <w:szCs w:val="24"/>
                <w:highlight w:val="none"/>
              </w:rPr>
            </w:pPr>
            <w:r>
              <w:rPr>
                <w:rFonts w:hint="eastAsia" w:hAnsi="宋体" w:cs="宋体"/>
                <w:color w:val="auto"/>
                <w:sz w:val="24"/>
                <w:szCs w:val="24"/>
                <w:highlight w:val="none"/>
              </w:rPr>
              <w:t>开户银行：</w:t>
            </w:r>
          </w:p>
        </w:tc>
        <w:tc>
          <w:tcPr>
            <w:tcW w:w="5070" w:type="dxa"/>
            <w:tcBorders>
              <w:top w:val="single" w:color="auto" w:sz="4" w:space="0"/>
              <w:bottom w:val="single" w:color="auto" w:sz="4" w:space="0"/>
            </w:tcBorders>
            <w:vAlign w:val="center"/>
          </w:tcPr>
          <w:p w14:paraId="3484B260">
            <w:pPr>
              <w:pStyle w:val="18"/>
              <w:ind w:firstLine="480"/>
              <w:rPr>
                <w:rFonts w:hint="eastAsia" w:hAnsi="宋体" w:cs="宋体"/>
                <w:color w:val="auto"/>
                <w:sz w:val="24"/>
                <w:szCs w:val="24"/>
                <w:highlight w:val="none"/>
              </w:rPr>
            </w:pPr>
          </w:p>
        </w:tc>
      </w:tr>
      <w:tr w14:paraId="5A13AEC2">
        <w:tblPrEx>
          <w:tblCellMar>
            <w:top w:w="0" w:type="dxa"/>
            <w:left w:w="108" w:type="dxa"/>
            <w:bottom w:w="0" w:type="dxa"/>
            <w:right w:w="108" w:type="dxa"/>
          </w:tblCellMar>
        </w:tblPrEx>
        <w:trPr>
          <w:trHeight w:val="459" w:hRule="atLeast"/>
          <w:jc w:val="right"/>
        </w:trPr>
        <w:tc>
          <w:tcPr>
            <w:tcW w:w="1871" w:type="dxa"/>
            <w:vAlign w:val="center"/>
          </w:tcPr>
          <w:p w14:paraId="00D467B0">
            <w:pPr>
              <w:pStyle w:val="18"/>
              <w:ind w:firstLine="480"/>
              <w:rPr>
                <w:rFonts w:hint="eastAsia" w:hAnsi="宋体" w:cs="宋体"/>
                <w:color w:val="auto"/>
                <w:sz w:val="24"/>
                <w:szCs w:val="24"/>
                <w:highlight w:val="none"/>
              </w:rPr>
            </w:pPr>
            <w:r>
              <w:rPr>
                <w:rFonts w:hint="eastAsia" w:hAnsi="宋体" w:cs="宋体"/>
                <w:color w:val="auto"/>
                <w:sz w:val="24"/>
                <w:szCs w:val="24"/>
                <w:highlight w:val="none"/>
              </w:rPr>
              <w:t>帐    号：</w:t>
            </w:r>
          </w:p>
        </w:tc>
        <w:tc>
          <w:tcPr>
            <w:tcW w:w="5070" w:type="dxa"/>
            <w:tcBorders>
              <w:top w:val="single" w:color="auto" w:sz="4" w:space="0"/>
              <w:bottom w:val="single" w:color="auto" w:sz="4" w:space="0"/>
            </w:tcBorders>
            <w:vAlign w:val="center"/>
          </w:tcPr>
          <w:p w14:paraId="4C1A52C4">
            <w:pPr>
              <w:pStyle w:val="18"/>
              <w:ind w:firstLine="480"/>
              <w:rPr>
                <w:rFonts w:hint="eastAsia" w:hAnsi="宋体" w:cs="宋体"/>
                <w:color w:val="auto"/>
                <w:sz w:val="24"/>
                <w:szCs w:val="24"/>
                <w:highlight w:val="none"/>
              </w:rPr>
            </w:pPr>
          </w:p>
        </w:tc>
      </w:tr>
    </w:tbl>
    <w:p w14:paraId="5431758F">
      <w:pPr>
        <w:pStyle w:val="18"/>
        <w:ind w:firstLine="480"/>
        <w:rPr>
          <w:rFonts w:hint="eastAsia" w:hAnsi="宋体" w:cs="宋体"/>
          <w:color w:val="auto"/>
          <w:sz w:val="24"/>
          <w:szCs w:val="24"/>
          <w:highlight w:val="none"/>
          <w:u w:val="single"/>
        </w:rPr>
      </w:pPr>
      <w:r>
        <w:rPr>
          <w:rFonts w:hint="eastAsia" w:hAnsi="宋体" w:cs="宋体"/>
          <w:color w:val="auto"/>
          <w:sz w:val="24"/>
          <w:szCs w:val="24"/>
          <w:highlight w:val="none"/>
          <w:u w:val="single"/>
        </w:rPr>
        <w:t xml:space="preserve">                                                   </w:t>
      </w:r>
    </w:p>
    <w:p w14:paraId="18676525">
      <w:pPr>
        <w:pStyle w:val="18"/>
        <w:spacing w:line="480" w:lineRule="auto"/>
        <w:ind w:firstLine="480"/>
        <w:jc w:val="right"/>
        <w:rPr>
          <w:rFonts w:hint="eastAsia" w:hAnsi="宋体" w:cs="宋体"/>
          <w:color w:val="auto"/>
          <w:sz w:val="24"/>
          <w:szCs w:val="24"/>
          <w:highlight w:val="none"/>
        </w:rPr>
      </w:pPr>
      <w:r>
        <w:rPr>
          <w:rFonts w:hint="eastAsia" w:hAnsi="宋体" w:cs="宋体"/>
          <w:color w:val="auto"/>
          <w:sz w:val="24"/>
          <w:szCs w:val="24"/>
          <w:highlight w:val="none"/>
        </w:rPr>
        <w:t>投 标 人（电子签章）：________________________</w:t>
      </w:r>
    </w:p>
    <w:p w14:paraId="6BD40DBB">
      <w:pPr>
        <w:pStyle w:val="18"/>
        <w:spacing w:line="480" w:lineRule="auto"/>
        <w:ind w:right="420" w:firstLine="480"/>
        <w:jc w:val="center"/>
        <w:rPr>
          <w:rFonts w:hint="eastAsia" w:hAnsi="宋体" w:cs="宋体"/>
          <w:color w:val="auto"/>
          <w:sz w:val="24"/>
          <w:szCs w:val="24"/>
          <w:highlight w:val="none"/>
        </w:rPr>
      </w:pPr>
      <w:r>
        <w:rPr>
          <w:rFonts w:hint="eastAsia" w:hAnsi="宋体" w:cs="宋体"/>
          <w:color w:val="auto"/>
          <w:sz w:val="24"/>
          <w:szCs w:val="24"/>
          <w:highlight w:val="none"/>
        </w:rPr>
        <w:t xml:space="preserve">                              法定代表人（电子签章）：__________</w:t>
      </w:r>
    </w:p>
    <w:p w14:paraId="633D6EC2">
      <w:pPr>
        <w:pStyle w:val="103"/>
        <w:spacing w:line="480" w:lineRule="auto"/>
        <w:ind w:firstLine="480"/>
        <w:jc w:val="right"/>
        <w:rPr>
          <w:rFonts w:hint="eastAsia" w:cs="宋体"/>
          <w:color w:val="auto"/>
          <w:sz w:val="24"/>
          <w:szCs w:val="24"/>
          <w:highlight w:val="none"/>
        </w:rPr>
      </w:pPr>
      <w:r>
        <w:rPr>
          <w:rFonts w:hint="eastAsia" w:cs="宋体"/>
          <w:color w:val="auto"/>
          <w:sz w:val="24"/>
          <w:szCs w:val="24"/>
          <w:highlight w:val="none"/>
        </w:rPr>
        <w:t>________年_____月_____日</w:t>
      </w:r>
    </w:p>
    <w:p w14:paraId="4ED9FC8C">
      <w:pPr>
        <w:pStyle w:val="168"/>
        <w:snapToGrid w:val="0"/>
        <w:spacing w:before="0" w:after="0" w:line="360" w:lineRule="auto"/>
        <w:ind w:left="342" w:hanging="367" w:hangingChars="122"/>
        <w:outlineLvl w:val="2"/>
        <w:rPr>
          <w:rFonts w:hint="eastAsia" w:ascii="宋体" w:hAnsi="宋体" w:cs="宋体"/>
          <w:color w:val="auto"/>
          <w:spacing w:val="10"/>
          <w:szCs w:val="24"/>
          <w:highlight w:val="none"/>
        </w:rPr>
      </w:pPr>
      <w:r>
        <w:rPr>
          <w:rFonts w:hint="eastAsia" w:ascii="宋体" w:hAnsi="宋体" w:cs="宋体"/>
          <w:color w:val="auto"/>
          <w:spacing w:val="10"/>
          <w:szCs w:val="24"/>
          <w:highlight w:val="none"/>
        </w:rPr>
        <w:br w:type="page"/>
      </w:r>
      <w:bookmarkStart w:id="95" w:name="_Toc417634860"/>
      <w:bookmarkStart w:id="96" w:name="_Toc13136"/>
      <w:bookmarkStart w:id="97" w:name="_Toc340058381"/>
      <w:r>
        <w:rPr>
          <w:rFonts w:hint="eastAsia" w:ascii="宋体" w:hAnsi="宋体" w:cs="宋体"/>
          <w:color w:val="auto"/>
          <w:highlight w:val="none"/>
        </w:rPr>
        <w:t>二、</w:t>
      </w:r>
      <w:r>
        <w:rPr>
          <w:rFonts w:hint="eastAsia" w:ascii="宋体" w:hAnsi="宋体" w:cs="宋体"/>
          <w:color w:val="auto"/>
          <w:spacing w:val="10"/>
          <w:szCs w:val="24"/>
          <w:highlight w:val="none"/>
        </w:rPr>
        <w:t>投标报价（唱标）一览表</w:t>
      </w:r>
      <w:bookmarkEnd w:id="95"/>
      <w:bookmarkEnd w:id="96"/>
      <w:bookmarkEnd w:id="97"/>
    </w:p>
    <w:p w14:paraId="4CD845D2">
      <w:pPr>
        <w:ind w:firstLine="0" w:firstLineChars="0"/>
        <w:rPr>
          <w:rFonts w:hint="eastAsia" w:ascii="宋体" w:hAnsi="宋体" w:cs="宋体"/>
          <w:color w:val="auto"/>
          <w:sz w:val="24"/>
          <w:szCs w:val="24"/>
          <w:highlight w:val="none"/>
        </w:rPr>
      </w:pPr>
      <w:r>
        <w:rPr>
          <w:rFonts w:hint="eastAsia" w:ascii="宋体" w:hAnsi="宋体" w:cs="宋体"/>
          <w:color w:val="auto"/>
          <w:sz w:val="24"/>
          <w:szCs w:val="24"/>
          <w:highlight w:val="none"/>
        </w:rPr>
        <w:t>项目名称：</w:t>
      </w:r>
      <w:r>
        <w:rPr>
          <w:rFonts w:hint="eastAsia" w:ascii="宋体" w:hAnsi="宋体" w:cs="宋体"/>
          <w:color w:val="auto"/>
          <w:sz w:val="24"/>
          <w:szCs w:val="24"/>
          <w:highlight w:val="none"/>
          <w:lang w:eastAsia="zh-CN"/>
        </w:rPr>
        <w:t>昆明公交城市巴士有限责任公司纯电动高一级公路客车采购项目</w:t>
      </w:r>
      <w:r>
        <w:rPr>
          <w:rFonts w:hint="eastAsia" w:ascii="宋体" w:hAnsi="宋体" w:cs="宋体"/>
          <w:color w:val="auto"/>
          <w:sz w:val="24"/>
          <w:szCs w:val="24"/>
          <w:highlight w:val="none"/>
        </w:rPr>
        <w:t>（</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标段：</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tbl>
      <w:tblPr>
        <w:tblStyle w:val="34"/>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23"/>
        <w:gridCol w:w="684"/>
        <w:gridCol w:w="2199"/>
        <w:gridCol w:w="1696"/>
        <w:gridCol w:w="3029"/>
      </w:tblGrid>
      <w:tr w14:paraId="38183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1080" w:type="pct"/>
            <w:gridSpan w:val="2"/>
            <w:vAlign w:val="center"/>
          </w:tcPr>
          <w:p w14:paraId="0B45147A">
            <w:pPr>
              <w:spacing w:line="240" w:lineRule="auto"/>
              <w:ind w:firstLine="0" w:firstLineChars="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品牌及车型</w:t>
            </w:r>
          </w:p>
        </w:tc>
        <w:tc>
          <w:tcPr>
            <w:tcW w:w="1245" w:type="pct"/>
            <w:vAlign w:val="center"/>
          </w:tcPr>
          <w:p w14:paraId="3EDB0BD7">
            <w:pPr>
              <w:spacing w:line="240" w:lineRule="auto"/>
              <w:ind w:firstLine="0" w:firstLineChars="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单价</w:t>
            </w:r>
          </w:p>
          <w:p w14:paraId="13CD74FA">
            <w:pPr>
              <w:spacing w:line="240" w:lineRule="auto"/>
              <w:ind w:firstLine="0" w:firstLineChars="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（元/辆）</w:t>
            </w:r>
          </w:p>
        </w:tc>
        <w:tc>
          <w:tcPr>
            <w:tcW w:w="960" w:type="pct"/>
            <w:vAlign w:val="center"/>
          </w:tcPr>
          <w:p w14:paraId="2A6B154E">
            <w:pPr>
              <w:spacing w:line="240" w:lineRule="auto"/>
              <w:ind w:firstLine="0" w:firstLineChars="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融资成本（元/辆）</w:t>
            </w:r>
          </w:p>
        </w:tc>
        <w:tc>
          <w:tcPr>
            <w:tcW w:w="1713" w:type="pct"/>
            <w:vAlign w:val="center"/>
          </w:tcPr>
          <w:p w14:paraId="7019D1ED">
            <w:pPr>
              <w:pStyle w:val="2"/>
              <w:spacing w:line="240" w:lineRule="auto"/>
              <w:ind w:firstLine="0" w:firstLineChars="0"/>
              <w:jc w:val="center"/>
              <w:rPr>
                <w:rFonts w:hint="eastAsia" w:ascii="宋体" w:hAnsi="宋体" w:cs="宋体"/>
                <w:color w:val="auto"/>
                <w:sz w:val="24"/>
                <w:szCs w:val="24"/>
                <w:highlight w:val="none"/>
              </w:rPr>
            </w:pPr>
            <w:r>
              <w:rPr>
                <w:rFonts w:hint="eastAsia" w:ascii="宋体" w:hAnsi="宋体" w:eastAsia="宋体" w:cs="宋体"/>
                <w:b w:val="0"/>
                <w:color w:val="auto"/>
                <w:spacing w:val="0"/>
                <w:sz w:val="24"/>
                <w:szCs w:val="24"/>
                <w:highlight w:val="none"/>
              </w:rPr>
              <w:t>合价（元/辆）</w:t>
            </w:r>
            <w:r>
              <w:rPr>
                <w:rFonts w:hint="eastAsia" w:ascii="宋体" w:hAnsi="宋体" w:cs="宋体"/>
                <w:b w:val="0"/>
                <w:bCs/>
                <w:color w:val="auto"/>
                <w:sz w:val="24"/>
                <w:szCs w:val="24"/>
                <w:highlight w:val="none"/>
              </w:rPr>
              <w:t>（单价+融资成本）</w:t>
            </w:r>
          </w:p>
        </w:tc>
      </w:tr>
      <w:tr w14:paraId="108CC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8" w:hRule="atLeast"/>
          <w:jc w:val="center"/>
        </w:trPr>
        <w:tc>
          <w:tcPr>
            <w:tcW w:w="1080" w:type="pct"/>
            <w:gridSpan w:val="2"/>
            <w:vAlign w:val="center"/>
          </w:tcPr>
          <w:p w14:paraId="7FBEB163">
            <w:pPr>
              <w:ind w:firstLine="0" w:firstLineChars="0"/>
              <w:jc w:val="center"/>
              <w:rPr>
                <w:rFonts w:hint="eastAsia" w:ascii="宋体" w:hAnsi="宋体" w:cs="宋体"/>
                <w:color w:val="auto"/>
                <w:sz w:val="24"/>
                <w:szCs w:val="24"/>
                <w:highlight w:val="none"/>
              </w:rPr>
            </w:pPr>
          </w:p>
        </w:tc>
        <w:tc>
          <w:tcPr>
            <w:tcW w:w="1245" w:type="pct"/>
            <w:vAlign w:val="center"/>
          </w:tcPr>
          <w:p w14:paraId="2A388518">
            <w:pPr>
              <w:ind w:firstLine="0" w:firstLineChars="0"/>
              <w:jc w:val="center"/>
              <w:rPr>
                <w:rFonts w:hint="eastAsia" w:ascii="宋体" w:hAnsi="宋体" w:cs="宋体"/>
                <w:color w:val="auto"/>
                <w:sz w:val="24"/>
                <w:szCs w:val="24"/>
                <w:highlight w:val="none"/>
              </w:rPr>
            </w:pPr>
          </w:p>
        </w:tc>
        <w:tc>
          <w:tcPr>
            <w:tcW w:w="960" w:type="pct"/>
          </w:tcPr>
          <w:p w14:paraId="5B7639BF">
            <w:pPr>
              <w:ind w:firstLine="0" w:firstLineChars="0"/>
              <w:rPr>
                <w:rFonts w:hint="eastAsia" w:ascii="宋体" w:hAnsi="宋体" w:cs="宋体"/>
                <w:color w:val="auto"/>
                <w:sz w:val="24"/>
                <w:szCs w:val="24"/>
                <w:highlight w:val="none"/>
              </w:rPr>
            </w:pPr>
          </w:p>
        </w:tc>
        <w:tc>
          <w:tcPr>
            <w:tcW w:w="1713" w:type="pct"/>
            <w:vAlign w:val="center"/>
          </w:tcPr>
          <w:p w14:paraId="2A2CB68B">
            <w:pPr>
              <w:ind w:firstLine="0" w:firstLineChars="0"/>
              <w:rPr>
                <w:rFonts w:hint="eastAsia" w:ascii="宋体" w:hAnsi="宋体" w:cs="宋体"/>
                <w:color w:val="auto"/>
                <w:sz w:val="24"/>
                <w:szCs w:val="24"/>
                <w:highlight w:val="none"/>
              </w:rPr>
            </w:pPr>
          </w:p>
        </w:tc>
      </w:tr>
      <w:tr w14:paraId="30B30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223" w:type="dxa"/>
            <w:vAlign w:val="center"/>
          </w:tcPr>
          <w:p w14:paraId="00B9B8C2">
            <w:pPr>
              <w:ind w:firstLine="0" w:firstLineChars="0"/>
              <w:jc w:val="center"/>
              <w:rPr>
                <w:rFonts w:hint="eastAsia" w:ascii="宋体" w:hAnsi="宋体" w:cs="宋体"/>
                <w:color w:val="auto"/>
                <w:sz w:val="24"/>
                <w:szCs w:val="24"/>
                <w:highlight w:val="none"/>
              </w:rPr>
            </w:pPr>
            <w:r>
              <w:rPr>
                <w:rFonts w:hint="eastAsia" w:ascii="宋体" w:hAnsi="宋体" w:cs="宋体"/>
                <w:szCs w:val="21"/>
              </w:rPr>
              <w:t>投标总价</w:t>
            </w:r>
          </w:p>
        </w:tc>
        <w:tc>
          <w:tcPr>
            <w:tcW w:w="7608" w:type="dxa"/>
            <w:gridSpan w:val="4"/>
            <w:vAlign w:val="center"/>
          </w:tcPr>
          <w:p w14:paraId="155D8DD0">
            <w:pPr>
              <w:ind w:firstLine="0" w:firstLineChars="0"/>
              <w:rPr>
                <w:rFonts w:hint="eastAsia" w:ascii="宋体" w:hAnsi="宋体" w:cs="宋体"/>
                <w:szCs w:val="21"/>
              </w:rPr>
            </w:pPr>
            <w:r>
              <w:rPr>
                <w:rFonts w:hint="eastAsia" w:ascii="宋体" w:hAnsi="宋体" w:cs="宋体"/>
                <w:szCs w:val="21"/>
              </w:rPr>
              <w:t>大写：</w:t>
            </w:r>
          </w:p>
          <w:p w14:paraId="3F83E179">
            <w:pPr>
              <w:ind w:firstLine="0" w:firstLineChars="0"/>
              <w:rPr>
                <w:rFonts w:hint="eastAsia" w:ascii="宋体" w:hAnsi="宋体" w:cs="宋体"/>
                <w:color w:val="auto"/>
                <w:sz w:val="24"/>
                <w:szCs w:val="24"/>
                <w:highlight w:val="none"/>
              </w:rPr>
            </w:pPr>
            <w:r>
              <w:rPr>
                <w:rFonts w:hint="eastAsia" w:ascii="宋体" w:hAnsi="宋体" w:cs="宋体"/>
                <w:szCs w:val="21"/>
              </w:rPr>
              <w:t>小写：</w:t>
            </w:r>
          </w:p>
        </w:tc>
      </w:tr>
      <w:tr w14:paraId="2C906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693" w:type="pct"/>
            <w:vAlign w:val="center"/>
          </w:tcPr>
          <w:p w14:paraId="1B4FEE06">
            <w:pPr>
              <w:ind w:firstLine="0" w:firstLineChars="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交货期</w:t>
            </w:r>
          </w:p>
        </w:tc>
        <w:tc>
          <w:tcPr>
            <w:tcW w:w="4306" w:type="pct"/>
            <w:gridSpan w:val="4"/>
          </w:tcPr>
          <w:p w14:paraId="4CA2C47E">
            <w:pPr>
              <w:ind w:firstLine="0" w:firstLineChars="0"/>
              <w:jc w:val="center"/>
              <w:rPr>
                <w:rFonts w:hint="eastAsia" w:ascii="宋体" w:hAnsi="宋体" w:cs="宋体"/>
                <w:color w:val="auto"/>
                <w:sz w:val="24"/>
                <w:szCs w:val="24"/>
                <w:highlight w:val="none"/>
              </w:rPr>
            </w:pPr>
          </w:p>
        </w:tc>
      </w:tr>
      <w:tr w14:paraId="7A70F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693" w:type="pct"/>
            <w:vAlign w:val="center"/>
          </w:tcPr>
          <w:p w14:paraId="2D3460AD">
            <w:pPr>
              <w:ind w:firstLine="0" w:firstLineChars="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交货地点</w:t>
            </w:r>
          </w:p>
        </w:tc>
        <w:tc>
          <w:tcPr>
            <w:tcW w:w="4306" w:type="pct"/>
            <w:gridSpan w:val="4"/>
          </w:tcPr>
          <w:p w14:paraId="3B99CE0B">
            <w:pPr>
              <w:ind w:firstLine="0" w:firstLineChars="0"/>
              <w:jc w:val="center"/>
              <w:rPr>
                <w:rFonts w:hint="eastAsia" w:ascii="宋体" w:hAnsi="宋体" w:cs="宋体"/>
                <w:color w:val="auto"/>
                <w:sz w:val="24"/>
                <w:szCs w:val="24"/>
                <w:highlight w:val="none"/>
              </w:rPr>
            </w:pPr>
          </w:p>
        </w:tc>
      </w:tr>
      <w:tr w14:paraId="614FE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693" w:type="pct"/>
            <w:vAlign w:val="center"/>
          </w:tcPr>
          <w:p w14:paraId="059D364D">
            <w:pPr>
              <w:ind w:firstLine="0" w:firstLineChars="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质量承诺</w:t>
            </w:r>
          </w:p>
        </w:tc>
        <w:tc>
          <w:tcPr>
            <w:tcW w:w="4306" w:type="pct"/>
            <w:gridSpan w:val="4"/>
          </w:tcPr>
          <w:p w14:paraId="3869FD7D">
            <w:pPr>
              <w:ind w:firstLine="0" w:firstLineChars="0"/>
              <w:jc w:val="center"/>
              <w:rPr>
                <w:rFonts w:hint="eastAsia" w:ascii="宋体" w:hAnsi="宋体" w:cs="宋体"/>
                <w:color w:val="auto"/>
                <w:sz w:val="24"/>
                <w:szCs w:val="24"/>
                <w:highlight w:val="none"/>
              </w:rPr>
            </w:pPr>
          </w:p>
        </w:tc>
      </w:tr>
      <w:tr w14:paraId="224CF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693" w:type="pct"/>
            <w:vAlign w:val="center"/>
          </w:tcPr>
          <w:p w14:paraId="4503C61F">
            <w:pPr>
              <w:ind w:firstLine="0" w:firstLineChars="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投标保证金（万元）</w:t>
            </w:r>
          </w:p>
        </w:tc>
        <w:tc>
          <w:tcPr>
            <w:tcW w:w="4306" w:type="pct"/>
            <w:gridSpan w:val="4"/>
          </w:tcPr>
          <w:p w14:paraId="04112E12">
            <w:pPr>
              <w:ind w:firstLine="0" w:firstLineChars="0"/>
              <w:jc w:val="center"/>
              <w:rPr>
                <w:rFonts w:hint="eastAsia" w:ascii="宋体" w:hAnsi="宋体" w:cs="宋体"/>
                <w:color w:val="auto"/>
                <w:sz w:val="24"/>
                <w:szCs w:val="24"/>
                <w:highlight w:val="none"/>
              </w:rPr>
            </w:pPr>
          </w:p>
        </w:tc>
      </w:tr>
      <w:tr w14:paraId="7013F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1" w:hRule="atLeast"/>
          <w:jc w:val="center"/>
        </w:trPr>
        <w:tc>
          <w:tcPr>
            <w:tcW w:w="5000" w:type="pct"/>
            <w:gridSpan w:val="5"/>
          </w:tcPr>
          <w:p w14:paraId="60D7CB69">
            <w:pPr>
              <w:ind w:firstLine="0" w:firstLineChars="0"/>
              <w:rPr>
                <w:rFonts w:hint="eastAsia" w:ascii="宋体" w:hAnsi="宋体" w:cs="宋体"/>
                <w:color w:val="auto"/>
                <w:sz w:val="24"/>
                <w:szCs w:val="24"/>
                <w:highlight w:val="none"/>
              </w:rPr>
            </w:pPr>
          </w:p>
          <w:p w14:paraId="4C6F8F01">
            <w:pPr>
              <w:ind w:firstLine="0" w:firstLineChars="0"/>
              <w:rPr>
                <w:rFonts w:hint="eastAsia" w:ascii="宋体" w:hAnsi="宋体" w:cs="宋体"/>
                <w:color w:val="auto"/>
                <w:sz w:val="24"/>
                <w:szCs w:val="24"/>
                <w:highlight w:val="none"/>
              </w:rPr>
            </w:pPr>
            <w:r>
              <w:rPr>
                <w:rFonts w:hint="eastAsia" w:ascii="宋体" w:hAnsi="宋体" w:cs="宋体"/>
                <w:color w:val="auto"/>
                <w:sz w:val="24"/>
                <w:szCs w:val="24"/>
                <w:highlight w:val="none"/>
              </w:rPr>
              <w:t>投标人（电子签章）：</w:t>
            </w:r>
          </w:p>
          <w:p w14:paraId="11B33198">
            <w:pPr>
              <w:ind w:firstLine="0" w:firstLineChars="0"/>
              <w:rPr>
                <w:rFonts w:hint="eastAsia" w:ascii="宋体" w:hAnsi="宋体" w:cs="宋体"/>
                <w:color w:val="auto"/>
                <w:sz w:val="24"/>
                <w:szCs w:val="24"/>
                <w:highlight w:val="none"/>
              </w:rPr>
            </w:pPr>
          </w:p>
          <w:p w14:paraId="0CEE31D8">
            <w:pPr>
              <w:ind w:firstLine="0" w:firstLineChars="0"/>
              <w:rPr>
                <w:rFonts w:hint="eastAsia" w:ascii="宋体" w:hAnsi="宋体" w:cs="宋体"/>
                <w:color w:val="auto"/>
                <w:sz w:val="24"/>
                <w:szCs w:val="24"/>
                <w:highlight w:val="none"/>
              </w:rPr>
            </w:pPr>
            <w:r>
              <w:rPr>
                <w:rFonts w:hint="eastAsia" w:ascii="宋体" w:hAnsi="宋体" w:cs="宋体"/>
                <w:color w:val="auto"/>
                <w:sz w:val="24"/>
                <w:szCs w:val="24"/>
                <w:highlight w:val="none"/>
              </w:rPr>
              <w:t>法定代表人（电子签章）：</w:t>
            </w:r>
          </w:p>
          <w:p w14:paraId="7C155FF8">
            <w:pPr>
              <w:ind w:firstLine="0" w:firstLineChars="0"/>
              <w:rPr>
                <w:rFonts w:hint="eastAsia" w:ascii="宋体" w:hAnsi="宋体" w:cs="宋体"/>
                <w:color w:val="auto"/>
                <w:sz w:val="24"/>
                <w:szCs w:val="24"/>
                <w:highlight w:val="none"/>
              </w:rPr>
            </w:pPr>
          </w:p>
          <w:p w14:paraId="001815C9">
            <w:pPr>
              <w:ind w:firstLine="0" w:firstLineChars="0"/>
              <w:rPr>
                <w:rFonts w:hint="eastAsia" w:ascii="宋体" w:hAnsi="宋体" w:cs="宋体"/>
                <w:color w:val="auto"/>
                <w:sz w:val="24"/>
                <w:szCs w:val="24"/>
                <w:highlight w:val="none"/>
              </w:rPr>
            </w:pPr>
            <w:r>
              <w:rPr>
                <w:rFonts w:hint="eastAsia" w:ascii="宋体" w:hAnsi="宋体" w:cs="宋体"/>
                <w:color w:val="auto"/>
                <w:sz w:val="24"/>
                <w:szCs w:val="24"/>
                <w:highlight w:val="none"/>
              </w:rPr>
              <w:t>日期：　　　年　　月　　日</w:t>
            </w:r>
          </w:p>
          <w:p w14:paraId="1C3F132A">
            <w:pPr>
              <w:ind w:firstLine="0" w:firstLineChars="0"/>
              <w:rPr>
                <w:rFonts w:hint="eastAsia" w:ascii="宋体" w:hAnsi="宋体" w:cs="宋体"/>
                <w:color w:val="auto"/>
                <w:sz w:val="24"/>
                <w:szCs w:val="24"/>
                <w:highlight w:val="none"/>
              </w:rPr>
            </w:pPr>
          </w:p>
        </w:tc>
      </w:tr>
    </w:tbl>
    <w:p w14:paraId="6F784471">
      <w:pPr>
        <w:ind w:firstLine="480"/>
        <w:rPr>
          <w:rFonts w:hint="eastAsia" w:ascii="宋体" w:hAnsi="宋体" w:cs="宋体"/>
          <w:color w:val="auto"/>
          <w:sz w:val="24"/>
          <w:szCs w:val="24"/>
          <w:highlight w:val="none"/>
        </w:rPr>
      </w:pPr>
    </w:p>
    <w:p w14:paraId="406F2910">
      <w:pPr>
        <w:ind w:left="840" w:hanging="840" w:hangingChars="35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注：1．上表“投标总价”应与第四章商务部分“投标函”及 “投标报价表”中投标总报价一致。</w:t>
      </w:r>
    </w:p>
    <w:p w14:paraId="256084B6">
      <w:pPr>
        <w:ind w:left="840" w:hanging="840" w:hangingChars="35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2．车辆发票金额按照（单价+送车费）开具。</w:t>
      </w:r>
    </w:p>
    <w:p w14:paraId="062E215C">
      <w:pPr>
        <w:ind w:left="840" w:hanging="840" w:hangingChars="350"/>
        <w:jc w:val="left"/>
        <w:rPr>
          <w:rFonts w:hint="eastAsia" w:ascii="宋体" w:hAnsi="宋体" w:cs="宋体"/>
          <w:color w:val="auto"/>
          <w:sz w:val="24"/>
          <w:szCs w:val="24"/>
          <w:highlight w:val="none"/>
        </w:rPr>
        <w:sectPr>
          <w:headerReference r:id="rId7" w:type="default"/>
          <w:footerReference r:id="rId8" w:type="default"/>
          <w:pgSz w:w="11906" w:h="16838"/>
          <w:pgMar w:top="1440" w:right="1486" w:bottom="1440" w:left="1800" w:header="964" w:footer="284" w:gutter="0"/>
          <w:pgNumType w:start="1"/>
          <w:cols w:space="708" w:num="1"/>
          <w:titlePg/>
          <w:docGrid w:linePitch="312" w:charSpace="0"/>
        </w:sectPr>
      </w:pPr>
      <w:r>
        <w:rPr>
          <w:rFonts w:hint="eastAsia" w:ascii="宋体" w:hAnsi="宋体" w:cs="宋体"/>
          <w:color w:val="auto"/>
          <w:sz w:val="24"/>
          <w:szCs w:val="24"/>
          <w:highlight w:val="none"/>
        </w:rPr>
        <w:t>3．融资成本不另附送车费</w:t>
      </w:r>
    </w:p>
    <w:p w14:paraId="012508C0">
      <w:pPr>
        <w:pStyle w:val="168"/>
        <w:snapToGrid w:val="0"/>
        <w:spacing w:before="0" w:after="0" w:line="360" w:lineRule="auto"/>
        <w:ind w:left="342" w:hanging="367" w:hangingChars="122"/>
        <w:outlineLvl w:val="2"/>
        <w:rPr>
          <w:rFonts w:hint="eastAsia" w:ascii="宋体" w:hAnsi="宋体" w:cs="宋体"/>
          <w:color w:val="auto"/>
          <w:spacing w:val="10"/>
          <w:szCs w:val="24"/>
          <w:highlight w:val="none"/>
        </w:rPr>
      </w:pPr>
      <w:bookmarkStart w:id="98" w:name="_Toc417634880"/>
      <w:bookmarkStart w:id="99" w:name="_Toc382467319"/>
      <w:bookmarkStart w:id="100" w:name="_Toc9522"/>
      <w:bookmarkStart w:id="101" w:name="_Toc12053"/>
      <w:bookmarkStart w:id="102" w:name="_Toc387152563"/>
      <w:bookmarkStart w:id="103" w:name="_Toc8876"/>
      <w:r>
        <w:rPr>
          <w:rFonts w:hint="eastAsia" w:ascii="宋体" w:hAnsi="宋体" w:cs="宋体"/>
          <w:color w:val="auto"/>
          <w:spacing w:val="10"/>
          <w:szCs w:val="24"/>
          <w:highlight w:val="none"/>
        </w:rPr>
        <w:t>三、投 标 分 项 报 价 表</w:t>
      </w:r>
      <w:bookmarkEnd w:id="98"/>
      <w:bookmarkEnd w:id="99"/>
      <w:bookmarkEnd w:id="100"/>
      <w:bookmarkEnd w:id="101"/>
      <w:bookmarkEnd w:id="102"/>
      <w:bookmarkEnd w:id="103"/>
    </w:p>
    <w:p w14:paraId="7A49CBDA">
      <w:pPr>
        <w:pStyle w:val="18"/>
        <w:ind w:firstLine="0" w:firstLineChars="0"/>
        <w:rPr>
          <w:rFonts w:hint="eastAsia" w:hAnsi="宋体" w:cs="宋体"/>
          <w:b/>
          <w:color w:val="auto"/>
          <w:szCs w:val="21"/>
          <w:highlight w:val="none"/>
        </w:rPr>
      </w:pPr>
      <w:r>
        <w:rPr>
          <w:rFonts w:hint="eastAsia" w:hAnsi="宋体" w:cs="宋体"/>
          <w:b/>
          <w:color w:val="auto"/>
          <w:szCs w:val="21"/>
          <w:highlight w:val="none"/>
        </w:rPr>
        <w:t>项目名称：</w:t>
      </w:r>
      <w:r>
        <w:rPr>
          <w:rFonts w:hint="eastAsia" w:hAnsi="宋体" w:cs="宋体"/>
          <w:bCs/>
          <w:color w:val="auto"/>
          <w:szCs w:val="21"/>
          <w:highlight w:val="none"/>
          <w:lang w:eastAsia="zh-CN"/>
        </w:rPr>
        <w:t>昆明公交城市巴士有限责任公司纯电动高一级公路客车采购项目</w:t>
      </w:r>
      <w:r>
        <w:rPr>
          <w:rFonts w:hint="eastAsia" w:hAnsi="宋体" w:cs="宋体"/>
          <w:bCs/>
          <w:color w:val="auto"/>
          <w:szCs w:val="21"/>
          <w:highlight w:val="none"/>
        </w:rPr>
        <w:t>（</w:t>
      </w:r>
      <w:r>
        <w:rPr>
          <w:rFonts w:hint="eastAsia" w:hAnsi="宋体" w:cs="宋体"/>
          <w:bCs/>
          <w:color w:val="auto"/>
          <w:szCs w:val="21"/>
          <w:highlight w:val="none"/>
          <w:u w:val="single"/>
        </w:rPr>
        <w:t xml:space="preserve">   </w:t>
      </w:r>
      <w:r>
        <w:rPr>
          <w:rFonts w:hint="eastAsia" w:hAnsi="宋体" w:cs="宋体"/>
          <w:bCs/>
          <w:color w:val="auto"/>
          <w:szCs w:val="21"/>
          <w:highlight w:val="none"/>
        </w:rPr>
        <w:t>标段：</w:t>
      </w:r>
      <w:r>
        <w:rPr>
          <w:rFonts w:hint="eastAsia" w:hAnsi="宋体" w:cs="宋体"/>
          <w:bCs/>
          <w:color w:val="auto"/>
          <w:szCs w:val="21"/>
          <w:highlight w:val="none"/>
          <w:u w:val="single"/>
        </w:rPr>
        <w:t xml:space="preserve">      </w:t>
      </w:r>
      <w:r>
        <w:rPr>
          <w:rFonts w:hint="eastAsia" w:hAnsi="宋体" w:cs="宋体"/>
          <w:bCs/>
          <w:color w:val="auto"/>
          <w:szCs w:val="21"/>
          <w:highlight w:val="none"/>
        </w:rPr>
        <w:t>）</w:t>
      </w:r>
      <w:r>
        <w:rPr>
          <w:rFonts w:hint="eastAsia" w:hAnsi="宋体" w:cs="宋体"/>
          <w:b/>
          <w:color w:val="auto"/>
          <w:szCs w:val="21"/>
          <w:highlight w:val="none"/>
        </w:rPr>
        <w:t xml:space="preserve">                                                     </w:t>
      </w:r>
    </w:p>
    <w:tbl>
      <w:tblPr>
        <w:tblStyle w:val="34"/>
        <w:tblW w:w="436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5"/>
        <w:gridCol w:w="1588"/>
        <w:gridCol w:w="2776"/>
        <w:gridCol w:w="1863"/>
        <w:gridCol w:w="1637"/>
        <w:gridCol w:w="2372"/>
        <w:gridCol w:w="871"/>
      </w:tblGrid>
      <w:tr w14:paraId="6254F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66" w:hRule="atLeast"/>
          <w:jc w:val="center"/>
        </w:trPr>
        <w:tc>
          <w:tcPr>
            <w:tcW w:w="266" w:type="pct"/>
            <w:vAlign w:val="center"/>
          </w:tcPr>
          <w:p w14:paraId="2D61BB82">
            <w:pPr>
              <w:pStyle w:val="18"/>
              <w:ind w:firstLine="0" w:firstLineChars="0"/>
              <w:rPr>
                <w:rFonts w:hint="eastAsia" w:hAnsi="宋体" w:cs="宋体"/>
                <w:b/>
                <w:color w:val="auto"/>
                <w:spacing w:val="-20"/>
                <w:szCs w:val="21"/>
                <w:highlight w:val="none"/>
              </w:rPr>
            </w:pPr>
            <w:r>
              <w:rPr>
                <w:rFonts w:hint="eastAsia" w:hAnsi="宋体" w:cs="宋体"/>
                <w:b/>
                <w:color w:val="auto"/>
                <w:spacing w:val="-20"/>
                <w:szCs w:val="21"/>
                <w:highlight w:val="none"/>
              </w:rPr>
              <w:t>序号</w:t>
            </w:r>
          </w:p>
        </w:tc>
        <w:tc>
          <w:tcPr>
            <w:tcW w:w="676" w:type="pct"/>
            <w:vAlign w:val="center"/>
          </w:tcPr>
          <w:p w14:paraId="041BA77C">
            <w:pPr>
              <w:pStyle w:val="18"/>
              <w:ind w:firstLine="0" w:firstLineChars="0"/>
              <w:jc w:val="center"/>
              <w:rPr>
                <w:rFonts w:hint="eastAsia" w:hAnsi="宋体" w:cs="宋体"/>
                <w:b/>
                <w:color w:val="auto"/>
                <w:spacing w:val="-20"/>
                <w:szCs w:val="21"/>
                <w:highlight w:val="none"/>
              </w:rPr>
            </w:pPr>
            <w:r>
              <w:rPr>
                <w:rFonts w:hint="eastAsia" w:hAnsi="宋体" w:cs="宋体"/>
                <w:b/>
                <w:color w:val="auto"/>
                <w:spacing w:val="-20"/>
                <w:szCs w:val="21"/>
                <w:highlight w:val="none"/>
              </w:rPr>
              <w:t>型 号 和 规 格</w:t>
            </w:r>
          </w:p>
        </w:tc>
        <w:tc>
          <w:tcPr>
            <w:tcW w:w="1182" w:type="pct"/>
            <w:vAlign w:val="center"/>
          </w:tcPr>
          <w:p w14:paraId="77FAEF80">
            <w:pPr>
              <w:pStyle w:val="18"/>
              <w:ind w:firstLine="0" w:firstLineChars="0"/>
              <w:jc w:val="center"/>
              <w:rPr>
                <w:rFonts w:hint="eastAsia" w:hAnsi="宋体" w:cs="宋体"/>
                <w:b/>
                <w:color w:val="auto"/>
                <w:szCs w:val="21"/>
                <w:highlight w:val="none"/>
              </w:rPr>
            </w:pPr>
            <w:r>
              <w:rPr>
                <w:rFonts w:hint="eastAsia" w:hAnsi="宋体" w:cs="宋体"/>
                <w:b/>
                <w:color w:val="auto"/>
                <w:szCs w:val="21"/>
                <w:highlight w:val="none"/>
              </w:rPr>
              <w:t>制造商/生产厂商名称</w:t>
            </w:r>
          </w:p>
        </w:tc>
        <w:tc>
          <w:tcPr>
            <w:tcW w:w="793" w:type="pct"/>
            <w:vAlign w:val="center"/>
          </w:tcPr>
          <w:p w14:paraId="103CDD59">
            <w:pPr>
              <w:pStyle w:val="18"/>
              <w:ind w:firstLine="0" w:firstLineChars="0"/>
              <w:jc w:val="center"/>
              <w:rPr>
                <w:rFonts w:hint="eastAsia" w:hAnsi="宋体" w:cs="宋体"/>
                <w:b/>
                <w:color w:val="auto"/>
                <w:szCs w:val="21"/>
                <w:highlight w:val="none"/>
              </w:rPr>
            </w:pPr>
            <w:r>
              <w:rPr>
                <w:rFonts w:hint="eastAsia" w:hAnsi="宋体" w:cs="宋体"/>
                <w:b/>
                <w:color w:val="auto"/>
                <w:szCs w:val="21"/>
                <w:highlight w:val="none"/>
              </w:rPr>
              <w:t>单价（元/辆）</w:t>
            </w:r>
          </w:p>
        </w:tc>
        <w:tc>
          <w:tcPr>
            <w:tcW w:w="697" w:type="pct"/>
            <w:vAlign w:val="center"/>
          </w:tcPr>
          <w:p w14:paraId="618FA2B7">
            <w:pPr>
              <w:pStyle w:val="18"/>
              <w:ind w:firstLine="0" w:firstLineChars="0"/>
              <w:jc w:val="center"/>
              <w:rPr>
                <w:rFonts w:hint="eastAsia" w:hAnsi="宋体" w:cs="宋体"/>
                <w:b/>
                <w:color w:val="auto"/>
                <w:szCs w:val="21"/>
                <w:highlight w:val="none"/>
              </w:rPr>
            </w:pPr>
            <w:r>
              <w:rPr>
                <w:rFonts w:hint="eastAsia" w:hAnsi="宋体" w:cs="宋体"/>
                <w:b/>
                <w:color w:val="auto"/>
                <w:szCs w:val="21"/>
                <w:highlight w:val="none"/>
              </w:rPr>
              <w:t>融资成本（元/辆）</w:t>
            </w:r>
          </w:p>
        </w:tc>
        <w:tc>
          <w:tcPr>
            <w:tcW w:w="1010" w:type="pct"/>
            <w:vAlign w:val="center"/>
          </w:tcPr>
          <w:p w14:paraId="6F6DF4D8">
            <w:pPr>
              <w:pStyle w:val="18"/>
              <w:ind w:firstLine="0" w:firstLineChars="0"/>
              <w:jc w:val="center"/>
              <w:rPr>
                <w:rFonts w:hint="eastAsia" w:hAnsi="宋体" w:cs="宋体"/>
                <w:b/>
                <w:color w:val="auto"/>
                <w:szCs w:val="21"/>
                <w:highlight w:val="none"/>
              </w:rPr>
            </w:pPr>
            <w:r>
              <w:rPr>
                <w:rFonts w:hint="eastAsia" w:hAnsi="宋体" w:cs="宋体"/>
                <w:b/>
                <w:color w:val="auto"/>
                <w:szCs w:val="21"/>
                <w:highlight w:val="none"/>
              </w:rPr>
              <w:t>合价（元/辆）</w:t>
            </w:r>
          </w:p>
          <w:p w14:paraId="1B4E2EC7">
            <w:pPr>
              <w:pStyle w:val="18"/>
              <w:ind w:firstLine="0" w:firstLineChars="0"/>
              <w:jc w:val="center"/>
              <w:rPr>
                <w:rFonts w:hint="eastAsia" w:hAnsi="宋体" w:cs="宋体"/>
                <w:b/>
                <w:color w:val="auto"/>
                <w:szCs w:val="21"/>
                <w:highlight w:val="none"/>
              </w:rPr>
            </w:pPr>
            <w:r>
              <w:rPr>
                <w:rFonts w:hint="eastAsia" w:hAnsi="宋体" w:cs="宋体"/>
                <w:b/>
                <w:color w:val="auto"/>
                <w:szCs w:val="21"/>
                <w:highlight w:val="none"/>
              </w:rPr>
              <w:t>单价+融资成本</w:t>
            </w:r>
          </w:p>
        </w:tc>
        <w:tc>
          <w:tcPr>
            <w:tcW w:w="371" w:type="pct"/>
            <w:vAlign w:val="center"/>
          </w:tcPr>
          <w:p w14:paraId="415C0145">
            <w:pPr>
              <w:pStyle w:val="18"/>
              <w:ind w:firstLine="0" w:firstLineChars="0"/>
              <w:jc w:val="center"/>
              <w:rPr>
                <w:rFonts w:hint="eastAsia" w:hAnsi="宋体" w:cs="宋体"/>
                <w:b/>
                <w:color w:val="auto"/>
                <w:szCs w:val="21"/>
                <w:highlight w:val="none"/>
              </w:rPr>
            </w:pPr>
            <w:r>
              <w:rPr>
                <w:rFonts w:hint="eastAsia" w:hAnsi="宋体" w:cs="宋体"/>
                <w:b/>
                <w:color w:val="auto"/>
                <w:szCs w:val="21"/>
                <w:highlight w:val="none"/>
              </w:rPr>
              <w:t>备  注</w:t>
            </w:r>
          </w:p>
        </w:tc>
      </w:tr>
      <w:tr w14:paraId="13934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7" w:hRule="atLeast"/>
          <w:jc w:val="center"/>
        </w:trPr>
        <w:tc>
          <w:tcPr>
            <w:tcW w:w="266" w:type="pct"/>
            <w:vAlign w:val="center"/>
          </w:tcPr>
          <w:p w14:paraId="21C93437">
            <w:pPr>
              <w:pStyle w:val="18"/>
              <w:ind w:firstLine="0" w:firstLineChars="0"/>
              <w:jc w:val="center"/>
              <w:rPr>
                <w:rFonts w:hint="eastAsia" w:hAnsi="宋体" w:cs="宋体"/>
                <w:color w:val="auto"/>
                <w:szCs w:val="21"/>
                <w:highlight w:val="none"/>
              </w:rPr>
            </w:pPr>
            <w:r>
              <w:rPr>
                <w:rFonts w:hint="eastAsia" w:hAnsi="宋体" w:cs="宋体"/>
                <w:color w:val="auto"/>
                <w:szCs w:val="21"/>
                <w:highlight w:val="none"/>
              </w:rPr>
              <w:t>1</w:t>
            </w:r>
          </w:p>
        </w:tc>
        <w:tc>
          <w:tcPr>
            <w:tcW w:w="676" w:type="pct"/>
            <w:vAlign w:val="center"/>
          </w:tcPr>
          <w:p w14:paraId="149732DB">
            <w:pPr>
              <w:pStyle w:val="18"/>
              <w:ind w:firstLine="0" w:firstLineChars="0"/>
              <w:rPr>
                <w:rFonts w:hint="eastAsia" w:hAnsi="宋体" w:cs="宋体"/>
                <w:color w:val="auto"/>
                <w:szCs w:val="21"/>
                <w:highlight w:val="none"/>
              </w:rPr>
            </w:pPr>
          </w:p>
        </w:tc>
        <w:tc>
          <w:tcPr>
            <w:tcW w:w="1182" w:type="pct"/>
            <w:vAlign w:val="center"/>
          </w:tcPr>
          <w:p w14:paraId="7EA8052F">
            <w:pPr>
              <w:pStyle w:val="18"/>
              <w:rPr>
                <w:rFonts w:hint="eastAsia" w:hAnsi="宋体" w:cs="宋体"/>
                <w:color w:val="auto"/>
                <w:szCs w:val="21"/>
                <w:highlight w:val="none"/>
              </w:rPr>
            </w:pPr>
          </w:p>
        </w:tc>
        <w:tc>
          <w:tcPr>
            <w:tcW w:w="793" w:type="pct"/>
            <w:vAlign w:val="center"/>
          </w:tcPr>
          <w:p w14:paraId="4FD14364">
            <w:pPr>
              <w:pStyle w:val="18"/>
              <w:rPr>
                <w:rFonts w:hint="eastAsia" w:hAnsi="宋体" w:cs="宋体"/>
                <w:color w:val="auto"/>
                <w:szCs w:val="21"/>
                <w:highlight w:val="none"/>
              </w:rPr>
            </w:pPr>
          </w:p>
        </w:tc>
        <w:tc>
          <w:tcPr>
            <w:tcW w:w="697" w:type="pct"/>
          </w:tcPr>
          <w:p w14:paraId="6833E18B">
            <w:pPr>
              <w:pStyle w:val="18"/>
              <w:rPr>
                <w:rFonts w:hint="eastAsia" w:hAnsi="宋体" w:cs="宋体"/>
                <w:color w:val="auto"/>
                <w:szCs w:val="21"/>
                <w:highlight w:val="none"/>
              </w:rPr>
            </w:pPr>
          </w:p>
        </w:tc>
        <w:tc>
          <w:tcPr>
            <w:tcW w:w="1010" w:type="pct"/>
            <w:vAlign w:val="center"/>
          </w:tcPr>
          <w:p w14:paraId="21072398">
            <w:pPr>
              <w:pStyle w:val="18"/>
              <w:rPr>
                <w:rFonts w:hint="eastAsia" w:hAnsi="宋体" w:cs="宋体"/>
                <w:color w:val="auto"/>
                <w:szCs w:val="21"/>
                <w:highlight w:val="none"/>
              </w:rPr>
            </w:pPr>
          </w:p>
        </w:tc>
        <w:tc>
          <w:tcPr>
            <w:tcW w:w="371" w:type="pct"/>
            <w:vAlign w:val="center"/>
          </w:tcPr>
          <w:p w14:paraId="0123F54F">
            <w:pPr>
              <w:pStyle w:val="18"/>
              <w:ind w:firstLine="396"/>
              <w:rPr>
                <w:rFonts w:hint="eastAsia" w:hAnsi="宋体" w:cs="宋体"/>
                <w:color w:val="auto"/>
                <w:spacing w:val="-6"/>
                <w:szCs w:val="21"/>
                <w:highlight w:val="none"/>
              </w:rPr>
            </w:pPr>
          </w:p>
        </w:tc>
      </w:tr>
    </w:tbl>
    <w:p w14:paraId="30C8B287">
      <w:pPr>
        <w:pStyle w:val="18"/>
        <w:ind w:left="368" w:leftChars="175" w:firstLine="422"/>
        <w:rPr>
          <w:rFonts w:hint="eastAsia" w:hAnsi="宋体" w:cs="宋体"/>
          <w:b/>
          <w:color w:val="auto"/>
          <w:szCs w:val="21"/>
          <w:highlight w:val="none"/>
        </w:rPr>
      </w:pPr>
    </w:p>
    <w:tbl>
      <w:tblPr>
        <w:tblStyle w:val="34"/>
        <w:tblW w:w="0" w:type="auto"/>
        <w:jc w:val="right"/>
        <w:tblLayout w:type="fixed"/>
        <w:tblCellMar>
          <w:top w:w="0" w:type="dxa"/>
          <w:left w:w="108" w:type="dxa"/>
          <w:bottom w:w="0" w:type="dxa"/>
          <w:right w:w="108" w:type="dxa"/>
        </w:tblCellMar>
      </w:tblPr>
      <w:tblGrid>
        <w:gridCol w:w="1930"/>
        <w:gridCol w:w="4037"/>
      </w:tblGrid>
      <w:tr w14:paraId="3DE0FFA9">
        <w:tblPrEx>
          <w:tblCellMar>
            <w:top w:w="0" w:type="dxa"/>
            <w:left w:w="108" w:type="dxa"/>
            <w:bottom w:w="0" w:type="dxa"/>
            <w:right w:w="108" w:type="dxa"/>
          </w:tblCellMar>
        </w:tblPrEx>
        <w:trPr>
          <w:trHeight w:val="268" w:hRule="atLeast"/>
          <w:jc w:val="right"/>
        </w:trPr>
        <w:tc>
          <w:tcPr>
            <w:tcW w:w="1930" w:type="dxa"/>
            <w:vAlign w:val="center"/>
          </w:tcPr>
          <w:p w14:paraId="2EBA29DD">
            <w:pPr>
              <w:pStyle w:val="158"/>
              <w:ind w:firstLine="0" w:firstLineChars="0"/>
              <w:jc w:val="left"/>
              <w:rPr>
                <w:rFonts w:hint="eastAsia" w:hAnsi="宋体" w:cs="宋体"/>
                <w:color w:val="auto"/>
                <w:sz w:val="21"/>
                <w:szCs w:val="21"/>
                <w:highlight w:val="none"/>
              </w:rPr>
            </w:pPr>
            <w:r>
              <w:rPr>
                <w:rFonts w:hint="eastAsia" w:hAnsi="宋体" w:cs="宋体"/>
                <w:color w:val="auto"/>
                <w:sz w:val="21"/>
                <w:szCs w:val="21"/>
                <w:highlight w:val="none"/>
              </w:rPr>
              <w:t>投标人：</w:t>
            </w:r>
          </w:p>
        </w:tc>
        <w:tc>
          <w:tcPr>
            <w:tcW w:w="4037" w:type="dxa"/>
            <w:tcBorders>
              <w:bottom w:val="single" w:color="auto" w:sz="4" w:space="0"/>
            </w:tcBorders>
          </w:tcPr>
          <w:p w14:paraId="1A2B6FD6">
            <w:pPr>
              <w:pStyle w:val="158"/>
              <w:rPr>
                <w:rFonts w:hint="eastAsia" w:hAnsi="宋体" w:cs="宋体"/>
                <w:color w:val="auto"/>
                <w:sz w:val="21"/>
                <w:szCs w:val="21"/>
                <w:highlight w:val="none"/>
              </w:rPr>
            </w:pPr>
            <w:r>
              <w:rPr>
                <w:rFonts w:hint="eastAsia" w:hAnsi="宋体" w:cs="宋体"/>
                <w:color w:val="auto"/>
                <w:sz w:val="21"/>
                <w:szCs w:val="21"/>
                <w:highlight w:val="none"/>
              </w:rPr>
              <w:t>（电子签章）</w:t>
            </w:r>
          </w:p>
        </w:tc>
      </w:tr>
      <w:tr w14:paraId="5D805C7B">
        <w:tblPrEx>
          <w:tblCellMar>
            <w:top w:w="0" w:type="dxa"/>
            <w:left w:w="108" w:type="dxa"/>
            <w:bottom w:w="0" w:type="dxa"/>
            <w:right w:w="108" w:type="dxa"/>
          </w:tblCellMar>
        </w:tblPrEx>
        <w:trPr>
          <w:trHeight w:val="495" w:hRule="atLeast"/>
          <w:jc w:val="right"/>
        </w:trPr>
        <w:tc>
          <w:tcPr>
            <w:tcW w:w="1930" w:type="dxa"/>
            <w:vAlign w:val="center"/>
          </w:tcPr>
          <w:p w14:paraId="37A302A7">
            <w:pPr>
              <w:pStyle w:val="158"/>
              <w:ind w:firstLine="0" w:firstLineChars="0"/>
              <w:jc w:val="left"/>
              <w:rPr>
                <w:rFonts w:hint="eastAsia" w:hAnsi="宋体" w:cs="宋体"/>
                <w:color w:val="auto"/>
                <w:sz w:val="21"/>
                <w:szCs w:val="21"/>
                <w:highlight w:val="none"/>
              </w:rPr>
            </w:pPr>
            <w:r>
              <w:rPr>
                <w:rFonts w:hint="eastAsia" w:hAnsi="宋体" w:cs="宋体"/>
                <w:color w:val="auto"/>
                <w:sz w:val="21"/>
                <w:szCs w:val="21"/>
                <w:highlight w:val="none"/>
              </w:rPr>
              <w:t>法定代表人：</w:t>
            </w:r>
          </w:p>
        </w:tc>
        <w:tc>
          <w:tcPr>
            <w:tcW w:w="4037" w:type="dxa"/>
            <w:tcBorders>
              <w:bottom w:val="single" w:color="auto" w:sz="4" w:space="0"/>
            </w:tcBorders>
          </w:tcPr>
          <w:p w14:paraId="2A926223">
            <w:pPr>
              <w:pStyle w:val="158"/>
              <w:rPr>
                <w:rFonts w:hint="eastAsia" w:hAnsi="宋体" w:cs="宋体"/>
                <w:color w:val="auto"/>
                <w:sz w:val="21"/>
                <w:szCs w:val="21"/>
                <w:highlight w:val="none"/>
              </w:rPr>
            </w:pPr>
            <w:r>
              <w:rPr>
                <w:rFonts w:hint="eastAsia" w:hAnsi="宋体" w:cs="宋体"/>
                <w:color w:val="auto"/>
                <w:sz w:val="21"/>
                <w:szCs w:val="21"/>
                <w:highlight w:val="none"/>
              </w:rPr>
              <w:t>（电子签章）</w:t>
            </w:r>
          </w:p>
        </w:tc>
      </w:tr>
      <w:tr w14:paraId="57F640BA">
        <w:tblPrEx>
          <w:tblCellMar>
            <w:top w:w="0" w:type="dxa"/>
            <w:left w:w="108" w:type="dxa"/>
            <w:bottom w:w="0" w:type="dxa"/>
            <w:right w:w="108" w:type="dxa"/>
          </w:tblCellMar>
        </w:tblPrEx>
        <w:trPr>
          <w:trHeight w:val="495" w:hRule="atLeast"/>
          <w:jc w:val="right"/>
        </w:trPr>
        <w:tc>
          <w:tcPr>
            <w:tcW w:w="1930" w:type="dxa"/>
            <w:vAlign w:val="center"/>
          </w:tcPr>
          <w:p w14:paraId="4F0391B0">
            <w:pPr>
              <w:pStyle w:val="158"/>
              <w:ind w:firstLine="0" w:firstLineChars="0"/>
              <w:jc w:val="left"/>
              <w:rPr>
                <w:rFonts w:hint="eastAsia" w:hAnsi="宋体" w:cs="宋体"/>
                <w:color w:val="auto"/>
                <w:sz w:val="21"/>
                <w:szCs w:val="21"/>
                <w:highlight w:val="none"/>
              </w:rPr>
            </w:pPr>
            <w:r>
              <w:rPr>
                <w:rFonts w:hint="eastAsia" w:hAnsi="宋体" w:cs="宋体"/>
                <w:color w:val="auto"/>
                <w:sz w:val="21"/>
                <w:szCs w:val="21"/>
                <w:highlight w:val="none"/>
              </w:rPr>
              <w:t>日期：</w:t>
            </w:r>
          </w:p>
        </w:tc>
        <w:tc>
          <w:tcPr>
            <w:tcW w:w="4037" w:type="dxa"/>
            <w:tcBorders>
              <w:top w:val="single" w:color="auto" w:sz="4" w:space="0"/>
              <w:bottom w:val="single" w:color="auto" w:sz="4" w:space="0"/>
            </w:tcBorders>
          </w:tcPr>
          <w:p w14:paraId="4C911553">
            <w:pPr>
              <w:pStyle w:val="158"/>
              <w:rPr>
                <w:rFonts w:hint="eastAsia" w:hAnsi="宋体" w:cs="宋体"/>
                <w:color w:val="auto"/>
                <w:sz w:val="21"/>
                <w:szCs w:val="21"/>
                <w:highlight w:val="none"/>
              </w:rPr>
            </w:pPr>
          </w:p>
        </w:tc>
      </w:tr>
      <w:tr w14:paraId="7F095927">
        <w:tblPrEx>
          <w:tblCellMar>
            <w:top w:w="0" w:type="dxa"/>
            <w:left w:w="108" w:type="dxa"/>
            <w:bottom w:w="0" w:type="dxa"/>
            <w:right w:w="108" w:type="dxa"/>
          </w:tblCellMar>
        </w:tblPrEx>
        <w:trPr>
          <w:trHeight w:val="495" w:hRule="atLeast"/>
          <w:jc w:val="right"/>
        </w:trPr>
        <w:tc>
          <w:tcPr>
            <w:tcW w:w="1930" w:type="dxa"/>
            <w:vAlign w:val="center"/>
          </w:tcPr>
          <w:p w14:paraId="2E041A72">
            <w:pPr>
              <w:pStyle w:val="158"/>
              <w:ind w:firstLine="0" w:firstLineChars="0"/>
              <w:jc w:val="left"/>
              <w:rPr>
                <w:rFonts w:hint="eastAsia" w:hAnsi="宋体" w:cs="宋体"/>
                <w:color w:val="auto"/>
                <w:sz w:val="21"/>
                <w:szCs w:val="21"/>
                <w:highlight w:val="none"/>
              </w:rPr>
            </w:pPr>
            <w:r>
              <w:rPr>
                <w:rFonts w:hint="eastAsia" w:hAnsi="宋体" w:cs="宋体"/>
                <w:color w:val="auto"/>
                <w:sz w:val="21"/>
                <w:szCs w:val="21"/>
                <w:highlight w:val="none"/>
              </w:rPr>
              <w:t>地址：</w:t>
            </w:r>
          </w:p>
        </w:tc>
        <w:tc>
          <w:tcPr>
            <w:tcW w:w="4037" w:type="dxa"/>
            <w:tcBorders>
              <w:top w:val="single" w:color="auto" w:sz="4" w:space="0"/>
              <w:bottom w:val="single" w:color="auto" w:sz="4" w:space="0"/>
            </w:tcBorders>
          </w:tcPr>
          <w:p w14:paraId="212EC960">
            <w:pPr>
              <w:pStyle w:val="158"/>
              <w:rPr>
                <w:rFonts w:hint="eastAsia" w:hAnsi="宋体" w:cs="宋体"/>
                <w:color w:val="auto"/>
                <w:sz w:val="21"/>
                <w:szCs w:val="21"/>
                <w:highlight w:val="none"/>
              </w:rPr>
            </w:pPr>
          </w:p>
        </w:tc>
      </w:tr>
      <w:tr w14:paraId="7A2413ED">
        <w:tblPrEx>
          <w:tblCellMar>
            <w:top w:w="0" w:type="dxa"/>
            <w:left w:w="108" w:type="dxa"/>
            <w:bottom w:w="0" w:type="dxa"/>
            <w:right w:w="108" w:type="dxa"/>
          </w:tblCellMar>
        </w:tblPrEx>
        <w:trPr>
          <w:trHeight w:val="495" w:hRule="atLeast"/>
          <w:jc w:val="right"/>
        </w:trPr>
        <w:tc>
          <w:tcPr>
            <w:tcW w:w="1930" w:type="dxa"/>
            <w:vAlign w:val="center"/>
          </w:tcPr>
          <w:p w14:paraId="05B9CB6C">
            <w:pPr>
              <w:pStyle w:val="158"/>
              <w:ind w:firstLine="0" w:firstLineChars="0"/>
              <w:jc w:val="left"/>
              <w:rPr>
                <w:rFonts w:hint="eastAsia" w:hAnsi="宋体" w:cs="宋体"/>
                <w:color w:val="auto"/>
                <w:sz w:val="21"/>
                <w:szCs w:val="21"/>
                <w:highlight w:val="none"/>
              </w:rPr>
            </w:pPr>
            <w:r>
              <w:rPr>
                <w:rFonts w:hint="eastAsia" w:hAnsi="宋体" w:cs="宋体"/>
                <w:color w:val="auto"/>
                <w:sz w:val="21"/>
                <w:szCs w:val="21"/>
                <w:highlight w:val="none"/>
              </w:rPr>
              <w:t>邮编：</w:t>
            </w:r>
          </w:p>
        </w:tc>
        <w:tc>
          <w:tcPr>
            <w:tcW w:w="4037" w:type="dxa"/>
            <w:tcBorders>
              <w:top w:val="single" w:color="auto" w:sz="4" w:space="0"/>
              <w:bottom w:val="single" w:color="auto" w:sz="4" w:space="0"/>
            </w:tcBorders>
          </w:tcPr>
          <w:p w14:paraId="52693113">
            <w:pPr>
              <w:pStyle w:val="158"/>
              <w:rPr>
                <w:rFonts w:hint="eastAsia" w:hAnsi="宋体" w:cs="宋体"/>
                <w:color w:val="auto"/>
                <w:sz w:val="21"/>
                <w:szCs w:val="21"/>
                <w:highlight w:val="none"/>
              </w:rPr>
            </w:pPr>
          </w:p>
        </w:tc>
      </w:tr>
      <w:tr w14:paraId="5EEECA0B">
        <w:tblPrEx>
          <w:tblCellMar>
            <w:top w:w="0" w:type="dxa"/>
            <w:left w:w="108" w:type="dxa"/>
            <w:bottom w:w="0" w:type="dxa"/>
            <w:right w:w="108" w:type="dxa"/>
          </w:tblCellMar>
        </w:tblPrEx>
        <w:trPr>
          <w:trHeight w:val="495" w:hRule="atLeast"/>
          <w:jc w:val="right"/>
        </w:trPr>
        <w:tc>
          <w:tcPr>
            <w:tcW w:w="1930" w:type="dxa"/>
            <w:vAlign w:val="center"/>
          </w:tcPr>
          <w:p w14:paraId="5D7770B1">
            <w:pPr>
              <w:pStyle w:val="158"/>
              <w:ind w:firstLine="0" w:firstLineChars="0"/>
              <w:jc w:val="left"/>
              <w:rPr>
                <w:rFonts w:hint="eastAsia" w:hAnsi="宋体" w:cs="宋体"/>
                <w:color w:val="auto"/>
                <w:sz w:val="21"/>
                <w:szCs w:val="21"/>
                <w:highlight w:val="none"/>
              </w:rPr>
            </w:pPr>
            <w:r>
              <w:rPr>
                <w:rFonts w:hint="eastAsia" w:hAnsi="宋体" w:cs="宋体"/>
                <w:color w:val="auto"/>
                <w:sz w:val="21"/>
                <w:szCs w:val="21"/>
                <w:highlight w:val="none"/>
              </w:rPr>
              <w:t>电话：</w:t>
            </w:r>
          </w:p>
        </w:tc>
        <w:tc>
          <w:tcPr>
            <w:tcW w:w="4037" w:type="dxa"/>
            <w:tcBorders>
              <w:top w:val="single" w:color="auto" w:sz="4" w:space="0"/>
              <w:bottom w:val="single" w:color="auto" w:sz="4" w:space="0"/>
            </w:tcBorders>
          </w:tcPr>
          <w:p w14:paraId="305FD86A">
            <w:pPr>
              <w:pStyle w:val="158"/>
              <w:rPr>
                <w:rFonts w:hint="eastAsia" w:hAnsi="宋体" w:cs="宋体"/>
                <w:color w:val="auto"/>
                <w:sz w:val="21"/>
                <w:szCs w:val="21"/>
                <w:highlight w:val="none"/>
              </w:rPr>
            </w:pPr>
          </w:p>
        </w:tc>
      </w:tr>
      <w:tr w14:paraId="4B2739FA">
        <w:tblPrEx>
          <w:tblCellMar>
            <w:top w:w="0" w:type="dxa"/>
            <w:left w:w="108" w:type="dxa"/>
            <w:bottom w:w="0" w:type="dxa"/>
            <w:right w:w="108" w:type="dxa"/>
          </w:tblCellMar>
        </w:tblPrEx>
        <w:trPr>
          <w:trHeight w:val="495" w:hRule="atLeast"/>
          <w:jc w:val="right"/>
        </w:trPr>
        <w:tc>
          <w:tcPr>
            <w:tcW w:w="1930" w:type="dxa"/>
          </w:tcPr>
          <w:p w14:paraId="7F9B4660">
            <w:pPr>
              <w:pStyle w:val="158"/>
              <w:ind w:firstLine="0" w:firstLineChars="0"/>
              <w:jc w:val="left"/>
              <w:rPr>
                <w:rFonts w:hint="eastAsia" w:hAnsi="宋体" w:cs="宋体"/>
                <w:color w:val="auto"/>
                <w:sz w:val="21"/>
                <w:szCs w:val="21"/>
                <w:highlight w:val="none"/>
              </w:rPr>
            </w:pPr>
            <w:r>
              <w:rPr>
                <w:rFonts w:hint="eastAsia" w:hAnsi="宋体" w:cs="宋体"/>
                <w:color w:val="auto"/>
                <w:sz w:val="21"/>
                <w:szCs w:val="21"/>
                <w:highlight w:val="none"/>
              </w:rPr>
              <w:t>传真：</w:t>
            </w:r>
          </w:p>
        </w:tc>
        <w:tc>
          <w:tcPr>
            <w:tcW w:w="4037" w:type="dxa"/>
            <w:tcBorders>
              <w:top w:val="single" w:color="auto" w:sz="4" w:space="0"/>
              <w:bottom w:val="single" w:color="auto" w:sz="4" w:space="0"/>
            </w:tcBorders>
          </w:tcPr>
          <w:p w14:paraId="63ACF058">
            <w:pPr>
              <w:pStyle w:val="158"/>
              <w:rPr>
                <w:rFonts w:hint="eastAsia" w:hAnsi="宋体" w:cs="宋体"/>
                <w:color w:val="auto"/>
                <w:sz w:val="21"/>
                <w:szCs w:val="21"/>
                <w:highlight w:val="none"/>
              </w:rPr>
            </w:pPr>
          </w:p>
        </w:tc>
      </w:tr>
    </w:tbl>
    <w:p w14:paraId="04763A16">
      <w:pPr>
        <w:pStyle w:val="2"/>
        <w:ind w:firstLine="851"/>
        <w:rPr>
          <w:rFonts w:hint="eastAsia" w:ascii="宋体" w:hAnsi="宋体" w:eastAsia="宋体" w:cs="宋体"/>
          <w:color w:val="auto"/>
          <w:highlight w:val="none"/>
        </w:rPr>
        <w:sectPr>
          <w:headerReference r:id="rId10" w:type="first"/>
          <w:footerReference r:id="rId12" w:type="first"/>
          <w:headerReference r:id="rId9" w:type="default"/>
          <w:footerReference r:id="rId11" w:type="default"/>
          <w:pgSz w:w="16838" w:h="11906" w:orient="landscape"/>
          <w:pgMar w:top="1440" w:right="1800" w:bottom="1440" w:left="1800" w:header="964" w:footer="283" w:gutter="0"/>
          <w:cols w:space="708" w:num="1"/>
          <w:titlePg/>
          <w:docGrid w:linePitch="312" w:charSpace="0"/>
        </w:sectPr>
      </w:pPr>
    </w:p>
    <w:p w14:paraId="4C227B2C">
      <w:pPr>
        <w:pStyle w:val="168"/>
        <w:snapToGrid w:val="0"/>
        <w:spacing w:before="0" w:after="0" w:line="360" w:lineRule="auto"/>
        <w:ind w:left="342" w:hanging="367" w:hangingChars="122"/>
        <w:outlineLvl w:val="2"/>
        <w:rPr>
          <w:rFonts w:hint="eastAsia" w:ascii="宋体" w:hAnsi="宋体" w:cs="宋体"/>
          <w:color w:val="auto"/>
          <w:spacing w:val="10"/>
          <w:szCs w:val="24"/>
          <w:highlight w:val="none"/>
        </w:rPr>
      </w:pPr>
      <w:bookmarkStart w:id="104" w:name="_Toc7201"/>
      <w:bookmarkStart w:id="105" w:name="_Toc25804"/>
      <w:bookmarkStart w:id="106" w:name="_Toc417634881"/>
      <w:bookmarkStart w:id="107" w:name="_Toc30102"/>
      <w:bookmarkStart w:id="108" w:name="_Toc12377"/>
      <w:bookmarkStart w:id="109" w:name="_Toc381270139"/>
      <w:r>
        <w:rPr>
          <w:rFonts w:hint="eastAsia" w:ascii="宋体" w:hAnsi="宋体" w:cs="宋体"/>
          <w:color w:val="auto"/>
          <w:spacing w:val="10"/>
          <w:szCs w:val="24"/>
          <w:highlight w:val="none"/>
        </w:rPr>
        <w:t>四、投标车辆主要总成一览表</w:t>
      </w:r>
      <w:bookmarkEnd w:id="104"/>
      <w:bookmarkEnd w:id="105"/>
      <w:bookmarkEnd w:id="106"/>
      <w:bookmarkEnd w:id="107"/>
      <w:bookmarkEnd w:id="108"/>
      <w:bookmarkEnd w:id="109"/>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2"/>
        <w:gridCol w:w="2177"/>
        <w:gridCol w:w="1510"/>
        <w:gridCol w:w="1510"/>
        <w:gridCol w:w="1979"/>
        <w:gridCol w:w="1042"/>
      </w:tblGrid>
      <w:tr w14:paraId="0C65E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42" w:type="dxa"/>
            <w:vAlign w:val="center"/>
          </w:tcPr>
          <w:p w14:paraId="1CB67A1F">
            <w:pPr>
              <w:pStyle w:val="18"/>
              <w:ind w:firstLine="0" w:firstLineChars="0"/>
              <w:jc w:val="center"/>
              <w:rPr>
                <w:rFonts w:hint="eastAsia" w:hAnsi="宋体" w:cs="宋体"/>
                <w:color w:val="auto"/>
                <w:sz w:val="28"/>
                <w:szCs w:val="28"/>
                <w:highlight w:val="none"/>
              </w:rPr>
            </w:pPr>
            <w:r>
              <w:rPr>
                <w:rFonts w:hint="eastAsia" w:hAnsi="宋体" w:cs="宋体"/>
                <w:color w:val="auto"/>
                <w:sz w:val="28"/>
                <w:szCs w:val="28"/>
                <w:highlight w:val="none"/>
              </w:rPr>
              <w:t>序号</w:t>
            </w:r>
          </w:p>
        </w:tc>
        <w:tc>
          <w:tcPr>
            <w:tcW w:w="2177" w:type="dxa"/>
            <w:vAlign w:val="center"/>
          </w:tcPr>
          <w:p w14:paraId="32C79F8A">
            <w:pPr>
              <w:pStyle w:val="18"/>
              <w:ind w:firstLine="0" w:firstLineChars="0"/>
              <w:jc w:val="center"/>
              <w:rPr>
                <w:rFonts w:hint="eastAsia" w:hAnsi="宋体" w:cs="宋体"/>
                <w:color w:val="auto"/>
                <w:sz w:val="28"/>
                <w:szCs w:val="28"/>
                <w:highlight w:val="none"/>
              </w:rPr>
            </w:pPr>
            <w:r>
              <w:rPr>
                <w:rFonts w:hint="eastAsia" w:hAnsi="宋体" w:cs="宋体"/>
                <w:color w:val="auto"/>
                <w:sz w:val="28"/>
                <w:szCs w:val="28"/>
                <w:highlight w:val="none"/>
              </w:rPr>
              <w:t>名称</w:t>
            </w:r>
          </w:p>
        </w:tc>
        <w:tc>
          <w:tcPr>
            <w:tcW w:w="1510" w:type="dxa"/>
            <w:vAlign w:val="center"/>
          </w:tcPr>
          <w:p w14:paraId="4617CC81">
            <w:pPr>
              <w:pStyle w:val="18"/>
              <w:ind w:firstLine="0" w:firstLineChars="0"/>
              <w:jc w:val="center"/>
              <w:rPr>
                <w:rFonts w:hint="eastAsia" w:hAnsi="宋体" w:cs="宋体"/>
                <w:color w:val="auto"/>
                <w:sz w:val="28"/>
                <w:szCs w:val="28"/>
                <w:highlight w:val="none"/>
              </w:rPr>
            </w:pPr>
            <w:r>
              <w:rPr>
                <w:rFonts w:hint="eastAsia" w:hAnsi="宋体" w:cs="宋体"/>
                <w:color w:val="auto"/>
                <w:sz w:val="28"/>
                <w:szCs w:val="28"/>
                <w:highlight w:val="none"/>
              </w:rPr>
              <w:t>原产地</w:t>
            </w:r>
          </w:p>
        </w:tc>
        <w:tc>
          <w:tcPr>
            <w:tcW w:w="1510" w:type="dxa"/>
            <w:vAlign w:val="center"/>
          </w:tcPr>
          <w:p w14:paraId="683FF6BA">
            <w:pPr>
              <w:pStyle w:val="18"/>
              <w:ind w:firstLine="0" w:firstLineChars="0"/>
              <w:jc w:val="center"/>
              <w:rPr>
                <w:rFonts w:hint="eastAsia" w:hAnsi="宋体" w:cs="宋体"/>
                <w:color w:val="auto"/>
                <w:sz w:val="28"/>
                <w:szCs w:val="28"/>
                <w:highlight w:val="none"/>
              </w:rPr>
            </w:pPr>
            <w:r>
              <w:rPr>
                <w:rFonts w:hint="eastAsia" w:hAnsi="宋体" w:cs="宋体"/>
                <w:color w:val="auto"/>
                <w:sz w:val="28"/>
                <w:szCs w:val="28"/>
                <w:highlight w:val="none"/>
              </w:rPr>
              <w:t>型号</w:t>
            </w:r>
          </w:p>
        </w:tc>
        <w:tc>
          <w:tcPr>
            <w:tcW w:w="1979" w:type="dxa"/>
            <w:vAlign w:val="center"/>
          </w:tcPr>
          <w:p w14:paraId="69E41FDF">
            <w:pPr>
              <w:pStyle w:val="18"/>
              <w:ind w:firstLine="0" w:firstLineChars="0"/>
              <w:jc w:val="center"/>
              <w:rPr>
                <w:rFonts w:hint="eastAsia" w:hAnsi="宋体" w:cs="宋体"/>
                <w:color w:val="auto"/>
                <w:sz w:val="28"/>
                <w:szCs w:val="28"/>
                <w:highlight w:val="none"/>
              </w:rPr>
            </w:pPr>
            <w:r>
              <w:rPr>
                <w:rFonts w:hint="eastAsia" w:hAnsi="宋体" w:cs="宋体"/>
                <w:color w:val="auto"/>
                <w:sz w:val="28"/>
                <w:szCs w:val="28"/>
                <w:highlight w:val="none"/>
              </w:rPr>
              <w:t>单价（万元）</w:t>
            </w:r>
          </w:p>
        </w:tc>
        <w:tc>
          <w:tcPr>
            <w:tcW w:w="1042" w:type="dxa"/>
            <w:vAlign w:val="center"/>
          </w:tcPr>
          <w:p w14:paraId="18CD4046">
            <w:pPr>
              <w:pStyle w:val="18"/>
              <w:ind w:firstLine="0" w:firstLineChars="0"/>
              <w:jc w:val="center"/>
              <w:rPr>
                <w:rFonts w:hint="eastAsia" w:hAnsi="宋体" w:cs="宋体"/>
                <w:color w:val="auto"/>
                <w:sz w:val="28"/>
                <w:szCs w:val="28"/>
                <w:highlight w:val="none"/>
              </w:rPr>
            </w:pPr>
            <w:r>
              <w:rPr>
                <w:rFonts w:hint="eastAsia" w:hAnsi="宋体" w:cs="宋体"/>
                <w:color w:val="auto"/>
                <w:sz w:val="28"/>
                <w:szCs w:val="28"/>
                <w:highlight w:val="none"/>
              </w:rPr>
              <w:t>备注</w:t>
            </w:r>
          </w:p>
        </w:tc>
      </w:tr>
      <w:tr w14:paraId="7DE9A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42" w:type="dxa"/>
            <w:vAlign w:val="center"/>
          </w:tcPr>
          <w:p w14:paraId="2051A7B9">
            <w:pPr>
              <w:pStyle w:val="18"/>
              <w:ind w:firstLine="0" w:firstLineChars="0"/>
              <w:jc w:val="center"/>
              <w:rPr>
                <w:rFonts w:hint="eastAsia" w:hAnsi="宋体" w:cs="宋体"/>
                <w:color w:val="auto"/>
                <w:sz w:val="28"/>
                <w:szCs w:val="28"/>
                <w:highlight w:val="none"/>
              </w:rPr>
            </w:pPr>
            <w:r>
              <w:rPr>
                <w:rFonts w:hint="eastAsia" w:hAnsi="宋体" w:cs="宋体"/>
                <w:color w:val="auto"/>
                <w:sz w:val="28"/>
                <w:szCs w:val="28"/>
                <w:highlight w:val="none"/>
              </w:rPr>
              <w:t>1</w:t>
            </w:r>
          </w:p>
        </w:tc>
        <w:tc>
          <w:tcPr>
            <w:tcW w:w="2177" w:type="dxa"/>
            <w:vAlign w:val="center"/>
          </w:tcPr>
          <w:p w14:paraId="21C0FF36">
            <w:pPr>
              <w:pStyle w:val="18"/>
              <w:ind w:firstLine="0" w:firstLineChars="0"/>
              <w:jc w:val="center"/>
              <w:rPr>
                <w:rFonts w:hint="eastAsia" w:hAnsi="宋体" w:cs="宋体"/>
                <w:color w:val="auto"/>
                <w:sz w:val="28"/>
                <w:szCs w:val="28"/>
                <w:highlight w:val="none"/>
              </w:rPr>
            </w:pPr>
          </w:p>
        </w:tc>
        <w:tc>
          <w:tcPr>
            <w:tcW w:w="1510" w:type="dxa"/>
            <w:vAlign w:val="center"/>
          </w:tcPr>
          <w:p w14:paraId="2000B310">
            <w:pPr>
              <w:pStyle w:val="18"/>
              <w:ind w:firstLine="0" w:firstLineChars="0"/>
              <w:jc w:val="center"/>
              <w:rPr>
                <w:rFonts w:hint="eastAsia" w:hAnsi="宋体" w:cs="宋体"/>
                <w:color w:val="auto"/>
                <w:sz w:val="28"/>
                <w:szCs w:val="28"/>
                <w:highlight w:val="none"/>
              </w:rPr>
            </w:pPr>
          </w:p>
        </w:tc>
        <w:tc>
          <w:tcPr>
            <w:tcW w:w="1510" w:type="dxa"/>
            <w:vAlign w:val="center"/>
          </w:tcPr>
          <w:p w14:paraId="3798CE75">
            <w:pPr>
              <w:pStyle w:val="18"/>
              <w:ind w:firstLine="0" w:firstLineChars="0"/>
              <w:jc w:val="center"/>
              <w:rPr>
                <w:rFonts w:hint="eastAsia" w:hAnsi="宋体" w:cs="宋体"/>
                <w:color w:val="auto"/>
                <w:sz w:val="28"/>
                <w:szCs w:val="28"/>
                <w:highlight w:val="none"/>
              </w:rPr>
            </w:pPr>
          </w:p>
        </w:tc>
        <w:tc>
          <w:tcPr>
            <w:tcW w:w="1979" w:type="dxa"/>
            <w:vAlign w:val="center"/>
          </w:tcPr>
          <w:p w14:paraId="365446DC">
            <w:pPr>
              <w:pStyle w:val="18"/>
              <w:ind w:firstLine="0" w:firstLineChars="0"/>
              <w:jc w:val="center"/>
              <w:rPr>
                <w:rFonts w:hint="eastAsia" w:hAnsi="宋体" w:cs="宋体"/>
                <w:color w:val="auto"/>
                <w:sz w:val="28"/>
                <w:szCs w:val="28"/>
                <w:highlight w:val="none"/>
              </w:rPr>
            </w:pPr>
          </w:p>
        </w:tc>
        <w:tc>
          <w:tcPr>
            <w:tcW w:w="1042" w:type="dxa"/>
            <w:vAlign w:val="center"/>
          </w:tcPr>
          <w:p w14:paraId="597874B3">
            <w:pPr>
              <w:pStyle w:val="18"/>
              <w:ind w:firstLine="0" w:firstLineChars="0"/>
              <w:jc w:val="center"/>
              <w:rPr>
                <w:rFonts w:hint="eastAsia" w:hAnsi="宋体" w:cs="宋体"/>
                <w:color w:val="auto"/>
                <w:sz w:val="28"/>
                <w:szCs w:val="28"/>
                <w:highlight w:val="none"/>
              </w:rPr>
            </w:pPr>
          </w:p>
        </w:tc>
      </w:tr>
      <w:tr w14:paraId="6ADB4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42" w:type="dxa"/>
            <w:vAlign w:val="center"/>
          </w:tcPr>
          <w:p w14:paraId="76B8AE69">
            <w:pPr>
              <w:pStyle w:val="18"/>
              <w:ind w:firstLine="0" w:firstLineChars="0"/>
              <w:jc w:val="center"/>
              <w:rPr>
                <w:rFonts w:hint="eastAsia" w:hAnsi="宋体" w:cs="宋体"/>
                <w:color w:val="auto"/>
                <w:sz w:val="28"/>
                <w:szCs w:val="28"/>
                <w:highlight w:val="none"/>
              </w:rPr>
            </w:pPr>
            <w:r>
              <w:rPr>
                <w:rFonts w:hint="eastAsia" w:hAnsi="宋体" w:cs="宋体"/>
                <w:color w:val="auto"/>
                <w:sz w:val="28"/>
                <w:szCs w:val="28"/>
                <w:highlight w:val="none"/>
              </w:rPr>
              <w:t>2</w:t>
            </w:r>
          </w:p>
        </w:tc>
        <w:tc>
          <w:tcPr>
            <w:tcW w:w="2177" w:type="dxa"/>
            <w:vAlign w:val="center"/>
          </w:tcPr>
          <w:p w14:paraId="3F65B4C1">
            <w:pPr>
              <w:pStyle w:val="18"/>
              <w:ind w:firstLine="0" w:firstLineChars="0"/>
              <w:jc w:val="center"/>
              <w:rPr>
                <w:rFonts w:hint="eastAsia" w:hAnsi="宋体" w:cs="宋体"/>
                <w:color w:val="auto"/>
                <w:sz w:val="28"/>
                <w:szCs w:val="28"/>
                <w:highlight w:val="none"/>
              </w:rPr>
            </w:pPr>
          </w:p>
        </w:tc>
        <w:tc>
          <w:tcPr>
            <w:tcW w:w="1510" w:type="dxa"/>
            <w:vAlign w:val="center"/>
          </w:tcPr>
          <w:p w14:paraId="5D187ACC">
            <w:pPr>
              <w:pStyle w:val="18"/>
              <w:ind w:firstLine="0" w:firstLineChars="0"/>
              <w:jc w:val="center"/>
              <w:rPr>
                <w:rFonts w:hint="eastAsia" w:hAnsi="宋体" w:cs="宋体"/>
                <w:color w:val="auto"/>
                <w:sz w:val="28"/>
                <w:szCs w:val="28"/>
                <w:highlight w:val="none"/>
              </w:rPr>
            </w:pPr>
          </w:p>
        </w:tc>
        <w:tc>
          <w:tcPr>
            <w:tcW w:w="1510" w:type="dxa"/>
            <w:vAlign w:val="center"/>
          </w:tcPr>
          <w:p w14:paraId="63057C65">
            <w:pPr>
              <w:pStyle w:val="18"/>
              <w:ind w:firstLine="0" w:firstLineChars="0"/>
              <w:jc w:val="center"/>
              <w:rPr>
                <w:rFonts w:hint="eastAsia" w:hAnsi="宋体" w:cs="宋体"/>
                <w:color w:val="auto"/>
                <w:sz w:val="28"/>
                <w:szCs w:val="28"/>
                <w:highlight w:val="none"/>
              </w:rPr>
            </w:pPr>
          </w:p>
        </w:tc>
        <w:tc>
          <w:tcPr>
            <w:tcW w:w="1979" w:type="dxa"/>
            <w:vAlign w:val="center"/>
          </w:tcPr>
          <w:p w14:paraId="348C45CC">
            <w:pPr>
              <w:pStyle w:val="18"/>
              <w:ind w:firstLine="0" w:firstLineChars="0"/>
              <w:jc w:val="center"/>
              <w:rPr>
                <w:rFonts w:hint="eastAsia" w:hAnsi="宋体" w:cs="宋体"/>
                <w:color w:val="auto"/>
                <w:sz w:val="28"/>
                <w:szCs w:val="28"/>
                <w:highlight w:val="none"/>
              </w:rPr>
            </w:pPr>
          </w:p>
        </w:tc>
        <w:tc>
          <w:tcPr>
            <w:tcW w:w="1042" w:type="dxa"/>
            <w:vAlign w:val="center"/>
          </w:tcPr>
          <w:p w14:paraId="7537B19E">
            <w:pPr>
              <w:pStyle w:val="18"/>
              <w:ind w:firstLine="0" w:firstLineChars="0"/>
              <w:jc w:val="center"/>
              <w:rPr>
                <w:rFonts w:hint="eastAsia" w:hAnsi="宋体" w:cs="宋体"/>
                <w:color w:val="auto"/>
                <w:sz w:val="28"/>
                <w:szCs w:val="28"/>
                <w:highlight w:val="none"/>
              </w:rPr>
            </w:pPr>
          </w:p>
        </w:tc>
      </w:tr>
      <w:tr w14:paraId="4B22A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42" w:type="dxa"/>
            <w:vAlign w:val="center"/>
          </w:tcPr>
          <w:p w14:paraId="564E9B1E">
            <w:pPr>
              <w:pStyle w:val="18"/>
              <w:ind w:firstLine="0" w:firstLineChars="0"/>
              <w:jc w:val="center"/>
              <w:rPr>
                <w:rFonts w:hint="eastAsia" w:hAnsi="宋体" w:cs="宋体"/>
                <w:color w:val="auto"/>
                <w:sz w:val="28"/>
                <w:szCs w:val="28"/>
                <w:highlight w:val="none"/>
              </w:rPr>
            </w:pPr>
            <w:r>
              <w:rPr>
                <w:rFonts w:hint="eastAsia" w:hAnsi="宋体" w:cs="宋体"/>
                <w:color w:val="auto"/>
                <w:sz w:val="28"/>
                <w:szCs w:val="28"/>
                <w:highlight w:val="none"/>
              </w:rPr>
              <w:t>3</w:t>
            </w:r>
          </w:p>
        </w:tc>
        <w:tc>
          <w:tcPr>
            <w:tcW w:w="2177" w:type="dxa"/>
            <w:vAlign w:val="center"/>
          </w:tcPr>
          <w:p w14:paraId="10F6504F">
            <w:pPr>
              <w:pStyle w:val="18"/>
              <w:ind w:firstLine="0" w:firstLineChars="0"/>
              <w:jc w:val="center"/>
              <w:rPr>
                <w:rFonts w:hint="eastAsia" w:hAnsi="宋体" w:cs="宋体"/>
                <w:color w:val="auto"/>
                <w:sz w:val="28"/>
                <w:szCs w:val="28"/>
                <w:highlight w:val="none"/>
              </w:rPr>
            </w:pPr>
          </w:p>
        </w:tc>
        <w:tc>
          <w:tcPr>
            <w:tcW w:w="1510" w:type="dxa"/>
            <w:vAlign w:val="center"/>
          </w:tcPr>
          <w:p w14:paraId="7DF71139">
            <w:pPr>
              <w:pStyle w:val="18"/>
              <w:ind w:firstLine="0" w:firstLineChars="0"/>
              <w:jc w:val="center"/>
              <w:rPr>
                <w:rFonts w:hint="eastAsia" w:hAnsi="宋体" w:cs="宋体"/>
                <w:color w:val="auto"/>
                <w:sz w:val="28"/>
                <w:szCs w:val="28"/>
                <w:highlight w:val="none"/>
              </w:rPr>
            </w:pPr>
          </w:p>
        </w:tc>
        <w:tc>
          <w:tcPr>
            <w:tcW w:w="1510" w:type="dxa"/>
            <w:vAlign w:val="center"/>
          </w:tcPr>
          <w:p w14:paraId="395834CC">
            <w:pPr>
              <w:pStyle w:val="18"/>
              <w:ind w:firstLine="0" w:firstLineChars="0"/>
              <w:jc w:val="center"/>
              <w:rPr>
                <w:rFonts w:hint="eastAsia" w:hAnsi="宋体" w:cs="宋体"/>
                <w:color w:val="auto"/>
                <w:sz w:val="28"/>
                <w:szCs w:val="28"/>
                <w:highlight w:val="none"/>
              </w:rPr>
            </w:pPr>
          </w:p>
        </w:tc>
        <w:tc>
          <w:tcPr>
            <w:tcW w:w="1979" w:type="dxa"/>
            <w:vAlign w:val="center"/>
          </w:tcPr>
          <w:p w14:paraId="75649BAC">
            <w:pPr>
              <w:pStyle w:val="18"/>
              <w:ind w:firstLine="0" w:firstLineChars="0"/>
              <w:jc w:val="center"/>
              <w:rPr>
                <w:rFonts w:hint="eastAsia" w:hAnsi="宋体" w:cs="宋体"/>
                <w:color w:val="auto"/>
                <w:sz w:val="28"/>
                <w:szCs w:val="28"/>
                <w:highlight w:val="none"/>
              </w:rPr>
            </w:pPr>
          </w:p>
        </w:tc>
        <w:tc>
          <w:tcPr>
            <w:tcW w:w="1042" w:type="dxa"/>
            <w:vAlign w:val="center"/>
          </w:tcPr>
          <w:p w14:paraId="5C17974A">
            <w:pPr>
              <w:pStyle w:val="18"/>
              <w:ind w:firstLine="0" w:firstLineChars="0"/>
              <w:jc w:val="center"/>
              <w:rPr>
                <w:rFonts w:hint="eastAsia" w:hAnsi="宋体" w:cs="宋体"/>
                <w:color w:val="auto"/>
                <w:sz w:val="28"/>
                <w:szCs w:val="28"/>
                <w:highlight w:val="none"/>
              </w:rPr>
            </w:pPr>
          </w:p>
        </w:tc>
      </w:tr>
      <w:tr w14:paraId="4820B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42" w:type="dxa"/>
            <w:vAlign w:val="center"/>
          </w:tcPr>
          <w:p w14:paraId="42C49DC1">
            <w:pPr>
              <w:pStyle w:val="18"/>
              <w:ind w:firstLine="0" w:firstLineChars="0"/>
              <w:jc w:val="center"/>
              <w:rPr>
                <w:rFonts w:hint="eastAsia" w:hAnsi="宋体" w:cs="宋体"/>
                <w:color w:val="auto"/>
                <w:sz w:val="28"/>
                <w:szCs w:val="28"/>
                <w:highlight w:val="none"/>
              </w:rPr>
            </w:pPr>
            <w:r>
              <w:rPr>
                <w:rFonts w:hint="eastAsia" w:hAnsi="宋体" w:cs="宋体"/>
                <w:color w:val="auto"/>
                <w:sz w:val="28"/>
                <w:szCs w:val="28"/>
                <w:highlight w:val="none"/>
              </w:rPr>
              <w:t>4</w:t>
            </w:r>
          </w:p>
        </w:tc>
        <w:tc>
          <w:tcPr>
            <w:tcW w:w="2177" w:type="dxa"/>
            <w:vAlign w:val="center"/>
          </w:tcPr>
          <w:p w14:paraId="0A2A9FB0">
            <w:pPr>
              <w:pStyle w:val="18"/>
              <w:ind w:firstLine="0" w:firstLineChars="0"/>
              <w:jc w:val="center"/>
              <w:rPr>
                <w:rFonts w:hint="eastAsia" w:hAnsi="宋体" w:cs="宋体"/>
                <w:color w:val="auto"/>
                <w:sz w:val="28"/>
                <w:szCs w:val="28"/>
                <w:highlight w:val="none"/>
              </w:rPr>
            </w:pPr>
          </w:p>
        </w:tc>
        <w:tc>
          <w:tcPr>
            <w:tcW w:w="1510" w:type="dxa"/>
            <w:vAlign w:val="center"/>
          </w:tcPr>
          <w:p w14:paraId="4450718F">
            <w:pPr>
              <w:pStyle w:val="18"/>
              <w:ind w:firstLine="0" w:firstLineChars="0"/>
              <w:jc w:val="center"/>
              <w:rPr>
                <w:rFonts w:hint="eastAsia" w:hAnsi="宋体" w:cs="宋体"/>
                <w:color w:val="auto"/>
                <w:sz w:val="28"/>
                <w:szCs w:val="28"/>
                <w:highlight w:val="none"/>
              </w:rPr>
            </w:pPr>
          </w:p>
        </w:tc>
        <w:tc>
          <w:tcPr>
            <w:tcW w:w="1510" w:type="dxa"/>
            <w:vAlign w:val="center"/>
          </w:tcPr>
          <w:p w14:paraId="11419713">
            <w:pPr>
              <w:pStyle w:val="18"/>
              <w:ind w:firstLine="0" w:firstLineChars="0"/>
              <w:jc w:val="center"/>
              <w:rPr>
                <w:rFonts w:hint="eastAsia" w:hAnsi="宋体" w:cs="宋体"/>
                <w:color w:val="auto"/>
                <w:sz w:val="28"/>
                <w:szCs w:val="28"/>
                <w:highlight w:val="none"/>
              </w:rPr>
            </w:pPr>
          </w:p>
        </w:tc>
        <w:tc>
          <w:tcPr>
            <w:tcW w:w="1979" w:type="dxa"/>
            <w:vAlign w:val="center"/>
          </w:tcPr>
          <w:p w14:paraId="0067F359">
            <w:pPr>
              <w:pStyle w:val="18"/>
              <w:ind w:firstLine="0" w:firstLineChars="0"/>
              <w:jc w:val="center"/>
              <w:rPr>
                <w:rFonts w:hint="eastAsia" w:hAnsi="宋体" w:cs="宋体"/>
                <w:color w:val="auto"/>
                <w:sz w:val="28"/>
                <w:szCs w:val="28"/>
                <w:highlight w:val="none"/>
              </w:rPr>
            </w:pPr>
          </w:p>
        </w:tc>
        <w:tc>
          <w:tcPr>
            <w:tcW w:w="1042" w:type="dxa"/>
            <w:vAlign w:val="center"/>
          </w:tcPr>
          <w:p w14:paraId="0BB5F472">
            <w:pPr>
              <w:pStyle w:val="18"/>
              <w:ind w:firstLine="0" w:firstLineChars="0"/>
              <w:jc w:val="center"/>
              <w:rPr>
                <w:rFonts w:hint="eastAsia" w:hAnsi="宋体" w:cs="宋体"/>
                <w:color w:val="auto"/>
                <w:sz w:val="28"/>
                <w:szCs w:val="28"/>
                <w:highlight w:val="none"/>
              </w:rPr>
            </w:pPr>
          </w:p>
        </w:tc>
      </w:tr>
      <w:tr w14:paraId="76513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42" w:type="dxa"/>
            <w:vAlign w:val="center"/>
          </w:tcPr>
          <w:p w14:paraId="77FA2415">
            <w:pPr>
              <w:pStyle w:val="18"/>
              <w:ind w:firstLine="0" w:firstLineChars="0"/>
              <w:jc w:val="center"/>
              <w:rPr>
                <w:rFonts w:hint="eastAsia" w:hAnsi="宋体" w:cs="宋体"/>
                <w:color w:val="auto"/>
                <w:sz w:val="28"/>
                <w:szCs w:val="28"/>
                <w:highlight w:val="none"/>
              </w:rPr>
            </w:pPr>
            <w:r>
              <w:rPr>
                <w:rFonts w:hint="eastAsia" w:hAnsi="宋体" w:cs="宋体"/>
                <w:color w:val="auto"/>
                <w:sz w:val="28"/>
                <w:szCs w:val="28"/>
                <w:highlight w:val="none"/>
              </w:rPr>
              <w:t>5</w:t>
            </w:r>
          </w:p>
        </w:tc>
        <w:tc>
          <w:tcPr>
            <w:tcW w:w="2177" w:type="dxa"/>
            <w:vAlign w:val="center"/>
          </w:tcPr>
          <w:p w14:paraId="68904AB6">
            <w:pPr>
              <w:pStyle w:val="18"/>
              <w:ind w:firstLine="0" w:firstLineChars="0"/>
              <w:jc w:val="center"/>
              <w:rPr>
                <w:rFonts w:hint="eastAsia" w:hAnsi="宋体" w:cs="宋体"/>
                <w:color w:val="auto"/>
                <w:sz w:val="28"/>
                <w:szCs w:val="28"/>
                <w:highlight w:val="none"/>
              </w:rPr>
            </w:pPr>
          </w:p>
        </w:tc>
        <w:tc>
          <w:tcPr>
            <w:tcW w:w="1510" w:type="dxa"/>
            <w:vAlign w:val="center"/>
          </w:tcPr>
          <w:p w14:paraId="133F45F6">
            <w:pPr>
              <w:pStyle w:val="18"/>
              <w:ind w:firstLine="0" w:firstLineChars="0"/>
              <w:jc w:val="center"/>
              <w:rPr>
                <w:rFonts w:hint="eastAsia" w:hAnsi="宋体" w:cs="宋体"/>
                <w:color w:val="auto"/>
                <w:sz w:val="28"/>
                <w:szCs w:val="28"/>
                <w:highlight w:val="none"/>
              </w:rPr>
            </w:pPr>
          </w:p>
        </w:tc>
        <w:tc>
          <w:tcPr>
            <w:tcW w:w="1510" w:type="dxa"/>
            <w:vAlign w:val="center"/>
          </w:tcPr>
          <w:p w14:paraId="192CA37A">
            <w:pPr>
              <w:pStyle w:val="18"/>
              <w:ind w:firstLine="0" w:firstLineChars="0"/>
              <w:jc w:val="center"/>
              <w:rPr>
                <w:rFonts w:hint="eastAsia" w:hAnsi="宋体" w:cs="宋体"/>
                <w:color w:val="auto"/>
                <w:sz w:val="28"/>
                <w:szCs w:val="28"/>
                <w:highlight w:val="none"/>
              </w:rPr>
            </w:pPr>
          </w:p>
        </w:tc>
        <w:tc>
          <w:tcPr>
            <w:tcW w:w="1979" w:type="dxa"/>
            <w:vAlign w:val="center"/>
          </w:tcPr>
          <w:p w14:paraId="3B7FAB6A">
            <w:pPr>
              <w:pStyle w:val="18"/>
              <w:ind w:firstLine="0" w:firstLineChars="0"/>
              <w:jc w:val="center"/>
              <w:rPr>
                <w:rFonts w:hint="eastAsia" w:hAnsi="宋体" w:cs="宋体"/>
                <w:color w:val="auto"/>
                <w:sz w:val="28"/>
                <w:szCs w:val="28"/>
                <w:highlight w:val="none"/>
              </w:rPr>
            </w:pPr>
          </w:p>
        </w:tc>
        <w:tc>
          <w:tcPr>
            <w:tcW w:w="1042" w:type="dxa"/>
            <w:vAlign w:val="center"/>
          </w:tcPr>
          <w:p w14:paraId="2E5ADD33">
            <w:pPr>
              <w:pStyle w:val="18"/>
              <w:ind w:firstLine="0" w:firstLineChars="0"/>
              <w:jc w:val="center"/>
              <w:rPr>
                <w:rFonts w:hint="eastAsia" w:hAnsi="宋体" w:cs="宋体"/>
                <w:color w:val="auto"/>
                <w:sz w:val="28"/>
                <w:szCs w:val="28"/>
                <w:highlight w:val="none"/>
              </w:rPr>
            </w:pPr>
          </w:p>
        </w:tc>
      </w:tr>
      <w:tr w14:paraId="26A58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42" w:type="dxa"/>
            <w:vAlign w:val="center"/>
          </w:tcPr>
          <w:p w14:paraId="46FA7EAB">
            <w:pPr>
              <w:pStyle w:val="18"/>
              <w:ind w:firstLine="0" w:firstLineChars="0"/>
              <w:jc w:val="center"/>
              <w:rPr>
                <w:rFonts w:hint="eastAsia" w:hAnsi="宋体" w:cs="宋体"/>
                <w:color w:val="auto"/>
                <w:sz w:val="28"/>
                <w:szCs w:val="28"/>
                <w:highlight w:val="none"/>
              </w:rPr>
            </w:pPr>
            <w:r>
              <w:rPr>
                <w:rFonts w:hint="eastAsia" w:hAnsi="宋体" w:cs="宋体"/>
                <w:color w:val="auto"/>
                <w:sz w:val="28"/>
                <w:szCs w:val="28"/>
                <w:highlight w:val="none"/>
              </w:rPr>
              <w:t>6</w:t>
            </w:r>
          </w:p>
        </w:tc>
        <w:tc>
          <w:tcPr>
            <w:tcW w:w="2177" w:type="dxa"/>
            <w:vAlign w:val="center"/>
          </w:tcPr>
          <w:p w14:paraId="43512277">
            <w:pPr>
              <w:pStyle w:val="18"/>
              <w:ind w:firstLine="0" w:firstLineChars="0"/>
              <w:jc w:val="center"/>
              <w:rPr>
                <w:rFonts w:hint="eastAsia" w:hAnsi="宋体" w:cs="宋体"/>
                <w:color w:val="auto"/>
                <w:sz w:val="28"/>
                <w:szCs w:val="28"/>
                <w:highlight w:val="none"/>
              </w:rPr>
            </w:pPr>
          </w:p>
        </w:tc>
        <w:tc>
          <w:tcPr>
            <w:tcW w:w="1510" w:type="dxa"/>
            <w:vAlign w:val="center"/>
          </w:tcPr>
          <w:p w14:paraId="75EB9179">
            <w:pPr>
              <w:pStyle w:val="18"/>
              <w:ind w:firstLine="0" w:firstLineChars="0"/>
              <w:jc w:val="center"/>
              <w:rPr>
                <w:rFonts w:hint="eastAsia" w:hAnsi="宋体" w:cs="宋体"/>
                <w:color w:val="auto"/>
                <w:sz w:val="28"/>
                <w:szCs w:val="28"/>
                <w:highlight w:val="none"/>
              </w:rPr>
            </w:pPr>
          </w:p>
        </w:tc>
        <w:tc>
          <w:tcPr>
            <w:tcW w:w="1510" w:type="dxa"/>
            <w:vAlign w:val="center"/>
          </w:tcPr>
          <w:p w14:paraId="4499724C">
            <w:pPr>
              <w:pStyle w:val="18"/>
              <w:ind w:firstLine="0" w:firstLineChars="0"/>
              <w:jc w:val="center"/>
              <w:rPr>
                <w:rFonts w:hint="eastAsia" w:hAnsi="宋体" w:cs="宋体"/>
                <w:color w:val="auto"/>
                <w:sz w:val="28"/>
                <w:szCs w:val="28"/>
                <w:highlight w:val="none"/>
              </w:rPr>
            </w:pPr>
          </w:p>
        </w:tc>
        <w:tc>
          <w:tcPr>
            <w:tcW w:w="1979" w:type="dxa"/>
            <w:vAlign w:val="center"/>
          </w:tcPr>
          <w:p w14:paraId="70569F4F">
            <w:pPr>
              <w:pStyle w:val="18"/>
              <w:ind w:firstLine="0" w:firstLineChars="0"/>
              <w:jc w:val="center"/>
              <w:rPr>
                <w:rFonts w:hint="eastAsia" w:hAnsi="宋体" w:cs="宋体"/>
                <w:color w:val="auto"/>
                <w:sz w:val="28"/>
                <w:szCs w:val="28"/>
                <w:highlight w:val="none"/>
              </w:rPr>
            </w:pPr>
          </w:p>
        </w:tc>
        <w:tc>
          <w:tcPr>
            <w:tcW w:w="1042" w:type="dxa"/>
            <w:vAlign w:val="center"/>
          </w:tcPr>
          <w:p w14:paraId="39A365BA">
            <w:pPr>
              <w:pStyle w:val="18"/>
              <w:ind w:firstLine="0" w:firstLineChars="0"/>
              <w:jc w:val="center"/>
              <w:rPr>
                <w:rFonts w:hint="eastAsia" w:hAnsi="宋体" w:cs="宋体"/>
                <w:color w:val="auto"/>
                <w:sz w:val="28"/>
                <w:szCs w:val="28"/>
                <w:highlight w:val="none"/>
              </w:rPr>
            </w:pPr>
          </w:p>
        </w:tc>
      </w:tr>
      <w:tr w14:paraId="1C105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42" w:type="dxa"/>
            <w:vAlign w:val="center"/>
          </w:tcPr>
          <w:p w14:paraId="281BE31F">
            <w:pPr>
              <w:pStyle w:val="18"/>
              <w:ind w:firstLine="0" w:firstLineChars="0"/>
              <w:jc w:val="center"/>
              <w:rPr>
                <w:rFonts w:hint="eastAsia" w:hAnsi="宋体" w:cs="宋体"/>
                <w:color w:val="auto"/>
                <w:sz w:val="28"/>
                <w:szCs w:val="28"/>
                <w:highlight w:val="none"/>
              </w:rPr>
            </w:pPr>
            <w:r>
              <w:rPr>
                <w:rFonts w:hint="eastAsia" w:hAnsi="宋体" w:cs="宋体"/>
                <w:color w:val="auto"/>
                <w:sz w:val="28"/>
                <w:szCs w:val="28"/>
                <w:highlight w:val="none"/>
              </w:rPr>
              <w:t>7</w:t>
            </w:r>
          </w:p>
        </w:tc>
        <w:tc>
          <w:tcPr>
            <w:tcW w:w="2177" w:type="dxa"/>
            <w:vAlign w:val="center"/>
          </w:tcPr>
          <w:p w14:paraId="41D51983">
            <w:pPr>
              <w:pStyle w:val="18"/>
              <w:ind w:firstLine="0" w:firstLineChars="0"/>
              <w:jc w:val="center"/>
              <w:rPr>
                <w:rFonts w:hint="eastAsia" w:hAnsi="宋体" w:cs="宋体"/>
                <w:color w:val="auto"/>
                <w:sz w:val="28"/>
                <w:szCs w:val="28"/>
                <w:highlight w:val="none"/>
              </w:rPr>
            </w:pPr>
          </w:p>
        </w:tc>
        <w:tc>
          <w:tcPr>
            <w:tcW w:w="1510" w:type="dxa"/>
            <w:vAlign w:val="center"/>
          </w:tcPr>
          <w:p w14:paraId="2BC47A87">
            <w:pPr>
              <w:pStyle w:val="18"/>
              <w:ind w:firstLine="0" w:firstLineChars="0"/>
              <w:jc w:val="center"/>
              <w:rPr>
                <w:rFonts w:hint="eastAsia" w:hAnsi="宋体" w:cs="宋体"/>
                <w:color w:val="auto"/>
                <w:sz w:val="28"/>
                <w:szCs w:val="28"/>
                <w:highlight w:val="none"/>
              </w:rPr>
            </w:pPr>
          </w:p>
        </w:tc>
        <w:tc>
          <w:tcPr>
            <w:tcW w:w="1510" w:type="dxa"/>
            <w:vAlign w:val="center"/>
          </w:tcPr>
          <w:p w14:paraId="2FB32651">
            <w:pPr>
              <w:pStyle w:val="18"/>
              <w:ind w:firstLine="0" w:firstLineChars="0"/>
              <w:jc w:val="center"/>
              <w:rPr>
                <w:rFonts w:hint="eastAsia" w:hAnsi="宋体" w:cs="宋体"/>
                <w:color w:val="auto"/>
                <w:sz w:val="28"/>
                <w:szCs w:val="28"/>
                <w:highlight w:val="none"/>
              </w:rPr>
            </w:pPr>
          </w:p>
        </w:tc>
        <w:tc>
          <w:tcPr>
            <w:tcW w:w="1979" w:type="dxa"/>
            <w:vAlign w:val="center"/>
          </w:tcPr>
          <w:p w14:paraId="00716600">
            <w:pPr>
              <w:pStyle w:val="18"/>
              <w:ind w:firstLine="0" w:firstLineChars="0"/>
              <w:jc w:val="center"/>
              <w:rPr>
                <w:rFonts w:hint="eastAsia" w:hAnsi="宋体" w:cs="宋体"/>
                <w:color w:val="auto"/>
                <w:sz w:val="28"/>
                <w:szCs w:val="28"/>
                <w:highlight w:val="none"/>
              </w:rPr>
            </w:pPr>
          </w:p>
        </w:tc>
        <w:tc>
          <w:tcPr>
            <w:tcW w:w="1042" w:type="dxa"/>
            <w:vAlign w:val="center"/>
          </w:tcPr>
          <w:p w14:paraId="3EEE822A">
            <w:pPr>
              <w:pStyle w:val="18"/>
              <w:ind w:firstLine="0" w:firstLineChars="0"/>
              <w:jc w:val="center"/>
              <w:rPr>
                <w:rFonts w:hint="eastAsia" w:hAnsi="宋体" w:cs="宋体"/>
                <w:color w:val="auto"/>
                <w:sz w:val="28"/>
                <w:szCs w:val="28"/>
                <w:highlight w:val="none"/>
              </w:rPr>
            </w:pPr>
          </w:p>
        </w:tc>
      </w:tr>
      <w:tr w14:paraId="37183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42" w:type="dxa"/>
            <w:vAlign w:val="center"/>
          </w:tcPr>
          <w:p w14:paraId="298EF18A">
            <w:pPr>
              <w:pStyle w:val="18"/>
              <w:ind w:firstLine="0" w:firstLineChars="0"/>
              <w:jc w:val="center"/>
              <w:rPr>
                <w:rFonts w:hint="eastAsia" w:hAnsi="宋体" w:cs="宋体"/>
                <w:color w:val="auto"/>
                <w:sz w:val="28"/>
                <w:szCs w:val="28"/>
                <w:highlight w:val="none"/>
              </w:rPr>
            </w:pPr>
            <w:r>
              <w:rPr>
                <w:rFonts w:hint="eastAsia" w:hAnsi="宋体" w:cs="宋体"/>
                <w:color w:val="auto"/>
                <w:sz w:val="28"/>
                <w:szCs w:val="28"/>
                <w:highlight w:val="none"/>
              </w:rPr>
              <w:t>8</w:t>
            </w:r>
          </w:p>
        </w:tc>
        <w:tc>
          <w:tcPr>
            <w:tcW w:w="2177" w:type="dxa"/>
            <w:vAlign w:val="center"/>
          </w:tcPr>
          <w:p w14:paraId="67301758">
            <w:pPr>
              <w:pStyle w:val="18"/>
              <w:ind w:firstLine="0" w:firstLineChars="0"/>
              <w:jc w:val="center"/>
              <w:rPr>
                <w:rFonts w:hint="eastAsia" w:hAnsi="宋体" w:cs="宋体"/>
                <w:color w:val="auto"/>
                <w:sz w:val="28"/>
                <w:szCs w:val="28"/>
                <w:highlight w:val="none"/>
              </w:rPr>
            </w:pPr>
          </w:p>
        </w:tc>
        <w:tc>
          <w:tcPr>
            <w:tcW w:w="1510" w:type="dxa"/>
            <w:vAlign w:val="center"/>
          </w:tcPr>
          <w:p w14:paraId="3C19887E">
            <w:pPr>
              <w:pStyle w:val="18"/>
              <w:ind w:firstLine="0" w:firstLineChars="0"/>
              <w:jc w:val="center"/>
              <w:rPr>
                <w:rFonts w:hint="eastAsia" w:hAnsi="宋体" w:cs="宋体"/>
                <w:color w:val="auto"/>
                <w:sz w:val="28"/>
                <w:szCs w:val="28"/>
                <w:highlight w:val="none"/>
              </w:rPr>
            </w:pPr>
          </w:p>
        </w:tc>
        <w:tc>
          <w:tcPr>
            <w:tcW w:w="1510" w:type="dxa"/>
            <w:vAlign w:val="center"/>
          </w:tcPr>
          <w:p w14:paraId="4760260C">
            <w:pPr>
              <w:pStyle w:val="18"/>
              <w:ind w:firstLine="0" w:firstLineChars="0"/>
              <w:jc w:val="center"/>
              <w:rPr>
                <w:rFonts w:hint="eastAsia" w:hAnsi="宋体" w:cs="宋体"/>
                <w:color w:val="auto"/>
                <w:sz w:val="28"/>
                <w:szCs w:val="28"/>
                <w:highlight w:val="none"/>
              </w:rPr>
            </w:pPr>
          </w:p>
        </w:tc>
        <w:tc>
          <w:tcPr>
            <w:tcW w:w="1979" w:type="dxa"/>
            <w:vAlign w:val="center"/>
          </w:tcPr>
          <w:p w14:paraId="660FDE7A">
            <w:pPr>
              <w:pStyle w:val="18"/>
              <w:ind w:firstLine="0" w:firstLineChars="0"/>
              <w:jc w:val="center"/>
              <w:rPr>
                <w:rFonts w:hint="eastAsia" w:hAnsi="宋体" w:cs="宋体"/>
                <w:color w:val="auto"/>
                <w:sz w:val="28"/>
                <w:szCs w:val="28"/>
                <w:highlight w:val="none"/>
              </w:rPr>
            </w:pPr>
          </w:p>
        </w:tc>
        <w:tc>
          <w:tcPr>
            <w:tcW w:w="1042" w:type="dxa"/>
            <w:vAlign w:val="center"/>
          </w:tcPr>
          <w:p w14:paraId="642C329E">
            <w:pPr>
              <w:pStyle w:val="18"/>
              <w:ind w:firstLine="0" w:firstLineChars="0"/>
              <w:jc w:val="center"/>
              <w:rPr>
                <w:rFonts w:hint="eastAsia" w:hAnsi="宋体" w:cs="宋体"/>
                <w:color w:val="auto"/>
                <w:sz w:val="28"/>
                <w:szCs w:val="28"/>
                <w:highlight w:val="none"/>
              </w:rPr>
            </w:pPr>
          </w:p>
        </w:tc>
      </w:tr>
      <w:tr w14:paraId="415CF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42" w:type="dxa"/>
            <w:vAlign w:val="center"/>
          </w:tcPr>
          <w:p w14:paraId="3811DEC3">
            <w:pPr>
              <w:pStyle w:val="18"/>
              <w:ind w:firstLine="0" w:firstLineChars="0"/>
              <w:jc w:val="center"/>
              <w:rPr>
                <w:rFonts w:hint="eastAsia" w:hAnsi="宋体" w:cs="宋体"/>
                <w:color w:val="auto"/>
                <w:sz w:val="28"/>
                <w:szCs w:val="28"/>
                <w:highlight w:val="none"/>
              </w:rPr>
            </w:pPr>
            <w:r>
              <w:rPr>
                <w:rFonts w:hint="eastAsia" w:hAnsi="宋体" w:cs="宋体"/>
                <w:color w:val="auto"/>
                <w:sz w:val="28"/>
                <w:szCs w:val="28"/>
                <w:highlight w:val="none"/>
              </w:rPr>
              <w:t>9</w:t>
            </w:r>
          </w:p>
        </w:tc>
        <w:tc>
          <w:tcPr>
            <w:tcW w:w="2177" w:type="dxa"/>
            <w:vAlign w:val="center"/>
          </w:tcPr>
          <w:p w14:paraId="0BAD1F1A">
            <w:pPr>
              <w:pStyle w:val="18"/>
              <w:ind w:firstLine="0" w:firstLineChars="0"/>
              <w:jc w:val="center"/>
              <w:rPr>
                <w:rFonts w:hint="eastAsia" w:hAnsi="宋体" w:cs="宋体"/>
                <w:color w:val="auto"/>
                <w:sz w:val="28"/>
                <w:szCs w:val="28"/>
                <w:highlight w:val="none"/>
              </w:rPr>
            </w:pPr>
          </w:p>
        </w:tc>
        <w:tc>
          <w:tcPr>
            <w:tcW w:w="1510" w:type="dxa"/>
            <w:vAlign w:val="center"/>
          </w:tcPr>
          <w:p w14:paraId="4FAACDCD">
            <w:pPr>
              <w:pStyle w:val="18"/>
              <w:ind w:firstLine="0" w:firstLineChars="0"/>
              <w:jc w:val="center"/>
              <w:rPr>
                <w:rFonts w:hint="eastAsia" w:hAnsi="宋体" w:cs="宋体"/>
                <w:color w:val="auto"/>
                <w:sz w:val="28"/>
                <w:szCs w:val="28"/>
                <w:highlight w:val="none"/>
              </w:rPr>
            </w:pPr>
          </w:p>
        </w:tc>
        <w:tc>
          <w:tcPr>
            <w:tcW w:w="1510" w:type="dxa"/>
            <w:vAlign w:val="center"/>
          </w:tcPr>
          <w:p w14:paraId="200DBDDC">
            <w:pPr>
              <w:pStyle w:val="18"/>
              <w:ind w:firstLine="0" w:firstLineChars="0"/>
              <w:jc w:val="center"/>
              <w:rPr>
                <w:rFonts w:hint="eastAsia" w:hAnsi="宋体" w:cs="宋体"/>
                <w:color w:val="auto"/>
                <w:sz w:val="28"/>
                <w:szCs w:val="28"/>
                <w:highlight w:val="none"/>
              </w:rPr>
            </w:pPr>
          </w:p>
        </w:tc>
        <w:tc>
          <w:tcPr>
            <w:tcW w:w="1979" w:type="dxa"/>
            <w:vAlign w:val="center"/>
          </w:tcPr>
          <w:p w14:paraId="57E4ACCD">
            <w:pPr>
              <w:pStyle w:val="18"/>
              <w:ind w:firstLine="0" w:firstLineChars="0"/>
              <w:jc w:val="center"/>
              <w:rPr>
                <w:rFonts w:hint="eastAsia" w:hAnsi="宋体" w:cs="宋体"/>
                <w:color w:val="auto"/>
                <w:sz w:val="28"/>
                <w:szCs w:val="28"/>
                <w:highlight w:val="none"/>
              </w:rPr>
            </w:pPr>
          </w:p>
        </w:tc>
        <w:tc>
          <w:tcPr>
            <w:tcW w:w="1042" w:type="dxa"/>
            <w:vAlign w:val="center"/>
          </w:tcPr>
          <w:p w14:paraId="43DF0516">
            <w:pPr>
              <w:pStyle w:val="18"/>
              <w:ind w:firstLine="0" w:firstLineChars="0"/>
              <w:jc w:val="center"/>
              <w:rPr>
                <w:rFonts w:hint="eastAsia" w:hAnsi="宋体" w:cs="宋体"/>
                <w:color w:val="auto"/>
                <w:sz w:val="28"/>
                <w:szCs w:val="28"/>
                <w:highlight w:val="none"/>
              </w:rPr>
            </w:pPr>
          </w:p>
        </w:tc>
      </w:tr>
      <w:tr w14:paraId="26533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42" w:type="dxa"/>
            <w:vAlign w:val="center"/>
          </w:tcPr>
          <w:p w14:paraId="7359298F">
            <w:pPr>
              <w:pStyle w:val="18"/>
              <w:ind w:firstLine="0" w:firstLineChars="0"/>
              <w:jc w:val="center"/>
              <w:rPr>
                <w:rFonts w:hint="eastAsia" w:hAnsi="宋体" w:cs="宋体"/>
                <w:color w:val="auto"/>
                <w:sz w:val="28"/>
                <w:szCs w:val="28"/>
                <w:highlight w:val="none"/>
              </w:rPr>
            </w:pPr>
            <w:r>
              <w:rPr>
                <w:rFonts w:hint="eastAsia" w:hAnsi="宋体" w:cs="宋体"/>
                <w:color w:val="auto"/>
                <w:sz w:val="28"/>
                <w:szCs w:val="28"/>
                <w:highlight w:val="none"/>
              </w:rPr>
              <w:t>10</w:t>
            </w:r>
          </w:p>
        </w:tc>
        <w:tc>
          <w:tcPr>
            <w:tcW w:w="2177" w:type="dxa"/>
            <w:vAlign w:val="center"/>
          </w:tcPr>
          <w:p w14:paraId="6BA4C2C7">
            <w:pPr>
              <w:pStyle w:val="18"/>
              <w:ind w:firstLine="0" w:firstLineChars="0"/>
              <w:jc w:val="center"/>
              <w:rPr>
                <w:rFonts w:hint="eastAsia" w:hAnsi="宋体" w:cs="宋体"/>
                <w:color w:val="auto"/>
                <w:sz w:val="28"/>
                <w:szCs w:val="28"/>
                <w:highlight w:val="none"/>
              </w:rPr>
            </w:pPr>
          </w:p>
        </w:tc>
        <w:tc>
          <w:tcPr>
            <w:tcW w:w="1510" w:type="dxa"/>
            <w:vAlign w:val="center"/>
          </w:tcPr>
          <w:p w14:paraId="7A27E937">
            <w:pPr>
              <w:pStyle w:val="18"/>
              <w:ind w:firstLine="0" w:firstLineChars="0"/>
              <w:jc w:val="center"/>
              <w:rPr>
                <w:rFonts w:hint="eastAsia" w:hAnsi="宋体" w:cs="宋体"/>
                <w:color w:val="auto"/>
                <w:sz w:val="28"/>
                <w:szCs w:val="28"/>
                <w:highlight w:val="none"/>
              </w:rPr>
            </w:pPr>
          </w:p>
        </w:tc>
        <w:tc>
          <w:tcPr>
            <w:tcW w:w="1510" w:type="dxa"/>
            <w:vAlign w:val="center"/>
          </w:tcPr>
          <w:p w14:paraId="1D63F623">
            <w:pPr>
              <w:pStyle w:val="18"/>
              <w:ind w:firstLine="0" w:firstLineChars="0"/>
              <w:jc w:val="center"/>
              <w:rPr>
                <w:rFonts w:hint="eastAsia" w:hAnsi="宋体" w:cs="宋体"/>
                <w:color w:val="auto"/>
                <w:sz w:val="28"/>
                <w:szCs w:val="28"/>
                <w:highlight w:val="none"/>
              </w:rPr>
            </w:pPr>
          </w:p>
        </w:tc>
        <w:tc>
          <w:tcPr>
            <w:tcW w:w="1979" w:type="dxa"/>
            <w:vAlign w:val="center"/>
          </w:tcPr>
          <w:p w14:paraId="4726FBB7">
            <w:pPr>
              <w:pStyle w:val="18"/>
              <w:ind w:firstLine="0" w:firstLineChars="0"/>
              <w:jc w:val="center"/>
              <w:rPr>
                <w:rFonts w:hint="eastAsia" w:hAnsi="宋体" w:cs="宋体"/>
                <w:color w:val="auto"/>
                <w:sz w:val="28"/>
                <w:szCs w:val="28"/>
                <w:highlight w:val="none"/>
              </w:rPr>
            </w:pPr>
          </w:p>
        </w:tc>
        <w:tc>
          <w:tcPr>
            <w:tcW w:w="1042" w:type="dxa"/>
            <w:vAlign w:val="center"/>
          </w:tcPr>
          <w:p w14:paraId="7EEDF17E">
            <w:pPr>
              <w:pStyle w:val="18"/>
              <w:ind w:firstLine="0" w:firstLineChars="0"/>
              <w:jc w:val="center"/>
              <w:rPr>
                <w:rFonts w:hint="eastAsia" w:hAnsi="宋体" w:cs="宋体"/>
                <w:color w:val="auto"/>
                <w:sz w:val="28"/>
                <w:szCs w:val="28"/>
                <w:highlight w:val="none"/>
              </w:rPr>
            </w:pPr>
          </w:p>
        </w:tc>
      </w:tr>
      <w:tr w14:paraId="6773C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42" w:type="dxa"/>
            <w:vAlign w:val="center"/>
          </w:tcPr>
          <w:p w14:paraId="2F659E3C">
            <w:pPr>
              <w:pStyle w:val="18"/>
              <w:ind w:firstLine="0" w:firstLineChars="0"/>
              <w:jc w:val="center"/>
              <w:rPr>
                <w:rFonts w:hint="eastAsia" w:hAnsi="宋体" w:cs="宋体"/>
                <w:color w:val="auto"/>
                <w:sz w:val="28"/>
                <w:szCs w:val="28"/>
                <w:highlight w:val="none"/>
              </w:rPr>
            </w:pPr>
            <w:r>
              <w:rPr>
                <w:rFonts w:hint="eastAsia" w:hAnsi="宋体" w:cs="宋体"/>
                <w:color w:val="auto"/>
                <w:sz w:val="28"/>
                <w:szCs w:val="28"/>
                <w:highlight w:val="none"/>
              </w:rPr>
              <w:t>11</w:t>
            </w:r>
          </w:p>
        </w:tc>
        <w:tc>
          <w:tcPr>
            <w:tcW w:w="2177" w:type="dxa"/>
            <w:vAlign w:val="center"/>
          </w:tcPr>
          <w:p w14:paraId="0A89BC9F">
            <w:pPr>
              <w:pStyle w:val="18"/>
              <w:ind w:firstLine="0" w:firstLineChars="0"/>
              <w:jc w:val="center"/>
              <w:rPr>
                <w:rFonts w:hint="eastAsia" w:hAnsi="宋体" w:cs="宋体"/>
                <w:color w:val="auto"/>
                <w:sz w:val="28"/>
                <w:szCs w:val="28"/>
                <w:highlight w:val="none"/>
              </w:rPr>
            </w:pPr>
          </w:p>
        </w:tc>
        <w:tc>
          <w:tcPr>
            <w:tcW w:w="1510" w:type="dxa"/>
            <w:vAlign w:val="center"/>
          </w:tcPr>
          <w:p w14:paraId="7BA66BBB">
            <w:pPr>
              <w:pStyle w:val="18"/>
              <w:ind w:firstLine="0" w:firstLineChars="0"/>
              <w:jc w:val="center"/>
              <w:rPr>
                <w:rFonts w:hint="eastAsia" w:hAnsi="宋体" w:cs="宋体"/>
                <w:color w:val="auto"/>
                <w:sz w:val="28"/>
                <w:szCs w:val="28"/>
                <w:highlight w:val="none"/>
              </w:rPr>
            </w:pPr>
          </w:p>
        </w:tc>
        <w:tc>
          <w:tcPr>
            <w:tcW w:w="1510" w:type="dxa"/>
            <w:vAlign w:val="center"/>
          </w:tcPr>
          <w:p w14:paraId="1AA91FA0">
            <w:pPr>
              <w:pStyle w:val="18"/>
              <w:ind w:firstLine="0" w:firstLineChars="0"/>
              <w:jc w:val="center"/>
              <w:rPr>
                <w:rFonts w:hint="eastAsia" w:hAnsi="宋体" w:cs="宋体"/>
                <w:color w:val="auto"/>
                <w:sz w:val="28"/>
                <w:szCs w:val="28"/>
                <w:highlight w:val="none"/>
              </w:rPr>
            </w:pPr>
          </w:p>
        </w:tc>
        <w:tc>
          <w:tcPr>
            <w:tcW w:w="1979" w:type="dxa"/>
            <w:vAlign w:val="center"/>
          </w:tcPr>
          <w:p w14:paraId="648D4D5A">
            <w:pPr>
              <w:pStyle w:val="18"/>
              <w:ind w:firstLine="0" w:firstLineChars="0"/>
              <w:jc w:val="center"/>
              <w:rPr>
                <w:rFonts w:hint="eastAsia" w:hAnsi="宋体" w:cs="宋体"/>
                <w:color w:val="auto"/>
                <w:sz w:val="28"/>
                <w:szCs w:val="28"/>
                <w:highlight w:val="none"/>
              </w:rPr>
            </w:pPr>
          </w:p>
        </w:tc>
        <w:tc>
          <w:tcPr>
            <w:tcW w:w="1042" w:type="dxa"/>
            <w:vAlign w:val="center"/>
          </w:tcPr>
          <w:p w14:paraId="61EA8D30">
            <w:pPr>
              <w:pStyle w:val="18"/>
              <w:ind w:firstLine="0" w:firstLineChars="0"/>
              <w:jc w:val="center"/>
              <w:rPr>
                <w:rFonts w:hint="eastAsia" w:hAnsi="宋体" w:cs="宋体"/>
                <w:color w:val="auto"/>
                <w:sz w:val="28"/>
                <w:szCs w:val="28"/>
                <w:highlight w:val="none"/>
              </w:rPr>
            </w:pPr>
          </w:p>
        </w:tc>
      </w:tr>
      <w:tr w14:paraId="024A6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42" w:type="dxa"/>
            <w:vAlign w:val="center"/>
          </w:tcPr>
          <w:p w14:paraId="32EE161E">
            <w:pPr>
              <w:pStyle w:val="18"/>
              <w:ind w:firstLine="0" w:firstLineChars="0"/>
              <w:jc w:val="center"/>
              <w:rPr>
                <w:rFonts w:hint="eastAsia" w:hAnsi="宋体" w:cs="宋体"/>
                <w:color w:val="auto"/>
                <w:sz w:val="28"/>
                <w:szCs w:val="28"/>
                <w:highlight w:val="none"/>
              </w:rPr>
            </w:pPr>
            <w:r>
              <w:rPr>
                <w:rFonts w:hint="eastAsia" w:hAnsi="宋体" w:cs="宋体"/>
                <w:color w:val="auto"/>
                <w:sz w:val="28"/>
                <w:szCs w:val="28"/>
                <w:highlight w:val="none"/>
              </w:rPr>
              <w:t>12</w:t>
            </w:r>
          </w:p>
        </w:tc>
        <w:tc>
          <w:tcPr>
            <w:tcW w:w="2177" w:type="dxa"/>
            <w:vAlign w:val="center"/>
          </w:tcPr>
          <w:p w14:paraId="4821470C">
            <w:pPr>
              <w:pStyle w:val="18"/>
              <w:ind w:firstLine="0" w:firstLineChars="0"/>
              <w:jc w:val="center"/>
              <w:rPr>
                <w:rFonts w:hint="eastAsia" w:hAnsi="宋体" w:cs="宋体"/>
                <w:color w:val="auto"/>
                <w:sz w:val="28"/>
                <w:szCs w:val="28"/>
                <w:highlight w:val="none"/>
              </w:rPr>
            </w:pPr>
          </w:p>
        </w:tc>
        <w:tc>
          <w:tcPr>
            <w:tcW w:w="1510" w:type="dxa"/>
            <w:vAlign w:val="center"/>
          </w:tcPr>
          <w:p w14:paraId="2DC08A79">
            <w:pPr>
              <w:pStyle w:val="18"/>
              <w:ind w:firstLine="0" w:firstLineChars="0"/>
              <w:jc w:val="center"/>
              <w:rPr>
                <w:rFonts w:hint="eastAsia" w:hAnsi="宋体" w:cs="宋体"/>
                <w:color w:val="auto"/>
                <w:sz w:val="28"/>
                <w:szCs w:val="28"/>
                <w:highlight w:val="none"/>
              </w:rPr>
            </w:pPr>
          </w:p>
        </w:tc>
        <w:tc>
          <w:tcPr>
            <w:tcW w:w="1510" w:type="dxa"/>
            <w:vAlign w:val="center"/>
          </w:tcPr>
          <w:p w14:paraId="64FD8602">
            <w:pPr>
              <w:pStyle w:val="18"/>
              <w:ind w:firstLine="0" w:firstLineChars="0"/>
              <w:jc w:val="center"/>
              <w:rPr>
                <w:rFonts w:hint="eastAsia" w:hAnsi="宋体" w:cs="宋体"/>
                <w:color w:val="auto"/>
                <w:sz w:val="28"/>
                <w:szCs w:val="28"/>
                <w:highlight w:val="none"/>
              </w:rPr>
            </w:pPr>
          </w:p>
        </w:tc>
        <w:tc>
          <w:tcPr>
            <w:tcW w:w="1979" w:type="dxa"/>
            <w:vAlign w:val="center"/>
          </w:tcPr>
          <w:p w14:paraId="788AB3AF">
            <w:pPr>
              <w:pStyle w:val="18"/>
              <w:ind w:firstLine="0" w:firstLineChars="0"/>
              <w:jc w:val="center"/>
              <w:rPr>
                <w:rFonts w:hint="eastAsia" w:hAnsi="宋体" w:cs="宋体"/>
                <w:color w:val="auto"/>
                <w:sz w:val="28"/>
                <w:szCs w:val="28"/>
                <w:highlight w:val="none"/>
              </w:rPr>
            </w:pPr>
          </w:p>
        </w:tc>
        <w:tc>
          <w:tcPr>
            <w:tcW w:w="1042" w:type="dxa"/>
            <w:vAlign w:val="center"/>
          </w:tcPr>
          <w:p w14:paraId="59F53C98">
            <w:pPr>
              <w:pStyle w:val="18"/>
              <w:ind w:firstLine="0" w:firstLineChars="0"/>
              <w:jc w:val="center"/>
              <w:rPr>
                <w:rFonts w:hint="eastAsia" w:hAnsi="宋体" w:cs="宋体"/>
                <w:color w:val="auto"/>
                <w:sz w:val="28"/>
                <w:szCs w:val="28"/>
                <w:highlight w:val="none"/>
              </w:rPr>
            </w:pPr>
          </w:p>
        </w:tc>
      </w:tr>
      <w:tr w14:paraId="18A3E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42" w:type="dxa"/>
            <w:vAlign w:val="center"/>
          </w:tcPr>
          <w:p w14:paraId="387094CD">
            <w:pPr>
              <w:pStyle w:val="2"/>
              <w:ind w:left="63" w:right="63" w:firstLine="0" w:firstLineChars="0"/>
              <w:jc w:val="center"/>
              <w:rPr>
                <w:rFonts w:hint="eastAsia" w:ascii="宋体" w:hAnsi="宋体" w:eastAsia="宋体" w:cs="宋体"/>
                <w:b w:val="0"/>
                <w:color w:val="auto"/>
                <w:sz w:val="28"/>
                <w:szCs w:val="28"/>
                <w:highlight w:val="none"/>
              </w:rPr>
            </w:pPr>
            <w:r>
              <w:rPr>
                <w:rFonts w:hint="eastAsia" w:ascii="宋体" w:hAnsi="宋体" w:eastAsia="宋体" w:cs="宋体"/>
                <w:b w:val="0"/>
                <w:color w:val="auto"/>
                <w:sz w:val="28"/>
                <w:szCs w:val="28"/>
                <w:highlight w:val="none"/>
              </w:rPr>
              <w:t>…</w:t>
            </w:r>
          </w:p>
        </w:tc>
        <w:tc>
          <w:tcPr>
            <w:tcW w:w="2177" w:type="dxa"/>
            <w:vAlign w:val="center"/>
          </w:tcPr>
          <w:p w14:paraId="5343F813">
            <w:pPr>
              <w:pStyle w:val="2"/>
              <w:ind w:left="63" w:right="63" w:firstLine="0" w:firstLineChars="0"/>
              <w:jc w:val="center"/>
              <w:rPr>
                <w:rFonts w:hint="eastAsia" w:ascii="宋体" w:hAnsi="宋体" w:eastAsia="宋体" w:cs="宋体"/>
                <w:b w:val="0"/>
                <w:color w:val="auto"/>
                <w:sz w:val="28"/>
                <w:szCs w:val="28"/>
                <w:highlight w:val="none"/>
              </w:rPr>
            </w:pPr>
            <w:r>
              <w:rPr>
                <w:rFonts w:hint="eastAsia" w:ascii="宋体" w:hAnsi="宋体" w:eastAsia="宋体" w:cs="宋体"/>
                <w:b w:val="0"/>
                <w:color w:val="auto"/>
                <w:sz w:val="28"/>
                <w:szCs w:val="28"/>
                <w:highlight w:val="none"/>
              </w:rPr>
              <w:t>……</w:t>
            </w:r>
          </w:p>
        </w:tc>
        <w:tc>
          <w:tcPr>
            <w:tcW w:w="1510" w:type="dxa"/>
            <w:vAlign w:val="center"/>
          </w:tcPr>
          <w:p w14:paraId="32C105A8">
            <w:pPr>
              <w:pStyle w:val="18"/>
              <w:ind w:firstLine="0" w:firstLineChars="0"/>
              <w:jc w:val="center"/>
              <w:rPr>
                <w:rFonts w:hint="eastAsia" w:hAnsi="宋体" w:cs="宋体"/>
                <w:color w:val="auto"/>
                <w:sz w:val="28"/>
                <w:szCs w:val="28"/>
                <w:highlight w:val="none"/>
              </w:rPr>
            </w:pPr>
          </w:p>
        </w:tc>
        <w:tc>
          <w:tcPr>
            <w:tcW w:w="1510" w:type="dxa"/>
            <w:vAlign w:val="center"/>
          </w:tcPr>
          <w:p w14:paraId="3D99BEA2">
            <w:pPr>
              <w:pStyle w:val="18"/>
              <w:ind w:firstLine="0" w:firstLineChars="0"/>
              <w:jc w:val="center"/>
              <w:rPr>
                <w:rFonts w:hint="eastAsia" w:hAnsi="宋体" w:cs="宋体"/>
                <w:color w:val="auto"/>
                <w:sz w:val="28"/>
                <w:szCs w:val="28"/>
                <w:highlight w:val="none"/>
              </w:rPr>
            </w:pPr>
          </w:p>
        </w:tc>
        <w:tc>
          <w:tcPr>
            <w:tcW w:w="1979" w:type="dxa"/>
            <w:vAlign w:val="center"/>
          </w:tcPr>
          <w:p w14:paraId="6E761331">
            <w:pPr>
              <w:pStyle w:val="18"/>
              <w:ind w:firstLine="0" w:firstLineChars="0"/>
              <w:jc w:val="center"/>
              <w:rPr>
                <w:rFonts w:hint="eastAsia" w:hAnsi="宋体" w:cs="宋体"/>
                <w:color w:val="auto"/>
                <w:sz w:val="28"/>
                <w:szCs w:val="28"/>
                <w:highlight w:val="none"/>
              </w:rPr>
            </w:pPr>
          </w:p>
        </w:tc>
        <w:tc>
          <w:tcPr>
            <w:tcW w:w="1042" w:type="dxa"/>
            <w:vAlign w:val="center"/>
          </w:tcPr>
          <w:p w14:paraId="39BBFEC3">
            <w:pPr>
              <w:pStyle w:val="18"/>
              <w:ind w:firstLine="0" w:firstLineChars="0"/>
              <w:jc w:val="center"/>
              <w:rPr>
                <w:rFonts w:hint="eastAsia" w:hAnsi="宋体" w:cs="宋体"/>
                <w:color w:val="auto"/>
                <w:sz w:val="28"/>
                <w:szCs w:val="28"/>
                <w:highlight w:val="none"/>
              </w:rPr>
            </w:pPr>
          </w:p>
        </w:tc>
      </w:tr>
    </w:tbl>
    <w:p w14:paraId="5F1D85B7">
      <w:pPr>
        <w:pStyle w:val="18"/>
        <w:ind w:left="368" w:leftChars="175" w:firstLine="480"/>
        <w:rPr>
          <w:rFonts w:hint="eastAsia" w:hAnsi="宋体" w:cs="宋体"/>
          <w:color w:val="auto"/>
          <w:sz w:val="24"/>
          <w:highlight w:val="none"/>
        </w:rPr>
      </w:pPr>
      <w:r>
        <w:rPr>
          <w:rFonts w:hint="eastAsia" w:hAnsi="宋体" w:cs="宋体"/>
          <w:color w:val="auto"/>
          <w:sz w:val="24"/>
          <w:highlight w:val="none"/>
        </w:rPr>
        <w:t>注1、备注是注明是否为自主创新品牌，如为自主创新品牌需提供相关证明材料。</w:t>
      </w:r>
    </w:p>
    <w:p w14:paraId="503F7629">
      <w:pPr>
        <w:pStyle w:val="18"/>
        <w:ind w:left="368" w:leftChars="175" w:firstLine="480"/>
        <w:rPr>
          <w:rFonts w:hint="eastAsia" w:hAnsi="宋体" w:cs="宋体"/>
          <w:color w:val="auto"/>
          <w:sz w:val="24"/>
          <w:highlight w:val="none"/>
        </w:rPr>
      </w:pPr>
    </w:p>
    <w:tbl>
      <w:tblPr>
        <w:tblStyle w:val="34"/>
        <w:tblW w:w="0" w:type="auto"/>
        <w:jc w:val="right"/>
        <w:tblLayout w:type="fixed"/>
        <w:tblCellMar>
          <w:top w:w="0" w:type="dxa"/>
          <w:left w:w="108" w:type="dxa"/>
          <w:bottom w:w="0" w:type="dxa"/>
          <w:right w:w="108" w:type="dxa"/>
        </w:tblCellMar>
      </w:tblPr>
      <w:tblGrid>
        <w:gridCol w:w="1923"/>
        <w:gridCol w:w="4044"/>
      </w:tblGrid>
      <w:tr w14:paraId="4F63D78B">
        <w:tblPrEx>
          <w:tblCellMar>
            <w:top w:w="0" w:type="dxa"/>
            <w:left w:w="108" w:type="dxa"/>
            <w:bottom w:w="0" w:type="dxa"/>
            <w:right w:w="108" w:type="dxa"/>
          </w:tblCellMar>
        </w:tblPrEx>
        <w:trPr>
          <w:trHeight w:val="268" w:hRule="atLeast"/>
          <w:jc w:val="right"/>
        </w:trPr>
        <w:tc>
          <w:tcPr>
            <w:tcW w:w="1923" w:type="dxa"/>
            <w:tcBorders>
              <w:right w:val="nil"/>
            </w:tcBorders>
          </w:tcPr>
          <w:p w14:paraId="18EE5157">
            <w:pPr>
              <w:pStyle w:val="158"/>
              <w:ind w:firstLine="0" w:firstLineChars="0"/>
              <w:jc w:val="both"/>
              <w:rPr>
                <w:rFonts w:hint="eastAsia" w:hAnsi="宋体" w:cs="宋体"/>
                <w:color w:val="auto"/>
                <w:highlight w:val="none"/>
              </w:rPr>
            </w:pPr>
            <w:r>
              <w:rPr>
                <w:rFonts w:hint="eastAsia" w:hAnsi="宋体" w:cs="宋体"/>
                <w:color w:val="auto"/>
                <w:highlight w:val="none"/>
              </w:rPr>
              <w:t>投标人：</w:t>
            </w:r>
          </w:p>
        </w:tc>
        <w:tc>
          <w:tcPr>
            <w:tcW w:w="4044" w:type="dxa"/>
            <w:tcBorders>
              <w:top w:val="nil"/>
              <w:left w:val="nil"/>
              <w:bottom w:val="nil"/>
              <w:right w:val="nil"/>
            </w:tcBorders>
          </w:tcPr>
          <w:p w14:paraId="47DDAFCD">
            <w:pPr>
              <w:pStyle w:val="158"/>
              <w:ind w:firstLine="0" w:firstLineChars="0"/>
              <w:rPr>
                <w:rFonts w:hint="eastAsia" w:hAnsi="宋体" w:cs="宋体"/>
                <w:color w:val="auto"/>
                <w:highlight w:val="none"/>
              </w:rPr>
            </w:pPr>
            <w:r>
              <w:rPr>
                <w:rFonts w:hint="eastAsia" w:hAnsi="宋体" w:cs="宋体"/>
                <w:color w:val="auto"/>
                <w:highlight w:val="none"/>
              </w:rPr>
              <w:t>（电子签章）</w:t>
            </w:r>
          </w:p>
        </w:tc>
      </w:tr>
      <w:tr w14:paraId="5EF4D9DF">
        <w:tblPrEx>
          <w:tblCellMar>
            <w:top w:w="0" w:type="dxa"/>
            <w:left w:w="108" w:type="dxa"/>
            <w:bottom w:w="0" w:type="dxa"/>
            <w:right w:w="108" w:type="dxa"/>
          </w:tblCellMar>
        </w:tblPrEx>
        <w:trPr>
          <w:trHeight w:val="495" w:hRule="atLeast"/>
          <w:jc w:val="right"/>
        </w:trPr>
        <w:tc>
          <w:tcPr>
            <w:tcW w:w="1923" w:type="dxa"/>
            <w:tcBorders>
              <w:right w:val="nil"/>
            </w:tcBorders>
          </w:tcPr>
          <w:p w14:paraId="7D438FA9">
            <w:pPr>
              <w:pStyle w:val="158"/>
              <w:ind w:firstLine="0" w:firstLineChars="0"/>
              <w:jc w:val="both"/>
              <w:rPr>
                <w:rFonts w:hint="eastAsia" w:hAnsi="宋体" w:cs="宋体"/>
                <w:color w:val="auto"/>
                <w:highlight w:val="none"/>
              </w:rPr>
            </w:pPr>
            <w:r>
              <w:rPr>
                <w:rFonts w:hint="eastAsia" w:hAnsi="宋体" w:cs="宋体"/>
                <w:color w:val="auto"/>
                <w:highlight w:val="none"/>
              </w:rPr>
              <w:t>法定代表人：</w:t>
            </w:r>
          </w:p>
        </w:tc>
        <w:tc>
          <w:tcPr>
            <w:tcW w:w="4044" w:type="dxa"/>
            <w:tcBorders>
              <w:top w:val="nil"/>
              <w:left w:val="nil"/>
              <w:bottom w:val="nil"/>
              <w:right w:val="nil"/>
            </w:tcBorders>
          </w:tcPr>
          <w:p w14:paraId="32D4E6A7">
            <w:pPr>
              <w:pStyle w:val="158"/>
              <w:ind w:firstLine="0" w:firstLineChars="0"/>
              <w:rPr>
                <w:rFonts w:hint="eastAsia" w:hAnsi="宋体" w:cs="宋体"/>
                <w:color w:val="auto"/>
                <w:highlight w:val="none"/>
              </w:rPr>
            </w:pPr>
            <w:r>
              <w:rPr>
                <w:rFonts w:hint="eastAsia" w:hAnsi="宋体" w:cs="宋体"/>
                <w:color w:val="auto"/>
                <w:highlight w:val="none"/>
              </w:rPr>
              <w:t>（电子签章）</w:t>
            </w:r>
          </w:p>
        </w:tc>
      </w:tr>
      <w:tr w14:paraId="7BFEF47B">
        <w:tblPrEx>
          <w:tblCellMar>
            <w:top w:w="0" w:type="dxa"/>
            <w:left w:w="108" w:type="dxa"/>
            <w:bottom w:w="0" w:type="dxa"/>
            <w:right w:w="108" w:type="dxa"/>
          </w:tblCellMar>
        </w:tblPrEx>
        <w:trPr>
          <w:trHeight w:val="495" w:hRule="atLeast"/>
          <w:jc w:val="right"/>
        </w:trPr>
        <w:tc>
          <w:tcPr>
            <w:tcW w:w="1923" w:type="dxa"/>
            <w:tcBorders>
              <w:right w:val="nil"/>
            </w:tcBorders>
          </w:tcPr>
          <w:p w14:paraId="2E732BDD">
            <w:pPr>
              <w:pStyle w:val="158"/>
              <w:ind w:firstLine="0" w:firstLineChars="0"/>
              <w:jc w:val="both"/>
              <w:rPr>
                <w:rFonts w:hint="eastAsia" w:hAnsi="宋体" w:cs="宋体"/>
                <w:color w:val="auto"/>
                <w:highlight w:val="none"/>
              </w:rPr>
            </w:pPr>
            <w:r>
              <w:rPr>
                <w:rFonts w:hint="eastAsia" w:hAnsi="宋体" w:cs="宋体"/>
                <w:color w:val="auto"/>
                <w:highlight w:val="none"/>
              </w:rPr>
              <w:t>日期：</w:t>
            </w:r>
          </w:p>
        </w:tc>
        <w:tc>
          <w:tcPr>
            <w:tcW w:w="4044" w:type="dxa"/>
            <w:tcBorders>
              <w:top w:val="nil"/>
              <w:left w:val="nil"/>
              <w:bottom w:val="nil"/>
              <w:right w:val="nil"/>
            </w:tcBorders>
          </w:tcPr>
          <w:p w14:paraId="6E27A557">
            <w:pPr>
              <w:pStyle w:val="158"/>
              <w:ind w:firstLine="0" w:firstLineChars="0"/>
              <w:rPr>
                <w:rFonts w:hint="eastAsia" w:hAnsi="宋体" w:cs="宋体"/>
                <w:color w:val="auto"/>
                <w:highlight w:val="none"/>
              </w:rPr>
            </w:pPr>
          </w:p>
        </w:tc>
      </w:tr>
      <w:tr w14:paraId="51BBD098">
        <w:tblPrEx>
          <w:tblCellMar>
            <w:top w:w="0" w:type="dxa"/>
            <w:left w:w="108" w:type="dxa"/>
            <w:bottom w:w="0" w:type="dxa"/>
            <w:right w:w="108" w:type="dxa"/>
          </w:tblCellMar>
        </w:tblPrEx>
        <w:trPr>
          <w:trHeight w:val="495" w:hRule="atLeast"/>
          <w:jc w:val="right"/>
        </w:trPr>
        <w:tc>
          <w:tcPr>
            <w:tcW w:w="1923" w:type="dxa"/>
            <w:tcBorders>
              <w:right w:val="nil"/>
            </w:tcBorders>
          </w:tcPr>
          <w:p w14:paraId="410F2098">
            <w:pPr>
              <w:pStyle w:val="158"/>
              <w:ind w:firstLine="0" w:firstLineChars="0"/>
              <w:jc w:val="both"/>
              <w:rPr>
                <w:rFonts w:hint="eastAsia" w:hAnsi="宋体" w:cs="宋体"/>
                <w:color w:val="auto"/>
                <w:highlight w:val="none"/>
              </w:rPr>
            </w:pPr>
            <w:r>
              <w:rPr>
                <w:rFonts w:hint="eastAsia" w:hAnsi="宋体" w:cs="宋体"/>
                <w:color w:val="auto"/>
                <w:highlight w:val="none"/>
              </w:rPr>
              <w:t>地址：</w:t>
            </w:r>
          </w:p>
        </w:tc>
        <w:tc>
          <w:tcPr>
            <w:tcW w:w="4044" w:type="dxa"/>
            <w:tcBorders>
              <w:top w:val="nil"/>
              <w:left w:val="nil"/>
              <w:bottom w:val="nil"/>
              <w:right w:val="nil"/>
            </w:tcBorders>
          </w:tcPr>
          <w:p w14:paraId="3EE6DBBB">
            <w:pPr>
              <w:pStyle w:val="158"/>
              <w:ind w:firstLine="0" w:firstLineChars="0"/>
              <w:rPr>
                <w:rFonts w:hint="eastAsia" w:hAnsi="宋体" w:cs="宋体"/>
                <w:color w:val="auto"/>
                <w:highlight w:val="none"/>
              </w:rPr>
            </w:pPr>
          </w:p>
        </w:tc>
      </w:tr>
      <w:tr w14:paraId="56556F79">
        <w:tblPrEx>
          <w:tblCellMar>
            <w:top w:w="0" w:type="dxa"/>
            <w:left w:w="108" w:type="dxa"/>
            <w:bottom w:w="0" w:type="dxa"/>
            <w:right w:w="108" w:type="dxa"/>
          </w:tblCellMar>
        </w:tblPrEx>
        <w:trPr>
          <w:trHeight w:val="495" w:hRule="atLeast"/>
          <w:jc w:val="right"/>
        </w:trPr>
        <w:tc>
          <w:tcPr>
            <w:tcW w:w="1923" w:type="dxa"/>
            <w:tcBorders>
              <w:right w:val="nil"/>
            </w:tcBorders>
          </w:tcPr>
          <w:p w14:paraId="56532F62">
            <w:pPr>
              <w:pStyle w:val="158"/>
              <w:ind w:firstLine="0" w:firstLineChars="0"/>
              <w:jc w:val="both"/>
              <w:rPr>
                <w:rFonts w:hint="eastAsia" w:hAnsi="宋体" w:cs="宋体"/>
                <w:color w:val="auto"/>
                <w:highlight w:val="none"/>
              </w:rPr>
            </w:pPr>
            <w:r>
              <w:rPr>
                <w:rFonts w:hint="eastAsia" w:hAnsi="宋体" w:cs="宋体"/>
                <w:color w:val="auto"/>
                <w:highlight w:val="none"/>
              </w:rPr>
              <w:t>邮编：</w:t>
            </w:r>
          </w:p>
        </w:tc>
        <w:tc>
          <w:tcPr>
            <w:tcW w:w="4044" w:type="dxa"/>
            <w:tcBorders>
              <w:top w:val="nil"/>
              <w:left w:val="nil"/>
              <w:bottom w:val="nil"/>
              <w:right w:val="nil"/>
            </w:tcBorders>
          </w:tcPr>
          <w:p w14:paraId="6C969E16">
            <w:pPr>
              <w:pStyle w:val="158"/>
              <w:ind w:firstLine="0" w:firstLineChars="0"/>
              <w:rPr>
                <w:rFonts w:hint="eastAsia" w:hAnsi="宋体" w:cs="宋体"/>
                <w:color w:val="auto"/>
                <w:highlight w:val="none"/>
              </w:rPr>
            </w:pPr>
          </w:p>
        </w:tc>
      </w:tr>
      <w:tr w14:paraId="256A9165">
        <w:tblPrEx>
          <w:tblCellMar>
            <w:top w:w="0" w:type="dxa"/>
            <w:left w:w="108" w:type="dxa"/>
            <w:bottom w:w="0" w:type="dxa"/>
            <w:right w:w="108" w:type="dxa"/>
          </w:tblCellMar>
        </w:tblPrEx>
        <w:trPr>
          <w:trHeight w:val="495" w:hRule="atLeast"/>
          <w:jc w:val="right"/>
        </w:trPr>
        <w:tc>
          <w:tcPr>
            <w:tcW w:w="1923" w:type="dxa"/>
            <w:tcBorders>
              <w:right w:val="nil"/>
            </w:tcBorders>
          </w:tcPr>
          <w:p w14:paraId="6578630C">
            <w:pPr>
              <w:pStyle w:val="158"/>
              <w:ind w:firstLine="0" w:firstLineChars="0"/>
              <w:jc w:val="both"/>
              <w:rPr>
                <w:rFonts w:hint="eastAsia" w:hAnsi="宋体" w:cs="宋体"/>
                <w:color w:val="auto"/>
                <w:highlight w:val="none"/>
              </w:rPr>
            </w:pPr>
            <w:r>
              <w:rPr>
                <w:rFonts w:hint="eastAsia" w:hAnsi="宋体" w:cs="宋体"/>
                <w:color w:val="auto"/>
                <w:highlight w:val="none"/>
              </w:rPr>
              <w:t>电话：</w:t>
            </w:r>
          </w:p>
        </w:tc>
        <w:tc>
          <w:tcPr>
            <w:tcW w:w="4044" w:type="dxa"/>
            <w:tcBorders>
              <w:top w:val="nil"/>
              <w:left w:val="nil"/>
              <w:bottom w:val="nil"/>
              <w:right w:val="nil"/>
            </w:tcBorders>
          </w:tcPr>
          <w:p w14:paraId="35EACE8E">
            <w:pPr>
              <w:pStyle w:val="158"/>
              <w:ind w:firstLine="0" w:firstLineChars="0"/>
              <w:rPr>
                <w:rFonts w:hint="eastAsia" w:hAnsi="宋体" w:cs="宋体"/>
                <w:color w:val="auto"/>
                <w:highlight w:val="none"/>
              </w:rPr>
            </w:pPr>
          </w:p>
        </w:tc>
      </w:tr>
      <w:tr w14:paraId="74556107">
        <w:tblPrEx>
          <w:tblCellMar>
            <w:top w:w="0" w:type="dxa"/>
            <w:left w:w="108" w:type="dxa"/>
            <w:bottom w:w="0" w:type="dxa"/>
            <w:right w:w="108" w:type="dxa"/>
          </w:tblCellMar>
        </w:tblPrEx>
        <w:trPr>
          <w:trHeight w:val="495" w:hRule="atLeast"/>
          <w:jc w:val="right"/>
        </w:trPr>
        <w:tc>
          <w:tcPr>
            <w:tcW w:w="1923" w:type="dxa"/>
            <w:tcBorders>
              <w:right w:val="nil"/>
            </w:tcBorders>
          </w:tcPr>
          <w:p w14:paraId="2F033981">
            <w:pPr>
              <w:pStyle w:val="158"/>
              <w:ind w:firstLine="0" w:firstLineChars="0"/>
              <w:jc w:val="both"/>
              <w:rPr>
                <w:rFonts w:hint="eastAsia" w:hAnsi="宋体" w:cs="宋体"/>
                <w:color w:val="auto"/>
                <w:highlight w:val="none"/>
              </w:rPr>
            </w:pPr>
            <w:r>
              <w:rPr>
                <w:rFonts w:hint="eastAsia" w:hAnsi="宋体" w:cs="宋体"/>
                <w:color w:val="auto"/>
                <w:highlight w:val="none"/>
              </w:rPr>
              <w:t>传真：</w:t>
            </w:r>
          </w:p>
        </w:tc>
        <w:tc>
          <w:tcPr>
            <w:tcW w:w="4044" w:type="dxa"/>
            <w:tcBorders>
              <w:top w:val="nil"/>
              <w:left w:val="nil"/>
              <w:bottom w:val="nil"/>
              <w:right w:val="nil"/>
            </w:tcBorders>
          </w:tcPr>
          <w:p w14:paraId="05EED9AE">
            <w:pPr>
              <w:pStyle w:val="158"/>
              <w:ind w:firstLine="0" w:firstLineChars="0"/>
              <w:rPr>
                <w:rFonts w:hint="eastAsia" w:hAnsi="宋体" w:cs="宋体"/>
                <w:color w:val="auto"/>
                <w:highlight w:val="none"/>
              </w:rPr>
            </w:pPr>
          </w:p>
        </w:tc>
      </w:tr>
    </w:tbl>
    <w:p w14:paraId="40B4F534">
      <w:pPr>
        <w:pStyle w:val="168"/>
        <w:snapToGrid w:val="0"/>
        <w:spacing w:before="0" w:after="0" w:line="600" w:lineRule="exact"/>
        <w:ind w:left="342" w:hanging="367" w:hangingChars="122"/>
        <w:outlineLvl w:val="2"/>
        <w:rPr>
          <w:rFonts w:hint="eastAsia" w:ascii="宋体" w:hAnsi="宋体" w:cs="宋体"/>
          <w:color w:val="auto"/>
          <w:spacing w:val="10"/>
          <w:szCs w:val="24"/>
          <w:highlight w:val="none"/>
        </w:rPr>
      </w:pPr>
      <w:bookmarkStart w:id="110" w:name="_Toc1395"/>
      <w:r>
        <w:rPr>
          <w:rFonts w:hint="eastAsia" w:ascii="宋体" w:hAnsi="宋体" w:cs="宋体"/>
          <w:color w:val="auto"/>
          <w:spacing w:val="10"/>
          <w:szCs w:val="24"/>
          <w:highlight w:val="none"/>
        </w:rPr>
        <w:t>五、付款计划</w:t>
      </w:r>
      <w:bookmarkEnd w:id="110"/>
    </w:p>
    <w:p w14:paraId="7BF579CB">
      <w:pPr>
        <w:widowControl/>
        <w:spacing w:line="240" w:lineRule="auto"/>
        <w:ind w:firstLine="0" w:firstLineChars="0"/>
        <w:jc w:val="left"/>
        <w:rPr>
          <w:rFonts w:hint="eastAsia" w:ascii="宋体" w:hAnsi="宋体" w:cs="宋体"/>
          <w:b/>
          <w:color w:val="auto"/>
          <w:spacing w:val="10"/>
          <w:kern w:val="44"/>
          <w:sz w:val="28"/>
          <w:szCs w:val="24"/>
          <w:highlight w:val="none"/>
        </w:rPr>
      </w:pPr>
    </w:p>
    <w:p w14:paraId="6D8BEF93">
      <w:pPr>
        <w:pStyle w:val="168"/>
        <w:snapToGrid w:val="0"/>
        <w:spacing w:before="0" w:after="0" w:line="600" w:lineRule="exact"/>
        <w:ind w:left="342" w:hanging="367" w:hangingChars="122"/>
        <w:outlineLvl w:val="2"/>
        <w:rPr>
          <w:rFonts w:hint="eastAsia" w:ascii="宋体" w:hAnsi="宋体" w:cs="宋体"/>
          <w:color w:val="auto"/>
          <w:spacing w:val="10"/>
          <w:szCs w:val="24"/>
          <w:highlight w:val="none"/>
        </w:rPr>
      </w:pPr>
      <w:bookmarkStart w:id="111" w:name="_Toc26508"/>
      <w:r>
        <w:rPr>
          <w:rFonts w:hint="eastAsia" w:ascii="宋体" w:hAnsi="宋体" w:cs="宋体"/>
          <w:color w:val="auto"/>
          <w:spacing w:val="10"/>
          <w:szCs w:val="24"/>
          <w:highlight w:val="none"/>
        </w:rPr>
        <w:t>（一）车款付款</w:t>
      </w:r>
      <w:bookmarkEnd w:id="111"/>
    </w:p>
    <w:p w14:paraId="7A3F76F9">
      <w:pPr>
        <w:pStyle w:val="2"/>
        <w:ind w:firstLine="851"/>
        <w:rPr>
          <w:rFonts w:hint="eastAsia" w:ascii="宋体" w:hAnsi="宋体" w:eastAsia="宋体" w:cs="宋体"/>
          <w:color w:val="auto"/>
          <w:highlight w:val="none"/>
        </w:rPr>
      </w:pPr>
    </w:p>
    <w:tbl>
      <w:tblPr>
        <w:tblStyle w:val="34"/>
        <w:tblW w:w="9229" w:type="dxa"/>
        <w:tblInd w:w="93" w:type="dxa"/>
        <w:tblLayout w:type="autofit"/>
        <w:tblCellMar>
          <w:top w:w="0" w:type="dxa"/>
          <w:left w:w="108" w:type="dxa"/>
          <w:bottom w:w="0" w:type="dxa"/>
          <w:right w:w="108" w:type="dxa"/>
        </w:tblCellMar>
      </w:tblPr>
      <w:tblGrid>
        <w:gridCol w:w="1080"/>
        <w:gridCol w:w="1629"/>
        <w:gridCol w:w="1701"/>
        <w:gridCol w:w="1842"/>
        <w:gridCol w:w="2977"/>
      </w:tblGrid>
      <w:tr w14:paraId="7DE88973">
        <w:tblPrEx>
          <w:tblCellMar>
            <w:top w:w="0" w:type="dxa"/>
            <w:left w:w="108" w:type="dxa"/>
            <w:bottom w:w="0" w:type="dxa"/>
            <w:right w:w="108" w:type="dxa"/>
          </w:tblCellMar>
        </w:tblPrEx>
        <w:trPr>
          <w:trHeight w:val="402" w:hRule="atLeast"/>
        </w:trPr>
        <w:tc>
          <w:tcPr>
            <w:tcW w:w="1080" w:type="dxa"/>
            <w:vMerge w:val="restart"/>
            <w:tcBorders>
              <w:top w:val="single" w:color="auto" w:sz="4" w:space="0"/>
              <w:left w:val="single" w:color="auto" w:sz="4" w:space="0"/>
              <w:bottom w:val="single" w:color="auto" w:sz="4" w:space="0"/>
              <w:right w:val="single" w:color="auto" w:sz="4" w:space="0"/>
            </w:tcBorders>
            <w:vAlign w:val="center"/>
          </w:tcPr>
          <w:p w14:paraId="4890CA01">
            <w:pPr>
              <w:widowControl/>
              <w:spacing w:line="240" w:lineRule="auto"/>
              <w:ind w:firstLine="0" w:firstLineChars="0"/>
              <w:jc w:val="center"/>
              <w:rPr>
                <w:rFonts w:hint="eastAsia"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序号</w:t>
            </w:r>
          </w:p>
        </w:tc>
        <w:tc>
          <w:tcPr>
            <w:tcW w:w="1629" w:type="dxa"/>
            <w:vMerge w:val="restart"/>
            <w:tcBorders>
              <w:top w:val="single" w:color="auto" w:sz="4" w:space="0"/>
              <w:left w:val="single" w:color="auto" w:sz="4" w:space="0"/>
              <w:bottom w:val="single" w:color="auto" w:sz="4" w:space="0"/>
              <w:right w:val="single" w:color="auto" w:sz="4" w:space="0"/>
            </w:tcBorders>
            <w:vAlign w:val="center"/>
          </w:tcPr>
          <w:p w14:paraId="50FD25BD">
            <w:pPr>
              <w:widowControl/>
              <w:spacing w:line="240" w:lineRule="auto"/>
              <w:ind w:firstLine="0" w:firstLineChars="0"/>
              <w:jc w:val="center"/>
              <w:rPr>
                <w:rFonts w:hint="eastAsia"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付款日期</w:t>
            </w:r>
          </w:p>
        </w:tc>
        <w:tc>
          <w:tcPr>
            <w:tcW w:w="6520" w:type="dxa"/>
            <w:gridSpan w:val="3"/>
            <w:tcBorders>
              <w:top w:val="single" w:color="auto" w:sz="4" w:space="0"/>
              <w:left w:val="nil"/>
              <w:bottom w:val="single" w:color="auto" w:sz="4" w:space="0"/>
              <w:right w:val="single" w:color="auto" w:sz="4" w:space="0"/>
            </w:tcBorders>
            <w:vAlign w:val="center"/>
          </w:tcPr>
          <w:p w14:paraId="750C71E3">
            <w:pPr>
              <w:widowControl/>
              <w:spacing w:line="240" w:lineRule="auto"/>
              <w:ind w:firstLine="0" w:firstLineChars="0"/>
              <w:jc w:val="center"/>
              <w:rPr>
                <w:rFonts w:hint="eastAsia"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支付金额（元）</w:t>
            </w:r>
          </w:p>
        </w:tc>
      </w:tr>
      <w:tr w14:paraId="779A743C">
        <w:tblPrEx>
          <w:tblCellMar>
            <w:top w:w="0" w:type="dxa"/>
            <w:left w:w="108" w:type="dxa"/>
            <w:bottom w:w="0" w:type="dxa"/>
            <w:right w:w="108" w:type="dxa"/>
          </w:tblCellMar>
        </w:tblPrEx>
        <w:trPr>
          <w:trHeight w:val="402" w:hRule="atLeast"/>
        </w:trPr>
        <w:tc>
          <w:tcPr>
            <w:tcW w:w="1080" w:type="dxa"/>
            <w:vMerge w:val="continue"/>
            <w:tcBorders>
              <w:top w:val="single" w:color="auto" w:sz="4" w:space="0"/>
              <w:left w:val="single" w:color="auto" w:sz="4" w:space="0"/>
              <w:bottom w:val="single" w:color="auto" w:sz="4" w:space="0"/>
              <w:right w:val="single" w:color="auto" w:sz="4" w:space="0"/>
            </w:tcBorders>
            <w:vAlign w:val="center"/>
          </w:tcPr>
          <w:p w14:paraId="5172F931">
            <w:pPr>
              <w:widowControl/>
              <w:spacing w:line="240" w:lineRule="auto"/>
              <w:ind w:firstLine="0" w:firstLineChars="0"/>
              <w:jc w:val="center"/>
              <w:rPr>
                <w:rFonts w:hint="eastAsia" w:ascii="宋体" w:hAnsi="宋体" w:cs="宋体"/>
                <w:b/>
                <w:bCs/>
                <w:color w:val="auto"/>
                <w:kern w:val="0"/>
                <w:sz w:val="24"/>
                <w:szCs w:val="24"/>
                <w:highlight w:val="none"/>
              </w:rPr>
            </w:pPr>
          </w:p>
        </w:tc>
        <w:tc>
          <w:tcPr>
            <w:tcW w:w="1629" w:type="dxa"/>
            <w:vMerge w:val="continue"/>
            <w:tcBorders>
              <w:top w:val="single" w:color="auto" w:sz="4" w:space="0"/>
              <w:left w:val="single" w:color="auto" w:sz="4" w:space="0"/>
              <w:bottom w:val="single" w:color="auto" w:sz="4" w:space="0"/>
              <w:right w:val="single" w:color="auto" w:sz="4" w:space="0"/>
            </w:tcBorders>
            <w:vAlign w:val="center"/>
          </w:tcPr>
          <w:p w14:paraId="1A683674">
            <w:pPr>
              <w:widowControl/>
              <w:spacing w:line="240" w:lineRule="auto"/>
              <w:ind w:firstLine="0" w:firstLineChars="0"/>
              <w:jc w:val="left"/>
              <w:rPr>
                <w:rFonts w:hint="eastAsia" w:ascii="宋体" w:hAnsi="宋体" w:cs="宋体"/>
                <w:b/>
                <w:bCs/>
                <w:color w:val="auto"/>
                <w:kern w:val="0"/>
                <w:sz w:val="24"/>
                <w:szCs w:val="24"/>
                <w:highlight w:val="none"/>
              </w:rPr>
            </w:pPr>
          </w:p>
        </w:tc>
        <w:tc>
          <w:tcPr>
            <w:tcW w:w="1701" w:type="dxa"/>
            <w:tcBorders>
              <w:top w:val="nil"/>
              <w:left w:val="nil"/>
              <w:bottom w:val="single" w:color="auto" w:sz="4" w:space="0"/>
              <w:right w:val="single" w:color="auto" w:sz="4" w:space="0"/>
            </w:tcBorders>
            <w:vAlign w:val="center"/>
          </w:tcPr>
          <w:p w14:paraId="5CA12CA4">
            <w:pPr>
              <w:widowControl/>
              <w:spacing w:line="240" w:lineRule="auto"/>
              <w:ind w:firstLine="0" w:firstLineChars="0"/>
              <w:jc w:val="center"/>
              <w:rPr>
                <w:rFonts w:hint="eastAsia"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本金</w:t>
            </w:r>
          </w:p>
        </w:tc>
        <w:tc>
          <w:tcPr>
            <w:tcW w:w="1842" w:type="dxa"/>
            <w:tcBorders>
              <w:top w:val="nil"/>
              <w:left w:val="nil"/>
              <w:bottom w:val="single" w:color="auto" w:sz="4" w:space="0"/>
              <w:right w:val="single" w:color="auto" w:sz="4" w:space="0"/>
            </w:tcBorders>
            <w:vAlign w:val="center"/>
          </w:tcPr>
          <w:p w14:paraId="6A14A0E2">
            <w:pPr>
              <w:widowControl/>
              <w:spacing w:line="240" w:lineRule="auto"/>
              <w:ind w:firstLine="0" w:firstLineChars="0"/>
              <w:jc w:val="center"/>
              <w:rPr>
                <w:rFonts w:hint="eastAsia"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利息</w:t>
            </w:r>
          </w:p>
        </w:tc>
        <w:tc>
          <w:tcPr>
            <w:tcW w:w="2977" w:type="dxa"/>
            <w:tcBorders>
              <w:top w:val="nil"/>
              <w:left w:val="nil"/>
              <w:bottom w:val="single" w:color="auto" w:sz="4" w:space="0"/>
              <w:right w:val="single" w:color="auto" w:sz="4" w:space="0"/>
            </w:tcBorders>
            <w:vAlign w:val="center"/>
          </w:tcPr>
          <w:p w14:paraId="11C005DA">
            <w:pPr>
              <w:widowControl/>
              <w:spacing w:line="240" w:lineRule="auto"/>
              <w:ind w:firstLine="0" w:firstLineChars="0"/>
              <w:jc w:val="center"/>
              <w:rPr>
                <w:rFonts w:hint="eastAsia"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合计（本金+利息）</w:t>
            </w:r>
          </w:p>
        </w:tc>
      </w:tr>
      <w:tr w14:paraId="17AF8E66">
        <w:tblPrEx>
          <w:tblCellMar>
            <w:top w:w="0" w:type="dxa"/>
            <w:left w:w="108" w:type="dxa"/>
            <w:bottom w:w="0" w:type="dxa"/>
            <w:right w:w="108" w:type="dxa"/>
          </w:tblCellMar>
        </w:tblPrEx>
        <w:trPr>
          <w:trHeight w:val="420" w:hRule="atLeast"/>
        </w:trPr>
        <w:tc>
          <w:tcPr>
            <w:tcW w:w="1080" w:type="dxa"/>
            <w:tcBorders>
              <w:top w:val="nil"/>
              <w:left w:val="single" w:color="auto" w:sz="4" w:space="0"/>
              <w:bottom w:val="single" w:color="auto" w:sz="4" w:space="0"/>
              <w:right w:val="single" w:color="auto" w:sz="4" w:space="0"/>
            </w:tcBorders>
            <w:vAlign w:val="center"/>
          </w:tcPr>
          <w:p w14:paraId="0099E5B5">
            <w:pPr>
              <w:widowControl/>
              <w:spacing w:line="240" w:lineRule="auto"/>
              <w:ind w:firstLine="0" w:firstLineChars="0"/>
              <w:jc w:val="center"/>
              <w:rPr>
                <w:rFonts w:hint="eastAsia"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1</w:t>
            </w:r>
          </w:p>
        </w:tc>
        <w:tc>
          <w:tcPr>
            <w:tcW w:w="1629" w:type="dxa"/>
            <w:tcBorders>
              <w:top w:val="nil"/>
              <w:left w:val="nil"/>
              <w:bottom w:val="single" w:color="auto" w:sz="4" w:space="0"/>
              <w:right w:val="single" w:color="auto" w:sz="4" w:space="0"/>
            </w:tcBorders>
            <w:noWrap/>
            <w:vAlign w:val="bottom"/>
          </w:tcPr>
          <w:p w14:paraId="30404CF4">
            <w:pPr>
              <w:widowControl/>
              <w:spacing w:line="240" w:lineRule="auto"/>
              <w:ind w:firstLine="0" w:firstLineChars="0"/>
              <w:jc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c>
          <w:tcPr>
            <w:tcW w:w="1701" w:type="dxa"/>
            <w:tcBorders>
              <w:top w:val="nil"/>
              <w:left w:val="nil"/>
              <w:bottom w:val="single" w:color="auto" w:sz="4" w:space="0"/>
              <w:right w:val="single" w:color="auto" w:sz="4" w:space="0"/>
            </w:tcBorders>
            <w:vAlign w:val="center"/>
          </w:tcPr>
          <w:p w14:paraId="1E3809C0">
            <w:pPr>
              <w:widowControl/>
              <w:spacing w:line="240" w:lineRule="auto"/>
              <w:ind w:firstLine="0" w:firstLineChars="0"/>
              <w:jc w:val="center"/>
              <w:rPr>
                <w:rFonts w:hint="eastAsia"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　</w:t>
            </w:r>
          </w:p>
        </w:tc>
        <w:tc>
          <w:tcPr>
            <w:tcW w:w="1842" w:type="dxa"/>
            <w:tcBorders>
              <w:top w:val="nil"/>
              <w:left w:val="nil"/>
              <w:bottom w:val="single" w:color="auto" w:sz="4" w:space="0"/>
              <w:right w:val="single" w:color="auto" w:sz="4" w:space="0"/>
            </w:tcBorders>
            <w:vAlign w:val="center"/>
          </w:tcPr>
          <w:p w14:paraId="51747577">
            <w:pPr>
              <w:widowControl/>
              <w:spacing w:line="240" w:lineRule="auto"/>
              <w:ind w:firstLine="0" w:firstLineChars="0"/>
              <w:jc w:val="center"/>
              <w:rPr>
                <w:rFonts w:hint="eastAsia"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　</w:t>
            </w:r>
          </w:p>
        </w:tc>
        <w:tc>
          <w:tcPr>
            <w:tcW w:w="2977" w:type="dxa"/>
            <w:tcBorders>
              <w:top w:val="nil"/>
              <w:left w:val="nil"/>
              <w:bottom w:val="single" w:color="auto" w:sz="4" w:space="0"/>
              <w:right w:val="single" w:color="auto" w:sz="4" w:space="0"/>
            </w:tcBorders>
            <w:vAlign w:val="center"/>
          </w:tcPr>
          <w:p w14:paraId="400A0C4B">
            <w:pPr>
              <w:widowControl/>
              <w:spacing w:line="240" w:lineRule="auto"/>
              <w:ind w:firstLine="0" w:firstLineChars="0"/>
              <w:jc w:val="center"/>
              <w:rPr>
                <w:rFonts w:hint="eastAsia"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　</w:t>
            </w:r>
          </w:p>
        </w:tc>
      </w:tr>
      <w:tr w14:paraId="0C107CCF">
        <w:tblPrEx>
          <w:tblCellMar>
            <w:top w:w="0" w:type="dxa"/>
            <w:left w:w="108" w:type="dxa"/>
            <w:bottom w:w="0" w:type="dxa"/>
            <w:right w:w="108" w:type="dxa"/>
          </w:tblCellMar>
        </w:tblPrEx>
        <w:trPr>
          <w:trHeight w:val="402" w:hRule="atLeast"/>
        </w:trPr>
        <w:tc>
          <w:tcPr>
            <w:tcW w:w="1080" w:type="dxa"/>
            <w:tcBorders>
              <w:top w:val="nil"/>
              <w:left w:val="single" w:color="auto" w:sz="4" w:space="0"/>
              <w:bottom w:val="single" w:color="auto" w:sz="4" w:space="0"/>
              <w:right w:val="single" w:color="auto" w:sz="4" w:space="0"/>
            </w:tcBorders>
            <w:vAlign w:val="center"/>
          </w:tcPr>
          <w:p w14:paraId="2770C001">
            <w:pPr>
              <w:widowControl/>
              <w:spacing w:line="240" w:lineRule="auto"/>
              <w:ind w:firstLine="0" w:firstLineChars="0"/>
              <w:jc w:val="center"/>
              <w:rPr>
                <w:rFonts w:hint="eastAsia"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2</w:t>
            </w:r>
          </w:p>
        </w:tc>
        <w:tc>
          <w:tcPr>
            <w:tcW w:w="1629" w:type="dxa"/>
            <w:tcBorders>
              <w:top w:val="nil"/>
              <w:left w:val="nil"/>
              <w:bottom w:val="single" w:color="auto" w:sz="4" w:space="0"/>
              <w:right w:val="single" w:color="auto" w:sz="4" w:space="0"/>
            </w:tcBorders>
            <w:noWrap/>
            <w:vAlign w:val="bottom"/>
          </w:tcPr>
          <w:p w14:paraId="39E55758">
            <w:pPr>
              <w:widowControl/>
              <w:spacing w:line="240" w:lineRule="auto"/>
              <w:ind w:firstLine="0" w:firstLineChars="0"/>
              <w:jc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c>
          <w:tcPr>
            <w:tcW w:w="1701" w:type="dxa"/>
            <w:tcBorders>
              <w:top w:val="nil"/>
              <w:left w:val="nil"/>
              <w:bottom w:val="single" w:color="auto" w:sz="4" w:space="0"/>
              <w:right w:val="single" w:color="auto" w:sz="4" w:space="0"/>
            </w:tcBorders>
            <w:noWrap/>
            <w:vAlign w:val="center"/>
          </w:tcPr>
          <w:p w14:paraId="6380E23C">
            <w:pPr>
              <w:widowControl/>
              <w:spacing w:line="240" w:lineRule="auto"/>
              <w:ind w:firstLine="0" w:firstLineChars="0"/>
              <w:jc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c>
          <w:tcPr>
            <w:tcW w:w="1842" w:type="dxa"/>
            <w:tcBorders>
              <w:top w:val="nil"/>
              <w:left w:val="nil"/>
              <w:bottom w:val="single" w:color="auto" w:sz="4" w:space="0"/>
              <w:right w:val="single" w:color="auto" w:sz="4" w:space="0"/>
            </w:tcBorders>
            <w:noWrap/>
            <w:vAlign w:val="center"/>
          </w:tcPr>
          <w:p w14:paraId="79926A37">
            <w:pPr>
              <w:widowControl/>
              <w:spacing w:line="240" w:lineRule="auto"/>
              <w:ind w:firstLine="0" w:firstLineChars="0"/>
              <w:jc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c>
          <w:tcPr>
            <w:tcW w:w="2977" w:type="dxa"/>
            <w:tcBorders>
              <w:top w:val="nil"/>
              <w:left w:val="nil"/>
              <w:bottom w:val="single" w:color="auto" w:sz="4" w:space="0"/>
              <w:right w:val="single" w:color="auto" w:sz="4" w:space="0"/>
            </w:tcBorders>
            <w:noWrap/>
            <w:vAlign w:val="center"/>
          </w:tcPr>
          <w:p w14:paraId="3B7D3EB4">
            <w:pPr>
              <w:widowControl/>
              <w:spacing w:line="240" w:lineRule="auto"/>
              <w:ind w:firstLine="0" w:firstLineChars="0"/>
              <w:jc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r>
      <w:tr w14:paraId="26993CFC">
        <w:tblPrEx>
          <w:tblCellMar>
            <w:top w:w="0" w:type="dxa"/>
            <w:left w:w="108" w:type="dxa"/>
            <w:bottom w:w="0" w:type="dxa"/>
            <w:right w:w="108" w:type="dxa"/>
          </w:tblCellMar>
        </w:tblPrEx>
        <w:trPr>
          <w:trHeight w:val="402" w:hRule="atLeast"/>
        </w:trPr>
        <w:tc>
          <w:tcPr>
            <w:tcW w:w="1080" w:type="dxa"/>
            <w:tcBorders>
              <w:top w:val="nil"/>
              <w:left w:val="single" w:color="auto" w:sz="4" w:space="0"/>
              <w:bottom w:val="single" w:color="auto" w:sz="4" w:space="0"/>
              <w:right w:val="single" w:color="auto" w:sz="4" w:space="0"/>
            </w:tcBorders>
            <w:vAlign w:val="center"/>
          </w:tcPr>
          <w:p w14:paraId="1869B26A">
            <w:pPr>
              <w:widowControl/>
              <w:spacing w:line="240" w:lineRule="auto"/>
              <w:ind w:firstLine="0" w:firstLineChars="0"/>
              <w:jc w:val="center"/>
              <w:rPr>
                <w:rFonts w:hint="eastAsia"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3</w:t>
            </w:r>
          </w:p>
        </w:tc>
        <w:tc>
          <w:tcPr>
            <w:tcW w:w="1629" w:type="dxa"/>
            <w:tcBorders>
              <w:top w:val="nil"/>
              <w:left w:val="nil"/>
              <w:bottom w:val="single" w:color="auto" w:sz="4" w:space="0"/>
              <w:right w:val="single" w:color="auto" w:sz="4" w:space="0"/>
            </w:tcBorders>
            <w:noWrap/>
            <w:vAlign w:val="bottom"/>
          </w:tcPr>
          <w:p w14:paraId="16274E5F">
            <w:pPr>
              <w:widowControl/>
              <w:spacing w:line="240" w:lineRule="auto"/>
              <w:ind w:firstLine="0" w:firstLineChars="0"/>
              <w:jc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c>
          <w:tcPr>
            <w:tcW w:w="1701" w:type="dxa"/>
            <w:tcBorders>
              <w:top w:val="nil"/>
              <w:left w:val="nil"/>
              <w:bottom w:val="single" w:color="auto" w:sz="4" w:space="0"/>
              <w:right w:val="single" w:color="auto" w:sz="4" w:space="0"/>
            </w:tcBorders>
            <w:noWrap/>
            <w:vAlign w:val="center"/>
          </w:tcPr>
          <w:p w14:paraId="787198E6">
            <w:pPr>
              <w:widowControl/>
              <w:spacing w:line="240" w:lineRule="auto"/>
              <w:ind w:firstLine="0" w:firstLineChars="0"/>
              <w:jc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c>
          <w:tcPr>
            <w:tcW w:w="1842" w:type="dxa"/>
            <w:tcBorders>
              <w:top w:val="nil"/>
              <w:left w:val="nil"/>
              <w:bottom w:val="single" w:color="auto" w:sz="4" w:space="0"/>
              <w:right w:val="single" w:color="auto" w:sz="4" w:space="0"/>
            </w:tcBorders>
            <w:noWrap/>
            <w:vAlign w:val="center"/>
          </w:tcPr>
          <w:p w14:paraId="7820B630">
            <w:pPr>
              <w:widowControl/>
              <w:spacing w:line="240" w:lineRule="auto"/>
              <w:ind w:firstLine="0" w:firstLineChars="0"/>
              <w:jc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c>
          <w:tcPr>
            <w:tcW w:w="2977" w:type="dxa"/>
            <w:tcBorders>
              <w:top w:val="nil"/>
              <w:left w:val="nil"/>
              <w:bottom w:val="single" w:color="auto" w:sz="4" w:space="0"/>
              <w:right w:val="single" w:color="auto" w:sz="4" w:space="0"/>
            </w:tcBorders>
            <w:noWrap/>
            <w:vAlign w:val="center"/>
          </w:tcPr>
          <w:p w14:paraId="2640FD43">
            <w:pPr>
              <w:widowControl/>
              <w:spacing w:line="240" w:lineRule="auto"/>
              <w:ind w:firstLine="0" w:firstLineChars="0"/>
              <w:jc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r>
      <w:tr w14:paraId="6313604C">
        <w:tblPrEx>
          <w:tblCellMar>
            <w:top w:w="0" w:type="dxa"/>
            <w:left w:w="108" w:type="dxa"/>
            <w:bottom w:w="0" w:type="dxa"/>
            <w:right w:w="108" w:type="dxa"/>
          </w:tblCellMar>
        </w:tblPrEx>
        <w:trPr>
          <w:trHeight w:val="402" w:hRule="atLeast"/>
        </w:trPr>
        <w:tc>
          <w:tcPr>
            <w:tcW w:w="1080" w:type="dxa"/>
            <w:tcBorders>
              <w:top w:val="nil"/>
              <w:left w:val="single" w:color="auto" w:sz="4" w:space="0"/>
              <w:bottom w:val="single" w:color="auto" w:sz="4" w:space="0"/>
              <w:right w:val="single" w:color="auto" w:sz="4" w:space="0"/>
            </w:tcBorders>
            <w:vAlign w:val="center"/>
          </w:tcPr>
          <w:p w14:paraId="191942B5">
            <w:pPr>
              <w:widowControl/>
              <w:spacing w:line="240" w:lineRule="auto"/>
              <w:ind w:firstLine="0" w:firstLineChars="0"/>
              <w:jc w:val="center"/>
              <w:rPr>
                <w:rFonts w:hint="eastAsia"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4</w:t>
            </w:r>
          </w:p>
        </w:tc>
        <w:tc>
          <w:tcPr>
            <w:tcW w:w="1629" w:type="dxa"/>
            <w:tcBorders>
              <w:top w:val="nil"/>
              <w:left w:val="nil"/>
              <w:bottom w:val="single" w:color="auto" w:sz="4" w:space="0"/>
              <w:right w:val="single" w:color="auto" w:sz="4" w:space="0"/>
            </w:tcBorders>
            <w:noWrap/>
            <w:vAlign w:val="bottom"/>
          </w:tcPr>
          <w:p w14:paraId="18B42FAD">
            <w:pPr>
              <w:widowControl/>
              <w:spacing w:line="240" w:lineRule="auto"/>
              <w:ind w:firstLine="0" w:firstLineChars="0"/>
              <w:jc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c>
          <w:tcPr>
            <w:tcW w:w="1701" w:type="dxa"/>
            <w:tcBorders>
              <w:top w:val="nil"/>
              <w:left w:val="nil"/>
              <w:bottom w:val="single" w:color="auto" w:sz="4" w:space="0"/>
              <w:right w:val="single" w:color="auto" w:sz="4" w:space="0"/>
            </w:tcBorders>
            <w:noWrap/>
            <w:vAlign w:val="center"/>
          </w:tcPr>
          <w:p w14:paraId="30950925">
            <w:pPr>
              <w:widowControl/>
              <w:spacing w:line="240" w:lineRule="auto"/>
              <w:ind w:firstLine="0" w:firstLineChars="0"/>
              <w:jc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c>
          <w:tcPr>
            <w:tcW w:w="1842" w:type="dxa"/>
            <w:tcBorders>
              <w:top w:val="nil"/>
              <w:left w:val="nil"/>
              <w:bottom w:val="single" w:color="auto" w:sz="4" w:space="0"/>
              <w:right w:val="single" w:color="auto" w:sz="4" w:space="0"/>
            </w:tcBorders>
            <w:noWrap/>
            <w:vAlign w:val="center"/>
          </w:tcPr>
          <w:p w14:paraId="787ADAE9">
            <w:pPr>
              <w:widowControl/>
              <w:spacing w:line="240" w:lineRule="auto"/>
              <w:ind w:firstLine="0" w:firstLineChars="0"/>
              <w:jc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c>
          <w:tcPr>
            <w:tcW w:w="2977" w:type="dxa"/>
            <w:tcBorders>
              <w:top w:val="nil"/>
              <w:left w:val="nil"/>
              <w:bottom w:val="single" w:color="auto" w:sz="4" w:space="0"/>
              <w:right w:val="single" w:color="auto" w:sz="4" w:space="0"/>
            </w:tcBorders>
            <w:noWrap/>
            <w:vAlign w:val="center"/>
          </w:tcPr>
          <w:p w14:paraId="50A277D4">
            <w:pPr>
              <w:widowControl/>
              <w:spacing w:line="240" w:lineRule="auto"/>
              <w:ind w:firstLine="0" w:firstLineChars="0"/>
              <w:jc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r>
      <w:tr w14:paraId="5440AE10">
        <w:tblPrEx>
          <w:tblCellMar>
            <w:top w:w="0" w:type="dxa"/>
            <w:left w:w="108" w:type="dxa"/>
            <w:bottom w:w="0" w:type="dxa"/>
            <w:right w:w="108" w:type="dxa"/>
          </w:tblCellMar>
        </w:tblPrEx>
        <w:trPr>
          <w:trHeight w:val="402" w:hRule="atLeast"/>
        </w:trPr>
        <w:tc>
          <w:tcPr>
            <w:tcW w:w="1080" w:type="dxa"/>
            <w:tcBorders>
              <w:top w:val="nil"/>
              <w:left w:val="single" w:color="auto" w:sz="4" w:space="0"/>
              <w:bottom w:val="single" w:color="auto" w:sz="4" w:space="0"/>
              <w:right w:val="single" w:color="auto" w:sz="4" w:space="0"/>
            </w:tcBorders>
            <w:vAlign w:val="center"/>
          </w:tcPr>
          <w:p w14:paraId="3693A809">
            <w:pPr>
              <w:widowControl/>
              <w:spacing w:line="240" w:lineRule="auto"/>
              <w:ind w:firstLine="0" w:firstLineChars="0"/>
              <w:jc w:val="center"/>
              <w:rPr>
                <w:rFonts w:hint="eastAsia"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5</w:t>
            </w:r>
          </w:p>
        </w:tc>
        <w:tc>
          <w:tcPr>
            <w:tcW w:w="1629" w:type="dxa"/>
            <w:tcBorders>
              <w:top w:val="nil"/>
              <w:left w:val="nil"/>
              <w:bottom w:val="single" w:color="auto" w:sz="4" w:space="0"/>
              <w:right w:val="single" w:color="auto" w:sz="4" w:space="0"/>
            </w:tcBorders>
            <w:noWrap/>
            <w:vAlign w:val="bottom"/>
          </w:tcPr>
          <w:p w14:paraId="6C7048DB">
            <w:pPr>
              <w:widowControl/>
              <w:spacing w:line="240" w:lineRule="auto"/>
              <w:ind w:firstLine="0" w:firstLineChars="0"/>
              <w:jc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c>
          <w:tcPr>
            <w:tcW w:w="1701" w:type="dxa"/>
            <w:tcBorders>
              <w:top w:val="nil"/>
              <w:left w:val="nil"/>
              <w:bottom w:val="single" w:color="auto" w:sz="4" w:space="0"/>
              <w:right w:val="single" w:color="auto" w:sz="4" w:space="0"/>
            </w:tcBorders>
            <w:noWrap/>
            <w:vAlign w:val="center"/>
          </w:tcPr>
          <w:p w14:paraId="2C9BF3EE">
            <w:pPr>
              <w:widowControl/>
              <w:spacing w:line="240" w:lineRule="auto"/>
              <w:ind w:firstLine="0" w:firstLineChars="0"/>
              <w:jc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c>
          <w:tcPr>
            <w:tcW w:w="1842" w:type="dxa"/>
            <w:tcBorders>
              <w:top w:val="nil"/>
              <w:left w:val="nil"/>
              <w:bottom w:val="single" w:color="auto" w:sz="4" w:space="0"/>
              <w:right w:val="single" w:color="auto" w:sz="4" w:space="0"/>
            </w:tcBorders>
            <w:noWrap/>
            <w:vAlign w:val="center"/>
          </w:tcPr>
          <w:p w14:paraId="5441F5C9">
            <w:pPr>
              <w:widowControl/>
              <w:spacing w:line="240" w:lineRule="auto"/>
              <w:ind w:firstLine="0" w:firstLineChars="0"/>
              <w:jc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c>
          <w:tcPr>
            <w:tcW w:w="2977" w:type="dxa"/>
            <w:tcBorders>
              <w:top w:val="nil"/>
              <w:left w:val="nil"/>
              <w:bottom w:val="single" w:color="auto" w:sz="4" w:space="0"/>
              <w:right w:val="single" w:color="auto" w:sz="4" w:space="0"/>
            </w:tcBorders>
            <w:noWrap/>
            <w:vAlign w:val="center"/>
          </w:tcPr>
          <w:p w14:paraId="529B737C">
            <w:pPr>
              <w:widowControl/>
              <w:spacing w:line="240" w:lineRule="auto"/>
              <w:ind w:firstLine="0" w:firstLineChars="0"/>
              <w:jc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r>
      <w:tr w14:paraId="037E34DE">
        <w:tblPrEx>
          <w:tblCellMar>
            <w:top w:w="0" w:type="dxa"/>
            <w:left w:w="108" w:type="dxa"/>
            <w:bottom w:w="0" w:type="dxa"/>
            <w:right w:w="108" w:type="dxa"/>
          </w:tblCellMar>
        </w:tblPrEx>
        <w:trPr>
          <w:trHeight w:val="402" w:hRule="atLeast"/>
        </w:trPr>
        <w:tc>
          <w:tcPr>
            <w:tcW w:w="1080" w:type="dxa"/>
            <w:tcBorders>
              <w:top w:val="nil"/>
              <w:left w:val="single" w:color="auto" w:sz="4" w:space="0"/>
              <w:bottom w:val="single" w:color="auto" w:sz="4" w:space="0"/>
              <w:right w:val="single" w:color="auto" w:sz="4" w:space="0"/>
            </w:tcBorders>
            <w:vAlign w:val="center"/>
          </w:tcPr>
          <w:p w14:paraId="32CB0F5D">
            <w:pPr>
              <w:widowControl/>
              <w:spacing w:line="240" w:lineRule="auto"/>
              <w:ind w:firstLine="0" w:firstLineChars="0"/>
              <w:jc w:val="center"/>
              <w:rPr>
                <w:rFonts w:hint="eastAsia"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w:t>
            </w:r>
          </w:p>
        </w:tc>
        <w:tc>
          <w:tcPr>
            <w:tcW w:w="1629" w:type="dxa"/>
            <w:tcBorders>
              <w:top w:val="nil"/>
              <w:left w:val="nil"/>
              <w:bottom w:val="single" w:color="auto" w:sz="4" w:space="0"/>
              <w:right w:val="single" w:color="auto" w:sz="4" w:space="0"/>
            </w:tcBorders>
            <w:noWrap/>
            <w:vAlign w:val="bottom"/>
          </w:tcPr>
          <w:p w14:paraId="6666F163">
            <w:pPr>
              <w:widowControl/>
              <w:spacing w:line="240" w:lineRule="auto"/>
              <w:ind w:firstLine="0" w:firstLineChars="0"/>
              <w:jc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c>
          <w:tcPr>
            <w:tcW w:w="1701" w:type="dxa"/>
            <w:tcBorders>
              <w:top w:val="nil"/>
              <w:left w:val="nil"/>
              <w:bottom w:val="single" w:color="auto" w:sz="4" w:space="0"/>
              <w:right w:val="single" w:color="auto" w:sz="4" w:space="0"/>
            </w:tcBorders>
            <w:noWrap/>
            <w:vAlign w:val="center"/>
          </w:tcPr>
          <w:p w14:paraId="447C1104">
            <w:pPr>
              <w:widowControl/>
              <w:spacing w:line="240" w:lineRule="auto"/>
              <w:ind w:firstLine="0" w:firstLineChars="0"/>
              <w:jc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c>
          <w:tcPr>
            <w:tcW w:w="1842" w:type="dxa"/>
            <w:tcBorders>
              <w:top w:val="nil"/>
              <w:left w:val="nil"/>
              <w:bottom w:val="single" w:color="auto" w:sz="4" w:space="0"/>
              <w:right w:val="single" w:color="auto" w:sz="4" w:space="0"/>
            </w:tcBorders>
            <w:noWrap/>
            <w:vAlign w:val="center"/>
          </w:tcPr>
          <w:p w14:paraId="6395843E">
            <w:pPr>
              <w:widowControl/>
              <w:spacing w:line="240" w:lineRule="auto"/>
              <w:ind w:firstLine="0" w:firstLineChars="0"/>
              <w:jc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c>
          <w:tcPr>
            <w:tcW w:w="2977" w:type="dxa"/>
            <w:tcBorders>
              <w:top w:val="nil"/>
              <w:left w:val="nil"/>
              <w:bottom w:val="single" w:color="auto" w:sz="4" w:space="0"/>
              <w:right w:val="single" w:color="auto" w:sz="4" w:space="0"/>
            </w:tcBorders>
            <w:noWrap/>
            <w:vAlign w:val="center"/>
          </w:tcPr>
          <w:p w14:paraId="556311E7">
            <w:pPr>
              <w:widowControl/>
              <w:spacing w:line="240" w:lineRule="auto"/>
              <w:ind w:firstLine="0" w:firstLineChars="0"/>
              <w:jc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r>
      <w:tr w14:paraId="71F33856">
        <w:tblPrEx>
          <w:tblCellMar>
            <w:top w:w="0" w:type="dxa"/>
            <w:left w:w="108" w:type="dxa"/>
            <w:bottom w:w="0" w:type="dxa"/>
            <w:right w:w="108" w:type="dxa"/>
          </w:tblCellMar>
        </w:tblPrEx>
        <w:trPr>
          <w:trHeight w:val="402" w:hRule="atLeast"/>
        </w:trPr>
        <w:tc>
          <w:tcPr>
            <w:tcW w:w="1080" w:type="dxa"/>
            <w:tcBorders>
              <w:top w:val="nil"/>
              <w:left w:val="single" w:color="auto" w:sz="4" w:space="0"/>
              <w:bottom w:val="single" w:color="auto" w:sz="4" w:space="0"/>
              <w:right w:val="single" w:color="auto" w:sz="4" w:space="0"/>
            </w:tcBorders>
            <w:vAlign w:val="center"/>
          </w:tcPr>
          <w:p w14:paraId="02107668">
            <w:pPr>
              <w:widowControl/>
              <w:spacing w:line="240" w:lineRule="auto"/>
              <w:ind w:firstLine="0" w:firstLineChars="0"/>
              <w:jc w:val="center"/>
              <w:rPr>
                <w:rFonts w:hint="eastAsia" w:ascii="宋体" w:hAnsi="宋体" w:cs="宋体"/>
                <w:b/>
                <w:bCs/>
                <w:color w:val="auto"/>
                <w:kern w:val="0"/>
                <w:sz w:val="24"/>
                <w:szCs w:val="24"/>
                <w:highlight w:val="none"/>
              </w:rPr>
            </w:pPr>
          </w:p>
        </w:tc>
        <w:tc>
          <w:tcPr>
            <w:tcW w:w="1629" w:type="dxa"/>
            <w:tcBorders>
              <w:top w:val="nil"/>
              <w:left w:val="nil"/>
              <w:bottom w:val="single" w:color="auto" w:sz="4" w:space="0"/>
              <w:right w:val="single" w:color="auto" w:sz="4" w:space="0"/>
            </w:tcBorders>
            <w:noWrap/>
            <w:vAlign w:val="bottom"/>
          </w:tcPr>
          <w:p w14:paraId="4C2C7816">
            <w:pPr>
              <w:widowControl/>
              <w:spacing w:line="240" w:lineRule="auto"/>
              <w:ind w:firstLine="0" w:firstLineChars="0"/>
              <w:jc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c>
          <w:tcPr>
            <w:tcW w:w="1701" w:type="dxa"/>
            <w:tcBorders>
              <w:top w:val="nil"/>
              <w:left w:val="nil"/>
              <w:bottom w:val="single" w:color="auto" w:sz="4" w:space="0"/>
              <w:right w:val="single" w:color="auto" w:sz="4" w:space="0"/>
            </w:tcBorders>
            <w:noWrap/>
            <w:vAlign w:val="center"/>
          </w:tcPr>
          <w:p w14:paraId="11062A90">
            <w:pPr>
              <w:widowControl/>
              <w:spacing w:line="240" w:lineRule="auto"/>
              <w:ind w:firstLine="0" w:firstLineChars="0"/>
              <w:jc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c>
          <w:tcPr>
            <w:tcW w:w="1842" w:type="dxa"/>
            <w:tcBorders>
              <w:top w:val="nil"/>
              <w:left w:val="nil"/>
              <w:bottom w:val="single" w:color="auto" w:sz="4" w:space="0"/>
              <w:right w:val="single" w:color="auto" w:sz="4" w:space="0"/>
            </w:tcBorders>
            <w:noWrap/>
            <w:vAlign w:val="center"/>
          </w:tcPr>
          <w:p w14:paraId="387071EA">
            <w:pPr>
              <w:widowControl/>
              <w:spacing w:line="240" w:lineRule="auto"/>
              <w:ind w:firstLine="0" w:firstLineChars="0"/>
              <w:jc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c>
          <w:tcPr>
            <w:tcW w:w="2977" w:type="dxa"/>
            <w:tcBorders>
              <w:top w:val="nil"/>
              <w:left w:val="nil"/>
              <w:bottom w:val="single" w:color="auto" w:sz="4" w:space="0"/>
              <w:right w:val="single" w:color="auto" w:sz="4" w:space="0"/>
            </w:tcBorders>
            <w:noWrap/>
            <w:vAlign w:val="center"/>
          </w:tcPr>
          <w:p w14:paraId="754CA89A">
            <w:pPr>
              <w:widowControl/>
              <w:spacing w:line="240" w:lineRule="auto"/>
              <w:ind w:firstLine="0" w:firstLineChars="0"/>
              <w:jc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r>
      <w:tr w14:paraId="66A5AFF2">
        <w:tblPrEx>
          <w:tblCellMar>
            <w:top w:w="0" w:type="dxa"/>
            <w:left w:w="108" w:type="dxa"/>
            <w:bottom w:w="0" w:type="dxa"/>
            <w:right w:w="108" w:type="dxa"/>
          </w:tblCellMar>
        </w:tblPrEx>
        <w:trPr>
          <w:trHeight w:val="402" w:hRule="atLeast"/>
        </w:trPr>
        <w:tc>
          <w:tcPr>
            <w:tcW w:w="1080" w:type="dxa"/>
            <w:tcBorders>
              <w:top w:val="nil"/>
              <w:left w:val="single" w:color="auto" w:sz="4" w:space="0"/>
              <w:bottom w:val="single" w:color="auto" w:sz="4" w:space="0"/>
              <w:right w:val="single" w:color="auto" w:sz="4" w:space="0"/>
            </w:tcBorders>
            <w:vAlign w:val="center"/>
          </w:tcPr>
          <w:p w14:paraId="5844B14A">
            <w:pPr>
              <w:widowControl/>
              <w:spacing w:line="240" w:lineRule="auto"/>
              <w:ind w:firstLine="0" w:firstLineChars="0"/>
              <w:jc w:val="center"/>
              <w:rPr>
                <w:rFonts w:hint="eastAsia" w:ascii="宋体" w:hAnsi="宋体" w:cs="宋体"/>
                <w:b/>
                <w:bCs/>
                <w:color w:val="auto"/>
                <w:kern w:val="0"/>
                <w:sz w:val="24"/>
                <w:szCs w:val="24"/>
                <w:highlight w:val="none"/>
              </w:rPr>
            </w:pPr>
          </w:p>
        </w:tc>
        <w:tc>
          <w:tcPr>
            <w:tcW w:w="1629" w:type="dxa"/>
            <w:tcBorders>
              <w:top w:val="nil"/>
              <w:left w:val="nil"/>
              <w:bottom w:val="single" w:color="auto" w:sz="4" w:space="0"/>
              <w:right w:val="single" w:color="auto" w:sz="4" w:space="0"/>
            </w:tcBorders>
            <w:noWrap/>
            <w:vAlign w:val="bottom"/>
          </w:tcPr>
          <w:p w14:paraId="65343A2E">
            <w:pPr>
              <w:widowControl/>
              <w:spacing w:line="240" w:lineRule="auto"/>
              <w:ind w:firstLine="0" w:firstLineChars="0"/>
              <w:jc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c>
          <w:tcPr>
            <w:tcW w:w="1701" w:type="dxa"/>
            <w:tcBorders>
              <w:top w:val="nil"/>
              <w:left w:val="nil"/>
              <w:bottom w:val="single" w:color="auto" w:sz="4" w:space="0"/>
              <w:right w:val="single" w:color="auto" w:sz="4" w:space="0"/>
            </w:tcBorders>
            <w:noWrap/>
            <w:vAlign w:val="center"/>
          </w:tcPr>
          <w:p w14:paraId="21B48D87">
            <w:pPr>
              <w:widowControl/>
              <w:spacing w:line="240" w:lineRule="auto"/>
              <w:ind w:firstLine="0" w:firstLineChars="0"/>
              <w:jc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c>
          <w:tcPr>
            <w:tcW w:w="1842" w:type="dxa"/>
            <w:tcBorders>
              <w:top w:val="nil"/>
              <w:left w:val="nil"/>
              <w:bottom w:val="single" w:color="auto" w:sz="4" w:space="0"/>
              <w:right w:val="single" w:color="auto" w:sz="4" w:space="0"/>
            </w:tcBorders>
            <w:noWrap/>
            <w:vAlign w:val="center"/>
          </w:tcPr>
          <w:p w14:paraId="4EB65CB9">
            <w:pPr>
              <w:widowControl/>
              <w:spacing w:line="240" w:lineRule="auto"/>
              <w:ind w:firstLine="0" w:firstLineChars="0"/>
              <w:jc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c>
          <w:tcPr>
            <w:tcW w:w="2977" w:type="dxa"/>
            <w:tcBorders>
              <w:top w:val="nil"/>
              <w:left w:val="nil"/>
              <w:bottom w:val="single" w:color="auto" w:sz="4" w:space="0"/>
              <w:right w:val="single" w:color="auto" w:sz="4" w:space="0"/>
            </w:tcBorders>
            <w:noWrap/>
            <w:vAlign w:val="center"/>
          </w:tcPr>
          <w:p w14:paraId="34B48599">
            <w:pPr>
              <w:widowControl/>
              <w:spacing w:line="240" w:lineRule="auto"/>
              <w:ind w:firstLine="0" w:firstLineChars="0"/>
              <w:jc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r>
      <w:tr w14:paraId="11421F07">
        <w:tblPrEx>
          <w:tblCellMar>
            <w:top w:w="0" w:type="dxa"/>
            <w:left w:w="108" w:type="dxa"/>
            <w:bottom w:w="0" w:type="dxa"/>
            <w:right w:w="108" w:type="dxa"/>
          </w:tblCellMar>
        </w:tblPrEx>
        <w:trPr>
          <w:trHeight w:val="402" w:hRule="atLeast"/>
        </w:trPr>
        <w:tc>
          <w:tcPr>
            <w:tcW w:w="1080" w:type="dxa"/>
            <w:tcBorders>
              <w:top w:val="nil"/>
              <w:left w:val="single" w:color="auto" w:sz="4" w:space="0"/>
              <w:bottom w:val="single" w:color="auto" w:sz="4" w:space="0"/>
              <w:right w:val="single" w:color="auto" w:sz="4" w:space="0"/>
            </w:tcBorders>
            <w:vAlign w:val="center"/>
          </w:tcPr>
          <w:p w14:paraId="1D777A28">
            <w:pPr>
              <w:widowControl/>
              <w:spacing w:line="240" w:lineRule="auto"/>
              <w:ind w:firstLine="0" w:firstLineChars="0"/>
              <w:jc w:val="center"/>
              <w:rPr>
                <w:rFonts w:hint="eastAsia" w:ascii="宋体" w:hAnsi="宋体" w:cs="宋体"/>
                <w:b/>
                <w:bCs/>
                <w:color w:val="auto"/>
                <w:kern w:val="0"/>
                <w:sz w:val="24"/>
                <w:szCs w:val="24"/>
                <w:highlight w:val="none"/>
              </w:rPr>
            </w:pPr>
          </w:p>
        </w:tc>
        <w:tc>
          <w:tcPr>
            <w:tcW w:w="1629" w:type="dxa"/>
            <w:tcBorders>
              <w:top w:val="nil"/>
              <w:left w:val="nil"/>
              <w:bottom w:val="single" w:color="auto" w:sz="4" w:space="0"/>
              <w:right w:val="single" w:color="auto" w:sz="4" w:space="0"/>
            </w:tcBorders>
            <w:noWrap/>
            <w:vAlign w:val="bottom"/>
          </w:tcPr>
          <w:p w14:paraId="414B6C00">
            <w:pPr>
              <w:widowControl/>
              <w:spacing w:line="240" w:lineRule="auto"/>
              <w:ind w:firstLine="0" w:firstLineChars="0"/>
              <w:jc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c>
          <w:tcPr>
            <w:tcW w:w="1701" w:type="dxa"/>
            <w:tcBorders>
              <w:top w:val="nil"/>
              <w:left w:val="nil"/>
              <w:bottom w:val="single" w:color="auto" w:sz="4" w:space="0"/>
              <w:right w:val="single" w:color="auto" w:sz="4" w:space="0"/>
            </w:tcBorders>
            <w:noWrap/>
            <w:vAlign w:val="center"/>
          </w:tcPr>
          <w:p w14:paraId="00273BDE">
            <w:pPr>
              <w:widowControl/>
              <w:spacing w:line="240" w:lineRule="auto"/>
              <w:ind w:firstLine="0" w:firstLineChars="0"/>
              <w:jc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c>
          <w:tcPr>
            <w:tcW w:w="1842" w:type="dxa"/>
            <w:tcBorders>
              <w:top w:val="nil"/>
              <w:left w:val="nil"/>
              <w:bottom w:val="single" w:color="auto" w:sz="4" w:space="0"/>
              <w:right w:val="single" w:color="auto" w:sz="4" w:space="0"/>
            </w:tcBorders>
            <w:noWrap/>
            <w:vAlign w:val="center"/>
          </w:tcPr>
          <w:p w14:paraId="1C221AB2">
            <w:pPr>
              <w:widowControl/>
              <w:spacing w:line="240" w:lineRule="auto"/>
              <w:ind w:firstLine="0" w:firstLineChars="0"/>
              <w:jc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c>
          <w:tcPr>
            <w:tcW w:w="2977" w:type="dxa"/>
            <w:tcBorders>
              <w:top w:val="nil"/>
              <w:left w:val="nil"/>
              <w:bottom w:val="single" w:color="auto" w:sz="4" w:space="0"/>
              <w:right w:val="single" w:color="auto" w:sz="4" w:space="0"/>
            </w:tcBorders>
            <w:noWrap/>
            <w:vAlign w:val="center"/>
          </w:tcPr>
          <w:p w14:paraId="6B7E02B6">
            <w:pPr>
              <w:widowControl/>
              <w:spacing w:line="240" w:lineRule="auto"/>
              <w:ind w:firstLine="0" w:firstLineChars="0"/>
              <w:jc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r>
      <w:tr w14:paraId="01A51958">
        <w:tblPrEx>
          <w:tblCellMar>
            <w:top w:w="0" w:type="dxa"/>
            <w:left w:w="108" w:type="dxa"/>
            <w:bottom w:w="0" w:type="dxa"/>
            <w:right w:w="108" w:type="dxa"/>
          </w:tblCellMar>
        </w:tblPrEx>
        <w:trPr>
          <w:trHeight w:val="402" w:hRule="atLeast"/>
        </w:trPr>
        <w:tc>
          <w:tcPr>
            <w:tcW w:w="1080" w:type="dxa"/>
            <w:tcBorders>
              <w:top w:val="nil"/>
              <w:left w:val="single" w:color="auto" w:sz="4" w:space="0"/>
              <w:bottom w:val="single" w:color="auto" w:sz="4" w:space="0"/>
              <w:right w:val="single" w:color="auto" w:sz="4" w:space="0"/>
            </w:tcBorders>
            <w:vAlign w:val="center"/>
          </w:tcPr>
          <w:p w14:paraId="59DE1583">
            <w:pPr>
              <w:widowControl/>
              <w:spacing w:line="240" w:lineRule="auto"/>
              <w:ind w:firstLine="0" w:firstLineChars="0"/>
              <w:jc w:val="center"/>
              <w:rPr>
                <w:rFonts w:hint="eastAsia" w:ascii="宋体" w:hAnsi="宋体" w:cs="宋体"/>
                <w:b/>
                <w:bCs/>
                <w:color w:val="auto"/>
                <w:kern w:val="0"/>
                <w:sz w:val="24"/>
                <w:szCs w:val="24"/>
                <w:highlight w:val="none"/>
              </w:rPr>
            </w:pPr>
          </w:p>
        </w:tc>
        <w:tc>
          <w:tcPr>
            <w:tcW w:w="1629" w:type="dxa"/>
            <w:tcBorders>
              <w:top w:val="nil"/>
              <w:left w:val="nil"/>
              <w:bottom w:val="single" w:color="auto" w:sz="4" w:space="0"/>
              <w:right w:val="single" w:color="auto" w:sz="4" w:space="0"/>
            </w:tcBorders>
            <w:noWrap/>
            <w:vAlign w:val="bottom"/>
          </w:tcPr>
          <w:p w14:paraId="04F63306">
            <w:pPr>
              <w:widowControl/>
              <w:spacing w:line="240" w:lineRule="auto"/>
              <w:ind w:firstLine="0" w:firstLineChars="0"/>
              <w:jc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c>
          <w:tcPr>
            <w:tcW w:w="1701" w:type="dxa"/>
            <w:tcBorders>
              <w:top w:val="nil"/>
              <w:left w:val="nil"/>
              <w:bottom w:val="single" w:color="auto" w:sz="4" w:space="0"/>
              <w:right w:val="single" w:color="auto" w:sz="4" w:space="0"/>
            </w:tcBorders>
            <w:noWrap/>
            <w:vAlign w:val="center"/>
          </w:tcPr>
          <w:p w14:paraId="01BB7171">
            <w:pPr>
              <w:widowControl/>
              <w:spacing w:line="240" w:lineRule="auto"/>
              <w:ind w:firstLine="0" w:firstLineChars="0"/>
              <w:jc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c>
          <w:tcPr>
            <w:tcW w:w="1842" w:type="dxa"/>
            <w:tcBorders>
              <w:top w:val="nil"/>
              <w:left w:val="nil"/>
              <w:bottom w:val="single" w:color="auto" w:sz="4" w:space="0"/>
              <w:right w:val="single" w:color="auto" w:sz="4" w:space="0"/>
            </w:tcBorders>
            <w:noWrap/>
            <w:vAlign w:val="center"/>
          </w:tcPr>
          <w:p w14:paraId="038A102B">
            <w:pPr>
              <w:widowControl/>
              <w:spacing w:line="240" w:lineRule="auto"/>
              <w:ind w:firstLine="0" w:firstLineChars="0"/>
              <w:jc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c>
          <w:tcPr>
            <w:tcW w:w="2977" w:type="dxa"/>
            <w:tcBorders>
              <w:top w:val="nil"/>
              <w:left w:val="nil"/>
              <w:bottom w:val="single" w:color="auto" w:sz="4" w:space="0"/>
              <w:right w:val="single" w:color="auto" w:sz="4" w:space="0"/>
            </w:tcBorders>
            <w:noWrap/>
            <w:vAlign w:val="center"/>
          </w:tcPr>
          <w:p w14:paraId="16A97FD6">
            <w:pPr>
              <w:widowControl/>
              <w:spacing w:line="240" w:lineRule="auto"/>
              <w:ind w:firstLine="0" w:firstLineChars="0"/>
              <w:jc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r>
      <w:tr w14:paraId="531471D6">
        <w:tblPrEx>
          <w:tblCellMar>
            <w:top w:w="0" w:type="dxa"/>
            <w:left w:w="108" w:type="dxa"/>
            <w:bottom w:w="0" w:type="dxa"/>
            <w:right w:w="108" w:type="dxa"/>
          </w:tblCellMar>
        </w:tblPrEx>
        <w:trPr>
          <w:trHeight w:val="402" w:hRule="atLeast"/>
        </w:trPr>
        <w:tc>
          <w:tcPr>
            <w:tcW w:w="1080" w:type="dxa"/>
            <w:tcBorders>
              <w:top w:val="nil"/>
              <w:left w:val="single" w:color="auto" w:sz="4" w:space="0"/>
              <w:bottom w:val="single" w:color="auto" w:sz="4" w:space="0"/>
              <w:right w:val="single" w:color="auto" w:sz="4" w:space="0"/>
            </w:tcBorders>
            <w:vAlign w:val="center"/>
          </w:tcPr>
          <w:p w14:paraId="0591DAE8">
            <w:pPr>
              <w:widowControl/>
              <w:spacing w:line="240" w:lineRule="auto"/>
              <w:ind w:firstLine="0" w:firstLineChars="0"/>
              <w:jc w:val="center"/>
              <w:rPr>
                <w:rFonts w:hint="eastAsia" w:ascii="宋体" w:hAnsi="宋体" w:cs="宋体"/>
                <w:b/>
                <w:bCs/>
                <w:color w:val="auto"/>
                <w:kern w:val="0"/>
                <w:sz w:val="24"/>
                <w:szCs w:val="24"/>
                <w:highlight w:val="none"/>
              </w:rPr>
            </w:pPr>
          </w:p>
        </w:tc>
        <w:tc>
          <w:tcPr>
            <w:tcW w:w="1629" w:type="dxa"/>
            <w:tcBorders>
              <w:top w:val="nil"/>
              <w:left w:val="nil"/>
              <w:bottom w:val="single" w:color="auto" w:sz="4" w:space="0"/>
              <w:right w:val="single" w:color="auto" w:sz="4" w:space="0"/>
            </w:tcBorders>
            <w:noWrap/>
            <w:vAlign w:val="bottom"/>
          </w:tcPr>
          <w:p w14:paraId="7F211B51">
            <w:pPr>
              <w:widowControl/>
              <w:spacing w:line="240" w:lineRule="auto"/>
              <w:ind w:firstLine="0" w:firstLineChars="0"/>
              <w:jc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c>
          <w:tcPr>
            <w:tcW w:w="1701" w:type="dxa"/>
            <w:tcBorders>
              <w:top w:val="nil"/>
              <w:left w:val="nil"/>
              <w:bottom w:val="single" w:color="auto" w:sz="4" w:space="0"/>
              <w:right w:val="single" w:color="auto" w:sz="4" w:space="0"/>
            </w:tcBorders>
            <w:noWrap/>
            <w:vAlign w:val="center"/>
          </w:tcPr>
          <w:p w14:paraId="18316B83">
            <w:pPr>
              <w:widowControl/>
              <w:spacing w:line="240" w:lineRule="auto"/>
              <w:ind w:firstLine="0" w:firstLineChars="0"/>
              <w:jc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c>
          <w:tcPr>
            <w:tcW w:w="1842" w:type="dxa"/>
            <w:tcBorders>
              <w:top w:val="nil"/>
              <w:left w:val="nil"/>
              <w:bottom w:val="single" w:color="auto" w:sz="4" w:space="0"/>
              <w:right w:val="single" w:color="auto" w:sz="4" w:space="0"/>
            </w:tcBorders>
            <w:noWrap/>
            <w:vAlign w:val="center"/>
          </w:tcPr>
          <w:p w14:paraId="64F3A89C">
            <w:pPr>
              <w:widowControl/>
              <w:spacing w:line="240" w:lineRule="auto"/>
              <w:ind w:firstLine="0" w:firstLineChars="0"/>
              <w:jc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c>
          <w:tcPr>
            <w:tcW w:w="2977" w:type="dxa"/>
            <w:tcBorders>
              <w:top w:val="nil"/>
              <w:left w:val="nil"/>
              <w:bottom w:val="single" w:color="auto" w:sz="4" w:space="0"/>
              <w:right w:val="single" w:color="auto" w:sz="4" w:space="0"/>
            </w:tcBorders>
            <w:noWrap/>
            <w:vAlign w:val="center"/>
          </w:tcPr>
          <w:p w14:paraId="2B3332A2">
            <w:pPr>
              <w:widowControl/>
              <w:spacing w:line="240" w:lineRule="auto"/>
              <w:ind w:firstLine="0" w:firstLineChars="0"/>
              <w:jc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r>
      <w:tr w14:paraId="23E46004">
        <w:tblPrEx>
          <w:tblCellMar>
            <w:top w:w="0" w:type="dxa"/>
            <w:left w:w="108" w:type="dxa"/>
            <w:bottom w:w="0" w:type="dxa"/>
            <w:right w:w="108" w:type="dxa"/>
          </w:tblCellMar>
        </w:tblPrEx>
        <w:trPr>
          <w:trHeight w:val="402" w:hRule="atLeast"/>
        </w:trPr>
        <w:tc>
          <w:tcPr>
            <w:tcW w:w="1080" w:type="dxa"/>
            <w:tcBorders>
              <w:top w:val="nil"/>
              <w:left w:val="single" w:color="auto" w:sz="4" w:space="0"/>
              <w:bottom w:val="single" w:color="auto" w:sz="4" w:space="0"/>
              <w:right w:val="single" w:color="auto" w:sz="4" w:space="0"/>
            </w:tcBorders>
            <w:vAlign w:val="center"/>
          </w:tcPr>
          <w:p w14:paraId="01866E98">
            <w:pPr>
              <w:widowControl/>
              <w:spacing w:line="240" w:lineRule="auto"/>
              <w:ind w:firstLine="0" w:firstLineChars="0"/>
              <w:jc w:val="center"/>
              <w:rPr>
                <w:rFonts w:hint="eastAsia" w:ascii="宋体" w:hAnsi="宋体" w:cs="宋体"/>
                <w:b/>
                <w:bCs/>
                <w:color w:val="auto"/>
                <w:kern w:val="0"/>
                <w:sz w:val="24"/>
                <w:szCs w:val="24"/>
                <w:highlight w:val="none"/>
              </w:rPr>
            </w:pPr>
          </w:p>
        </w:tc>
        <w:tc>
          <w:tcPr>
            <w:tcW w:w="1629" w:type="dxa"/>
            <w:tcBorders>
              <w:top w:val="nil"/>
              <w:left w:val="nil"/>
              <w:bottom w:val="single" w:color="auto" w:sz="4" w:space="0"/>
              <w:right w:val="single" w:color="auto" w:sz="4" w:space="0"/>
            </w:tcBorders>
            <w:noWrap/>
            <w:vAlign w:val="bottom"/>
          </w:tcPr>
          <w:p w14:paraId="663D4FE5">
            <w:pPr>
              <w:widowControl/>
              <w:spacing w:line="240" w:lineRule="auto"/>
              <w:ind w:firstLine="0" w:firstLineChars="0"/>
              <w:jc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c>
          <w:tcPr>
            <w:tcW w:w="1701" w:type="dxa"/>
            <w:tcBorders>
              <w:top w:val="nil"/>
              <w:left w:val="nil"/>
              <w:bottom w:val="single" w:color="auto" w:sz="4" w:space="0"/>
              <w:right w:val="single" w:color="auto" w:sz="4" w:space="0"/>
            </w:tcBorders>
            <w:noWrap/>
            <w:vAlign w:val="center"/>
          </w:tcPr>
          <w:p w14:paraId="08FAAD6B">
            <w:pPr>
              <w:widowControl/>
              <w:spacing w:line="240" w:lineRule="auto"/>
              <w:ind w:firstLine="0" w:firstLineChars="0"/>
              <w:jc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c>
          <w:tcPr>
            <w:tcW w:w="1842" w:type="dxa"/>
            <w:tcBorders>
              <w:top w:val="nil"/>
              <w:left w:val="nil"/>
              <w:bottom w:val="single" w:color="auto" w:sz="4" w:space="0"/>
              <w:right w:val="single" w:color="auto" w:sz="4" w:space="0"/>
            </w:tcBorders>
            <w:noWrap/>
            <w:vAlign w:val="center"/>
          </w:tcPr>
          <w:p w14:paraId="5CD06E79">
            <w:pPr>
              <w:widowControl/>
              <w:spacing w:line="240" w:lineRule="auto"/>
              <w:ind w:firstLine="0" w:firstLineChars="0"/>
              <w:jc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c>
          <w:tcPr>
            <w:tcW w:w="2977" w:type="dxa"/>
            <w:tcBorders>
              <w:top w:val="nil"/>
              <w:left w:val="nil"/>
              <w:bottom w:val="single" w:color="auto" w:sz="4" w:space="0"/>
              <w:right w:val="single" w:color="auto" w:sz="4" w:space="0"/>
            </w:tcBorders>
            <w:noWrap/>
            <w:vAlign w:val="center"/>
          </w:tcPr>
          <w:p w14:paraId="1C5E4702">
            <w:pPr>
              <w:widowControl/>
              <w:spacing w:line="240" w:lineRule="auto"/>
              <w:ind w:firstLine="0" w:firstLineChars="0"/>
              <w:jc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r>
      <w:tr w14:paraId="2C522565">
        <w:tblPrEx>
          <w:tblCellMar>
            <w:top w:w="0" w:type="dxa"/>
            <w:left w:w="108" w:type="dxa"/>
            <w:bottom w:w="0" w:type="dxa"/>
            <w:right w:w="108" w:type="dxa"/>
          </w:tblCellMar>
        </w:tblPrEx>
        <w:trPr>
          <w:trHeight w:val="402" w:hRule="atLeast"/>
        </w:trPr>
        <w:tc>
          <w:tcPr>
            <w:tcW w:w="1080" w:type="dxa"/>
            <w:tcBorders>
              <w:top w:val="nil"/>
              <w:left w:val="single" w:color="auto" w:sz="4" w:space="0"/>
              <w:bottom w:val="single" w:color="auto" w:sz="4" w:space="0"/>
              <w:right w:val="single" w:color="auto" w:sz="4" w:space="0"/>
            </w:tcBorders>
            <w:vAlign w:val="center"/>
          </w:tcPr>
          <w:p w14:paraId="1B843DEF">
            <w:pPr>
              <w:widowControl/>
              <w:spacing w:line="240" w:lineRule="auto"/>
              <w:ind w:firstLine="0" w:firstLineChars="0"/>
              <w:jc w:val="center"/>
              <w:rPr>
                <w:rFonts w:hint="eastAsia" w:ascii="宋体" w:hAnsi="宋体" w:cs="宋体"/>
                <w:b/>
                <w:bCs/>
                <w:color w:val="auto"/>
                <w:kern w:val="0"/>
                <w:sz w:val="24"/>
                <w:szCs w:val="24"/>
                <w:highlight w:val="none"/>
              </w:rPr>
            </w:pPr>
          </w:p>
        </w:tc>
        <w:tc>
          <w:tcPr>
            <w:tcW w:w="1629" w:type="dxa"/>
            <w:tcBorders>
              <w:top w:val="nil"/>
              <w:left w:val="nil"/>
              <w:bottom w:val="single" w:color="auto" w:sz="4" w:space="0"/>
              <w:right w:val="single" w:color="auto" w:sz="4" w:space="0"/>
            </w:tcBorders>
            <w:noWrap/>
            <w:vAlign w:val="bottom"/>
          </w:tcPr>
          <w:p w14:paraId="35AEC05B">
            <w:pPr>
              <w:widowControl/>
              <w:spacing w:line="240" w:lineRule="auto"/>
              <w:ind w:firstLine="0" w:firstLineChars="0"/>
              <w:jc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c>
          <w:tcPr>
            <w:tcW w:w="1701" w:type="dxa"/>
            <w:tcBorders>
              <w:top w:val="nil"/>
              <w:left w:val="nil"/>
              <w:bottom w:val="single" w:color="auto" w:sz="4" w:space="0"/>
              <w:right w:val="single" w:color="auto" w:sz="4" w:space="0"/>
            </w:tcBorders>
            <w:noWrap/>
            <w:vAlign w:val="center"/>
          </w:tcPr>
          <w:p w14:paraId="64E72266">
            <w:pPr>
              <w:widowControl/>
              <w:spacing w:line="240" w:lineRule="auto"/>
              <w:ind w:firstLine="0" w:firstLineChars="0"/>
              <w:jc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c>
          <w:tcPr>
            <w:tcW w:w="1842" w:type="dxa"/>
            <w:tcBorders>
              <w:top w:val="nil"/>
              <w:left w:val="nil"/>
              <w:bottom w:val="single" w:color="auto" w:sz="4" w:space="0"/>
              <w:right w:val="single" w:color="auto" w:sz="4" w:space="0"/>
            </w:tcBorders>
            <w:noWrap/>
            <w:vAlign w:val="center"/>
          </w:tcPr>
          <w:p w14:paraId="2E5EAF07">
            <w:pPr>
              <w:widowControl/>
              <w:spacing w:line="240" w:lineRule="auto"/>
              <w:ind w:firstLine="0" w:firstLineChars="0"/>
              <w:jc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c>
          <w:tcPr>
            <w:tcW w:w="2977" w:type="dxa"/>
            <w:tcBorders>
              <w:top w:val="nil"/>
              <w:left w:val="nil"/>
              <w:bottom w:val="single" w:color="auto" w:sz="4" w:space="0"/>
              <w:right w:val="single" w:color="auto" w:sz="4" w:space="0"/>
            </w:tcBorders>
            <w:noWrap/>
            <w:vAlign w:val="center"/>
          </w:tcPr>
          <w:p w14:paraId="018E18A8">
            <w:pPr>
              <w:widowControl/>
              <w:spacing w:line="240" w:lineRule="auto"/>
              <w:ind w:firstLine="0" w:firstLineChars="0"/>
              <w:jc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r>
      <w:tr w14:paraId="23825B32">
        <w:tblPrEx>
          <w:tblCellMar>
            <w:top w:w="0" w:type="dxa"/>
            <w:left w:w="108" w:type="dxa"/>
            <w:bottom w:w="0" w:type="dxa"/>
            <w:right w:w="108" w:type="dxa"/>
          </w:tblCellMar>
        </w:tblPrEx>
        <w:trPr>
          <w:trHeight w:val="402" w:hRule="atLeast"/>
        </w:trPr>
        <w:tc>
          <w:tcPr>
            <w:tcW w:w="1080" w:type="dxa"/>
            <w:tcBorders>
              <w:top w:val="nil"/>
              <w:left w:val="single" w:color="auto" w:sz="4" w:space="0"/>
              <w:bottom w:val="single" w:color="auto" w:sz="4" w:space="0"/>
              <w:right w:val="single" w:color="auto" w:sz="4" w:space="0"/>
            </w:tcBorders>
            <w:vAlign w:val="center"/>
          </w:tcPr>
          <w:p w14:paraId="44FBF4D5">
            <w:pPr>
              <w:widowControl/>
              <w:spacing w:line="240" w:lineRule="auto"/>
              <w:ind w:firstLine="0" w:firstLineChars="0"/>
              <w:jc w:val="center"/>
              <w:rPr>
                <w:rFonts w:hint="eastAsia" w:ascii="宋体" w:hAnsi="宋体" w:cs="宋体"/>
                <w:b/>
                <w:bCs/>
                <w:color w:val="auto"/>
                <w:kern w:val="0"/>
                <w:sz w:val="24"/>
                <w:szCs w:val="24"/>
                <w:highlight w:val="none"/>
              </w:rPr>
            </w:pPr>
          </w:p>
        </w:tc>
        <w:tc>
          <w:tcPr>
            <w:tcW w:w="1629" w:type="dxa"/>
            <w:tcBorders>
              <w:top w:val="nil"/>
              <w:left w:val="nil"/>
              <w:bottom w:val="single" w:color="auto" w:sz="4" w:space="0"/>
              <w:right w:val="single" w:color="auto" w:sz="4" w:space="0"/>
            </w:tcBorders>
            <w:noWrap/>
            <w:vAlign w:val="bottom"/>
          </w:tcPr>
          <w:p w14:paraId="45DE4F96">
            <w:pPr>
              <w:widowControl/>
              <w:spacing w:line="240" w:lineRule="auto"/>
              <w:ind w:firstLine="0" w:firstLineChars="0"/>
              <w:jc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c>
          <w:tcPr>
            <w:tcW w:w="1701" w:type="dxa"/>
            <w:tcBorders>
              <w:top w:val="nil"/>
              <w:left w:val="nil"/>
              <w:bottom w:val="single" w:color="auto" w:sz="4" w:space="0"/>
              <w:right w:val="single" w:color="auto" w:sz="4" w:space="0"/>
            </w:tcBorders>
            <w:noWrap/>
            <w:vAlign w:val="center"/>
          </w:tcPr>
          <w:p w14:paraId="394BD1D4">
            <w:pPr>
              <w:widowControl/>
              <w:spacing w:line="240" w:lineRule="auto"/>
              <w:ind w:firstLine="0" w:firstLineChars="0"/>
              <w:jc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c>
          <w:tcPr>
            <w:tcW w:w="1842" w:type="dxa"/>
            <w:tcBorders>
              <w:top w:val="nil"/>
              <w:left w:val="nil"/>
              <w:bottom w:val="single" w:color="auto" w:sz="4" w:space="0"/>
              <w:right w:val="single" w:color="auto" w:sz="4" w:space="0"/>
            </w:tcBorders>
            <w:noWrap/>
            <w:vAlign w:val="center"/>
          </w:tcPr>
          <w:p w14:paraId="5B38D9D6">
            <w:pPr>
              <w:widowControl/>
              <w:spacing w:line="240" w:lineRule="auto"/>
              <w:ind w:firstLine="0" w:firstLineChars="0"/>
              <w:jc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c>
          <w:tcPr>
            <w:tcW w:w="2977" w:type="dxa"/>
            <w:tcBorders>
              <w:top w:val="nil"/>
              <w:left w:val="nil"/>
              <w:bottom w:val="single" w:color="auto" w:sz="4" w:space="0"/>
              <w:right w:val="single" w:color="auto" w:sz="4" w:space="0"/>
            </w:tcBorders>
            <w:noWrap/>
            <w:vAlign w:val="center"/>
          </w:tcPr>
          <w:p w14:paraId="1FA40566">
            <w:pPr>
              <w:widowControl/>
              <w:spacing w:line="240" w:lineRule="auto"/>
              <w:ind w:firstLine="0" w:firstLineChars="0"/>
              <w:jc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r>
      <w:tr w14:paraId="0E024441">
        <w:tblPrEx>
          <w:tblCellMar>
            <w:top w:w="0" w:type="dxa"/>
            <w:left w:w="108" w:type="dxa"/>
            <w:bottom w:w="0" w:type="dxa"/>
            <w:right w:w="108" w:type="dxa"/>
          </w:tblCellMar>
        </w:tblPrEx>
        <w:trPr>
          <w:trHeight w:val="402" w:hRule="atLeast"/>
        </w:trPr>
        <w:tc>
          <w:tcPr>
            <w:tcW w:w="1080" w:type="dxa"/>
            <w:tcBorders>
              <w:top w:val="nil"/>
              <w:left w:val="single" w:color="auto" w:sz="4" w:space="0"/>
              <w:bottom w:val="single" w:color="auto" w:sz="4" w:space="0"/>
              <w:right w:val="single" w:color="auto" w:sz="4" w:space="0"/>
            </w:tcBorders>
            <w:vAlign w:val="center"/>
          </w:tcPr>
          <w:p w14:paraId="0712ADC6">
            <w:pPr>
              <w:widowControl/>
              <w:spacing w:line="240" w:lineRule="auto"/>
              <w:ind w:firstLine="0" w:firstLineChars="0"/>
              <w:jc w:val="center"/>
              <w:rPr>
                <w:rFonts w:hint="eastAsia" w:ascii="宋体" w:hAnsi="宋体" w:cs="宋体"/>
                <w:b/>
                <w:bCs/>
                <w:color w:val="auto"/>
                <w:kern w:val="0"/>
                <w:sz w:val="24"/>
                <w:szCs w:val="24"/>
                <w:highlight w:val="none"/>
              </w:rPr>
            </w:pPr>
          </w:p>
        </w:tc>
        <w:tc>
          <w:tcPr>
            <w:tcW w:w="1629" w:type="dxa"/>
            <w:tcBorders>
              <w:top w:val="nil"/>
              <w:left w:val="nil"/>
              <w:bottom w:val="single" w:color="auto" w:sz="4" w:space="0"/>
              <w:right w:val="single" w:color="auto" w:sz="4" w:space="0"/>
            </w:tcBorders>
            <w:noWrap/>
            <w:vAlign w:val="bottom"/>
          </w:tcPr>
          <w:p w14:paraId="3789BE8D">
            <w:pPr>
              <w:widowControl/>
              <w:spacing w:line="240" w:lineRule="auto"/>
              <w:ind w:firstLine="0" w:firstLineChars="0"/>
              <w:jc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c>
          <w:tcPr>
            <w:tcW w:w="1701" w:type="dxa"/>
            <w:tcBorders>
              <w:top w:val="nil"/>
              <w:left w:val="nil"/>
              <w:bottom w:val="single" w:color="auto" w:sz="4" w:space="0"/>
              <w:right w:val="single" w:color="auto" w:sz="4" w:space="0"/>
            </w:tcBorders>
            <w:noWrap/>
            <w:vAlign w:val="center"/>
          </w:tcPr>
          <w:p w14:paraId="6642275A">
            <w:pPr>
              <w:widowControl/>
              <w:spacing w:line="240" w:lineRule="auto"/>
              <w:ind w:firstLine="0" w:firstLineChars="0"/>
              <w:jc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c>
          <w:tcPr>
            <w:tcW w:w="1842" w:type="dxa"/>
            <w:tcBorders>
              <w:top w:val="nil"/>
              <w:left w:val="nil"/>
              <w:bottom w:val="single" w:color="auto" w:sz="4" w:space="0"/>
              <w:right w:val="single" w:color="auto" w:sz="4" w:space="0"/>
            </w:tcBorders>
            <w:noWrap/>
            <w:vAlign w:val="center"/>
          </w:tcPr>
          <w:p w14:paraId="1A543197">
            <w:pPr>
              <w:widowControl/>
              <w:spacing w:line="240" w:lineRule="auto"/>
              <w:ind w:firstLine="0" w:firstLineChars="0"/>
              <w:jc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c>
          <w:tcPr>
            <w:tcW w:w="2977" w:type="dxa"/>
            <w:tcBorders>
              <w:top w:val="nil"/>
              <w:left w:val="nil"/>
              <w:bottom w:val="single" w:color="auto" w:sz="4" w:space="0"/>
              <w:right w:val="single" w:color="auto" w:sz="4" w:space="0"/>
            </w:tcBorders>
            <w:noWrap/>
            <w:vAlign w:val="center"/>
          </w:tcPr>
          <w:p w14:paraId="07269FB6">
            <w:pPr>
              <w:widowControl/>
              <w:spacing w:line="240" w:lineRule="auto"/>
              <w:ind w:firstLine="0" w:firstLineChars="0"/>
              <w:jc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r>
      <w:tr w14:paraId="1C699B88">
        <w:tblPrEx>
          <w:tblCellMar>
            <w:top w:w="0" w:type="dxa"/>
            <w:left w:w="108" w:type="dxa"/>
            <w:bottom w:w="0" w:type="dxa"/>
            <w:right w:w="108" w:type="dxa"/>
          </w:tblCellMar>
        </w:tblPrEx>
        <w:trPr>
          <w:trHeight w:val="402" w:hRule="atLeast"/>
        </w:trPr>
        <w:tc>
          <w:tcPr>
            <w:tcW w:w="1080" w:type="dxa"/>
            <w:tcBorders>
              <w:top w:val="nil"/>
              <w:left w:val="single" w:color="auto" w:sz="4" w:space="0"/>
              <w:bottom w:val="single" w:color="auto" w:sz="4" w:space="0"/>
              <w:right w:val="single" w:color="auto" w:sz="4" w:space="0"/>
            </w:tcBorders>
            <w:vAlign w:val="center"/>
          </w:tcPr>
          <w:p w14:paraId="502BDBF1">
            <w:pPr>
              <w:widowControl/>
              <w:spacing w:line="240" w:lineRule="auto"/>
              <w:ind w:firstLine="0" w:firstLineChars="0"/>
              <w:jc w:val="center"/>
              <w:rPr>
                <w:rFonts w:hint="eastAsia" w:ascii="宋体" w:hAnsi="宋体" w:cs="宋体"/>
                <w:b/>
                <w:bCs/>
                <w:color w:val="auto"/>
                <w:kern w:val="0"/>
                <w:sz w:val="24"/>
                <w:szCs w:val="24"/>
                <w:highlight w:val="none"/>
              </w:rPr>
            </w:pPr>
          </w:p>
        </w:tc>
        <w:tc>
          <w:tcPr>
            <w:tcW w:w="1629" w:type="dxa"/>
            <w:tcBorders>
              <w:top w:val="nil"/>
              <w:left w:val="nil"/>
              <w:bottom w:val="single" w:color="auto" w:sz="4" w:space="0"/>
              <w:right w:val="single" w:color="auto" w:sz="4" w:space="0"/>
            </w:tcBorders>
            <w:noWrap/>
            <w:vAlign w:val="bottom"/>
          </w:tcPr>
          <w:p w14:paraId="7F4B9EA9">
            <w:pPr>
              <w:widowControl/>
              <w:spacing w:line="240" w:lineRule="auto"/>
              <w:ind w:firstLine="0" w:firstLineChars="0"/>
              <w:jc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c>
          <w:tcPr>
            <w:tcW w:w="1701" w:type="dxa"/>
            <w:tcBorders>
              <w:top w:val="nil"/>
              <w:left w:val="nil"/>
              <w:bottom w:val="single" w:color="auto" w:sz="4" w:space="0"/>
              <w:right w:val="single" w:color="auto" w:sz="4" w:space="0"/>
            </w:tcBorders>
            <w:noWrap/>
            <w:vAlign w:val="center"/>
          </w:tcPr>
          <w:p w14:paraId="0ED4C34F">
            <w:pPr>
              <w:widowControl/>
              <w:spacing w:line="240" w:lineRule="auto"/>
              <w:ind w:firstLine="0" w:firstLineChars="0"/>
              <w:jc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c>
          <w:tcPr>
            <w:tcW w:w="1842" w:type="dxa"/>
            <w:tcBorders>
              <w:top w:val="nil"/>
              <w:left w:val="nil"/>
              <w:bottom w:val="single" w:color="auto" w:sz="4" w:space="0"/>
              <w:right w:val="single" w:color="auto" w:sz="4" w:space="0"/>
            </w:tcBorders>
            <w:noWrap/>
            <w:vAlign w:val="center"/>
          </w:tcPr>
          <w:p w14:paraId="3F8C2076">
            <w:pPr>
              <w:widowControl/>
              <w:spacing w:line="240" w:lineRule="auto"/>
              <w:ind w:firstLine="0" w:firstLineChars="0"/>
              <w:jc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c>
          <w:tcPr>
            <w:tcW w:w="2977" w:type="dxa"/>
            <w:tcBorders>
              <w:top w:val="nil"/>
              <w:left w:val="nil"/>
              <w:bottom w:val="single" w:color="auto" w:sz="4" w:space="0"/>
              <w:right w:val="single" w:color="auto" w:sz="4" w:space="0"/>
            </w:tcBorders>
            <w:noWrap/>
            <w:vAlign w:val="center"/>
          </w:tcPr>
          <w:p w14:paraId="4B6DB292">
            <w:pPr>
              <w:widowControl/>
              <w:spacing w:line="240" w:lineRule="auto"/>
              <w:ind w:firstLine="0" w:firstLineChars="0"/>
              <w:jc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r>
      <w:tr w14:paraId="75DE22F1">
        <w:tblPrEx>
          <w:tblCellMar>
            <w:top w:w="0" w:type="dxa"/>
            <w:left w:w="108" w:type="dxa"/>
            <w:bottom w:w="0" w:type="dxa"/>
            <w:right w:w="108" w:type="dxa"/>
          </w:tblCellMar>
        </w:tblPrEx>
        <w:trPr>
          <w:trHeight w:val="402" w:hRule="atLeast"/>
        </w:trPr>
        <w:tc>
          <w:tcPr>
            <w:tcW w:w="1080" w:type="dxa"/>
            <w:tcBorders>
              <w:top w:val="nil"/>
              <w:left w:val="single" w:color="auto" w:sz="4" w:space="0"/>
              <w:bottom w:val="single" w:color="auto" w:sz="4" w:space="0"/>
              <w:right w:val="single" w:color="auto" w:sz="4" w:space="0"/>
            </w:tcBorders>
            <w:vAlign w:val="center"/>
          </w:tcPr>
          <w:p w14:paraId="5209CCE2">
            <w:pPr>
              <w:widowControl/>
              <w:spacing w:line="240" w:lineRule="auto"/>
              <w:ind w:firstLine="0" w:firstLineChars="0"/>
              <w:jc w:val="center"/>
              <w:rPr>
                <w:rFonts w:hint="eastAsia" w:ascii="宋体" w:hAnsi="宋体" w:cs="宋体"/>
                <w:b/>
                <w:bCs/>
                <w:color w:val="auto"/>
                <w:kern w:val="0"/>
                <w:sz w:val="24"/>
                <w:szCs w:val="24"/>
                <w:highlight w:val="none"/>
              </w:rPr>
            </w:pPr>
          </w:p>
        </w:tc>
        <w:tc>
          <w:tcPr>
            <w:tcW w:w="1629" w:type="dxa"/>
            <w:tcBorders>
              <w:top w:val="nil"/>
              <w:left w:val="nil"/>
              <w:bottom w:val="single" w:color="auto" w:sz="4" w:space="0"/>
              <w:right w:val="single" w:color="auto" w:sz="4" w:space="0"/>
            </w:tcBorders>
            <w:noWrap/>
            <w:vAlign w:val="bottom"/>
          </w:tcPr>
          <w:p w14:paraId="66CFDB66">
            <w:pPr>
              <w:widowControl/>
              <w:spacing w:line="240" w:lineRule="auto"/>
              <w:ind w:firstLine="0" w:firstLineChars="0"/>
              <w:jc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c>
          <w:tcPr>
            <w:tcW w:w="1701" w:type="dxa"/>
            <w:tcBorders>
              <w:top w:val="nil"/>
              <w:left w:val="nil"/>
              <w:bottom w:val="single" w:color="auto" w:sz="4" w:space="0"/>
              <w:right w:val="single" w:color="auto" w:sz="4" w:space="0"/>
            </w:tcBorders>
            <w:noWrap/>
            <w:vAlign w:val="center"/>
          </w:tcPr>
          <w:p w14:paraId="22F3828E">
            <w:pPr>
              <w:widowControl/>
              <w:spacing w:line="240" w:lineRule="auto"/>
              <w:ind w:firstLine="0" w:firstLineChars="0"/>
              <w:jc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c>
          <w:tcPr>
            <w:tcW w:w="1842" w:type="dxa"/>
            <w:tcBorders>
              <w:top w:val="nil"/>
              <w:left w:val="nil"/>
              <w:bottom w:val="single" w:color="auto" w:sz="4" w:space="0"/>
              <w:right w:val="single" w:color="auto" w:sz="4" w:space="0"/>
            </w:tcBorders>
            <w:noWrap/>
            <w:vAlign w:val="center"/>
          </w:tcPr>
          <w:p w14:paraId="7BDB0B24">
            <w:pPr>
              <w:widowControl/>
              <w:spacing w:line="240" w:lineRule="auto"/>
              <w:ind w:firstLine="0" w:firstLineChars="0"/>
              <w:jc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c>
          <w:tcPr>
            <w:tcW w:w="2977" w:type="dxa"/>
            <w:tcBorders>
              <w:top w:val="nil"/>
              <w:left w:val="nil"/>
              <w:bottom w:val="single" w:color="auto" w:sz="4" w:space="0"/>
              <w:right w:val="single" w:color="auto" w:sz="4" w:space="0"/>
            </w:tcBorders>
            <w:noWrap/>
            <w:vAlign w:val="center"/>
          </w:tcPr>
          <w:p w14:paraId="7C6788B0">
            <w:pPr>
              <w:widowControl/>
              <w:spacing w:line="240" w:lineRule="auto"/>
              <w:ind w:firstLine="0" w:firstLineChars="0"/>
              <w:jc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r>
      <w:tr w14:paraId="4298141A">
        <w:tblPrEx>
          <w:tblCellMar>
            <w:top w:w="0" w:type="dxa"/>
            <w:left w:w="108" w:type="dxa"/>
            <w:bottom w:w="0" w:type="dxa"/>
            <w:right w:w="108" w:type="dxa"/>
          </w:tblCellMar>
        </w:tblPrEx>
        <w:trPr>
          <w:trHeight w:val="402" w:hRule="atLeast"/>
        </w:trPr>
        <w:tc>
          <w:tcPr>
            <w:tcW w:w="2709" w:type="dxa"/>
            <w:gridSpan w:val="2"/>
            <w:tcBorders>
              <w:top w:val="nil"/>
              <w:left w:val="single" w:color="auto" w:sz="4" w:space="0"/>
              <w:bottom w:val="single" w:color="auto" w:sz="4" w:space="0"/>
              <w:right w:val="single" w:color="auto" w:sz="4" w:space="0"/>
            </w:tcBorders>
            <w:vAlign w:val="center"/>
          </w:tcPr>
          <w:p w14:paraId="107D8FDC">
            <w:pPr>
              <w:widowControl/>
              <w:spacing w:line="240" w:lineRule="auto"/>
              <w:ind w:firstLine="0" w:firstLineChars="0"/>
              <w:jc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合计　</w:t>
            </w:r>
          </w:p>
        </w:tc>
        <w:tc>
          <w:tcPr>
            <w:tcW w:w="1701" w:type="dxa"/>
            <w:tcBorders>
              <w:top w:val="nil"/>
              <w:left w:val="nil"/>
              <w:bottom w:val="single" w:color="auto" w:sz="4" w:space="0"/>
              <w:right w:val="single" w:color="auto" w:sz="4" w:space="0"/>
            </w:tcBorders>
            <w:noWrap/>
            <w:vAlign w:val="center"/>
          </w:tcPr>
          <w:p w14:paraId="63984CEB">
            <w:pPr>
              <w:widowControl/>
              <w:spacing w:line="240" w:lineRule="auto"/>
              <w:ind w:firstLine="0" w:firstLineChars="0"/>
              <w:jc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c>
          <w:tcPr>
            <w:tcW w:w="1842" w:type="dxa"/>
            <w:tcBorders>
              <w:top w:val="nil"/>
              <w:left w:val="nil"/>
              <w:bottom w:val="single" w:color="auto" w:sz="4" w:space="0"/>
              <w:right w:val="single" w:color="auto" w:sz="4" w:space="0"/>
            </w:tcBorders>
            <w:noWrap/>
            <w:vAlign w:val="center"/>
          </w:tcPr>
          <w:p w14:paraId="02B03980">
            <w:pPr>
              <w:widowControl/>
              <w:spacing w:line="240" w:lineRule="auto"/>
              <w:ind w:firstLine="0" w:firstLineChars="0"/>
              <w:jc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c>
          <w:tcPr>
            <w:tcW w:w="2977" w:type="dxa"/>
            <w:tcBorders>
              <w:top w:val="nil"/>
              <w:left w:val="nil"/>
              <w:bottom w:val="single" w:color="auto" w:sz="4" w:space="0"/>
              <w:right w:val="single" w:color="auto" w:sz="4" w:space="0"/>
            </w:tcBorders>
            <w:noWrap/>
            <w:vAlign w:val="center"/>
          </w:tcPr>
          <w:p w14:paraId="3200E275">
            <w:pPr>
              <w:widowControl/>
              <w:spacing w:line="240" w:lineRule="auto"/>
              <w:ind w:firstLine="0" w:firstLineChars="0"/>
              <w:jc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r>
    </w:tbl>
    <w:p w14:paraId="6F9976EF">
      <w:pPr>
        <w:widowControl/>
        <w:spacing w:line="240" w:lineRule="auto"/>
        <w:ind w:firstLine="0" w:firstLineChars="0"/>
        <w:jc w:val="left"/>
        <w:rPr>
          <w:rFonts w:hint="eastAsia" w:ascii="宋体" w:hAnsi="宋体" w:cs="宋体"/>
          <w:b/>
          <w:color w:val="auto"/>
          <w:spacing w:val="10"/>
          <w:kern w:val="44"/>
          <w:sz w:val="28"/>
          <w:szCs w:val="24"/>
          <w:highlight w:val="none"/>
        </w:rPr>
      </w:pPr>
      <w:r>
        <w:rPr>
          <w:rFonts w:hint="eastAsia" w:ascii="宋体" w:hAnsi="宋体" w:cs="宋体"/>
          <w:b/>
          <w:color w:val="auto"/>
          <w:spacing w:val="10"/>
          <w:kern w:val="44"/>
          <w:sz w:val="28"/>
          <w:szCs w:val="24"/>
          <w:highlight w:val="none"/>
        </w:rPr>
        <w:t xml:space="preserve"> </w:t>
      </w:r>
    </w:p>
    <w:p w14:paraId="26BEF27E">
      <w:pPr>
        <w:widowControl/>
        <w:spacing w:line="240" w:lineRule="auto"/>
        <w:ind w:firstLine="0" w:firstLineChars="0"/>
        <w:jc w:val="left"/>
        <w:rPr>
          <w:rFonts w:hint="eastAsia" w:ascii="宋体" w:hAnsi="宋体" w:cs="宋体"/>
          <w:color w:val="auto"/>
          <w:spacing w:val="10"/>
          <w:kern w:val="44"/>
          <w:sz w:val="28"/>
          <w:szCs w:val="24"/>
          <w:highlight w:val="none"/>
        </w:rPr>
        <w:sectPr>
          <w:footerReference r:id="rId14" w:type="first"/>
          <w:footerReference r:id="rId13" w:type="default"/>
          <w:pgSz w:w="11906" w:h="16838"/>
          <w:pgMar w:top="1440" w:right="1800" w:bottom="1440" w:left="1800" w:header="964" w:footer="283" w:gutter="0"/>
          <w:cols w:space="708" w:num="1"/>
          <w:titlePg/>
          <w:docGrid w:linePitch="312" w:charSpace="0"/>
        </w:sectPr>
      </w:pPr>
    </w:p>
    <w:p w14:paraId="77BA4A7C">
      <w:pPr>
        <w:pStyle w:val="168"/>
        <w:snapToGrid w:val="0"/>
        <w:spacing w:before="0" w:after="0" w:line="600" w:lineRule="exact"/>
        <w:ind w:left="342" w:hanging="367" w:hangingChars="122"/>
        <w:outlineLvl w:val="2"/>
        <w:rPr>
          <w:rFonts w:hint="eastAsia" w:ascii="宋体" w:hAnsi="宋体" w:cs="宋体"/>
          <w:color w:val="auto"/>
          <w:spacing w:val="10"/>
          <w:szCs w:val="24"/>
          <w:highlight w:val="none"/>
        </w:rPr>
      </w:pPr>
      <w:bookmarkStart w:id="112" w:name="_Toc3525"/>
      <w:r>
        <w:rPr>
          <w:rFonts w:hint="eastAsia" w:ascii="宋体" w:hAnsi="宋体" w:cs="宋体"/>
          <w:color w:val="auto"/>
          <w:spacing w:val="10"/>
          <w:szCs w:val="24"/>
          <w:highlight w:val="none"/>
        </w:rPr>
        <w:t>（二）金融方案</w:t>
      </w:r>
      <w:bookmarkEnd w:id="112"/>
    </w:p>
    <w:p w14:paraId="09818244">
      <w:pPr>
        <w:pStyle w:val="57"/>
        <w:ind w:left="368" w:leftChars="175" w:firstLine="280" w:firstLineChars="100"/>
        <w:rPr>
          <w:rFonts w:hint="eastAsia" w:hAnsi="宋体" w:cs="宋体"/>
          <w:color w:val="auto"/>
          <w:sz w:val="28"/>
          <w:szCs w:val="28"/>
          <w:highlight w:val="none"/>
        </w:rPr>
      </w:pPr>
    </w:p>
    <w:p w14:paraId="38A4B9DC">
      <w:pPr>
        <w:pStyle w:val="57"/>
        <w:ind w:left="368" w:leftChars="175" w:firstLine="280" w:firstLineChars="100"/>
        <w:rPr>
          <w:rFonts w:hint="eastAsia" w:hAnsi="宋体" w:cs="宋体"/>
          <w:color w:val="auto"/>
          <w:sz w:val="28"/>
          <w:szCs w:val="28"/>
          <w:highlight w:val="none"/>
        </w:rPr>
      </w:pPr>
      <w:r>
        <w:rPr>
          <w:rFonts w:hint="eastAsia" w:hAnsi="宋体" w:cs="宋体"/>
          <w:color w:val="auto"/>
          <w:sz w:val="28"/>
          <w:szCs w:val="28"/>
          <w:highlight w:val="none"/>
        </w:rPr>
        <w:t>招标人接受多种组合方式的金融方案，金融方案需包含以下内容：</w:t>
      </w:r>
    </w:p>
    <w:p w14:paraId="2D3E5F33">
      <w:pPr>
        <w:pStyle w:val="57"/>
        <w:ind w:firstLine="840" w:firstLineChars="300"/>
        <w:rPr>
          <w:rFonts w:hint="eastAsia" w:hAnsi="宋体" w:cs="宋体"/>
          <w:color w:val="auto"/>
          <w:sz w:val="28"/>
          <w:szCs w:val="28"/>
          <w:highlight w:val="none"/>
        </w:rPr>
      </w:pPr>
      <w:r>
        <w:rPr>
          <w:rFonts w:hint="eastAsia" w:hAnsi="宋体" w:cs="宋体"/>
          <w:color w:val="auto"/>
          <w:sz w:val="28"/>
          <w:szCs w:val="28"/>
          <w:highlight w:val="none"/>
        </w:rPr>
        <w:t>（1）招标人提车前支付款项占购车款总额比例</w:t>
      </w:r>
    </w:p>
    <w:p w14:paraId="6801D9F6">
      <w:pPr>
        <w:pStyle w:val="57"/>
        <w:ind w:firstLine="840" w:firstLineChars="300"/>
        <w:rPr>
          <w:rFonts w:hint="eastAsia" w:hAnsi="宋体" w:cs="宋体"/>
          <w:color w:val="auto"/>
          <w:sz w:val="28"/>
          <w:szCs w:val="28"/>
          <w:highlight w:val="none"/>
        </w:rPr>
      </w:pPr>
      <w:r>
        <w:rPr>
          <w:rFonts w:hint="eastAsia" w:hAnsi="宋体" w:cs="宋体"/>
          <w:color w:val="auto"/>
          <w:sz w:val="28"/>
          <w:szCs w:val="28"/>
          <w:highlight w:val="none"/>
        </w:rPr>
        <w:t>（2）付款期限</w:t>
      </w:r>
    </w:p>
    <w:p w14:paraId="7E8BCDEC">
      <w:pPr>
        <w:pStyle w:val="57"/>
        <w:ind w:firstLine="840" w:firstLineChars="300"/>
        <w:rPr>
          <w:rFonts w:hint="eastAsia" w:hAnsi="宋体" w:cs="宋体"/>
          <w:color w:val="auto"/>
          <w:sz w:val="28"/>
          <w:szCs w:val="28"/>
          <w:highlight w:val="none"/>
        </w:rPr>
      </w:pPr>
      <w:r>
        <w:rPr>
          <w:rFonts w:hint="eastAsia" w:hAnsi="宋体" w:cs="宋体"/>
          <w:color w:val="auto"/>
          <w:sz w:val="28"/>
          <w:szCs w:val="28"/>
          <w:highlight w:val="none"/>
        </w:rPr>
        <w:t>（3）实际还款利率</w:t>
      </w:r>
    </w:p>
    <w:p w14:paraId="7BAD59CD">
      <w:pPr>
        <w:pStyle w:val="57"/>
        <w:ind w:firstLine="840" w:firstLineChars="300"/>
        <w:rPr>
          <w:rFonts w:hint="eastAsia" w:hAnsi="宋体" w:cs="宋体"/>
          <w:color w:val="auto"/>
          <w:sz w:val="28"/>
          <w:szCs w:val="28"/>
          <w:highlight w:val="none"/>
        </w:rPr>
      </w:pPr>
      <w:r>
        <w:rPr>
          <w:rFonts w:hint="eastAsia" w:hAnsi="宋体" w:cs="宋体"/>
          <w:color w:val="auto"/>
          <w:sz w:val="28"/>
          <w:szCs w:val="28"/>
          <w:highlight w:val="none"/>
        </w:rPr>
        <w:t>（4）等额按季支付还款方式</w:t>
      </w:r>
    </w:p>
    <w:p w14:paraId="2464C8E0">
      <w:pPr>
        <w:pStyle w:val="57"/>
        <w:ind w:firstLine="840" w:firstLineChars="300"/>
        <w:rPr>
          <w:rFonts w:hint="eastAsia" w:hAnsi="宋体" w:cs="宋体"/>
          <w:color w:val="auto"/>
          <w:sz w:val="28"/>
          <w:szCs w:val="28"/>
          <w:highlight w:val="none"/>
        </w:rPr>
      </w:pPr>
      <w:r>
        <w:rPr>
          <w:rFonts w:hint="eastAsia" w:hAnsi="宋体" w:cs="宋体"/>
          <w:color w:val="auto"/>
          <w:sz w:val="28"/>
          <w:szCs w:val="28"/>
          <w:highlight w:val="none"/>
        </w:rPr>
        <w:t>（5）融资利率</w:t>
      </w:r>
    </w:p>
    <w:p w14:paraId="0CB7FE71">
      <w:pPr>
        <w:pStyle w:val="57"/>
        <w:ind w:firstLine="840" w:firstLineChars="300"/>
        <w:rPr>
          <w:rFonts w:hint="eastAsia" w:hAnsi="宋体" w:cs="宋体"/>
          <w:color w:val="auto"/>
          <w:sz w:val="28"/>
          <w:szCs w:val="28"/>
          <w:highlight w:val="none"/>
        </w:rPr>
      </w:pPr>
      <w:r>
        <w:rPr>
          <w:rFonts w:hint="eastAsia" w:hAnsi="宋体" w:cs="宋体"/>
          <w:color w:val="auto"/>
          <w:sz w:val="28"/>
          <w:szCs w:val="28"/>
          <w:highlight w:val="none"/>
        </w:rPr>
        <w:t>（6）不存在支付担保费或向第三方支付融资相关费用等条款</w:t>
      </w:r>
    </w:p>
    <w:p w14:paraId="6E32AFDA">
      <w:pPr>
        <w:pStyle w:val="57"/>
        <w:ind w:firstLine="840" w:firstLineChars="300"/>
        <w:rPr>
          <w:rFonts w:hint="eastAsia" w:hAnsi="宋体" w:cs="宋体"/>
          <w:color w:val="auto"/>
          <w:sz w:val="28"/>
          <w:szCs w:val="28"/>
          <w:highlight w:val="none"/>
        </w:rPr>
      </w:pPr>
      <w:r>
        <w:rPr>
          <w:rFonts w:hint="eastAsia" w:hAnsi="宋体" w:cs="宋体"/>
          <w:color w:val="auto"/>
          <w:sz w:val="28"/>
          <w:szCs w:val="28"/>
          <w:highlight w:val="none"/>
        </w:rPr>
        <w:t>招标人提车前需支付款项，包含购车首付款以及招标人因车款融资除利息之外需承担的担保费、保证金及手续费等所有费用。</w:t>
      </w:r>
    </w:p>
    <w:p w14:paraId="5426B150">
      <w:pPr>
        <w:pStyle w:val="57"/>
        <w:ind w:firstLine="840" w:firstLineChars="300"/>
        <w:rPr>
          <w:rFonts w:hint="eastAsia" w:hAnsi="宋体" w:cs="宋体"/>
          <w:color w:val="auto"/>
          <w:sz w:val="28"/>
          <w:szCs w:val="28"/>
          <w:highlight w:val="none"/>
        </w:rPr>
      </w:pPr>
    </w:p>
    <w:p w14:paraId="1DFA1B0D">
      <w:pPr>
        <w:pStyle w:val="57"/>
        <w:ind w:firstLine="840" w:firstLineChars="300"/>
        <w:rPr>
          <w:rFonts w:hint="eastAsia" w:hAnsi="宋体" w:cs="宋体"/>
          <w:color w:val="auto"/>
          <w:sz w:val="28"/>
          <w:szCs w:val="28"/>
          <w:highlight w:val="none"/>
        </w:rPr>
      </w:pPr>
    </w:p>
    <w:p w14:paraId="3D55F4BE">
      <w:pPr>
        <w:pStyle w:val="57"/>
        <w:ind w:left="368" w:leftChars="175" w:firstLine="280" w:firstLineChars="100"/>
        <w:rPr>
          <w:rFonts w:hint="eastAsia" w:hAnsi="宋体" w:cs="宋体"/>
          <w:color w:val="auto"/>
          <w:sz w:val="28"/>
          <w:szCs w:val="28"/>
          <w:highlight w:val="none"/>
        </w:rPr>
      </w:pPr>
    </w:p>
    <w:tbl>
      <w:tblPr>
        <w:tblStyle w:val="34"/>
        <w:tblW w:w="0" w:type="auto"/>
        <w:jc w:val="right"/>
        <w:tblLayout w:type="fixed"/>
        <w:tblCellMar>
          <w:top w:w="0" w:type="dxa"/>
          <w:left w:w="108" w:type="dxa"/>
          <w:bottom w:w="0" w:type="dxa"/>
          <w:right w:w="108" w:type="dxa"/>
        </w:tblCellMar>
      </w:tblPr>
      <w:tblGrid>
        <w:gridCol w:w="1923"/>
        <w:gridCol w:w="4044"/>
      </w:tblGrid>
      <w:tr w14:paraId="5D08CD2B">
        <w:trPr>
          <w:trHeight w:val="268" w:hRule="atLeast"/>
          <w:jc w:val="right"/>
        </w:trPr>
        <w:tc>
          <w:tcPr>
            <w:tcW w:w="1923" w:type="dxa"/>
            <w:tcBorders>
              <w:right w:val="nil"/>
            </w:tcBorders>
          </w:tcPr>
          <w:p w14:paraId="5DF3A00C">
            <w:pPr>
              <w:pStyle w:val="158"/>
              <w:ind w:firstLine="0" w:firstLineChars="0"/>
              <w:jc w:val="both"/>
              <w:rPr>
                <w:rFonts w:hint="eastAsia" w:hAnsi="宋体" w:cs="宋体"/>
                <w:color w:val="auto"/>
                <w:highlight w:val="none"/>
              </w:rPr>
            </w:pPr>
            <w:r>
              <w:rPr>
                <w:rFonts w:hint="eastAsia" w:hAnsi="宋体" w:cs="宋体"/>
                <w:color w:val="auto"/>
                <w:highlight w:val="none"/>
              </w:rPr>
              <w:t>投标人：</w:t>
            </w:r>
          </w:p>
        </w:tc>
        <w:tc>
          <w:tcPr>
            <w:tcW w:w="4044" w:type="dxa"/>
            <w:tcBorders>
              <w:top w:val="nil"/>
              <w:left w:val="nil"/>
              <w:bottom w:val="nil"/>
              <w:right w:val="nil"/>
            </w:tcBorders>
          </w:tcPr>
          <w:p w14:paraId="686A5781">
            <w:pPr>
              <w:pStyle w:val="158"/>
              <w:ind w:firstLine="0" w:firstLineChars="0"/>
              <w:rPr>
                <w:rFonts w:hint="eastAsia" w:hAnsi="宋体" w:cs="宋体"/>
                <w:color w:val="auto"/>
                <w:highlight w:val="none"/>
              </w:rPr>
            </w:pPr>
            <w:r>
              <w:rPr>
                <w:rFonts w:hint="eastAsia" w:hAnsi="宋体" w:cs="宋体"/>
                <w:color w:val="auto"/>
                <w:highlight w:val="none"/>
              </w:rPr>
              <w:t>（电子签章）</w:t>
            </w:r>
          </w:p>
        </w:tc>
      </w:tr>
      <w:tr w14:paraId="3D5F0FA6">
        <w:tblPrEx>
          <w:tblCellMar>
            <w:top w:w="0" w:type="dxa"/>
            <w:left w:w="108" w:type="dxa"/>
            <w:bottom w:w="0" w:type="dxa"/>
            <w:right w:w="108" w:type="dxa"/>
          </w:tblCellMar>
        </w:tblPrEx>
        <w:trPr>
          <w:trHeight w:val="495" w:hRule="atLeast"/>
          <w:jc w:val="right"/>
        </w:trPr>
        <w:tc>
          <w:tcPr>
            <w:tcW w:w="1923" w:type="dxa"/>
            <w:tcBorders>
              <w:right w:val="nil"/>
            </w:tcBorders>
          </w:tcPr>
          <w:p w14:paraId="581BDF25">
            <w:pPr>
              <w:pStyle w:val="158"/>
              <w:ind w:firstLine="0" w:firstLineChars="0"/>
              <w:jc w:val="both"/>
              <w:rPr>
                <w:rFonts w:hint="eastAsia" w:hAnsi="宋体" w:cs="宋体"/>
                <w:color w:val="auto"/>
                <w:highlight w:val="none"/>
              </w:rPr>
            </w:pPr>
            <w:r>
              <w:rPr>
                <w:rFonts w:hint="eastAsia" w:hAnsi="宋体" w:cs="宋体"/>
                <w:color w:val="auto"/>
                <w:highlight w:val="none"/>
              </w:rPr>
              <w:t>法定代表人：</w:t>
            </w:r>
          </w:p>
        </w:tc>
        <w:tc>
          <w:tcPr>
            <w:tcW w:w="4044" w:type="dxa"/>
            <w:tcBorders>
              <w:top w:val="nil"/>
              <w:left w:val="nil"/>
              <w:bottom w:val="nil"/>
              <w:right w:val="nil"/>
            </w:tcBorders>
          </w:tcPr>
          <w:p w14:paraId="2CD80304">
            <w:pPr>
              <w:pStyle w:val="158"/>
              <w:ind w:firstLine="0" w:firstLineChars="0"/>
              <w:rPr>
                <w:rFonts w:hint="eastAsia" w:hAnsi="宋体" w:cs="宋体"/>
                <w:color w:val="auto"/>
                <w:highlight w:val="none"/>
              </w:rPr>
            </w:pPr>
            <w:r>
              <w:rPr>
                <w:rFonts w:hint="eastAsia" w:hAnsi="宋体" w:cs="宋体"/>
                <w:color w:val="auto"/>
                <w:highlight w:val="none"/>
              </w:rPr>
              <w:t>（电子签章）</w:t>
            </w:r>
          </w:p>
        </w:tc>
      </w:tr>
      <w:tr w14:paraId="732337F7">
        <w:tblPrEx>
          <w:tblCellMar>
            <w:top w:w="0" w:type="dxa"/>
            <w:left w:w="108" w:type="dxa"/>
            <w:bottom w:w="0" w:type="dxa"/>
            <w:right w:w="108" w:type="dxa"/>
          </w:tblCellMar>
        </w:tblPrEx>
        <w:trPr>
          <w:trHeight w:val="495" w:hRule="atLeast"/>
          <w:jc w:val="right"/>
        </w:trPr>
        <w:tc>
          <w:tcPr>
            <w:tcW w:w="1923" w:type="dxa"/>
            <w:tcBorders>
              <w:right w:val="nil"/>
            </w:tcBorders>
          </w:tcPr>
          <w:p w14:paraId="4FC96096">
            <w:pPr>
              <w:pStyle w:val="158"/>
              <w:ind w:firstLine="0" w:firstLineChars="0"/>
              <w:jc w:val="both"/>
              <w:rPr>
                <w:rFonts w:hint="eastAsia" w:hAnsi="宋体" w:cs="宋体"/>
                <w:color w:val="auto"/>
                <w:highlight w:val="none"/>
              </w:rPr>
            </w:pPr>
            <w:r>
              <w:rPr>
                <w:rFonts w:hint="eastAsia" w:hAnsi="宋体" w:cs="宋体"/>
                <w:color w:val="auto"/>
                <w:highlight w:val="none"/>
              </w:rPr>
              <w:t>日期：</w:t>
            </w:r>
          </w:p>
        </w:tc>
        <w:tc>
          <w:tcPr>
            <w:tcW w:w="4044" w:type="dxa"/>
            <w:tcBorders>
              <w:top w:val="nil"/>
              <w:left w:val="nil"/>
              <w:bottom w:val="nil"/>
              <w:right w:val="nil"/>
            </w:tcBorders>
          </w:tcPr>
          <w:p w14:paraId="7621C1A1">
            <w:pPr>
              <w:pStyle w:val="158"/>
              <w:ind w:firstLine="0" w:firstLineChars="0"/>
              <w:rPr>
                <w:rFonts w:hint="eastAsia" w:hAnsi="宋体" w:cs="宋体"/>
                <w:color w:val="auto"/>
                <w:highlight w:val="none"/>
              </w:rPr>
            </w:pPr>
          </w:p>
        </w:tc>
      </w:tr>
      <w:tr w14:paraId="037D6ECD">
        <w:tblPrEx>
          <w:tblCellMar>
            <w:top w:w="0" w:type="dxa"/>
            <w:left w:w="108" w:type="dxa"/>
            <w:bottom w:w="0" w:type="dxa"/>
            <w:right w:w="108" w:type="dxa"/>
          </w:tblCellMar>
        </w:tblPrEx>
        <w:trPr>
          <w:trHeight w:val="495" w:hRule="atLeast"/>
          <w:jc w:val="right"/>
        </w:trPr>
        <w:tc>
          <w:tcPr>
            <w:tcW w:w="1923" w:type="dxa"/>
            <w:tcBorders>
              <w:right w:val="nil"/>
            </w:tcBorders>
          </w:tcPr>
          <w:p w14:paraId="3DE9D464">
            <w:pPr>
              <w:pStyle w:val="158"/>
              <w:ind w:firstLine="0" w:firstLineChars="0"/>
              <w:jc w:val="both"/>
              <w:rPr>
                <w:rFonts w:hint="eastAsia" w:hAnsi="宋体" w:cs="宋体"/>
                <w:color w:val="auto"/>
                <w:highlight w:val="none"/>
              </w:rPr>
            </w:pPr>
            <w:r>
              <w:rPr>
                <w:rFonts w:hint="eastAsia" w:hAnsi="宋体" w:cs="宋体"/>
                <w:color w:val="auto"/>
                <w:highlight w:val="none"/>
              </w:rPr>
              <w:t>地址：</w:t>
            </w:r>
          </w:p>
        </w:tc>
        <w:tc>
          <w:tcPr>
            <w:tcW w:w="4044" w:type="dxa"/>
            <w:tcBorders>
              <w:top w:val="nil"/>
              <w:left w:val="nil"/>
              <w:bottom w:val="nil"/>
              <w:right w:val="nil"/>
            </w:tcBorders>
          </w:tcPr>
          <w:p w14:paraId="1443C0FC">
            <w:pPr>
              <w:pStyle w:val="158"/>
              <w:ind w:firstLine="0" w:firstLineChars="0"/>
              <w:rPr>
                <w:rFonts w:hint="eastAsia" w:hAnsi="宋体" w:cs="宋体"/>
                <w:color w:val="auto"/>
                <w:highlight w:val="none"/>
              </w:rPr>
            </w:pPr>
          </w:p>
        </w:tc>
      </w:tr>
      <w:tr w14:paraId="52C89BA2">
        <w:tblPrEx>
          <w:tblCellMar>
            <w:top w:w="0" w:type="dxa"/>
            <w:left w:w="108" w:type="dxa"/>
            <w:bottom w:w="0" w:type="dxa"/>
            <w:right w:w="108" w:type="dxa"/>
          </w:tblCellMar>
        </w:tblPrEx>
        <w:trPr>
          <w:trHeight w:val="495" w:hRule="atLeast"/>
          <w:jc w:val="right"/>
        </w:trPr>
        <w:tc>
          <w:tcPr>
            <w:tcW w:w="1923" w:type="dxa"/>
            <w:tcBorders>
              <w:right w:val="nil"/>
            </w:tcBorders>
          </w:tcPr>
          <w:p w14:paraId="44FF3124">
            <w:pPr>
              <w:pStyle w:val="158"/>
              <w:ind w:firstLine="0" w:firstLineChars="0"/>
              <w:jc w:val="both"/>
              <w:rPr>
                <w:rFonts w:hint="eastAsia" w:hAnsi="宋体" w:cs="宋体"/>
                <w:color w:val="auto"/>
                <w:highlight w:val="none"/>
              </w:rPr>
            </w:pPr>
            <w:r>
              <w:rPr>
                <w:rFonts w:hint="eastAsia" w:hAnsi="宋体" w:cs="宋体"/>
                <w:color w:val="auto"/>
                <w:highlight w:val="none"/>
              </w:rPr>
              <w:t>邮编：</w:t>
            </w:r>
          </w:p>
        </w:tc>
        <w:tc>
          <w:tcPr>
            <w:tcW w:w="4044" w:type="dxa"/>
            <w:tcBorders>
              <w:top w:val="nil"/>
              <w:left w:val="nil"/>
              <w:bottom w:val="nil"/>
              <w:right w:val="nil"/>
            </w:tcBorders>
          </w:tcPr>
          <w:p w14:paraId="4FED7524">
            <w:pPr>
              <w:pStyle w:val="158"/>
              <w:ind w:firstLine="0" w:firstLineChars="0"/>
              <w:rPr>
                <w:rFonts w:hint="eastAsia" w:hAnsi="宋体" w:cs="宋体"/>
                <w:color w:val="auto"/>
                <w:highlight w:val="none"/>
              </w:rPr>
            </w:pPr>
          </w:p>
        </w:tc>
      </w:tr>
      <w:tr w14:paraId="4377ECED">
        <w:tblPrEx>
          <w:tblCellMar>
            <w:top w:w="0" w:type="dxa"/>
            <w:left w:w="108" w:type="dxa"/>
            <w:bottom w:w="0" w:type="dxa"/>
            <w:right w:w="108" w:type="dxa"/>
          </w:tblCellMar>
        </w:tblPrEx>
        <w:trPr>
          <w:trHeight w:val="495" w:hRule="atLeast"/>
          <w:jc w:val="right"/>
        </w:trPr>
        <w:tc>
          <w:tcPr>
            <w:tcW w:w="1923" w:type="dxa"/>
            <w:tcBorders>
              <w:right w:val="nil"/>
            </w:tcBorders>
          </w:tcPr>
          <w:p w14:paraId="72238BE5">
            <w:pPr>
              <w:pStyle w:val="158"/>
              <w:ind w:firstLine="0" w:firstLineChars="0"/>
              <w:jc w:val="both"/>
              <w:rPr>
                <w:rFonts w:hint="eastAsia" w:hAnsi="宋体" w:cs="宋体"/>
                <w:color w:val="auto"/>
                <w:highlight w:val="none"/>
              </w:rPr>
            </w:pPr>
            <w:r>
              <w:rPr>
                <w:rFonts w:hint="eastAsia" w:hAnsi="宋体" w:cs="宋体"/>
                <w:color w:val="auto"/>
                <w:highlight w:val="none"/>
              </w:rPr>
              <w:t>电话：</w:t>
            </w:r>
          </w:p>
        </w:tc>
        <w:tc>
          <w:tcPr>
            <w:tcW w:w="4044" w:type="dxa"/>
            <w:tcBorders>
              <w:top w:val="nil"/>
              <w:left w:val="nil"/>
              <w:bottom w:val="nil"/>
              <w:right w:val="nil"/>
            </w:tcBorders>
          </w:tcPr>
          <w:p w14:paraId="774D9C17">
            <w:pPr>
              <w:pStyle w:val="158"/>
              <w:ind w:firstLine="0" w:firstLineChars="0"/>
              <w:rPr>
                <w:rFonts w:hint="eastAsia" w:hAnsi="宋体" w:cs="宋体"/>
                <w:color w:val="auto"/>
                <w:highlight w:val="none"/>
              </w:rPr>
            </w:pPr>
          </w:p>
        </w:tc>
      </w:tr>
      <w:tr w14:paraId="01CBE833">
        <w:tblPrEx>
          <w:tblCellMar>
            <w:top w:w="0" w:type="dxa"/>
            <w:left w:w="108" w:type="dxa"/>
            <w:bottom w:w="0" w:type="dxa"/>
            <w:right w:w="108" w:type="dxa"/>
          </w:tblCellMar>
        </w:tblPrEx>
        <w:trPr>
          <w:trHeight w:val="495" w:hRule="atLeast"/>
          <w:jc w:val="right"/>
        </w:trPr>
        <w:tc>
          <w:tcPr>
            <w:tcW w:w="1923" w:type="dxa"/>
            <w:tcBorders>
              <w:right w:val="nil"/>
            </w:tcBorders>
          </w:tcPr>
          <w:p w14:paraId="3896B145">
            <w:pPr>
              <w:pStyle w:val="158"/>
              <w:ind w:firstLine="0" w:firstLineChars="0"/>
              <w:jc w:val="both"/>
              <w:rPr>
                <w:rFonts w:hint="eastAsia" w:hAnsi="宋体" w:cs="宋体"/>
                <w:color w:val="auto"/>
                <w:highlight w:val="none"/>
              </w:rPr>
            </w:pPr>
            <w:r>
              <w:rPr>
                <w:rFonts w:hint="eastAsia" w:hAnsi="宋体" w:cs="宋体"/>
                <w:color w:val="auto"/>
                <w:highlight w:val="none"/>
              </w:rPr>
              <w:t>传真：</w:t>
            </w:r>
          </w:p>
        </w:tc>
        <w:tc>
          <w:tcPr>
            <w:tcW w:w="4044" w:type="dxa"/>
            <w:tcBorders>
              <w:top w:val="nil"/>
              <w:left w:val="nil"/>
              <w:bottom w:val="nil"/>
              <w:right w:val="nil"/>
            </w:tcBorders>
          </w:tcPr>
          <w:p w14:paraId="120E3398">
            <w:pPr>
              <w:pStyle w:val="158"/>
              <w:ind w:firstLine="0" w:firstLineChars="0"/>
              <w:rPr>
                <w:rFonts w:hint="eastAsia" w:hAnsi="宋体" w:cs="宋体"/>
                <w:color w:val="auto"/>
                <w:highlight w:val="none"/>
              </w:rPr>
            </w:pPr>
          </w:p>
        </w:tc>
      </w:tr>
    </w:tbl>
    <w:p w14:paraId="68D9A31E">
      <w:pPr>
        <w:pStyle w:val="57"/>
        <w:ind w:left="368" w:leftChars="175" w:firstLine="280" w:firstLineChars="100"/>
        <w:rPr>
          <w:rFonts w:hint="eastAsia" w:hAnsi="宋体" w:cs="宋体"/>
          <w:color w:val="auto"/>
          <w:sz w:val="28"/>
          <w:szCs w:val="28"/>
          <w:highlight w:val="none"/>
        </w:rPr>
      </w:pPr>
    </w:p>
    <w:p w14:paraId="57EB1C57">
      <w:pPr>
        <w:widowControl/>
        <w:spacing w:line="240" w:lineRule="auto"/>
        <w:ind w:firstLine="0" w:firstLineChars="0"/>
        <w:jc w:val="left"/>
        <w:rPr>
          <w:rFonts w:hint="eastAsia" w:ascii="宋体" w:hAnsi="宋体" w:cs="宋体"/>
          <w:b/>
          <w:color w:val="auto"/>
          <w:spacing w:val="10"/>
          <w:kern w:val="44"/>
          <w:sz w:val="28"/>
          <w:szCs w:val="24"/>
          <w:highlight w:val="none"/>
        </w:rPr>
      </w:pPr>
      <w:r>
        <w:rPr>
          <w:rFonts w:hint="eastAsia" w:ascii="宋体" w:hAnsi="宋体" w:cs="宋体"/>
          <w:b/>
          <w:color w:val="auto"/>
          <w:spacing w:val="10"/>
          <w:kern w:val="44"/>
          <w:sz w:val="28"/>
          <w:szCs w:val="24"/>
          <w:highlight w:val="none"/>
        </w:rPr>
        <w:t> </w:t>
      </w:r>
    </w:p>
    <w:p w14:paraId="6CE7B43A">
      <w:pPr>
        <w:pStyle w:val="2"/>
        <w:ind w:firstLine="0" w:firstLineChars="0"/>
        <w:rPr>
          <w:rFonts w:hint="eastAsia" w:ascii="宋体" w:hAnsi="宋体" w:eastAsia="宋体" w:cs="宋体"/>
          <w:b w:val="0"/>
          <w:color w:val="auto"/>
          <w:spacing w:val="10"/>
          <w:kern w:val="44"/>
          <w:sz w:val="28"/>
          <w:szCs w:val="24"/>
          <w:highlight w:val="none"/>
        </w:rPr>
      </w:pPr>
      <w:r>
        <w:rPr>
          <w:rFonts w:hint="eastAsia" w:ascii="宋体" w:hAnsi="宋体" w:eastAsia="宋体" w:cs="宋体"/>
          <w:color w:val="auto"/>
          <w:highlight w:val="none"/>
        </w:rPr>
        <w:br w:type="page"/>
      </w:r>
    </w:p>
    <w:p w14:paraId="24B39FBD">
      <w:pPr>
        <w:pStyle w:val="168"/>
        <w:snapToGrid w:val="0"/>
        <w:spacing w:before="0" w:after="0" w:line="600" w:lineRule="exact"/>
        <w:ind w:left="342" w:hanging="367" w:hangingChars="122"/>
        <w:outlineLvl w:val="1"/>
        <w:rPr>
          <w:rFonts w:hint="eastAsia" w:ascii="宋体" w:hAnsi="宋体" w:cs="宋体"/>
          <w:color w:val="auto"/>
          <w:spacing w:val="10"/>
          <w:szCs w:val="24"/>
          <w:highlight w:val="none"/>
        </w:rPr>
      </w:pPr>
      <w:bookmarkStart w:id="113" w:name="_Toc11134"/>
      <w:r>
        <w:rPr>
          <w:rFonts w:hint="eastAsia" w:ascii="宋体" w:hAnsi="宋体" w:cs="宋体"/>
          <w:color w:val="auto"/>
          <w:spacing w:val="10"/>
          <w:szCs w:val="24"/>
          <w:highlight w:val="none"/>
        </w:rPr>
        <w:t>技术标部分</w:t>
      </w:r>
      <w:bookmarkEnd w:id="113"/>
    </w:p>
    <w:p w14:paraId="1E708B0A">
      <w:pPr>
        <w:widowControl/>
        <w:spacing w:line="240" w:lineRule="auto"/>
        <w:ind w:firstLine="0" w:firstLineChars="0"/>
        <w:jc w:val="left"/>
        <w:rPr>
          <w:rFonts w:hint="eastAsia" w:ascii="宋体" w:hAnsi="宋体" w:cs="宋体"/>
          <w:b/>
          <w:color w:val="auto"/>
          <w:spacing w:val="10"/>
          <w:kern w:val="44"/>
          <w:sz w:val="28"/>
          <w:szCs w:val="24"/>
          <w:highlight w:val="none"/>
        </w:rPr>
      </w:pPr>
    </w:p>
    <w:p w14:paraId="4E55D8BF">
      <w:pPr>
        <w:pStyle w:val="168"/>
        <w:snapToGrid w:val="0"/>
        <w:spacing w:before="0" w:after="0" w:line="600" w:lineRule="exact"/>
        <w:ind w:left="342" w:hanging="367" w:hangingChars="122"/>
        <w:outlineLvl w:val="2"/>
        <w:rPr>
          <w:rFonts w:hint="eastAsia" w:ascii="宋体" w:hAnsi="宋体" w:cs="宋体"/>
          <w:color w:val="auto"/>
          <w:spacing w:val="10"/>
          <w:szCs w:val="24"/>
          <w:highlight w:val="none"/>
        </w:rPr>
      </w:pPr>
      <w:bookmarkStart w:id="114" w:name="_Toc417634882"/>
      <w:bookmarkStart w:id="115" w:name="_Toc10824"/>
      <w:bookmarkStart w:id="116" w:name="_Toc23273"/>
      <w:bookmarkStart w:id="117" w:name="_Toc32605"/>
      <w:r>
        <w:rPr>
          <w:rFonts w:hint="eastAsia" w:ascii="宋体" w:hAnsi="宋体" w:cs="宋体"/>
          <w:color w:val="auto"/>
          <w:spacing w:val="10"/>
          <w:szCs w:val="24"/>
          <w:highlight w:val="none"/>
        </w:rPr>
        <w:t>一</w:t>
      </w:r>
      <w:bookmarkEnd w:id="114"/>
      <w:bookmarkEnd w:id="115"/>
      <w:bookmarkEnd w:id="116"/>
      <w:bookmarkStart w:id="118" w:name="_Toc6452"/>
      <w:bookmarkStart w:id="119" w:name="_Toc21643"/>
      <w:bookmarkStart w:id="120" w:name="_Toc382467321"/>
      <w:bookmarkStart w:id="121" w:name="_Toc387152565"/>
      <w:r>
        <w:rPr>
          <w:rFonts w:hint="eastAsia" w:ascii="宋体" w:hAnsi="宋体" w:cs="宋体"/>
          <w:color w:val="auto"/>
          <w:spacing w:val="10"/>
          <w:szCs w:val="24"/>
          <w:highlight w:val="none"/>
        </w:rPr>
        <w:t>、技术规格偏离表</w:t>
      </w:r>
      <w:bookmarkEnd w:id="117"/>
      <w:bookmarkEnd w:id="118"/>
      <w:bookmarkEnd w:id="119"/>
    </w:p>
    <w:p w14:paraId="4D9C3C4F">
      <w:pPr>
        <w:pStyle w:val="57"/>
        <w:ind w:left="368" w:leftChars="175" w:firstLine="280" w:firstLineChars="100"/>
        <w:rPr>
          <w:rFonts w:hint="eastAsia" w:hAnsi="宋体" w:cs="宋体"/>
          <w:color w:val="auto"/>
          <w:sz w:val="28"/>
          <w:szCs w:val="28"/>
          <w:highlight w:val="none"/>
        </w:rPr>
      </w:pPr>
      <w:r>
        <w:rPr>
          <w:rFonts w:hint="eastAsia" w:hAnsi="宋体" w:cs="宋体"/>
          <w:color w:val="auto"/>
          <w:sz w:val="28"/>
          <w:szCs w:val="28"/>
          <w:highlight w:val="none"/>
        </w:rPr>
        <w:t xml:space="preserve">  请按所投产品的实际技术参数，逐条对应招标文件的第五章中要求的技术规范认真填写该表，该表不能作为所投产品的技术文件。</w:t>
      </w:r>
    </w:p>
    <w:bookmarkEnd w:id="120"/>
    <w:bookmarkEnd w:id="121"/>
    <w:p w14:paraId="60D0A655">
      <w:pPr>
        <w:pStyle w:val="18"/>
        <w:ind w:left="368" w:leftChars="175" w:firstLine="562"/>
        <w:rPr>
          <w:rFonts w:hint="eastAsia" w:hAnsi="宋体" w:cs="宋体"/>
          <w:b/>
          <w:color w:val="auto"/>
          <w:sz w:val="28"/>
          <w:szCs w:val="28"/>
          <w:highlight w:val="none"/>
        </w:rPr>
      </w:pPr>
      <w:r>
        <w:rPr>
          <w:rFonts w:hint="eastAsia" w:hAnsi="宋体" w:cs="宋体"/>
          <w:b/>
          <w:color w:val="auto"/>
          <w:sz w:val="28"/>
          <w:szCs w:val="28"/>
          <w:highlight w:val="none"/>
        </w:rPr>
        <w:t>项目名称：</w:t>
      </w:r>
      <w:r>
        <w:rPr>
          <w:rFonts w:hint="eastAsia" w:hAnsi="宋体" w:cs="宋体"/>
          <w:b/>
          <w:color w:val="auto"/>
          <w:sz w:val="28"/>
          <w:szCs w:val="28"/>
          <w:highlight w:val="none"/>
          <w:u w:val="single"/>
        </w:rPr>
        <w:t xml:space="preserve">          </w:t>
      </w:r>
      <w:r>
        <w:rPr>
          <w:rFonts w:hint="eastAsia" w:hAnsi="宋体" w:cs="宋体"/>
          <w:b/>
          <w:color w:val="auto"/>
          <w:sz w:val="28"/>
          <w:szCs w:val="28"/>
          <w:highlight w:val="none"/>
        </w:rPr>
        <w:t xml:space="preserve">                                </w:t>
      </w:r>
    </w:p>
    <w:p w14:paraId="4E9C1AA4">
      <w:pPr>
        <w:pStyle w:val="18"/>
        <w:ind w:firstLine="835" w:firstLineChars="297"/>
        <w:rPr>
          <w:rFonts w:hint="eastAsia" w:hAnsi="宋体" w:cs="宋体"/>
          <w:b/>
          <w:color w:val="auto"/>
          <w:sz w:val="28"/>
          <w:szCs w:val="28"/>
          <w:highlight w:val="none"/>
          <w:u w:val="single"/>
        </w:rPr>
      </w:pPr>
      <w:r>
        <w:rPr>
          <w:rFonts w:hint="eastAsia" w:hAnsi="宋体" w:cs="宋体"/>
          <w:b/>
          <w:color w:val="auto"/>
          <w:sz w:val="28"/>
          <w:szCs w:val="28"/>
          <w:highlight w:val="none"/>
        </w:rPr>
        <w:t xml:space="preserve"> 项目编号：</w:t>
      </w:r>
      <w:r>
        <w:rPr>
          <w:rFonts w:hint="eastAsia" w:hAnsi="宋体" w:cs="宋体"/>
          <w:b/>
          <w:color w:val="auto"/>
          <w:sz w:val="28"/>
          <w:szCs w:val="28"/>
          <w:highlight w:val="none"/>
          <w:u w:val="single"/>
        </w:rPr>
        <w:t xml:space="preserve">                </w:t>
      </w:r>
    </w:p>
    <w:tbl>
      <w:tblPr>
        <w:tblStyle w:val="34"/>
        <w:tblW w:w="87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2"/>
        <w:gridCol w:w="2709"/>
        <w:gridCol w:w="2980"/>
        <w:gridCol w:w="1184"/>
        <w:gridCol w:w="1267"/>
      </w:tblGrid>
      <w:tr w14:paraId="38A53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7" w:hRule="atLeast"/>
          <w:jc w:val="center"/>
        </w:trPr>
        <w:tc>
          <w:tcPr>
            <w:tcW w:w="652" w:type="dxa"/>
            <w:vAlign w:val="center"/>
          </w:tcPr>
          <w:p w14:paraId="4F739AC6">
            <w:pPr>
              <w:ind w:firstLine="0" w:firstLineChars="0"/>
              <w:jc w:val="center"/>
              <w:rPr>
                <w:rFonts w:hint="eastAsia" w:ascii="宋体" w:hAnsi="宋体" w:cs="宋体"/>
                <w:b/>
                <w:color w:val="auto"/>
                <w:szCs w:val="21"/>
                <w:highlight w:val="none"/>
              </w:rPr>
            </w:pPr>
            <w:r>
              <w:rPr>
                <w:rFonts w:hint="eastAsia" w:ascii="宋体" w:hAnsi="宋体" w:cs="宋体"/>
                <w:b/>
                <w:color w:val="auto"/>
                <w:szCs w:val="21"/>
                <w:highlight w:val="none"/>
              </w:rPr>
              <w:t>序号</w:t>
            </w:r>
          </w:p>
        </w:tc>
        <w:tc>
          <w:tcPr>
            <w:tcW w:w="2709" w:type="dxa"/>
            <w:vAlign w:val="center"/>
          </w:tcPr>
          <w:p w14:paraId="6C0E0464">
            <w:pPr>
              <w:ind w:firstLine="0" w:firstLineChars="0"/>
              <w:jc w:val="center"/>
              <w:rPr>
                <w:rFonts w:hint="eastAsia" w:ascii="宋体" w:hAnsi="宋体" w:cs="宋体"/>
                <w:b/>
                <w:color w:val="auto"/>
                <w:szCs w:val="21"/>
                <w:highlight w:val="none"/>
              </w:rPr>
            </w:pPr>
            <w:r>
              <w:rPr>
                <w:rFonts w:hint="eastAsia" w:ascii="宋体" w:hAnsi="宋体" w:cs="宋体"/>
                <w:b/>
                <w:color w:val="auto"/>
                <w:szCs w:val="21"/>
                <w:highlight w:val="none"/>
              </w:rPr>
              <w:t>招标文件技术规范、要求</w:t>
            </w:r>
          </w:p>
        </w:tc>
        <w:tc>
          <w:tcPr>
            <w:tcW w:w="2980" w:type="dxa"/>
            <w:vAlign w:val="center"/>
          </w:tcPr>
          <w:p w14:paraId="5DB7F39F">
            <w:pPr>
              <w:ind w:firstLine="0" w:firstLineChars="0"/>
              <w:jc w:val="center"/>
              <w:rPr>
                <w:rFonts w:hint="eastAsia" w:ascii="宋体" w:hAnsi="宋体" w:cs="宋体"/>
                <w:b/>
                <w:color w:val="auto"/>
                <w:szCs w:val="21"/>
                <w:highlight w:val="none"/>
              </w:rPr>
            </w:pPr>
            <w:r>
              <w:rPr>
                <w:rFonts w:hint="eastAsia" w:ascii="宋体" w:hAnsi="宋体" w:cs="宋体"/>
                <w:b/>
                <w:color w:val="auto"/>
                <w:szCs w:val="21"/>
                <w:highlight w:val="none"/>
              </w:rPr>
              <w:t>投标文件对应技术参数</w:t>
            </w:r>
          </w:p>
        </w:tc>
        <w:tc>
          <w:tcPr>
            <w:tcW w:w="1184" w:type="dxa"/>
            <w:vAlign w:val="center"/>
          </w:tcPr>
          <w:p w14:paraId="13469986">
            <w:pPr>
              <w:ind w:firstLine="0" w:firstLineChars="0"/>
              <w:jc w:val="center"/>
              <w:rPr>
                <w:rFonts w:hint="eastAsia" w:ascii="宋体" w:hAnsi="宋体" w:cs="宋体"/>
                <w:b/>
                <w:color w:val="auto"/>
                <w:szCs w:val="21"/>
                <w:highlight w:val="none"/>
              </w:rPr>
            </w:pPr>
            <w:r>
              <w:rPr>
                <w:rFonts w:hint="eastAsia" w:ascii="宋体" w:hAnsi="宋体" w:cs="宋体"/>
                <w:b/>
                <w:color w:val="auto"/>
                <w:szCs w:val="21"/>
                <w:highlight w:val="none"/>
              </w:rPr>
              <w:t>偏离</w:t>
            </w:r>
          </w:p>
        </w:tc>
        <w:tc>
          <w:tcPr>
            <w:tcW w:w="1267" w:type="dxa"/>
            <w:vAlign w:val="center"/>
          </w:tcPr>
          <w:p w14:paraId="3BDBC997">
            <w:pPr>
              <w:ind w:firstLine="0" w:firstLineChars="0"/>
              <w:jc w:val="center"/>
              <w:rPr>
                <w:rFonts w:hint="eastAsia" w:ascii="宋体" w:hAnsi="宋体" w:cs="宋体"/>
                <w:b/>
                <w:color w:val="auto"/>
                <w:szCs w:val="21"/>
                <w:highlight w:val="none"/>
              </w:rPr>
            </w:pPr>
            <w:r>
              <w:rPr>
                <w:rFonts w:hint="eastAsia" w:ascii="宋体" w:hAnsi="宋体" w:cs="宋体"/>
                <w:b/>
                <w:color w:val="auto"/>
                <w:szCs w:val="21"/>
                <w:highlight w:val="none"/>
              </w:rPr>
              <w:t>说明</w:t>
            </w:r>
          </w:p>
        </w:tc>
      </w:tr>
      <w:tr w14:paraId="71167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7" w:hRule="atLeast"/>
          <w:jc w:val="center"/>
        </w:trPr>
        <w:tc>
          <w:tcPr>
            <w:tcW w:w="652" w:type="dxa"/>
            <w:vAlign w:val="center"/>
          </w:tcPr>
          <w:p w14:paraId="305A384E">
            <w:pPr>
              <w:ind w:firstLine="0" w:firstLineChars="0"/>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2709" w:type="dxa"/>
            <w:vAlign w:val="center"/>
          </w:tcPr>
          <w:p w14:paraId="57968639">
            <w:pPr>
              <w:ind w:firstLine="0" w:firstLineChars="0"/>
              <w:jc w:val="center"/>
              <w:rPr>
                <w:rFonts w:hint="eastAsia" w:ascii="宋体" w:hAnsi="宋体" w:cs="宋体"/>
                <w:color w:val="auto"/>
                <w:szCs w:val="21"/>
                <w:highlight w:val="none"/>
              </w:rPr>
            </w:pPr>
          </w:p>
        </w:tc>
        <w:tc>
          <w:tcPr>
            <w:tcW w:w="2980" w:type="dxa"/>
            <w:vAlign w:val="center"/>
          </w:tcPr>
          <w:p w14:paraId="518D99D1">
            <w:pPr>
              <w:ind w:firstLine="0" w:firstLineChars="0"/>
              <w:jc w:val="center"/>
              <w:rPr>
                <w:rFonts w:hint="eastAsia" w:ascii="宋体" w:hAnsi="宋体" w:cs="宋体"/>
                <w:color w:val="auto"/>
                <w:szCs w:val="21"/>
                <w:highlight w:val="none"/>
              </w:rPr>
            </w:pPr>
          </w:p>
        </w:tc>
        <w:tc>
          <w:tcPr>
            <w:tcW w:w="1184" w:type="dxa"/>
            <w:vAlign w:val="center"/>
          </w:tcPr>
          <w:p w14:paraId="422CF220">
            <w:pPr>
              <w:ind w:firstLine="0" w:firstLineChars="0"/>
              <w:jc w:val="center"/>
              <w:rPr>
                <w:rFonts w:hint="eastAsia" w:ascii="宋体" w:hAnsi="宋体" w:cs="宋体"/>
                <w:color w:val="auto"/>
                <w:szCs w:val="21"/>
                <w:highlight w:val="none"/>
              </w:rPr>
            </w:pPr>
          </w:p>
        </w:tc>
        <w:tc>
          <w:tcPr>
            <w:tcW w:w="1267" w:type="dxa"/>
            <w:vAlign w:val="center"/>
          </w:tcPr>
          <w:p w14:paraId="4F9A096F">
            <w:pPr>
              <w:ind w:firstLine="0" w:firstLineChars="0"/>
              <w:jc w:val="center"/>
              <w:rPr>
                <w:rFonts w:hint="eastAsia" w:ascii="宋体" w:hAnsi="宋体" w:cs="宋体"/>
                <w:color w:val="auto"/>
                <w:szCs w:val="21"/>
                <w:highlight w:val="none"/>
              </w:rPr>
            </w:pPr>
          </w:p>
        </w:tc>
      </w:tr>
      <w:tr w14:paraId="34D9D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7" w:hRule="atLeast"/>
          <w:jc w:val="center"/>
        </w:trPr>
        <w:tc>
          <w:tcPr>
            <w:tcW w:w="652" w:type="dxa"/>
            <w:vAlign w:val="center"/>
          </w:tcPr>
          <w:p w14:paraId="5A69A7A8">
            <w:pPr>
              <w:ind w:firstLine="0" w:firstLineChars="0"/>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2709" w:type="dxa"/>
            <w:vAlign w:val="center"/>
          </w:tcPr>
          <w:p w14:paraId="78A20B12">
            <w:pPr>
              <w:ind w:firstLine="0" w:firstLineChars="0"/>
              <w:jc w:val="center"/>
              <w:rPr>
                <w:rFonts w:hint="eastAsia" w:ascii="宋体" w:hAnsi="宋体" w:cs="宋体"/>
                <w:color w:val="auto"/>
                <w:szCs w:val="21"/>
                <w:highlight w:val="none"/>
              </w:rPr>
            </w:pPr>
          </w:p>
        </w:tc>
        <w:tc>
          <w:tcPr>
            <w:tcW w:w="2980" w:type="dxa"/>
            <w:vAlign w:val="center"/>
          </w:tcPr>
          <w:p w14:paraId="0F3152A3">
            <w:pPr>
              <w:ind w:firstLine="0" w:firstLineChars="0"/>
              <w:jc w:val="center"/>
              <w:rPr>
                <w:rFonts w:hint="eastAsia" w:ascii="宋体" w:hAnsi="宋体" w:cs="宋体"/>
                <w:color w:val="auto"/>
                <w:szCs w:val="21"/>
                <w:highlight w:val="none"/>
              </w:rPr>
            </w:pPr>
          </w:p>
        </w:tc>
        <w:tc>
          <w:tcPr>
            <w:tcW w:w="1184" w:type="dxa"/>
            <w:vAlign w:val="center"/>
          </w:tcPr>
          <w:p w14:paraId="0030D4E9">
            <w:pPr>
              <w:ind w:firstLine="0" w:firstLineChars="0"/>
              <w:jc w:val="center"/>
              <w:rPr>
                <w:rFonts w:hint="eastAsia" w:ascii="宋体" w:hAnsi="宋体" w:cs="宋体"/>
                <w:color w:val="auto"/>
                <w:szCs w:val="21"/>
                <w:highlight w:val="none"/>
              </w:rPr>
            </w:pPr>
          </w:p>
        </w:tc>
        <w:tc>
          <w:tcPr>
            <w:tcW w:w="1267" w:type="dxa"/>
            <w:vAlign w:val="center"/>
          </w:tcPr>
          <w:p w14:paraId="2B7DFDAD">
            <w:pPr>
              <w:ind w:firstLine="0" w:firstLineChars="0"/>
              <w:jc w:val="center"/>
              <w:rPr>
                <w:rFonts w:hint="eastAsia" w:ascii="宋体" w:hAnsi="宋体" w:cs="宋体"/>
                <w:color w:val="auto"/>
                <w:szCs w:val="21"/>
                <w:highlight w:val="none"/>
              </w:rPr>
            </w:pPr>
          </w:p>
        </w:tc>
      </w:tr>
      <w:tr w14:paraId="708E8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7" w:hRule="atLeast"/>
          <w:jc w:val="center"/>
        </w:trPr>
        <w:tc>
          <w:tcPr>
            <w:tcW w:w="652" w:type="dxa"/>
            <w:vAlign w:val="center"/>
          </w:tcPr>
          <w:p w14:paraId="2558FC29">
            <w:pPr>
              <w:ind w:firstLine="0" w:firstLineChars="0"/>
              <w:jc w:val="center"/>
              <w:rPr>
                <w:rFonts w:hint="eastAsia" w:ascii="宋体" w:hAnsi="宋体" w:cs="宋体"/>
                <w:color w:val="auto"/>
                <w:szCs w:val="21"/>
                <w:highlight w:val="none"/>
              </w:rPr>
            </w:pPr>
            <w:r>
              <w:rPr>
                <w:rFonts w:hint="eastAsia" w:ascii="宋体" w:hAnsi="宋体" w:cs="宋体"/>
                <w:color w:val="auto"/>
                <w:szCs w:val="21"/>
                <w:highlight w:val="none"/>
              </w:rPr>
              <w:t>3</w:t>
            </w:r>
          </w:p>
        </w:tc>
        <w:tc>
          <w:tcPr>
            <w:tcW w:w="2709" w:type="dxa"/>
            <w:vAlign w:val="center"/>
          </w:tcPr>
          <w:p w14:paraId="2C172284">
            <w:pPr>
              <w:ind w:firstLine="0" w:firstLineChars="0"/>
              <w:jc w:val="center"/>
              <w:rPr>
                <w:rFonts w:hint="eastAsia" w:ascii="宋体" w:hAnsi="宋体" w:cs="宋体"/>
                <w:color w:val="auto"/>
                <w:szCs w:val="21"/>
                <w:highlight w:val="none"/>
              </w:rPr>
            </w:pPr>
          </w:p>
        </w:tc>
        <w:tc>
          <w:tcPr>
            <w:tcW w:w="2980" w:type="dxa"/>
            <w:vAlign w:val="center"/>
          </w:tcPr>
          <w:p w14:paraId="555628EA">
            <w:pPr>
              <w:ind w:firstLine="0" w:firstLineChars="0"/>
              <w:jc w:val="center"/>
              <w:rPr>
                <w:rFonts w:hint="eastAsia" w:ascii="宋体" w:hAnsi="宋体" w:cs="宋体"/>
                <w:color w:val="auto"/>
                <w:szCs w:val="21"/>
                <w:highlight w:val="none"/>
              </w:rPr>
            </w:pPr>
          </w:p>
        </w:tc>
        <w:tc>
          <w:tcPr>
            <w:tcW w:w="1184" w:type="dxa"/>
            <w:vAlign w:val="center"/>
          </w:tcPr>
          <w:p w14:paraId="144A5E83">
            <w:pPr>
              <w:ind w:firstLine="0" w:firstLineChars="0"/>
              <w:jc w:val="center"/>
              <w:rPr>
                <w:rFonts w:hint="eastAsia" w:ascii="宋体" w:hAnsi="宋体" w:cs="宋体"/>
                <w:color w:val="auto"/>
                <w:szCs w:val="21"/>
                <w:highlight w:val="none"/>
              </w:rPr>
            </w:pPr>
          </w:p>
        </w:tc>
        <w:tc>
          <w:tcPr>
            <w:tcW w:w="1267" w:type="dxa"/>
            <w:vAlign w:val="center"/>
          </w:tcPr>
          <w:p w14:paraId="65640EF0">
            <w:pPr>
              <w:ind w:firstLine="0" w:firstLineChars="0"/>
              <w:jc w:val="center"/>
              <w:rPr>
                <w:rFonts w:hint="eastAsia" w:ascii="宋体" w:hAnsi="宋体" w:cs="宋体"/>
                <w:color w:val="auto"/>
                <w:szCs w:val="21"/>
                <w:highlight w:val="none"/>
              </w:rPr>
            </w:pPr>
          </w:p>
        </w:tc>
      </w:tr>
      <w:tr w14:paraId="4D388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5" w:hRule="atLeast"/>
          <w:jc w:val="center"/>
        </w:trPr>
        <w:tc>
          <w:tcPr>
            <w:tcW w:w="652" w:type="dxa"/>
            <w:vAlign w:val="center"/>
          </w:tcPr>
          <w:p w14:paraId="45641E8F">
            <w:pPr>
              <w:ind w:firstLine="0" w:firstLineChars="0"/>
              <w:jc w:val="center"/>
              <w:rPr>
                <w:rFonts w:hint="eastAsia" w:ascii="宋体" w:hAnsi="宋体" w:cs="宋体"/>
                <w:color w:val="auto"/>
                <w:szCs w:val="21"/>
                <w:highlight w:val="none"/>
              </w:rPr>
            </w:pPr>
            <w:r>
              <w:rPr>
                <w:rFonts w:hint="eastAsia" w:ascii="宋体" w:hAnsi="宋体" w:cs="宋体"/>
                <w:color w:val="auto"/>
                <w:szCs w:val="21"/>
                <w:highlight w:val="none"/>
              </w:rPr>
              <w:t>…</w:t>
            </w:r>
          </w:p>
        </w:tc>
        <w:tc>
          <w:tcPr>
            <w:tcW w:w="2709" w:type="dxa"/>
            <w:vAlign w:val="center"/>
          </w:tcPr>
          <w:p w14:paraId="335E4BA5">
            <w:pPr>
              <w:ind w:firstLine="0" w:firstLineChars="0"/>
              <w:jc w:val="center"/>
              <w:rPr>
                <w:rFonts w:hint="eastAsia" w:ascii="宋体" w:hAnsi="宋体" w:cs="宋体"/>
                <w:color w:val="auto"/>
                <w:szCs w:val="21"/>
                <w:highlight w:val="none"/>
              </w:rPr>
            </w:pPr>
          </w:p>
        </w:tc>
        <w:tc>
          <w:tcPr>
            <w:tcW w:w="2980" w:type="dxa"/>
            <w:vAlign w:val="center"/>
          </w:tcPr>
          <w:p w14:paraId="26272C76">
            <w:pPr>
              <w:ind w:firstLine="0" w:firstLineChars="0"/>
              <w:jc w:val="center"/>
              <w:rPr>
                <w:rFonts w:hint="eastAsia" w:ascii="宋体" w:hAnsi="宋体" w:cs="宋体"/>
                <w:color w:val="auto"/>
                <w:szCs w:val="21"/>
                <w:highlight w:val="none"/>
              </w:rPr>
            </w:pPr>
          </w:p>
        </w:tc>
        <w:tc>
          <w:tcPr>
            <w:tcW w:w="1184" w:type="dxa"/>
            <w:vAlign w:val="center"/>
          </w:tcPr>
          <w:p w14:paraId="0306BEC4">
            <w:pPr>
              <w:ind w:firstLine="0" w:firstLineChars="0"/>
              <w:jc w:val="center"/>
              <w:rPr>
                <w:rFonts w:hint="eastAsia" w:ascii="宋体" w:hAnsi="宋体" w:cs="宋体"/>
                <w:color w:val="auto"/>
                <w:szCs w:val="21"/>
                <w:highlight w:val="none"/>
              </w:rPr>
            </w:pPr>
          </w:p>
        </w:tc>
        <w:tc>
          <w:tcPr>
            <w:tcW w:w="1267" w:type="dxa"/>
            <w:vAlign w:val="center"/>
          </w:tcPr>
          <w:p w14:paraId="366961C9">
            <w:pPr>
              <w:ind w:firstLine="0" w:firstLineChars="0"/>
              <w:jc w:val="center"/>
              <w:rPr>
                <w:rFonts w:hint="eastAsia" w:ascii="宋体" w:hAnsi="宋体" w:cs="宋体"/>
                <w:color w:val="auto"/>
                <w:szCs w:val="21"/>
                <w:highlight w:val="none"/>
              </w:rPr>
            </w:pPr>
          </w:p>
        </w:tc>
      </w:tr>
    </w:tbl>
    <w:p w14:paraId="03375C49">
      <w:pPr>
        <w:pStyle w:val="18"/>
        <w:spacing w:line="600" w:lineRule="exact"/>
        <w:ind w:left="368" w:leftChars="175" w:firstLine="480"/>
        <w:rPr>
          <w:rFonts w:hint="eastAsia" w:hAnsi="宋体" w:cs="宋体"/>
          <w:color w:val="auto"/>
          <w:sz w:val="24"/>
          <w:highlight w:val="none"/>
        </w:rPr>
      </w:pPr>
      <w:r>
        <w:rPr>
          <w:rFonts w:hint="eastAsia" w:hAnsi="宋体" w:cs="宋体"/>
          <w:color w:val="auto"/>
          <w:sz w:val="24"/>
          <w:highlight w:val="none"/>
        </w:rPr>
        <w:t>注：1、供应商须按照“第五章 采购需求”中的内容作出完整、真实的反映。</w:t>
      </w:r>
    </w:p>
    <w:p w14:paraId="3E550247">
      <w:pPr>
        <w:pStyle w:val="18"/>
        <w:spacing w:line="600" w:lineRule="exact"/>
        <w:ind w:left="368" w:leftChars="175" w:firstLine="480"/>
        <w:rPr>
          <w:rFonts w:hint="eastAsia" w:hAnsi="宋体" w:cs="宋体"/>
          <w:color w:val="auto"/>
          <w:sz w:val="24"/>
          <w:highlight w:val="none"/>
        </w:rPr>
      </w:pPr>
      <w:r>
        <w:rPr>
          <w:rFonts w:hint="eastAsia" w:hAnsi="宋体" w:cs="宋体"/>
          <w:color w:val="auto"/>
          <w:sz w:val="24"/>
          <w:highlight w:val="none"/>
        </w:rPr>
        <w:t>2、供应商根据招标文件“第五章 采购需求”中的产品配置、规格或详细性能要求作出全面、真实的反映，技术规范、要求逐条对应答复，并在“投标产品配置、规格或详细性能”一列中写明详细内容，诸如“已知”、“理解”、“满足”或“同意”等非明确的答复是不可接受的。投标文件应以中文应答（英文文本或缩略语需提供中文翻译或注释）。</w:t>
      </w:r>
    </w:p>
    <w:p w14:paraId="763E4643">
      <w:pPr>
        <w:pStyle w:val="18"/>
        <w:spacing w:line="600" w:lineRule="exact"/>
        <w:ind w:left="368" w:leftChars="175" w:firstLine="480"/>
        <w:rPr>
          <w:rFonts w:hint="eastAsia" w:hAnsi="宋体" w:cs="宋体"/>
          <w:color w:val="auto"/>
          <w:sz w:val="24"/>
          <w:highlight w:val="none"/>
        </w:rPr>
      </w:pPr>
      <w:r>
        <w:rPr>
          <w:rFonts w:hint="eastAsia" w:hAnsi="宋体" w:cs="宋体"/>
          <w:color w:val="auto"/>
          <w:sz w:val="24"/>
          <w:highlight w:val="none"/>
        </w:rPr>
        <w:t>3、表格中“偏离”一列，供应商只能如实填写“正偏离”、“负偏离”或“无偏离”。</w:t>
      </w:r>
      <w:r>
        <w:rPr>
          <w:rFonts w:hint="eastAsia" w:hAnsi="宋体" w:cs="宋体"/>
          <w:b/>
          <w:bCs/>
          <w:color w:val="auto"/>
          <w:sz w:val="24"/>
          <w:highlight w:val="none"/>
        </w:rPr>
        <w:t>凡提供投标产品配置、规格或详细性能高于招标文件要求的，按“正偏离”填写；</w:t>
      </w:r>
      <w:r>
        <w:rPr>
          <w:rFonts w:hint="eastAsia" w:hAnsi="宋体" w:cs="宋体"/>
          <w:color w:val="auto"/>
          <w:sz w:val="24"/>
          <w:highlight w:val="none"/>
        </w:rPr>
        <w:t>低于招标文件要求的，按“负偏离”填写；满足招标文件要求的，按“无偏离”填写。</w:t>
      </w:r>
    </w:p>
    <w:p w14:paraId="24215981">
      <w:pPr>
        <w:pStyle w:val="18"/>
        <w:spacing w:line="600" w:lineRule="exact"/>
        <w:ind w:left="368" w:leftChars="175" w:firstLine="480"/>
        <w:rPr>
          <w:rFonts w:hint="eastAsia" w:hAnsi="宋体" w:cs="宋体"/>
          <w:color w:val="auto"/>
          <w:sz w:val="24"/>
          <w:highlight w:val="none"/>
        </w:rPr>
      </w:pPr>
      <w:r>
        <w:rPr>
          <w:rFonts w:hint="eastAsia" w:hAnsi="宋体" w:cs="宋体"/>
          <w:color w:val="auto"/>
          <w:sz w:val="24"/>
          <w:highlight w:val="none"/>
        </w:rPr>
        <w:t>4、</w:t>
      </w:r>
      <w:r>
        <w:rPr>
          <w:rFonts w:hint="eastAsia" w:hAnsi="宋体" w:cs="宋体"/>
          <w:b/>
          <w:bCs/>
          <w:color w:val="auto"/>
          <w:sz w:val="24"/>
          <w:highlight w:val="none"/>
        </w:rPr>
        <w:t>表格中“说明”部分，若有偏离，则填写偏离指标。</w:t>
      </w:r>
      <w:r>
        <w:rPr>
          <w:rFonts w:hint="eastAsia" w:hAnsi="宋体" w:cs="宋体"/>
          <w:color w:val="auto"/>
          <w:sz w:val="24"/>
          <w:highlight w:val="none"/>
        </w:rPr>
        <w:t>若无偏离，则不填写内容。</w:t>
      </w:r>
    </w:p>
    <w:p w14:paraId="04923770">
      <w:pPr>
        <w:pStyle w:val="18"/>
        <w:spacing w:line="600" w:lineRule="exact"/>
        <w:ind w:left="368" w:leftChars="175" w:firstLine="482"/>
        <w:rPr>
          <w:rFonts w:hint="eastAsia" w:hAnsi="宋体" w:cs="宋体"/>
          <w:b/>
          <w:bCs/>
          <w:color w:val="auto"/>
          <w:sz w:val="24"/>
          <w:szCs w:val="24"/>
          <w:highlight w:val="none"/>
        </w:rPr>
      </w:pPr>
      <w:r>
        <w:rPr>
          <w:rFonts w:hint="eastAsia" w:hAnsi="宋体" w:cs="宋体"/>
          <w:b/>
          <w:bCs/>
          <w:color w:val="auto"/>
          <w:sz w:val="24"/>
          <w:highlight w:val="none"/>
        </w:rPr>
        <w:t>5、</w:t>
      </w:r>
      <w:r>
        <w:rPr>
          <w:rFonts w:hint="eastAsia" w:hAnsi="宋体" w:cs="宋体"/>
          <w:b/>
          <w:bCs/>
          <w:color w:val="auto"/>
          <w:sz w:val="24"/>
          <w:szCs w:val="24"/>
          <w:highlight w:val="none"/>
        </w:rPr>
        <w:t>“性能相当或优于”指提供零部件①技术指标相当或优于列举产品且质保期等于或长于列举产品；②销售量高于列举产品。正偏项需提供数据对比表或证明材料。</w:t>
      </w:r>
    </w:p>
    <w:p w14:paraId="3D100779">
      <w:pPr>
        <w:pStyle w:val="18"/>
        <w:spacing w:line="600" w:lineRule="exact"/>
        <w:ind w:left="368" w:leftChars="175" w:firstLine="480"/>
        <w:rPr>
          <w:rFonts w:hint="eastAsia" w:hAnsi="宋体" w:cs="宋体"/>
          <w:color w:val="auto"/>
          <w:sz w:val="24"/>
          <w:highlight w:val="none"/>
        </w:rPr>
      </w:pPr>
    </w:p>
    <w:p w14:paraId="44CAB6D4">
      <w:pPr>
        <w:pStyle w:val="18"/>
        <w:spacing w:line="600" w:lineRule="exact"/>
        <w:ind w:left="368" w:leftChars="175" w:firstLine="480"/>
        <w:rPr>
          <w:rFonts w:hint="eastAsia" w:hAnsi="宋体" w:cs="宋体"/>
          <w:color w:val="auto"/>
          <w:sz w:val="24"/>
          <w:highlight w:val="none"/>
        </w:rPr>
      </w:pPr>
    </w:p>
    <w:tbl>
      <w:tblPr>
        <w:tblStyle w:val="34"/>
        <w:tblW w:w="0" w:type="auto"/>
        <w:jc w:val="right"/>
        <w:tblLayout w:type="fixed"/>
        <w:tblCellMar>
          <w:top w:w="0" w:type="dxa"/>
          <w:left w:w="108" w:type="dxa"/>
          <w:bottom w:w="0" w:type="dxa"/>
          <w:right w:w="108" w:type="dxa"/>
        </w:tblCellMar>
      </w:tblPr>
      <w:tblGrid>
        <w:gridCol w:w="1635"/>
        <w:gridCol w:w="4425"/>
      </w:tblGrid>
      <w:tr w14:paraId="25DCC9E2">
        <w:trPr>
          <w:trHeight w:val="446" w:hRule="atLeast"/>
          <w:jc w:val="right"/>
        </w:trPr>
        <w:tc>
          <w:tcPr>
            <w:tcW w:w="1635" w:type="dxa"/>
          </w:tcPr>
          <w:p w14:paraId="11968BD4">
            <w:pPr>
              <w:pStyle w:val="158"/>
              <w:ind w:firstLine="0" w:firstLineChars="0"/>
              <w:jc w:val="both"/>
              <w:rPr>
                <w:rFonts w:hint="eastAsia" w:hAnsi="宋体" w:cs="宋体"/>
                <w:color w:val="auto"/>
                <w:szCs w:val="24"/>
                <w:highlight w:val="none"/>
              </w:rPr>
            </w:pPr>
            <w:r>
              <w:rPr>
                <w:rFonts w:hint="eastAsia" w:hAnsi="宋体" w:cs="宋体"/>
                <w:color w:val="auto"/>
                <w:szCs w:val="24"/>
                <w:highlight w:val="none"/>
              </w:rPr>
              <w:t>投标人：</w:t>
            </w:r>
          </w:p>
        </w:tc>
        <w:tc>
          <w:tcPr>
            <w:tcW w:w="4425" w:type="dxa"/>
            <w:tcBorders>
              <w:bottom w:val="single" w:color="auto" w:sz="4" w:space="0"/>
            </w:tcBorders>
          </w:tcPr>
          <w:p w14:paraId="36D578FF">
            <w:pPr>
              <w:pStyle w:val="158"/>
              <w:ind w:firstLine="0" w:firstLineChars="0"/>
              <w:rPr>
                <w:rFonts w:hint="eastAsia" w:hAnsi="宋体" w:cs="宋体"/>
                <w:color w:val="auto"/>
                <w:szCs w:val="24"/>
                <w:highlight w:val="none"/>
              </w:rPr>
            </w:pPr>
            <w:r>
              <w:rPr>
                <w:rFonts w:hint="eastAsia" w:hAnsi="宋体" w:cs="宋体"/>
                <w:color w:val="auto"/>
                <w:szCs w:val="24"/>
                <w:highlight w:val="none"/>
              </w:rPr>
              <w:t>（电子签章）</w:t>
            </w:r>
          </w:p>
        </w:tc>
      </w:tr>
      <w:tr w14:paraId="1E8F6B2A">
        <w:tblPrEx>
          <w:tblCellMar>
            <w:top w:w="0" w:type="dxa"/>
            <w:left w:w="108" w:type="dxa"/>
            <w:bottom w:w="0" w:type="dxa"/>
            <w:right w:w="108" w:type="dxa"/>
          </w:tblCellMar>
        </w:tblPrEx>
        <w:trPr>
          <w:trHeight w:val="455" w:hRule="atLeast"/>
          <w:jc w:val="right"/>
        </w:trPr>
        <w:tc>
          <w:tcPr>
            <w:tcW w:w="1635" w:type="dxa"/>
          </w:tcPr>
          <w:p w14:paraId="38110620">
            <w:pPr>
              <w:pStyle w:val="158"/>
              <w:ind w:firstLine="0" w:firstLineChars="0"/>
              <w:jc w:val="both"/>
              <w:rPr>
                <w:rFonts w:hint="eastAsia" w:hAnsi="宋体" w:cs="宋体"/>
                <w:color w:val="auto"/>
                <w:szCs w:val="24"/>
                <w:highlight w:val="none"/>
              </w:rPr>
            </w:pPr>
            <w:r>
              <w:rPr>
                <w:rFonts w:hint="eastAsia" w:hAnsi="宋体" w:cs="宋体"/>
                <w:color w:val="auto"/>
                <w:szCs w:val="24"/>
                <w:highlight w:val="none"/>
              </w:rPr>
              <w:t>法定代表人：</w:t>
            </w:r>
          </w:p>
        </w:tc>
        <w:tc>
          <w:tcPr>
            <w:tcW w:w="4425" w:type="dxa"/>
            <w:tcBorders>
              <w:bottom w:val="single" w:color="auto" w:sz="4" w:space="0"/>
            </w:tcBorders>
          </w:tcPr>
          <w:p w14:paraId="4BD3D919">
            <w:pPr>
              <w:pStyle w:val="158"/>
              <w:ind w:firstLine="0" w:firstLineChars="0"/>
              <w:rPr>
                <w:rFonts w:hint="eastAsia" w:hAnsi="宋体" w:cs="宋体"/>
                <w:color w:val="auto"/>
                <w:szCs w:val="24"/>
                <w:highlight w:val="none"/>
              </w:rPr>
            </w:pPr>
            <w:r>
              <w:rPr>
                <w:rFonts w:hint="eastAsia" w:hAnsi="宋体" w:cs="宋体"/>
                <w:color w:val="auto"/>
                <w:szCs w:val="24"/>
                <w:highlight w:val="none"/>
              </w:rPr>
              <w:t>（电子签章）</w:t>
            </w:r>
          </w:p>
        </w:tc>
      </w:tr>
      <w:tr w14:paraId="7FD6B973">
        <w:tblPrEx>
          <w:tblCellMar>
            <w:top w:w="0" w:type="dxa"/>
            <w:left w:w="108" w:type="dxa"/>
            <w:bottom w:w="0" w:type="dxa"/>
            <w:right w:w="108" w:type="dxa"/>
          </w:tblCellMar>
        </w:tblPrEx>
        <w:trPr>
          <w:trHeight w:val="455" w:hRule="atLeast"/>
          <w:jc w:val="right"/>
        </w:trPr>
        <w:tc>
          <w:tcPr>
            <w:tcW w:w="1635" w:type="dxa"/>
          </w:tcPr>
          <w:p w14:paraId="6FA18431">
            <w:pPr>
              <w:pStyle w:val="158"/>
              <w:ind w:firstLine="0" w:firstLineChars="0"/>
              <w:jc w:val="both"/>
              <w:rPr>
                <w:rFonts w:hint="eastAsia" w:hAnsi="宋体" w:cs="宋体"/>
                <w:color w:val="auto"/>
                <w:szCs w:val="24"/>
                <w:highlight w:val="none"/>
              </w:rPr>
            </w:pPr>
            <w:r>
              <w:rPr>
                <w:rFonts w:hint="eastAsia" w:hAnsi="宋体" w:cs="宋体"/>
                <w:color w:val="auto"/>
                <w:szCs w:val="24"/>
                <w:highlight w:val="none"/>
              </w:rPr>
              <w:t>日期：</w:t>
            </w:r>
          </w:p>
        </w:tc>
        <w:tc>
          <w:tcPr>
            <w:tcW w:w="4425" w:type="dxa"/>
            <w:tcBorders>
              <w:top w:val="single" w:color="auto" w:sz="4" w:space="0"/>
              <w:bottom w:val="single" w:color="auto" w:sz="4" w:space="0"/>
            </w:tcBorders>
          </w:tcPr>
          <w:p w14:paraId="088D10EC">
            <w:pPr>
              <w:pStyle w:val="158"/>
              <w:ind w:firstLine="0" w:firstLineChars="0"/>
              <w:rPr>
                <w:rFonts w:hint="eastAsia" w:hAnsi="宋体" w:cs="宋体"/>
                <w:color w:val="auto"/>
                <w:szCs w:val="24"/>
                <w:highlight w:val="none"/>
              </w:rPr>
            </w:pPr>
          </w:p>
        </w:tc>
      </w:tr>
      <w:tr w14:paraId="30EED685">
        <w:tblPrEx>
          <w:tblCellMar>
            <w:top w:w="0" w:type="dxa"/>
            <w:left w:w="108" w:type="dxa"/>
            <w:bottom w:w="0" w:type="dxa"/>
            <w:right w:w="108" w:type="dxa"/>
          </w:tblCellMar>
        </w:tblPrEx>
        <w:trPr>
          <w:trHeight w:val="455" w:hRule="atLeast"/>
          <w:jc w:val="right"/>
        </w:trPr>
        <w:tc>
          <w:tcPr>
            <w:tcW w:w="1635" w:type="dxa"/>
          </w:tcPr>
          <w:p w14:paraId="4CAC5708">
            <w:pPr>
              <w:pStyle w:val="158"/>
              <w:ind w:firstLine="0" w:firstLineChars="0"/>
              <w:jc w:val="both"/>
              <w:rPr>
                <w:rFonts w:hint="eastAsia" w:hAnsi="宋体" w:cs="宋体"/>
                <w:color w:val="auto"/>
                <w:szCs w:val="24"/>
                <w:highlight w:val="none"/>
              </w:rPr>
            </w:pPr>
            <w:r>
              <w:rPr>
                <w:rFonts w:hint="eastAsia" w:hAnsi="宋体" w:cs="宋体"/>
                <w:color w:val="auto"/>
                <w:szCs w:val="24"/>
                <w:highlight w:val="none"/>
              </w:rPr>
              <w:t>地址：</w:t>
            </w:r>
          </w:p>
        </w:tc>
        <w:tc>
          <w:tcPr>
            <w:tcW w:w="4425" w:type="dxa"/>
            <w:tcBorders>
              <w:top w:val="single" w:color="auto" w:sz="4" w:space="0"/>
              <w:bottom w:val="single" w:color="auto" w:sz="4" w:space="0"/>
            </w:tcBorders>
          </w:tcPr>
          <w:p w14:paraId="13AF60EA">
            <w:pPr>
              <w:pStyle w:val="158"/>
              <w:ind w:firstLine="0" w:firstLineChars="0"/>
              <w:rPr>
                <w:rFonts w:hint="eastAsia" w:hAnsi="宋体" w:cs="宋体"/>
                <w:color w:val="auto"/>
                <w:szCs w:val="24"/>
                <w:highlight w:val="none"/>
              </w:rPr>
            </w:pPr>
          </w:p>
        </w:tc>
      </w:tr>
      <w:tr w14:paraId="36E6EFD3">
        <w:tblPrEx>
          <w:tblCellMar>
            <w:top w:w="0" w:type="dxa"/>
            <w:left w:w="108" w:type="dxa"/>
            <w:bottom w:w="0" w:type="dxa"/>
            <w:right w:w="108" w:type="dxa"/>
          </w:tblCellMar>
        </w:tblPrEx>
        <w:trPr>
          <w:trHeight w:val="455" w:hRule="atLeast"/>
          <w:jc w:val="right"/>
        </w:trPr>
        <w:tc>
          <w:tcPr>
            <w:tcW w:w="1635" w:type="dxa"/>
          </w:tcPr>
          <w:p w14:paraId="44715158">
            <w:pPr>
              <w:pStyle w:val="158"/>
              <w:ind w:firstLine="0" w:firstLineChars="0"/>
              <w:jc w:val="both"/>
              <w:rPr>
                <w:rFonts w:hint="eastAsia" w:hAnsi="宋体" w:cs="宋体"/>
                <w:color w:val="auto"/>
                <w:szCs w:val="24"/>
                <w:highlight w:val="none"/>
              </w:rPr>
            </w:pPr>
            <w:r>
              <w:rPr>
                <w:rFonts w:hint="eastAsia" w:hAnsi="宋体" w:cs="宋体"/>
                <w:color w:val="auto"/>
                <w:szCs w:val="24"/>
                <w:highlight w:val="none"/>
              </w:rPr>
              <w:t>邮编：</w:t>
            </w:r>
          </w:p>
        </w:tc>
        <w:tc>
          <w:tcPr>
            <w:tcW w:w="4425" w:type="dxa"/>
            <w:tcBorders>
              <w:top w:val="single" w:color="auto" w:sz="4" w:space="0"/>
              <w:bottom w:val="single" w:color="auto" w:sz="4" w:space="0"/>
            </w:tcBorders>
          </w:tcPr>
          <w:p w14:paraId="6FC3A376">
            <w:pPr>
              <w:pStyle w:val="158"/>
              <w:ind w:firstLine="0" w:firstLineChars="0"/>
              <w:rPr>
                <w:rFonts w:hint="eastAsia" w:hAnsi="宋体" w:cs="宋体"/>
                <w:color w:val="auto"/>
                <w:szCs w:val="24"/>
                <w:highlight w:val="none"/>
              </w:rPr>
            </w:pPr>
          </w:p>
        </w:tc>
      </w:tr>
      <w:tr w14:paraId="4786DC24">
        <w:tblPrEx>
          <w:tblCellMar>
            <w:top w:w="0" w:type="dxa"/>
            <w:left w:w="108" w:type="dxa"/>
            <w:bottom w:w="0" w:type="dxa"/>
            <w:right w:w="108" w:type="dxa"/>
          </w:tblCellMar>
        </w:tblPrEx>
        <w:trPr>
          <w:trHeight w:val="455" w:hRule="atLeast"/>
          <w:jc w:val="right"/>
        </w:trPr>
        <w:tc>
          <w:tcPr>
            <w:tcW w:w="1635" w:type="dxa"/>
          </w:tcPr>
          <w:p w14:paraId="7DDA1E1F">
            <w:pPr>
              <w:pStyle w:val="158"/>
              <w:ind w:firstLine="0" w:firstLineChars="0"/>
              <w:jc w:val="both"/>
              <w:rPr>
                <w:rFonts w:hint="eastAsia" w:hAnsi="宋体" w:cs="宋体"/>
                <w:color w:val="auto"/>
                <w:szCs w:val="24"/>
                <w:highlight w:val="none"/>
              </w:rPr>
            </w:pPr>
            <w:r>
              <w:rPr>
                <w:rFonts w:hint="eastAsia" w:hAnsi="宋体" w:cs="宋体"/>
                <w:color w:val="auto"/>
                <w:szCs w:val="24"/>
                <w:highlight w:val="none"/>
              </w:rPr>
              <w:t>电话：</w:t>
            </w:r>
          </w:p>
        </w:tc>
        <w:tc>
          <w:tcPr>
            <w:tcW w:w="4425" w:type="dxa"/>
            <w:tcBorders>
              <w:top w:val="single" w:color="auto" w:sz="4" w:space="0"/>
              <w:bottom w:val="single" w:color="auto" w:sz="4" w:space="0"/>
            </w:tcBorders>
          </w:tcPr>
          <w:p w14:paraId="1A1E1CA7">
            <w:pPr>
              <w:pStyle w:val="158"/>
              <w:ind w:firstLine="0" w:firstLineChars="0"/>
              <w:rPr>
                <w:rFonts w:hint="eastAsia" w:hAnsi="宋体" w:cs="宋体"/>
                <w:color w:val="auto"/>
                <w:szCs w:val="24"/>
                <w:highlight w:val="none"/>
              </w:rPr>
            </w:pPr>
          </w:p>
        </w:tc>
      </w:tr>
      <w:tr w14:paraId="5415E979">
        <w:tblPrEx>
          <w:tblCellMar>
            <w:top w:w="0" w:type="dxa"/>
            <w:left w:w="108" w:type="dxa"/>
            <w:bottom w:w="0" w:type="dxa"/>
            <w:right w:w="108" w:type="dxa"/>
          </w:tblCellMar>
        </w:tblPrEx>
        <w:trPr>
          <w:trHeight w:val="464" w:hRule="atLeast"/>
          <w:jc w:val="right"/>
        </w:trPr>
        <w:tc>
          <w:tcPr>
            <w:tcW w:w="1635" w:type="dxa"/>
          </w:tcPr>
          <w:p w14:paraId="22354035">
            <w:pPr>
              <w:pStyle w:val="158"/>
              <w:ind w:firstLine="0" w:firstLineChars="0"/>
              <w:jc w:val="both"/>
              <w:rPr>
                <w:rFonts w:hint="eastAsia" w:hAnsi="宋体" w:cs="宋体"/>
                <w:color w:val="auto"/>
                <w:szCs w:val="24"/>
                <w:highlight w:val="none"/>
              </w:rPr>
            </w:pPr>
            <w:r>
              <w:rPr>
                <w:rFonts w:hint="eastAsia" w:hAnsi="宋体" w:cs="宋体"/>
                <w:color w:val="auto"/>
                <w:szCs w:val="24"/>
                <w:highlight w:val="none"/>
              </w:rPr>
              <w:t>传真：</w:t>
            </w:r>
          </w:p>
        </w:tc>
        <w:tc>
          <w:tcPr>
            <w:tcW w:w="4425" w:type="dxa"/>
            <w:tcBorders>
              <w:top w:val="single" w:color="auto" w:sz="4" w:space="0"/>
              <w:bottom w:val="single" w:color="auto" w:sz="4" w:space="0"/>
            </w:tcBorders>
          </w:tcPr>
          <w:p w14:paraId="5FDFE571">
            <w:pPr>
              <w:pStyle w:val="158"/>
              <w:ind w:firstLine="0" w:firstLineChars="0"/>
              <w:rPr>
                <w:rFonts w:hint="eastAsia" w:hAnsi="宋体" w:cs="宋体"/>
                <w:color w:val="auto"/>
                <w:szCs w:val="24"/>
                <w:highlight w:val="none"/>
              </w:rPr>
            </w:pPr>
          </w:p>
        </w:tc>
      </w:tr>
    </w:tbl>
    <w:p w14:paraId="5D5475C6">
      <w:pPr>
        <w:pStyle w:val="158"/>
        <w:ind w:firstLine="0" w:firstLineChars="0"/>
        <w:jc w:val="both"/>
        <w:rPr>
          <w:rFonts w:hint="eastAsia" w:hAnsi="宋体" w:cs="宋体"/>
          <w:color w:val="auto"/>
          <w:szCs w:val="24"/>
          <w:highlight w:val="none"/>
        </w:rPr>
      </w:pPr>
      <w:bookmarkStart w:id="122" w:name="_Toc417634883"/>
      <w:bookmarkStart w:id="123" w:name="_Toc387152566"/>
      <w:bookmarkStart w:id="124" w:name="_Toc382467322"/>
      <w:bookmarkStart w:id="125" w:name="_Toc24420"/>
      <w:bookmarkStart w:id="126" w:name="_Toc29812"/>
    </w:p>
    <w:p w14:paraId="6161CC8E">
      <w:pPr>
        <w:pStyle w:val="158"/>
        <w:ind w:firstLine="0" w:firstLineChars="0"/>
        <w:jc w:val="both"/>
        <w:rPr>
          <w:rFonts w:hint="eastAsia" w:hAnsi="宋体" w:cs="宋体"/>
          <w:color w:val="auto"/>
          <w:szCs w:val="24"/>
          <w:highlight w:val="none"/>
        </w:rPr>
      </w:pPr>
    </w:p>
    <w:bookmarkEnd w:id="122"/>
    <w:bookmarkEnd w:id="123"/>
    <w:bookmarkEnd w:id="124"/>
    <w:bookmarkEnd w:id="125"/>
    <w:bookmarkEnd w:id="126"/>
    <w:p w14:paraId="2B2DBFC4">
      <w:pPr>
        <w:pStyle w:val="168"/>
        <w:snapToGrid w:val="0"/>
        <w:spacing w:before="0" w:after="0" w:line="600" w:lineRule="exact"/>
        <w:ind w:left="342" w:hanging="343" w:hangingChars="122"/>
        <w:outlineLvl w:val="2"/>
        <w:rPr>
          <w:rFonts w:hint="eastAsia" w:ascii="宋体" w:hAnsi="宋体" w:cs="宋体"/>
          <w:color w:val="auto"/>
          <w:spacing w:val="10"/>
          <w:szCs w:val="24"/>
          <w:highlight w:val="none"/>
        </w:rPr>
      </w:pPr>
      <w:r>
        <w:rPr>
          <w:rFonts w:hint="eastAsia" w:ascii="宋体" w:hAnsi="宋体" w:cs="宋体"/>
          <w:color w:val="auto"/>
          <w:szCs w:val="24"/>
          <w:highlight w:val="none"/>
        </w:rPr>
        <w:br w:type="page"/>
      </w:r>
      <w:bookmarkStart w:id="127" w:name="_Toc1179"/>
      <w:bookmarkStart w:id="128" w:name="_Toc382467324"/>
      <w:bookmarkStart w:id="129" w:name="_Toc417634885"/>
      <w:bookmarkStart w:id="130" w:name="_Toc19765"/>
      <w:bookmarkStart w:id="131" w:name="_Toc387152568"/>
      <w:bookmarkStart w:id="132" w:name="_Toc13904"/>
      <w:bookmarkStart w:id="133" w:name="_Toc8720"/>
      <w:r>
        <w:rPr>
          <w:rFonts w:hint="eastAsia" w:ascii="宋体" w:hAnsi="宋体" w:cs="宋体"/>
          <w:color w:val="auto"/>
          <w:spacing w:val="10"/>
          <w:szCs w:val="24"/>
          <w:highlight w:val="none"/>
        </w:rPr>
        <w:t>二、</w:t>
      </w:r>
      <w:bookmarkEnd w:id="127"/>
      <w:bookmarkEnd w:id="128"/>
      <w:bookmarkEnd w:id="129"/>
      <w:bookmarkEnd w:id="130"/>
      <w:bookmarkEnd w:id="131"/>
      <w:r>
        <w:rPr>
          <w:rFonts w:hint="eastAsia" w:ascii="宋体" w:hAnsi="宋体" w:cs="宋体"/>
          <w:color w:val="auto"/>
          <w:spacing w:val="10"/>
          <w:szCs w:val="24"/>
          <w:highlight w:val="none"/>
        </w:rPr>
        <w:t>综合响应能力</w:t>
      </w:r>
      <w:bookmarkEnd w:id="132"/>
      <w:bookmarkEnd w:id="133"/>
    </w:p>
    <w:p w14:paraId="4A327EE3">
      <w:pPr>
        <w:pStyle w:val="18"/>
        <w:spacing w:line="600" w:lineRule="exact"/>
        <w:ind w:left="368" w:leftChars="175" w:firstLine="480"/>
        <w:rPr>
          <w:rFonts w:hint="eastAsia" w:hAnsi="宋体" w:cs="宋体"/>
          <w:color w:val="auto"/>
          <w:sz w:val="24"/>
          <w:szCs w:val="24"/>
          <w:highlight w:val="none"/>
        </w:rPr>
      </w:pPr>
      <w:r>
        <w:rPr>
          <w:rFonts w:hint="eastAsia" w:hAnsi="宋体" w:cs="宋体"/>
          <w:color w:val="auto"/>
          <w:sz w:val="24"/>
          <w:szCs w:val="24"/>
          <w:highlight w:val="none"/>
        </w:rPr>
        <w:t>（一）投标人所投品牌生产制造商具有客车实验能力；具有有效期内的质量管理体系、环境管理体系证书、国家强制性产品认证证书（在有效期内）、具有权威部门对所投车辆的检验（检测）报告等扫描件；</w:t>
      </w:r>
    </w:p>
    <w:p w14:paraId="425B3F3C">
      <w:pPr>
        <w:pStyle w:val="18"/>
        <w:spacing w:line="600" w:lineRule="exact"/>
        <w:ind w:left="368" w:leftChars="175" w:firstLine="480"/>
        <w:rPr>
          <w:rFonts w:hint="eastAsia" w:hAnsi="宋体" w:cs="宋体"/>
          <w:color w:val="auto"/>
          <w:sz w:val="24"/>
          <w:szCs w:val="24"/>
          <w:highlight w:val="none"/>
        </w:rPr>
      </w:pPr>
      <w:r>
        <w:rPr>
          <w:rFonts w:hint="eastAsia" w:hAnsi="宋体" w:cs="宋体"/>
          <w:color w:val="auto"/>
          <w:sz w:val="24"/>
          <w:szCs w:val="24"/>
          <w:highlight w:val="none"/>
        </w:rPr>
        <w:t>（二）车辆的稳定性、故障率、服务情况、产品的生产厂家设备的技术和工艺先进性、安全性、可靠性、经济性等说明；</w:t>
      </w:r>
    </w:p>
    <w:p w14:paraId="08369923">
      <w:pPr>
        <w:pStyle w:val="18"/>
        <w:spacing w:line="600" w:lineRule="exact"/>
        <w:ind w:left="368" w:leftChars="175" w:firstLine="480"/>
        <w:rPr>
          <w:rFonts w:hint="eastAsia" w:hAnsi="宋体" w:cs="宋体"/>
          <w:color w:val="auto"/>
          <w:sz w:val="24"/>
          <w:szCs w:val="24"/>
          <w:highlight w:val="none"/>
        </w:rPr>
      </w:pPr>
      <w:r>
        <w:rPr>
          <w:rFonts w:hint="eastAsia" w:hAnsi="宋体" w:cs="宋体"/>
          <w:color w:val="auto"/>
          <w:sz w:val="24"/>
          <w:szCs w:val="24"/>
          <w:highlight w:val="none"/>
        </w:rPr>
        <w:t>（三）培训、质保内容和售后服务、交货期说明；</w:t>
      </w:r>
    </w:p>
    <w:p w14:paraId="57EE7217">
      <w:pPr>
        <w:pStyle w:val="18"/>
        <w:spacing w:line="600" w:lineRule="exact"/>
        <w:ind w:left="368" w:leftChars="175" w:firstLine="480"/>
        <w:rPr>
          <w:rFonts w:hint="eastAsia" w:hAnsi="宋体" w:cs="宋体"/>
          <w:color w:val="auto"/>
          <w:sz w:val="24"/>
          <w:szCs w:val="24"/>
          <w:highlight w:val="none"/>
        </w:rPr>
      </w:pPr>
      <w:r>
        <w:rPr>
          <w:rFonts w:hint="eastAsia" w:hAnsi="宋体" w:cs="宋体"/>
          <w:color w:val="auto"/>
          <w:sz w:val="24"/>
          <w:szCs w:val="24"/>
          <w:highlight w:val="none"/>
        </w:rPr>
        <w:t>（四）必须对如下内容进行承诺：</w:t>
      </w:r>
    </w:p>
    <w:p w14:paraId="6F1C57C7">
      <w:pPr>
        <w:pStyle w:val="18"/>
        <w:spacing w:line="600" w:lineRule="exact"/>
        <w:ind w:left="368" w:leftChars="175" w:firstLine="480"/>
        <w:rPr>
          <w:rFonts w:hint="eastAsia" w:hAnsi="宋体" w:cs="宋体"/>
          <w:color w:val="auto"/>
          <w:sz w:val="24"/>
          <w:szCs w:val="24"/>
          <w:highlight w:val="none"/>
        </w:rPr>
      </w:pPr>
      <w:r>
        <w:rPr>
          <w:rFonts w:hint="eastAsia" w:hAnsi="宋体" w:cs="宋体"/>
          <w:color w:val="auto"/>
          <w:sz w:val="24"/>
          <w:szCs w:val="24"/>
          <w:highlight w:val="none"/>
        </w:rPr>
        <w:t>1、在昆明是否设立有保障能力和维修配件的专业维修及配件供应点</w:t>
      </w:r>
    </w:p>
    <w:p w14:paraId="3FE5FF56">
      <w:pPr>
        <w:pStyle w:val="18"/>
        <w:spacing w:line="600" w:lineRule="exact"/>
        <w:ind w:left="368" w:leftChars="175" w:firstLine="480"/>
        <w:rPr>
          <w:rFonts w:hint="eastAsia" w:hAnsi="宋体" w:cs="宋体"/>
          <w:color w:val="auto"/>
          <w:sz w:val="24"/>
          <w:szCs w:val="24"/>
          <w:highlight w:val="none"/>
        </w:rPr>
      </w:pPr>
      <w:r>
        <w:rPr>
          <w:rFonts w:hint="eastAsia" w:hAnsi="宋体" w:cs="宋体"/>
          <w:color w:val="auto"/>
          <w:sz w:val="24"/>
          <w:szCs w:val="24"/>
          <w:highlight w:val="none"/>
        </w:rPr>
        <w:t>2、维修点设定</w:t>
      </w:r>
    </w:p>
    <w:p w14:paraId="4C9C3D1B">
      <w:pPr>
        <w:pStyle w:val="18"/>
        <w:spacing w:line="600" w:lineRule="exact"/>
        <w:ind w:left="368" w:leftChars="175" w:firstLine="480"/>
        <w:rPr>
          <w:rFonts w:hint="eastAsia" w:hAnsi="宋体" w:cs="宋体"/>
          <w:color w:val="auto"/>
          <w:sz w:val="24"/>
          <w:szCs w:val="24"/>
          <w:highlight w:val="none"/>
        </w:rPr>
      </w:pPr>
      <w:r>
        <w:rPr>
          <w:rFonts w:hint="eastAsia" w:hAnsi="宋体" w:cs="宋体"/>
          <w:color w:val="auto"/>
          <w:sz w:val="24"/>
          <w:szCs w:val="24"/>
          <w:highlight w:val="none"/>
        </w:rPr>
        <w:t>3、质保年限</w:t>
      </w:r>
    </w:p>
    <w:p w14:paraId="40DA4171">
      <w:pPr>
        <w:pStyle w:val="18"/>
        <w:spacing w:line="600" w:lineRule="exact"/>
        <w:ind w:left="368" w:leftChars="175" w:firstLine="480"/>
        <w:rPr>
          <w:rFonts w:hint="eastAsia" w:hAnsi="宋体" w:cs="宋体"/>
          <w:color w:val="auto"/>
          <w:sz w:val="24"/>
          <w:szCs w:val="24"/>
          <w:highlight w:val="none"/>
        </w:rPr>
      </w:pPr>
      <w:r>
        <w:rPr>
          <w:rFonts w:hint="eastAsia" w:hAnsi="宋体" w:cs="宋体"/>
          <w:color w:val="auto"/>
          <w:sz w:val="24"/>
          <w:szCs w:val="24"/>
          <w:highlight w:val="none"/>
        </w:rPr>
        <w:t>4、空调质保年限</w:t>
      </w:r>
    </w:p>
    <w:p w14:paraId="16DF5D74">
      <w:pPr>
        <w:pStyle w:val="18"/>
        <w:spacing w:line="600" w:lineRule="exact"/>
        <w:ind w:left="368" w:leftChars="175" w:firstLine="480"/>
        <w:rPr>
          <w:rFonts w:hint="eastAsia" w:hAnsi="宋体" w:cs="宋体"/>
          <w:color w:val="auto"/>
          <w:sz w:val="24"/>
          <w:szCs w:val="24"/>
          <w:highlight w:val="none"/>
        </w:rPr>
      </w:pPr>
      <w:r>
        <w:rPr>
          <w:rFonts w:hint="eastAsia" w:hAnsi="宋体" w:cs="宋体"/>
          <w:color w:val="auto"/>
          <w:sz w:val="24"/>
          <w:szCs w:val="24"/>
          <w:highlight w:val="none"/>
        </w:rPr>
        <w:t>（五）</w:t>
      </w:r>
      <w:bookmarkStart w:id="134" w:name="_Toc25204"/>
      <w:bookmarkStart w:id="135" w:name="_Toc382467327"/>
      <w:bookmarkStart w:id="136" w:name="_Toc387152571"/>
      <w:bookmarkStart w:id="137" w:name="_Toc9507"/>
      <w:bookmarkStart w:id="138" w:name="_Toc417634888"/>
      <w:r>
        <w:rPr>
          <w:rFonts w:hint="eastAsia" w:hAnsi="宋体" w:cs="宋体"/>
          <w:color w:val="auto"/>
          <w:sz w:val="24"/>
          <w:szCs w:val="24"/>
          <w:highlight w:val="none"/>
        </w:rPr>
        <w:t>投标人认为需要提供的其他技术材料</w:t>
      </w:r>
      <w:bookmarkEnd w:id="134"/>
      <w:bookmarkEnd w:id="135"/>
      <w:bookmarkEnd w:id="136"/>
      <w:bookmarkEnd w:id="137"/>
      <w:bookmarkEnd w:id="138"/>
    </w:p>
    <w:p w14:paraId="2B7016AB">
      <w:pPr>
        <w:pStyle w:val="18"/>
        <w:spacing w:line="600" w:lineRule="exact"/>
        <w:ind w:left="368" w:leftChars="175" w:firstLine="480"/>
        <w:rPr>
          <w:rFonts w:hint="eastAsia" w:hAnsi="宋体" w:cs="宋体"/>
          <w:color w:val="auto"/>
          <w:sz w:val="24"/>
          <w:szCs w:val="24"/>
          <w:highlight w:val="none"/>
        </w:rPr>
      </w:pPr>
    </w:p>
    <w:p w14:paraId="3693B311">
      <w:pPr>
        <w:pStyle w:val="18"/>
        <w:spacing w:line="600" w:lineRule="exact"/>
        <w:ind w:left="368" w:leftChars="175" w:firstLine="480"/>
        <w:rPr>
          <w:rFonts w:hint="eastAsia" w:hAnsi="宋体" w:cs="宋体"/>
          <w:color w:val="auto"/>
          <w:sz w:val="24"/>
          <w:szCs w:val="24"/>
          <w:highlight w:val="none"/>
        </w:rPr>
      </w:pPr>
      <w:r>
        <w:rPr>
          <w:rFonts w:hint="eastAsia" w:hAnsi="宋体" w:cs="宋体"/>
          <w:color w:val="auto"/>
          <w:sz w:val="24"/>
          <w:szCs w:val="24"/>
          <w:highlight w:val="none"/>
        </w:rPr>
        <w:t>格式自拟</w:t>
      </w:r>
    </w:p>
    <w:p w14:paraId="03FAD50A">
      <w:pPr>
        <w:pStyle w:val="18"/>
        <w:spacing w:line="600" w:lineRule="exact"/>
        <w:ind w:left="368" w:leftChars="175" w:firstLine="480"/>
        <w:rPr>
          <w:rFonts w:hint="eastAsia" w:hAnsi="宋体" w:cs="宋体"/>
          <w:color w:val="auto"/>
          <w:sz w:val="24"/>
          <w:szCs w:val="24"/>
          <w:highlight w:val="none"/>
        </w:rPr>
      </w:pPr>
      <w:r>
        <w:rPr>
          <w:rFonts w:hint="eastAsia" w:hAnsi="宋体" w:cs="宋体"/>
          <w:color w:val="auto"/>
          <w:sz w:val="24"/>
          <w:szCs w:val="24"/>
          <w:highlight w:val="none"/>
        </w:rPr>
        <w:t>以上参照第三章及第五章内容编写</w:t>
      </w:r>
    </w:p>
    <w:p w14:paraId="6C6EED74">
      <w:pPr>
        <w:ind w:firstLine="0" w:firstLineChars="0"/>
        <w:rPr>
          <w:rFonts w:hint="eastAsia" w:ascii="宋体" w:hAnsi="宋体" w:cs="宋体"/>
          <w:b/>
          <w:color w:val="auto"/>
          <w:spacing w:val="-8"/>
          <w:kern w:val="44"/>
          <w:sz w:val="28"/>
          <w:highlight w:val="none"/>
        </w:rPr>
      </w:pPr>
    </w:p>
    <w:p w14:paraId="76EFA079">
      <w:pPr>
        <w:pStyle w:val="2"/>
        <w:ind w:firstLine="528"/>
        <w:rPr>
          <w:rFonts w:hint="eastAsia" w:ascii="宋体" w:hAnsi="宋体" w:eastAsia="宋体" w:cs="宋体"/>
          <w:b w:val="0"/>
          <w:color w:val="auto"/>
          <w:kern w:val="44"/>
          <w:sz w:val="28"/>
          <w:highlight w:val="none"/>
        </w:rPr>
      </w:pPr>
    </w:p>
    <w:p w14:paraId="4EB8E371">
      <w:pPr>
        <w:pStyle w:val="2"/>
        <w:ind w:firstLine="528"/>
        <w:rPr>
          <w:rFonts w:hint="eastAsia" w:ascii="宋体" w:hAnsi="宋体" w:eastAsia="宋体" w:cs="宋体"/>
          <w:b w:val="0"/>
          <w:color w:val="auto"/>
          <w:kern w:val="44"/>
          <w:sz w:val="28"/>
          <w:highlight w:val="none"/>
        </w:rPr>
      </w:pPr>
    </w:p>
    <w:p w14:paraId="55E134DE">
      <w:pPr>
        <w:pStyle w:val="2"/>
        <w:ind w:firstLine="528"/>
        <w:rPr>
          <w:rFonts w:hint="eastAsia" w:ascii="宋体" w:hAnsi="宋体" w:eastAsia="宋体" w:cs="宋体"/>
          <w:b w:val="0"/>
          <w:color w:val="auto"/>
          <w:kern w:val="44"/>
          <w:sz w:val="28"/>
          <w:highlight w:val="none"/>
        </w:rPr>
      </w:pPr>
    </w:p>
    <w:p w14:paraId="2C16550F">
      <w:pPr>
        <w:widowControl/>
        <w:tabs>
          <w:tab w:val="left" w:pos="826"/>
        </w:tabs>
        <w:ind w:left="293" w:hanging="293" w:firstLineChars="0"/>
        <w:textAlignment w:val="baseline"/>
        <w:rPr>
          <w:rFonts w:hint="eastAsia" w:ascii="宋体" w:hAnsi="宋体" w:cs="宋体"/>
          <w:color w:val="auto"/>
          <w:sz w:val="24"/>
          <w:szCs w:val="24"/>
          <w:highlight w:val="none"/>
        </w:rPr>
      </w:pPr>
    </w:p>
    <w:p w14:paraId="4F004CBB">
      <w:pPr>
        <w:ind w:firstLine="0" w:firstLineChars="0"/>
        <w:rPr>
          <w:rFonts w:hint="eastAsia" w:ascii="宋体" w:hAnsi="宋体" w:cs="宋体"/>
          <w:b/>
          <w:color w:val="auto"/>
          <w:spacing w:val="-8"/>
          <w:kern w:val="44"/>
          <w:sz w:val="28"/>
          <w:highlight w:val="none"/>
        </w:rPr>
        <w:sectPr>
          <w:pgSz w:w="11906" w:h="16838"/>
          <w:pgMar w:top="1440" w:right="1800" w:bottom="1440" w:left="1800" w:header="851" w:footer="454" w:gutter="0"/>
          <w:cols w:space="708" w:num="1"/>
          <w:docGrid w:linePitch="312" w:charSpace="0"/>
        </w:sectPr>
      </w:pPr>
      <w:bookmarkStart w:id="139" w:name="_Toc417634890"/>
      <w:bookmarkStart w:id="140" w:name="_Toc14494"/>
      <w:bookmarkStart w:id="141" w:name="_Toc387152573"/>
      <w:bookmarkStart w:id="142" w:name="_Toc382467329"/>
      <w:bookmarkStart w:id="143" w:name="_Toc8476"/>
    </w:p>
    <w:p w14:paraId="52F78DE5">
      <w:pPr>
        <w:ind w:firstLine="0" w:firstLineChars="0"/>
        <w:rPr>
          <w:rFonts w:hint="eastAsia" w:ascii="宋体" w:hAnsi="宋体" w:cs="宋体"/>
          <w:b/>
          <w:color w:val="auto"/>
          <w:spacing w:val="-8"/>
          <w:kern w:val="44"/>
          <w:sz w:val="28"/>
          <w:highlight w:val="none"/>
        </w:rPr>
      </w:pPr>
    </w:p>
    <w:bookmarkEnd w:id="139"/>
    <w:bookmarkEnd w:id="140"/>
    <w:bookmarkEnd w:id="141"/>
    <w:bookmarkEnd w:id="142"/>
    <w:bookmarkEnd w:id="143"/>
    <w:p w14:paraId="6AB0D38D">
      <w:pPr>
        <w:pStyle w:val="168"/>
        <w:snapToGrid w:val="0"/>
        <w:spacing w:line="600" w:lineRule="exact"/>
        <w:ind w:left="342" w:hanging="367" w:hangingChars="122"/>
        <w:outlineLvl w:val="2"/>
        <w:rPr>
          <w:rFonts w:hint="eastAsia" w:ascii="宋体" w:hAnsi="宋体" w:cs="宋体"/>
          <w:color w:val="auto"/>
          <w:highlight w:val="none"/>
        </w:rPr>
        <w:sectPr>
          <w:pgSz w:w="11906" w:h="16838"/>
          <w:pgMar w:top="1440" w:right="1800" w:bottom="1440" w:left="1800" w:header="851" w:footer="454" w:gutter="0"/>
          <w:cols w:space="708" w:num="1"/>
          <w:docGrid w:linePitch="312" w:charSpace="0"/>
        </w:sectPr>
      </w:pPr>
      <w:bookmarkStart w:id="144" w:name="_Toc19551"/>
      <w:bookmarkStart w:id="145" w:name="_Toc11959"/>
      <w:r>
        <w:rPr>
          <w:rFonts w:hint="eastAsia" w:ascii="宋体" w:hAnsi="宋体" w:cs="宋体"/>
          <w:color w:val="auto"/>
          <w:spacing w:val="10"/>
          <w:szCs w:val="24"/>
          <w:highlight w:val="none"/>
        </w:rPr>
        <w:t>三、投标人</w:t>
      </w:r>
      <w:bookmarkEnd w:id="144"/>
      <w:r>
        <w:rPr>
          <w:rFonts w:hint="eastAsia" w:ascii="宋体" w:hAnsi="宋体" w:cs="宋体"/>
          <w:color w:val="auto"/>
          <w:spacing w:val="10"/>
          <w:szCs w:val="24"/>
          <w:highlight w:val="none"/>
        </w:rPr>
        <w:t>提供的其他资料（若有）</w:t>
      </w:r>
      <w:bookmarkEnd w:id="145"/>
    </w:p>
    <w:p w14:paraId="1B9EFC32">
      <w:pPr>
        <w:pStyle w:val="3"/>
        <w:ind w:firstLine="0" w:firstLineChars="0"/>
        <w:jc w:val="center"/>
        <w:rPr>
          <w:rFonts w:hint="eastAsia" w:ascii="宋体" w:hAnsi="宋体" w:eastAsia="宋体" w:cs="宋体"/>
          <w:color w:val="auto"/>
          <w:kern w:val="0"/>
          <w:sz w:val="36"/>
          <w:szCs w:val="36"/>
          <w:highlight w:val="none"/>
        </w:rPr>
      </w:pPr>
      <w:bookmarkStart w:id="146" w:name="_Toc1152"/>
      <w:bookmarkStart w:id="147" w:name="_Toc26759"/>
      <w:r>
        <w:rPr>
          <w:rFonts w:hint="eastAsia" w:ascii="宋体" w:hAnsi="宋体" w:eastAsia="宋体" w:cs="宋体"/>
          <w:color w:val="auto"/>
          <w:kern w:val="0"/>
          <w:sz w:val="36"/>
          <w:szCs w:val="36"/>
          <w:highlight w:val="none"/>
        </w:rPr>
        <w:t>第五章   采购需求</w:t>
      </w:r>
      <w:bookmarkEnd w:id="146"/>
      <w:bookmarkEnd w:id="147"/>
    </w:p>
    <w:bookmarkEnd w:id="74"/>
    <w:bookmarkEnd w:id="75"/>
    <w:p w14:paraId="6D4D885C">
      <w:pPr>
        <w:pStyle w:val="4"/>
        <w:numPr>
          <w:ilvl w:val="0"/>
          <w:numId w:val="4"/>
        </w:numPr>
        <w:spacing w:before="240"/>
        <w:ind w:firstLine="562"/>
        <w:jc w:val="left"/>
        <w:rPr>
          <w:rFonts w:hint="eastAsia" w:ascii="宋体" w:hAnsi="宋体" w:cs="宋体"/>
          <w:color w:val="auto"/>
          <w:sz w:val="28"/>
          <w:szCs w:val="16"/>
          <w:highlight w:val="none"/>
        </w:rPr>
      </w:pPr>
      <w:bookmarkStart w:id="148" w:name="_Toc13692"/>
      <w:bookmarkStart w:id="149" w:name="_Toc51833966"/>
      <w:bookmarkStart w:id="150" w:name="_Toc16283"/>
      <w:bookmarkStart w:id="151" w:name="_Toc51834541"/>
      <w:bookmarkStart w:id="152" w:name="_Toc417634892"/>
      <w:bookmarkStart w:id="153" w:name="_Toc407114956"/>
      <w:bookmarkStart w:id="154" w:name="_Toc458076324"/>
      <w:r>
        <w:rPr>
          <w:rFonts w:hint="eastAsia" w:ascii="宋体" w:hAnsi="宋体" w:cs="宋体"/>
          <w:color w:val="auto"/>
          <w:sz w:val="28"/>
          <w:szCs w:val="16"/>
          <w:highlight w:val="none"/>
        </w:rPr>
        <w:t>产地及标准要求</w:t>
      </w:r>
      <w:bookmarkEnd w:id="148"/>
    </w:p>
    <w:p w14:paraId="473B2E60">
      <w:pPr>
        <w:tabs>
          <w:tab w:val="left" w:pos="540"/>
        </w:tabs>
        <w:snapToGrid w:val="0"/>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根据法律法规，本项目采购产品须为中华人民共和国境内（不含港、澳、台）生产或组装。投标人所投产品应符合国家有关法律、法规、规章的规定以及国家现行相关政策的要求（如：中国强制性产品认证制度）。</w:t>
      </w:r>
      <w:r>
        <w:rPr>
          <w:rFonts w:hint="eastAsia" w:ascii="宋体" w:hAnsi="宋体" w:cs="宋体"/>
          <w:color w:val="auto"/>
          <w:sz w:val="24"/>
          <w:szCs w:val="24"/>
          <w:highlight w:val="none"/>
          <w:lang w:val="en-US" w:eastAsia="zh-CN"/>
        </w:rPr>
        <w:t>为</w:t>
      </w:r>
      <w:r>
        <w:rPr>
          <w:rFonts w:hint="eastAsia" w:ascii="宋体" w:hAnsi="宋体" w:cs="宋体"/>
          <w:color w:val="auto"/>
          <w:sz w:val="24"/>
          <w:szCs w:val="24"/>
          <w:highlight w:val="none"/>
        </w:rPr>
        <w:t>《享受车船税减免优惠的节约能源使用新能源汽车车型目录》《减免</w:t>
      </w:r>
      <w:r>
        <w:rPr>
          <w:rFonts w:hint="eastAsia" w:ascii="宋体" w:hAnsi="宋体" w:cs="宋体"/>
          <w:color w:val="auto"/>
          <w:sz w:val="24"/>
          <w:szCs w:val="24"/>
          <w:highlight w:val="none"/>
          <w:lang w:val="en-US" w:eastAsia="zh-CN"/>
        </w:rPr>
        <w:t>优惠</w:t>
      </w:r>
      <w:r>
        <w:rPr>
          <w:rFonts w:hint="eastAsia" w:ascii="宋体" w:hAnsi="宋体" w:cs="宋体"/>
          <w:color w:val="auto"/>
          <w:sz w:val="24"/>
          <w:szCs w:val="24"/>
          <w:highlight w:val="none"/>
        </w:rPr>
        <w:t>车辆购置税的新能源汽车车型目录》之一的新能源车辆。</w:t>
      </w:r>
    </w:p>
    <w:p w14:paraId="27E4B771">
      <w:pPr>
        <w:pStyle w:val="4"/>
        <w:numPr>
          <w:ilvl w:val="0"/>
          <w:numId w:val="4"/>
        </w:numPr>
        <w:spacing w:before="240"/>
        <w:ind w:firstLine="562"/>
        <w:jc w:val="left"/>
        <w:rPr>
          <w:rFonts w:hint="eastAsia" w:ascii="宋体" w:hAnsi="宋体" w:cs="宋体"/>
          <w:color w:val="auto"/>
          <w:sz w:val="28"/>
          <w:szCs w:val="16"/>
          <w:highlight w:val="none"/>
        </w:rPr>
      </w:pPr>
      <w:bookmarkStart w:id="155" w:name="_Toc30760"/>
      <w:r>
        <w:rPr>
          <w:rFonts w:hint="eastAsia" w:ascii="宋体" w:hAnsi="宋体" w:cs="宋体"/>
          <w:color w:val="auto"/>
          <w:sz w:val="28"/>
          <w:szCs w:val="16"/>
          <w:highlight w:val="none"/>
        </w:rPr>
        <w:t>采购内容</w:t>
      </w:r>
      <w:bookmarkEnd w:id="149"/>
      <w:bookmarkEnd w:id="150"/>
      <w:bookmarkEnd w:id="151"/>
      <w:bookmarkEnd w:id="155"/>
    </w:p>
    <w:tbl>
      <w:tblPr>
        <w:tblStyle w:val="3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9"/>
        <w:gridCol w:w="4495"/>
        <w:gridCol w:w="1079"/>
        <w:gridCol w:w="1786"/>
      </w:tblGrid>
      <w:tr w14:paraId="668C7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tblHeader/>
          <w:jc w:val="center"/>
        </w:trPr>
        <w:tc>
          <w:tcPr>
            <w:tcW w:w="680" w:type="pct"/>
            <w:tcBorders>
              <w:top w:val="single" w:color="auto" w:sz="12" w:space="0"/>
              <w:left w:val="single" w:color="auto" w:sz="12" w:space="0"/>
              <w:bottom w:val="single" w:color="auto" w:sz="4" w:space="0"/>
              <w:right w:val="single" w:color="auto" w:sz="4" w:space="0"/>
            </w:tcBorders>
            <w:vAlign w:val="center"/>
          </w:tcPr>
          <w:p w14:paraId="29B89E6E">
            <w:pPr>
              <w:snapToGrid w:val="0"/>
              <w:spacing w:line="240" w:lineRule="auto"/>
              <w:ind w:firstLine="0" w:firstLineChars="0"/>
              <w:jc w:val="center"/>
              <w:rPr>
                <w:rFonts w:hint="eastAsia" w:ascii="宋体" w:hAnsi="宋体" w:cs="宋体"/>
                <w:b/>
                <w:color w:val="auto"/>
                <w:sz w:val="22"/>
                <w:szCs w:val="22"/>
                <w:highlight w:val="none"/>
              </w:rPr>
            </w:pPr>
            <w:r>
              <w:rPr>
                <w:rFonts w:hint="eastAsia" w:ascii="宋体" w:hAnsi="宋体" w:cs="宋体"/>
                <w:b/>
                <w:color w:val="auto"/>
                <w:sz w:val="22"/>
                <w:szCs w:val="22"/>
                <w:highlight w:val="none"/>
              </w:rPr>
              <w:t>标段</w:t>
            </w:r>
          </w:p>
        </w:tc>
        <w:tc>
          <w:tcPr>
            <w:tcW w:w="2637" w:type="pct"/>
            <w:tcBorders>
              <w:top w:val="single" w:color="auto" w:sz="12" w:space="0"/>
              <w:left w:val="single" w:color="auto" w:sz="4" w:space="0"/>
              <w:bottom w:val="single" w:color="auto" w:sz="4" w:space="0"/>
              <w:right w:val="single" w:color="auto" w:sz="4" w:space="0"/>
            </w:tcBorders>
            <w:vAlign w:val="center"/>
          </w:tcPr>
          <w:p w14:paraId="2C1A981B">
            <w:pPr>
              <w:snapToGrid w:val="0"/>
              <w:spacing w:line="240" w:lineRule="auto"/>
              <w:ind w:firstLine="0" w:firstLineChars="0"/>
              <w:jc w:val="center"/>
              <w:rPr>
                <w:rFonts w:hint="eastAsia" w:ascii="宋体" w:hAnsi="宋体" w:cs="宋体"/>
                <w:b/>
                <w:color w:val="auto"/>
                <w:sz w:val="22"/>
                <w:szCs w:val="22"/>
                <w:highlight w:val="none"/>
              </w:rPr>
            </w:pPr>
            <w:r>
              <w:rPr>
                <w:rFonts w:hint="eastAsia" w:ascii="宋体" w:hAnsi="宋体" w:cs="宋体"/>
                <w:b/>
                <w:color w:val="auto"/>
                <w:sz w:val="22"/>
                <w:szCs w:val="22"/>
                <w:highlight w:val="none"/>
              </w:rPr>
              <w:t>招标内容</w:t>
            </w:r>
          </w:p>
        </w:tc>
        <w:tc>
          <w:tcPr>
            <w:tcW w:w="633" w:type="pct"/>
            <w:tcBorders>
              <w:top w:val="single" w:color="auto" w:sz="12" w:space="0"/>
              <w:left w:val="single" w:color="auto" w:sz="4" w:space="0"/>
              <w:bottom w:val="single" w:color="auto" w:sz="4" w:space="0"/>
              <w:right w:val="single" w:color="auto" w:sz="4" w:space="0"/>
            </w:tcBorders>
            <w:vAlign w:val="center"/>
          </w:tcPr>
          <w:p w14:paraId="00552BFF">
            <w:pPr>
              <w:snapToGrid w:val="0"/>
              <w:spacing w:line="240" w:lineRule="auto"/>
              <w:ind w:firstLine="0" w:firstLineChars="0"/>
              <w:jc w:val="center"/>
              <w:rPr>
                <w:rFonts w:hint="eastAsia" w:ascii="宋体" w:hAnsi="宋体" w:cs="宋体"/>
                <w:b/>
                <w:color w:val="auto"/>
                <w:sz w:val="22"/>
                <w:szCs w:val="22"/>
                <w:highlight w:val="none"/>
              </w:rPr>
            </w:pPr>
            <w:r>
              <w:rPr>
                <w:rFonts w:hint="eastAsia" w:ascii="宋体" w:hAnsi="宋体" w:cs="宋体"/>
                <w:b/>
                <w:color w:val="auto"/>
                <w:sz w:val="22"/>
                <w:szCs w:val="22"/>
                <w:highlight w:val="none"/>
              </w:rPr>
              <w:t>单位</w:t>
            </w:r>
          </w:p>
        </w:tc>
        <w:tc>
          <w:tcPr>
            <w:tcW w:w="1048" w:type="pct"/>
            <w:tcBorders>
              <w:top w:val="single" w:color="auto" w:sz="12" w:space="0"/>
              <w:left w:val="single" w:color="auto" w:sz="4" w:space="0"/>
              <w:bottom w:val="single" w:color="auto" w:sz="4" w:space="0"/>
              <w:right w:val="single" w:color="auto" w:sz="12" w:space="0"/>
            </w:tcBorders>
            <w:vAlign w:val="center"/>
          </w:tcPr>
          <w:p w14:paraId="3754EB6A">
            <w:pPr>
              <w:snapToGrid w:val="0"/>
              <w:spacing w:line="240" w:lineRule="auto"/>
              <w:ind w:firstLine="0" w:firstLineChars="0"/>
              <w:jc w:val="center"/>
              <w:rPr>
                <w:rFonts w:hint="eastAsia" w:ascii="宋体" w:hAnsi="宋体" w:cs="宋体"/>
                <w:b/>
                <w:color w:val="auto"/>
                <w:sz w:val="22"/>
                <w:szCs w:val="22"/>
                <w:highlight w:val="none"/>
              </w:rPr>
            </w:pPr>
            <w:r>
              <w:rPr>
                <w:rFonts w:hint="eastAsia" w:ascii="宋体" w:hAnsi="宋体" w:cs="宋体"/>
                <w:b/>
                <w:color w:val="auto"/>
                <w:sz w:val="22"/>
                <w:szCs w:val="22"/>
                <w:highlight w:val="none"/>
              </w:rPr>
              <w:t>数量（预估）</w:t>
            </w:r>
          </w:p>
        </w:tc>
      </w:tr>
      <w:tr w14:paraId="0F988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jc w:val="center"/>
        </w:trPr>
        <w:tc>
          <w:tcPr>
            <w:tcW w:w="680" w:type="pct"/>
            <w:tcBorders>
              <w:top w:val="single" w:color="auto" w:sz="4" w:space="0"/>
              <w:left w:val="single" w:color="auto" w:sz="12" w:space="0"/>
              <w:bottom w:val="single" w:color="auto" w:sz="12" w:space="0"/>
              <w:right w:val="single" w:color="auto" w:sz="4" w:space="0"/>
            </w:tcBorders>
            <w:vAlign w:val="center"/>
          </w:tcPr>
          <w:p w14:paraId="62EF5EF3">
            <w:pPr>
              <w:snapToGrid w:val="0"/>
              <w:spacing w:line="240" w:lineRule="auto"/>
              <w:ind w:firstLine="0" w:firstLineChars="0"/>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2</w:t>
            </w:r>
          </w:p>
        </w:tc>
        <w:tc>
          <w:tcPr>
            <w:tcW w:w="2637" w:type="pct"/>
            <w:tcBorders>
              <w:top w:val="single" w:color="auto" w:sz="4" w:space="0"/>
              <w:left w:val="single" w:color="auto" w:sz="4" w:space="0"/>
              <w:bottom w:val="single" w:color="auto" w:sz="12" w:space="0"/>
              <w:right w:val="single" w:color="auto" w:sz="4" w:space="0"/>
            </w:tcBorders>
            <w:vAlign w:val="center"/>
          </w:tcPr>
          <w:p w14:paraId="7294C315">
            <w:pPr>
              <w:snapToGrid w:val="0"/>
              <w:spacing w:line="240" w:lineRule="auto"/>
              <w:ind w:firstLine="0" w:firstLineChars="0"/>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拟</w:t>
            </w:r>
            <w:r>
              <w:rPr>
                <w:rFonts w:hint="eastAsia" w:ascii="宋体" w:hAnsi="宋体" w:cs="宋体"/>
                <w:color w:val="auto"/>
                <w:sz w:val="22"/>
                <w:szCs w:val="22"/>
                <w:highlight w:val="none"/>
                <w:lang w:val="en-US" w:eastAsia="zh-CN"/>
              </w:rPr>
              <w:t>采购6辆46座纯电动高一级公路客车</w:t>
            </w:r>
            <w:r>
              <w:rPr>
                <w:rFonts w:hint="eastAsia" w:ascii="宋体" w:hAnsi="宋体" w:cs="宋体"/>
                <w:color w:val="auto"/>
                <w:sz w:val="22"/>
                <w:szCs w:val="22"/>
                <w:highlight w:val="none"/>
              </w:rPr>
              <w:t>，车长</w:t>
            </w:r>
            <w:r>
              <w:rPr>
                <w:rFonts w:hint="eastAsia" w:ascii="宋体" w:hAnsi="宋体" w:cs="宋体"/>
                <w:color w:val="auto"/>
                <w:sz w:val="22"/>
                <w:szCs w:val="22"/>
                <w:highlight w:val="none"/>
                <w:lang w:val="en-US" w:eastAsia="zh-CN"/>
              </w:rPr>
              <w:t>约11</w:t>
            </w:r>
            <w:r>
              <w:rPr>
                <w:rFonts w:hint="eastAsia" w:ascii="宋体" w:hAnsi="宋体" w:cs="宋体"/>
                <w:color w:val="auto"/>
                <w:sz w:val="22"/>
                <w:szCs w:val="22"/>
                <w:highlight w:val="none"/>
              </w:rPr>
              <w:t>米</w:t>
            </w:r>
          </w:p>
        </w:tc>
        <w:tc>
          <w:tcPr>
            <w:tcW w:w="633" w:type="pct"/>
            <w:tcBorders>
              <w:top w:val="single" w:color="auto" w:sz="4" w:space="0"/>
              <w:left w:val="single" w:color="auto" w:sz="4" w:space="0"/>
              <w:bottom w:val="single" w:color="auto" w:sz="12" w:space="0"/>
              <w:right w:val="single" w:color="auto" w:sz="4" w:space="0"/>
            </w:tcBorders>
            <w:vAlign w:val="center"/>
          </w:tcPr>
          <w:p w14:paraId="6DD4C04A">
            <w:pPr>
              <w:snapToGrid w:val="0"/>
              <w:spacing w:line="240" w:lineRule="auto"/>
              <w:ind w:firstLine="0" w:firstLineChars="0"/>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辆</w:t>
            </w:r>
          </w:p>
        </w:tc>
        <w:tc>
          <w:tcPr>
            <w:tcW w:w="1048" w:type="pct"/>
            <w:tcBorders>
              <w:top w:val="single" w:color="auto" w:sz="4" w:space="0"/>
              <w:left w:val="single" w:color="auto" w:sz="4" w:space="0"/>
              <w:bottom w:val="single" w:color="auto" w:sz="12" w:space="0"/>
              <w:right w:val="single" w:color="auto" w:sz="12" w:space="0"/>
            </w:tcBorders>
            <w:vAlign w:val="center"/>
          </w:tcPr>
          <w:p w14:paraId="4AACE341">
            <w:pPr>
              <w:snapToGrid w:val="0"/>
              <w:spacing w:line="240" w:lineRule="auto"/>
              <w:ind w:firstLine="0" w:firstLineChars="0"/>
              <w:jc w:val="center"/>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val="en-US" w:eastAsia="zh-CN"/>
              </w:rPr>
              <w:t>6</w:t>
            </w:r>
          </w:p>
        </w:tc>
      </w:tr>
    </w:tbl>
    <w:p w14:paraId="68D3E9B8">
      <w:pPr>
        <w:pStyle w:val="4"/>
        <w:numPr>
          <w:ilvl w:val="0"/>
          <w:numId w:val="4"/>
        </w:numPr>
        <w:spacing w:before="240"/>
        <w:ind w:firstLine="562"/>
        <w:jc w:val="left"/>
        <w:rPr>
          <w:rFonts w:hint="eastAsia" w:ascii="宋体" w:hAnsi="宋体" w:cs="宋体"/>
          <w:color w:val="auto"/>
          <w:sz w:val="28"/>
          <w:szCs w:val="16"/>
          <w:highlight w:val="none"/>
        </w:rPr>
      </w:pPr>
      <w:bookmarkStart w:id="156" w:name="_Toc22999"/>
      <w:bookmarkStart w:id="157" w:name="_Toc30309"/>
      <w:bookmarkStart w:id="158" w:name="_Toc51833968"/>
      <w:bookmarkStart w:id="159" w:name="_Toc51834543"/>
      <w:r>
        <w:rPr>
          <w:rFonts w:hint="eastAsia" w:ascii="宋体" w:hAnsi="宋体" w:cs="宋体"/>
          <w:color w:val="auto"/>
          <w:sz w:val="28"/>
          <w:szCs w:val="16"/>
          <w:highlight w:val="none"/>
        </w:rPr>
        <w:t>总体要求</w:t>
      </w:r>
      <w:bookmarkEnd w:id="156"/>
    </w:p>
    <w:bookmarkEnd w:id="157"/>
    <w:bookmarkEnd w:id="158"/>
    <w:bookmarkEnd w:id="159"/>
    <w:p w14:paraId="54219852">
      <w:pPr>
        <w:numPr>
          <w:ilvl w:val="0"/>
          <w:numId w:val="5"/>
        </w:numPr>
        <w:ind w:right="21" w:rightChars="10" w:firstLine="480"/>
        <w:rPr>
          <w:rFonts w:hint="eastAsia" w:ascii="Arial Narrow" w:hAnsi="Arial Narrow" w:cs="宋体"/>
          <w:color w:val="auto"/>
          <w:sz w:val="24"/>
          <w:szCs w:val="24"/>
          <w:highlight w:val="none"/>
        </w:rPr>
      </w:pPr>
      <w:r>
        <w:rPr>
          <w:rFonts w:hint="eastAsia" w:hAnsi="宋体" w:cs="宋体"/>
          <w:color w:val="auto"/>
          <w:kern w:val="0"/>
          <w:sz w:val="24"/>
          <w:szCs w:val="24"/>
          <w:highlight w:val="none"/>
        </w:rPr>
        <w:t>所有车辆在交车检验时必须完好，车辆配置应与此技术协议相符，客车的主要总成应匹配合理，发动机、传动系、转向系、制动系、行驶系、车身、电器设备及其它附加设备等设计或选型，在功能、结构、强度等方面的技术要求均应符合GB 18384-2020《电动汽车安全要求》、GB 38032-2020《电动客车安全要求》</w:t>
      </w:r>
      <w:r>
        <w:rPr>
          <w:rFonts w:hint="eastAsia" w:hAnsi="宋体" w:cs="宋体"/>
          <w:color w:val="auto"/>
          <w:kern w:val="0"/>
          <w:sz w:val="24"/>
          <w:szCs w:val="24"/>
          <w:highlight w:val="none"/>
          <w:lang w:eastAsia="zh-CN"/>
        </w:rPr>
        <w:t>、</w:t>
      </w:r>
      <w:r>
        <w:rPr>
          <w:rFonts w:hint="eastAsia" w:hAnsi="宋体" w:cs="宋体"/>
          <w:color w:val="auto"/>
          <w:kern w:val="0"/>
          <w:sz w:val="24"/>
          <w:szCs w:val="24"/>
          <w:highlight w:val="none"/>
        </w:rPr>
        <w:t>GB 38031-2020《电动汽车用动力蓄电池安全要求》、JT/T 198-2016《道路运输车辆技术等级划分和评定要求》、GB7258-2017《机动车运行安全技术条件》、GT/T 1094-2016《营运客车安全技术条件》、GB 18565-2016《道路运输车辆综合性能要求和检验方法》、工信部联产业【2011】632 号文件要求及国家现行有关标准。车辆等级必须满足中华人民共和国交通运输行业标准GB 13094-2017 《客车结构安全要求》、JT/T 325-2018《营运客车类型划分及等级评定》大型客车高一级标准</w:t>
      </w:r>
      <w:r>
        <w:rPr>
          <w:rFonts w:hint="eastAsia" w:ascii="Arial Narrow" w:hAnsi="Arial Narrow" w:cs="宋体"/>
          <w:color w:val="auto"/>
          <w:sz w:val="24"/>
          <w:szCs w:val="24"/>
          <w:highlight w:val="none"/>
        </w:rPr>
        <w:t>。</w:t>
      </w:r>
    </w:p>
    <w:p w14:paraId="15306026">
      <w:pPr>
        <w:pStyle w:val="57"/>
        <w:ind w:firstLine="371" w:firstLineChars="177"/>
        <w:rPr>
          <w:rFonts w:hint="eastAsia" w:eastAsia="宋体"/>
          <w:color w:val="auto"/>
          <w:highlight w:val="none"/>
          <w:lang w:eastAsia="zh-CN"/>
        </w:rPr>
      </w:pPr>
      <w:r>
        <w:rPr>
          <w:rFonts w:hint="eastAsia" w:hAnsi="宋体" w:cs="宋体"/>
          <w:color w:val="auto"/>
          <w:kern w:val="0"/>
          <w:szCs w:val="21"/>
          <w:highlight w:val="none"/>
        </w:rPr>
        <w:t>以上标准均以国家颁布的最新版为标准</w:t>
      </w:r>
      <w:r>
        <w:rPr>
          <w:rFonts w:hint="eastAsia" w:hAnsi="宋体" w:cs="宋体"/>
          <w:color w:val="auto"/>
          <w:kern w:val="0"/>
          <w:szCs w:val="21"/>
          <w:highlight w:val="none"/>
          <w:lang w:eastAsia="zh-CN"/>
        </w:rPr>
        <w:t>。</w:t>
      </w:r>
    </w:p>
    <w:p w14:paraId="3E351066">
      <w:pPr>
        <w:pStyle w:val="85"/>
        <w:ind w:firstLine="360" w:firstLineChars="150"/>
        <w:rPr>
          <w:rFonts w:hAnsi="宋体" w:cs="宋体"/>
          <w:color w:val="auto"/>
          <w:kern w:val="0"/>
          <w:sz w:val="24"/>
          <w:szCs w:val="24"/>
          <w:highlight w:val="none"/>
        </w:rPr>
      </w:pPr>
      <w:r>
        <w:rPr>
          <w:rFonts w:hint="eastAsia" w:hAnsi="宋体" w:cs="宋体"/>
          <w:color w:val="auto"/>
          <w:kern w:val="0"/>
          <w:sz w:val="24"/>
          <w:szCs w:val="24"/>
          <w:highlight w:val="none"/>
        </w:rPr>
        <w:t>2、提供车辆的总成件、附件、零部件及车辆出厂合格证等质量证明文件，车型和各大总成通过“3C”认证、车辆类型等级公告、燃油公告和安全达标信息，必须上国家产品公告目录，并且在“道路运输车辆技术服务网”能查询到。</w:t>
      </w:r>
    </w:p>
    <w:p w14:paraId="5E7FDA5C">
      <w:pPr>
        <w:pStyle w:val="85"/>
        <w:ind w:firstLine="360" w:firstLineChars="150"/>
        <w:rPr>
          <w:rFonts w:hAnsi="宋体" w:cs="宋体"/>
          <w:color w:val="auto"/>
          <w:kern w:val="0"/>
          <w:sz w:val="24"/>
          <w:szCs w:val="24"/>
          <w:highlight w:val="none"/>
        </w:rPr>
      </w:pPr>
      <w:r>
        <w:rPr>
          <w:rFonts w:hint="eastAsia" w:hAnsi="宋体" w:cs="宋体"/>
          <w:color w:val="auto"/>
          <w:kern w:val="0"/>
          <w:sz w:val="24"/>
          <w:szCs w:val="24"/>
          <w:highlight w:val="none"/>
        </w:rPr>
        <w:t>3、供方应根据本技术协议内容做出全面响应和完全满足，并对所生产车辆技术要求不限于以下各项。对响应有差异的，必须经确认，否则按违约处理。</w:t>
      </w:r>
    </w:p>
    <w:p w14:paraId="5ACD3D88">
      <w:pPr>
        <w:pStyle w:val="85"/>
        <w:ind w:firstLine="360" w:firstLineChars="150"/>
        <w:rPr>
          <w:rFonts w:hAnsi="宋体" w:cs="宋体"/>
          <w:color w:val="auto"/>
          <w:kern w:val="0"/>
          <w:sz w:val="24"/>
          <w:szCs w:val="24"/>
          <w:highlight w:val="none"/>
        </w:rPr>
      </w:pPr>
      <w:r>
        <w:rPr>
          <w:rFonts w:hint="eastAsia" w:hAnsi="宋体" w:cs="宋体"/>
          <w:color w:val="auto"/>
          <w:kern w:val="0"/>
          <w:sz w:val="24"/>
          <w:szCs w:val="24"/>
          <w:highlight w:val="none"/>
        </w:rPr>
        <w:t>4、在交车检验时，如发现配置有属国家规定应报废部件或不合格总成、附件及零部件的，或属未能按本技术协议要求配置相关总成件、附件及零部件的，均按违约处理。</w:t>
      </w:r>
    </w:p>
    <w:p w14:paraId="3B40736A">
      <w:pPr>
        <w:pStyle w:val="85"/>
        <w:ind w:firstLine="360" w:firstLineChars="150"/>
        <w:rPr>
          <w:rFonts w:hAnsi="宋体" w:cs="宋体"/>
          <w:color w:val="auto"/>
          <w:sz w:val="24"/>
          <w:szCs w:val="24"/>
          <w:highlight w:val="none"/>
        </w:rPr>
      </w:pPr>
      <w:r>
        <w:rPr>
          <w:rFonts w:hint="eastAsia" w:hAnsi="宋体" w:cs="宋体"/>
          <w:color w:val="auto"/>
          <w:kern w:val="0"/>
          <w:sz w:val="24"/>
          <w:szCs w:val="24"/>
          <w:highlight w:val="none"/>
        </w:rPr>
        <w:t>5、车型和各大总成通过“3C”认证等</w:t>
      </w:r>
      <w:r>
        <w:rPr>
          <w:rFonts w:hint="eastAsia" w:hAnsi="宋体" w:cs="宋体"/>
          <w:color w:val="auto"/>
          <w:sz w:val="24"/>
          <w:szCs w:val="24"/>
          <w:highlight w:val="none"/>
        </w:rPr>
        <w:t>相关机构认证资格证明。</w:t>
      </w:r>
    </w:p>
    <w:p w14:paraId="1AA6EB38">
      <w:pPr>
        <w:pStyle w:val="85"/>
        <w:ind w:firstLine="360" w:firstLineChars="150"/>
        <w:rPr>
          <w:rFonts w:hAnsi="宋体" w:cs="宋体"/>
          <w:color w:val="auto"/>
          <w:sz w:val="24"/>
          <w:szCs w:val="24"/>
          <w:highlight w:val="none"/>
        </w:rPr>
      </w:pPr>
      <w:r>
        <w:rPr>
          <w:rFonts w:hint="eastAsia" w:hAnsi="宋体" w:cs="宋体"/>
          <w:color w:val="auto"/>
          <w:sz w:val="24"/>
          <w:szCs w:val="24"/>
          <w:highlight w:val="none"/>
        </w:rPr>
        <w:t>6、整车质保期：车辆上牌投入运行后≥36个月。</w:t>
      </w:r>
    </w:p>
    <w:p w14:paraId="746CCD9C">
      <w:pPr>
        <w:pStyle w:val="85"/>
        <w:ind w:firstLine="360" w:firstLineChars="150"/>
        <w:rPr>
          <w:rFonts w:hint="eastAsia" w:hAnsi="宋体" w:eastAsia="宋体" w:cs="宋体"/>
          <w:color w:val="auto"/>
          <w:sz w:val="24"/>
          <w:szCs w:val="24"/>
          <w:highlight w:val="none"/>
          <w:lang w:eastAsia="zh-CN"/>
        </w:rPr>
      </w:pPr>
      <w:r>
        <w:rPr>
          <w:rFonts w:hint="eastAsia" w:hAnsi="宋体" w:cs="宋体"/>
          <w:color w:val="auto"/>
          <w:sz w:val="24"/>
          <w:szCs w:val="24"/>
          <w:highlight w:val="none"/>
        </w:rPr>
        <w:t>7、整车性能及安全防护要求：整车性能方面要求30分钟最高车速不低于70km/h，最大爬坡度不小于13%；动力蓄电池系统需满足振动、挤压等安全性试验，锂离子电池性能检测符合GB 38031-2025电动汽车用动力蓄电池安全要求、GB 38032—2020《电动客车安全要求》。安全防护方面要求驾驶区隔离设施符合JT/T1241-2019规定，车厢内灭火装置配置数量与安装位置需满足紧急逃生需求；高压电气部件防护等级达到IP67，防止涉水工况下发生漏电事故</w:t>
      </w:r>
      <w:r>
        <w:rPr>
          <w:rFonts w:hint="eastAsia" w:hAnsi="宋体" w:cs="宋体"/>
          <w:color w:val="auto"/>
          <w:sz w:val="24"/>
          <w:szCs w:val="24"/>
          <w:highlight w:val="none"/>
          <w:lang w:eastAsia="zh-CN"/>
        </w:rPr>
        <w:t>，</w:t>
      </w:r>
      <w:r>
        <w:rPr>
          <w:rFonts w:hint="eastAsia" w:hAnsi="宋体" w:cs="宋体"/>
          <w:color w:val="auto"/>
          <w:kern w:val="0"/>
          <w:szCs w:val="21"/>
          <w:highlight w:val="none"/>
        </w:rPr>
        <w:t>最高车速</w:t>
      </w:r>
      <w:r>
        <w:rPr>
          <w:rFonts w:hint="eastAsia" w:ascii="宋体" w:hAnsi="宋体" w:cs="宋体"/>
          <w:color w:val="auto"/>
          <w:szCs w:val="21"/>
          <w:highlight w:val="none"/>
        </w:rPr>
        <w:t>符合GB-T 24545-2009要求</w:t>
      </w:r>
      <w:r>
        <w:rPr>
          <w:rFonts w:hint="eastAsia" w:ascii="宋体" w:hAnsi="宋体" w:cs="宋体"/>
          <w:color w:val="auto"/>
          <w:kern w:val="0"/>
          <w:szCs w:val="21"/>
          <w:highlight w:val="none"/>
        </w:rPr>
        <w:t>及现行国家技术标准</w:t>
      </w:r>
      <w:r>
        <w:rPr>
          <w:rFonts w:hint="eastAsia" w:ascii="宋体" w:hAnsi="宋体" w:cs="宋体"/>
          <w:color w:val="auto"/>
          <w:szCs w:val="21"/>
          <w:highlight w:val="none"/>
        </w:rPr>
        <w:t>，需提供车辆限速证明</w:t>
      </w:r>
    </w:p>
    <w:p w14:paraId="245D6280">
      <w:pPr>
        <w:pStyle w:val="85"/>
        <w:ind w:firstLine="361" w:firstLineChars="150"/>
        <w:rPr>
          <w:rFonts w:hint="eastAsia" w:hAnsi="宋体" w:cs="宋体"/>
          <w:b/>
          <w:bCs/>
          <w:color w:val="auto"/>
          <w:sz w:val="24"/>
          <w:szCs w:val="24"/>
          <w:highlight w:val="none"/>
        </w:rPr>
      </w:pPr>
      <w:r>
        <w:rPr>
          <w:rFonts w:hint="eastAsia" w:hAnsi="宋体" w:cs="宋体"/>
          <w:b/>
          <w:bCs/>
          <w:color w:val="auto"/>
          <w:sz w:val="24"/>
          <w:szCs w:val="24"/>
          <w:highlight w:val="none"/>
        </w:rPr>
        <w:t>一、主要参数要求：</w:t>
      </w:r>
    </w:p>
    <w:p w14:paraId="45673CBE">
      <w:pPr>
        <w:pStyle w:val="85"/>
        <w:ind w:firstLine="360" w:firstLineChars="150"/>
        <w:rPr>
          <w:rFonts w:hAnsi="宋体" w:cs="宋体"/>
          <w:color w:val="auto"/>
          <w:sz w:val="24"/>
          <w:szCs w:val="24"/>
          <w:highlight w:val="none"/>
        </w:rPr>
      </w:pPr>
      <w:r>
        <w:rPr>
          <w:rFonts w:hint="eastAsia" w:hAnsi="宋体" w:cs="宋体"/>
          <w:color w:val="auto"/>
          <w:sz w:val="24"/>
          <w:szCs w:val="24"/>
          <w:highlight w:val="none"/>
        </w:rPr>
        <w:t>（1）车长≥10.9米，符合GB1589-2016《道路车辆外观轮廓尺寸、轴荷荷质量限值》的要求；长（mm）：≥10900、宽（mm）：≥2500、高（mm）：≥3450</w:t>
      </w:r>
    </w:p>
    <w:p w14:paraId="4F4F1E1A">
      <w:pPr>
        <w:pStyle w:val="85"/>
        <w:ind w:firstLine="360" w:firstLineChars="150"/>
        <w:rPr>
          <w:rFonts w:hint="eastAsia" w:hAnsi="宋体" w:cs="宋体"/>
          <w:color w:val="auto"/>
          <w:sz w:val="24"/>
          <w:szCs w:val="24"/>
          <w:highlight w:val="none"/>
        </w:rPr>
      </w:pPr>
      <w:r>
        <w:rPr>
          <w:rFonts w:hint="eastAsia" w:hAnsi="宋体" w:cs="宋体"/>
          <w:color w:val="auto"/>
          <w:sz w:val="24"/>
          <w:szCs w:val="24"/>
          <w:highlight w:val="none"/>
        </w:rPr>
        <w:t>（2）座位数≥4</w:t>
      </w:r>
      <w:r>
        <w:rPr>
          <w:rFonts w:hint="eastAsia" w:hAnsi="宋体" w:cs="宋体"/>
          <w:color w:val="auto"/>
          <w:sz w:val="24"/>
          <w:szCs w:val="24"/>
          <w:highlight w:val="none"/>
          <w:lang w:val="en-US" w:eastAsia="zh-CN"/>
        </w:rPr>
        <w:t>5</w:t>
      </w:r>
      <w:r>
        <w:rPr>
          <w:rFonts w:hint="eastAsia" w:hAnsi="宋体" w:cs="宋体"/>
          <w:color w:val="auto"/>
          <w:sz w:val="24"/>
          <w:szCs w:val="24"/>
          <w:highlight w:val="none"/>
        </w:rPr>
        <w:t>+1座；</w:t>
      </w:r>
    </w:p>
    <w:p w14:paraId="3C59BE28">
      <w:pPr>
        <w:pStyle w:val="85"/>
        <w:ind w:firstLine="360" w:firstLineChars="150"/>
        <w:rPr>
          <w:rFonts w:hint="eastAsia" w:hAnsi="宋体" w:cs="宋体"/>
          <w:color w:val="auto"/>
          <w:kern w:val="0"/>
          <w:szCs w:val="21"/>
          <w:highlight w:val="none"/>
        </w:rPr>
      </w:pPr>
      <w:r>
        <w:rPr>
          <w:rFonts w:hint="eastAsia" w:hAnsi="宋体" w:cs="宋体"/>
          <w:color w:val="auto"/>
          <w:sz w:val="24"/>
          <w:szCs w:val="24"/>
          <w:highlight w:val="none"/>
        </w:rPr>
        <w:t>（3）电机：纯电驱动电机，额定/峰值功率≥120/240kW，额定/峰值扭矩≥1200/2400N.m，电机至驱动轮间设置多档位的峰</w:t>
      </w:r>
      <w:r>
        <w:rPr>
          <w:rFonts w:hint="eastAsia" w:hAnsi="宋体" w:cs="宋体"/>
          <w:color w:val="auto"/>
          <w:kern w:val="0"/>
          <w:szCs w:val="21"/>
          <w:highlight w:val="none"/>
        </w:rPr>
        <w:t>值扭矩:</w:t>
      </w:r>
      <w:r>
        <w:rPr>
          <w:rFonts w:hint="eastAsia" w:hAnsi="宋体" w:cs="宋体"/>
          <w:color w:val="auto"/>
          <w:sz w:val="24"/>
          <w:szCs w:val="24"/>
          <w:highlight w:val="none"/>
        </w:rPr>
        <w:t>≥</w:t>
      </w:r>
      <w:r>
        <w:rPr>
          <w:rFonts w:hint="eastAsia" w:hAnsi="宋体" w:cs="宋体"/>
          <w:color w:val="auto"/>
          <w:kern w:val="0"/>
          <w:szCs w:val="21"/>
          <w:highlight w:val="none"/>
        </w:rPr>
        <w:t>750N.m。</w:t>
      </w:r>
    </w:p>
    <w:p w14:paraId="1B8284C7">
      <w:pPr>
        <w:pStyle w:val="85"/>
        <w:ind w:firstLine="315" w:firstLineChars="150"/>
        <w:rPr>
          <w:rFonts w:hint="eastAsia" w:hAnsi="宋体" w:cs="宋体"/>
          <w:color w:val="auto"/>
          <w:sz w:val="24"/>
          <w:szCs w:val="24"/>
          <w:highlight w:val="none"/>
          <w:lang w:eastAsia="zh-CN"/>
        </w:rPr>
      </w:pPr>
      <w:r>
        <w:rPr>
          <w:rFonts w:hint="eastAsia" w:hAnsi="宋体" w:cs="宋体"/>
          <w:color w:val="auto"/>
          <w:kern w:val="0"/>
          <w:szCs w:val="21"/>
          <w:highlight w:val="none"/>
          <w:lang w:eastAsia="zh-CN"/>
        </w:rPr>
        <w:t>（</w:t>
      </w:r>
      <w:r>
        <w:rPr>
          <w:rFonts w:hint="eastAsia" w:hAnsi="宋体" w:cs="宋体"/>
          <w:color w:val="auto"/>
          <w:kern w:val="0"/>
          <w:szCs w:val="21"/>
          <w:highlight w:val="none"/>
          <w:lang w:val="en-US" w:eastAsia="zh-CN"/>
        </w:rPr>
        <w:t>4</w:t>
      </w:r>
      <w:r>
        <w:rPr>
          <w:rFonts w:hint="eastAsia" w:hAnsi="宋体" w:cs="宋体"/>
          <w:color w:val="auto"/>
          <w:kern w:val="0"/>
          <w:szCs w:val="21"/>
          <w:highlight w:val="none"/>
          <w:lang w:eastAsia="zh-CN"/>
        </w:rPr>
        <w:t>）</w:t>
      </w:r>
      <w:r>
        <w:rPr>
          <w:color w:val="auto"/>
          <w:spacing w:val="18"/>
          <w:sz w:val="29"/>
          <w:szCs w:val="29"/>
          <w:highlight w:val="none"/>
          <w:lang w:eastAsia="zh-CN"/>
        </w:rPr>
        <w:t>电控：优选整车厂自主研发新能源控制系</w:t>
      </w:r>
      <w:r>
        <w:rPr>
          <w:rFonts w:hint="eastAsia" w:hAnsi="宋体" w:cs="宋体"/>
          <w:color w:val="auto"/>
          <w:sz w:val="24"/>
          <w:szCs w:val="24"/>
          <w:highlight w:val="none"/>
          <w:lang w:eastAsia="zh-CN"/>
        </w:rPr>
        <w:t>统(质保</w:t>
      </w:r>
      <w:r>
        <w:rPr>
          <w:rFonts w:hint="eastAsia" w:hAnsi="宋体" w:cs="宋体"/>
          <w:color w:val="auto"/>
          <w:sz w:val="24"/>
          <w:szCs w:val="24"/>
          <w:highlight w:val="none"/>
        </w:rPr>
        <w:t>≥</w:t>
      </w:r>
      <w:r>
        <w:rPr>
          <w:rFonts w:hint="eastAsia" w:hAnsi="宋体" w:cs="宋体"/>
          <w:color w:val="auto"/>
          <w:sz w:val="24"/>
          <w:szCs w:val="24"/>
          <w:highlight w:val="none"/>
          <w:lang w:val="en-US" w:eastAsia="zh-CN"/>
        </w:rPr>
        <w:t>10</w:t>
      </w:r>
      <w:r>
        <w:rPr>
          <w:rFonts w:hint="eastAsia" w:hAnsi="宋体" w:cs="宋体"/>
          <w:color w:val="auto"/>
          <w:sz w:val="24"/>
          <w:szCs w:val="24"/>
          <w:highlight w:val="none"/>
          <w:lang w:eastAsia="zh-CN"/>
        </w:rPr>
        <w:t>年)。</w:t>
      </w:r>
    </w:p>
    <w:p w14:paraId="0925BC7B">
      <w:pPr>
        <w:pStyle w:val="85"/>
        <w:ind w:firstLine="360" w:firstLineChars="150"/>
        <w:rPr>
          <w:rFonts w:hint="eastAsia" w:hAnsi="宋体" w:cs="宋体"/>
          <w:color w:val="auto"/>
          <w:sz w:val="24"/>
          <w:szCs w:val="24"/>
          <w:highlight w:val="none"/>
        </w:rPr>
      </w:pPr>
      <w:r>
        <w:rPr>
          <w:rFonts w:hint="eastAsia" w:hAnsi="宋体" w:cs="宋体"/>
          <w:color w:val="auto"/>
          <w:sz w:val="24"/>
          <w:szCs w:val="24"/>
          <w:highlight w:val="none"/>
        </w:rPr>
        <w:t>（</w:t>
      </w:r>
      <w:r>
        <w:rPr>
          <w:rFonts w:hint="eastAsia" w:hAnsi="宋体" w:cs="宋体"/>
          <w:color w:val="auto"/>
          <w:sz w:val="24"/>
          <w:szCs w:val="24"/>
          <w:highlight w:val="none"/>
          <w:lang w:val="en-US" w:eastAsia="zh-CN"/>
        </w:rPr>
        <w:t>5</w:t>
      </w:r>
      <w:r>
        <w:rPr>
          <w:rFonts w:hint="eastAsia" w:hAnsi="宋体" w:cs="宋体"/>
          <w:color w:val="auto"/>
          <w:sz w:val="24"/>
          <w:szCs w:val="24"/>
          <w:highlight w:val="none"/>
        </w:rPr>
        <w:t>）动力电池容量≥</w:t>
      </w:r>
      <w:r>
        <w:rPr>
          <w:rFonts w:hint="eastAsia" w:hAnsi="宋体" w:cs="宋体"/>
          <w:color w:val="auto"/>
          <w:sz w:val="24"/>
          <w:szCs w:val="24"/>
          <w:highlight w:val="none"/>
          <w:lang w:val="en-US" w:eastAsia="zh-CN"/>
        </w:rPr>
        <w:t>310</w:t>
      </w:r>
      <w:r>
        <w:rPr>
          <w:rFonts w:hint="eastAsia" w:hAnsi="宋体" w:cs="宋体"/>
          <w:color w:val="auto"/>
          <w:sz w:val="24"/>
          <w:szCs w:val="24"/>
          <w:highlight w:val="none"/>
        </w:rPr>
        <w:t>kWh</w:t>
      </w:r>
      <w:r>
        <w:rPr>
          <w:rFonts w:hint="eastAsia" w:hAnsi="宋体" w:cs="宋体"/>
          <w:color w:val="auto"/>
          <w:sz w:val="24"/>
          <w:szCs w:val="24"/>
          <w:highlight w:val="none"/>
          <w:lang w:eastAsia="zh-CN"/>
        </w:rPr>
        <w:t>，续航里程要求： 公路开</w:t>
      </w:r>
      <w:r>
        <w:rPr>
          <w:rFonts w:hint="eastAsia" w:hAnsi="宋体" w:cs="宋体"/>
          <w:color w:val="auto"/>
          <w:sz w:val="24"/>
          <w:szCs w:val="24"/>
          <w:highlight w:val="none"/>
          <w:lang w:val="en-US" w:eastAsia="zh-CN"/>
        </w:rPr>
        <w:t>空调</w:t>
      </w:r>
      <w:r>
        <w:rPr>
          <w:rFonts w:hint="eastAsia" w:hAnsi="宋体" w:cs="宋体"/>
          <w:color w:val="auto"/>
          <w:sz w:val="24"/>
          <w:szCs w:val="24"/>
          <w:highlight w:val="none"/>
          <w:lang w:eastAsia="zh-CN"/>
        </w:rPr>
        <w:t>满载工况下不低于350KM，能量密度不低于170Wh/kg。</w:t>
      </w:r>
      <w:r>
        <w:rPr>
          <w:rFonts w:hint="eastAsia" w:hAnsi="宋体" w:cs="宋体"/>
          <w:color w:val="auto"/>
          <w:sz w:val="24"/>
          <w:szCs w:val="24"/>
          <w:highlight w:val="none"/>
        </w:rPr>
        <w:t>且防护等级大于等于IP6</w:t>
      </w:r>
      <w:r>
        <w:rPr>
          <w:rFonts w:hint="eastAsia" w:hAnsi="宋体" w:cs="宋体"/>
          <w:color w:val="auto"/>
          <w:sz w:val="24"/>
          <w:szCs w:val="24"/>
          <w:highlight w:val="none"/>
          <w:lang w:val="en-US" w:eastAsia="zh-CN"/>
        </w:rPr>
        <w:t>8</w:t>
      </w:r>
      <w:r>
        <w:rPr>
          <w:rFonts w:hint="eastAsia" w:hAnsi="宋体" w:cs="宋体"/>
          <w:color w:val="auto"/>
          <w:sz w:val="24"/>
          <w:szCs w:val="24"/>
          <w:highlight w:val="none"/>
        </w:rPr>
        <w:t>，磷酸铁锂，</w:t>
      </w:r>
      <w:r>
        <w:rPr>
          <w:rFonts w:hint="eastAsia" w:hAnsi="宋体" w:cs="宋体"/>
          <w:color w:val="auto"/>
          <w:sz w:val="24"/>
          <w:szCs w:val="24"/>
          <w:highlight w:val="none"/>
          <w:lang w:val="en-US" w:eastAsia="zh-CN"/>
        </w:rPr>
        <w:t>独立</w:t>
      </w:r>
      <w:r>
        <w:rPr>
          <w:rFonts w:hint="eastAsia" w:hAnsi="宋体" w:cs="宋体"/>
          <w:color w:val="auto"/>
          <w:sz w:val="24"/>
          <w:szCs w:val="24"/>
          <w:highlight w:val="none"/>
        </w:rPr>
        <w:t>液冷，满足2026年即将执行的新国标要求，保证在10年或100万公里的使用期限内，电池容量衰减不超过总储电量的20%，若</w:t>
      </w:r>
      <w:r>
        <w:rPr>
          <w:rFonts w:hint="eastAsia" w:hAnsi="宋体" w:cs="宋体"/>
          <w:color w:val="auto"/>
          <w:sz w:val="24"/>
          <w:szCs w:val="24"/>
          <w:highlight w:val="none"/>
          <w:lang w:val="en-US" w:eastAsia="zh-CN"/>
        </w:rPr>
        <w:t>衰减</w:t>
      </w:r>
      <w:r>
        <w:rPr>
          <w:rFonts w:hint="eastAsia" w:hAnsi="宋体" w:cs="宋体"/>
          <w:color w:val="auto"/>
          <w:sz w:val="24"/>
          <w:szCs w:val="24"/>
          <w:highlight w:val="none"/>
        </w:rPr>
        <w:t>超过此限，应免费更换电池。电池单体电压应满足一致性要求，若因单体电压过低、过高或压差过大导致续航里程减少，视为电池衰减，存在安全隐患时应立即更换。电池电芯与电池系统应由同一家动力电池企业生产。</w:t>
      </w:r>
      <w:bookmarkStart w:id="160" w:name="_Hlk212217123"/>
      <w:r>
        <w:rPr>
          <w:rFonts w:hint="eastAsia" w:hAnsi="宋体" w:cs="宋体"/>
          <w:color w:val="auto"/>
          <w:sz w:val="24"/>
          <w:szCs w:val="24"/>
          <w:highlight w:val="none"/>
        </w:rPr>
        <w:t>性能相当或优于</w:t>
      </w:r>
      <w:bookmarkEnd w:id="160"/>
      <w:r>
        <w:rPr>
          <w:rFonts w:hint="eastAsia" w:hAnsi="宋体" w:cs="宋体"/>
          <w:color w:val="auto"/>
          <w:sz w:val="24"/>
          <w:szCs w:val="24"/>
          <w:highlight w:val="none"/>
        </w:rPr>
        <w:t>宁德时代BC5磷酸铁锂动力电池</w:t>
      </w:r>
      <w:r>
        <w:rPr>
          <w:rFonts w:hint="eastAsia" w:hAnsi="宋体" w:cs="宋体"/>
          <w:color w:val="auto"/>
          <w:sz w:val="24"/>
          <w:szCs w:val="24"/>
          <w:highlight w:val="none"/>
          <w:lang w:val="en-US" w:eastAsia="zh-CN"/>
        </w:rPr>
        <w:t>同类产品</w:t>
      </w:r>
      <w:r>
        <w:rPr>
          <w:rFonts w:hint="eastAsia" w:hAnsi="宋体" w:cs="宋体"/>
          <w:color w:val="auto"/>
          <w:sz w:val="24"/>
          <w:szCs w:val="24"/>
          <w:highlight w:val="none"/>
        </w:rPr>
        <w:t>。</w:t>
      </w:r>
    </w:p>
    <w:p w14:paraId="35F08419">
      <w:pPr>
        <w:pStyle w:val="85"/>
        <w:ind w:firstLine="360" w:firstLineChars="150"/>
        <w:rPr>
          <w:rFonts w:hint="default" w:hAnsi="宋体" w:eastAsia="宋体" w:cs="宋体"/>
          <w:color w:val="auto"/>
          <w:kern w:val="0"/>
          <w:sz w:val="24"/>
          <w:szCs w:val="24"/>
          <w:highlight w:val="none"/>
          <w:lang w:val="en-US" w:eastAsia="zh-CN"/>
        </w:rPr>
      </w:pPr>
      <w:r>
        <w:rPr>
          <w:rFonts w:hint="eastAsia" w:hAnsi="宋体" w:cs="宋体"/>
          <w:color w:val="auto"/>
          <w:sz w:val="24"/>
          <w:szCs w:val="24"/>
          <w:highlight w:val="none"/>
        </w:rPr>
        <w:t>（</w:t>
      </w:r>
      <w:r>
        <w:rPr>
          <w:rFonts w:hint="eastAsia" w:hAnsi="宋体" w:cs="宋体"/>
          <w:color w:val="auto"/>
          <w:sz w:val="24"/>
          <w:szCs w:val="24"/>
          <w:highlight w:val="none"/>
          <w:lang w:val="en-US" w:eastAsia="zh-CN"/>
        </w:rPr>
        <w:t>6</w:t>
      </w:r>
      <w:r>
        <w:rPr>
          <w:rFonts w:hint="eastAsia" w:hAnsi="宋体" w:cs="宋体"/>
          <w:color w:val="auto"/>
          <w:sz w:val="24"/>
          <w:szCs w:val="24"/>
          <w:highlight w:val="none"/>
        </w:rPr>
        <w:t>）空调：</w:t>
      </w:r>
      <w:r>
        <w:rPr>
          <w:rFonts w:hint="eastAsia" w:hAnsi="宋体" w:cs="宋体"/>
          <w:color w:val="auto"/>
          <w:kern w:val="0"/>
          <w:sz w:val="24"/>
          <w:szCs w:val="24"/>
          <w:highlight w:val="none"/>
        </w:rPr>
        <w:t>安装温度自动控制装置，总制冷量不低于</w:t>
      </w:r>
      <w:r>
        <w:rPr>
          <w:rFonts w:hint="eastAsia" w:hAnsi="宋体" w:cs="宋体"/>
          <w:color w:val="auto"/>
          <w:kern w:val="0"/>
          <w:sz w:val="24"/>
          <w:szCs w:val="24"/>
          <w:highlight w:val="none"/>
          <w:lang w:val="en-US" w:eastAsia="zh-CN"/>
        </w:rPr>
        <w:t>3</w:t>
      </w:r>
      <w:r>
        <w:rPr>
          <w:rFonts w:hint="eastAsia" w:hAnsi="宋体" w:cs="宋体"/>
          <w:color w:val="auto"/>
          <w:kern w:val="0"/>
          <w:sz w:val="24"/>
          <w:szCs w:val="24"/>
          <w:highlight w:val="none"/>
        </w:rPr>
        <w:t>2000Kcal/h，</w:t>
      </w:r>
      <w:r>
        <w:rPr>
          <w:rFonts w:hint="eastAsia" w:hAnsi="宋体" w:cs="宋体"/>
          <w:color w:val="auto"/>
          <w:sz w:val="24"/>
          <w:szCs w:val="24"/>
          <w:highlight w:val="none"/>
        </w:rPr>
        <w:t>技术要求符合《汽车用电驱动空调器》（GB/T 37123-2018）和《纯电动汽车空调系统的能效技术要求及试验方法》（T/CECA-G 0231-2023）、</w:t>
      </w:r>
      <w:r>
        <w:rPr>
          <w:rFonts w:hAnsi="宋体" w:cs="宋体"/>
          <w:color w:val="auto"/>
          <w:kern w:val="0"/>
          <w:sz w:val="24"/>
          <w:szCs w:val="24"/>
          <w:highlight w:val="none"/>
        </w:rPr>
        <w:t>QC T 656-2000</w:t>
      </w:r>
      <w:r>
        <w:rPr>
          <w:rFonts w:hint="eastAsia" w:hAnsi="宋体" w:cs="宋体"/>
          <w:color w:val="auto"/>
          <w:kern w:val="0"/>
          <w:sz w:val="24"/>
          <w:szCs w:val="24"/>
          <w:highlight w:val="none"/>
        </w:rPr>
        <w:t>《汽车空调制冷装置性能要求》、QC/T656-2023</w:t>
      </w:r>
      <w:r>
        <w:rPr>
          <w:rFonts w:hint="eastAsia" w:hAnsi="宋体" w:cs="宋体"/>
          <w:color w:val="auto"/>
          <w:sz w:val="24"/>
          <w:szCs w:val="24"/>
          <w:highlight w:val="none"/>
        </w:rPr>
        <w:t>《汽车空调用空气调节装置总成》等标准规定，性能相当于或优于上海松芝同类产品</w:t>
      </w:r>
      <w:r>
        <w:rPr>
          <w:rFonts w:hint="eastAsia" w:hAnsi="宋体" w:cs="宋体"/>
          <w:color w:val="auto"/>
          <w:sz w:val="24"/>
          <w:szCs w:val="24"/>
          <w:highlight w:val="none"/>
          <w:lang w:eastAsia="zh-CN"/>
        </w:rPr>
        <w:t>。</w:t>
      </w:r>
      <w:r>
        <w:rPr>
          <w:rFonts w:hint="eastAsia" w:hAnsi="宋体" w:cs="宋体"/>
          <w:color w:val="auto"/>
          <w:kern w:val="0"/>
          <w:sz w:val="24"/>
          <w:szCs w:val="24"/>
          <w:highlight w:val="none"/>
          <w:lang w:val="en-US" w:eastAsia="zh-CN"/>
        </w:rPr>
        <w:t>质保不低于6年。</w:t>
      </w:r>
    </w:p>
    <w:p w14:paraId="597B5882">
      <w:pPr>
        <w:pStyle w:val="85"/>
        <w:ind w:firstLine="360" w:firstLineChars="150"/>
        <w:rPr>
          <w:rFonts w:hint="default" w:hAnsi="宋体" w:eastAsia="宋体" w:cs="宋体"/>
          <w:color w:val="auto"/>
          <w:kern w:val="0"/>
          <w:sz w:val="24"/>
          <w:szCs w:val="24"/>
          <w:highlight w:val="none"/>
          <w:lang w:val="en-US" w:eastAsia="zh-CN"/>
        </w:rPr>
      </w:pPr>
      <w:r>
        <w:rPr>
          <w:rFonts w:hint="eastAsia" w:hAnsi="宋体" w:cs="宋体"/>
          <w:color w:val="auto"/>
          <w:kern w:val="0"/>
          <w:sz w:val="24"/>
          <w:szCs w:val="24"/>
          <w:highlight w:val="none"/>
          <w:lang w:eastAsia="zh-CN"/>
        </w:rPr>
        <w:t>（</w:t>
      </w:r>
      <w:r>
        <w:rPr>
          <w:rFonts w:hint="eastAsia" w:hAnsi="宋体" w:cs="宋体"/>
          <w:color w:val="auto"/>
          <w:kern w:val="0"/>
          <w:sz w:val="24"/>
          <w:szCs w:val="24"/>
          <w:highlight w:val="none"/>
          <w:lang w:val="en-US" w:eastAsia="zh-CN"/>
        </w:rPr>
        <w:t>7</w:t>
      </w:r>
      <w:r>
        <w:rPr>
          <w:rFonts w:hint="eastAsia" w:hAnsi="宋体" w:cs="宋体"/>
          <w:color w:val="auto"/>
          <w:kern w:val="0"/>
          <w:sz w:val="24"/>
          <w:szCs w:val="24"/>
          <w:highlight w:val="none"/>
          <w:lang w:eastAsia="zh-CN"/>
        </w:rPr>
        <w:t>）电动空压机：配置滑片式(油润滑)电动空气压缩机。</w:t>
      </w:r>
      <w:r>
        <w:rPr>
          <w:rFonts w:hint="eastAsia" w:hAnsi="宋体" w:cs="宋体"/>
          <w:color w:val="auto"/>
          <w:kern w:val="0"/>
          <w:sz w:val="24"/>
          <w:szCs w:val="24"/>
          <w:highlight w:val="none"/>
          <w:lang w:val="en-US" w:eastAsia="zh-CN"/>
        </w:rPr>
        <w:t>质保不低于5年。</w:t>
      </w:r>
    </w:p>
    <w:p w14:paraId="22FA5ACF">
      <w:pPr>
        <w:pStyle w:val="128"/>
        <w:ind w:firstLine="482"/>
        <w:jc w:val="both"/>
        <w:rPr>
          <w:rFonts w:hint="eastAsia"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（7）暖风系统：暖风系统采用热泵+PTC辅助或冷暖空调或独立水暖等方式的暖风设备，散热器个数视车</w:t>
      </w:r>
      <w:r>
        <w:rPr>
          <w:rFonts w:hint="eastAsia" w:cs="宋体"/>
          <w:color w:val="auto"/>
          <w:kern w:val="2"/>
          <w:sz w:val="24"/>
          <w:szCs w:val="24"/>
          <w:highlight w:val="none"/>
          <w:lang w:val="en-US" w:eastAsia="zh-CN" w:bidi="ar-SA"/>
        </w:rPr>
        <w:t>型确</w:t>
      </w:r>
      <w:r>
        <w:rPr>
          <w:rFonts w:hint="eastAsia" w:ascii="宋体" w:hAnsi="宋体" w:eastAsia="宋体" w:cs="宋体"/>
          <w:color w:val="auto"/>
          <w:kern w:val="2"/>
          <w:sz w:val="24"/>
          <w:szCs w:val="24"/>
          <w:highlight w:val="none"/>
          <w:lang w:val="en-US" w:eastAsia="zh-CN" w:bidi="ar-SA"/>
        </w:rPr>
        <w:t>定，要求满足整车供暖需求,均匀加热，带加热量调节功能。采用冷暖一体式</w:t>
      </w:r>
      <w:r>
        <w:rPr>
          <w:rFonts w:hint="eastAsia" w:cs="宋体"/>
          <w:color w:val="auto"/>
          <w:sz w:val="24"/>
          <w:szCs w:val="24"/>
          <w:highlight w:val="none"/>
        </w:rPr>
        <w:t>空调的，制冷、制热量需满足要求。</w:t>
      </w:r>
    </w:p>
    <w:p w14:paraId="196A6834">
      <w:pPr>
        <w:pStyle w:val="85"/>
        <w:ind w:firstLine="480"/>
        <w:rPr>
          <w:rFonts w:hint="eastAsia" w:hAnsi="宋体" w:cs="宋体"/>
          <w:color w:val="auto"/>
          <w:sz w:val="24"/>
          <w:szCs w:val="24"/>
          <w:highlight w:val="none"/>
        </w:rPr>
      </w:pPr>
      <w:r>
        <w:rPr>
          <w:rFonts w:hint="eastAsia" w:hAnsi="宋体" w:cs="宋体"/>
          <w:color w:val="auto"/>
          <w:sz w:val="24"/>
          <w:szCs w:val="24"/>
          <w:highlight w:val="none"/>
        </w:rPr>
        <w:t>（7）安装强制通风换气装置。</w:t>
      </w:r>
    </w:p>
    <w:p w14:paraId="4A90D208">
      <w:pPr>
        <w:pStyle w:val="85"/>
        <w:ind w:firstLine="480"/>
        <w:rPr>
          <w:rFonts w:hint="eastAsia" w:hAnsi="宋体" w:cs="宋体"/>
          <w:color w:val="auto"/>
          <w:sz w:val="24"/>
          <w:szCs w:val="24"/>
          <w:highlight w:val="none"/>
        </w:rPr>
      </w:pPr>
      <w:r>
        <w:rPr>
          <w:rFonts w:hint="eastAsia" w:hAnsi="宋体" w:cs="宋体"/>
          <w:color w:val="auto"/>
          <w:sz w:val="24"/>
          <w:szCs w:val="24"/>
          <w:highlight w:val="none"/>
        </w:rPr>
        <w:t>（8）配置空气净化装置。</w:t>
      </w:r>
    </w:p>
    <w:p w14:paraId="4C0B1EFD">
      <w:pPr>
        <w:pStyle w:val="85"/>
        <w:ind w:firstLine="480"/>
        <w:rPr>
          <w:rFonts w:hAnsi="宋体" w:cs="宋体"/>
          <w:color w:val="auto"/>
          <w:sz w:val="24"/>
          <w:szCs w:val="24"/>
          <w:highlight w:val="none"/>
        </w:rPr>
      </w:pPr>
      <w:r>
        <w:rPr>
          <w:rFonts w:hint="eastAsia" w:hAnsi="宋体" w:cs="宋体"/>
          <w:color w:val="auto"/>
          <w:sz w:val="24"/>
          <w:szCs w:val="24"/>
          <w:highlight w:val="none"/>
        </w:rPr>
        <w:t>（9）主动安全性：配置前向碰撞预警、车道偏离预警、紧急制动系统。</w:t>
      </w:r>
    </w:p>
    <w:p w14:paraId="3893A155">
      <w:pPr>
        <w:pStyle w:val="85"/>
        <w:ind w:firstLine="480"/>
        <w:rPr>
          <w:rFonts w:hint="eastAsia" w:hAnsi="宋体" w:cs="宋体"/>
          <w:color w:val="auto"/>
          <w:sz w:val="24"/>
          <w:szCs w:val="24"/>
          <w:highlight w:val="none"/>
        </w:rPr>
      </w:pPr>
      <w:r>
        <w:rPr>
          <w:rFonts w:hint="eastAsia" w:hAnsi="宋体" w:cs="宋体"/>
          <w:color w:val="auto"/>
          <w:sz w:val="24"/>
          <w:szCs w:val="24"/>
          <w:highlight w:val="none"/>
        </w:rPr>
        <w:t>（10）</w:t>
      </w:r>
      <w:r>
        <w:rPr>
          <w:rFonts w:hint="eastAsia" w:hAnsi="宋体" w:cs="宋体"/>
          <w:b/>
          <w:bCs/>
          <w:color w:val="auto"/>
          <w:sz w:val="24"/>
          <w:szCs w:val="24"/>
          <w:highlight w:val="none"/>
        </w:rPr>
        <w:t>底盘：</w:t>
      </w:r>
      <w:r>
        <w:rPr>
          <w:rFonts w:hint="eastAsia" w:hAnsi="宋体" w:cs="宋体"/>
          <w:color w:val="auto"/>
          <w:sz w:val="24"/>
          <w:szCs w:val="24"/>
          <w:highlight w:val="none"/>
        </w:rPr>
        <w:t>选用全承载结构，要加强纵梁、横梁除锈防锈。出现骨架、大梁、前后桥断裂，厂家应予“召回更换、终</w:t>
      </w:r>
      <w:r>
        <w:rPr>
          <w:rFonts w:hint="eastAsia" w:hAnsi="宋体" w:cs="宋体"/>
          <w:color w:val="auto"/>
          <w:sz w:val="24"/>
          <w:szCs w:val="24"/>
          <w:highlight w:val="none"/>
          <w:lang w:val="en-US" w:eastAsia="zh-CN"/>
        </w:rPr>
        <w:t>身</w:t>
      </w:r>
      <w:r>
        <w:rPr>
          <w:rFonts w:hint="eastAsia" w:hAnsi="宋体" w:cs="宋体"/>
          <w:color w:val="auto"/>
          <w:sz w:val="24"/>
          <w:szCs w:val="24"/>
          <w:highlight w:val="none"/>
        </w:rPr>
        <w:t>保修”。</w:t>
      </w:r>
    </w:p>
    <w:p w14:paraId="71D6C7FD">
      <w:pPr>
        <w:pStyle w:val="85"/>
        <w:ind w:firstLine="360" w:firstLineChars="150"/>
        <w:rPr>
          <w:rFonts w:hint="eastAsia" w:hAnsi="宋体" w:cs="宋体"/>
          <w:color w:val="auto"/>
          <w:sz w:val="24"/>
          <w:szCs w:val="24"/>
          <w:highlight w:val="none"/>
        </w:rPr>
      </w:pPr>
      <w:r>
        <w:rPr>
          <w:rFonts w:hint="eastAsia" w:hAnsi="宋体" w:cs="宋体"/>
          <w:color w:val="auto"/>
          <w:sz w:val="24"/>
          <w:szCs w:val="24"/>
          <w:highlight w:val="none"/>
        </w:rPr>
        <w:t>（</w:t>
      </w:r>
      <w:r>
        <w:rPr>
          <w:rFonts w:hint="eastAsia" w:hAnsi="宋体" w:cs="宋体"/>
          <w:b/>
          <w:bCs/>
          <w:color w:val="auto"/>
          <w:sz w:val="24"/>
          <w:szCs w:val="24"/>
          <w:highlight w:val="none"/>
        </w:rPr>
        <w:t>11）前桥</w:t>
      </w:r>
      <w:r>
        <w:rPr>
          <w:rFonts w:hint="eastAsia" w:hAnsi="宋体" w:cs="宋体"/>
          <w:color w:val="auto"/>
          <w:sz w:val="24"/>
          <w:szCs w:val="24"/>
          <w:highlight w:val="none"/>
        </w:rPr>
        <w:t>：相匹配不小于</w:t>
      </w:r>
      <w:r>
        <w:rPr>
          <w:rFonts w:hint="eastAsia" w:hAnsi="宋体" w:cs="宋体"/>
          <w:color w:val="auto"/>
          <w:sz w:val="24"/>
          <w:szCs w:val="24"/>
          <w:highlight w:val="none"/>
          <w:lang w:val="en-US" w:eastAsia="zh-CN"/>
        </w:rPr>
        <w:t>6</w:t>
      </w:r>
      <w:r>
        <w:rPr>
          <w:rFonts w:hint="eastAsia" w:hAnsi="宋体" w:cs="宋体"/>
          <w:color w:val="auto"/>
          <w:sz w:val="24"/>
          <w:szCs w:val="24"/>
          <w:highlight w:val="none"/>
        </w:rPr>
        <w:t>.5t高一级公路营运客车8年或50万公里及以上免维护</w:t>
      </w:r>
      <w:r>
        <w:rPr>
          <w:rFonts w:hint="eastAsia" w:hAnsi="宋体" w:cs="宋体"/>
          <w:color w:val="auto"/>
          <w:sz w:val="24"/>
          <w:szCs w:val="24"/>
          <w:highlight w:val="none"/>
          <w:lang w:eastAsia="zh-CN"/>
        </w:rPr>
        <w:t>全脂</w:t>
      </w:r>
      <w:r>
        <w:rPr>
          <w:rFonts w:hint="eastAsia" w:hAnsi="宋体" w:cs="宋体"/>
          <w:color w:val="auto"/>
          <w:sz w:val="24"/>
          <w:szCs w:val="24"/>
          <w:highlight w:val="none"/>
          <w:lang w:val="en-US" w:eastAsia="zh-CN"/>
        </w:rPr>
        <w:t>润滑</w:t>
      </w:r>
      <w:r>
        <w:rPr>
          <w:rFonts w:hint="eastAsia" w:hAnsi="宋体" w:cs="宋体"/>
          <w:color w:val="auto"/>
          <w:sz w:val="24"/>
          <w:szCs w:val="24"/>
          <w:highlight w:val="none"/>
        </w:rPr>
        <w:t>前桥，且前桥轴荷+后桥轴荷大于等于车辆总质量，采用符合国家公告和技术标准产品，性能相当或优于方盛、东风产品。使用盘式制动器，制动盘≥22.5吋。</w:t>
      </w:r>
    </w:p>
    <w:p w14:paraId="5BE8A090">
      <w:pPr>
        <w:pStyle w:val="85"/>
        <w:ind w:firstLine="361" w:firstLineChars="150"/>
        <w:rPr>
          <w:rFonts w:hint="eastAsia" w:hAnsi="宋体" w:cs="宋体"/>
          <w:color w:val="auto"/>
          <w:sz w:val="24"/>
          <w:szCs w:val="24"/>
          <w:highlight w:val="none"/>
        </w:rPr>
      </w:pPr>
      <w:r>
        <w:rPr>
          <w:rFonts w:hint="eastAsia" w:hAnsi="宋体" w:cs="宋体"/>
          <w:b/>
          <w:bCs/>
          <w:color w:val="auto"/>
          <w:sz w:val="24"/>
          <w:szCs w:val="24"/>
          <w:highlight w:val="none"/>
        </w:rPr>
        <w:t>（12）后桥</w:t>
      </w:r>
      <w:r>
        <w:rPr>
          <w:rFonts w:hint="eastAsia" w:hAnsi="宋体" w:cs="宋体"/>
          <w:color w:val="auto"/>
          <w:sz w:val="24"/>
          <w:szCs w:val="24"/>
          <w:highlight w:val="none"/>
        </w:rPr>
        <w:t>：相匹配不小于</w:t>
      </w:r>
      <w:r>
        <w:rPr>
          <w:rFonts w:hint="eastAsia" w:hAnsi="宋体" w:cs="宋体"/>
          <w:color w:val="auto"/>
          <w:sz w:val="24"/>
          <w:szCs w:val="24"/>
          <w:highlight w:val="none"/>
          <w:lang w:val="en-US" w:eastAsia="zh-CN"/>
        </w:rPr>
        <w:t>11.5</w:t>
      </w:r>
      <w:r>
        <w:rPr>
          <w:rFonts w:hint="eastAsia" w:hAnsi="宋体" w:cs="宋体"/>
          <w:color w:val="auto"/>
          <w:sz w:val="24"/>
          <w:szCs w:val="24"/>
          <w:highlight w:val="none"/>
        </w:rPr>
        <w:t>t高一级公路营运客车8年或50万公里及以上免维护</w:t>
      </w:r>
      <w:r>
        <w:rPr>
          <w:rFonts w:hint="eastAsia" w:hAnsi="宋体" w:cs="宋体"/>
          <w:color w:val="auto"/>
          <w:sz w:val="24"/>
          <w:szCs w:val="24"/>
          <w:highlight w:val="none"/>
          <w:lang w:eastAsia="zh-CN"/>
        </w:rPr>
        <w:t>全脂</w:t>
      </w:r>
      <w:r>
        <w:rPr>
          <w:rFonts w:hint="eastAsia" w:hAnsi="宋体" w:cs="宋体"/>
          <w:color w:val="auto"/>
          <w:sz w:val="24"/>
          <w:szCs w:val="24"/>
          <w:highlight w:val="none"/>
          <w:lang w:val="en-US" w:eastAsia="zh-CN"/>
        </w:rPr>
        <w:t>润滑</w:t>
      </w:r>
      <w:r>
        <w:rPr>
          <w:rFonts w:hint="eastAsia" w:hAnsi="宋体" w:cs="宋体"/>
          <w:color w:val="auto"/>
          <w:sz w:val="24"/>
          <w:szCs w:val="24"/>
          <w:highlight w:val="none"/>
        </w:rPr>
        <w:t>后桥，且前桥轴荷+后桥轴荷大于等于车辆总质量，采用符合国家公告和技术标准产品，性能相当或优于方盛、东风产品。轮辋幅板厚度不小于12mm，整车传动</w:t>
      </w:r>
      <w:r>
        <w:rPr>
          <w:rFonts w:hint="eastAsia" w:hAnsi="宋体" w:cs="宋体"/>
          <w:color w:val="auto"/>
          <w:sz w:val="24"/>
          <w:szCs w:val="24"/>
          <w:highlight w:val="none"/>
          <w:lang w:eastAsia="zh-CN"/>
        </w:rPr>
        <w:t>系统</w:t>
      </w:r>
      <w:r>
        <w:rPr>
          <w:rFonts w:hint="eastAsia" w:hAnsi="宋体" w:cs="宋体"/>
          <w:color w:val="auto"/>
          <w:sz w:val="24"/>
          <w:szCs w:val="24"/>
          <w:highlight w:val="none"/>
        </w:rPr>
        <w:t>的匹配要求得到较好的经济性，使用盘式制动器，制动盘≥22.5吋。</w:t>
      </w:r>
    </w:p>
    <w:p w14:paraId="3F15C6F0">
      <w:pPr>
        <w:pStyle w:val="85"/>
        <w:ind w:firstLine="361" w:firstLineChars="150"/>
        <w:rPr>
          <w:rFonts w:hint="eastAsia" w:hAnsi="宋体" w:cs="宋体"/>
          <w:color w:val="auto"/>
          <w:sz w:val="24"/>
          <w:szCs w:val="24"/>
          <w:highlight w:val="none"/>
        </w:rPr>
      </w:pPr>
      <w:r>
        <w:rPr>
          <w:rFonts w:hint="eastAsia" w:hAnsi="宋体" w:cs="宋体"/>
          <w:b/>
          <w:bCs/>
          <w:color w:val="auto"/>
          <w:sz w:val="24"/>
          <w:szCs w:val="24"/>
          <w:highlight w:val="none"/>
        </w:rPr>
        <w:t>（13）悬架：</w:t>
      </w:r>
      <w:r>
        <w:rPr>
          <w:rFonts w:hint="eastAsia" w:hAnsi="宋体" w:cs="宋体"/>
          <w:color w:val="auto"/>
          <w:sz w:val="24"/>
          <w:szCs w:val="24"/>
          <w:highlight w:val="none"/>
        </w:rPr>
        <w:t>采用高一级公路营运客车相匹配的专用空气悬 架系统其中气囊性能相当于或优于CONTITECH 产品，高度阀 性能相当于或优于WABCO产品，减震器性能同等或优于SACHS 产品；。</w:t>
      </w:r>
    </w:p>
    <w:p w14:paraId="304B1099">
      <w:pPr>
        <w:pStyle w:val="85"/>
        <w:ind w:firstLine="361" w:firstLineChars="150"/>
        <w:rPr>
          <w:rFonts w:hint="eastAsia" w:hAnsi="宋体" w:cs="宋体"/>
          <w:color w:val="auto"/>
          <w:sz w:val="24"/>
          <w:szCs w:val="24"/>
          <w:highlight w:val="none"/>
        </w:rPr>
      </w:pPr>
      <w:r>
        <w:rPr>
          <w:rFonts w:hint="eastAsia" w:hAnsi="宋体" w:cs="宋体"/>
          <w:b/>
          <w:bCs/>
          <w:color w:val="auto"/>
          <w:sz w:val="24"/>
          <w:szCs w:val="24"/>
          <w:highlight w:val="none"/>
        </w:rPr>
        <w:t>（14）减震器：</w:t>
      </w:r>
      <w:r>
        <w:rPr>
          <w:rFonts w:hint="eastAsia" w:hAnsi="宋体" w:cs="宋体"/>
          <w:color w:val="auto"/>
          <w:sz w:val="24"/>
          <w:szCs w:val="24"/>
          <w:highlight w:val="none"/>
        </w:rPr>
        <w:t xml:space="preserve">双向液压减震器，上下支架销为台阶结构，上支架与车架的连接螺栓应选用加强型螺栓。 </w:t>
      </w:r>
    </w:p>
    <w:p w14:paraId="6D5EC38A">
      <w:pPr>
        <w:pStyle w:val="85"/>
        <w:ind w:firstLine="361" w:firstLineChars="150"/>
        <w:rPr>
          <w:rFonts w:hint="eastAsia" w:hAnsi="宋体" w:cs="宋体"/>
          <w:color w:val="auto"/>
          <w:sz w:val="24"/>
          <w:szCs w:val="24"/>
          <w:highlight w:val="none"/>
        </w:rPr>
      </w:pPr>
      <w:r>
        <w:rPr>
          <w:rFonts w:hint="eastAsia" w:hAnsi="宋体" w:cs="宋体"/>
          <w:b/>
          <w:bCs/>
          <w:color w:val="auto"/>
          <w:sz w:val="24"/>
          <w:szCs w:val="24"/>
          <w:highlight w:val="none"/>
        </w:rPr>
        <w:t>（15）转向器：</w:t>
      </w:r>
      <w:r>
        <w:rPr>
          <w:rFonts w:hint="eastAsia" w:hAnsi="宋体" w:cs="宋体"/>
          <w:color w:val="auto"/>
          <w:sz w:val="24"/>
          <w:szCs w:val="24"/>
          <w:highlight w:val="none"/>
        </w:rPr>
        <w:t xml:space="preserve"> 液压助力转向系统符合《电动客车安全技术条件》采用双源 电机车辆在行驶过程中，出现需要整车主动断B 级高压电的 车辆异常情况时，在车速大于5 km/h 时应保持转向系统维 持助力状态或至少保持转向助力状态30s。</w:t>
      </w:r>
    </w:p>
    <w:p w14:paraId="4FB873AD">
      <w:pPr>
        <w:pStyle w:val="85"/>
        <w:ind w:firstLine="361" w:firstLineChars="150"/>
        <w:rPr>
          <w:rFonts w:hint="eastAsia" w:hAnsi="宋体" w:eastAsia="宋体" w:cs="宋体"/>
          <w:color w:val="auto"/>
          <w:sz w:val="24"/>
          <w:szCs w:val="24"/>
          <w:highlight w:val="none"/>
          <w:lang w:eastAsia="zh-CN"/>
        </w:rPr>
      </w:pPr>
      <w:r>
        <w:rPr>
          <w:rFonts w:hint="eastAsia" w:hAnsi="宋体" w:cs="宋体"/>
          <w:b/>
          <w:bCs/>
          <w:color w:val="auto"/>
          <w:sz w:val="24"/>
          <w:szCs w:val="24"/>
          <w:highlight w:val="none"/>
        </w:rPr>
        <w:t>（16）制动系统：</w:t>
      </w:r>
      <w:r>
        <w:rPr>
          <w:rFonts w:hint="eastAsia" w:hAnsi="宋体" w:cs="宋体"/>
          <w:color w:val="auto"/>
          <w:sz w:val="24"/>
          <w:szCs w:val="24"/>
          <w:highlight w:val="none"/>
        </w:rPr>
        <w:t>整车制动系统带AEBS装置，前后桥采用盘式制动，整车制动系统安装防抱制动装置（ABS），配置电子稳定性控制系统（ESC）。采用双回路气制动系统，应有干燥装置，并能自动排气净化油水。ABS、各种阀类，整车气路安装电动冷凝器，空压机至冷凝之间的管路必须达到相应的散热功能。干燥器性能同等或优于WABCO 产品</w:t>
      </w:r>
      <w:r>
        <w:rPr>
          <w:rFonts w:hint="eastAsia" w:hAnsi="宋体" w:cs="宋体"/>
          <w:color w:val="auto"/>
          <w:sz w:val="24"/>
          <w:szCs w:val="24"/>
          <w:highlight w:val="none"/>
          <w:lang w:eastAsia="zh-CN"/>
        </w:rPr>
        <w:t>。</w:t>
      </w:r>
    </w:p>
    <w:p w14:paraId="68C702A6">
      <w:pPr>
        <w:pStyle w:val="85"/>
        <w:ind w:firstLine="360" w:firstLineChars="150"/>
        <w:rPr>
          <w:rFonts w:hint="eastAsia" w:hAnsi="宋体" w:cs="宋体"/>
          <w:b/>
          <w:bCs/>
          <w:color w:val="auto"/>
          <w:sz w:val="24"/>
          <w:szCs w:val="24"/>
          <w:highlight w:val="none"/>
        </w:rPr>
      </w:pPr>
      <w:r>
        <w:rPr>
          <w:rFonts w:hint="eastAsia" w:hAnsi="宋体" w:cs="宋体"/>
          <w:color w:val="auto"/>
          <w:sz w:val="24"/>
          <w:szCs w:val="24"/>
          <w:highlight w:val="none"/>
        </w:rPr>
        <w:t>驻车制动采用弹簧蓄能式，驻车制动作用于后轮，配装驻车制动解除装置（外接气源口），手制动阀装在驾驶座左侧便于操作的位置。</w:t>
      </w:r>
    </w:p>
    <w:p w14:paraId="400011B8">
      <w:pPr>
        <w:pStyle w:val="85"/>
        <w:ind w:firstLine="361" w:firstLineChars="150"/>
        <w:rPr>
          <w:rFonts w:hint="eastAsia" w:hAnsi="宋体" w:cs="宋体"/>
          <w:color w:val="auto"/>
          <w:sz w:val="24"/>
          <w:szCs w:val="24"/>
          <w:highlight w:val="none"/>
        </w:rPr>
      </w:pPr>
      <w:r>
        <w:rPr>
          <w:rFonts w:hint="eastAsia" w:hAnsi="宋体" w:cs="宋体"/>
          <w:b/>
          <w:bCs/>
          <w:color w:val="auto"/>
          <w:sz w:val="24"/>
          <w:szCs w:val="24"/>
          <w:highlight w:val="none"/>
        </w:rPr>
        <w:t>（17）轮胎</w:t>
      </w:r>
      <w:r>
        <w:rPr>
          <w:rFonts w:hint="eastAsia" w:hAnsi="宋体" w:cs="宋体"/>
          <w:color w:val="auto"/>
          <w:sz w:val="24"/>
          <w:szCs w:val="24"/>
          <w:highlight w:val="none"/>
        </w:rPr>
        <w:t xml:space="preserve">：全车匹配规格不低于295/80R/22.5 </w:t>
      </w:r>
      <w:r>
        <w:rPr>
          <w:rFonts w:hint="eastAsia" w:hAnsi="宋体" w:cs="宋体"/>
          <w:color w:val="auto"/>
          <w:sz w:val="24"/>
          <w:szCs w:val="24"/>
          <w:highlight w:val="none"/>
          <w:lang w:val="en-US" w:eastAsia="zh-CN"/>
        </w:rPr>
        <w:t>或</w:t>
      </w:r>
      <w:r>
        <w:rPr>
          <w:rFonts w:hint="eastAsia" w:hAnsi="宋体" w:cs="宋体"/>
          <w:color w:val="auto"/>
          <w:sz w:val="24"/>
          <w:szCs w:val="24"/>
          <w:highlight w:val="none"/>
        </w:rPr>
        <w:t>11R22.5轮胎，轮胎质量及技术要求须符合相关的国家标准和行业标准，按照国家相关规定负责实施三包及售后服务，并承担由此产生的费用及损失，相当于或优于米其林、佳通</w:t>
      </w:r>
      <w:r>
        <w:rPr>
          <w:rFonts w:hint="eastAsia" w:hAnsi="宋体" w:cs="宋体"/>
          <w:color w:val="auto"/>
          <w:sz w:val="24"/>
          <w:szCs w:val="24"/>
          <w:highlight w:val="none"/>
          <w:lang w:eastAsia="zh-CN"/>
        </w:rPr>
        <w:t>、</w:t>
      </w:r>
      <w:r>
        <w:rPr>
          <w:rFonts w:hint="eastAsia" w:hAnsi="宋体" w:cs="宋体"/>
          <w:color w:val="auto"/>
          <w:sz w:val="24"/>
          <w:szCs w:val="24"/>
          <w:highlight w:val="none"/>
          <w:lang w:val="en-US" w:eastAsia="zh-CN"/>
        </w:rPr>
        <w:t>倍耐力等同类</w:t>
      </w:r>
      <w:r>
        <w:rPr>
          <w:rFonts w:hint="eastAsia" w:hAnsi="宋体" w:cs="宋体"/>
          <w:color w:val="auto"/>
          <w:sz w:val="24"/>
          <w:szCs w:val="24"/>
          <w:highlight w:val="none"/>
        </w:rPr>
        <w:t>产品。每车带一条有轮辋的备胎。配置胎压监测报警系统</w:t>
      </w:r>
      <w:r>
        <w:rPr>
          <w:rFonts w:hint="eastAsia" w:hAnsi="宋体" w:cs="宋体"/>
          <w:color w:val="auto"/>
          <w:sz w:val="24"/>
          <w:szCs w:val="24"/>
          <w:highlight w:val="none"/>
          <w:lang w:eastAsia="zh-CN"/>
        </w:rPr>
        <w:t>，</w:t>
      </w:r>
      <w:r>
        <w:rPr>
          <w:rFonts w:hint="eastAsia" w:hAnsi="宋体" w:cs="宋体"/>
          <w:color w:val="auto"/>
          <w:sz w:val="24"/>
          <w:szCs w:val="24"/>
          <w:highlight w:val="none"/>
          <w:lang w:val="en-US" w:eastAsia="zh-CN"/>
        </w:rPr>
        <w:t>性能相当于或优于南京泰晟同类产品，</w:t>
      </w:r>
      <w:r>
        <w:rPr>
          <w:rFonts w:hint="eastAsia" w:hAnsi="宋体" w:cs="宋体"/>
          <w:color w:val="auto"/>
          <w:sz w:val="24"/>
          <w:szCs w:val="24"/>
          <w:highlight w:val="none"/>
          <w:lang w:eastAsia="zh-CN"/>
        </w:rPr>
        <w:t>数据接入公交数据平台，质 保3年</w:t>
      </w:r>
      <w:r>
        <w:rPr>
          <w:rFonts w:hint="eastAsia" w:hAnsi="宋体" w:cs="宋体"/>
          <w:color w:val="auto"/>
          <w:sz w:val="24"/>
          <w:szCs w:val="24"/>
          <w:highlight w:val="none"/>
        </w:rPr>
        <w:t>。配置防爆胎应急安全装置（限于转向车轮）。</w:t>
      </w:r>
    </w:p>
    <w:p w14:paraId="5F1E6661">
      <w:pPr>
        <w:pStyle w:val="85"/>
        <w:ind w:firstLine="361" w:firstLineChars="150"/>
        <w:rPr>
          <w:rFonts w:hint="eastAsia" w:hAnsi="宋体" w:cs="宋体"/>
          <w:color w:val="auto"/>
          <w:sz w:val="24"/>
          <w:szCs w:val="24"/>
          <w:highlight w:val="none"/>
        </w:rPr>
      </w:pPr>
      <w:r>
        <w:rPr>
          <w:rFonts w:hint="eastAsia" w:hAnsi="宋体" w:cs="宋体"/>
          <w:b/>
          <w:bCs/>
          <w:color w:val="auto"/>
          <w:sz w:val="24"/>
          <w:szCs w:val="24"/>
          <w:highlight w:val="none"/>
        </w:rPr>
        <w:t>（18）底盘</w:t>
      </w:r>
      <w:r>
        <w:rPr>
          <w:rFonts w:hint="eastAsia" w:hAnsi="宋体" w:cs="宋体"/>
          <w:color w:val="auto"/>
          <w:sz w:val="24"/>
          <w:szCs w:val="24"/>
          <w:highlight w:val="none"/>
        </w:rPr>
        <w:t>：其余配置在结构、布置上合理，便于检查维护。</w:t>
      </w:r>
    </w:p>
    <w:p w14:paraId="2F254547">
      <w:pPr>
        <w:pStyle w:val="161"/>
        <w:spacing w:before="0" w:beforeAutospacing="0" w:after="0" w:afterAutospacing="0"/>
        <w:ind w:firstLine="323" w:firstLineChars="134"/>
        <w:jc w:val="both"/>
        <w:rPr>
          <w:rFonts w:cs="宋体"/>
          <w:b/>
          <w:color w:val="auto"/>
          <w:sz w:val="24"/>
          <w:szCs w:val="24"/>
          <w:highlight w:val="none"/>
        </w:rPr>
      </w:pPr>
      <w:r>
        <w:rPr>
          <w:rFonts w:hint="eastAsia" w:cs="宋体"/>
          <w:b/>
          <w:color w:val="auto"/>
          <w:sz w:val="24"/>
          <w:szCs w:val="24"/>
          <w:highlight w:val="none"/>
        </w:rPr>
        <w:t>二、电器</w:t>
      </w:r>
    </w:p>
    <w:p w14:paraId="2F632917">
      <w:pPr>
        <w:pStyle w:val="32"/>
        <w:spacing w:before="0" w:beforeAutospacing="0" w:after="0" w:afterAutospacing="0"/>
        <w:ind w:firstLine="482"/>
        <w:jc w:val="both"/>
        <w:rPr>
          <w:rFonts w:cs="宋体"/>
          <w:b/>
          <w:color w:val="auto"/>
          <w:sz w:val="24"/>
          <w:szCs w:val="24"/>
          <w:highlight w:val="none"/>
        </w:rPr>
      </w:pPr>
      <w:r>
        <w:rPr>
          <w:rFonts w:hint="eastAsia" w:cs="宋体"/>
          <w:b/>
          <w:color w:val="auto"/>
          <w:sz w:val="24"/>
          <w:szCs w:val="24"/>
          <w:highlight w:val="none"/>
        </w:rPr>
        <w:t>1、蓄电池：</w:t>
      </w:r>
      <w:r>
        <w:rPr>
          <w:rFonts w:hint="eastAsia" w:cs="宋体"/>
          <w:color w:val="auto"/>
          <w:sz w:val="24"/>
          <w:szCs w:val="24"/>
          <w:highlight w:val="none"/>
        </w:rPr>
        <w:t>配装两只12V不低于70AH免维护蓄电池，性能相当或优于骆驼、风帆产品；电池支架整体采用不锈钢制作而成的耐酸推拉结构托盘，并开放导流槽以便将冲洗水引出车外，推拉轻便，便于维修，要密封，电源总开关采用手柄开关，装在蓄电池舱内。</w:t>
      </w:r>
    </w:p>
    <w:p w14:paraId="2CB36AC3">
      <w:pPr>
        <w:pStyle w:val="32"/>
        <w:spacing w:before="0" w:beforeAutospacing="0" w:after="0" w:afterAutospacing="0"/>
        <w:ind w:firstLine="482"/>
        <w:jc w:val="both"/>
        <w:rPr>
          <w:rFonts w:cs="宋体"/>
          <w:b/>
          <w:color w:val="auto"/>
          <w:sz w:val="24"/>
          <w:szCs w:val="24"/>
          <w:highlight w:val="none"/>
        </w:rPr>
      </w:pPr>
      <w:r>
        <w:rPr>
          <w:rFonts w:hint="eastAsia" w:cs="宋体"/>
          <w:b/>
          <w:color w:val="auto"/>
          <w:sz w:val="24"/>
          <w:szCs w:val="24"/>
          <w:highlight w:val="none"/>
        </w:rPr>
        <w:t>2、雨刮装置：</w:t>
      </w:r>
      <w:r>
        <w:rPr>
          <w:rFonts w:hint="eastAsia" w:cs="宋体"/>
          <w:color w:val="auto"/>
          <w:sz w:val="24"/>
          <w:szCs w:val="24"/>
          <w:highlight w:val="none"/>
        </w:rPr>
        <w:t>采用单机双速刮水器总成，雨刮电机有检修盖，可方便维修，雨刮带喷水装置。</w:t>
      </w:r>
    </w:p>
    <w:p w14:paraId="45089CF2">
      <w:pPr>
        <w:pStyle w:val="32"/>
        <w:spacing w:before="0" w:beforeAutospacing="0" w:after="0" w:afterAutospacing="0"/>
        <w:ind w:firstLine="482"/>
        <w:jc w:val="both"/>
        <w:rPr>
          <w:rFonts w:cs="宋体"/>
          <w:b/>
          <w:color w:val="auto"/>
          <w:sz w:val="24"/>
          <w:szCs w:val="24"/>
          <w:highlight w:val="none"/>
        </w:rPr>
      </w:pPr>
      <w:r>
        <w:rPr>
          <w:rFonts w:hint="eastAsia" w:cs="宋体"/>
          <w:b/>
          <w:color w:val="auto"/>
          <w:sz w:val="24"/>
          <w:szCs w:val="24"/>
          <w:highlight w:val="none"/>
        </w:rPr>
        <w:t>3、灯具线路：</w:t>
      </w:r>
    </w:p>
    <w:p w14:paraId="01A25D07">
      <w:pPr>
        <w:pStyle w:val="15"/>
        <w:spacing w:line="360" w:lineRule="auto"/>
        <w:ind w:firstLine="480"/>
        <w:rPr>
          <w:rFonts w:cs="宋体"/>
          <w:color w:val="auto"/>
          <w:szCs w:val="24"/>
          <w:highlight w:val="none"/>
        </w:rPr>
      </w:pPr>
      <w:r>
        <w:rPr>
          <w:rFonts w:hint="eastAsia" w:cs="宋体"/>
          <w:color w:val="auto"/>
          <w:szCs w:val="24"/>
          <w:highlight w:val="none"/>
        </w:rPr>
        <w:t>（1）前照灯应符合配光性能及技术先进性要求，符合</w:t>
      </w:r>
      <w:r>
        <w:rPr>
          <w:rFonts w:cs="宋体"/>
          <w:color w:val="auto"/>
          <w:szCs w:val="24"/>
          <w:highlight w:val="none"/>
        </w:rPr>
        <w:t>GB 4599-2007</w:t>
      </w:r>
      <w:r>
        <w:rPr>
          <w:rFonts w:hint="eastAsia" w:cs="宋体"/>
          <w:color w:val="auto"/>
          <w:szCs w:val="24"/>
          <w:highlight w:val="none"/>
        </w:rPr>
        <w:t>《汽车用灯丝灯光前照灯》、</w:t>
      </w:r>
      <w:r>
        <w:rPr>
          <w:rFonts w:cs="宋体"/>
          <w:color w:val="auto"/>
          <w:szCs w:val="24"/>
          <w:highlight w:val="none"/>
        </w:rPr>
        <w:t>GB 4660-2016</w:t>
      </w:r>
      <w:r>
        <w:rPr>
          <w:rFonts w:hint="eastAsia" w:cs="宋体"/>
          <w:color w:val="auto"/>
          <w:szCs w:val="24"/>
          <w:highlight w:val="none"/>
        </w:rPr>
        <w:t>《机动车用前雾灯配光性能》规定。信号指示灯按要求安装，符合</w:t>
      </w:r>
      <w:r>
        <w:rPr>
          <w:rFonts w:cs="宋体"/>
          <w:color w:val="auto"/>
          <w:szCs w:val="24"/>
          <w:highlight w:val="none"/>
        </w:rPr>
        <w:t>GB 5920-2019</w:t>
      </w:r>
      <w:r>
        <w:rPr>
          <w:rFonts w:hint="eastAsia" w:cs="宋体"/>
          <w:color w:val="auto"/>
          <w:szCs w:val="24"/>
          <w:highlight w:val="none"/>
        </w:rPr>
        <w:t>《汽车及挂车前位灯、后位灯、示廓灯和制动灯配光性能》规定。</w:t>
      </w:r>
    </w:p>
    <w:p w14:paraId="3216FC7A">
      <w:pPr>
        <w:pStyle w:val="32"/>
        <w:spacing w:before="0" w:beforeAutospacing="0" w:after="0" w:afterAutospacing="0"/>
        <w:ind w:firstLine="480"/>
        <w:jc w:val="both"/>
        <w:rPr>
          <w:rFonts w:cs="宋体"/>
          <w:color w:val="auto"/>
          <w:sz w:val="24"/>
          <w:szCs w:val="24"/>
          <w:highlight w:val="none"/>
        </w:rPr>
      </w:pPr>
      <w:r>
        <w:rPr>
          <w:rFonts w:hint="eastAsia" w:cs="宋体"/>
          <w:color w:val="auto"/>
          <w:sz w:val="24"/>
          <w:szCs w:val="24"/>
          <w:highlight w:val="none"/>
        </w:rPr>
        <w:t>（2）全车安装厂家标配LED灯，灯罩开启应方便更换，接口平整，保证美观。驾驶员处顶灯设独立控制开关。</w:t>
      </w:r>
    </w:p>
    <w:p w14:paraId="0D79CE5F">
      <w:pPr>
        <w:pStyle w:val="32"/>
        <w:spacing w:before="0" w:beforeAutospacing="0" w:after="0" w:afterAutospacing="0"/>
        <w:ind w:firstLine="480"/>
        <w:jc w:val="both"/>
        <w:rPr>
          <w:rFonts w:cs="宋体"/>
          <w:color w:val="auto"/>
          <w:sz w:val="24"/>
          <w:szCs w:val="24"/>
          <w:highlight w:val="none"/>
        </w:rPr>
      </w:pPr>
      <w:r>
        <w:rPr>
          <w:rFonts w:hint="eastAsia" w:cs="宋体"/>
          <w:color w:val="auto"/>
          <w:sz w:val="24"/>
          <w:szCs w:val="24"/>
          <w:highlight w:val="none"/>
        </w:rPr>
        <w:t>（3）全车电线应符合客车电器相关要求，并留有一定余量。保险板（线路控制板）设置在车内部。线束应设PVC管或蛇皮管防水保护。各操纵开关均采用翘板式，各开关的功用标志应正确，符合国家规定。</w:t>
      </w:r>
    </w:p>
    <w:p w14:paraId="7AF3440B">
      <w:pPr>
        <w:pStyle w:val="85"/>
        <w:ind w:firstLine="482"/>
        <w:rPr>
          <w:rFonts w:hAnsi="宋体" w:cs="宋体"/>
          <w:color w:val="auto"/>
          <w:kern w:val="0"/>
          <w:sz w:val="24"/>
          <w:szCs w:val="24"/>
          <w:highlight w:val="none"/>
        </w:rPr>
      </w:pPr>
      <w:r>
        <w:rPr>
          <w:rFonts w:hint="eastAsia" w:cs="宋体"/>
          <w:b/>
          <w:color w:val="auto"/>
          <w:sz w:val="24"/>
          <w:szCs w:val="24"/>
          <w:highlight w:val="none"/>
        </w:rPr>
        <w:t>4、</w:t>
      </w:r>
      <w:r>
        <w:rPr>
          <w:rFonts w:hint="eastAsia" w:hAnsi="宋体" w:cs="宋体"/>
          <w:b/>
          <w:color w:val="auto"/>
          <w:kern w:val="0"/>
          <w:sz w:val="24"/>
          <w:szCs w:val="24"/>
          <w:highlight w:val="none"/>
        </w:rPr>
        <w:t>导游麦克风：</w:t>
      </w:r>
      <w:r>
        <w:rPr>
          <w:rFonts w:hint="eastAsia" w:hAnsi="宋体" w:cs="宋体"/>
          <w:color w:val="auto"/>
          <w:kern w:val="0"/>
          <w:sz w:val="24"/>
          <w:szCs w:val="24"/>
          <w:highlight w:val="none"/>
        </w:rPr>
        <w:t>车内配置无线、清晰、不失真的扬声器，配置抗干扰麦克风设备。</w:t>
      </w:r>
    </w:p>
    <w:p w14:paraId="7FE76E3E">
      <w:pPr>
        <w:pStyle w:val="32"/>
        <w:spacing w:before="0" w:beforeAutospacing="0" w:after="0" w:afterAutospacing="0"/>
        <w:ind w:firstLine="482"/>
        <w:jc w:val="both"/>
        <w:rPr>
          <w:rFonts w:cs="宋体"/>
          <w:b/>
          <w:color w:val="auto"/>
          <w:sz w:val="24"/>
          <w:szCs w:val="24"/>
          <w:highlight w:val="none"/>
        </w:rPr>
      </w:pPr>
      <w:r>
        <w:rPr>
          <w:rFonts w:hint="eastAsia" w:cs="宋体"/>
          <w:b/>
          <w:color w:val="auto"/>
          <w:sz w:val="24"/>
          <w:szCs w:val="24"/>
          <w:highlight w:val="none"/>
        </w:rPr>
        <w:t>三、仪表、仪表台：</w:t>
      </w:r>
    </w:p>
    <w:p w14:paraId="661207F1">
      <w:pPr>
        <w:pStyle w:val="32"/>
        <w:spacing w:before="0" w:beforeAutospacing="0" w:after="0" w:afterAutospacing="0"/>
        <w:ind w:firstLine="480"/>
        <w:jc w:val="both"/>
        <w:rPr>
          <w:rFonts w:hint="eastAsia" w:cs="宋体"/>
          <w:color w:val="auto"/>
          <w:sz w:val="24"/>
          <w:szCs w:val="24"/>
          <w:highlight w:val="none"/>
        </w:rPr>
      </w:pPr>
      <w:r>
        <w:rPr>
          <w:rFonts w:hint="eastAsia" w:cs="宋体"/>
          <w:color w:val="auto"/>
          <w:sz w:val="24"/>
          <w:szCs w:val="24"/>
          <w:highlight w:val="none"/>
        </w:rPr>
        <w:t>仪表板及仪表台应采用目前较为新颖的性能先进的表板，应保证在黑暗条件下能清楚识别仪表板各开关。仪表板的板面应尽可能与驾驶员的下视界线垂直，操纵件、指示器及信号装置的标记，符合</w:t>
      </w:r>
      <w:r>
        <w:rPr>
          <w:rFonts w:cs="宋体"/>
          <w:color w:val="auto"/>
          <w:sz w:val="24"/>
          <w:szCs w:val="24"/>
          <w:highlight w:val="none"/>
        </w:rPr>
        <w:t>GB 4094-2016</w:t>
      </w:r>
      <w:r>
        <w:rPr>
          <w:rFonts w:hint="eastAsia" w:cs="宋体"/>
          <w:color w:val="auto"/>
          <w:sz w:val="24"/>
          <w:szCs w:val="24"/>
          <w:highlight w:val="none"/>
        </w:rPr>
        <w:t>《汽车操纵件、指示器及信号装置的标志》、GB∕T 4094.2-2017《电动汽车操纵件、指示器及信号装置的标志》。仪表板上应有发动机转速和前后乘客门、后发动机仓门开闭状态显示；应有红色气压报警指示灯（前后管路制动气压分别指示）和蜂鸣警告</w:t>
      </w:r>
      <w:r>
        <w:rPr>
          <w:rFonts w:hint="eastAsia" w:cs="宋体"/>
          <w:color w:val="auto"/>
          <w:sz w:val="24"/>
          <w:szCs w:val="24"/>
          <w:highlight w:val="none"/>
          <w:lang w:eastAsia="zh-CN"/>
        </w:rPr>
        <w:t>（</w:t>
      </w:r>
      <w:r>
        <w:rPr>
          <w:rFonts w:hint="eastAsia" w:cs="宋体"/>
          <w:color w:val="auto"/>
          <w:sz w:val="24"/>
          <w:szCs w:val="24"/>
          <w:highlight w:val="none"/>
          <w:lang w:val="en-US" w:eastAsia="zh-CN"/>
        </w:rPr>
        <w:t>音量可调</w:t>
      </w:r>
      <w:r>
        <w:rPr>
          <w:rFonts w:hint="eastAsia" w:cs="宋体"/>
          <w:color w:val="auto"/>
          <w:sz w:val="24"/>
          <w:szCs w:val="24"/>
          <w:highlight w:val="none"/>
          <w:lang w:eastAsia="zh-CN"/>
        </w:rPr>
        <w:t>）</w:t>
      </w:r>
      <w:r>
        <w:rPr>
          <w:rFonts w:hint="eastAsia" w:cs="宋体"/>
          <w:color w:val="auto"/>
          <w:sz w:val="24"/>
          <w:szCs w:val="24"/>
          <w:highlight w:val="none"/>
        </w:rPr>
        <w:t>；各类报警显示除指示灯闪烁外还需文字解释；应保证在黑暗条件下能清楚识别仪表板各开关。</w:t>
      </w:r>
    </w:p>
    <w:p w14:paraId="5F837FE2">
      <w:pPr>
        <w:pStyle w:val="32"/>
        <w:spacing w:before="0" w:beforeAutospacing="0" w:after="0" w:afterAutospacing="0"/>
        <w:ind w:firstLine="480"/>
        <w:jc w:val="both"/>
        <w:rPr>
          <w:rFonts w:cs="宋体"/>
          <w:color w:val="auto"/>
          <w:sz w:val="24"/>
          <w:szCs w:val="24"/>
          <w:highlight w:val="none"/>
        </w:rPr>
      </w:pPr>
      <w:r>
        <w:rPr>
          <w:rFonts w:hint="eastAsia" w:cs="宋体"/>
          <w:color w:val="auto"/>
          <w:sz w:val="24"/>
          <w:szCs w:val="24"/>
          <w:highlight w:val="none"/>
        </w:rPr>
        <w:t>照明、信号装置及其它电气系统：采用耐高温阻燃电线，留有足够的安全系数。导线应分色，电气线路走向合理，捆扎牢靠，并有绝缘防护套。线束通过梁、板孔时，应有绝缘防护圈，与其它物体固定时要用尼龙扎袋，不允许线束与油、气、水管捆扎在一起。</w:t>
      </w:r>
    </w:p>
    <w:p w14:paraId="7B050630">
      <w:pPr>
        <w:pStyle w:val="32"/>
        <w:spacing w:before="0" w:beforeAutospacing="0" w:after="0" w:afterAutospacing="0"/>
        <w:ind w:firstLine="480"/>
        <w:jc w:val="both"/>
        <w:rPr>
          <w:rFonts w:cs="宋体"/>
          <w:color w:val="auto"/>
          <w:sz w:val="24"/>
          <w:szCs w:val="24"/>
          <w:highlight w:val="none"/>
        </w:rPr>
      </w:pPr>
      <w:r>
        <w:rPr>
          <w:rFonts w:hint="eastAsia" w:cs="宋体"/>
          <w:color w:val="auto"/>
          <w:sz w:val="24"/>
          <w:szCs w:val="24"/>
          <w:highlight w:val="none"/>
        </w:rPr>
        <w:t>采用AMP接插件，连接可靠，要有防插错结构。保险、开关、继电器、灯泡工作可靠，耐用，开关等表面件还应美观。整车电路加装绝缘耐磨套管。</w:t>
      </w:r>
    </w:p>
    <w:p w14:paraId="076FE31B">
      <w:pPr>
        <w:pStyle w:val="32"/>
        <w:spacing w:before="0" w:beforeAutospacing="0" w:after="0" w:afterAutospacing="0"/>
        <w:ind w:firstLine="480"/>
        <w:jc w:val="both"/>
        <w:rPr>
          <w:rFonts w:cs="宋体"/>
          <w:color w:val="auto"/>
          <w:sz w:val="24"/>
          <w:szCs w:val="24"/>
          <w:highlight w:val="none"/>
        </w:rPr>
      </w:pPr>
      <w:r>
        <w:rPr>
          <w:rFonts w:hint="eastAsia" w:cs="宋体"/>
          <w:color w:val="auto"/>
          <w:sz w:val="24"/>
          <w:szCs w:val="24"/>
          <w:highlight w:val="none"/>
        </w:rPr>
        <w:t>前风挡装配除霜装置。</w:t>
      </w:r>
    </w:p>
    <w:p w14:paraId="5AEAEE3D">
      <w:pPr>
        <w:pStyle w:val="161"/>
        <w:spacing w:before="0" w:beforeAutospacing="0" w:after="0" w:afterAutospacing="0"/>
        <w:ind w:left="284" w:firstLine="161" w:firstLineChars="67"/>
        <w:jc w:val="both"/>
        <w:rPr>
          <w:rFonts w:cs="宋体"/>
          <w:b/>
          <w:color w:val="auto"/>
          <w:sz w:val="24"/>
          <w:szCs w:val="24"/>
          <w:highlight w:val="none"/>
        </w:rPr>
      </w:pPr>
      <w:r>
        <w:rPr>
          <w:rFonts w:hint="eastAsia" w:cs="宋体"/>
          <w:b/>
          <w:color w:val="auto"/>
          <w:sz w:val="24"/>
          <w:szCs w:val="24"/>
          <w:highlight w:val="none"/>
        </w:rPr>
        <w:t>四、车身及内饰</w:t>
      </w:r>
    </w:p>
    <w:p w14:paraId="5BC0B2F0">
      <w:pPr>
        <w:pStyle w:val="85"/>
        <w:ind w:firstLine="482"/>
        <w:rPr>
          <w:rFonts w:hAnsi="宋体" w:cs="宋体"/>
          <w:color w:val="auto"/>
          <w:kern w:val="0"/>
          <w:sz w:val="24"/>
          <w:szCs w:val="24"/>
          <w:highlight w:val="none"/>
        </w:rPr>
      </w:pPr>
      <w:r>
        <w:rPr>
          <w:rFonts w:hint="eastAsia" w:hAnsi="宋体" w:cs="宋体"/>
          <w:b/>
          <w:color w:val="auto"/>
          <w:kern w:val="0"/>
          <w:sz w:val="24"/>
          <w:szCs w:val="24"/>
          <w:highlight w:val="none"/>
        </w:rPr>
        <w:t>1</w:t>
      </w:r>
      <w:r>
        <w:rPr>
          <w:rFonts w:hint="eastAsia" w:hAnsi="宋体" w:cs="宋体"/>
          <w:color w:val="auto"/>
          <w:kern w:val="0"/>
          <w:sz w:val="24"/>
          <w:szCs w:val="24"/>
          <w:highlight w:val="none"/>
        </w:rPr>
        <w:t>、全承载式车身结构，符合QC∕T 997-2015标准要求。车身骨架结构为全金属结构，采用异型钢管CO</w:t>
      </w:r>
      <w:r>
        <w:rPr>
          <w:rFonts w:hint="eastAsia" w:hAnsi="宋体" w:cs="宋体"/>
          <w:color w:val="auto"/>
          <w:kern w:val="0"/>
          <w:sz w:val="24"/>
          <w:szCs w:val="24"/>
          <w:highlight w:val="none"/>
          <w:vertAlign w:val="subscript"/>
        </w:rPr>
        <w:t>2</w:t>
      </w:r>
      <w:r>
        <w:rPr>
          <w:rFonts w:hint="eastAsia" w:hAnsi="宋体" w:cs="宋体"/>
          <w:color w:val="auto"/>
          <w:kern w:val="0"/>
          <w:sz w:val="24"/>
          <w:szCs w:val="24"/>
          <w:highlight w:val="none"/>
        </w:rPr>
        <w:t>保护焊焊接而成，全车骨架须电泳并经过严格的除污、除锈、磷化处理，全车进行二次防腐。全车车身骨架必须保证1</w:t>
      </w:r>
      <w:r>
        <w:rPr>
          <w:rFonts w:hint="eastAsia" w:hAnsi="宋体" w:cs="宋体"/>
          <w:color w:val="auto"/>
          <w:kern w:val="0"/>
          <w:sz w:val="24"/>
          <w:szCs w:val="24"/>
          <w:highlight w:val="none"/>
          <w:lang w:val="en-US" w:eastAsia="zh-CN"/>
        </w:rPr>
        <w:t>3</w:t>
      </w:r>
      <w:r>
        <w:rPr>
          <w:rFonts w:hint="eastAsia" w:hAnsi="宋体" w:cs="宋体"/>
          <w:color w:val="auto"/>
          <w:kern w:val="0"/>
          <w:sz w:val="24"/>
          <w:szCs w:val="24"/>
          <w:highlight w:val="none"/>
        </w:rPr>
        <w:t>年内不断裂、不变形、不锈蚀、不腐烂。车身内顶和侧围整体经有效隔热降噪处理,具有良好的密封、保温性能。</w:t>
      </w:r>
      <w:r>
        <w:rPr>
          <w:rFonts w:hint="eastAsia" w:hAnsi="宋体" w:cs="宋体"/>
          <w:color w:val="auto"/>
          <w:sz w:val="24"/>
          <w:szCs w:val="24"/>
          <w:highlight w:val="none"/>
        </w:rPr>
        <w:t>车辆前围分区域设计，可分别独立开闭。</w:t>
      </w:r>
    </w:p>
    <w:p w14:paraId="0E46DC90">
      <w:pPr>
        <w:pStyle w:val="85"/>
        <w:ind w:firstLine="482"/>
        <w:rPr>
          <w:rFonts w:hAnsi="宋体" w:cs="宋体"/>
          <w:color w:val="auto"/>
          <w:kern w:val="0"/>
          <w:sz w:val="24"/>
          <w:szCs w:val="24"/>
          <w:highlight w:val="none"/>
        </w:rPr>
      </w:pPr>
      <w:r>
        <w:rPr>
          <w:rFonts w:hint="eastAsia" w:hAnsi="宋体" w:cs="宋体"/>
          <w:b/>
          <w:color w:val="auto"/>
          <w:kern w:val="0"/>
          <w:sz w:val="24"/>
          <w:szCs w:val="24"/>
          <w:highlight w:val="none"/>
        </w:rPr>
        <w:t>2、</w:t>
      </w:r>
      <w:r>
        <w:rPr>
          <w:rFonts w:hint="eastAsia" w:hAnsi="宋体" w:cs="宋体"/>
          <w:color w:val="auto"/>
          <w:kern w:val="0"/>
          <w:sz w:val="24"/>
          <w:szCs w:val="24"/>
          <w:highlight w:val="none"/>
        </w:rPr>
        <w:t>底架采用专用异型管或槽型桁架结构。焊接处应牢固、可靠，各处焊缝焊接平顺，无假焊、漏焊、烧穿、焊瘤、飞溅现象，点焊间距均匀，外露的骨架应喷涂黑色防锈漆或喷涂沥青层（包括仪表台内骨架、前、后门泵箱内可视骨架及发动机仓内可视骨架等）。</w:t>
      </w:r>
    </w:p>
    <w:p w14:paraId="0F567BA7">
      <w:pPr>
        <w:pStyle w:val="85"/>
        <w:ind w:firstLine="482"/>
        <w:rPr>
          <w:rFonts w:hAnsi="宋体" w:cs="宋体"/>
          <w:color w:val="auto"/>
          <w:kern w:val="0"/>
          <w:sz w:val="24"/>
          <w:szCs w:val="24"/>
          <w:highlight w:val="none"/>
        </w:rPr>
      </w:pPr>
      <w:r>
        <w:rPr>
          <w:rFonts w:hint="eastAsia" w:hAnsi="宋体" w:cs="宋体"/>
          <w:b/>
          <w:color w:val="auto"/>
          <w:kern w:val="0"/>
          <w:sz w:val="24"/>
          <w:szCs w:val="24"/>
          <w:highlight w:val="none"/>
        </w:rPr>
        <w:t>3、</w:t>
      </w:r>
      <w:r>
        <w:rPr>
          <w:rFonts w:hint="eastAsia" w:hAnsi="宋体" w:cs="宋体"/>
          <w:color w:val="auto"/>
          <w:kern w:val="0"/>
          <w:sz w:val="24"/>
          <w:szCs w:val="24"/>
          <w:highlight w:val="none"/>
        </w:rPr>
        <w:t>车顶蒙皮采用镀锌板材搭接结构，接缝及骨架缝隙处用密封胶密封，侧围蒙皮采用镀锌板材、预应力涨拉胶粘，蒙皮做防腐、防</w:t>
      </w:r>
      <w:r>
        <w:rPr>
          <w:rFonts w:hint="eastAsia" w:hAnsi="宋体" w:cs="宋体"/>
          <w:color w:val="auto"/>
          <w:sz w:val="24"/>
          <w:szCs w:val="24"/>
          <w:highlight w:val="none"/>
        </w:rPr>
        <w:t>锈蚀处理。</w:t>
      </w:r>
    </w:p>
    <w:p w14:paraId="29FDDDFE">
      <w:pPr>
        <w:pStyle w:val="85"/>
        <w:ind w:firstLine="482"/>
        <w:rPr>
          <w:rFonts w:hAnsi="宋体" w:cs="宋体"/>
          <w:color w:val="auto"/>
          <w:kern w:val="0"/>
          <w:sz w:val="24"/>
          <w:szCs w:val="24"/>
          <w:highlight w:val="none"/>
        </w:rPr>
      </w:pPr>
      <w:r>
        <w:rPr>
          <w:rFonts w:hint="eastAsia" w:hAnsi="宋体" w:cs="宋体"/>
          <w:b/>
          <w:color w:val="auto"/>
          <w:kern w:val="0"/>
          <w:sz w:val="24"/>
          <w:szCs w:val="24"/>
          <w:highlight w:val="none"/>
        </w:rPr>
        <w:t>4、</w:t>
      </w:r>
      <w:r>
        <w:rPr>
          <w:rFonts w:hint="eastAsia" w:hAnsi="宋体" w:cs="宋体"/>
          <w:color w:val="auto"/>
          <w:kern w:val="0"/>
          <w:sz w:val="24"/>
          <w:szCs w:val="24"/>
          <w:highlight w:val="none"/>
        </w:rPr>
        <w:t>车厢内部正顶、边顶、前后围内侧、左右侧围内侧在现有空间内充分发泡处理等，隔热减震措施发泡厚度40-50mm。</w:t>
      </w:r>
    </w:p>
    <w:p w14:paraId="3A69B553">
      <w:pPr>
        <w:pStyle w:val="85"/>
        <w:ind w:firstLine="482"/>
        <w:rPr>
          <w:rFonts w:hAnsi="宋体" w:cs="宋体"/>
          <w:color w:val="auto"/>
          <w:kern w:val="0"/>
          <w:sz w:val="24"/>
          <w:szCs w:val="24"/>
          <w:highlight w:val="none"/>
        </w:rPr>
      </w:pPr>
      <w:r>
        <w:rPr>
          <w:rFonts w:hint="eastAsia" w:hAnsi="宋体" w:cs="宋体"/>
          <w:b/>
          <w:color w:val="auto"/>
          <w:kern w:val="0"/>
          <w:sz w:val="24"/>
          <w:szCs w:val="24"/>
          <w:highlight w:val="none"/>
        </w:rPr>
        <w:t>5、</w:t>
      </w:r>
      <w:r>
        <w:rPr>
          <w:rFonts w:hint="eastAsia" w:hAnsi="宋体" w:cs="宋体"/>
          <w:color w:val="auto"/>
          <w:kern w:val="0"/>
          <w:sz w:val="24"/>
          <w:szCs w:val="24"/>
          <w:highlight w:val="none"/>
        </w:rPr>
        <w:t>车身面漆采用普通漆，色泽光亮，车身涂层应符合、QC/T484---1999《汽车油漆涂层》的规定，不允许漏涂、堆积裂纹、脱落现象。车身漆色、图案、车身文字等根据需方要求文件（或需方提供的效果图）及国家相关技术标准进行制作。</w:t>
      </w:r>
    </w:p>
    <w:p w14:paraId="362E9D0D">
      <w:pPr>
        <w:pStyle w:val="85"/>
        <w:ind w:firstLine="482"/>
        <w:rPr>
          <w:rFonts w:hAnsi="宋体" w:cs="宋体"/>
          <w:color w:val="auto"/>
          <w:kern w:val="0"/>
          <w:sz w:val="24"/>
          <w:szCs w:val="24"/>
          <w:highlight w:val="none"/>
        </w:rPr>
      </w:pPr>
      <w:r>
        <w:rPr>
          <w:rFonts w:hint="eastAsia" w:hAnsi="宋体" w:cs="宋体"/>
          <w:b/>
          <w:color w:val="auto"/>
          <w:kern w:val="0"/>
          <w:sz w:val="24"/>
          <w:szCs w:val="24"/>
          <w:highlight w:val="none"/>
        </w:rPr>
        <w:t>6、</w:t>
      </w:r>
      <w:r>
        <w:rPr>
          <w:rFonts w:hint="eastAsia" w:hAnsi="宋体" w:cs="宋体"/>
          <w:color w:val="auto"/>
          <w:kern w:val="0"/>
          <w:sz w:val="24"/>
          <w:szCs w:val="24"/>
          <w:highlight w:val="none"/>
        </w:rPr>
        <w:t>车身外部服务用语及其它字样的具体要求根据需方提供方案进行。</w:t>
      </w:r>
    </w:p>
    <w:p w14:paraId="7F6E433A">
      <w:pPr>
        <w:pStyle w:val="85"/>
        <w:ind w:firstLine="482"/>
        <w:rPr>
          <w:rFonts w:hAnsi="宋体" w:cs="宋体"/>
          <w:color w:val="auto"/>
          <w:kern w:val="0"/>
          <w:sz w:val="24"/>
          <w:szCs w:val="24"/>
          <w:highlight w:val="none"/>
        </w:rPr>
      </w:pPr>
      <w:r>
        <w:rPr>
          <w:rFonts w:hint="eastAsia" w:hAnsi="宋体" w:cs="宋体"/>
          <w:b/>
          <w:color w:val="auto"/>
          <w:kern w:val="0"/>
          <w:sz w:val="24"/>
          <w:szCs w:val="24"/>
          <w:highlight w:val="none"/>
        </w:rPr>
        <w:t>7、</w:t>
      </w:r>
      <w:r>
        <w:rPr>
          <w:rFonts w:hint="eastAsia" w:hAnsi="宋体" w:cs="宋体"/>
          <w:color w:val="auto"/>
          <w:kern w:val="0"/>
          <w:sz w:val="24"/>
          <w:szCs w:val="24"/>
          <w:highlight w:val="none"/>
        </w:rPr>
        <w:t>车身有良好的密封性能，达到QC/T 475-1999 客车 防尘密封性限值的规定，防尘密封度不小于90％，防雨密封性能应达到QC/T 476-2025《客车防雨密封性要求及试验方法》的规定。</w:t>
      </w:r>
    </w:p>
    <w:p w14:paraId="3E8C0018">
      <w:pPr>
        <w:pStyle w:val="57"/>
        <w:ind w:firstLine="482"/>
        <w:rPr>
          <w:rFonts w:hint="eastAsia" w:hAnsi="宋体" w:cs="宋体"/>
          <w:color w:val="auto"/>
          <w:kern w:val="0"/>
          <w:sz w:val="24"/>
          <w:szCs w:val="24"/>
          <w:highlight w:val="none"/>
          <w:lang w:eastAsia="zh-CN"/>
        </w:rPr>
      </w:pPr>
      <w:r>
        <w:rPr>
          <w:rFonts w:hint="eastAsia" w:hAnsi="宋体" w:cs="宋体"/>
          <w:b/>
          <w:color w:val="auto"/>
          <w:kern w:val="0"/>
          <w:sz w:val="24"/>
          <w:szCs w:val="24"/>
          <w:highlight w:val="none"/>
        </w:rPr>
        <w:t>8、</w:t>
      </w:r>
      <w:r>
        <w:rPr>
          <w:rFonts w:hint="eastAsia" w:hAnsi="宋体" w:cs="宋体"/>
          <w:color w:val="auto"/>
          <w:kern w:val="0"/>
          <w:sz w:val="24"/>
          <w:szCs w:val="24"/>
          <w:highlight w:val="none"/>
        </w:rPr>
        <w:t>前挡选用防紫外线双层夹胶钢化玻璃，单层厚度大于3mm，总厚度大于7mm，乘客门采用安全钢化玻璃,侧窗选用防</w:t>
      </w:r>
      <w:r>
        <w:rPr>
          <w:rFonts w:hint="eastAsia" w:ascii="宋体" w:hAnsi="宋体" w:eastAsia="宋体" w:cs="宋体"/>
          <w:color w:val="auto"/>
          <w:kern w:val="0"/>
          <w:sz w:val="24"/>
          <w:szCs w:val="24"/>
          <w:highlight w:val="none"/>
          <w:lang w:val="en-US" w:eastAsia="zh-CN" w:bidi="ar-SA"/>
        </w:rPr>
        <w:t>紫外线钢化玻璃，其安</w:t>
      </w:r>
      <w:r>
        <w:rPr>
          <w:rFonts w:hint="eastAsia" w:hAnsi="宋体" w:cs="宋体"/>
          <w:color w:val="auto"/>
          <w:kern w:val="0"/>
          <w:sz w:val="24"/>
          <w:szCs w:val="24"/>
          <w:highlight w:val="none"/>
        </w:rPr>
        <w:t>全性能应符合GB 7258-2017《机动车运行安全技术条件》的规定，安全玻璃应符合GB9656—2003《汽车用安全玻璃》的要求。性能相当于 长江、福耀同类产品</w:t>
      </w:r>
      <w:r>
        <w:rPr>
          <w:rFonts w:hint="eastAsia" w:hAnsi="宋体" w:cs="宋体"/>
          <w:color w:val="auto"/>
          <w:kern w:val="0"/>
          <w:sz w:val="24"/>
          <w:szCs w:val="24"/>
          <w:highlight w:val="none"/>
          <w:lang w:eastAsia="zh-CN"/>
        </w:rPr>
        <w:t>。</w:t>
      </w:r>
    </w:p>
    <w:p w14:paraId="38A33DFC">
      <w:pPr>
        <w:pStyle w:val="57"/>
        <w:ind w:firstLine="482"/>
        <w:rPr>
          <w:rFonts w:hint="eastAsia" w:hAnsi="宋体" w:cs="宋体"/>
          <w:color w:val="auto"/>
          <w:kern w:val="0"/>
          <w:sz w:val="24"/>
          <w:szCs w:val="24"/>
          <w:highlight w:val="none"/>
          <w:lang w:eastAsia="zh-CN"/>
        </w:rPr>
      </w:pPr>
      <w:r>
        <w:rPr>
          <w:rFonts w:hint="eastAsia" w:hAnsi="宋体" w:cs="宋体"/>
          <w:color w:val="auto"/>
          <w:kern w:val="0"/>
          <w:sz w:val="24"/>
          <w:szCs w:val="24"/>
          <w:highlight w:val="none"/>
          <w:lang w:eastAsia="zh-CN"/>
        </w:rPr>
        <w:t>全车合理位置配置带电子报警装置安全锤7把及应急出口标识，并加装四个爆破头的自动</w:t>
      </w:r>
      <w:r>
        <w:rPr>
          <w:rFonts w:hint="eastAsia" w:hAnsi="宋体" w:cs="宋体"/>
          <w:color w:val="auto"/>
          <w:kern w:val="0"/>
          <w:sz w:val="24"/>
          <w:szCs w:val="24"/>
          <w:highlight w:val="none"/>
          <w:lang w:val="en-US" w:eastAsia="zh-CN"/>
        </w:rPr>
        <w:t>破</w:t>
      </w:r>
      <w:r>
        <w:rPr>
          <w:rFonts w:hint="eastAsia" w:hAnsi="宋体" w:cs="宋体"/>
          <w:color w:val="auto"/>
          <w:kern w:val="0"/>
          <w:sz w:val="24"/>
          <w:szCs w:val="24"/>
          <w:highlight w:val="none"/>
          <w:lang w:eastAsia="zh-CN"/>
        </w:rPr>
        <w:t xml:space="preserve">玻器，满足“独立电源”、“双控激发”要求，符合国家相关标准，质保8年，安全出口标识齐全，应急出口符合《JT∕T 1240-2019》相关标准和要求。 </w:t>
      </w:r>
    </w:p>
    <w:p w14:paraId="5B1490D8">
      <w:pPr>
        <w:pStyle w:val="57"/>
        <w:ind w:firstLine="482"/>
        <w:rPr>
          <w:rStyle w:val="188"/>
          <w:rFonts w:hAnsi="宋体" w:cs="宋体"/>
          <w:color w:val="auto"/>
          <w:kern w:val="0"/>
          <w:sz w:val="24"/>
          <w:szCs w:val="24"/>
          <w:highlight w:val="none"/>
        </w:rPr>
      </w:pPr>
      <w:r>
        <w:rPr>
          <w:rStyle w:val="48"/>
          <w:rFonts w:hint="eastAsia" w:hAnsi="宋体" w:cs="宋体"/>
          <w:b/>
          <w:color w:val="auto"/>
          <w:sz w:val="24"/>
          <w:szCs w:val="24"/>
          <w:highlight w:val="none"/>
        </w:rPr>
        <w:t>9、</w:t>
      </w:r>
      <w:r>
        <w:rPr>
          <w:rStyle w:val="48"/>
          <w:rFonts w:hint="eastAsia" w:hAnsi="宋体" w:cs="宋体"/>
          <w:color w:val="auto"/>
          <w:kern w:val="0"/>
          <w:sz w:val="24"/>
          <w:szCs w:val="24"/>
          <w:highlight w:val="none"/>
        </w:rPr>
        <w:t>车内地板采用密度、强度和塑性好的竹编板，上下应涂防水层，上铺石英地板革，下部加涂防水防护涂层，地板承载能力符合国家要求。石英地板革应耐磨、不易变色、环保，地板装配须平整、贴合、牢固、规范，地板接缝处及地板孔盖处应涂密封胶，进行密封处理,保证完全密封。使用石英地板革接缝热焊连接处理。铝压条转角处加装塑料材质包边，车辆通道不低于350mm。</w:t>
      </w:r>
    </w:p>
    <w:p w14:paraId="660DAEF5">
      <w:pPr>
        <w:pStyle w:val="85"/>
        <w:ind w:firstLine="482"/>
        <w:rPr>
          <w:rFonts w:hAnsi="宋体" w:cs="宋体"/>
          <w:color w:val="auto"/>
          <w:kern w:val="0"/>
          <w:sz w:val="24"/>
          <w:szCs w:val="24"/>
          <w:highlight w:val="none"/>
        </w:rPr>
      </w:pPr>
      <w:r>
        <w:rPr>
          <w:rFonts w:hint="eastAsia" w:hAnsi="宋体" w:cs="宋体"/>
          <w:b/>
          <w:color w:val="auto"/>
          <w:kern w:val="0"/>
          <w:sz w:val="24"/>
          <w:szCs w:val="24"/>
          <w:highlight w:val="none"/>
        </w:rPr>
        <w:t>10、</w:t>
      </w:r>
      <w:r>
        <w:rPr>
          <w:rFonts w:hint="eastAsia" w:hAnsi="宋体" w:cs="宋体"/>
          <w:color w:val="auto"/>
          <w:kern w:val="0"/>
          <w:sz w:val="24"/>
          <w:szCs w:val="24"/>
          <w:highlight w:val="none"/>
        </w:rPr>
        <w:t>车内装饰顶板、侧围内墙板必须符合GB8410-2018《汽车内饰材料的燃烧特性》，采用与整车协调的浅灰色内饰板，防水性能好、防腐蚀、阻燃性好、环保材料或整体式模压内顶。</w:t>
      </w:r>
    </w:p>
    <w:p w14:paraId="2FFD18C6">
      <w:pPr>
        <w:pStyle w:val="85"/>
        <w:ind w:firstLine="482"/>
        <w:rPr>
          <w:rFonts w:hAnsi="宋体" w:cs="宋体"/>
          <w:color w:val="auto"/>
          <w:kern w:val="0"/>
          <w:sz w:val="24"/>
          <w:szCs w:val="24"/>
          <w:highlight w:val="none"/>
        </w:rPr>
      </w:pPr>
      <w:r>
        <w:rPr>
          <w:rFonts w:hint="eastAsia" w:hAnsi="宋体" w:cs="宋体"/>
          <w:b/>
          <w:color w:val="auto"/>
          <w:kern w:val="0"/>
          <w:sz w:val="24"/>
          <w:szCs w:val="24"/>
          <w:highlight w:val="none"/>
        </w:rPr>
        <w:t>11、行李仓：</w:t>
      </w:r>
      <w:r>
        <w:rPr>
          <w:rFonts w:hint="eastAsia" w:hAnsi="宋体" w:cs="宋体"/>
          <w:color w:val="auto"/>
          <w:kern w:val="0"/>
          <w:sz w:val="24"/>
          <w:szCs w:val="24"/>
          <w:highlight w:val="none"/>
        </w:rPr>
        <w:t>车辆行李舱容积大于0.15m³/人（高度不大于1.2米），行李舱与客舱隔离并在车外具有独立舱门，舱门开启方式采用手动上平移开启方式，如若分置若干处，任何一处容积不得小于0.15m³，其中任意边长不小于0.4m。其他检修仓门和电瓶仓门使用气体撑杆，带保险扣。。</w:t>
      </w:r>
    </w:p>
    <w:p w14:paraId="4295FB12">
      <w:pPr>
        <w:pStyle w:val="85"/>
        <w:ind w:firstLine="482"/>
        <w:rPr>
          <w:rFonts w:hAnsi="宋体" w:cs="宋体"/>
          <w:color w:val="auto"/>
          <w:kern w:val="0"/>
          <w:sz w:val="24"/>
          <w:szCs w:val="24"/>
          <w:highlight w:val="none"/>
        </w:rPr>
      </w:pPr>
      <w:r>
        <w:rPr>
          <w:rFonts w:hint="eastAsia" w:hAnsi="宋体" w:cs="宋体"/>
          <w:b/>
          <w:color w:val="auto"/>
          <w:kern w:val="0"/>
          <w:sz w:val="24"/>
          <w:szCs w:val="24"/>
          <w:highlight w:val="none"/>
        </w:rPr>
        <w:t>12、行李架：</w:t>
      </w:r>
      <w:r>
        <w:rPr>
          <w:rFonts w:hint="eastAsia" w:hAnsi="宋体" w:cs="宋体"/>
          <w:color w:val="auto"/>
          <w:kern w:val="0"/>
          <w:sz w:val="24"/>
          <w:szCs w:val="24"/>
          <w:highlight w:val="none"/>
        </w:rPr>
        <w:t>在座椅上方安装豪华行李架。</w:t>
      </w:r>
    </w:p>
    <w:p w14:paraId="6E1A330D">
      <w:pPr>
        <w:pStyle w:val="85"/>
        <w:ind w:firstLine="482"/>
        <w:rPr>
          <w:rFonts w:hAnsi="宋体" w:cs="宋体"/>
          <w:color w:val="auto"/>
          <w:kern w:val="0"/>
          <w:sz w:val="24"/>
          <w:szCs w:val="24"/>
          <w:highlight w:val="none"/>
        </w:rPr>
      </w:pPr>
      <w:r>
        <w:rPr>
          <w:rFonts w:hint="eastAsia" w:hAnsi="宋体" w:cs="宋体"/>
          <w:b/>
          <w:color w:val="auto"/>
          <w:kern w:val="0"/>
          <w:sz w:val="24"/>
          <w:szCs w:val="24"/>
          <w:highlight w:val="none"/>
        </w:rPr>
        <w:t>13、座椅：</w:t>
      </w:r>
      <w:r>
        <w:rPr>
          <w:rFonts w:hint="eastAsia" w:hAnsi="宋体" w:cs="宋体"/>
          <w:color w:val="auto"/>
          <w:kern w:val="0"/>
          <w:sz w:val="24"/>
          <w:szCs w:val="24"/>
          <w:highlight w:val="none"/>
        </w:rPr>
        <w:t>全车座椅座间距离符合高一级客车相关标准，左右可调距离符合高一级标准，座椅脚蹬采用可调式，靠通道座椅安装可调式扶手。全车座椅均按要求安装三点式安全带，并配有离座报警装置。座椅靠背可调度为15°-30°。座椅结构尺寸、安装尺寸、间距均应符合13057-2023《客车座椅及其车辆固定件的强度》、GB 7258-2017《机动车运行安全技术条件》的有关规定。配置高靠软垫可调式驾驶座椅，确保安全、舒适，符合人体工程学。安装带导游靠背的护栏。</w:t>
      </w:r>
      <w:r>
        <w:rPr>
          <w:rFonts w:hint="eastAsia" w:hAnsi="宋体" w:cs="宋体"/>
          <w:color w:val="auto"/>
          <w:kern w:val="0"/>
          <w:sz w:val="24"/>
          <w:szCs w:val="24"/>
          <w:highlight w:val="none"/>
          <w:lang w:eastAsia="zh-CN"/>
        </w:rPr>
        <w:t>乘客座椅安装 USB</w:t>
      </w:r>
      <w:r>
        <w:rPr>
          <w:rFonts w:hint="eastAsia" w:hAnsi="宋体" w:cs="宋体"/>
          <w:color w:val="auto"/>
          <w:kern w:val="0"/>
          <w:sz w:val="24"/>
          <w:szCs w:val="24"/>
          <w:highlight w:val="none"/>
          <w:lang w:val="en-US" w:eastAsia="zh-CN"/>
        </w:rPr>
        <w:t>二合一</w:t>
      </w:r>
      <w:r>
        <w:rPr>
          <w:rFonts w:hint="eastAsia" w:hAnsi="宋体" w:cs="宋体"/>
          <w:color w:val="auto"/>
          <w:kern w:val="0"/>
          <w:sz w:val="24"/>
          <w:szCs w:val="24"/>
          <w:highlight w:val="none"/>
          <w:lang w:eastAsia="zh-CN"/>
        </w:rPr>
        <w:t>充电插孔。</w:t>
      </w:r>
    </w:p>
    <w:p w14:paraId="0F9C5F02">
      <w:pPr>
        <w:pStyle w:val="85"/>
        <w:ind w:firstLine="482"/>
        <w:rPr>
          <w:rFonts w:hAnsi="宋体" w:cs="宋体"/>
          <w:color w:val="auto"/>
          <w:kern w:val="0"/>
          <w:sz w:val="24"/>
          <w:szCs w:val="24"/>
          <w:highlight w:val="none"/>
        </w:rPr>
      </w:pPr>
      <w:r>
        <w:rPr>
          <w:rFonts w:hint="eastAsia" w:hAnsi="宋体" w:cs="宋体"/>
          <w:b/>
          <w:color w:val="auto"/>
          <w:kern w:val="0"/>
          <w:sz w:val="24"/>
          <w:szCs w:val="24"/>
          <w:highlight w:val="none"/>
        </w:rPr>
        <w:t>14、后视镜</w:t>
      </w:r>
      <w:r>
        <w:rPr>
          <w:rFonts w:hint="eastAsia" w:hAnsi="宋体" w:cs="宋体"/>
          <w:color w:val="auto"/>
          <w:kern w:val="0"/>
          <w:sz w:val="24"/>
          <w:szCs w:val="24"/>
          <w:highlight w:val="none"/>
        </w:rPr>
        <w:t>：安装兔耳式电加热除霜电动可调式后视镜。后视镜符合QC/T531-2025《汽车后视镜》、GB15084-2022《机动车辆 间接视野装置性能和安装要求》规定，其外缘距车壁最宽处不大于250mm，应保证左右视镜，看到道路表面可见区符合GB 13094-2017 《客车结构安全要求》规定，增设下视镜，应能看到风窗玻璃前下方长1.5m，宽3m范围的地面。车内安装内后视镜，应能看到车内乘客的活动情况。</w:t>
      </w:r>
    </w:p>
    <w:p w14:paraId="52859162">
      <w:pPr>
        <w:pStyle w:val="85"/>
        <w:ind w:firstLine="480"/>
        <w:rPr>
          <w:rFonts w:hAnsi="宋体" w:cs="宋体"/>
          <w:color w:val="auto"/>
          <w:kern w:val="0"/>
          <w:sz w:val="24"/>
          <w:szCs w:val="24"/>
          <w:highlight w:val="none"/>
        </w:rPr>
      </w:pPr>
      <w:r>
        <w:rPr>
          <w:rFonts w:hint="eastAsia" w:hAnsi="宋体" w:cs="宋体"/>
          <w:color w:val="auto"/>
          <w:kern w:val="0"/>
          <w:sz w:val="24"/>
          <w:szCs w:val="24"/>
          <w:highlight w:val="none"/>
        </w:rPr>
        <w:t>15、乘客门结构和数量，设置两个门，分别为前门、中门，布局合理，外观漂亮，设置相应的应急门。</w:t>
      </w:r>
    </w:p>
    <w:p w14:paraId="5114310A">
      <w:pPr>
        <w:pStyle w:val="85"/>
        <w:ind w:firstLine="480"/>
        <w:rPr>
          <w:rFonts w:hint="eastAsia" w:hAnsi="宋体" w:cs="宋体"/>
          <w:color w:val="auto"/>
          <w:kern w:val="0"/>
          <w:sz w:val="24"/>
          <w:szCs w:val="24"/>
          <w:highlight w:val="none"/>
        </w:rPr>
      </w:pPr>
      <w:r>
        <w:rPr>
          <w:rFonts w:hint="eastAsia" w:hAnsi="宋体" w:cs="宋体"/>
          <w:color w:val="auto"/>
          <w:kern w:val="0"/>
          <w:sz w:val="24"/>
          <w:szCs w:val="24"/>
          <w:highlight w:val="none"/>
        </w:rPr>
        <w:t>16、车内合理位置设置遮阳帘或窗帘。</w:t>
      </w:r>
    </w:p>
    <w:p w14:paraId="5E8AF329">
      <w:pPr>
        <w:pStyle w:val="161"/>
        <w:spacing w:before="0" w:beforeAutospacing="0" w:after="0" w:afterAutospacing="0"/>
        <w:ind w:left="-2" w:leftChars="-1" w:firstLine="487" w:firstLineChars="202"/>
        <w:jc w:val="both"/>
        <w:rPr>
          <w:rFonts w:cs="宋体"/>
          <w:b/>
          <w:color w:val="auto"/>
          <w:sz w:val="24"/>
          <w:szCs w:val="24"/>
          <w:highlight w:val="none"/>
        </w:rPr>
      </w:pPr>
      <w:r>
        <w:rPr>
          <w:rFonts w:hint="eastAsia" w:cs="宋体"/>
          <w:b/>
          <w:color w:val="auto"/>
          <w:sz w:val="24"/>
          <w:szCs w:val="24"/>
          <w:highlight w:val="none"/>
        </w:rPr>
        <w:t>五、车载电子设备及服务设施</w:t>
      </w:r>
    </w:p>
    <w:p w14:paraId="74B60E4E">
      <w:pPr>
        <w:pStyle w:val="6"/>
        <w:keepNext w:val="0"/>
        <w:keepLines w:val="0"/>
        <w:widowControl/>
        <w:suppressLineNumbers w:val="0"/>
        <w:shd w:val="clear" w:fill="FFFFFF"/>
        <w:spacing w:before="150" w:beforeAutospacing="0" w:after="150" w:afterAutospacing="0" w:line="17" w:lineRule="atLeast"/>
        <w:ind w:left="0" w:firstLine="0"/>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1、在驾驶员座椅附近、中客门附近易拿取的位置，配备符合34655-2017《客车灭火装备配置要求》、</w:t>
      </w:r>
      <w:r>
        <w:rPr>
          <w:rFonts w:hint="default" w:ascii="宋体" w:hAnsi="宋体" w:eastAsia="宋体" w:cs="宋体"/>
          <w:color w:val="auto"/>
          <w:kern w:val="0"/>
          <w:sz w:val="24"/>
          <w:szCs w:val="24"/>
          <w:highlight w:val="none"/>
          <w:lang w:val="en-US" w:eastAsia="zh-CN" w:bidi="ar-SA"/>
        </w:rPr>
        <w:t>GB 4351-2023《手提式灭火器》</w:t>
      </w:r>
      <w:r>
        <w:rPr>
          <w:rFonts w:hint="eastAsia" w:ascii="宋体" w:hAnsi="宋体" w:eastAsia="宋体" w:cs="宋体"/>
          <w:color w:val="auto"/>
          <w:kern w:val="0"/>
          <w:sz w:val="24"/>
          <w:szCs w:val="24"/>
          <w:highlight w:val="none"/>
          <w:lang w:val="en-US" w:eastAsia="zh-CN" w:bidi="ar-SA"/>
        </w:rPr>
        <w:t>的4KG灭火器。配置数量符合相关现行标准。</w:t>
      </w:r>
    </w:p>
    <w:p w14:paraId="0C2B1DE7">
      <w:pPr>
        <w:pStyle w:val="85"/>
        <w:ind w:firstLine="480"/>
        <w:rPr>
          <w:rFonts w:hAnsi="宋体" w:cs="宋体"/>
          <w:color w:val="auto"/>
          <w:kern w:val="0"/>
          <w:sz w:val="24"/>
          <w:szCs w:val="24"/>
          <w:highlight w:val="none"/>
        </w:rPr>
      </w:pPr>
      <w:r>
        <w:rPr>
          <w:rFonts w:hint="eastAsia" w:hAnsi="宋体" w:cs="宋体"/>
          <w:color w:val="auto"/>
          <w:kern w:val="0"/>
          <w:sz w:val="24"/>
          <w:szCs w:val="24"/>
          <w:highlight w:val="none"/>
        </w:rPr>
        <w:t>2、车厢内的检修盖板采用框式结构，带内边框，与地板颜色协调，边缘须与地板平齐，方便开启。</w:t>
      </w:r>
    </w:p>
    <w:p w14:paraId="333366D4">
      <w:pPr>
        <w:pStyle w:val="85"/>
        <w:ind w:firstLine="480"/>
        <w:rPr>
          <w:rFonts w:hint="eastAsia" w:ascii="宋体" w:hAnsi="宋体" w:eastAsia="宋体" w:cs="宋体"/>
          <w:color w:val="auto"/>
          <w:kern w:val="0"/>
          <w:sz w:val="24"/>
          <w:szCs w:val="24"/>
          <w:highlight w:val="none"/>
          <w:lang w:val="en-US" w:eastAsia="zh-CN" w:bidi="ar-SA"/>
        </w:rPr>
      </w:pPr>
      <w:r>
        <w:rPr>
          <w:rFonts w:hint="eastAsia" w:hAnsi="宋体" w:cs="宋体"/>
          <w:color w:val="auto"/>
          <w:kern w:val="0"/>
          <w:sz w:val="24"/>
          <w:szCs w:val="24"/>
          <w:highlight w:val="none"/>
        </w:rPr>
        <w:t>3、车内、外噪声符合</w:t>
      </w:r>
      <w:r>
        <w:rPr>
          <w:rFonts w:hAnsi="宋体" w:cs="宋体"/>
          <w:color w:val="auto"/>
          <w:kern w:val="0"/>
          <w:sz w:val="24"/>
          <w:szCs w:val="24"/>
          <w:highlight w:val="none"/>
        </w:rPr>
        <w:t>GB1495-2020</w:t>
      </w:r>
      <w:r>
        <w:rPr>
          <w:rFonts w:hint="eastAsia" w:hAnsi="宋体" w:cs="宋体"/>
          <w:color w:val="auto"/>
          <w:kern w:val="0"/>
          <w:sz w:val="24"/>
          <w:szCs w:val="24"/>
          <w:highlight w:val="none"/>
        </w:rPr>
        <w:t>《汽车加速行驶车外噪声限值及测量方法》、GB7258-</w:t>
      </w:r>
      <w:r>
        <w:rPr>
          <w:rFonts w:hint="eastAsia" w:ascii="宋体" w:hAnsi="宋体" w:eastAsia="宋体" w:cs="宋体"/>
          <w:color w:val="auto"/>
          <w:kern w:val="0"/>
          <w:sz w:val="24"/>
          <w:szCs w:val="24"/>
          <w:highlight w:val="none"/>
          <w:lang w:val="en-US" w:eastAsia="zh-CN" w:bidi="ar-SA"/>
        </w:rPr>
        <w:t>2017《机动车运行安全技术条件》的规定。</w:t>
      </w:r>
    </w:p>
    <w:p w14:paraId="3634D579">
      <w:pPr>
        <w:pStyle w:val="85"/>
        <w:ind w:firstLine="480"/>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4、影视系统：在车辆前部安装1台22寸液晶电视，带影音播放和功放功能（带蓝牙功能，存储不小于500G）</w:t>
      </w:r>
    </w:p>
    <w:p w14:paraId="4EFBBFB7">
      <w:pPr>
        <w:pStyle w:val="85"/>
        <w:ind w:firstLine="480"/>
        <w:rPr>
          <w:rFonts w:hAnsi="宋体" w:cs="宋体"/>
          <w:color w:val="auto"/>
          <w:kern w:val="0"/>
          <w:sz w:val="24"/>
          <w:szCs w:val="24"/>
          <w:highlight w:val="none"/>
        </w:rPr>
      </w:pPr>
      <w:r>
        <w:rPr>
          <w:rFonts w:hint="eastAsia" w:hAnsi="宋体" w:cs="宋体"/>
          <w:color w:val="auto"/>
          <w:kern w:val="0"/>
          <w:sz w:val="24"/>
          <w:szCs w:val="24"/>
          <w:highlight w:val="none"/>
        </w:rPr>
        <w:t>5、车身喷涂需方要求图样等。</w:t>
      </w:r>
    </w:p>
    <w:p w14:paraId="01C6BC9C">
      <w:pPr>
        <w:pStyle w:val="85"/>
        <w:ind w:firstLine="480"/>
        <w:rPr>
          <w:rFonts w:hint="eastAsia" w:hAnsi="宋体" w:cs="宋体"/>
          <w:color w:val="auto"/>
          <w:kern w:val="0"/>
          <w:sz w:val="24"/>
          <w:szCs w:val="24"/>
          <w:highlight w:val="none"/>
        </w:rPr>
      </w:pPr>
      <w:r>
        <w:rPr>
          <w:rFonts w:hint="eastAsia" w:hAnsi="宋体" w:cs="宋体"/>
          <w:color w:val="auto"/>
          <w:kern w:val="0"/>
          <w:sz w:val="24"/>
          <w:szCs w:val="24"/>
          <w:highlight w:val="none"/>
        </w:rPr>
        <w:t>6、每车配随车工具1套，且包含全车电路图、气路图。</w:t>
      </w:r>
    </w:p>
    <w:p w14:paraId="7D47AFA9">
      <w:pPr>
        <w:pStyle w:val="32"/>
        <w:spacing w:before="0" w:beforeAutospacing="0" w:after="0" w:afterAutospacing="0"/>
        <w:ind w:firstLine="482"/>
        <w:jc w:val="both"/>
        <w:rPr>
          <w:rFonts w:hint="default" w:eastAsia="宋体" w:cs="宋体"/>
          <w:color w:val="auto"/>
          <w:sz w:val="24"/>
          <w:szCs w:val="24"/>
          <w:highlight w:val="none"/>
          <w:lang w:val="en-US" w:eastAsia="zh-CN"/>
        </w:rPr>
      </w:pPr>
      <w:r>
        <w:rPr>
          <w:rFonts w:hint="eastAsia" w:cs="宋体"/>
          <w:b/>
          <w:color w:val="auto"/>
          <w:sz w:val="24"/>
          <w:szCs w:val="24"/>
          <w:highlight w:val="none"/>
        </w:rPr>
        <w:t>7、视频监控系统：</w:t>
      </w:r>
      <w:r>
        <w:rPr>
          <w:rFonts w:hint="eastAsia" w:cs="宋体"/>
          <w:color w:val="auto"/>
          <w:sz w:val="24"/>
          <w:szCs w:val="24"/>
          <w:highlight w:val="none"/>
          <w:lang w:val="en-US" w:eastAsia="zh-CN"/>
        </w:rPr>
        <w:t>不少于</w:t>
      </w:r>
      <w:r>
        <w:rPr>
          <w:rFonts w:hint="eastAsia" w:cs="宋体"/>
          <w:color w:val="auto"/>
          <w:sz w:val="24"/>
          <w:szCs w:val="24"/>
          <w:highlight w:val="none"/>
        </w:rPr>
        <w:t>1T固态硬盘、车前、驾驶员位、各乘客门、车内乘客区的探头，具备储存和上传功能。</w:t>
      </w:r>
      <w:r>
        <w:rPr>
          <w:rFonts w:hint="eastAsia" w:cs="宋体"/>
          <w:color w:val="auto"/>
          <w:sz w:val="24"/>
          <w:szCs w:val="24"/>
          <w:highlight w:val="none"/>
          <w:lang w:val="en-US" w:eastAsia="zh-CN"/>
        </w:rPr>
        <w:t>确保车载终端存储不低于150小时，后台系统存储不低于30天。</w:t>
      </w:r>
    </w:p>
    <w:p w14:paraId="5C13B1C8">
      <w:pPr>
        <w:pStyle w:val="32"/>
        <w:spacing w:before="0" w:beforeAutospacing="0" w:after="0" w:afterAutospacing="0"/>
        <w:ind w:firstLine="482" w:firstLineChars="0"/>
        <w:jc w:val="both"/>
        <w:rPr>
          <w:rFonts w:hint="eastAsia" w:cs="宋体"/>
          <w:color w:val="auto"/>
          <w:sz w:val="24"/>
          <w:szCs w:val="24"/>
          <w:highlight w:val="none"/>
        </w:rPr>
      </w:pPr>
      <w:r>
        <w:rPr>
          <w:rFonts w:hint="eastAsia" w:cs="宋体"/>
          <w:b/>
          <w:color w:val="auto"/>
          <w:sz w:val="24"/>
          <w:szCs w:val="24"/>
          <w:highlight w:val="none"/>
        </w:rPr>
        <w:t>8、车载电脑：</w:t>
      </w:r>
      <w:r>
        <w:rPr>
          <w:rFonts w:hint="eastAsia" w:cs="宋体"/>
          <w:color w:val="auto"/>
          <w:sz w:val="24"/>
          <w:szCs w:val="24"/>
          <w:highlight w:val="none"/>
        </w:rPr>
        <w:t>含行驶记录仪、北斗单模定位、彩色触摸显示屏、U盘/SD卡插放等，支持彩色倒车影像监视。</w:t>
      </w:r>
    </w:p>
    <w:p w14:paraId="08AC0D6F">
      <w:pPr>
        <w:pStyle w:val="85"/>
        <w:ind w:firstLine="480"/>
        <w:rPr>
          <w:rFonts w:hAnsi="宋体" w:cs="宋体"/>
          <w:b/>
          <w:bCs/>
          <w:color w:val="auto"/>
          <w:kern w:val="0"/>
          <w:sz w:val="24"/>
          <w:szCs w:val="24"/>
          <w:highlight w:val="none"/>
        </w:rPr>
      </w:pPr>
      <w:r>
        <w:rPr>
          <w:rFonts w:hint="eastAsia" w:hAnsi="宋体" w:cs="宋体"/>
          <w:b/>
          <w:bCs/>
          <w:color w:val="auto"/>
          <w:kern w:val="0"/>
          <w:sz w:val="24"/>
          <w:szCs w:val="24"/>
          <w:highlight w:val="none"/>
        </w:rPr>
        <w:t>9、配备车载视频监控设备、北斗单模定位系统、车辆CAN车载上传终端</w:t>
      </w:r>
    </w:p>
    <w:p w14:paraId="0914A437">
      <w:pPr>
        <w:pStyle w:val="85"/>
        <w:ind w:left="210" w:leftChars="100" w:firstLine="240" w:firstLineChars="100"/>
        <w:rPr>
          <w:rFonts w:hint="eastAsia" w:hAnsi="宋体" w:cs="宋体"/>
          <w:color w:val="auto"/>
          <w:kern w:val="0"/>
          <w:sz w:val="24"/>
          <w:szCs w:val="24"/>
          <w:highlight w:val="none"/>
        </w:rPr>
      </w:pPr>
      <w:r>
        <w:rPr>
          <w:rFonts w:hint="eastAsia" w:hAnsi="宋体" w:cs="宋体"/>
          <w:color w:val="auto"/>
          <w:kern w:val="0"/>
          <w:sz w:val="24"/>
          <w:szCs w:val="24"/>
          <w:highlight w:val="none"/>
        </w:rPr>
        <w:t>（1）配装道路运输车辆动态监控系统，带打印功能的4G/GPS视频监控平台,要具有存储和上传功能，车载视频监控设备及卫星定位平台必须符合云南省文化旅游及云南省道路运输行业管理标准，能接入以上行政部门的网络平台。</w:t>
      </w:r>
      <w:r>
        <w:rPr>
          <w:rFonts w:hint="eastAsia" w:hAnsi="宋体" w:cs="宋体"/>
          <w:b/>
          <w:color w:val="auto"/>
          <w:kern w:val="0"/>
          <w:sz w:val="24"/>
          <w:szCs w:val="24"/>
          <w:highlight w:val="none"/>
        </w:rPr>
        <w:t>其技术服务单位必须是云南省相关</w:t>
      </w:r>
      <w:r>
        <w:rPr>
          <w:rFonts w:hint="eastAsia" w:hAnsi="宋体" w:cs="宋体"/>
          <w:color w:val="auto"/>
          <w:kern w:val="0"/>
          <w:sz w:val="24"/>
          <w:szCs w:val="24"/>
          <w:highlight w:val="none"/>
        </w:rPr>
        <w:t>行业</w:t>
      </w:r>
      <w:r>
        <w:rPr>
          <w:rFonts w:hint="eastAsia" w:hAnsi="宋体" w:cs="宋体"/>
          <w:b/>
          <w:color w:val="auto"/>
          <w:kern w:val="0"/>
          <w:sz w:val="24"/>
          <w:szCs w:val="24"/>
          <w:highlight w:val="none"/>
        </w:rPr>
        <w:t>已通过备案的运营服务商（可在云南省相关</w:t>
      </w:r>
      <w:r>
        <w:rPr>
          <w:rFonts w:hint="eastAsia" w:hAnsi="宋体" w:cs="宋体"/>
          <w:color w:val="auto"/>
          <w:kern w:val="0"/>
          <w:sz w:val="24"/>
          <w:szCs w:val="24"/>
          <w:highlight w:val="none"/>
        </w:rPr>
        <w:t>行业</w:t>
      </w:r>
      <w:r>
        <w:rPr>
          <w:rFonts w:hint="eastAsia" w:hAnsi="宋体" w:cs="宋体"/>
          <w:b/>
          <w:color w:val="auto"/>
          <w:kern w:val="0"/>
          <w:sz w:val="24"/>
          <w:szCs w:val="24"/>
          <w:highlight w:val="none"/>
        </w:rPr>
        <w:t>官网查询），提供接入服务的平台服务运营商应对监控平台进行升级改造，以满足有关技术规范要</w:t>
      </w:r>
      <w:r>
        <w:rPr>
          <w:rFonts w:hint="eastAsia" w:hAnsi="宋体" w:cs="宋体"/>
          <w:color w:val="auto"/>
          <w:kern w:val="0"/>
          <w:sz w:val="24"/>
          <w:szCs w:val="24"/>
          <w:highlight w:val="none"/>
        </w:rPr>
        <w:t>求。平台主要功能：车辆实时定位监控功能、行车记录仪数据保存功能、车载实时视频调取及监控功能；车辆超速、疲劳驾驶、接打手持电话、长时间不目视前方、驾驶员不在驾驶位置、抽烟、向前碰撞、车道偏离、车距过近等不安全驾驶行为实时报警等功能。同时还应具备驾驶员疲劳报警等各类不安全驾驶行为报警数据，能统计分析功能。</w:t>
      </w:r>
    </w:p>
    <w:p w14:paraId="54BAE415">
      <w:pPr>
        <w:pStyle w:val="189"/>
        <w:ind w:firstLine="480"/>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10.CAN总线数据要求</w:t>
      </w:r>
    </w:p>
    <w:p w14:paraId="33B8584E">
      <w:pPr>
        <w:pStyle w:val="189"/>
        <w:ind w:firstLine="480"/>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整车配CAN总线仪表，采用一个7寸仪表或者全液晶加前后域控制器方案，仪表台布置美观大方，带过流断电指示，总电流数值进CAN总线。仪表具备2路CAN总线，1路作为内网CAN，1路作为外网CAN。前域具备89路输出，其中带120A保险输出，18路15A、8路10A、20路5A,22路3A及18路1A功率输出，后域具备120A带保险1路，功率芯片输出有120A1路、50A1路、30A3路、20A8路、10A7路、5A4路、3A14路、2A4路且所有功率管带有电流反馈能力，具备采集每路负载的电流能力，方便作为故障判断的依据；所有功率管具备过流、过压、过温、过负载的保护能力，能判断轻载、过载、短路、开路等故障状态；模块具备120路以上开关量输入接口，并且正负控可配置修改，输入端口必须具备电压型传感器采集接口、电阻性传感器采集接口、频率性传感器采集接口、前域3路CAN通讯接口，而且终端电阻可配；</w:t>
      </w:r>
    </w:p>
    <w:p w14:paraId="2B80577E">
      <w:pPr>
        <w:pStyle w:val="189"/>
        <w:ind w:firstLine="480"/>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不区分车型、客车品牌、批次；模块防护等级需达到IP65防护等级。接插件经采用防水、防错插、插件，（可预防短时浸水、）防尘，可以外装；可与防火车辆电源配电盒进行CAN通信并进行控制。合理布置CAN总线模块安装位置，方便今后维修检测，模块必须带信息采集存储功能，可通过can线采集车辆运行报警状态，本地记录保存，实现USB自动上传，存储时间不少于2周，并且开放CAN总线信息接口，提供技术支持进行功能扩展，相关数据可根据昆明公交数据协议要求上传至昆明公交后台远程终端，质保不低于8年。性能不低于或优于雪利曼同类产品。</w:t>
      </w:r>
    </w:p>
    <w:p w14:paraId="31F8028B">
      <w:pPr>
        <w:pStyle w:val="189"/>
        <w:numPr>
          <w:ilvl w:val="0"/>
          <w:numId w:val="6"/>
        </w:numPr>
        <w:ind w:firstLine="480"/>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满足昆明公交集团有限责任公司CAN总线监控平台显示数据内容，见附件    </w:t>
      </w:r>
    </w:p>
    <w:p w14:paraId="0F76446D">
      <w:pPr>
        <w:pStyle w:val="189"/>
        <w:numPr>
          <w:ilvl w:val="0"/>
          <w:numId w:val="0"/>
        </w:numPr>
        <w:ind w:firstLine="482"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
          <w:bCs w:val="0"/>
          <w:color w:val="auto"/>
          <w:kern w:val="2"/>
          <w:sz w:val="24"/>
          <w:szCs w:val="24"/>
          <w:highlight w:val="none"/>
          <w:lang w:val="en-US" w:eastAsia="zh-CN" w:bidi="ar-SA"/>
        </w:rPr>
        <w:t>11.LED路牌</w:t>
      </w:r>
      <w:r>
        <w:rPr>
          <w:rFonts w:hint="eastAsia" w:ascii="宋体" w:hAnsi="宋体" w:eastAsia="宋体" w:cs="宋体"/>
          <w:color w:val="auto"/>
          <w:kern w:val="2"/>
          <w:sz w:val="24"/>
          <w:szCs w:val="24"/>
          <w:highlight w:val="none"/>
          <w:lang w:val="en-US" w:eastAsia="zh-CN" w:bidi="ar-SA"/>
        </w:rPr>
        <w:t>：车头尾装LED大路牌，尺寸不小于GB5845.13—89《城市公共交通标志公共汽车、无轨电车、有轨电车路牌》中的规定。采用24点阵动态电子路牌,线路号和站名使用红色LED发光管，头牌11字；尾牌11字，尾牌显示与制动、转向联动显示，线路号和站名显示使用红色LED发光管；腰牌7字，从左至右显示，线路号和站名使用红色LED发光管。质保8年。</w:t>
      </w:r>
    </w:p>
    <w:p w14:paraId="6BAED116">
      <w:pPr>
        <w:pStyle w:val="32"/>
        <w:numPr>
          <w:ilvl w:val="0"/>
          <w:numId w:val="0"/>
        </w:numPr>
        <w:spacing w:before="0" w:beforeAutospacing="0" w:after="0" w:afterAutospacing="0" w:line="400" w:lineRule="exact"/>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  </w:t>
      </w:r>
      <w:r>
        <w:rPr>
          <w:rFonts w:hint="eastAsia" w:ascii="宋体" w:hAnsi="宋体" w:eastAsia="宋体" w:cs="宋体"/>
          <w:b/>
          <w:bCs/>
          <w:color w:val="auto"/>
          <w:kern w:val="2"/>
          <w:sz w:val="24"/>
          <w:szCs w:val="24"/>
          <w:highlight w:val="none"/>
          <w:lang w:val="en-US" w:eastAsia="zh-CN" w:bidi="ar-SA"/>
        </w:rPr>
        <w:t xml:space="preserve">  </w:t>
      </w:r>
      <w:r>
        <w:rPr>
          <w:rFonts w:hint="eastAsia" w:ascii="宋体" w:hAnsi="宋体" w:eastAsia="宋体" w:cs="宋体"/>
          <w:color w:val="auto"/>
          <w:kern w:val="2"/>
          <w:sz w:val="24"/>
          <w:szCs w:val="24"/>
          <w:highlight w:val="none"/>
          <w:lang w:val="en-US" w:eastAsia="zh-CN" w:bidi="ar-SA"/>
        </w:rPr>
        <w:t>12.投币箱：前门预留安装位置，方便乘客投币。</w:t>
      </w:r>
    </w:p>
    <w:p w14:paraId="4402430D">
      <w:pPr>
        <w:pStyle w:val="32"/>
        <w:numPr>
          <w:ilvl w:val="0"/>
          <w:numId w:val="0"/>
        </w:numPr>
        <w:spacing w:before="0" w:beforeAutospacing="0" w:after="0" w:afterAutospacing="0" w:line="400" w:lineRule="exact"/>
        <w:ind w:firstLine="482" w:firstLineChars="200"/>
        <w:rPr>
          <w:rFonts w:cs="宋体"/>
          <w:b/>
          <w:color w:val="auto"/>
          <w:sz w:val="24"/>
          <w:szCs w:val="24"/>
          <w:highlight w:val="none"/>
        </w:rPr>
      </w:pPr>
      <w:r>
        <w:rPr>
          <w:rFonts w:hint="eastAsia" w:cs="宋体"/>
          <w:b/>
          <w:color w:val="auto"/>
          <w:sz w:val="24"/>
          <w:szCs w:val="24"/>
          <w:highlight w:val="none"/>
        </w:rPr>
        <w:t>六、其他要求：</w:t>
      </w:r>
    </w:p>
    <w:p w14:paraId="02612923">
      <w:pPr>
        <w:pStyle w:val="5"/>
        <w:spacing w:before="0" w:after="0"/>
        <w:ind w:firstLine="482" w:firstLineChars="200"/>
        <w:rPr>
          <w:rFonts w:ascii="宋体" w:hAnsi="宋体" w:cs="宋体"/>
          <w:color w:val="auto"/>
          <w:sz w:val="24"/>
          <w:szCs w:val="24"/>
          <w:highlight w:val="none"/>
        </w:rPr>
      </w:pPr>
      <w:r>
        <w:rPr>
          <w:rFonts w:hint="eastAsia" w:ascii="宋体" w:hAnsi="宋体" w:cs="宋体"/>
          <w:color w:val="auto"/>
          <w:sz w:val="24"/>
          <w:szCs w:val="24"/>
          <w:highlight w:val="none"/>
        </w:rPr>
        <w:t>（一）其他未标明配置按国家相关规定执行。</w:t>
      </w:r>
    </w:p>
    <w:p w14:paraId="41084CFD">
      <w:pPr>
        <w:pStyle w:val="5"/>
        <w:spacing w:before="0" w:after="0"/>
        <w:ind w:firstLine="482"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（二）规范标准  </w:t>
      </w:r>
    </w:p>
    <w:p w14:paraId="3ED78542">
      <w:pPr>
        <w:pStyle w:val="189"/>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1、投标车型要求</w:t>
      </w:r>
    </w:p>
    <w:p w14:paraId="5CF46C0A">
      <w:pPr>
        <w:pStyle w:val="189"/>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1.1投标车型其产品质量应严格按照 QC/T 900—1997《汽车整车产品质量检验评定方法》、GB18565-2016《道路运输车辆综合性能要求和检验方法》，其质量应符合GB 7258-2017《机动车运行安全技术条件》及46项汽车强制标准汇编的要求。</w:t>
      </w:r>
    </w:p>
    <w:p w14:paraId="230E3B6F">
      <w:pPr>
        <w:pStyle w:val="189"/>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 生产厂家提供的《机</w:t>
      </w:r>
      <w:r>
        <w:rPr>
          <w:rFonts w:hint="eastAsia" w:hAnsi="宋体" w:cs="宋体"/>
          <w:color w:val="auto"/>
          <w:sz w:val="24"/>
          <w:szCs w:val="24"/>
          <w:highlight w:val="none"/>
          <w:lang w:eastAsia="zh-CN"/>
        </w:rPr>
        <w:t>动车</w:t>
      </w:r>
      <w:r>
        <w:rPr>
          <w:rFonts w:hint="eastAsia" w:ascii="宋体" w:hAnsi="宋体" w:eastAsia="宋体" w:cs="宋体"/>
          <w:color w:val="auto"/>
          <w:sz w:val="24"/>
          <w:szCs w:val="24"/>
          <w:highlight w:val="none"/>
        </w:rPr>
        <w:t>（整车）出厂合格证》、《机动车（底盘出厂合格证》中所有内容必须与国家公告中相应的内容相符。</w:t>
      </w:r>
    </w:p>
    <w:p w14:paraId="19BC4AD5">
      <w:pPr>
        <w:pStyle w:val="189"/>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2、安全质量要求</w:t>
      </w:r>
    </w:p>
    <w:p w14:paraId="59E2AB03">
      <w:pPr>
        <w:pStyle w:val="189"/>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2.l  转向盘应转动灵活，操纵轻便，无阻滞，在转动过程中，不得</w:t>
      </w:r>
      <w:r>
        <w:rPr>
          <w:rFonts w:hint="eastAsia" w:hAnsi="宋体" w:cs="宋体"/>
          <w:color w:val="auto"/>
          <w:sz w:val="24"/>
          <w:szCs w:val="24"/>
          <w:highlight w:val="none"/>
          <w:lang w:eastAsia="zh-CN"/>
        </w:rPr>
        <w:t>与其他部件</w:t>
      </w:r>
      <w:r>
        <w:rPr>
          <w:rFonts w:hint="eastAsia" w:ascii="宋体" w:hAnsi="宋体" w:eastAsia="宋体" w:cs="宋体"/>
          <w:color w:val="auto"/>
          <w:sz w:val="24"/>
          <w:szCs w:val="24"/>
          <w:highlight w:val="none"/>
        </w:rPr>
        <w:t>有干涉现象，方向盘不得摆动、抖动，路感灵敏、不跑偏。客车在干燥平坦路面上以10km/h的车速、切入半径为12m的圆周行驶时，施加于转向盘外缘的切向力应不大于245N（带转向助力装置的应不大于120N）,基本性能应符合GB7258--2017《机动车运行安全技术条件》的规定。</w:t>
      </w:r>
    </w:p>
    <w:p w14:paraId="371D8B6D">
      <w:pPr>
        <w:pStyle w:val="189"/>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驻车制动可靠，制动性能应符合GB 7258-2017《机动车运行安全技术条件》的规定。</w:t>
      </w:r>
    </w:p>
    <w:p w14:paraId="7CD6AC99">
      <w:pPr>
        <w:pStyle w:val="189"/>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2.3前照灯光束照射位置应符合GB 7258-2017《机动车运行安全技术条件》的规定。</w:t>
      </w:r>
    </w:p>
    <w:p w14:paraId="1AACEC57">
      <w:pPr>
        <w:pStyle w:val="189"/>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3、汽车基本性能的检验质量要求</w:t>
      </w:r>
    </w:p>
    <w:p w14:paraId="2BBF5AB2">
      <w:pPr>
        <w:pStyle w:val="189"/>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3.l 直接档最低稳定车速不大于 30 km／h，按GB/T 12547-2009《汽车最低稳定车速试验方法》检验。</w:t>
      </w:r>
    </w:p>
    <w:p w14:paraId="3742C1E3">
      <w:pPr>
        <w:pStyle w:val="189"/>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 起步加速行驶至 50km/h时加速时间不大于 30s。</w:t>
      </w:r>
    </w:p>
    <w:p w14:paraId="1E96E765">
      <w:pPr>
        <w:pStyle w:val="189"/>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 满载时30km／h制动距离不大于 10.0 m，空载时30km／h制动距离不大于 9.0 m。</w:t>
      </w:r>
    </w:p>
    <w:p w14:paraId="6248ACF7">
      <w:pPr>
        <w:pStyle w:val="189"/>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 车辆电源、电器及电控部分安装位置距地面高度应大于50cm，保证路面积水深度在50cm内时车辆能够正常运行。</w:t>
      </w:r>
    </w:p>
    <w:p w14:paraId="04B4F5B8">
      <w:pPr>
        <w:pStyle w:val="189"/>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4、汽车可靠性的要求</w:t>
      </w:r>
    </w:p>
    <w:p w14:paraId="7936927E">
      <w:pPr>
        <w:pStyle w:val="189"/>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依照QC/T 900—1997《汽车整车产品质量检验评定方法》整车进行过可靠性试验其功能强、性能优越、工作稳定可靠，维修方便，各项指标均达到或超过国家标准，并附有该车型可靠性检验报告。</w:t>
      </w:r>
    </w:p>
    <w:p w14:paraId="0A7B3B5A">
      <w:pPr>
        <w:pStyle w:val="189"/>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5、车身外观质量的要求</w:t>
      </w:r>
    </w:p>
    <w:p w14:paraId="726B89CC">
      <w:pPr>
        <w:pStyle w:val="189"/>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5.l车身外观不应有任何方式的错装、漏装及调整不当。</w:t>
      </w:r>
    </w:p>
    <w:p w14:paraId="26433178">
      <w:pPr>
        <w:pStyle w:val="189"/>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5.2各种灯具的配置，性能应按GB4785-2007《汽车及挂车外部照明和光信号装置的安装规定》、GB 4785-2007/XG1-2009《汽车及挂车外部照明和光信号装置的安装规定》国家标准第1号修改单、GB 4785-2007/XG2-2015《汽车及挂车外部照明和光信号装置的安装规定》国家标准第2号修改单GB 4599-2007《汽车用灯丝灯泡前照灯》、GB 4660-2016《机动车用前雾灯配光性能》、GB 5920-2008《汽车及挂车前位灯、后位灯、示廓灯和制动灯配光性能》的规定保证质量、数量。</w:t>
      </w:r>
    </w:p>
    <w:p w14:paraId="611E4CF8">
      <w:pPr>
        <w:pStyle w:val="189"/>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5.3车身装饰条平整，出厂商标、标牌齐全、牢固。</w:t>
      </w:r>
    </w:p>
    <w:p w14:paraId="69FD540E">
      <w:pPr>
        <w:pStyle w:val="189"/>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5.4车身蒙皮外观平整、包边紧固整齐，无毛刺过渡平顺。</w:t>
      </w:r>
    </w:p>
    <w:p w14:paraId="082E97E4">
      <w:pPr>
        <w:pStyle w:val="189"/>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5.5前后围蒙皮，过渡圆滑，左右对称。</w:t>
      </w:r>
    </w:p>
    <w:p w14:paraId="6FB8615D">
      <w:pPr>
        <w:pStyle w:val="189"/>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5.6乘客门美观大方、宽敞、密封性能好，开启转动灵活，关闭无松旷。</w:t>
      </w:r>
    </w:p>
    <w:p w14:paraId="4461B1D9">
      <w:pPr>
        <w:pStyle w:val="189"/>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6、整车焊接、铆接质量的要求</w:t>
      </w:r>
    </w:p>
    <w:p w14:paraId="42BECA16">
      <w:pPr>
        <w:pStyle w:val="189"/>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6.l 焊缝隐蔽、无焊穿、堆焊、假焊等缺陷，焊接质量应符合相关标准。</w:t>
      </w:r>
    </w:p>
    <w:p w14:paraId="66B76C8B">
      <w:pPr>
        <w:pStyle w:val="189"/>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 铆接贴紧、牢固、可靠，铆钉间距均匀，运动时无震动发响，松旷现象。</w:t>
      </w:r>
    </w:p>
    <w:p w14:paraId="0ACD1E0D">
      <w:pPr>
        <w:pStyle w:val="189"/>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7、车身油漆涂层质量</w:t>
      </w:r>
    </w:p>
    <w:p w14:paraId="3DCDBA84">
      <w:pPr>
        <w:pStyle w:val="189"/>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 车身油漆应色泽鲜艳、饱满、线条无重叠、无任何涂层缺陷。</w:t>
      </w:r>
    </w:p>
    <w:p w14:paraId="0F656C26">
      <w:pPr>
        <w:pStyle w:val="189"/>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 缺陷包括：起泡、起皱、桔皮、裂纹、颗粒、凹陷、砂纸纹。</w:t>
      </w:r>
    </w:p>
    <w:p w14:paraId="33133C63">
      <w:pPr>
        <w:pStyle w:val="189"/>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 涂层质量应符合QC/T484---1999《汽车油漆涂层》要求。</w:t>
      </w:r>
    </w:p>
    <w:p w14:paraId="4A9453D3">
      <w:pPr>
        <w:pStyle w:val="189"/>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7.4 云南日照强烈、温差较大，车身外部漆要求采用耐候性好的漆。</w:t>
      </w:r>
    </w:p>
    <w:p w14:paraId="52C17781">
      <w:pPr>
        <w:pStyle w:val="189"/>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8、车身密封性</w:t>
      </w:r>
    </w:p>
    <w:p w14:paraId="0B8D1AEF">
      <w:pPr>
        <w:pStyle w:val="189"/>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8.1云南地处高原、气候干燥、防雨、防尘、防腐性要求高应严格按QC/T 476-2007《客车防雨密封性限值及试验方法》规定执行。</w:t>
      </w:r>
    </w:p>
    <w:p w14:paraId="1F985C51">
      <w:pPr>
        <w:pStyle w:val="189"/>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8.2 车身防雨密封性综合评定分数：75。</w:t>
      </w:r>
    </w:p>
    <w:p w14:paraId="40A00212">
      <w:pPr>
        <w:pStyle w:val="189"/>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8.3 防尘密封性密封度：90％。</w:t>
      </w:r>
    </w:p>
    <w:p w14:paraId="5958446B">
      <w:pPr>
        <w:pStyle w:val="189"/>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9、环保检测项目的质量要求</w:t>
      </w:r>
    </w:p>
    <w:p w14:paraId="05C3F01B">
      <w:pPr>
        <w:pStyle w:val="189"/>
        <w:ind w:firstLine="480"/>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车辆符合国家行业相关环保要求</w:t>
      </w:r>
      <w:r>
        <w:rPr>
          <w:rFonts w:hint="eastAsia" w:ascii="宋体" w:hAnsi="宋体" w:eastAsia="宋体" w:cs="宋体"/>
          <w:color w:val="auto"/>
          <w:sz w:val="24"/>
          <w:szCs w:val="24"/>
          <w:highlight w:val="none"/>
        </w:rPr>
        <w:t>。</w:t>
      </w:r>
    </w:p>
    <w:p w14:paraId="69044DA0">
      <w:pPr>
        <w:pStyle w:val="189"/>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10、车身附件质量要求</w:t>
      </w:r>
    </w:p>
    <w:p w14:paraId="06E5B719">
      <w:pPr>
        <w:pStyle w:val="189"/>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r>
        <w:rPr>
          <w:rFonts w:hint="eastAsia" w:hAnsi="宋体" w:cs="宋体"/>
          <w:color w:val="auto"/>
          <w:sz w:val="24"/>
          <w:szCs w:val="24"/>
          <w:highlight w:val="none"/>
          <w:lang w:val="en-US" w:eastAsia="zh-CN"/>
        </w:rPr>
        <w:t>1</w:t>
      </w:r>
      <w:r>
        <w:rPr>
          <w:rFonts w:hint="eastAsia" w:ascii="宋体" w:hAnsi="宋体" w:eastAsia="宋体" w:cs="宋体"/>
          <w:color w:val="auto"/>
          <w:sz w:val="24"/>
          <w:szCs w:val="24"/>
          <w:highlight w:val="none"/>
        </w:rPr>
        <w:t>车门泵密封性能好，安装便于维修，手动开关安装于便于操纵的位置。</w:t>
      </w:r>
    </w:p>
    <w:p w14:paraId="3BCAEFD1">
      <w:pPr>
        <w:pStyle w:val="189"/>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r>
        <w:rPr>
          <w:rFonts w:hint="eastAsia" w:hAnsi="宋体" w:cs="宋体"/>
          <w:color w:val="auto"/>
          <w:sz w:val="24"/>
          <w:szCs w:val="24"/>
          <w:highlight w:val="none"/>
          <w:lang w:val="en-US" w:eastAsia="zh-CN"/>
        </w:rPr>
        <w:t>2</w:t>
      </w:r>
      <w:r>
        <w:rPr>
          <w:rFonts w:hint="eastAsia" w:ascii="宋体" w:hAnsi="宋体" w:eastAsia="宋体" w:cs="宋体"/>
          <w:color w:val="auto"/>
          <w:sz w:val="24"/>
          <w:szCs w:val="24"/>
          <w:highlight w:val="none"/>
        </w:rPr>
        <w:t>安全玻璃符合GB 9656—2003《汽车用安全玻璃》、 GB 7258-2017《机动车运行安全技术条件》的规定。风挡玻璃雨刮器、光滑、无伤痕、无锈迹、电机无异响、其频率、刮刷效果应符合QC/T 44-2009《汽车风窗玻璃电动刮水器》。</w:t>
      </w:r>
    </w:p>
    <w:p w14:paraId="29681071">
      <w:pPr>
        <w:pStyle w:val="189"/>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r>
        <w:rPr>
          <w:rFonts w:hint="eastAsia" w:hAnsi="宋体" w:cs="宋体"/>
          <w:color w:val="auto"/>
          <w:sz w:val="24"/>
          <w:szCs w:val="24"/>
          <w:highlight w:val="none"/>
          <w:lang w:val="en-US" w:eastAsia="zh-CN"/>
        </w:rPr>
        <w:t>3</w:t>
      </w:r>
      <w:r>
        <w:rPr>
          <w:rFonts w:hint="eastAsia" w:ascii="宋体" w:hAnsi="宋体" w:eastAsia="宋体" w:cs="宋体"/>
          <w:color w:val="auto"/>
          <w:sz w:val="24"/>
          <w:szCs w:val="24"/>
          <w:highlight w:val="none"/>
        </w:rPr>
        <w:t>组合开关和各种操纵开关相应功能标识齐全、清晰，外型美观、无裂纹、无松动、松脱现象，操作方便，应符合QC/T218-2017《汽车用转向管柱上组合开关技术条件》标准。</w:t>
      </w:r>
    </w:p>
    <w:p w14:paraId="37EE99B5">
      <w:pPr>
        <w:pStyle w:val="189"/>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r>
        <w:rPr>
          <w:rFonts w:hint="eastAsia" w:hAnsi="宋体" w:cs="宋体"/>
          <w:color w:val="auto"/>
          <w:sz w:val="24"/>
          <w:szCs w:val="24"/>
          <w:highlight w:val="none"/>
          <w:lang w:val="en-US" w:eastAsia="zh-CN"/>
        </w:rPr>
        <w:t>4</w:t>
      </w:r>
      <w:r>
        <w:rPr>
          <w:rFonts w:hint="eastAsia" w:ascii="宋体" w:hAnsi="宋体" w:eastAsia="宋体" w:cs="宋体"/>
          <w:color w:val="auto"/>
          <w:sz w:val="24"/>
          <w:szCs w:val="24"/>
          <w:highlight w:val="none"/>
        </w:rPr>
        <w:t>驾驶座位应使用稳定、平顺、舒适、调整机构操作方便、安全可靠、底座带橡胶防护的座位。</w:t>
      </w:r>
    </w:p>
    <w:p w14:paraId="5307CF2D">
      <w:pPr>
        <w:pStyle w:val="189"/>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r>
        <w:rPr>
          <w:rFonts w:hint="eastAsia" w:hAnsi="宋体" w:cs="宋体"/>
          <w:color w:val="auto"/>
          <w:sz w:val="24"/>
          <w:szCs w:val="24"/>
          <w:highlight w:val="none"/>
          <w:lang w:val="en-US" w:eastAsia="zh-CN"/>
        </w:rPr>
        <w:t>5</w:t>
      </w:r>
      <w:r>
        <w:rPr>
          <w:rFonts w:hint="eastAsia" w:ascii="宋体" w:hAnsi="宋体" w:eastAsia="宋体" w:cs="宋体"/>
          <w:color w:val="auto"/>
          <w:sz w:val="24"/>
          <w:szCs w:val="24"/>
          <w:highlight w:val="none"/>
        </w:rPr>
        <w:t>各设备（包括附加设备）使用性能符合生产企业标准，安装符合主机厂企业标准。</w:t>
      </w:r>
    </w:p>
    <w:p w14:paraId="43D45A7C">
      <w:pPr>
        <w:pStyle w:val="189"/>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r>
        <w:rPr>
          <w:rFonts w:hint="eastAsia" w:hAnsi="宋体" w:cs="宋体"/>
          <w:color w:val="auto"/>
          <w:sz w:val="24"/>
          <w:szCs w:val="24"/>
          <w:highlight w:val="none"/>
          <w:lang w:val="en-US" w:eastAsia="zh-CN"/>
        </w:rPr>
        <w:t>6</w:t>
      </w:r>
      <w:r>
        <w:rPr>
          <w:rFonts w:hint="eastAsia" w:ascii="宋体" w:hAnsi="宋体" w:eastAsia="宋体" w:cs="宋体"/>
          <w:color w:val="auto"/>
          <w:sz w:val="24"/>
          <w:szCs w:val="24"/>
          <w:highlight w:val="none"/>
        </w:rPr>
        <w:t>后视镜：外观、反射率、失真率应符合要求 ,安装下视镜。</w:t>
      </w:r>
    </w:p>
    <w:p w14:paraId="57EF4BAA">
      <w:pPr>
        <w:pStyle w:val="189"/>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r>
        <w:rPr>
          <w:rFonts w:hint="eastAsia" w:hAnsi="宋体" w:cs="宋体"/>
          <w:color w:val="auto"/>
          <w:sz w:val="24"/>
          <w:szCs w:val="24"/>
          <w:highlight w:val="none"/>
          <w:lang w:val="en-US" w:eastAsia="zh-CN"/>
        </w:rPr>
        <w:t>7</w:t>
      </w:r>
      <w:r>
        <w:rPr>
          <w:rFonts w:hint="eastAsia" w:ascii="宋体" w:hAnsi="宋体" w:eastAsia="宋体" w:cs="宋体"/>
          <w:color w:val="auto"/>
          <w:sz w:val="24"/>
          <w:szCs w:val="24"/>
          <w:highlight w:val="none"/>
        </w:rPr>
        <w:t>电喇叭应符合要求。</w:t>
      </w:r>
    </w:p>
    <w:p w14:paraId="333F94F7">
      <w:pPr>
        <w:pStyle w:val="189"/>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r>
        <w:rPr>
          <w:rFonts w:hint="eastAsia" w:hAnsi="宋体" w:cs="宋体"/>
          <w:color w:val="auto"/>
          <w:sz w:val="24"/>
          <w:szCs w:val="24"/>
          <w:highlight w:val="none"/>
          <w:lang w:val="en-US" w:eastAsia="zh-CN"/>
        </w:rPr>
        <w:t>8</w:t>
      </w:r>
      <w:r>
        <w:rPr>
          <w:rFonts w:hint="eastAsia" w:ascii="宋体" w:hAnsi="宋体" w:eastAsia="宋体" w:cs="宋体"/>
          <w:color w:val="auto"/>
          <w:sz w:val="24"/>
          <w:szCs w:val="24"/>
          <w:highlight w:val="none"/>
        </w:rPr>
        <w:t>仪表板总成外观保护层均匀,玻璃或</w:t>
      </w:r>
      <w:r>
        <w:rPr>
          <w:rFonts w:hint="eastAsia" w:hAnsi="宋体" w:cs="宋体"/>
          <w:color w:val="auto"/>
          <w:sz w:val="24"/>
          <w:szCs w:val="24"/>
          <w:highlight w:val="none"/>
          <w:lang w:eastAsia="zh-CN"/>
        </w:rPr>
        <w:t>其他</w:t>
      </w:r>
      <w:r>
        <w:rPr>
          <w:rFonts w:hint="eastAsia" w:ascii="宋体" w:hAnsi="宋体" w:eastAsia="宋体" w:cs="宋体"/>
          <w:color w:val="auto"/>
          <w:sz w:val="24"/>
          <w:szCs w:val="24"/>
          <w:highlight w:val="none"/>
        </w:rPr>
        <w:t>透明材料清晰, 仪表符号正确, 数字清晰,性能应满足要求。</w:t>
      </w:r>
    </w:p>
    <w:p w14:paraId="4D7D2333">
      <w:pPr>
        <w:pStyle w:val="189"/>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r>
        <w:rPr>
          <w:rFonts w:hint="eastAsia" w:hAnsi="宋体" w:cs="宋体"/>
          <w:color w:val="auto"/>
          <w:sz w:val="24"/>
          <w:szCs w:val="24"/>
          <w:highlight w:val="none"/>
          <w:lang w:val="en-US" w:eastAsia="zh-CN"/>
        </w:rPr>
        <w:t>9</w:t>
      </w:r>
      <w:r>
        <w:rPr>
          <w:rFonts w:hint="eastAsia" w:ascii="宋体" w:hAnsi="宋体" w:eastAsia="宋体" w:cs="宋体"/>
          <w:color w:val="auto"/>
          <w:sz w:val="24"/>
          <w:szCs w:val="24"/>
          <w:highlight w:val="none"/>
        </w:rPr>
        <w:t xml:space="preserve">座椅、扶手安装整齐牢固、耐用、色泽鲜亮。  </w:t>
      </w:r>
    </w:p>
    <w:p w14:paraId="14D0BF19">
      <w:pPr>
        <w:pStyle w:val="189"/>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w:t>
      </w:r>
      <w:r>
        <w:rPr>
          <w:rFonts w:hint="eastAsia" w:hAnsi="宋体" w:cs="宋体"/>
          <w:color w:val="auto"/>
          <w:sz w:val="24"/>
          <w:szCs w:val="24"/>
          <w:highlight w:val="none"/>
          <w:lang w:val="en-US" w:eastAsia="zh-CN"/>
        </w:rPr>
        <w:t>0</w:t>
      </w:r>
      <w:r>
        <w:rPr>
          <w:rFonts w:hint="eastAsia" w:ascii="宋体" w:hAnsi="宋体" w:eastAsia="宋体" w:cs="宋体"/>
          <w:color w:val="auto"/>
          <w:sz w:val="24"/>
          <w:szCs w:val="24"/>
          <w:highlight w:val="none"/>
        </w:rPr>
        <w:t>减震器横向稳定杆安装结实可靠，受力合理。</w:t>
      </w:r>
    </w:p>
    <w:p w14:paraId="4F8C138D">
      <w:pPr>
        <w:pStyle w:val="189"/>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11、售后服务措施：</w:t>
      </w:r>
    </w:p>
    <w:p w14:paraId="0F38451F">
      <w:pPr>
        <w:pStyle w:val="189"/>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11.1售后服务措施必须完善，其要求除按国家标准有关规定执行外，在云南地区内昆明、大理、丽江、西双版纳傣族自治州、保山、中甸、文山设立有保障能力和维修配件的专业维修及配件供应点。</w:t>
      </w:r>
    </w:p>
    <w:p w14:paraId="6FB5B134">
      <w:pPr>
        <w:pStyle w:val="189"/>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r>
        <w:rPr>
          <w:rFonts w:hint="eastAsia" w:hAnsi="宋体" w:cs="宋体"/>
          <w:color w:val="auto"/>
          <w:sz w:val="24"/>
          <w:szCs w:val="24"/>
          <w:highlight w:val="none"/>
          <w:lang w:val="en-US" w:eastAsia="zh-CN"/>
        </w:rPr>
        <w:t>2</w:t>
      </w:r>
      <w:r>
        <w:rPr>
          <w:rFonts w:hint="eastAsia" w:ascii="宋体" w:hAnsi="宋体" w:eastAsia="宋体" w:cs="宋体"/>
          <w:color w:val="auto"/>
          <w:sz w:val="24"/>
          <w:szCs w:val="24"/>
          <w:highlight w:val="none"/>
        </w:rPr>
        <w:t>车辆交付后的驻站服务、技术支持服务、零配件的相关资料及供应到现场服务必须到位。</w:t>
      </w:r>
    </w:p>
    <w:p w14:paraId="5B688216">
      <w:pPr>
        <w:pStyle w:val="189"/>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r>
        <w:rPr>
          <w:rFonts w:hint="eastAsia" w:hAnsi="宋体" w:cs="宋体"/>
          <w:color w:val="auto"/>
          <w:sz w:val="24"/>
          <w:szCs w:val="24"/>
          <w:highlight w:val="none"/>
          <w:lang w:val="en-US" w:eastAsia="zh-CN"/>
        </w:rPr>
        <w:t>3</w:t>
      </w:r>
      <w:r>
        <w:rPr>
          <w:rFonts w:hint="eastAsia" w:ascii="宋体" w:hAnsi="宋体" w:eastAsia="宋体" w:cs="宋体"/>
          <w:color w:val="auto"/>
          <w:sz w:val="24"/>
          <w:szCs w:val="24"/>
          <w:highlight w:val="none"/>
        </w:rPr>
        <w:t>车辆的走合保养，具体事项由双方通过协商确定。</w:t>
      </w:r>
    </w:p>
    <w:p w14:paraId="284028B0">
      <w:pPr>
        <w:pStyle w:val="189"/>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r>
        <w:rPr>
          <w:rFonts w:hint="eastAsia" w:hAnsi="宋体" w:cs="宋体"/>
          <w:color w:val="auto"/>
          <w:sz w:val="24"/>
          <w:szCs w:val="24"/>
          <w:highlight w:val="none"/>
          <w:lang w:val="en-US" w:eastAsia="zh-CN"/>
        </w:rPr>
        <w:t>4</w:t>
      </w:r>
      <w:r>
        <w:rPr>
          <w:rFonts w:hint="eastAsia" w:ascii="宋体" w:hAnsi="宋体" w:eastAsia="宋体" w:cs="宋体"/>
          <w:color w:val="auto"/>
          <w:sz w:val="24"/>
          <w:szCs w:val="24"/>
          <w:highlight w:val="none"/>
        </w:rPr>
        <w:t>车辆维护保养的合同，全面服务协议零配件资金转拨，特约维修站的建立，应尽快落实实施。</w:t>
      </w:r>
    </w:p>
    <w:p w14:paraId="5A619397">
      <w:pPr>
        <w:pStyle w:val="189"/>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r>
        <w:rPr>
          <w:rFonts w:hint="eastAsia" w:hAnsi="宋体" w:cs="宋体"/>
          <w:color w:val="auto"/>
          <w:sz w:val="24"/>
          <w:szCs w:val="24"/>
          <w:highlight w:val="none"/>
          <w:lang w:val="en-US" w:eastAsia="zh-CN"/>
        </w:rPr>
        <w:t>5</w:t>
      </w:r>
      <w:r>
        <w:rPr>
          <w:rFonts w:hint="eastAsia" w:ascii="宋体" w:hAnsi="宋体" w:eastAsia="宋体" w:cs="宋体"/>
          <w:color w:val="auto"/>
          <w:sz w:val="24"/>
          <w:szCs w:val="24"/>
          <w:highlight w:val="none"/>
        </w:rPr>
        <w:t>配给易损零件目录及图册，使用说明书及工具箱、摇手柄、备胎。</w:t>
      </w:r>
    </w:p>
    <w:p w14:paraId="2C50CCE8">
      <w:pPr>
        <w:pStyle w:val="189"/>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12、交货期要求：</w:t>
      </w:r>
    </w:p>
    <w:p w14:paraId="463C318A">
      <w:pPr>
        <w:pStyle w:val="189"/>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12.1  合同签订后45个日历天内完成全部车辆的交付。</w:t>
      </w:r>
    </w:p>
    <w:p w14:paraId="32051724">
      <w:pPr>
        <w:pStyle w:val="5"/>
        <w:spacing w:before="0" w:after="0"/>
        <w:ind w:firstLine="482" w:firstLineChars="200"/>
        <w:rPr>
          <w:rFonts w:ascii="宋体" w:hAnsi="宋体" w:cs="宋体"/>
          <w:b w:val="0"/>
          <w:color w:val="auto"/>
          <w:sz w:val="24"/>
          <w:szCs w:val="24"/>
          <w:highlight w:val="none"/>
        </w:rPr>
      </w:pPr>
      <w:r>
        <w:rPr>
          <w:rFonts w:hint="eastAsia" w:ascii="宋体" w:hAnsi="宋体" w:cs="宋体"/>
          <w:color w:val="auto"/>
          <w:sz w:val="24"/>
          <w:szCs w:val="24"/>
          <w:highlight w:val="none"/>
        </w:rPr>
        <w:t>七、服务质量要求</w:t>
      </w:r>
    </w:p>
    <w:p w14:paraId="78EE7293">
      <w:pPr>
        <w:ind w:firstLine="480"/>
        <w:rPr>
          <w:rFonts w:ascii="宋体" w:hAnsi="宋体" w:cs="宋体"/>
          <w:color w:val="auto"/>
          <w:sz w:val="24"/>
          <w:szCs w:val="24"/>
          <w:highlight w:val="none"/>
        </w:rPr>
      </w:pPr>
      <w:r>
        <w:rPr>
          <w:rFonts w:hint="eastAsia" w:ascii="宋体" w:hAnsi="宋体" w:cs="宋体"/>
          <w:color w:val="auto"/>
          <w:sz w:val="24"/>
          <w:szCs w:val="24"/>
          <w:highlight w:val="none"/>
        </w:rPr>
        <w:t>1、车辆交付后应及时派专门人员安装、调试及培训使用方操作人员；能根据使用方要求制作相应车身标识，所涉及费用考虑到投标单价中，不再另行支付；</w:t>
      </w:r>
    </w:p>
    <w:p w14:paraId="61194B84">
      <w:pPr>
        <w:ind w:firstLine="480"/>
        <w:rPr>
          <w:rFonts w:ascii="宋体" w:hAnsi="宋体" w:cs="宋体"/>
          <w:color w:val="auto"/>
          <w:sz w:val="24"/>
          <w:szCs w:val="24"/>
          <w:highlight w:val="none"/>
        </w:rPr>
      </w:pPr>
      <w:r>
        <w:rPr>
          <w:rFonts w:hint="eastAsia" w:ascii="宋体" w:hAnsi="宋体" w:cs="宋体"/>
          <w:color w:val="auto"/>
          <w:sz w:val="24"/>
          <w:szCs w:val="24"/>
          <w:highlight w:val="none"/>
        </w:rPr>
        <w:t>2、提供全部</w:t>
      </w:r>
      <w:r>
        <w:rPr>
          <w:rFonts w:hint="eastAsia" w:ascii="宋体" w:hAnsi="宋体" w:cs="宋体"/>
          <w:color w:val="auto"/>
          <w:sz w:val="24"/>
          <w:szCs w:val="24"/>
          <w:highlight w:val="none"/>
          <w:lang w:eastAsia="zh-CN"/>
        </w:rPr>
        <w:t>必需的</w:t>
      </w:r>
      <w:r>
        <w:rPr>
          <w:rFonts w:hint="eastAsia" w:ascii="宋体" w:hAnsi="宋体" w:cs="宋体"/>
          <w:color w:val="auto"/>
          <w:sz w:val="24"/>
          <w:szCs w:val="24"/>
          <w:highlight w:val="none"/>
        </w:rPr>
        <w:t>质量资料，包括质量认证、国家汽车强制性3C认证、产品说明书、原厂车辆产品合格证、检测报告等；</w:t>
      </w:r>
    </w:p>
    <w:p w14:paraId="0E21349E">
      <w:pPr>
        <w:ind w:firstLine="480"/>
        <w:rPr>
          <w:rFonts w:ascii="宋体" w:hAnsi="宋体" w:cs="宋体"/>
          <w:color w:val="auto"/>
          <w:sz w:val="24"/>
          <w:szCs w:val="24"/>
          <w:highlight w:val="none"/>
        </w:rPr>
      </w:pPr>
      <w:r>
        <w:rPr>
          <w:rFonts w:hint="eastAsia" w:ascii="宋体" w:hAnsi="宋体" w:cs="宋体"/>
          <w:color w:val="auto"/>
          <w:sz w:val="24"/>
          <w:szCs w:val="24"/>
          <w:highlight w:val="none"/>
        </w:rPr>
        <w:t>3、提供车辆主要部件配置性能参数的详细资料；</w:t>
      </w:r>
    </w:p>
    <w:p w14:paraId="797E57E9">
      <w:pPr>
        <w:ind w:firstLine="480"/>
        <w:rPr>
          <w:rFonts w:ascii="宋体" w:hAnsi="宋体" w:cs="宋体"/>
          <w:color w:val="auto"/>
          <w:sz w:val="24"/>
          <w:szCs w:val="24"/>
          <w:highlight w:val="none"/>
        </w:rPr>
      </w:pPr>
      <w:r>
        <w:rPr>
          <w:rFonts w:hint="eastAsia" w:ascii="宋体" w:hAnsi="宋体" w:cs="宋体"/>
          <w:color w:val="auto"/>
          <w:sz w:val="24"/>
          <w:szCs w:val="24"/>
          <w:highlight w:val="none"/>
        </w:rPr>
        <w:t>4、提供保养、维修操作规程、保修期限的详细资料；</w:t>
      </w:r>
    </w:p>
    <w:p w14:paraId="52C8AD85">
      <w:pPr>
        <w:ind w:firstLine="480"/>
        <w:rPr>
          <w:rFonts w:ascii="宋体" w:hAnsi="宋体" w:cs="宋体"/>
          <w:color w:val="auto"/>
          <w:sz w:val="24"/>
          <w:szCs w:val="24"/>
          <w:highlight w:val="none"/>
        </w:rPr>
      </w:pPr>
      <w:r>
        <w:rPr>
          <w:rFonts w:hint="eastAsia" w:ascii="宋体" w:hAnsi="宋体" w:cs="宋体"/>
          <w:color w:val="auto"/>
          <w:sz w:val="24"/>
          <w:szCs w:val="24"/>
          <w:highlight w:val="none"/>
        </w:rPr>
        <w:t>5、提供包括中文操作手册、安装说明、维修保养手册等</w:t>
      </w:r>
      <w:r>
        <w:rPr>
          <w:rFonts w:hint="eastAsia" w:ascii="宋体" w:hAnsi="宋体" w:cs="宋体"/>
          <w:color w:val="auto"/>
          <w:sz w:val="24"/>
          <w:szCs w:val="24"/>
          <w:highlight w:val="none"/>
          <w:lang w:eastAsia="zh-CN"/>
        </w:rPr>
        <w:t>必需</w:t>
      </w:r>
      <w:r>
        <w:rPr>
          <w:rFonts w:hint="eastAsia" w:ascii="宋体" w:hAnsi="宋体" w:cs="宋体"/>
          <w:color w:val="auto"/>
          <w:sz w:val="24"/>
          <w:szCs w:val="24"/>
          <w:highlight w:val="none"/>
        </w:rPr>
        <w:t>资料；</w:t>
      </w:r>
    </w:p>
    <w:p w14:paraId="69CFE368">
      <w:pPr>
        <w:ind w:firstLine="480"/>
        <w:rPr>
          <w:rFonts w:ascii="宋体" w:hAnsi="宋体" w:cs="宋体"/>
          <w:color w:val="auto"/>
          <w:sz w:val="24"/>
          <w:szCs w:val="24"/>
          <w:highlight w:val="none"/>
        </w:rPr>
      </w:pPr>
      <w:r>
        <w:rPr>
          <w:rFonts w:hint="eastAsia" w:ascii="宋体" w:hAnsi="宋体" w:cs="宋体"/>
          <w:color w:val="auto"/>
          <w:sz w:val="24"/>
          <w:szCs w:val="24"/>
          <w:highlight w:val="none"/>
        </w:rPr>
        <w:t>6、投标报价中应考虑提供的汽车一条龙上牌服务，销售、售后服务承诺（包括质保期承诺等）、随车工具的清单等；</w:t>
      </w:r>
    </w:p>
    <w:p w14:paraId="3111DB91">
      <w:pPr>
        <w:ind w:firstLine="480"/>
        <w:rPr>
          <w:rFonts w:ascii="宋体" w:hAnsi="宋体" w:cs="宋体"/>
          <w:color w:val="auto"/>
          <w:sz w:val="24"/>
          <w:szCs w:val="24"/>
          <w:highlight w:val="none"/>
        </w:rPr>
      </w:pPr>
      <w:r>
        <w:rPr>
          <w:rFonts w:hint="eastAsia" w:ascii="宋体" w:hAnsi="宋体" w:cs="宋体"/>
          <w:color w:val="auto"/>
          <w:sz w:val="24"/>
          <w:szCs w:val="24"/>
          <w:highlight w:val="none"/>
        </w:rPr>
        <w:t>7、提供良好的服务体系和售后服务体系，提供方便、快捷的服务，在云南省全省各州、市范围内有特约维修服务网络，负责整车维修保养，报修响应到达时间符合行业要求。</w:t>
      </w:r>
    </w:p>
    <w:p w14:paraId="33240E97">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8、投标方须在云南省内各州（市）设有品牌指定授权的售后服务机构、网络或同类合作机构，须能提供车辆（应包括底盘和改装部分）的售后服务和技术培训与咨询、配件供应及物流管理的具体机构、专门人员及网络。 </w:t>
      </w:r>
    </w:p>
    <w:p w14:paraId="685E6B8C">
      <w:pPr>
        <w:pStyle w:val="2"/>
        <w:ind w:firstLine="448"/>
        <w:rPr>
          <w:b w:val="0"/>
          <w:bCs/>
          <w:color w:val="auto"/>
          <w:highlight w:val="none"/>
        </w:rPr>
      </w:pPr>
      <w:r>
        <w:rPr>
          <w:rFonts w:hint="eastAsia" w:ascii="宋体" w:hAnsi="宋体" w:cs="宋体"/>
          <w:b w:val="0"/>
          <w:bCs/>
          <w:color w:val="auto"/>
          <w:sz w:val="24"/>
          <w:szCs w:val="24"/>
          <w:highlight w:val="none"/>
        </w:rPr>
        <w:t>9、CAN线数据能实时传输、直联对接招标人平台。</w:t>
      </w:r>
    </w:p>
    <w:p w14:paraId="5731D474">
      <w:pPr>
        <w:ind w:right="21" w:rightChars="10" w:firstLine="480"/>
        <w:rPr>
          <w:rFonts w:ascii="Arial Narrow" w:hAnsi="Arial Narrow" w:cs="宋体"/>
          <w:color w:val="auto"/>
          <w:sz w:val="24"/>
          <w:szCs w:val="24"/>
          <w:highlight w:val="none"/>
        </w:rPr>
      </w:pPr>
      <w:r>
        <w:rPr>
          <w:rFonts w:hint="eastAsia" w:ascii="Arial Narrow" w:hAnsi="Arial Narrow" w:cs="宋体"/>
          <w:color w:val="auto"/>
          <w:sz w:val="24"/>
          <w:szCs w:val="24"/>
          <w:highlight w:val="none"/>
        </w:rPr>
        <w:t>上述技术参数要求有新标准的按新标准执行。</w:t>
      </w:r>
    </w:p>
    <w:p w14:paraId="0D8DD856">
      <w:pPr>
        <w:ind w:right="21" w:rightChars="10" w:firstLine="482"/>
        <w:rPr>
          <w:rFonts w:ascii="Arial Narrow" w:hAnsi="Arial Narrow" w:cs="宋体"/>
          <w:b/>
          <w:bCs/>
          <w:color w:val="auto"/>
          <w:sz w:val="24"/>
          <w:szCs w:val="24"/>
          <w:highlight w:val="none"/>
        </w:rPr>
      </w:pPr>
      <w:r>
        <w:rPr>
          <w:rFonts w:hint="eastAsia" w:ascii="Arial Narrow" w:hAnsi="Arial Narrow"/>
          <w:b/>
          <w:bCs/>
          <w:color w:val="auto"/>
          <w:sz w:val="24"/>
          <w:szCs w:val="24"/>
          <w:highlight w:val="none"/>
        </w:rPr>
        <w:t>八、服务要求</w:t>
      </w:r>
    </w:p>
    <w:p w14:paraId="72BC17CB">
      <w:pPr>
        <w:ind w:firstLine="480"/>
        <w:rPr>
          <w:rFonts w:hint="eastAsia" w:ascii="宋体" w:hAnsi="宋体" w:cs="宋体"/>
          <w:color w:val="auto"/>
          <w:sz w:val="24"/>
          <w:szCs w:val="24"/>
          <w:highlight w:val="none"/>
          <w:lang w:eastAsia="zh-CN"/>
        </w:rPr>
      </w:pPr>
      <w:r>
        <w:rPr>
          <w:rFonts w:hint="eastAsia" w:ascii="Arial Narrow" w:hAnsi="Arial Narrow" w:cs="宋体"/>
          <w:color w:val="auto"/>
          <w:sz w:val="24"/>
          <w:szCs w:val="24"/>
          <w:highlight w:val="none"/>
        </w:rPr>
        <w:t>（</w:t>
      </w:r>
      <w:r>
        <w:rPr>
          <w:rFonts w:ascii="Arial Narrow" w:hAnsi="Arial Narrow" w:cs="宋体"/>
          <w:color w:val="auto"/>
          <w:sz w:val="24"/>
          <w:szCs w:val="24"/>
          <w:highlight w:val="none"/>
        </w:rPr>
        <w:t>1</w:t>
      </w:r>
      <w:r>
        <w:rPr>
          <w:rFonts w:hint="eastAsia" w:ascii="Arial Narrow" w:hAnsi="Arial Narrow" w:cs="宋体"/>
          <w:color w:val="auto"/>
          <w:sz w:val="24"/>
          <w:szCs w:val="24"/>
          <w:highlight w:val="none"/>
        </w:rPr>
        <w:t>）动力电池质保≥10年或100万公里（衰减不超过</w:t>
      </w:r>
      <w:r>
        <w:rPr>
          <w:rFonts w:hint="eastAsia" w:ascii="Arial Narrow" w:hAnsi="Arial Narrow" w:cs="宋体"/>
          <w:color w:val="auto"/>
          <w:sz w:val="24"/>
          <w:szCs w:val="24"/>
          <w:highlight w:val="none"/>
          <w:lang w:val="en-US" w:eastAsia="zh-CN"/>
        </w:rPr>
        <w:t>2</w:t>
      </w:r>
      <w:r>
        <w:rPr>
          <w:rFonts w:hint="eastAsia" w:ascii="Arial Narrow" w:hAnsi="Arial Narrow" w:cs="宋体"/>
          <w:color w:val="auto"/>
          <w:sz w:val="24"/>
          <w:szCs w:val="24"/>
          <w:highlight w:val="none"/>
        </w:rPr>
        <w:t>0%），电机、电控系统</w:t>
      </w:r>
      <w:r>
        <w:rPr>
          <w:rFonts w:hint="eastAsia" w:ascii="宋体" w:hAnsi="宋体" w:cs="宋体"/>
          <w:color w:val="auto"/>
          <w:sz w:val="24"/>
          <w:szCs w:val="24"/>
          <w:highlight w:val="none"/>
        </w:rPr>
        <w:t>提供</w:t>
      </w:r>
      <w:r>
        <w:rPr>
          <w:rFonts w:hint="eastAsia" w:ascii="宋体" w:hAnsi="宋体" w:cs="宋体"/>
          <w:color w:val="auto"/>
          <w:sz w:val="24"/>
          <w:szCs w:val="24"/>
          <w:highlight w:val="none"/>
          <w:lang w:val="en-US" w:eastAsia="zh-CN"/>
        </w:rPr>
        <w:t>10</w:t>
      </w:r>
      <w:r>
        <w:rPr>
          <w:rFonts w:hint="eastAsia" w:ascii="宋体" w:hAnsi="宋体" w:cs="宋体"/>
          <w:color w:val="auto"/>
          <w:sz w:val="24"/>
          <w:szCs w:val="24"/>
          <w:highlight w:val="none"/>
        </w:rPr>
        <w:t>年（含）及以上质保</w:t>
      </w:r>
      <w:r>
        <w:rPr>
          <w:rFonts w:hint="eastAsia" w:ascii="宋体" w:hAnsi="宋体" w:cs="宋体"/>
          <w:color w:val="auto"/>
          <w:sz w:val="24"/>
          <w:szCs w:val="24"/>
          <w:highlight w:val="none"/>
          <w:lang w:eastAsia="zh-CN"/>
        </w:rPr>
        <w:t>。</w:t>
      </w:r>
    </w:p>
    <w:p w14:paraId="3DCB57DA">
      <w:pPr>
        <w:ind w:firstLine="480"/>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（2）空调提供</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年及以上质保</w:t>
      </w:r>
      <w:r>
        <w:rPr>
          <w:rFonts w:hint="eastAsia" w:ascii="宋体" w:hAnsi="宋体" w:cs="宋体"/>
          <w:color w:val="auto"/>
          <w:sz w:val="24"/>
          <w:szCs w:val="24"/>
          <w:highlight w:val="none"/>
          <w:lang w:eastAsia="zh-CN"/>
        </w:rPr>
        <w:t>。</w:t>
      </w:r>
    </w:p>
    <w:p w14:paraId="19372150">
      <w:pPr>
        <w:pStyle w:val="43"/>
        <w:rPr>
          <w:rFonts w:hint="default"/>
          <w:lang w:val="en-US" w:eastAsia="zh-CN"/>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整车质保不低于36个月。</w:t>
      </w:r>
    </w:p>
    <w:p w14:paraId="7277A45B">
      <w:pPr>
        <w:pStyle w:val="2"/>
        <w:ind w:firstLine="450" w:firstLineChars="0"/>
        <w:jc w:val="left"/>
        <w:rPr>
          <w:rFonts w:hint="eastAsia" w:ascii="宋体" w:hAnsi="宋体" w:eastAsia="宋体" w:cs="宋体"/>
          <w:b w:val="0"/>
          <w:color w:val="auto"/>
          <w:spacing w:val="0"/>
          <w:sz w:val="24"/>
          <w:szCs w:val="24"/>
          <w:highlight w:val="none"/>
          <w:lang w:eastAsia="zh-CN"/>
        </w:rPr>
      </w:pPr>
      <w:r>
        <w:rPr>
          <w:rFonts w:hint="eastAsia" w:ascii="宋体" w:hAnsi="宋体" w:eastAsia="宋体" w:cs="宋体"/>
          <w:b w:val="0"/>
          <w:color w:val="auto"/>
          <w:spacing w:val="0"/>
          <w:sz w:val="24"/>
          <w:szCs w:val="24"/>
          <w:highlight w:val="none"/>
          <w:lang w:eastAsia="zh-CN"/>
        </w:rPr>
        <w:t>（</w:t>
      </w:r>
      <w:r>
        <w:rPr>
          <w:rFonts w:hint="eastAsia" w:ascii="宋体" w:hAnsi="宋体" w:eastAsia="宋体" w:cs="宋体"/>
          <w:b w:val="0"/>
          <w:color w:val="auto"/>
          <w:spacing w:val="0"/>
          <w:sz w:val="24"/>
          <w:szCs w:val="24"/>
          <w:highlight w:val="none"/>
          <w:lang w:val="en-US" w:eastAsia="zh-CN"/>
        </w:rPr>
        <w:t>4</w:t>
      </w:r>
      <w:r>
        <w:rPr>
          <w:rFonts w:hint="eastAsia" w:ascii="宋体" w:hAnsi="宋体" w:eastAsia="宋体" w:cs="宋体"/>
          <w:b w:val="0"/>
          <w:color w:val="auto"/>
          <w:spacing w:val="0"/>
          <w:sz w:val="24"/>
          <w:szCs w:val="24"/>
          <w:highlight w:val="none"/>
          <w:lang w:eastAsia="zh-CN"/>
        </w:rPr>
        <w:t>）</w:t>
      </w:r>
      <w:r>
        <w:rPr>
          <w:rFonts w:hint="eastAsia" w:ascii="宋体" w:hAnsi="宋体" w:eastAsia="宋体" w:cs="宋体"/>
          <w:b w:val="0"/>
          <w:color w:val="auto"/>
          <w:spacing w:val="0"/>
          <w:sz w:val="24"/>
          <w:szCs w:val="24"/>
          <w:highlight w:val="none"/>
          <w:lang w:val="en-US" w:eastAsia="zh-CN"/>
        </w:rPr>
        <w:t>质保金为合同总价的5%，</w:t>
      </w:r>
      <w:r>
        <w:rPr>
          <w:rFonts w:hint="eastAsia" w:ascii="宋体" w:hAnsi="宋体" w:eastAsia="宋体" w:cs="宋体"/>
          <w:b w:val="0"/>
          <w:color w:val="auto"/>
          <w:spacing w:val="0"/>
          <w:sz w:val="24"/>
          <w:szCs w:val="24"/>
          <w:highlight w:val="none"/>
          <w:lang w:eastAsia="zh-CN"/>
        </w:rPr>
        <w:t>采用银行质量保函或相同</w:t>
      </w:r>
      <w:r>
        <w:rPr>
          <w:rFonts w:hint="eastAsia" w:ascii="宋体" w:hAnsi="宋体" w:eastAsia="宋体" w:cs="宋体"/>
          <w:b w:val="0"/>
          <w:color w:val="auto"/>
          <w:spacing w:val="0"/>
          <w:sz w:val="24"/>
          <w:szCs w:val="24"/>
          <w:highlight w:val="none"/>
          <w:lang w:val="en-US" w:eastAsia="zh-CN"/>
        </w:rPr>
        <w:t>金额</w:t>
      </w:r>
      <w:r>
        <w:rPr>
          <w:rFonts w:hint="eastAsia" w:ascii="宋体" w:hAnsi="宋体" w:eastAsia="宋体" w:cs="宋体"/>
          <w:b w:val="0"/>
          <w:color w:val="auto"/>
          <w:spacing w:val="0"/>
          <w:sz w:val="24"/>
          <w:szCs w:val="24"/>
          <w:highlight w:val="none"/>
          <w:lang w:eastAsia="zh-CN"/>
        </w:rPr>
        <w:t>现金的方式履约。保函由乙方向银行申请(财务费用由整车厂支付，受益人为昆明公交</w:t>
      </w:r>
      <w:r>
        <w:rPr>
          <w:rFonts w:hint="eastAsia" w:ascii="宋体" w:hAnsi="宋体" w:eastAsia="宋体" w:cs="宋体"/>
          <w:b w:val="0"/>
          <w:color w:val="auto"/>
          <w:spacing w:val="0"/>
          <w:sz w:val="24"/>
          <w:szCs w:val="24"/>
          <w:highlight w:val="none"/>
          <w:lang w:val="en-US" w:eastAsia="zh-CN"/>
        </w:rPr>
        <w:t>城市巴士</w:t>
      </w:r>
      <w:r>
        <w:rPr>
          <w:rFonts w:hint="eastAsia" w:ascii="宋体" w:hAnsi="宋体" w:eastAsia="宋体" w:cs="宋体"/>
          <w:b w:val="0"/>
          <w:color w:val="auto"/>
          <w:spacing w:val="0"/>
          <w:sz w:val="24"/>
          <w:szCs w:val="24"/>
          <w:highlight w:val="none"/>
          <w:lang w:eastAsia="zh-CN"/>
        </w:rPr>
        <w:t>有限责任公司，保函从车辆使用之日起，共计</w:t>
      </w:r>
      <w:r>
        <w:rPr>
          <w:rFonts w:hint="eastAsia" w:ascii="宋体" w:hAnsi="宋体" w:eastAsia="宋体" w:cs="宋体"/>
          <w:b w:val="0"/>
          <w:color w:val="auto"/>
          <w:spacing w:val="0"/>
          <w:sz w:val="24"/>
          <w:szCs w:val="24"/>
          <w:highlight w:val="none"/>
          <w:lang w:val="en-US" w:eastAsia="zh-CN"/>
        </w:rPr>
        <w:t>10</w:t>
      </w:r>
      <w:r>
        <w:rPr>
          <w:rFonts w:hint="eastAsia" w:ascii="宋体" w:hAnsi="宋体" w:eastAsia="宋体" w:cs="宋体"/>
          <w:b w:val="0"/>
          <w:color w:val="auto"/>
          <w:spacing w:val="0"/>
          <w:sz w:val="24"/>
          <w:szCs w:val="24"/>
          <w:highlight w:val="none"/>
          <w:lang w:eastAsia="zh-CN"/>
        </w:rPr>
        <w:t>年。</w:t>
      </w:r>
    </w:p>
    <w:p w14:paraId="5AF0F903">
      <w:pPr>
        <w:pStyle w:val="2"/>
        <w:ind w:firstLine="450" w:firstLineChars="0"/>
        <w:jc w:val="left"/>
        <w:rPr>
          <w:rFonts w:hint="eastAsia" w:ascii="宋体" w:hAnsi="宋体" w:eastAsia="宋体" w:cs="宋体"/>
          <w:b w:val="0"/>
          <w:color w:val="auto"/>
          <w:spacing w:val="0"/>
          <w:sz w:val="24"/>
          <w:szCs w:val="24"/>
          <w:highlight w:val="none"/>
          <w:lang w:eastAsia="zh-CN"/>
        </w:rPr>
      </w:pPr>
      <w:r>
        <w:rPr>
          <w:rFonts w:hint="eastAsia" w:ascii="宋体" w:hAnsi="宋体" w:eastAsia="宋体" w:cs="宋体"/>
          <w:b w:val="0"/>
          <w:color w:val="auto"/>
          <w:spacing w:val="0"/>
          <w:sz w:val="24"/>
          <w:szCs w:val="24"/>
          <w:highlight w:val="none"/>
          <w:lang w:eastAsia="zh-CN"/>
        </w:rPr>
        <w:t>（</w:t>
      </w:r>
      <w:r>
        <w:rPr>
          <w:rFonts w:hint="eastAsia" w:ascii="宋体" w:hAnsi="宋体" w:eastAsia="宋体" w:cs="宋体"/>
          <w:b w:val="0"/>
          <w:color w:val="auto"/>
          <w:spacing w:val="0"/>
          <w:sz w:val="24"/>
          <w:szCs w:val="24"/>
          <w:highlight w:val="none"/>
          <w:lang w:val="en-US" w:eastAsia="zh-CN"/>
        </w:rPr>
        <w:t>5</w:t>
      </w:r>
      <w:r>
        <w:rPr>
          <w:rFonts w:hint="eastAsia" w:ascii="宋体" w:hAnsi="宋体" w:eastAsia="宋体" w:cs="宋体"/>
          <w:b w:val="0"/>
          <w:color w:val="auto"/>
          <w:spacing w:val="0"/>
          <w:sz w:val="24"/>
          <w:szCs w:val="24"/>
          <w:highlight w:val="none"/>
          <w:lang w:eastAsia="zh-CN"/>
        </w:rPr>
        <w:t>）质保期内故障处理接报后3小时内到达现场，24小时内修复；试运行一周内三包人员跟踪服务。</w:t>
      </w:r>
    </w:p>
    <w:p w14:paraId="52F8B603">
      <w:pPr>
        <w:pStyle w:val="2"/>
        <w:ind w:firstLine="450" w:firstLineChars="0"/>
        <w:jc w:val="left"/>
        <w:rPr>
          <w:rFonts w:hint="eastAsia" w:ascii="宋体" w:hAnsi="宋体" w:eastAsia="宋体" w:cs="宋体"/>
          <w:b w:val="0"/>
          <w:color w:val="auto"/>
          <w:spacing w:val="0"/>
          <w:sz w:val="24"/>
          <w:szCs w:val="24"/>
          <w:highlight w:val="none"/>
        </w:rPr>
      </w:pPr>
      <w:r>
        <w:rPr>
          <w:rFonts w:hint="eastAsia" w:ascii="宋体" w:hAnsi="宋体" w:eastAsia="宋体" w:cs="宋体"/>
          <w:b w:val="0"/>
          <w:color w:val="auto"/>
          <w:spacing w:val="0"/>
          <w:sz w:val="24"/>
          <w:szCs w:val="24"/>
          <w:highlight w:val="none"/>
        </w:rPr>
        <w:t>以上在执行过程中出现新规，以新规发布内容时间进行替换。</w:t>
      </w:r>
    </w:p>
    <w:p w14:paraId="249C5CA3">
      <w:pPr>
        <w:pStyle w:val="2"/>
        <w:ind w:firstLine="450" w:firstLineChars="0"/>
        <w:jc w:val="left"/>
        <w:rPr>
          <w:rFonts w:hint="eastAsia" w:ascii="宋体" w:hAnsi="宋体" w:eastAsia="宋体" w:cs="宋体"/>
          <w:b w:val="0"/>
          <w:color w:val="auto"/>
          <w:spacing w:val="0"/>
          <w:sz w:val="24"/>
          <w:szCs w:val="24"/>
          <w:highlight w:val="none"/>
        </w:rPr>
      </w:pPr>
      <w:bookmarkStart w:id="161" w:name="_Hlk213688148"/>
      <w:r>
        <w:rPr>
          <w:rFonts w:hint="eastAsia" w:ascii="宋体" w:hAnsi="宋体" w:eastAsia="宋体" w:cs="宋体"/>
          <w:b w:val="0"/>
          <w:color w:val="auto"/>
          <w:spacing w:val="0"/>
          <w:sz w:val="24"/>
          <w:szCs w:val="24"/>
          <w:highlight w:val="none"/>
        </w:rPr>
        <w:t>文中“性能相当或优于”指提供零部件</w:t>
      </w:r>
      <w:r>
        <w:rPr>
          <w:rFonts w:hint="eastAsia" w:ascii="宋体" w:hAnsi="宋体" w:eastAsia="宋体" w:cs="宋体"/>
          <w:b w:val="0"/>
          <w:color w:val="auto"/>
          <w:spacing w:val="0"/>
          <w:sz w:val="24"/>
          <w:szCs w:val="24"/>
          <w:highlight w:val="none"/>
          <w:lang w:eastAsia="zh-CN"/>
        </w:rPr>
        <w:t>：</w:t>
      </w:r>
      <w:r>
        <w:rPr>
          <w:rFonts w:hint="eastAsia" w:ascii="宋体" w:hAnsi="宋体" w:eastAsia="宋体" w:cs="宋体"/>
          <w:b w:val="0"/>
          <w:color w:val="auto"/>
          <w:spacing w:val="0"/>
          <w:sz w:val="24"/>
          <w:szCs w:val="24"/>
          <w:highlight w:val="none"/>
        </w:rPr>
        <w:t>技术指标相当或优于列举产品且质保期等于或长于列举产品</w:t>
      </w:r>
      <w:r>
        <w:rPr>
          <w:rFonts w:hint="eastAsia" w:ascii="宋体" w:hAnsi="宋体" w:eastAsia="宋体" w:cs="宋体"/>
          <w:b w:val="0"/>
          <w:color w:val="auto"/>
          <w:spacing w:val="0"/>
          <w:sz w:val="24"/>
          <w:szCs w:val="24"/>
          <w:highlight w:val="none"/>
          <w:lang w:eastAsia="zh-CN"/>
        </w:rPr>
        <w:t>。</w:t>
      </w:r>
      <w:r>
        <w:rPr>
          <w:rFonts w:hint="eastAsia" w:ascii="宋体" w:hAnsi="宋体" w:eastAsia="宋体" w:cs="宋体"/>
          <w:b w:val="0"/>
          <w:color w:val="auto"/>
          <w:spacing w:val="0"/>
          <w:sz w:val="24"/>
          <w:szCs w:val="24"/>
          <w:highlight w:val="none"/>
        </w:rPr>
        <w:commentReference w:id="1"/>
      </w:r>
      <w:r>
        <w:rPr>
          <w:rFonts w:hint="eastAsia" w:ascii="宋体" w:hAnsi="宋体" w:eastAsia="宋体" w:cs="宋体"/>
          <w:b w:val="0"/>
          <w:color w:val="auto"/>
          <w:spacing w:val="0"/>
          <w:sz w:val="24"/>
          <w:szCs w:val="24"/>
          <w:highlight w:val="none"/>
        </w:rPr>
        <w:t>正偏项需提供数据对比表或证明。</w:t>
      </w:r>
    </w:p>
    <w:bookmarkEnd w:id="161"/>
    <w:p w14:paraId="4CE228FF">
      <w:pPr>
        <w:pStyle w:val="2"/>
        <w:ind w:firstLine="450" w:firstLineChars="0"/>
        <w:jc w:val="left"/>
        <w:rPr>
          <w:rFonts w:hint="eastAsia" w:ascii="宋体" w:hAnsi="宋体" w:eastAsia="宋体" w:cs="宋体"/>
          <w:color w:val="auto"/>
          <w:sz w:val="24"/>
          <w:szCs w:val="24"/>
          <w:highlight w:val="none"/>
        </w:rPr>
      </w:pPr>
    </w:p>
    <w:p w14:paraId="3128D77D">
      <w:pPr>
        <w:pStyle w:val="2"/>
        <w:ind w:firstLine="450" w:firstLineChars="0"/>
        <w:jc w:val="left"/>
        <w:rPr>
          <w:rFonts w:hint="eastAsia" w:ascii="宋体" w:hAnsi="宋体" w:eastAsia="宋体" w:cs="宋体"/>
          <w:color w:val="auto"/>
          <w:sz w:val="24"/>
          <w:szCs w:val="24"/>
          <w:highlight w:val="none"/>
        </w:rPr>
      </w:pPr>
    </w:p>
    <w:p w14:paraId="72948E76">
      <w:pPr>
        <w:pStyle w:val="2"/>
        <w:ind w:firstLine="450" w:firstLineChars="0"/>
        <w:jc w:val="left"/>
        <w:rPr>
          <w:rFonts w:hint="eastAsia" w:ascii="宋体" w:hAnsi="宋体" w:eastAsia="宋体" w:cs="宋体"/>
          <w:color w:val="auto"/>
          <w:sz w:val="24"/>
          <w:szCs w:val="24"/>
          <w:highlight w:val="none"/>
        </w:rPr>
      </w:pPr>
    </w:p>
    <w:p w14:paraId="4831B98E">
      <w:pPr>
        <w:pStyle w:val="2"/>
        <w:ind w:firstLine="450" w:firstLineChars="0"/>
        <w:jc w:val="left"/>
        <w:rPr>
          <w:rFonts w:hint="eastAsia" w:ascii="宋体" w:hAnsi="宋体" w:eastAsia="宋体" w:cs="宋体"/>
          <w:color w:val="auto"/>
          <w:sz w:val="24"/>
          <w:szCs w:val="24"/>
          <w:highlight w:val="none"/>
        </w:rPr>
      </w:pPr>
    </w:p>
    <w:p w14:paraId="710BE33F">
      <w:pPr>
        <w:pStyle w:val="2"/>
        <w:ind w:firstLine="450" w:firstLineChars="0"/>
        <w:jc w:val="left"/>
        <w:rPr>
          <w:rFonts w:hint="eastAsia" w:ascii="宋体" w:hAnsi="宋体" w:eastAsia="宋体" w:cs="宋体"/>
          <w:color w:val="auto"/>
          <w:sz w:val="24"/>
          <w:szCs w:val="24"/>
          <w:highlight w:val="none"/>
        </w:rPr>
      </w:pPr>
    </w:p>
    <w:p w14:paraId="4A7188AF">
      <w:pPr>
        <w:pStyle w:val="2"/>
        <w:ind w:firstLine="450" w:firstLineChars="0"/>
        <w:jc w:val="left"/>
        <w:rPr>
          <w:rFonts w:hint="eastAsia" w:ascii="宋体" w:hAnsi="宋体" w:eastAsia="宋体" w:cs="宋体"/>
          <w:color w:val="auto"/>
          <w:sz w:val="24"/>
          <w:szCs w:val="24"/>
          <w:highlight w:val="none"/>
        </w:rPr>
      </w:pPr>
    </w:p>
    <w:p w14:paraId="07174D6C">
      <w:pPr>
        <w:pStyle w:val="2"/>
        <w:ind w:firstLine="450" w:firstLineChars="0"/>
        <w:jc w:val="left"/>
        <w:rPr>
          <w:rFonts w:hint="eastAsia" w:ascii="宋体" w:hAnsi="宋体" w:eastAsia="宋体" w:cs="宋体"/>
          <w:color w:val="auto"/>
          <w:sz w:val="24"/>
          <w:szCs w:val="24"/>
          <w:highlight w:val="none"/>
        </w:rPr>
      </w:pPr>
    </w:p>
    <w:p w14:paraId="34F21186">
      <w:pPr>
        <w:pStyle w:val="2"/>
        <w:ind w:firstLine="450" w:firstLineChars="0"/>
        <w:jc w:val="left"/>
        <w:rPr>
          <w:rFonts w:hint="eastAsia" w:ascii="宋体" w:hAnsi="宋体" w:eastAsia="宋体" w:cs="宋体"/>
          <w:color w:val="auto"/>
          <w:sz w:val="24"/>
          <w:szCs w:val="24"/>
          <w:highlight w:val="none"/>
        </w:rPr>
      </w:pPr>
    </w:p>
    <w:p w14:paraId="0B9298C5">
      <w:pPr>
        <w:pStyle w:val="2"/>
        <w:ind w:firstLine="450" w:firstLineChars="0"/>
        <w:jc w:val="left"/>
        <w:rPr>
          <w:rFonts w:hint="eastAsia" w:ascii="宋体" w:hAnsi="宋体" w:eastAsia="宋体" w:cs="宋体"/>
          <w:color w:val="auto"/>
          <w:sz w:val="24"/>
          <w:szCs w:val="24"/>
          <w:highlight w:val="none"/>
        </w:rPr>
      </w:pPr>
    </w:p>
    <w:p w14:paraId="1A3BBBA2">
      <w:pPr>
        <w:pStyle w:val="2"/>
        <w:ind w:firstLine="450" w:firstLineChars="0"/>
        <w:jc w:val="left"/>
        <w:rPr>
          <w:rFonts w:hint="eastAsia" w:ascii="宋体" w:hAnsi="宋体" w:eastAsia="宋体" w:cs="宋体"/>
          <w:color w:val="auto"/>
          <w:sz w:val="24"/>
          <w:szCs w:val="24"/>
          <w:highlight w:val="none"/>
        </w:rPr>
      </w:pPr>
    </w:p>
    <w:p w14:paraId="090FE434">
      <w:pPr>
        <w:pStyle w:val="2"/>
        <w:ind w:firstLine="450" w:firstLineChars="0"/>
        <w:jc w:val="left"/>
        <w:rPr>
          <w:rFonts w:hint="eastAsia" w:ascii="宋体" w:hAnsi="宋体" w:eastAsia="宋体" w:cs="宋体"/>
          <w:color w:val="auto"/>
          <w:sz w:val="24"/>
          <w:szCs w:val="24"/>
          <w:highlight w:val="none"/>
        </w:rPr>
      </w:pPr>
    </w:p>
    <w:p w14:paraId="4608A591">
      <w:pPr>
        <w:pStyle w:val="2"/>
        <w:ind w:firstLine="450" w:firstLineChars="0"/>
        <w:jc w:val="left"/>
        <w:rPr>
          <w:rFonts w:hint="eastAsia" w:ascii="宋体" w:hAnsi="宋体" w:eastAsia="宋体" w:cs="宋体"/>
          <w:color w:val="auto"/>
          <w:sz w:val="24"/>
          <w:szCs w:val="24"/>
          <w:highlight w:val="none"/>
        </w:rPr>
      </w:pPr>
    </w:p>
    <w:p w14:paraId="586BC95A">
      <w:pPr>
        <w:pStyle w:val="2"/>
        <w:ind w:firstLine="450" w:firstLineChars="0"/>
        <w:jc w:val="left"/>
        <w:rPr>
          <w:rFonts w:hint="eastAsia" w:ascii="宋体" w:hAnsi="宋体" w:eastAsia="宋体" w:cs="宋体"/>
          <w:color w:val="auto"/>
          <w:sz w:val="24"/>
          <w:szCs w:val="24"/>
          <w:highlight w:val="none"/>
        </w:rPr>
      </w:pPr>
    </w:p>
    <w:p w14:paraId="1FD0CE2B">
      <w:pPr>
        <w:pStyle w:val="3"/>
        <w:ind w:firstLine="0" w:firstLineChars="0"/>
        <w:jc w:val="center"/>
        <w:rPr>
          <w:rFonts w:hint="eastAsia" w:ascii="宋体" w:hAnsi="宋体" w:eastAsia="宋体" w:cs="宋体"/>
          <w:color w:val="auto"/>
          <w:kern w:val="0"/>
          <w:sz w:val="36"/>
          <w:szCs w:val="36"/>
          <w:highlight w:val="none"/>
        </w:rPr>
      </w:pPr>
      <w:bookmarkStart w:id="162" w:name="_Toc11199"/>
      <w:bookmarkStart w:id="163" w:name="_Toc19550"/>
      <w:r>
        <w:rPr>
          <w:rFonts w:hint="eastAsia" w:ascii="宋体" w:hAnsi="宋体" w:eastAsia="宋体" w:cs="宋体"/>
          <w:color w:val="auto"/>
          <w:kern w:val="0"/>
          <w:sz w:val="36"/>
          <w:szCs w:val="36"/>
          <w:highlight w:val="none"/>
        </w:rPr>
        <w:t xml:space="preserve">第六章  </w:t>
      </w:r>
      <w:bookmarkEnd w:id="152"/>
      <w:bookmarkEnd w:id="153"/>
      <w:bookmarkEnd w:id="154"/>
      <w:r>
        <w:rPr>
          <w:rFonts w:hint="eastAsia" w:ascii="宋体" w:hAnsi="宋体" w:eastAsia="宋体" w:cs="宋体"/>
          <w:color w:val="auto"/>
          <w:kern w:val="0"/>
          <w:sz w:val="36"/>
          <w:szCs w:val="36"/>
          <w:highlight w:val="none"/>
        </w:rPr>
        <w:t>合同条款及格式</w:t>
      </w:r>
      <w:bookmarkEnd w:id="162"/>
      <w:bookmarkEnd w:id="163"/>
    </w:p>
    <w:p w14:paraId="6FCDF495">
      <w:pPr>
        <w:ind w:firstLine="0" w:firstLineChars="0"/>
        <w:rPr>
          <w:rFonts w:hint="eastAsia" w:ascii="宋体" w:hAnsi="宋体" w:cs="宋体"/>
          <w:bCs/>
          <w:color w:val="auto"/>
          <w:sz w:val="24"/>
          <w:szCs w:val="24"/>
          <w:highlight w:val="none"/>
        </w:rPr>
      </w:pPr>
      <w:r>
        <w:rPr>
          <w:rFonts w:hint="eastAsia" w:ascii="宋体" w:hAnsi="宋体" w:cs="宋体"/>
          <w:bCs/>
          <w:color w:val="auto"/>
          <w:szCs w:val="21"/>
          <w:highlight w:val="none"/>
        </w:rPr>
        <w:t xml:space="preserve"> </w:t>
      </w:r>
      <w:r>
        <w:rPr>
          <w:rFonts w:hint="eastAsia" w:ascii="宋体" w:hAnsi="宋体" w:cs="宋体"/>
          <w:bCs/>
          <w:color w:val="auto"/>
          <w:sz w:val="24"/>
          <w:szCs w:val="24"/>
          <w:highlight w:val="none"/>
        </w:rPr>
        <w:t xml:space="preserve">     本合同条款作为中标合同的基础，具体合同内容在签订供货合同时由甲乙双方。                                        </w:t>
      </w:r>
    </w:p>
    <w:p w14:paraId="22D8AFE9">
      <w:pPr>
        <w:ind w:firstLine="480"/>
        <w:jc w:val="center"/>
        <w:rPr>
          <w:rFonts w:hint="eastAsia" w:ascii="宋体" w:hAnsi="宋体" w:cs="宋体"/>
          <w:color w:val="auto"/>
          <w:szCs w:val="21"/>
          <w:highlight w:val="none"/>
        </w:rPr>
      </w:pPr>
      <w:r>
        <w:rPr>
          <w:rFonts w:hint="eastAsia" w:ascii="宋体" w:hAnsi="宋体" w:cs="宋体"/>
          <w:bCs/>
          <w:color w:val="auto"/>
          <w:sz w:val="24"/>
          <w:szCs w:val="24"/>
          <w:highlight w:val="none"/>
        </w:rPr>
        <w:t xml:space="preserve">                                           合同编号：   </w:t>
      </w:r>
      <w:r>
        <w:rPr>
          <w:rFonts w:hint="eastAsia" w:ascii="宋体" w:hAnsi="宋体" w:cs="宋体"/>
          <w:bCs/>
          <w:color w:val="auto"/>
          <w:szCs w:val="21"/>
          <w:highlight w:val="none"/>
        </w:rPr>
        <w:t xml:space="preserve">      </w:t>
      </w:r>
    </w:p>
    <w:p w14:paraId="3A602896">
      <w:pPr>
        <w:ind w:firstLine="0" w:firstLineChars="0"/>
        <w:jc w:val="center"/>
        <w:rPr>
          <w:rFonts w:hint="eastAsia" w:ascii="宋体" w:hAnsi="宋体" w:cs="宋体"/>
          <w:b/>
          <w:color w:val="auto"/>
          <w:kern w:val="0"/>
          <w:sz w:val="36"/>
          <w:szCs w:val="36"/>
          <w:highlight w:val="none"/>
        </w:rPr>
      </w:pPr>
      <w:r>
        <w:rPr>
          <w:rFonts w:hint="eastAsia" w:ascii="宋体" w:hAnsi="宋体" w:cs="宋体"/>
          <w:b/>
          <w:color w:val="auto"/>
          <w:kern w:val="0"/>
          <w:sz w:val="36"/>
          <w:szCs w:val="36"/>
          <w:highlight w:val="none"/>
        </w:rPr>
        <w:t>车辆买卖合同</w:t>
      </w:r>
    </w:p>
    <w:p w14:paraId="2315B4D6">
      <w:pPr>
        <w:ind w:firstLine="600" w:firstLineChars="250"/>
        <w:rPr>
          <w:rFonts w:hint="eastAsia" w:ascii="宋体" w:hAnsi="宋体" w:cs="宋体"/>
          <w:bCs/>
          <w:color w:val="auto"/>
          <w:sz w:val="24"/>
          <w:szCs w:val="24"/>
          <w:highlight w:val="none"/>
        </w:rPr>
      </w:pPr>
      <w:r>
        <w:rPr>
          <w:rFonts w:hint="eastAsia" w:ascii="宋体" w:hAnsi="宋体" w:cs="宋体"/>
          <w:bCs/>
          <w:color w:val="auto"/>
          <w:sz w:val="24"/>
          <w:szCs w:val="24"/>
          <w:highlight w:val="none"/>
        </w:rPr>
        <w:t>甲乙双方依据《中华人民共和国招标投标法》、《中华人民共和国民法典》等相关法律法规的规定进行招投标程序后，经双方协商一致，签订以下买卖合同：</w:t>
      </w:r>
    </w:p>
    <w:p w14:paraId="17D5B4D0">
      <w:pPr>
        <w:ind w:firstLine="482"/>
        <w:outlineLvl w:val="1"/>
        <w:rPr>
          <w:rFonts w:hint="eastAsia" w:ascii="宋体" w:hAnsi="宋体" w:cs="宋体"/>
          <w:b/>
          <w:color w:val="auto"/>
          <w:sz w:val="24"/>
          <w:szCs w:val="24"/>
          <w:highlight w:val="none"/>
        </w:rPr>
      </w:pPr>
      <w:bookmarkStart w:id="164" w:name="_Toc338840209"/>
      <w:bookmarkStart w:id="165" w:name="_Toc338840273"/>
      <w:bookmarkStart w:id="166" w:name="_Toc338839880"/>
      <w:bookmarkStart w:id="167" w:name="_Toc21611249"/>
      <w:bookmarkStart w:id="168" w:name="_Toc30599"/>
      <w:bookmarkStart w:id="169" w:name="_Toc73970700"/>
      <w:bookmarkStart w:id="170" w:name="_Toc13907"/>
      <w:bookmarkStart w:id="171" w:name="_Toc536"/>
      <w:r>
        <w:rPr>
          <w:rFonts w:hint="eastAsia" w:ascii="宋体" w:hAnsi="宋体" w:cs="宋体"/>
          <w:b/>
          <w:color w:val="auto"/>
          <w:sz w:val="24"/>
          <w:szCs w:val="24"/>
          <w:highlight w:val="none"/>
        </w:rPr>
        <w:t>一、</w:t>
      </w:r>
      <w:bookmarkEnd w:id="164"/>
      <w:bookmarkEnd w:id="165"/>
      <w:bookmarkEnd w:id="166"/>
      <w:r>
        <w:rPr>
          <w:rFonts w:hint="eastAsia" w:ascii="宋体" w:hAnsi="宋体" w:cs="宋体"/>
          <w:b/>
          <w:color w:val="auto"/>
          <w:sz w:val="24"/>
          <w:szCs w:val="24"/>
          <w:highlight w:val="none"/>
        </w:rPr>
        <w:t>合同标的</w:t>
      </w:r>
      <w:bookmarkEnd w:id="167"/>
      <w:bookmarkEnd w:id="168"/>
      <w:bookmarkEnd w:id="169"/>
      <w:bookmarkEnd w:id="170"/>
      <w:bookmarkEnd w:id="171"/>
    </w:p>
    <w:p w14:paraId="49BDF6D9">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1、车辆特征及单价</w:t>
      </w:r>
    </w:p>
    <w:tbl>
      <w:tblPr>
        <w:tblStyle w:val="34"/>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54"/>
        <w:gridCol w:w="1423"/>
        <w:gridCol w:w="1198"/>
        <w:gridCol w:w="1997"/>
        <w:gridCol w:w="2045"/>
      </w:tblGrid>
      <w:tr w14:paraId="20316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jc w:val="center"/>
        </w:trPr>
        <w:tc>
          <w:tcPr>
            <w:tcW w:w="1089" w:type="pct"/>
            <w:vAlign w:val="center"/>
          </w:tcPr>
          <w:p w14:paraId="62F93048">
            <w:pPr>
              <w:ind w:firstLine="0" w:firstLineChars="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品牌及车型</w:t>
            </w:r>
          </w:p>
        </w:tc>
        <w:tc>
          <w:tcPr>
            <w:tcW w:w="835" w:type="pct"/>
            <w:vAlign w:val="center"/>
          </w:tcPr>
          <w:p w14:paraId="64221EB8">
            <w:pPr>
              <w:ind w:firstLine="0" w:firstLineChars="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单价</w:t>
            </w:r>
          </w:p>
          <w:p w14:paraId="57E8FECA">
            <w:pPr>
              <w:ind w:firstLine="0" w:firstLineChars="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（元/辆）</w:t>
            </w:r>
          </w:p>
        </w:tc>
        <w:tc>
          <w:tcPr>
            <w:tcW w:w="703" w:type="pct"/>
            <w:vAlign w:val="center"/>
          </w:tcPr>
          <w:p w14:paraId="47996FC0">
            <w:pPr>
              <w:ind w:firstLine="0" w:firstLineChars="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融资成本</w:t>
            </w:r>
          </w:p>
          <w:p w14:paraId="33E22691">
            <w:pPr>
              <w:ind w:firstLine="0" w:firstLineChars="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（元/辆）</w:t>
            </w:r>
          </w:p>
        </w:tc>
        <w:tc>
          <w:tcPr>
            <w:tcW w:w="1172" w:type="pct"/>
            <w:vAlign w:val="center"/>
          </w:tcPr>
          <w:p w14:paraId="0FFCD059">
            <w:pPr>
              <w:pStyle w:val="2"/>
              <w:ind w:firstLine="0" w:firstLineChars="0"/>
              <w:jc w:val="center"/>
              <w:rPr>
                <w:rFonts w:hint="eastAsia" w:ascii="宋体" w:hAnsi="宋体" w:eastAsia="宋体" w:cs="宋体"/>
                <w:b w:val="0"/>
                <w:color w:val="auto"/>
                <w:spacing w:val="0"/>
                <w:sz w:val="24"/>
                <w:szCs w:val="24"/>
                <w:highlight w:val="none"/>
              </w:rPr>
            </w:pPr>
            <w:r>
              <w:rPr>
                <w:rFonts w:hint="eastAsia" w:ascii="宋体" w:hAnsi="宋体" w:eastAsia="宋体" w:cs="宋体"/>
                <w:b w:val="0"/>
                <w:color w:val="auto"/>
                <w:spacing w:val="0"/>
                <w:sz w:val="24"/>
                <w:szCs w:val="24"/>
                <w:highlight w:val="none"/>
              </w:rPr>
              <w:t>合价（元/辆）</w:t>
            </w:r>
          </w:p>
          <w:p w14:paraId="68ED0563">
            <w:pPr>
              <w:ind w:firstLine="0" w:firstLineChars="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（单价+融资成本）</w:t>
            </w:r>
          </w:p>
        </w:tc>
        <w:tc>
          <w:tcPr>
            <w:tcW w:w="1199" w:type="pct"/>
            <w:vAlign w:val="center"/>
          </w:tcPr>
          <w:p w14:paraId="34DF75C9">
            <w:pPr>
              <w:ind w:firstLine="0" w:firstLineChars="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数量（辆）</w:t>
            </w:r>
          </w:p>
        </w:tc>
      </w:tr>
      <w:tr w14:paraId="1B712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8" w:hRule="atLeast"/>
          <w:jc w:val="center"/>
        </w:trPr>
        <w:tc>
          <w:tcPr>
            <w:tcW w:w="1089" w:type="pct"/>
            <w:vAlign w:val="center"/>
          </w:tcPr>
          <w:p w14:paraId="04FAA96B">
            <w:pPr>
              <w:ind w:firstLine="0" w:firstLineChars="0"/>
              <w:jc w:val="center"/>
              <w:rPr>
                <w:rFonts w:hint="eastAsia" w:ascii="宋体" w:hAnsi="宋体" w:cs="宋体"/>
                <w:color w:val="auto"/>
                <w:sz w:val="24"/>
                <w:szCs w:val="24"/>
                <w:highlight w:val="none"/>
              </w:rPr>
            </w:pPr>
          </w:p>
        </w:tc>
        <w:tc>
          <w:tcPr>
            <w:tcW w:w="835" w:type="pct"/>
            <w:vAlign w:val="center"/>
          </w:tcPr>
          <w:p w14:paraId="5FAF89AE">
            <w:pPr>
              <w:ind w:firstLine="0" w:firstLineChars="0"/>
              <w:jc w:val="center"/>
              <w:rPr>
                <w:rFonts w:hint="eastAsia" w:ascii="宋体" w:hAnsi="宋体" w:cs="宋体"/>
                <w:color w:val="auto"/>
                <w:sz w:val="24"/>
                <w:szCs w:val="24"/>
                <w:highlight w:val="none"/>
              </w:rPr>
            </w:pPr>
          </w:p>
        </w:tc>
        <w:tc>
          <w:tcPr>
            <w:tcW w:w="703" w:type="pct"/>
          </w:tcPr>
          <w:p w14:paraId="4ACE3F9C">
            <w:pPr>
              <w:ind w:firstLine="0" w:firstLineChars="0"/>
              <w:rPr>
                <w:rFonts w:hint="eastAsia" w:ascii="宋体" w:hAnsi="宋体" w:cs="宋体"/>
                <w:color w:val="auto"/>
                <w:sz w:val="24"/>
                <w:szCs w:val="24"/>
                <w:highlight w:val="none"/>
              </w:rPr>
            </w:pPr>
          </w:p>
        </w:tc>
        <w:tc>
          <w:tcPr>
            <w:tcW w:w="1172" w:type="pct"/>
            <w:vAlign w:val="center"/>
          </w:tcPr>
          <w:p w14:paraId="42BF175C">
            <w:pPr>
              <w:ind w:firstLine="0" w:firstLineChars="0"/>
              <w:rPr>
                <w:rFonts w:hint="eastAsia" w:ascii="宋体" w:hAnsi="宋体" w:cs="宋体"/>
                <w:color w:val="auto"/>
                <w:sz w:val="24"/>
                <w:szCs w:val="24"/>
                <w:highlight w:val="none"/>
              </w:rPr>
            </w:pPr>
          </w:p>
        </w:tc>
        <w:tc>
          <w:tcPr>
            <w:tcW w:w="1199" w:type="pct"/>
            <w:vAlign w:val="center"/>
          </w:tcPr>
          <w:p w14:paraId="25741B27">
            <w:pPr>
              <w:ind w:firstLine="0" w:firstLineChars="0"/>
              <w:rPr>
                <w:rFonts w:hint="eastAsia" w:ascii="宋体" w:hAnsi="宋体" w:cs="宋体"/>
                <w:color w:val="auto"/>
                <w:sz w:val="24"/>
                <w:szCs w:val="24"/>
                <w:highlight w:val="none"/>
              </w:rPr>
            </w:pPr>
          </w:p>
        </w:tc>
      </w:tr>
      <w:tr w14:paraId="4486C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4" w:hRule="atLeast"/>
          <w:jc w:val="center"/>
        </w:trPr>
        <w:tc>
          <w:tcPr>
            <w:tcW w:w="1089" w:type="pct"/>
            <w:vAlign w:val="center"/>
          </w:tcPr>
          <w:p w14:paraId="5E77000D">
            <w:pPr>
              <w:ind w:firstLine="0" w:firstLineChars="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总价（万元）</w:t>
            </w:r>
          </w:p>
        </w:tc>
        <w:tc>
          <w:tcPr>
            <w:tcW w:w="3910" w:type="pct"/>
            <w:gridSpan w:val="4"/>
          </w:tcPr>
          <w:p w14:paraId="4D014CD9">
            <w:pPr>
              <w:ind w:firstLine="0" w:firstLineChars="0"/>
              <w:rPr>
                <w:rFonts w:hint="eastAsia" w:ascii="宋体" w:hAnsi="宋体" w:cs="宋体"/>
                <w:color w:val="auto"/>
                <w:sz w:val="24"/>
                <w:szCs w:val="24"/>
                <w:highlight w:val="none"/>
              </w:rPr>
            </w:pPr>
            <w:r>
              <w:rPr>
                <w:rFonts w:hint="eastAsia" w:ascii="宋体" w:hAnsi="宋体" w:cs="宋体"/>
                <w:color w:val="auto"/>
                <w:sz w:val="24"/>
                <w:szCs w:val="24"/>
                <w:highlight w:val="none"/>
              </w:rPr>
              <w:t>大写：</w:t>
            </w:r>
          </w:p>
          <w:p w14:paraId="198B4E83">
            <w:pPr>
              <w:ind w:firstLine="0" w:firstLineChars="0"/>
              <w:rPr>
                <w:rFonts w:hint="eastAsia" w:ascii="宋体" w:hAnsi="宋体" w:cs="宋体"/>
                <w:color w:val="auto"/>
                <w:sz w:val="24"/>
                <w:szCs w:val="24"/>
                <w:highlight w:val="none"/>
              </w:rPr>
            </w:pPr>
            <w:r>
              <w:rPr>
                <w:rFonts w:hint="eastAsia" w:ascii="宋体" w:hAnsi="宋体" w:cs="宋体"/>
                <w:color w:val="auto"/>
                <w:sz w:val="24"/>
                <w:szCs w:val="24"/>
                <w:highlight w:val="none"/>
              </w:rPr>
              <w:t>小写：</w:t>
            </w:r>
          </w:p>
        </w:tc>
      </w:tr>
    </w:tbl>
    <w:p w14:paraId="2E0FAB92">
      <w:pPr>
        <w:pStyle w:val="2"/>
        <w:ind w:firstLine="450"/>
        <w:rPr>
          <w:rFonts w:hint="eastAsia" w:ascii="宋体" w:hAnsi="宋体" w:eastAsia="宋体" w:cs="宋体"/>
          <w:color w:val="auto"/>
          <w:sz w:val="24"/>
          <w:szCs w:val="24"/>
          <w:highlight w:val="none"/>
        </w:rPr>
      </w:pPr>
    </w:p>
    <w:p w14:paraId="60753935">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2、技术要求执行顺序</w:t>
      </w:r>
    </w:p>
    <w:p w14:paraId="2C02F3F8">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（1）执行招标文件车辆技术要求及规范标准。</w:t>
      </w:r>
    </w:p>
    <w:p w14:paraId="7FBBA8B8">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（2）投标文件对招标文件提出的车辆及其部件</w:t>
      </w:r>
      <w:r>
        <w:rPr>
          <w:rFonts w:hint="eastAsia" w:ascii="宋体" w:hAnsi="宋体" w:cs="宋体"/>
          <w:color w:val="auto"/>
          <w:sz w:val="24"/>
          <w:szCs w:val="24"/>
          <w:highlight w:val="none"/>
          <w:lang w:eastAsia="zh-CN"/>
        </w:rPr>
        <w:t>的</w:t>
      </w:r>
      <w:r>
        <w:rPr>
          <w:rFonts w:hint="eastAsia" w:ascii="宋体" w:hAnsi="宋体" w:cs="宋体"/>
          <w:color w:val="auto"/>
          <w:sz w:val="24"/>
          <w:szCs w:val="24"/>
          <w:highlight w:val="none"/>
        </w:rPr>
        <w:t>技术要求无偏离、正偏离的部分组成。</w:t>
      </w:r>
    </w:p>
    <w:p w14:paraId="13F83DBB">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本合同为固定单价合同，包括车辆的设计、制造、材料采购、运输交货、验收、装卸、安装调试、人员培训、售后服务、技术支持、保险费、质保期内缺陷的修复补救、市场价格的变化、利润、税金及必要的保险费用、不可预见费等所有费用，此合同单价价格在合同实施期间将不因工作量及市场、设备、材料价格的变化而调整。在本合同履行过程中，甲方增减采购产品数量的，单价按照本合同约定的价格执行。</w:t>
      </w:r>
    </w:p>
    <w:p w14:paraId="43F81198">
      <w:pPr>
        <w:ind w:firstLine="482"/>
        <w:outlineLvl w:val="1"/>
        <w:rPr>
          <w:rFonts w:hint="eastAsia" w:ascii="宋体" w:hAnsi="宋体" w:cs="宋体"/>
          <w:b/>
          <w:color w:val="auto"/>
          <w:sz w:val="24"/>
          <w:szCs w:val="24"/>
          <w:highlight w:val="none"/>
        </w:rPr>
      </w:pPr>
      <w:bookmarkStart w:id="172" w:name="_Toc338839881"/>
      <w:bookmarkStart w:id="173" w:name="_Toc338840274"/>
      <w:bookmarkStart w:id="174" w:name="_Toc26932"/>
      <w:bookmarkStart w:id="175" w:name="_Toc73970701"/>
      <w:bookmarkStart w:id="176" w:name="_Toc338840210"/>
      <w:bookmarkStart w:id="177" w:name="_Toc7120"/>
      <w:bookmarkStart w:id="178" w:name="_Toc21611250"/>
      <w:bookmarkStart w:id="179" w:name="_Toc6166"/>
      <w:r>
        <w:rPr>
          <w:rFonts w:hint="eastAsia" w:ascii="宋体" w:hAnsi="宋体" w:cs="宋体"/>
          <w:b/>
          <w:color w:val="auto"/>
          <w:sz w:val="24"/>
          <w:szCs w:val="24"/>
          <w:highlight w:val="none"/>
        </w:rPr>
        <w:t>二、车辆的交付</w:t>
      </w:r>
      <w:bookmarkEnd w:id="172"/>
      <w:bookmarkEnd w:id="173"/>
      <w:bookmarkEnd w:id="174"/>
      <w:bookmarkEnd w:id="175"/>
      <w:bookmarkEnd w:id="176"/>
      <w:bookmarkEnd w:id="177"/>
      <w:bookmarkEnd w:id="178"/>
      <w:bookmarkEnd w:id="179"/>
    </w:p>
    <w:p w14:paraId="4ED5201B">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1、交车方式：乙方将车辆运至甲方指定的地点。</w:t>
      </w:r>
    </w:p>
    <w:p w14:paraId="20314D73">
      <w:pPr>
        <w:ind w:firstLine="480"/>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2、交车地点：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，车辆交付甲方验收合格前毁损灭失的风险由乙方承担。</w:t>
      </w:r>
    </w:p>
    <w:p w14:paraId="509121B6">
      <w:pPr>
        <w:ind w:firstLine="480"/>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3、交车时间：合同签订后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个日历天完成车辆交付并能正常投入使用。</w:t>
      </w:r>
    </w:p>
    <w:p w14:paraId="3CE4D56B">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4、交车清单：（1）有关运输部门出具的收据、车辆临时牌照；</w:t>
      </w:r>
    </w:p>
    <w:p w14:paraId="4ED4DEA5">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全额机动车销售统一发票，发票四联（发票联，抵扣联，报税联，注册登记联），发票须为完税发票联，发票开具单位名称与企业代码证一致，发票上审核单位处必须有当地相应工商管理局的验证章及税局机关代码；</w:t>
      </w:r>
    </w:p>
    <w:p w14:paraId="3123AC05">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（3）装箱单；</w:t>
      </w:r>
    </w:p>
    <w:p w14:paraId="3AFDC4BC">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（4）制造厂家出具的质量检验证书、数量证明书及车辆合格证（国家统一制的二维条码、带防伪标志的新合格证）、发动机合格证；</w:t>
      </w:r>
    </w:p>
    <w:p w14:paraId="255AAB8A">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（5）车辆识别代码（VIN），代码打印符合国家要求，要求用机器打印，不得镶嵌打磨；</w:t>
      </w:r>
    </w:p>
    <w:p w14:paraId="5BB315E8">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（6）到货验收单；</w:t>
      </w:r>
    </w:p>
    <w:p w14:paraId="5BFD80EC">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（7）每辆车随车工具每车1套，使用说明书一套； </w:t>
      </w:r>
    </w:p>
    <w:p w14:paraId="66B943E9">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（8）其他：提供所投车辆电控系统通讯协议                   </w:t>
      </w:r>
      <w:r>
        <w:rPr>
          <w:rFonts w:hint="eastAsia" w:ascii="宋体" w:hAnsi="宋体" w:cs="宋体"/>
          <w:color w:val="auto"/>
          <w:sz w:val="24"/>
          <w:szCs w:val="24"/>
          <w:highlight w:val="none"/>
        </w:rPr>
        <w:tab/>
      </w:r>
    </w:p>
    <w:p w14:paraId="6BE0DE44">
      <w:pPr>
        <w:ind w:firstLine="482"/>
        <w:outlineLvl w:val="1"/>
        <w:rPr>
          <w:rFonts w:hint="eastAsia" w:ascii="宋体" w:hAnsi="宋体" w:cs="宋体"/>
          <w:b/>
          <w:color w:val="auto"/>
          <w:sz w:val="24"/>
          <w:szCs w:val="24"/>
          <w:highlight w:val="none"/>
        </w:rPr>
      </w:pPr>
      <w:bookmarkStart w:id="180" w:name="_Toc10944"/>
      <w:bookmarkStart w:id="181" w:name="_Toc73970702"/>
      <w:bookmarkStart w:id="182" w:name="_Toc29574"/>
      <w:bookmarkStart w:id="183" w:name="_Toc21611251"/>
      <w:bookmarkStart w:id="184" w:name="_Toc16153"/>
      <w:bookmarkStart w:id="185" w:name="_Toc338840275"/>
      <w:bookmarkStart w:id="186" w:name="_Toc338840211"/>
      <w:bookmarkStart w:id="187" w:name="_Toc338839882"/>
      <w:r>
        <w:rPr>
          <w:rFonts w:hint="eastAsia" w:ascii="宋体" w:hAnsi="宋体" w:cs="宋体"/>
          <w:b/>
          <w:color w:val="auto"/>
          <w:sz w:val="24"/>
          <w:szCs w:val="24"/>
          <w:highlight w:val="none"/>
        </w:rPr>
        <w:t>三、验收</w:t>
      </w:r>
      <w:bookmarkEnd w:id="180"/>
      <w:bookmarkEnd w:id="181"/>
      <w:bookmarkEnd w:id="182"/>
      <w:bookmarkEnd w:id="183"/>
      <w:bookmarkEnd w:id="184"/>
    </w:p>
    <w:p w14:paraId="43B135C1">
      <w:pPr>
        <w:adjustRightInd w:val="0"/>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1、车辆按时运抵现场后，甲方将对车辆的品牌型号、颜色、外观内饰、功能、质量标准、随车工具、文件等进行验收，检查车辆是否符合合同要求。</w:t>
      </w:r>
    </w:p>
    <w:p w14:paraId="5BFB2656">
      <w:pPr>
        <w:pStyle w:val="18"/>
        <w:ind w:firstLine="480"/>
        <w:jc w:val="left"/>
        <w:rPr>
          <w:rFonts w:hint="eastAsia" w:hAnsi="宋体" w:cs="宋体"/>
          <w:color w:val="auto"/>
          <w:kern w:val="0"/>
          <w:sz w:val="24"/>
          <w:szCs w:val="24"/>
          <w:highlight w:val="none"/>
        </w:rPr>
      </w:pPr>
      <w:r>
        <w:rPr>
          <w:rFonts w:hint="eastAsia" w:hAnsi="宋体" w:cs="宋体"/>
          <w:color w:val="auto"/>
          <w:sz w:val="24"/>
          <w:szCs w:val="24"/>
          <w:highlight w:val="none"/>
        </w:rPr>
        <w:t>2、</w:t>
      </w:r>
      <w:r>
        <w:rPr>
          <w:rFonts w:hint="eastAsia" w:hAnsi="宋体" w:cs="宋体"/>
          <w:color w:val="auto"/>
          <w:kern w:val="0"/>
          <w:sz w:val="24"/>
          <w:szCs w:val="24"/>
          <w:highlight w:val="none"/>
        </w:rPr>
        <w:t>车辆调试完毕，甲方验收小组将对车辆的质量、规格、性能等进行详细而全面的检验。检验完毕后，证明车辆无任何质量问题，由验收小组签署验收报告。车辆与合同约定不一致的，视为验收不合格。甲方有权要求乙方在规定时间内立即更换，并由乙方承担由此产生的所有费用</w:t>
      </w:r>
      <w:r>
        <w:rPr>
          <w:rFonts w:hint="eastAsia" w:hAnsi="宋体" w:cs="宋体"/>
          <w:color w:val="auto"/>
          <w:kern w:val="0"/>
          <w:sz w:val="24"/>
          <w:szCs w:val="24"/>
          <w:highlight w:val="none"/>
          <w:lang w:val="en-US" w:eastAsia="zh-CN"/>
        </w:rPr>
        <w:t>及法律责任</w:t>
      </w:r>
      <w:r>
        <w:rPr>
          <w:rFonts w:hint="eastAsia" w:hAnsi="宋体" w:cs="宋体"/>
          <w:color w:val="auto"/>
          <w:kern w:val="0"/>
          <w:sz w:val="24"/>
          <w:szCs w:val="24"/>
          <w:highlight w:val="none"/>
        </w:rPr>
        <w:t>。</w:t>
      </w:r>
    </w:p>
    <w:p w14:paraId="016BBC3A">
      <w:pPr>
        <w:pStyle w:val="18"/>
        <w:ind w:firstLine="480"/>
        <w:jc w:val="left"/>
        <w:rPr>
          <w:rFonts w:hint="eastAsia" w:hAnsi="宋体" w:cs="宋体"/>
          <w:color w:val="auto"/>
          <w:kern w:val="0"/>
          <w:sz w:val="24"/>
          <w:szCs w:val="24"/>
          <w:highlight w:val="none"/>
        </w:rPr>
      </w:pPr>
      <w:r>
        <w:rPr>
          <w:rFonts w:hint="eastAsia" w:hAnsi="宋体" w:cs="宋体"/>
          <w:color w:val="auto"/>
          <w:kern w:val="0"/>
          <w:sz w:val="24"/>
          <w:szCs w:val="24"/>
          <w:highlight w:val="none"/>
        </w:rPr>
        <w:t>3、若甲方对产品质量有异议但必须通过检测才能判断时，甲方有权委托具有相应资质的检测单位按照国家相关标准进行检测，质量检测合格的检测费用由甲方承担，质量检测不合格的检测费用由乙方承担，乙方应当在甲方要求时限内更换符合本合同质量要求的合格产品，由此产生的费用由乙方承担，并承担相应违约责任。</w:t>
      </w:r>
    </w:p>
    <w:p w14:paraId="16036B5A">
      <w:pPr>
        <w:pStyle w:val="18"/>
        <w:ind w:firstLine="480"/>
        <w:jc w:val="left"/>
        <w:rPr>
          <w:rFonts w:hint="eastAsia" w:hAnsi="宋体" w:cs="宋体"/>
          <w:color w:val="auto"/>
          <w:kern w:val="0"/>
          <w:sz w:val="24"/>
          <w:szCs w:val="24"/>
          <w:highlight w:val="none"/>
        </w:rPr>
      </w:pPr>
      <w:r>
        <w:rPr>
          <w:rFonts w:hint="eastAsia" w:hAnsi="宋体" w:cs="宋体"/>
          <w:color w:val="auto"/>
          <w:sz w:val="24"/>
          <w:szCs w:val="24"/>
          <w:highlight w:val="none"/>
        </w:rPr>
        <w:t>4、</w:t>
      </w:r>
      <w:r>
        <w:rPr>
          <w:rFonts w:hint="eastAsia" w:hAnsi="宋体" w:cs="宋体"/>
          <w:color w:val="auto"/>
          <w:kern w:val="0"/>
          <w:sz w:val="24"/>
          <w:szCs w:val="24"/>
          <w:highlight w:val="none"/>
        </w:rPr>
        <w:t>车辆交付后，出现下列情形之一时，乙方对所售车辆整车无条件召回：</w:t>
      </w:r>
    </w:p>
    <w:p w14:paraId="2D79C226">
      <w:pPr>
        <w:pStyle w:val="18"/>
        <w:ind w:firstLine="480"/>
        <w:jc w:val="left"/>
        <w:rPr>
          <w:rFonts w:hint="eastAsia" w:hAnsi="宋体" w:cs="宋体"/>
          <w:color w:val="auto"/>
          <w:kern w:val="0"/>
          <w:sz w:val="24"/>
          <w:szCs w:val="24"/>
          <w:highlight w:val="none"/>
        </w:rPr>
      </w:pPr>
      <w:r>
        <w:rPr>
          <w:rFonts w:hint="eastAsia" w:hAnsi="宋体" w:cs="宋体"/>
          <w:color w:val="auto"/>
          <w:kern w:val="0"/>
          <w:sz w:val="24"/>
          <w:szCs w:val="24"/>
          <w:highlight w:val="none"/>
        </w:rPr>
        <w:t>（1）交付后因车辆技术或其他原因导致30天内车辆未能上牌落户的（甲方自身原因除外）；</w:t>
      </w:r>
    </w:p>
    <w:p w14:paraId="30A31AD7">
      <w:pPr>
        <w:pStyle w:val="18"/>
        <w:ind w:firstLine="480"/>
        <w:jc w:val="left"/>
        <w:rPr>
          <w:rFonts w:hint="eastAsia" w:hAnsi="宋体" w:cs="宋体"/>
          <w:color w:val="auto"/>
          <w:kern w:val="0"/>
          <w:sz w:val="24"/>
          <w:szCs w:val="24"/>
          <w:highlight w:val="none"/>
        </w:rPr>
      </w:pPr>
      <w:r>
        <w:rPr>
          <w:rFonts w:hint="eastAsia" w:hAnsi="宋体" w:cs="宋体"/>
          <w:color w:val="auto"/>
          <w:kern w:val="0"/>
          <w:sz w:val="24"/>
          <w:szCs w:val="24"/>
          <w:highlight w:val="none"/>
        </w:rPr>
        <w:t>（2）车辆经验收不合格；</w:t>
      </w:r>
    </w:p>
    <w:p w14:paraId="136B2E12">
      <w:pPr>
        <w:pStyle w:val="18"/>
        <w:ind w:firstLine="480"/>
        <w:jc w:val="left"/>
        <w:rPr>
          <w:rFonts w:hint="eastAsia" w:hAnsi="宋体" w:cs="宋体"/>
          <w:color w:val="auto"/>
          <w:kern w:val="0"/>
          <w:sz w:val="24"/>
          <w:szCs w:val="24"/>
          <w:highlight w:val="none"/>
        </w:rPr>
      </w:pPr>
      <w:r>
        <w:rPr>
          <w:rFonts w:hint="eastAsia" w:hAnsi="宋体" w:cs="宋体"/>
          <w:color w:val="auto"/>
          <w:kern w:val="0"/>
          <w:sz w:val="24"/>
          <w:szCs w:val="24"/>
          <w:highlight w:val="none"/>
        </w:rPr>
        <w:t>（3）车辆经验收投入使用后发现不符合本合同约定的质量标准的；</w:t>
      </w:r>
    </w:p>
    <w:p w14:paraId="41847323">
      <w:pPr>
        <w:pStyle w:val="18"/>
        <w:ind w:firstLine="480"/>
        <w:jc w:val="left"/>
        <w:rPr>
          <w:rFonts w:hint="eastAsia" w:hAnsi="宋体" w:cs="宋体"/>
          <w:color w:val="auto"/>
          <w:kern w:val="0"/>
          <w:sz w:val="24"/>
          <w:szCs w:val="24"/>
          <w:highlight w:val="none"/>
        </w:rPr>
      </w:pPr>
      <w:r>
        <w:rPr>
          <w:rFonts w:hint="eastAsia" w:hAnsi="宋体" w:cs="宋体"/>
          <w:color w:val="auto"/>
          <w:kern w:val="0"/>
          <w:sz w:val="24"/>
          <w:szCs w:val="24"/>
          <w:highlight w:val="none"/>
        </w:rPr>
        <w:t xml:space="preserve">（4）其他：                                 </w:t>
      </w:r>
    </w:p>
    <w:p w14:paraId="5F020DB3">
      <w:pPr>
        <w:pStyle w:val="18"/>
        <w:ind w:firstLine="480"/>
        <w:jc w:val="left"/>
        <w:rPr>
          <w:rFonts w:hint="eastAsia" w:hAnsi="宋体" w:cs="宋体"/>
          <w:color w:val="auto"/>
          <w:kern w:val="0"/>
          <w:sz w:val="24"/>
          <w:szCs w:val="24"/>
          <w:highlight w:val="none"/>
        </w:rPr>
      </w:pPr>
      <w:r>
        <w:rPr>
          <w:rFonts w:hint="eastAsia" w:hAnsi="宋体" w:cs="宋体"/>
          <w:color w:val="auto"/>
          <w:kern w:val="0"/>
          <w:sz w:val="24"/>
          <w:szCs w:val="24"/>
          <w:highlight w:val="none"/>
        </w:rPr>
        <w:t>发生召回情形时，乙方必须在甲方通知后10天以内将车辆无条件召回，返还甲方已经支付的费用，并承担甲方因此而遭受的一切损失。</w:t>
      </w:r>
    </w:p>
    <w:p w14:paraId="6DA489F5">
      <w:pPr>
        <w:ind w:firstLine="482"/>
        <w:outlineLvl w:val="1"/>
        <w:rPr>
          <w:rFonts w:hint="eastAsia" w:ascii="宋体" w:hAnsi="宋体" w:cs="宋体"/>
          <w:b/>
          <w:color w:val="auto"/>
          <w:sz w:val="24"/>
          <w:szCs w:val="24"/>
          <w:highlight w:val="none"/>
        </w:rPr>
      </w:pPr>
      <w:bookmarkStart w:id="188" w:name="_Toc11148"/>
      <w:bookmarkStart w:id="189" w:name="_Toc21611252"/>
      <w:bookmarkStart w:id="190" w:name="_Toc73970703"/>
      <w:bookmarkStart w:id="191" w:name="_Toc4672"/>
      <w:bookmarkStart w:id="192" w:name="_Toc19558"/>
      <w:r>
        <w:rPr>
          <w:rFonts w:hint="eastAsia" w:ascii="宋体" w:hAnsi="宋体" w:cs="宋体"/>
          <w:b/>
          <w:color w:val="auto"/>
          <w:sz w:val="24"/>
          <w:szCs w:val="24"/>
          <w:highlight w:val="none"/>
        </w:rPr>
        <w:t>四、甲乙双方的权利和义务</w:t>
      </w:r>
      <w:bookmarkEnd w:id="185"/>
      <w:bookmarkEnd w:id="186"/>
      <w:bookmarkEnd w:id="187"/>
      <w:bookmarkEnd w:id="188"/>
      <w:bookmarkEnd w:id="189"/>
      <w:bookmarkEnd w:id="190"/>
      <w:bookmarkEnd w:id="191"/>
      <w:bookmarkEnd w:id="192"/>
    </w:p>
    <w:p w14:paraId="7EDC3D6F">
      <w:pPr>
        <w:autoSpaceDE w:val="0"/>
        <w:autoSpaceDN w:val="0"/>
        <w:adjustRightInd w:val="0"/>
        <w:ind w:firstLine="482"/>
        <w:rPr>
          <w:rFonts w:hint="eastAsia" w:ascii="宋体" w:hAnsi="宋体" w:cs="宋体"/>
          <w:b/>
          <w:color w:val="auto"/>
          <w:sz w:val="24"/>
          <w:szCs w:val="24"/>
          <w:highlight w:val="none"/>
        </w:rPr>
      </w:pPr>
      <w:bookmarkStart w:id="193" w:name="_Toc338840212"/>
      <w:bookmarkStart w:id="194" w:name="_Toc338839883"/>
      <w:bookmarkStart w:id="195" w:name="_Toc338840276"/>
      <w:r>
        <w:rPr>
          <w:rFonts w:hint="eastAsia" w:ascii="宋体" w:hAnsi="宋体" w:cs="宋体"/>
          <w:b/>
          <w:color w:val="auto"/>
          <w:sz w:val="24"/>
          <w:szCs w:val="24"/>
          <w:highlight w:val="none"/>
        </w:rPr>
        <w:t>（一）甲方的权利和义务</w:t>
      </w:r>
      <w:bookmarkEnd w:id="193"/>
      <w:bookmarkEnd w:id="194"/>
      <w:bookmarkEnd w:id="195"/>
    </w:p>
    <w:p w14:paraId="7DBB53F2">
      <w:pPr>
        <w:autoSpaceDE w:val="0"/>
        <w:autoSpaceDN w:val="0"/>
        <w:adjustRightInd w:val="0"/>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1．甲方在购车前，已事先获得合法的资格，并在购车后依法律规定的时间到有关车辆管理部门依法办理一切登记手续。</w:t>
      </w:r>
    </w:p>
    <w:p w14:paraId="5671E5BE">
      <w:pPr>
        <w:autoSpaceDE w:val="0"/>
        <w:autoSpaceDN w:val="0"/>
        <w:adjustRightInd w:val="0"/>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2．负责对所购车辆的品牌型号、颜色、外观、内饰、功能、随车工具、文件等进行验收，并填写验收单。</w:t>
      </w:r>
    </w:p>
    <w:p w14:paraId="6B78E489">
      <w:pPr>
        <w:autoSpaceDE w:val="0"/>
        <w:autoSpaceDN w:val="0"/>
        <w:adjustRightInd w:val="0"/>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3．按合同规定及招标文件要求享有乙方提供的车辆售后维修保养服务；</w:t>
      </w:r>
    </w:p>
    <w:p w14:paraId="59FE3B5F">
      <w:pPr>
        <w:autoSpaceDE w:val="0"/>
        <w:autoSpaceDN w:val="0"/>
        <w:adjustRightInd w:val="0"/>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4．甲方保证按照车辆的《使用维护说明书》要求规范使用、保养和维修，如有违反，造成或引起车辆的损坏或故障，由甲方自行承担。</w:t>
      </w:r>
    </w:p>
    <w:p w14:paraId="2017F3EE">
      <w:pPr>
        <w:autoSpaceDE w:val="0"/>
        <w:autoSpaceDN w:val="0"/>
        <w:adjustRightInd w:val="0"/>
        <w:ind w:firstLine="482"/>
        <w:rPr>
          <w:rFonts w:hint="eastAsia" w:ascii="宋体" w:hAnsi="宋体" w:cs="宋体"/>
          <w:b/>
          <w:color w:val="auto"/>
          <w:sz w:val="24"/>
          <w:szCs w:val="24"/>
          <w:highlight w:val="none"/>
        </w:rPr>
      </w:pPr>
      <w:bookmarkStart w:id="196" w:name="_Toc338839884"/>
      <w:bookmarkStart w:id="197" w:name="_Toc338840277"/>
      <w:bookmarkStart w:id="198" w:name="_Toc338840213"/>
      <w:r>
        <w:rPr>
          <w:rFonts w:hint="eastAsia" w:ascii="宋体" w:hAnsi="宋体" w:cs="宋体"/>
          <w:b/>
          <w:color w:val="auto"/>
          <w:sz w:val="24"/>
          <w:szCs w:val="24"/>
          <w:highlight w:val="none"/>
        </w:rPr>
        <w:t>（二）乙方的权利和义务</w:t>
      </w:r>
      <w:bookmarkEnd w:id="196"/>
      <w:bookmarkEnd w:id="197"/>
      <w:bookmarkEnd w:id="198"/>
    </w:p>
    <w:p w14:paraId="17D1E0BA">
      <w:pPr>
        <w:autoSpaceDE w:val="0"/>
        <w:autoSpaceDN w:val="0"/>
        <w:adjustRightInd w:val="0"/>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乙方保证所售车辆为全新的、符合国家质量标准（2019年4月以后开始执行新标准的，按照最新标准执行）和制造厂商出厂标准之产品，符合随车交付文件中所列的各项规格和指标。车辆手续符合国家有关车辆管理部门落户登记规定。</w:t>
      </w:r>
    </w:p>
    <w:p w14:paraId="76F78154">
      <w:pPr>
        <w:autoSpaceDE w:val="0"/>
        <w:autoSpaceDN w:val="0"/>
        <w:adjustRightInd w:val="0"/>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2、乙方保证严格遵守协议供货、投标、商务谈判、中标所承诺的一切规定和条款；</w:t>
      </w:r>
    </w:p>
    <w:p w14:paraId="704D5997">
      <w:pPr>
        <w:autoSpaceDE w:val="0"/>
        <w:autoSpaceDN w:val="0"/>
        <w:adjustRightInd w:val="0"/>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3、乙方保证车辆已经过售前的调试、检验和清洁。</w:t>
      </w:r>
    </w:p>
    <w:p w14:paraId="36BEC294">
      <w:pPr>
        <w:autoSpaceDE w:val="0"/>
        <w:autoSpaceDN w:val="0"/>
        <w:adjustRightInd w:val="0"/>
        <w:ind w:firstLine="480"/>
        <w:rPr>
          <w:rFonts w:hint="eastAsia" w:ascii="宋体" w:hAnsi="宋体" w:cs="宋体"/>
          <w:bCs/>
          <w:color w:val="auto"/>
          <w:sz w:val="24"/>
          <w:szCs w:val="24"/>
          <w:highlight w:val="none"/>
        </w:rPr>
      </w:pPr>
      <w:r>
        <w:rPr>
          <w:rFonts w:hint="eastAsia" w:ascii="宋体" w:hAnsi="宋体" w:cs="宋体"/>
          <w:color w:val="auto"/>
          <w:sz w:val="24"/>
          <w:szCs w:val="24"/>
          <w:highlight w:val="none"/>
        </w:rPr>
        <w:t>4、乙方保证</w:t>
      </w:r>
      <w:r>
        <w:rPr>
          <w:rFonts w:hint="eastAsia" w:ascii="宋体" w:hAnsi="宋体" w:cs="宋体"/>
          <w:bCs/>
          <w:color w:val="auto"/>
          <w:sz w:val="24"/>
          <w:szCs w:val="24"/>
          <w:highlight w:val="none"/>
        </w:rPr>
        <w:t>未经甲方书面同意不改变车辆的出厂状态，即不改动或改装车辆，不添加任何其他标记、标识。</w:t>
      </w:r>
    </w:p>
    <w:p w14:paraId="4FE53C9E">
      <w:pPr>
        <w:autoSpaceDE w:val="0"/>
        <w:autoSpaceDN w:val="0"/>
        <w:adjustRightInd w:val="0"/>
        <w:ind w:firstLine="480"/>
        <w:rPr>
          <w:rFonts w:hint="eastAsia" w:ascii="宋体" w:hAnsi="宋体" w:cs="宋体"/>
          <w:color w:val="auto"/>
          <w:sz w:val="24"/>
          <w:szCs w:val="24"/>
          <w:highlight w:val="none"/>
        </w:rPr>
      </w:pPr>
      <w:r>
        <w:rPr>
          <w:rFonts w:hint="eastAsia" w:ascii="宋体" w:hAnsi="宋体" w:cs="宋体"/>
          <w:bCs/>
          <w:color w:val="auto"/>
          <w:sz w:val="24"/>
          <w:szCs w:val="24"/>
          <w:highlight w:val="none"/>
        </w:rPr>
        <w:t>5、乙方保证</w:t>
      </w:r>
      <w:r>
        <w:rPr>
          <w:rFonts w:hint="eastAsia" w:ascii="宋体" w:hAnsi="宋体" w:cs="宋体"/>
          <w:color w:val="auto"/>
          <w:sz w:val="24"/>
          <w:szCs w:val="24"/>
          <w:highlight w:val="none"/>
        </w:rPr>
        <w:t>甲方在车辆使用过程中发生技术质量问题，乙方应提供及时有效的技术支持，并向甲方提供在市内的维修服务中心、特约维修服务站等售后服务网点的名单、联系地址、联系电话（可另作附件附合同后）。</w:t>
      </w:r>
    </w:p>
    <w:p w14:paraId="09988AF8">
      <w:pPr>
        <w:autoSpaceDE w:val="0"/>
        <w:autoSpaceDN w:val="0"/>
        <w:adjustRightInd w:val="0"/>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6、乙方必须保证优惠、及时提供车辆的基础配件直到汽车报废；在质保期内，由乙方免费修理（包括材料费和工时费），如配件质量问题严重，影响车辆正常使用的，乙方无条件更换或按照甲方要求退货。</w:t>
      </w:r>
    </w:p>
    <w:p w14:paraId="24787204">
      <w:pPr>
        <w:autoSpaceDE w:val="0"/>
        <w:autoSpaceDN w:val="0"/>
        <w:adjustRightInd w:val="0"/>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7、按本合同第五条“售后服务措施及服务质量要求”及招投标文件的相关承诺提供售后服务。</w:t>
      </w:r>
    </w:p>
    <w:p w14:paraId="59784C20">
      <w:pPr>
        <w:autoSpaceDE w:val="0"/>
        <w:autoSpaceDN w:val="0"/>
        <w:adjustRightInd w:val="0"/>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8、按合同规定收取合同款项。</w:t>
      </w:r>
    </w:p>
    <w:p w14:paraId="17E99C08">
      <w:pPr>
        <w:ind w:firstLine="482"/>
        <w:outlineLvl w:val="1"/>
        <w:rPr>
          <w:rFonts w:hint="eastAsia" w:ascii="宋体" w:hAnsi="宋体" w:cs="宋体"/>
          <w:b/>
          <w:color w:val="auto"/>
          <w:sz w:val="24"/>
          <w:szCs w:val="24"/>
          <w:highlight w:val="none"/>
        </w:rPr>
      </w:pPr>
      <w:bookmarkStart w:id="199" w:name="_Toc21611253"/>
      <w:bookmarkStart w:id="200" w:name="_Toc22707"/>
      <w:bookmarkStart w:id="201" w:name="_Toc73970704"/>
      <w:bookmarkStart w:id="202" w:name="_Toc11376"/>
      <w:bookmarkStart w:id="203" w:name="_Toc26439"/>
      <w:bookmarkStart w:id="204" w:name="_Toc338840279"/>
      <w:bookmarkStart w:id="205" w:name="_Toc338839886"/>
      <w:bookmarkStart w:id="206" w:name="_Toc338840215"/>
      <w:r>
        <w:rPr>
          <w:rFonts w:hint="eastAsia" w:ascii="宋体" w:hAnsi="宋体" w:cs="宋体"/>
          <w:b/>
          <w:color w:val="auto"/>
          <w:sz w:val="24"/>
          <w:szCs w:val="24"/>
          <w:highlight w:val="none"/>
        </w:rPr>
        <w:t>五、售后服务措施及服务质量要求：</w:t>
      </w:r>
      <w:bookmarkEnd w:id="199"/>
      <w:bookmarkEnd w:id="200"/>
      <w:bookmarkEnd w:id="201"/>
      <w:bookmarkEnd w:id="202"/>
      <w:bookmarkEnd w:id="203"/>
      <w:bookmarkEnd w:id="204"/>
      <w:bookmarkEnd w:id="205"/>
      <w:bookmarkEnd w:id="206"/>
    </w:p>
    <w:p w14:paraId="5C994220">
      <w:pPr>
        <w:pStyle w:val="18"/>
        <w:ind w:firstLine="540" w:firstLineChars="224"/>
        <w:rPr>
          <w:rFonts w:hint="eastAsia" w:hAnsi="宋体" w:cs="宋体"/>
          <w:b/>
          <w:bCs/>
          <w:color w:val="auto"/>
          <w:sz w:val="24"/>
          <w:szCs w:val="24"/>
          <w:highlight w:val="none"/>
        </w:rPr>
      </w:pPr>
      <w:r>
        <w:rPr>
          <w:rFonts w:hint="eastAsia" w:hAnsi="宋体" w:cs="宋体"/>
          <w:b/>
          <w:bCs/>
          <w:color w:val="auto"/>
          <w:sz w:val="24"/>
          <w:szCs w:val="24"/>
          <w:highlight w:val="none"/>
        </w:rPr>
        <w:t>1、售后服务措施</w:t>
      </w:r>
    </w:p>
    <w:p w14:paraId="46837182">
      <w:pPr>
        <w:pStyle w:val="18"/>
        <w:ind w:firstLine="537" w:firstLineChars="224"/>
        <w:rPr>
          <w:rFonts w:hint="eastAsia" w:hAnsi="宋体" w:cs="宋体"/>
          <w:color w:val="auto"/>
          <w:sz w:val="24"/>
          <w:szCs w:val="24"/>
          <w:highlight w:val="none"/>
        </w:rPr>
      </w:pPr>
      <w:r>
        <w:rPr>
          <w:rFonts w:hint="eastAsia" w:hAnsi="宋体" w:cs="宋体"/>
          <w:bCs/>
          <w:color w:val="auto"/>
          <w:sz w:val="24"/>
          <w:szCs w:val="24"/>
          <w:highlight w:val="none"/>
        </w:rPr>
        <w:t>（1）售后服务措施必须完善，其要求除按国家标准有关规定执行外，</w:t>
      </w:r>
      <w:r>
        <w:rPr>
          <w:rFonts w:hint="eastAsia" w:hAnsi="宋体" w:cs="宋体"/>
          <w:color w:val="auto"/>
          <w:sz w:val="24"/>
          <w:szCs w:val="24"/>
          <w:highlight w:val="none"/>
        </w:rPr>
        <w:t>乙方在昆明、大理、丽江、西双版纳傣族自治州、保山、迪庆、文山、德宏等州市应设立有保障能力和维修配件的专业维修及配件供应点。</w:t>
      </w:r>
    </w:p>
    <w:p w14:paraId="28D5D2CC">
      <w:pPr>
        <w:pStyle w:val="18"/>
        <w:ind w:firstLine="537" w:firstLineChars="224"/>
        <w:rPr>
          <w:rFonts w:hint="eastAsia" w:hAnsi="宋体" w:cs="宋体"/>
          <w:color w:val="auto"/>
          <w:sz w:val="24"/>
          <w:szCs w:val="24"/>
          <w:highlight w:val="none"/>
        </w:rPr>
      </w:pPr>
      <w:r>
        <w:rPr>
          <w:rFonts w:hint="eastAsia" w:hAnsi="宋体" w:cs="宋体"/>
          <w:bCs/>
          <w:color w:val="auto"/>
          <w:sz w:val="24"/>
          <w:szCs w:val="24"/>
          <w:highlight w:val="none"/>
        </w:rPr>
        <w:t>（2）</w:t>
      </w:r>
      <w:r>
        <w:rPr>
          <w:rFonts w:hint="eastAsia" w:hAnsi="宋体" w:cs="宋体"/>
          <w:color w:val="auto"/>
          <w:sz w:val="24"/>
          <w:szCs w:val="24"/>
          <w:highlight w:val="none"/>
        </w:rPr>
        <w:t>车辆交付后提供驻站服务、技术支持服务、零配件供应现场服务。</w:t>
      </w:r>
    </w:p>
    <w:p w14:paraId="3E1A6283">
      <w:pPr>
        <w:pStyle w:val="18"/>
        <w:ind w:firstLine="537" w:firstLineChars="224"/>
        <w:rPr>
          <w:rFonts w:hint="eastAsia" w:hAnsi="宋体" w:cs="宋体"/>
          <w:color w:val="auto"/>
          <w:sz w:val="24"/>
          <w:szCs w:val="24"/>
          <w:highlight w:val="none"/>
        </w:rPr>
      </w:pPr>
      <w:r>
        <w:rPr>
          <w:rFonts w:hint="eastAsia" w:hAnsi="宋体" w:cs="宋体"/>
          <w:bCs/>
          <w:color w:val="auto"/>
          <w:sz w:val="24"/>
          <w:szCs w:val="24"/>
          <w:highlight w:val="none"/>
        </w:rPr>
        <w:t>（3）</w:t>
      </w:r>
      <w:r>
        <w:rPr>
          <w:rFonts w:hint="eastAsia" w:hAnsi="宋体" w:cs="宋体"/>
          <w:color w:val="auto"/>
          <w:sz w:val="24"/>
          <w:szCs w:val="24"/>
          <w:highlight w:val="none"/>
        </w:rPr>
        <w:t>按国家相关标准、招标文件对车辆进行走合保养，费用由乙方承担。</w:t>
      </w:r>
    </w:p>
    <w:p w14:paraId="47FCFDB9">
      <w:pPr>
        <w:pStyle w:val="18"/>
        <w:ind w:firstLine="537" w:firstLineChars="224"/>
        <w:rPr>
          <w:rFonts w:hint="eastAsia" w:hAnsi="宋体" w:cs="宋体"/>
          <w:color w:val="auto"/>
          <w:sz w:val="24"/>
          <w:szCs w:val="24"/>
          <w:highlight w:val="none"/>
        </w:rPr>
      </w:pPr>
      <w:r>
        <w:rPr>
          <w:rFonts w:hint="eastAsia" w:hAnsi="宋体" w:cs="宋体"/>
          <w:bCs/>
          <w:color w:val="auto"/>
          <w:sz w:val="24"/>
          <w:szCs w:val="24"/>
          <w:highlight w:val="none"/>
        </w:rPr>
        <w:t>（4）无偿提供</w:t>
      </w:r>
      <w:r>
        <w:rPr>
          <w:rFonts w:hint="eastAsia" w:hAnsi="宋体" w:cs="宋体"/>
          <w:color w:val="auto"/>
          <w:sz w:val="24"/>
          <w:szCs w:val="24"/>
          <w:highlight w:val="none"/>
        </w:rPr>
        <w:t>配给易损零件目录及图册、使用说明书、工具及备胎等。</w:t>
      </w:r>
    </w:p>
    <w:p w14:paraId="0AB21341">
      <w:pPr>
        <w:pStyle w:val="18"/>
        <w:ind w:firstLine="537" w:firstLineChars="224"/>
        <w:rPr>
          <w:rFonts w:hint="eastAsia" w:hAnsi="宋体" w:cs="宋体"/>
          <w:bCs/>
          <w:color w:val="auto"/>
          <w:sz w:val="24"/>
          <w:szCs w:val="24"/>
          <w:highlight w:val="none"/>
        </w:rPr>
      </w:pPr>
      <w:r>
        <w:rPr>
          <w:rFonts w:hint="eastAsia" w:hAnsi="宋体" w:cs="宋体"/>
          <w:bCs/>
          <w:color w:val="auto"/>
          <w:sz w:val="24"/>
          <w:szCs w:val="24"/>
          <w:highlight w:val="none"/>
        </w:rPr>
        <w:t>（5）投标文件承诺的其他售后服务措施。</w:t>
      </w:r>
    </w:p>
    <w:p w14:paraId="16E47523">
      <w:pPr>
        <w:pStyle w:val="18"/>
        <w:ind w:firstLine="540" w:firstLineChars="224"/>
        <w:rPr>
          <w:rFonts w:hint="eastAsia" w:hAnsi="宋体" w:cs="宋体"/>
          <w:b/>
          <w:bCs/>
          <w:color w:val="auto"/>
          <w:sz w:val="24"/>
          <w:szCs w:val="24"/>
          <w:highlight w:val="none"/>
        </w:rPr>
      </w:pPr>
      <w:r>
        <w:rPr>
          <w:rFonts w:hint="eastAsia" w:hAnsi="宋体" w:cs="宋体"/>
          <w:b/>
          <w:bCs/>
          <w:color w:val="auto"/>
          <w:sz w:val="24"/>
          <w:szCs w:val="24"/>
          <w:highlight w:val="none"/>
        </w:rPr>
        <w:t>2、服务质量要求</w:t>
      </w:r>
    </w:p>
    <w:p w14:paraId="66981203">
      <w:pPr>
        <w:pStyle w:val="18"/>
        <w:ind w:firstLine="537" w:firstLineChars="224"/>
        <w:rPr>
          <w:rFonts w:hint="eastAsia" w:hAnsi="宋体" w:cs="宋体"/>
          <w:bCs/>
          <w:color w:val="auto"/>
          <w:sz w:val="24"/>
          <w:szCs w:val="24"/>
          <w:highlight w:val="none"/>
        </w:rPr>
      </w:pPr>
      <w:r>
        <w:rPr>
          <w:rFonts w:hint="eastAsia" w:hAnsi="宋体" w:cs="宋体"/>
          <w:bCs/>
          <w:color w:val="auto"/>
          <w:sz w:val="24"/>
          <w:szCs w:val="24"/>
          <w:highlight w:val="none"/>
        </w:rPr>
        <w:t>（1）车辆交付后应及时派专业人员对车辆进行调试并负责培训甲方操作人员；根据甲方要求制作相应车身标识，所涉及费用包含到固定单价中，不再另行支付。</w:t>
      </w:r>
    </w:p>
    <w:p w14:paraId="00D1E048">
      <w:pPr>
        <w:pStyle w:val="18"/>
        <w:ind w:firstLine="537" w:firstLineChars="224"/>
        <w:rPr>
          <w:rFonts w:hint="eastAsia" w:hAnsi="宋体" w:cs="宋体"/>
          <w:bCs/>
          <w:color w:val="auto"/>
          <w:sz w:val="24"/>
          <w:szCs w:val="24"/>
          <w:highlight w:val="none"/>
        </w:rPr>
      </w:pPr>
      <w:r>
        <w:rPr>
          <w:rFonts w:hint="eastAsia" w:hAnsi="宋体" w:cs="宋体"/>
          <w:bCs/>
          <w:color w:val="auto"/>
          <w:sz w:val="24"/>
          <w:szCs w:val="24"/>
          <w:highlight w:val="none"/>
        </w:rPr>
        <w:t>（2）提供全部必需的质量资料，包括质量认证、国家汽车强制性3C认证、产品说明书、原厂车辆产品合格证、检测报告等；提供包括中文操作手册、使用说明、维修保养手册、维修操作规程、保修期限的资料等详细资料；提供车辆主要部件配置性能参数的详细资料；按照所提供资料标准要求提供服务。</w:t>
      </w:r>
    </w:p>
    <w:p w14:paraId="2AF3CFF4">
      <w:pPr>
        <w:pStyle w:val="18"/>
        <w:ind w:firstLine="537" w:firstLineChars="224"/>
        <w:rPr>
          <w:rFonts w:hint="eastAsia" w:hAnsi="宋体" w:cs="宋体"/>
          <w:bCs/>
          <w:color w:val="auto"/>
          <w:sz w:val="24"/>
          <w:szCs w:val="24"/>
          <w:highlight w:val="none"/>
        </w:rPr>
      </w:pPr>
      <w:bookmarkStart w:id="207" w:name="_Toc338840280"/>
      <w:bookmarkStart w:id="208" w:name="_Toc338840216"/>
      <w:bookmarkStart w:id="209" w:name="_Toc338839887"/>
      <w:r>
        <w:rPr>
          <w:rFonts w:hint="eastAsia" w:hAnsi="宋体" w:cs="宋体"/>
          <w:bCs/>
          <w:color w:val="auto"/>
          <w:sz w:val="24"/>
          <w:szCs w:val="24"/>
          <w:highlight w:val="none"/>
        </w:rPr>
        <w:t>（3）</w:t>
      </w:r>
      <w:bookmarkEnd w:id="207"/>
      <w:bookmarkEnd w:id="208"/>
      <w:bookmarkEnd w:id="209"/>
      <w:r>
        <w:rPr>
          <w:rFonts w:hint="eastAsia" w:hAnsi="宋体" w:cs="宋体"/>
          <w:bCs/>
          <w:color w:val="auto"/>
          <w:sz w:val="24"/>
          <w:szCs w:val="24"/>
          <w:highlight w:val="none"/>
        </w:rPr>
        <w:t>比照《家用汽车产品修理、更换、退货责任规定》提供车辆三包服务，车辆整车质保</w:t>
      </w:r>
      <w:r>
        <w:rPr>
          <w:rFonts w:hint="eastAsia" w:hAnsi="宋体" w:cs="宋体"/>
          <w:color w:val="auto"/>
          <w:sz w:val="24"/>
          <w:szCs w:val="24"/>
          <w:highlight w:val="none"/>
        </w:rPr>
        <w:t>期</w:t>
      </w:r>
      <w:r>
        <w:rPr>
          <w:rFonts w:hint="eastAsia" w:hAnsi="宋体" w:cs="宋体"/>
          <w:bCs/>
          <w:color w:val="auto"/>
          <w:sz w:val="24"/>
          <w:szCs w:val="24"/>
          <w:highlight w:val="none"/>
        </w:rPr>
        <w:t>自车辆验收合格上牌投入运营之日起计算，有效期限不低于36个月。对主要及关键零部件质保期内的维修及售后服务按招标文件相关要求执行，招标文件未约定的，按国家、地方及行业相关强制性标准执行；对整车关键零部件必须提供终身技术服务支持。车辆在使用过程中出现故障后，乙方在云南省指定维修处人员应在24小时之内修复，乙方超过24小时未修复，所产生的费用由乙方承担，包括甲方委托第三人维修的费用。</w:t>
      </w:r>
    </w:p>
    <w:p w14:paraId="43AF64C7">
      <w:pPr>
        <w:pStyle w:val="18"/>
        <w:ind w:firstLine="537" w:firstLineChars="224"/>
        <w:rPr>
          <w:rFonts w:hint="eastAsia" w:hAnsi="宋体" w:cs="宋体"/>
          <w:bCs/>
          <w:color w:val="auto"/>
          <w:sz w:val="24"/>
          <w:szCs w:val="24"/>
          <w:highlight w:val="none"/>
        </w:rPr>
      </w:pPr>
      <w:r>
        <w:rPr>
          <w:rFonts w:hint="eastAsia" w:hAnsi="宋体" w:cs="宋体"/>
          <w:bCs/>
          <w:color w:val="auto"/>
          <w:sz w:val="24"/>
          <w:szCs w:val="24"/>
          <w:highlight w:val="none"/>
        </w:rPr>
        <w:t>（4）车身面漆采用进口普通漆，色泽光亮，车身涂层应符合QC/T484---1999《汽车油漆涂层》的规定，不允许漏涂、堆积裂纹、脱落现象。车身漆色、图案、车身文字等根据甲方要求文件（或甲方提供的效果图）及国家相关技术标准进行制作。</w:t>
      </w:r>
    </w:p>
    <w:p w14:paraId="6C6CD832">
      <w:pPr>
        <w:pStyle w:val="18"/>
        <w:ind w:firstLine="537" w:firstLineChars="224"/>
        <w:rPr>
          <w:rFonts w:hint="eastAsia" w:hAnsi="宋体" w:cs="宋体"/>
          <w:bCs/>
          <w:color w:val="auto"/>
          <w:sz w:val="24"/>
          <w:szCs w:val="24"/>
          <w:highlight w:val="none"/>
        </w:rPr>
      </w:pPr>
      <w:r>
        <w:rPr>
          <w:rFonts w:hint="eastAsia" w:hAnsi="宋体" w:cs="宋体"/>
          <w:bCs/>
          <w:color w:val="auto"/>
          <w:sz w:val="24"/>
          <w:szCs w:val="24"/>
          <w:highlight w:val="none"/>
        </w:rPr>
        <w:t>（5）车身外部服务用语及其它字样的具体要求根据需方提供方案进行。</w:t>
      </w:r>
    </w:p>
    <w:p w14:paraId="63D8E410">
      <w:pPr>
        <w:pStyle w:val="18"/>
        <w:ind w:firstLine="537" w:firstLineChars="224"/>
        <w:rPr>
          <w:rFonts w:hint="eastAsia" w:hAnsi="宋体" w:cs="宋体"/>
          <w:bCs/>
          <w:color w:val="auto"/>
          <w:sz w:val="24"/>
          <w:szCs w:val="24"/>
          <w:highlight w:val="none"/>
          <w:lang w:val="en-US" w:eastAsia="zh-CN"/>
        </w:rPr>
      </w:pPr>
      <w:r>
        <w:rPr>
          <w:rFonts w:hint="eastAsia" w:hAnsi="宋体" w:cs="宋体"/>
          <w:bCs/>
          <w:color w:val="auto"/>
          <w:sz w:val="24"/>
          <w:szCs w:val="24"/>
          <w:highlight w:val="none"/>
          <w:lang w:val="en-US" w:eastAsia="zh-CN"/>
        </w:rPr>
        <w:t>3、保修期：保修期按招投标文件执行，各配件的质保期参照国家、行业相关标准，并以双方商定的具体结果，以及配件供应商承诺的质保期为准。</w:t>
      </w:r>
    </w:p>
    <w:p w14:paraId="312105F8">
      <w:pPr>
        <w:pStyle w:val="18"/>
        <w:ind w:firstLine="537" w:firstLineChars="224"/>
        <w:rPr>
          <w:rFonts w:hint="eastAsia" w:hAnsi="宋体" w:cs="宋体"/>
          <w:bCs/>
          <w:color w:val="auto"/>
          <w:sz w:val="24"/>
          <w:szCs w:val="24"/>
          <w:highlight w:val="none"/>
          <w:lang w:val="en-US" w:eastAsia="zh-CN"/>
        </w:rPr>
      </w:pPr>
      <w:r>
        <w:rPr>
          <w:rFonts w:hint="eastAsia" w:hAnsi="宋体" w:cs="宋体"/>
          <w:bCs/>
          <w:color w:val="auto"/>
          <w:sz w:val="24"/>
          <w:szCs w:val="24"/>
          <w:highlight w:val="none"/>
          <w:lang w:val="en-US" w:eastAsia="zh-CN"/>
        </w:rPr>
        <w:t>质保金为合同总价的5%，采用银行质量保函或相同金额现金的方式履约。保函由乙方向银行申请(财务费用由整车厂支付受益人为昆明公交城市巴士有限责任公司，保函从车辆使用之日起，共计10年。</w:t>
      </w:r>
    </w:p>
    <w:p w14:paraId="59B4C13F">
      <w:pPr>
        <w:pStyle w:val="18"/>
        <w:ind w:firstLine="537" w:firstLineChars="224"/>
        <w:outlineLvl w:val="1"/>
        <w:rPr>
          <w:rFonts w:hint="eastAsia" w:ascii="宋体" w:hAnsi="宋体" w:cs="宋体"/>
          <w:b/>
          <w:color w:val="auto"/>
          <w:sz w:val="24"/>
          <w:szCs w:val="24"/>
          <w:highlight w:val="none"/>
        </w:rPr>
      </w:pPr>
      <w:r>
        <w:rPr>
          <w:rFonts w:hint="eastAsia" w:hAnsi="宋体" w:cs="宋体"/>
          <w:bCs/>
          <w:color w:val="auto"/>
          <w:sz w:val="24"/>
          <w:szCs w:val="24"/>
          <w:highlight w:val="none"/>
          <w:lang w:val="en-US" w:eastAsia="zh-CN"/>
        </w:rPr>
        <w:t xml:space="preserve"> </w:t>
      </w:r>
      <w:bookmarkStart w:id="210" w:name="_Toc21967"/>
      <w:bookmarkStart w:id="211" w:name="_Toc338840219"/>
      <w:bookmarkStart w:id="212" w:name="_Toc22262"/>
      <w:bookmarkStart w:id="213" w:name="_Toc338840283"/>
      <w:bookmarkStart w:id="214" w:name="_Toc2612"/>
      <w:bookmarkStart w:id="215" w:name="_Toc338839890"/>
      <w:bookmarkStart w:id="216" w:name="_Toc73970705"/>
      <w:bookmarkStart w:id="217" w:name="_Toc21611254"/>
      <w:r>
        <w:rPr>
          <w:rFonts w:hint="eastAsia" w:ascii="宋体" w:hAnsi="宋体" w:cs="宋体"/>
          <w:b/>
          <w:color w:val="auto"/>
          <w:sz w:val="24"/>
          <w:szCs w:val="24"/>
          <w:highlight w:val="none"/>
        </w:rPr>
        <w:t>六、合同价款结算</w:t>
      </w:r>
      <w:bookmarkEnd w:id="210"/>
      <w:bookmarkEnd w:id="211"/>
      <w:bookmarkEnd w:id="212"/>
      <w:bookmarkEnd w:id="213"/>
      <w:bookmarkEnd w:id="214"/>
      <w:bookmarkEnd w:id="215"/>
      <w:bookmarkEnd w:id="216"/>
      <w:bookmarkEnd w:id="217"/>
    </w:p>
    <w:p w14:paraId="63A2E27E">
      <w:pPr>
        <w:autoSpaceDE w:val="0"/>
        <w:autoSpaceDN w:val="0"/>
        <w:adjustRightInd w:val="0"/>
        <w:ind w:firstLine="482"/>
        <w:rPr>
          <w:rFonts w:hint="eastAsia" w:ascii="宋体" w:hAnsi="宋体" w:cs="宋体"/>
          <w:b/>
          <w:color w:val="auto"/>
          <w:sz w:val="24"/>
          <w:szCs w:val="24"/>
          <w:highlight w:val="none"/>
        </w:rPr>
      </w:pPr>
      <w:bookmarkStart w:id="218" w:name="_Toc338840220"/>
      <w:bookmarkStart w:id="219" w:name="_Toc338839891"/>
      <w:bookmarkStart w:id="220" w:name="_Toc338840284"/>
      <w:r>
        <w:rPr>
          <w:rFonts w:hint="eastAsia" w:ascii="宋体" w:hAnsi="宋体" w:cs="宋体"/>
          <w:b/>
          <w:color w:val="auto"/>
          <w:sz w:val="24"/>
          <w:szCs w:val="24"/>
          <w:highlight w:val="none"/>
        </w:rPr>
        <w:t>（一）费用支付和采购资金保证</w:t>
      </w:r>
      <w:bookmarkEnd w:id="218"/>
      <w:bookmarkEnd w:id="219"/>
      <w:bookmarkEnd w:id="220"/>
    </w:p>
    <w:p w14:paraId="230FDC09">
      <w:pPr>
        <w:autoSpaceDE w:val="0"/>
        <w:autoSpaceDN w:val="0"/>
        <w:adjustRightInd w:val="0"/>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合同签订后，甲方应保证采购资金已落实并按照合同约定的时间向乙方支付合同规定的款项。</w:t>
      </w:r>
    </w:p>
    <w:p w14:paraId="592B829E">
      <w:pPr>
        <w:autoSpaceDE w:val="0"/>
        <w:autoSpaceDN w:val="0"/>
        <w:adjustRightInd w:val="0"/>
        <w:ind w:firstLine="482"/>
        <w:rPr>
          <w:rFonts w:hint="eastAsia" w:ascii="宋体" w:hAnsi="宋体" w:cs="宋体"/>
          <w:b/>
          <w:color w:val="auto"/>
          <w:sz w:val="24"/>
          <w:szCs w:val="24"/>
          <w:highlight w:val="none"/>
        </w:rPr>
      </w:pPr>
      <w:bookmarkStart w:id="221" w:name="_Toc338840285"/>
      <w:bookmarkStart w:id="222" w:name="_Toc338840221"/>
      <w:bookmarkStart w:id="223" w:name="_Toc338839892"/>
      <w:r>
        <w:rPr>
          <w:rFonts w:hint="eastAsia" w:ascii="宋体" w:hAnsi="宋体" w:cs="宋体"/>
          <w:b/>
          <w:color w:val="auto"/>
          <w:sz w:val="24"/>
          <w:szCs w:val="24"/>
          <w:highlight w:val="none"/>
        </w:rPr>
        <w:t>（二）本合同价款的支付办法</w:t>
      </w:r>
      <w:bookmarkEnd w:id="221"/>
      <w:bookmarkEnd w:id="222"/>
      <w:bookmarkEnd w:id="223"/>
    </w:p>
    <w:p w14:paraId="0092DAC3">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1、根据招标文件及乙方的投标文件承诺，本合同按以下方式支付合同款：</w:t>
      </w:r>
    </w:p>
    <w:p w14:paraId="62E5C89C">
      <w:pPr>
        <w:pStyle w:val="43"/>
        <w:rPr>
          <w:rFonts w:hint="default"/>
          <w:u w:val="single"/>
        </w:rPr>
      </w:pP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none"/>
          <w:lang w:val="en-US" w:eastAsia="zh-CN"/>
        </w:rPr>
        <w:t xml:space="preserve">首付，按照分期年限每季度支付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none"/>
          <w:lang w:val="en-US" w:eastAsia="zh-CN"/>
        </w:rPr>
        <w:t xml:space="preserve"> 元。</w:t>
      </w:r>
      <w:r>
        <w:rPr>
          <w:rFonts w:hint="eastAsia" w:ascii="宋体" w:hAnsi="宋体" w:cs="宋体"/>
          <w:color w:val="auto"/>
          <w:sz w:val="24"/>
          <w:szCs w:val="24"/>
          <w:highlight w:val="none"/>
          <w:u w:val="single"/>
          <w:lang w:val="en-US" w:eastAsia="zh-CN"/>
        </w:rPr>
        <w:t xml:space="preserve">       </w:t>
      </w:r>
    </w:p>
    <w:p w14:paraId="58CE5BF9">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2、乙方收款账户如下：</w:t>
      </w:r>
    </w:p>
    <w:p w14:paraId="0468D3FF">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账户名称：</w:t>
      </w:r>
    </w:p>
    <w:p w14:paraId="337B59DC">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开户行：</w:t>
      </w:r>
    </w:p>
    <w:p w14:paraId="02EC52AF">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账号：</w:t>
      </w:r>
    </w:p>
    <w:p w14:paraId="51A4A684">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3、乙方收款前须提供符合要求的发票给甲方，否则甲方有权顺延付款期。乙方应当确保发票真实、合法、有效，如果发票出现任何问题，由乙方赔偿因此给甲方造成的全部损失。</w:t>
      </w:r>
    </w:p>
    <w:p w14:paraId="4FA34E13">
      <w:pPr>
        <w:ind w:firstLine="482"/>
        <w:outlineLvl w:val="1"/>
        <w:rPr>
          <w:rFonts w:hint="eastAsia" w:ascii="宋体" w:hAnsi="宋体" w:cs="宋体"/>
          <w:b/>
          <w:color w:val="auto"/>
          <w:sz w:val="24"/>
          <w:szCs w:val="24"/>
          <w:highlight w:val="none"/>
        </w:rPr>
      </w:pPr>
      <w:bookmarkStart w:id="224" w:name="_Toc338840222"/>
      <w:bookmarkStart w:id="225" w:name="_Toc20689"/>
      <w:bookmarkStart w:id="226" w:name="_Toc21611255"/>
      <w:bookmarkStart w:id="227" w:name="_Toc24807"/>
      <w:bookmarkStart w:id="228" w:name="_Toc338839893"/>
      <w:bookmarkStart w:id="229" w:name="_Toc4094"/>
      <w:bookmarkStart w:id="230" w:name="_Toc338840286"/>
      <w:bookmarkStart w:id="231" w:name="_Toc73970706"/>
      <w:r>
        <w:rPr>
          <w:rFonts w:hint="eastAsia" w:ascii="宋体" w:hAnsi="宋体" w:cs="宋体"/>
          <w:b/>
          <w:color w:val="auto"/>
          <w:sz w:val="24"/>
          <w:szCs w:val="24"/>
          <w:highlight w:val="none"/>
        </w:rPr>
        <w:t>七、违约责任</w:t>
      </w:r>
      <w:bookmarkEnd w:id="224"/>
      <w:bookmarkEnd w:id="225"/>
      <w:bookmarkEnd w:id="226"/>
      <w:bookmarkEnd w:id="227"/>
      <w:bookmarkEnd w:id="228"/>
      <w:bookmarkEnd w:id="229"/>
      <w:bookmarkEnd w:id="230"/>
      <w:bookmarkEnd w:id="231"/>
    </w:p>
    <w:p w14:paraId="0FE662A6">
      <w:pPr>
        <w:autoSpaceDE w:val="0"/>
        <w:autoSpaceDN w:val="0"/>
        <w:adjustRightInd w:val="0"/>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1、除发生不可抗力事实外，</w:t>
      </w:r>
      <w:commentRangeStart w:id="2"/>
      <w:r>
        <w:rPr>
          <w:rFonts w:hint="eastAsia" w:ascii="宋体" w:hAnsi="宋体" w:cs="宋体"/>
          <w:color w:val="auto"/>
          <w:sz w:val="24"/>
          <w:szCs w:val="24"/>
          <w:highlight w:val="none"/>
        </w:rPr>
        <w:t>逾期交货乙方向甲方每日按每辆车500元支付违约金。</w:t>
      </w:r>
      <w:commentRangeEnd w:id="2"/>
      <w:r>
        <w:commentReference w:id="2"/>
      </w:r>
      <w:r>
        <w:rPr>
          <w:rFonts w:hint="eastAsia" w:ascii="宋体" w:hAnsi="宋体" w:cs="宋体"/>
          <w:color w:val="auto"/>
          <w:sz w:val="24"/>
          <w:szCs w:val="24"/>
          <w:highlight w:val="none"/>
        </w:rPr>
        <w:t>逾期15天，甲方有权选择单方解除本合同。</w:t>
      </w:r>
    </w:p>
    <w:p w14:paraId="7B6FA939">
      <w:pPr>
        <w:autoSpaceDE w:val="0"/>
        <w:autoSpaceDN w:val="0"/>
        <w:adjustRightInd w:val="0"/>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2、发生合同约定的召回情形，乙方未按时处理的，应当按照本条第1款的约定支付逾期违约金，逾期 15日仍未召回或重新交付的车辆仍不符合合同约定的，甲方有权选择单方解除本合同或部分解除本合同。</w:t>
      </w:r>
    </w:p>
    <w:p w14:paraId="660ECCCF">
      <w:pPr>
        <w:autoSpaceDE w:val="0"/>
        <w:autoSpaceDN w:val="0"/>
        <w:adjustRightInd w:val="0"/>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乙方对其交付车辆的质量承担保证责任，乙方所交车辆与合同标准不相符合的，甲方有权拒收车辆，并由乙方承担由此产生的一切使甲方造成的经济损失及责任。因生产工艺、材料或设计缺陷等原因发生质量故障、安全事故的，无论产品的质保期是否经过，均由乙方承担责任，赔偿由此给甲方、第三人造成的全部损失。</w:t>
      </w:r>
    </w:p>
    <w:p w14:paraId="190F2B56">
      <w:pPr>
        <w:autoSpaceDE w:val="0"/>
        <w:autoSpaceDN w:val="0"/>
        <w:adjustRightInd w:val="0"/>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4、乙方应当保证有权销售本合同约定的车辆及配件，不会因此侵犯第三人的所有权、知识产权等一切权利也未设置任何负担。因乙方违反本款约定产生纠纷的，由乙方负责解决并赔偿由此给甲方造成的全部损失。</w:t>
      </w:r>
    </w:p>
    <w:p w14:paraId="6AFE4192">
      <w:pPr>
        <w:autoSpaceDE w:val="0"/>
        <w:autoSpaceDN w:val="0"/>
        <w:adjustRightInd w:val="0"/>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5、本合同签订及履行过程中，未经甲方书面同意，乙方不得将本合同的权利义务以任何方式转让给第三人，否则乙方应当支付合同价款15%的违约金，同时甲方有权选择单方解除本合同。</w:t>
      </w:r>
    </w:p>
    <w:p w14:paraId="58C7446A">
      <w:pPr>
        <w:autoSpaceDE w:val="0"/>
        <w:autoSpaceDN w:val="0"/>
        <w:adjustRightInd w:val="0"/>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6、本合同签订后，未经甲方书面同意，乙方单方面解除合同的，应向甲方支付本合同总价款 15%的违约金，退还甲方已支付的全部费用，并赔偿由此给甲方造成的全部损失。</w:t>
      </w:r>
    </w:p>
    <w:p w14:paraId="0B295ACA">
      <w:pPr>
        <w:autoSpaceDE w:val="0"/>
        <w:autoSpaceDN w:val="0"/>
        <w:adjustRightInd w:val="0"/>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7、乙方应当支付给甲方的违约金、赔偿金，甲方有权从未支付的购车款中扣除，违约金不足以赔偿给甲方造成损失的，甲方仍有权向乙方进行追偿。</w:t>
      </w:r>
    </w:p>
    <w:p w14:paraId="524047EF">
      <w:pPr>
        <w:autoSpaceDE w:val="0"/>
        <w:autoSpaceDN w:val="0"/>
        <w:adjustRightInd w:val="0"/>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8、按本合同约定甲方选择解除合同的，自甲方解除合同的书面通知送达乙方之日起合同解除，乙方应赔偿由此给甲方造成的全部损失。甲方不支付乙方任何费用，乙方对解除合同有异议的，可以向法院起诉。乙方应当在合同解除后3日内退还甲方支付的购车款，自费运回所交付的全部车辆和物品，付清违约金、赔偿金。</w:t>
      </w:r>
    </w:p>
    <w:p w14:paraId="2038213C">
      <w:pPr>
        <w:autoSpaceDE w:val="0"/>
        <w:autoSpaceDN w:val="0"/>
        <w:adjustRightInd w:val="0"/>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9、乙方违反本合同约定或法律规定的，应当赔偿给甲方造成的全部损失，包括但不限于直接损失、预期利益损失、甲方向第三人支付的违约金、赔偿金及甲方为索赔支出律师费、诉讼费、保全费、保全担保费、执行费等全部费用。</w:t>
      </w:r>
    </w:p>
    <w:p w14:paraId="2757B260">
      <w:pPr>
        <w:ind w:firstLine="482"/>
        <w:outlineLvl w:val="1"/>
        <w:rPr>
          <w:rFonts w:hint="eastAsia" w:ascii="宋体" w:hAnsi="宋体" w:cs="宋体"/>
          <w:b/>
          <w:color w:val="auto"/>
          <w:sz w:val="24"/>
          <w:szCs w:val="24"/>
          <w:highlight w:val="none"/>
        </w:rPr>
      </w:pPr>
      <w:bookmarkStart w:id="232" w:name="_Toc338839894"/>
      <w:bookmarkStart w:id="233" w:name="_Toc338840287"/>
      <w:bookmarkStart w:id="234" w:name="_Toc4060"/>
      <w:bookmarkStart w:id="235" w:name="_Toc73970707"/>
      <w:bookmarkStart w:id="236" w:name="_Toc21611256"/>
      <w:bookmarkStart w:id="237" w:name="_Toc7601"/>
      <w:bookmarkStart w:id="238" w:name="_Toc14987"/>
      <w:r>
        <w:rPr>
          <w:rFonts w:hint="eastAsia" w:ascii="宋体" w:hAnsi="宋体" w:cs="宋体"/>
          <w:b/>
          <w:color w:val="auto"/>
          <w:sz w:val="24"/>
          <w:szCs w:val="24"/>
          <w:highlight w:val="none"/>
        </w:rPr>
        <w:t>八、</w:t>
      </w:r>
      <w:bookmarkEnd w:id="232"/>
      <w:bookmarkEnd w:id="233"/>
      <w:bookmarkStart w:id="239" w:name="_Toc338839895"/>
      <w:bookmarkStart w:id="240" w:name="_Toc338840224"/>
      <w:bookmarkStart w:id="241" w:name="_Toc338840288"/>
      <w:r>
        <w:rPr>
          <w:rFonts w:hint="eastAsia" w:ascii="宋体" w:hAnsi="宋体" w:cs="宋体"/>
          <w:b/>
          <w:color w:val="auto"/>
          <w:sz w:val="24"/>
          <w:szCs w:val="24"/>
          <w:highlight w:val="none"/>
        </w:rPr>
        <w:t>特别约定</w:t>
      </w:r>
      <w:bookmarkEnd w:id="234"/>
      <w:bookmarkEnd w:id="235"/>
      <w:bookmarkEnd w:id="236"/>
      <w:bookmarkEnd w:id="237"/>
      <w:bookmarkEnd w:id="238"/>
    </w:p>
    <w:p w14:paraId="689241B6">
      <w:pPr>
        <w:autoSpaceDE w:val="0"/>
        <w:autoSpaceDN w:val="0"/>
        <w:adjustRightInd w:val="0"/>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1、乙方需在车辆交付验收合格后的【  】日内办理车辆在昆明的落户上牌及包车客运许可证，甲方予以协助。</w:t>
      </w:r>
    </w:p>
    <w:bookmarkEnd w:id="239"/>
    <w:bookmarkEnd w:id="240"/>
    <w:bookmarkEnd w:id="241"/>
    <w:p w14:paraId="0B00DB4C">
      <w:pPr>
        <w:ind w:firstLine="482"/>
        <w:outlineLvl w:val="1"/>
        <w:rPr>
          <w:rFonts w:hint="eastAsia" w:ascii="宋体" w:hAnsi="宋体" w:cs="宋体"/>
          <w:b/>
          <w:color w:val="auto"/>
          <w:sz w:val="24"/>
          <w:szCs w:val="24"/>
          <w:highlight w:val="none"/>
        </w:rPr>
      </w:pPr>
      <w:bookmarkStart w:id="242" w:name="_Toc19390"/>
      <w:bookmarkStart w:id="243" w:name="_Toc31654"/>
      <w:bookmarkStart w:id="244" w:name="_Toc338839899"/>
      <w:bookmarkStart w:id="245" w:name="_Toc338840292"/>
      <w:bookmarkStart w:id="246" w:name="_Toc2126"/>
      <w:bookmarkStart w:id="247" w:name="_Toc338840228"/>
      <w:bookmarkStart w:id="248" w:name="_Toc21611257"/>
      <w:bookmarkStart w:id="249" w:name="_Toc73970708"/>
      <w:bookmarkStart w:id="250" w:name="_Toc338840289"/>
      <w:bookmarkStart w:id="251" w:name="_Toc338839896"/>
      <w:bookmarkStart w:id="252" w:name="_Toc338840225"/>
      <w:r>
        <w:rPr>
          <w:rFonts w:hint="eastAsia" w:ascii="宋体" w:hAnsi="宋体" w:cs="宋体"/>
          <w:b/>
          <w:color w:val="auto"/>
          <w:sz w:val="24"/>
          <w:szCs w:val="24"/>
          <w:highlight w:val="none"/>
        </w:rPr>
        <w:t>九、本合同不可分割之部分及解释顺序</w:t>
      </w:r>
      <w:bookmarkEnd w:id="242"/>
      <w:bookmarkEnd w:id="243"/>
      <w:bookmarkEnd w:id="244"/>
      <w:bookmarkEnd w:id="245"/>
      <w:bookmarkEnd w:id="246"/>
      <w:bookmarkEnd w:id="247"/>
      <w:bookmarkEnd w:id="248"/>
      <w:bookmarkEnd w:id="249"/>
    </w:p>
    <w:p w14:paraId="1DD27DAD">
      <w:pPr>
        <w:autoSpaceDE w:val="0"/>
        <w:autoSpaceDN w:val="0"/>
        <w:adjustRightInd w:val="0"/>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 合同书及附件；</w:t>
      </w:r>
    </w:p>
    <w:p w14:paraId="51A1C886">
      <w:pPr>
        <w:autoSpaceDE w:val="0"/>
        <w:autoSpaceDN w:val="0"/>
        <w:adjustRightInd w:val="0"/>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 中标通知书；</w:t>
      </w:r>
    </w:p>
    <w:p w14:paraId="77879156">
      <w:pPr>
        <w:autoSpaceDE w:val="0"/>
        <w:autoSpaceDN w:val="0"/>
        <w:adjustRightInd w:val="0"/>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 招标文件；</w:t>
      </w:r>
    </w:p>
    <w:p w14:paraId="29333337">
      <w:pPr>
        <w:autoSpaceDE w:val="0"/>
        <w:autoSpaceDN w:val="0"/>
        <w:adjustRightInd w:val="0"/>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4. 乙方投标文件及澄清或谈判文件。</w:t>
      </w:r>
    </w:p>
    <w:p w14:paraId="250B4D8A">
      <w:pPr>
        <w:ind w:firstLine="482"/>
        <w:outlineLvl w:val="1"/>
        <w:rPr>
          <w:rFonts w:hint="eastAsia" w:ascii="宋体" w:hAnsi="宋体" w:cs="宋体"/>
          <w:b/>
          <w:color w:val="auto"/>
          <w:sz w:val="24"/>
          <w:szCs w:val="24"/>
          <w:highlight w:val="none"/>
        </w:rPr>
      </w:pPr>
      <w:bookmarkStart w:id="253" w:name="_Toc28927"/>
      <w:bookmarkStart w:id="254" w:name="_Toc22533"/>
      <w:bookmarkStart w:id="255" w:name="_Toc29676"/>
      <w:bookmarkStart w:id="256" w:name="_Toc73970709"/>
      <w:bookmarkStart w:id="257" w:name="_Toc21611258"/>
      <w:r>
        <w:rPr>
          <w:rFonts w:hint="eastAsia" w:ascii="宋体" w:hAnsi="宋体" w:cs="宋体"/>
          <w:b/>
          <w:color w:val="auto"/>
          <w:sz w:val="24"/>
          <w:szCs w:val="24"/>
          <w:highlight w:val="none"/>
        </w:rPr>
        <w:t>十、免责条款</w:t>
      </w:r>
      <w:bookmarkEnd w:id="253"/>
      <w:bookmarkEnd w:id="254"/>
      <w:bookmarkEnd w:id="255"/>
    </w:p>
    <w:p w14:paraId="25CB5146">
      <w:pPr>
        <w:autoSpaceDE w:val="0"/>
        <w:autoSpaceDN w:val="0"/>
        <w:adjustRightInd w:val="0"/>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当发生不可抗力，包括但不限于自然灾害、战争、动乱、罢工等；或出现法律法规、政府政策变化；或意外事件，导致本合同不能继续履行，遭受免责事件的一方应通知对方、采取相应措施避免损失的扩大，并在免责事项发生后向对方提供相关部门的书面证明文件，方可免除相应的违约责任。</w:t>
      </w:r>
    </w:p>
    <w:p w14:paraId="2C6005CB">
      <w:pPr>
        <w:autoSpaceDE w:val="0"/>
        <w:autoSpaceDN w:val="0"/>
        <w:adjustRightInd w:val="0"/>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2．当出现双方在订立合同时无法预见的、不属于商业风险的重大变化，双方不能协商变更合同导致合同解除的，双方互不承担违约责任。</w:t>
      </w:r>
    </w:p>
    <w:p w14:paraId="5E94B5F4">
      <w:pPr>
        <w:autoSpaceDE w:val="0"/>
        <w:autoSpaceDN w:val="0"/>
        <w:adjustRightInd w:val="0"/>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3．因治安管理案件或刑事犯罪案件，包括但不限于故意伤害、爆炸、偷盗、抢劫等导致人身伤害或财产损失的，由行为人承担责任。 </w:t>
      </w:r>
    </w:p>
    <w:p w14:paraId="4B27E652">
      <w:pPr>
        <w:ind w:firstLine="482"/>
        <w:outlineLvl w:val="1"/>
        <w:rPr>
          <w:rFonts w:hint="eastAsia" w:ascii="宋体" w:hAnsi="宋体" w:cs="宋体"/>
          <w:b/>
          <w:color w:val="auto"/>
          <w:sz w:val="24"/>
          <w:szCs w:val="24"/>
          <w:highlight w:val="none"/>
        </w:rPr>
      </w:pPr>
      <w:bookmarkStart w:id="258" w:name="_Toc4385"/>
      <w:bookmarkStart w:id="259" w:name="_Toc25818"/>
      <w:bookmarkStart w:id="260" w:name="_Toc13863"/>
      <w:r>
        <w:rPr>
          <w:rFonts w:hint="eastAsia" w:ascii="宋体" w:hAnsi="宋体" w:cs="宋体"/>
          <w:b/>
          <w:color w:val="auto"/>
          <w:sz w:val="24"/>
          <w:szCs w:val="24"/>
          <w:highlight w:val="none"/>
        </w:rPr>
        <w:t>十一、其他约定</w:t>
      </w:r>
      <w:bookmarkEnd w:id="256"/>
      <w:bookmarkEnd w:id="257"/>
      <w:bookmarkEnd w:id="258"/>
      <w:bookmarkEnd w:id="259"/>
      <w:bookmarkEnd w:id="260"/>
    </w:p>
    <w:p w14:paraId="646E9E8D">
      <w:pPr>
        <w:autoSpaceDE w:val="0"/>
        <w:autoSpaceDN w:val="0"/>
        <w:adjustRightInd w:val="0"/>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1、本合同其他未尽事宜，双方协商签订书面补充协议。</w:t>
      </w:r>
      <w:bookmarkEnd w:id="250"/>
      <w:bookmarkEnd w:id="251"/>
      <w:bookmarkEnd w:id="252"/>
    </w:p>
    <w:p w14:paraId="54296E6A">
      <w:pPr>
        <w:autoSpaceDE w:val="0"/>
        <w:autoSpaceDN w:val="0"/>
        <w:adjustRightInd w:val="0"/>
        <w:ind w:firstLine="480"/>
        <w:rPr>
          <w:rFonts w:hint="eastAsia" w:ascii="宋体" w:hAnsi="宋体" w:cs="宋体"/>
          <w:color w:val="auto"/>
          <w:sz w:val="24"/>
          <w:szCs w:val="24"/>
          <w:highlight w:val="none"/>
        </w:rPr>
      </w:pPr>
      <w:bookmarkStart w:id="261" w:name="_Toc338840290"/>
      <w:bookmarkStart w:id="262" w:name="_Toc338840226"/>
      <w:bookmarkStart w:id="263" w:name="_Toc338839897"/>
      <w:r>
        <w:rPr>
          <w:rFonts w:hint="eastAsia" w:ascii="宋体" w:hAnsi="宋体" w:cs="宋体"/>
          <w:color w:val="auto"/>
          <w:sz w:val="24"/>
          <w:szCs w:val="24"/>
          <w:highlight w:val="none"/>
        </w:rPr>
        <w:t>2、本合同一式  份，甲方  份，乙方   份。</w:t>
      </w:r>
      <w:bookmarkEnd w:id="261"/>
      <w:bookmarkEnd w:id="262"/>
      <w:bookmarkEnd w:id="263"/>
      <w:bookmarkStart w:id="264" w:name="_Toc338840291"/>
      <w:bookmarkStart w:id="265" w:name="_Toc338839898"/>
      <w:bookmarkStart w:id="266" w:name="_Toc338840227"/>
      <w:r>
        <w:rPr>
          <w:rFonts w:hint="eastAsia" w:ascii="宋体" w:hAnsi="宋体" w:cs="宋体"/>
          <w:color w:val="auto"/>
          <w:sz w:val="24"/>
          <w:szCs w:val="24"/>
          <w:highlight w:val="none"/>
        </w:rPr>
        <w:t>自甲乙双方法定代表人或委托代理人签字并加盖公司公章（合同专用章）之日起生效。</w:t>
      </w:r>
      <w:bookmarkEnd w:id="264"/>
      <w:bookmarkEnd w:id="265"/>
      <w:bookmarkEnd w:id="266"/>
    </w:p>
    <w:p w14:paraId="51211499">
      <w:pPr>
        <w:autoSpaceDE w:val="0"/>
        <w:autoSpaceDN w:val="0"/>
        <w:adjustRightInd w:val="0"/>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3、甲乙双方在履行合同过程中发生纠纷，应友好</w:t>
      </w:r>
      <w:r>
        <w:rPr>
          <w:rFonts w:hint="eastAsia" w:ascii="宋体" w:hAnsi="宋体" w:cs="宋体"/>
          <w:color w:val="auto"/>
          <w:sz w:val="24"/>
          <w:szCs w:val="24"/>
          <w:highlight w:val="none"/>
          <w:lang w:eastAsia="zh-CN"/>
        </w:rPr>
        <w:t>协</w:t>
      </w:r>
      <w:r>
        <w:rPr>
          <w:rFonts w:hint="eastAsia" w:ascii="宋体" w:hAnsi="宋体" w:cs="宋体"/>
          <w:color w:val="auto"/>
          <w:sz w:val="24"/>
          <w:szCs w:val="24"/>
          <w:highlight w:val="none"/>
        </w:rPr>
        <w:t>商解决，无法协商的，双方同意将争议提交甲方所在地有管辖权的人民法院诉讼解决。</w:t>
      </w:r>
    </w:p>
    <w:p w14:paraId="6C8A2C53">
      <w:pPr>
        <w:autoSpaceDE w:val="0"/>
        <w:autoSpaceDN w:val="0"/>
        <w:adjustRightInd w:val="0"/>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4、合同履行过程中，对于往来通知应以书面形式，包括但不限于电子邮件、短信、微信、传真等形式送达对方。甲乙双方以下列地址作为接收双方往来通知的送达地址，当通知到达下列任一地址时，即视为已经送达。如一方变更下列地址的，应当在变更当日以书面形式通知对方，否则对方按本合同上述约定发出的通知及函件，一经发出并符合上述约定条件即视为送达。甲乙双方发生争议引发诉讼或仲裁的，以下地址同时作为法院或仲裁机构司法文书的送达地址。</w:t>
      </w:r>
    </w:p>
    <w:p w14:paraId="077461F6">
      <w:pPr>
        <w:autoSpaceDE w:val="0"/>
        <w:autoSpaceDN w:val="0"/>
        <w:adjustRightInd w:val="0"/>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甲方邮寄地址： </w:t>
      </w:r>
    </w:p>
    <w:p w14:paraId="61D5CA7E">
      <w:pPr>
        <w:autoSpaceDE w:val="0"/>
        <w:autoSpaceDN w:val="0"/>
        <w:adjustRightInd w:val="0"/>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联系人：             联系电话：          微信：</w:t>
      </w:r>
    </w:p>
    <w:p w14:paraId="722DE863">
      <w:pPr>
        <w:autoSpaceDE w:val="0"/>
        <w:autoSpaceDN w:val="0"/>
        <w:adjustRightInd w:val="0"/>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QQ：                 邮箱：  </w:t>
      </w:r>
    </w:p>
    <w:p w14:paraId="60C90FFB">
      <w:pPr>
        <w:autoSpaceDE w:val="0"/>
        <w:autoSpaceDN w:val="0"/>
        <w:adjustRightInd w:val="0"/>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乙方邮寄地址： </w:t>
      </w:r>
    </w:p>
    <w:p w14:paraId="4D5E7E50">
      <w:pPr>
        <w:autoSpaceDE w:val="0"/>
        <w:autoSpaceDN w:val="0"/>
        <w:adjustRightInd w:val="0"/>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联系人：             联系电话：          微信：</w:t>
      </w:r>
    </w:p>
    <w:p w14:paraId="57F527D2">
      <w:pPr>
        <w:autoSpaceDE w:val="0"/>
        <w:autoSpaceDN w:val="0"/>
        <w:adjustRightInd w:val="0"/>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QQ：                 邮箱：    </w:t>
      </w:r>
    </w:p>
    <w:p w14:paraId="6E898106">
      <w:pPr>
        <w:ind w:firstLine="482"/>
        <w:outlineLvl w:val="1"/>
        <w:rPr>
          <w:rFonts w:hint="eastAsia" w:ascii="宋体" w:hAnsi="宋体" w:cs="宋体"/>
          <w:b/>
          <w:color w:val="auto"/>
          <w:sz w:val="24"/>
          <w:szCs w:val="24"/>
          <w:highlight w:val="none"/>
        </w:rPr>
      </w:pPr>
      <w:bookmarkStart w:id="267" w:name="_Toc338840229"/>
      <w:bookmarkStart w:id="268" w:name="_Toc338839900"/>
      <w:bookmarkStart w:id="269" w:name="_Toc21611259"/>
      <w:bookmarkStart w:id="270" w:name="_Toc73970710"/>
      <w:bookmarkStart w:id="271" w:name="_Toc18825"/>
      <w:bookmarkStart w:id="272" w:name="_Toc5397"/>
      <w:bookmarkStart w:id="273" w:name="_Toc12808"/>
      <w:bookmarkStart w:id="274" w:name="_Toc338840293"/>
      <w:r>
        <w:rPr>
          <w:rFonts w:hint="eastAsia" w:ascii="宋体" w:hAnsi="宋体" w:cs="宋体"/>
          <w:b/>
          <w:color w:val="auto"/>
          <w:sz w:val="24"/>
          <w:szCs w:val="24"/>
          <w:highlight w:val="none"/>
        </w:rPr>
        <w:t>十二、附件</w:t>
      </w:r>
      <w:bookmarkEnd w:id="267"/>
      <w:bookmarkEnd w:id="268"/>
      <w:bookmarkEnd w:id="269"/>
      <w:bookmarkEnd w:id="270"/>
      <w:bookmarkEnd w:id="271"/>
      <w:bookmarkEnd w:id="272"/>
      <w:bookmarkEnd w:id="273"/>
      <w:bookmarkEnd w:id="274"/>
    </w:p>
    <w:p w14:paraId="0E3F54A6">
      <w:pPr>
        <w:autoSpaceDE w:val="0"/>
        <w:autoSpaceDN w:val="0"/>
        <w:adjustRightInd w:val="0"/>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1.合同车辆技术要求及规范标准和详细配置明细表</w:t>
      </w:r>
    </w:p>
    <w:p w14:paraId="129CAE06">
      <w:pPr>
        <w:autoSpaceDE w:val="0"/>
        <w:autoSpaceDN w:val="0"/>
        <w:adjustRightInd w:val="0"/>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2.合同车辆售后服务细则</w:t>
      </w:r>
    </w:p>
    <w:p w14:paraId="41D02072">
      <w:pPr>
        <w:autoSpaceDE w:val="0"/>
        <w:autoSpaceDN w:val="0"/>
        <w:adjustRightInd w:val="0"/>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3.合同车辆使用详细培训方案或计划</w:t>
      </w:r>
    </w:p>
    <w:p w14:paraId="63A56159">
      <w:pPr>
        <w:autoSpaceDE w:val="0"/>
        <w:autoSpaceDN w:val="0"/>
        <w:adjustRightInd w:val="0"/>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4.合同车辆在昆明、大理、丽江、西双版纳傣族自治州、保山、迪庆、文山、德宏等州市的维修服务中心、特约维修服务站等售后服务网点的名单、联系地址、联系电话</w:t>
      </w:r>
    </w:p>
    <w:p w14:paraId="56C3D0D2">
      <w:pPr>
        <w:autoSpaceDE w:val="0"/>
        <w:autoSpaceDN w:val="0"/>
        <w:adjustRightInd w:val="0"/>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5.车辆技术资料清单</w:t>
      </w:r>
    </w:p>
    <w:p w14:paraId="6AE7A261">
      <w:pPr>
        <w:autoSpaceDE w:val="0"/>
        <w:autoSpaceDN w:val="0"/>
        <w:adjustRightInd w:val="0"/>
        <w:ind w:firstLine="480"/>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6.其他：</w:t>
      </w:r>
      <w:r>
        <w:rPr>
          <w:rFonts w:hint="eastAsia" w:ascii="宋体" w:hAnsi="宋体" w:cs="宋体"/>
          <w:color w:val="auto"/>
          <w:sz w:val="24"/>
          <w:szCs w:val="24"/>
          <w:highlight w:val="none"/>
          <w:u w:val="single"/>
        </w:rPr>
        <w:t xml:space="preserve">                            </w:t>
      </w:r>
    </w:p>
    <w:p w14:paraId="2820CFEE">
      <w:pPr>
        <w:autoSpaceDE w:val="0"/>
        <w:autoSpaceDN w:val="0"/>
        <w:adjustRightInd w:val="0"/>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（以下无正文）</w:t>
      </w:r>
    </w:p>
    <w:p w14:paraId="7BDD8147">
      <w:pPr>
        <w:autoSpaceDE w:val="0"/>
        <w:autoSpaceDN w:val="0"/>
        <w:adjustRightInd w:val="0"/>
        <w:ind w:firstLine="480"/>
        <w:rPr>
          <w:rFonts w:hint="eastAsia" w:ascii="宋体" w:hAnsi="宋体" w:cs="宋体"/>
          <w:color w:val="auto"/>
          <w:sz w:val="24"/>
          <w:szCs w:val="24"/>
          <w:highlight w:val="none"/>
        </w:rPr>
      </w:pPr>
    </w:p>
    <w:p w14:paraId="3CF88CA8">
      <w:pPr>
        <w:autoSpaceDE w:val="0"/>
        <w:autoSpaceDN w:val="0"/>
        <w:adjustRightInd w:val="0"/>
        <w:ind w:firstLine="48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甲方</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                           乙方：</w:t>
      </w:r>
    </w:p>
    <w:p w14:paraId="053A9843">
      <w:pPr>
        <w:autoSpaceDE w:val="0"/>
        <w:autoSpaceDN w:val="0"/>
        <w:adjustRightInd w:val="0"/>
        <w:ind w:firstLine="48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法定代表人：（签字或盖章）                      法定代表人：（签字或盖章）</w:t>
      </w:r>
    </w:p>
    <w:p w14:paraId="1DC2F972">
      <w:pPr>
        <w:autoSpaceDE w:val="0"/>
        <w:autoSpaceDN w:val="0"/>
        <w:adjustRightInd w:val="0"/>
        <w:ind w:firstLine="48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委托代理人：（签字或盖章）                     委托代理人：（签字或盖章）</w:t>
      </w:r>
    </w:p>
    <w:p w14:paraId="4E6F5A91">
      <w:pPr>
        <w:autoSpaceDE w:val="0"/>
        <w:autoSpaceDN w:val="0"/>
        <w:adjustRightInd w:val="0"/>
        <w:ind w:firstLine="48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项目（技术）负责人：（签字或盖章）              项目（技术）负责人：（签字或盖章）              </w:t>
      </w:r>
    </w:p>
    <w:p w14:paraId="361003B3">
      <w:pPr>
        <w:autoSpaceDE w:val="0"/>
        <w:autoSpaceDN w:val="0"/>
        <w:adjustRightInd w:val="0"/>
        <w:ind w:firstLine="48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合同签订日期：</w:t>
      </w:r>
    </w:p>
    <w:p w14:paraId="543062FF">
      <w:pPr>
        <w:autoSpaceDE w:val="0"/>
        <w:autoSpaceDN w:val="0"/>
        <w:adjustRightInd w:val="0"/>
        <w:ind w:firstLine="48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合同签订地点：     </w:t>
      </w:r>
    </w:p>
    <w:p w14:paraId="1DCD2BBA">
      <w:pPr>
        <w:autoSpaceDE w:val="0"/>
        <w:autoSpaceDN w:val="0"/>
        <w:adjustRightInd w:val="0"/>
        <w:rPr>
          <w:rFonts w:hint="eastAsia" w:ascii="宋体" w:hAnsi="宋体" w:cs="宋体"/>
          <w:color w:val="auto"/>
          <w:szCs w:val="21"/>
          <w:highlight w:val="none"/>
          <w:lang w:val="zh-CN"/>
        </w:rPr>
      </w:pPr>
    </w:p>
    <w:sectPr>
      <w:headerReference r:id="rId15" w:type="default"/>
      <w:footerReference r:id="rId16" w:type="default"/>
      <w:pgSz w:w="11906" w:h="16838"/>
      <w:pgMar w:top="1440" w:right="1800" w:bottom="1440" w:left="1800" w:header="851" w:footer="454" w:gutter="0"/>
      <w:cols w:space="708" w:num="1"/>
      <w:docGrid w:linePitch="31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杨谨辰" w:date="2026-04-13T16:19:40Z" w:initials="">
    <w:p w14:paraId="35F054ED">
      <w:pPr>
        <w:pStyle w:val="15"/>
        <w:rPr>
          <w:rFonts w:hint="default" w:eastAsia="宋体"/>
          <w:lang w:val="en-US" w:eastAsia="zh-CN"/>
        </w:rPr>
      </w:pPr>
      <w:r>
        <w:rPr>
          <w:rFonts w:hint="eastAsia"/>
          <w:lang w:val="en-US" w:eastAsia="zh-CN"/>
        </w:rPr>
        <w:t>请贵公司注意，招标文件的获取和截止之间时间应当大于等于5日。</w:t>
      </w:r>
    </w:p>
  </w:comment>
  <w:comment w:id="1" w:author="杨谨辰" w:date="2026-04-13T15:18:30Z" w:initials="">
    <w:p w14:paraId="1D969C22">
      <w:pPr>
        <w:pStyle w:val="15"/>
        <w:rPr>
          <w:rFonts w:hint="default" w:eastAsia="宋体"/>
          <w:lang w:val="en-US" w:eastAsia="zh-CN"/>
        </w:rPr>
      </w:pPr>
      <w:r>
        <w:rPr>
          <w:rFonts w:hint="eastAsia"/>
          <w:lang w:val="en-US" w:eastAsia="zh-CN"/>
        </w:rPr>
        <w:t>请贵公司注意，该条可能会违反《昆明市属企业招标和采购合规系列管理指南》第十八条关于“市场占有率”的规定，建议删除。</w:t>
      </w:r>
    </w:p>
  </w:comment>
  <w:comment w:id="2" w:author="杨谨辰" w:date="2026-04-13T15:25:24Z" w:initials="">
    <w:p w14:paraId="68B193DF">
      <w:pPr>
        <w:pStyle w:val="15"/>
        <w:rPr>
          <w:rFonts w:hint="default" w:eastAsia="宋体"/>
          <w:lang w:val="en-US" w:eastAsia="zh-CN"/>
        </w:rPr>
      </w:pPr>
      <w:r>
        <w:rPr>
          <w:rFonts w:hint="eastAsia"/>
          <w:lang w:val="en-US" w:eastAsia="zh-CN"/>
        </w:rPr>
        <w:t>请贵公司再次考虑该违约金额度能否弥补违约的损失，能否更好约束乙方。</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35F054ED" w15:done="0"/>
  <w15:commentEx w15:paraId="1D969C22" w15:done="0"/>
  <w15:commentEx w15:paraId="68B193DF"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金山简黑体">
    <w:altName w:val="黑体"/>
    <w:panose1 w:val="00000000000000000000"/>
    <w:charset w:val="00"/>
    <w:family w:val="auto"/>
    <w:pitch w:val="default"/>
    <w:sig w:usb0="00000000" w:usb1="00000000" w:usb2="00000000" w:usb3="00000000" w:csb0="00040001" w:csb1="00000000"/>
  </w:font>
  <w:font w:name="汉仪中黑KW">
    <w:altName w:val="黑体"/>
    <w:panose1 w:val="00020600040101010101"/>
    <w:charset w:val="86"/>
    <w:family w:val="auto"/>
    <w:pitch w:val="default"/>
    <w:sig w:usb0="00000000" w:usb1="00000000" w:usb2="00000016" w:usb3="00000000" w:csb0="00040000"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方正仿宋_GBK">
    <w:altName w:val="微软雅黑"/>
    <w:panose1 w:val="02000000000000000000"/>
    <w:charset w:val="86"/>
    <w:family w:val="auto"/>
    <w:pitch w:val="default"/>
    <w:sig w:usb0="00000000" w:usb1="00000000" w:usb2="00082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汉仪楷体简">
    <w:altName w:val="宋体"/>
    <w:panose1 w:val="02010600000101010101"/>
    <w:charset w:val="86"/>
    <w:family w:val="auto"/>
    <w:pitch w:val="default"/>
    <w:sig w:usb0="00000000" w:usb1="00000000" w:usb2="00000002" w:usb3="00000000" w:csb0="00040000" w:csb1="00000000"/>
  </w:font>
  <w:font w:name="Բ">
    <w:altName w:val="Noto Serif SC"/>
    <w:panose1 w:val="00000000000000000000"/>
    <w:charset w:val="00"/>
    <w:family w:val="roman"/>
    <w:pitch w:val="default"/>
    <w:sig w:usb0="00000000" w:usb1="00000000" w:usb2="00000000" w:usb3="00000000" w:csb0="00040001" w:csb1="00000000"/>
  </w:font>
  <w:font w:name="苹方-简">
    <w:altName w:val="宋体"/>
    <w:panose1 w:val="020B0400000000000000"/>
    <w:charset w:val="86"/>
    <w:family w:val="auto"/>
    <w:pitch w:val="default"/>
    <w:sig w:usb0="00000000" w:usb1="00000000" w:usb2="00000017" w:usb3="00000000" w:csb0="00040001" w:csb1="00000000"/>
  </w:font>
  <w:font w:name="PMingLiU">
    <w:altName w:val="Microsoft JhengHei UI"/>
    <w:panose1 w:val="02010601000101010101"/>
    <w:charset w:val="88"/>
    <w:family w:val="roman"/>
    <w:pitch w:val="default"/>
    <w:sig w:usb0="00000000" w:usb1="00000000" w:usb2="00000016" w:usb3="00000000" w:csb0="00100001" w:csb1="00000000"/>
  </w:font>
  <w:font w:name="宋体-繁">
    <w:altName w:val="宋体"/>
    <w:panose1 w:val="02010600040101010101"/>
    <w:charset w:val="86"/>
    <w:family w:val="auto"/>
    <w:pitch w:val="default"/>
    <w:sig w:usb0="00000000" w:usb1="00000000" w:usb2="00000000" w:usb3="00000000" w:csb0="0004009F" w:csb1="DFD70000"/>
  </w:font>
  <w:font w:name="等线">
    <w:panose1 w:val="02010600030101010101"/>
    <w:charset w:val="86"/>
    <w:family w:val="auto"/>
    <w:pitch w:val="default"/>
    <w:sig w:usb0="A00002BF" w:usb1="38CF7CFA" w:usb2="00000016" w:usb3="00000000" w:csb0="0004000F" w:csb1="00000000"/>
  </w:font>
  <w:font w:name="Tahoma">
    <w:panose1 w:val="020B0604030504040204"/>
    <w:charset w:val="00"/>
    <w:family w:val="swiss"/>
    <w:pitch w:val="default"/>
    <w:sig w:usb0="E1002EFF" w:usb1="C000605B" w:usb2="00000029" w:usb3="00000000" w:csb0="200101FF" w:csb1="20280000"/>
  </w:font>
  <w:font w:name="Arial Narrow">
    <w:panose1 w:val="020B0606020202030204"/>
    <w:charset w:val="00"/>
    <w:family w:val="swiss"/>
    <w:pitch w:val="default"/>
    <w:sig w:usb0="00000287" w:usb1="00000800" w:usb2="00000000" w:usb3="00000000" w:csb0="2000009F" w:csb1="DFD70000"/>
  </w:font>
  <w:font w:name="Verdana">
    <w:panose1 w:val="020B0604030504040204"/>
    <w:charset w:val="00"/>
    <w:family w:val="swiss"/>
    <w:pitch w:val="default"/>
    <w:sig w:usb0="A00006FF" w:usb1="4000205B" w:usb2="00000010" w:usb3="00000000" w:csb0="2000019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Microsoft JhengHei UI">
    <w:panose1 w:val="020B0604030504040204"/>
    <w:charset w:val="88"/>
    <w:family w:val="auto"/>
    <w:pitch w:val="default"/>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409BA9">
    <w:pPr>
      <w:pStyle w:val="23"/>
      <w:ind w:firstLine="360"/>
      <w:jc w:val="center"/>
    </w:pPr>
    <w:r>
      <w:fldChar w:fldCharType="begin"/>
    </w:r>
    <w:r>
      <w:instrText xml:space="preserve">PAGE   \* MERGEFORMAT</w:instrText>
    </w:r>
    <w:r>
      <w:fldChar w:fldCharType="separate"/>
    </w:r>
    <w:r>
      <w:rPr>
        <w:lang w:val="zh-CN"/>
      </w:rPr>
      <w:t>30</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62441A">
    <w:pPr>
      <w:pStyle w:val="23"/>
      <w:ind w:firstLine="360"/>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67361F5">
                          <w:pPr>
                            <w:pStyle w:val="23"/>
                            <w:ind w:firstLine="360"/>
                            <w:jc w:val="center"/>
                          </w:pPr>
                          <w:r>
                            <w:fldChar w:fldCharType="begin"/>
                          </w:r>
                          <w:r>
                            <w:instrText xml:space="preserve">PAGE   \* MERGEFORMAT</w:instrText>
                          </w:r>
                          <w:r>
                            <w:fldChar w:fldCharType="separate"/>
                          </w:r>
                          <w:r>
                            <w:rPr>
                              <w:lang w:val="zh-CN"/>
                            </w:rPr>
                            <w:t>30</w:t>
                          </w:r>
                          <w:r>
                            <w:fldChar w:fldCharType="end"/>
                          </w:r>
                        </w:p>
                      </w:txbxContent>
                    </wps:txbx>
                    <wps:bodyPr wrap="none" lIns="0" tIns="0" rIns="0" bIns="0" upright="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7/ry9yQEAAJkDAAAOAAAAAAAAAAEAIAAAAB4BAABkcnMvZTJvRG9j&#10;LnhtbFBLBQYAAAAABgAGAFkBAABZBQAAAAA=&#10;">
              <v:fill on="f" focussize="0,0"/>
              <v:stroke on="f"/>
              <v:imagedata o:title=""/>
              <o:lock v:ext="edit" aspectratio="f"/>
              <v:textbox inset="0mm,0mm,0mm,0mm" style="mso-fit-shape-to-text:t;">
                <w:txbxContent>
                  <w:p w14:paraId="367361F5">
                    <w:pPr>
                      <w:pStyle w:val="23"/>
                      <w:ind w:firstLine="360"/>
                      <w:jc w:val="center"/>
                    </w:pPr>
                    <w:r>
                      <w:fldChar w:fldCharType="begin"/>
                    </w:r>
                    <w:r>
                      <w:instrText xml:space="preserve">PAGE   \* MERGEFORMAT</w:instrText>
                    </w:r>
                    <w:r>
                      <w:fldChar w:fldCharType="separate"/>
                    </w:r>
                    <w:r>
                      <w:rPr>
                        <w:lang w:val="zh-CN"/>
                      </w:rPr>
                      <w:t>30</w:t>
                    </w:r>
                    <w:r>
                      <w:fldChar w:fldCharType="end"/>
                    </w:r>
                  </w:p>
                </w:txbxContent>
              </v:textbox>
            </v:shape>
          </w:pict>
        </mc:Fallback>
      </mc:AlternateContent>
    </w:r>
  </w:p>
  <w:p w14:paraId="52BD7E81">
    <w:pPr>
      <w:pStyle w:val="23"/>
      <w:ind w:firstLine="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2B02BD">
    <w:pPr>
      <w:pStyle w:val="23"/>
      <w:ind w:right="360" w:firstLine="360"/>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5BCBDDA">
                          <w:pPr>
                            <w:pStyle w:val="23"/>
                            <w:ind w:firstLine="360"/>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v2vVWyQEAAJkDAAAOAAAAAAAAAAEAIAAAAB4BAABkcnMvZTJvRG9j&#10;LnhtbFBLBQYAAAAABgAGAFkBAABZBQAAAAA=&#10;">
              <v:fill on="f" focussize="0,0"/>
              <v:stroke on="f"/>
              <v:imagedata o:title=""/>
              <o:lock v:ext="edit" aspectratio="f"/>
              <v:textbox inset="0mm,0mm,0mm,0mm" style="mso-fit-shape-to-text:t;">
                <w:txbxContent>
                  <w:p w14:paraId="05BCBDDA">
                    <w:pPr>
                      <w:pStyle w:val="23"/>
                      <w:ind w:firstLine="36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D1B6C3">
    <w:pPr>
      <w:pStyle w:val="23"/>
      <w:ind w:firstLine="360"/>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7BE9780">
                          <w:pPr>
                            <w:pStyle w:val="23"/>
                            <w:ind w:firstLine="360"/>
                            <w:jc w:val="center"/>
                          </w:pPr>
                          <w:r>
                            <w:fldChar w:fldCharType="begin"/>
                          </w:r>
                          <w:r>
                            <w:instrText xml:space="preserve">PAGE   \* MERGEFORMAT</w:instrText>
                          </w:r>
                          <w:r>
                            <w:fldChar w:fldCharType="separate"/>
                          </w:r>
                          <w:r>
                            <w:rPr>
                              <w:lang w:val="zh-CN"/>
                            </w:rPr>
                            <w:t>30</w:t>
                          </w:r>
                          <w:r>
                            <w:fldChar w:fldCharType="end"/>
                          </w:r>
                        </w:p>
                      </w:txbxContent>
                    </wps:txbx>
                    <wps:bodyPr wrap="none" lIns="0" tIns="0" rIns="0" bIns="0" upright="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fJ5+/yQEAAJkDAAAOAAAAAAAAAAEAIAAAAB4BAABkcnMvZTJvRG9j&#10;LnhtbFBLBQYAAAAABgAGAFkBAABZBQAAAAA=&#10;">
              <v:fill on="f" focussize="0,0"/>
              <v:stroke on="f"/>
              <v:imagedata o:title=""/>
              <o:lock v:ext="edit" aspectratio="f"/>
              <v:textbox inset="0mm,0mm,0mm,0mm" style="mso-fit-shape-to-text:t;">
                <w:txbxContent>
                  <w:p w14:paraId="57BE9780">
                    <w:pPr>
                      <w:pStyle w:val="23"/>
                      <w:ind w:firstLine="360"/>
                      <w:jc w:val="center"/>
                    </w:pPr>
                    <w:r>
                      <w:fldChar w:fldCharType="begin"/>
                    </w:r>
                    <w:r>
                      <w:instrText xml:space="preserve">PAGE   \* MERGEFORMAT</w:instrText>
                    </w:r>
                    <w:r>
                      <w:fldChar w:fldCharType="separate"/>
                    </w:r>
                    <w:r>
                      <w:rPr>
                        <w:lang w:val="zh-CN"/>
                      </w:rPr>
                      <w:t>30</w:t>
                    </w:r>
                    <w:r>
                      <w:fldChar w:fldCharType="end"/>
                    </w:r>
                  </w:p>
                </w:txbxContent>
              </v:textbox>
            </v:shape>
          </w:pict>
        </mc:Fallback>
      </mc:AlternateContent>
    </w:r>
  </w:p>
  <w:p w14:paraId="4D545F45">
    <w:pPr>
      <w:pStyle w:val="23"/>
      <w:ind w:firstLine="360"/>
      <w:jc w:val="righ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F54126">
    <w:pPr>
      <w:pStyle w:val="23"/>
      <w:ind w:right="360" w:firstLine="360"/>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5D990DC">
                          <w:pPr>
                            <w:pStyle w:val="23"/>
                            <w:ind w:firstLine="360"/>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LmAuKyQEAAJkDAAAOAAAAAAAAAAEAIAAAAB4BAABkcnMvZTJvRG9j&#10;LnhtbFBLBQYAAAAABgAGAFkBAABZBQAAAAA=&#10;">
              <v:fill on="f" focussize="0,0"/>
              <v:stroke on="f"/>
              <v:imagedata o:title=""/>
              <o:lock v:ext="edit" aspectratio="f"/>
              <v:textbox inset="0mm,0mm,0mm,0mm" style="mso-fit-shape-to-text:t;">
                <w:txbxContent>
                  <w:p w14:paraId="65D990DC">
                    <w:pPr>
                      <w:pStyle w:val="23"/>
                      <w:ind w:firstLine="36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246A9C">
    <w:pPr>
      <w:pStyle w:val="23"/>
      <w:ind w:firstLine="360"/>
      <w:jc w:val="center"/>
    </w:pPr>
    <w:r>
      <w:fldChar w:fldCharType="begin"/>
    </w:r>
    <w:r>
      <w:instrText xml:space="preserve">PAGE   \* MERGEFORMAT</w:instrText>
    </w:r>
    <w:r>
      <w:fldChar w:fldCharType="separate"/>
    </w:r>
    <w:r>
      <w:rPr>
        <w:lang w:val="zh-CN"/>
      </w:rPr>
      <w:t>30</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20"/>
      </w:pPr>
      <w:r>
        <w:separator/>
      </w:r>
    </w:p>
  </w:footnote>
  <w:footnote w:type="continuationSeparator" w:id="1">
    <w:p>
      <w:pPr>
        <w:spacing w:line="36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91C7D5">
    <w:pPr>
      <w:ind w:firstLine="0" w:firstLineChars="0"/>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8602A4">
    <w:pPr>
      <w:ind w:firstLine="102" w:firstLineChars="49"/>
      <w:jc w:val="lef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54D49C">
    <w:pPr>
      <w:ind w:firstLine="88" w:firstLineChars="49"/>
      <w:jc w:val="left"/>
      <w:rPr>
        <w:sz w:val="18"/>
        <w:u w:val="single"/>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264345">
    <w:pPr>
      <w:ind w:firstLine="0" w:firstLineChars="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FB8BEDD"/>
    <w:multiLevelType w:val="singleLevel"/>
    <w:tmpl w:val="DFB8BEDD"/>
    <w:lvl w:ilvl="0" w:tentative="0">
      <w:start w:val="1"/>
      <w:numFmt w:val="decimal"/>
      <w:suff w:val="nothing"/>
      <w:lvlText w:val="%1、"/>
      <w:lvlJc w:val="left"/>
    </w:lvl>
  </w:abstractNum>
  <w:abstractNum w:abstractNumId="1">
    <w:nsid w:val="097907D7"/>
    <w:multiLevelType w:val="multilevel"/>
    <w:tmpl w:val="097907D7"/>
    <w:lvl w:ilvl="0" w:tentative="0">
      <w:start w:val="1"/>
      <w:numFmt w:val="decimal"/>
      <w:lvlText w:val="(%1)"/>
      <w:lvlJc w:val="left"/>
      <w:pPr>
        <w:tabs>
          <w:tab w:val="left" w:pos="840"/>
        </w:tabs>
        <w:ind w:left="840" w:hanging="420"/>
      </w:pPr>
      <w:rPr>
        <w:rFonts w:hint="eastAsia"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2">
    <w:nsid w:val="4C4F473A"/>
    <w:multiLevelType w:val="multilevel"/>
    <w:tmpl w:val="4C4F473A"/>
    <w:lvl w:ilvl="0" w:tentative="0">
      <w:start w:val="1"/>
      <w:numFmt w:val="japaneseCounting"/>
      <w:lvlText w:val="第%1章"/>
      <w:lvlJc w:val="left"/>
      <w:pPr>
        <w:ind w:left="1515" w:hanging="1515"/>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52C40263"/>
    <w:multiLevelType w:val="singleLevel"/>
    <w:tmpl w:val="52C40263"/>
    <w:lvl w:ilvl="0" w:tentative="0">
      <w:start w:val="1"/>
      <w:numFmt w:val="chineseCounting"/>
      <w:suff w:val="nothing"/>
      <w:lvlText w:val="%1、"/>
      <w:lvlJc w:val="left"/>
      <w:pPr>
        <w:ind w:left="-420" w:firstLine="420"/>
      </w:pPr>
      <w:rPr>
        <w:rFonts w:hint="eastAsia"/>
      </w:rPr>
    </w:lvl>
  </w:abstractNum>
  <w:abstractNum w:abstractNumId="4">
    <w:nsid w:val="60F337DE"/>
    <w:multiLevelType w:val="singleLevel"/>
    <w:tmpl w:val="60F337DE"/>
    <w:lvl w:ilvl="0" w:tentative="0">
      <w:start w:val="2"/>
      <w:numFmt w:val="decimal"/>
      <w:suff w:val="nothing"/>
      <w:lvlText w:val="（%1）"/>
      <w:lvlJc w:val="left"/>
    </w:lvl>
  </w:abstractNum>
  <w:abstractNum w:abstractNumId="5">
    <w:nsid w:val="7F6D5D42"/>
    <w:multiLevelType w:val="multilevel"/>
    <w:tmpl w:val="7F6D5D42"/>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num w:numId="1">
    <w:abstractNumId w:val="2"/>
  </w:num>
  <w:num w:numId="2">
    <w:abstractNumId w:val="5"/>
  </w:num>
  <w:num w:numId="3">
    <w:abstractNumId w:val="1"/>
  </w:num>
  <w:num w:numId="4">
    <w:abstractNumId w:val="3"/>
  </w:num>
  <w:num w:numId="5">
    <w:abstractNumId w:val="0"/>
  </w:num>
  <w:num w:numId="6">
    <w:abstractNumId w:val="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杨谨辰">
    <w15:presenceInfo w15:providerId="WPS Office" w15:userId="81513423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1"/>
  <w:bordersDoNotSurroundHeader w:val="0"/>
  <w:bordersDoNotSurroundFooter w:val="0"/>
  <w:revisionView w:markup="0"/>
  <w:trackRevisions w:val="1"/>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noLineBreaksAfter w:lang="zh-CN" w:val="([{·‘“〈《「『【〔〖（．［｛￡￥"/>
  <w:noLineBreaksBefore w:lang="zh-CN" w:val="!),.:;?]}¨·ˇˉ―‖’”…∶、。〃々〉》」』】〕〗！＂＇），．：；？］｀｜｝～￠"/>
  <w:hdrShapeDefaults>
    <o:shapelayout v:ext="edit">
      <o:idmap v:ext="edit" data="3,4"/>
    </o:shapelayout>
  </w:hdrShapeDefaults>
  <w:footnotePr>
    <w:footnote w:id="0"/>
    <w:footnote w:id="1"/>
  </w:footnotePr>
  <w:endnotePr>
    <w:endnote w:id="0"/>
    <w:endnote w:id="1"/>
  </w:endnotePr>
  <w:compat>
    <w:spaceForUL/>
    <w:balanceSingleByteDoubleByteWidth/>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IyMmEwZGFkMTYyYTdjNmJiZGFmMzk2YmJhYjE3MGQifQ=="/>
  </w:docVars>
  <w:rsids>
    <w:rsidRoot w:val="00172A27"/>
    <w:rsid w:val="00000051"/>
    <w:rsid w:val="0000011A"/>
    <w:rsid w:val="00000474"/>
    <w:rsid w:val="00000487"/>
    <w:rsid w:val="0000077B"/>
    <w:rsid w:val="000011F8"/>
    <w:rsid w:val="00001BE3"/>
    <w:rsid w:val="00002101"/>
    <w:rsid w:val="0000237F"/>
    <w:rsid w:val="00002F94"/>
    <w:rsid w:val="000049D0"/>
    <w:rsid w:val="00004A0C"/>
    <w:rsid w:val="00004F38"/>
    <w:rsid w:val="0000554F"/>
    <w:rsid w:val="00005943"/>
    <w:rsid w:val="00005A8F"/>
    <w:rsid w:val="00006749"/>
    <w:rsid w:val="00006E0E"/>
    <w:rsid w:val="00007580"/>
    <w:rsid w:val="00007A4F"/>
    <w:rsid w:val="000101DC"/>
    <w:rsid w:val="00010673"/>
    <w:rsid w:val="000109C3"/>
    <w:rsid w:val="00010B3C"/>
    <w:rsid w:val="00010C18"/>
    <w:rsid w:val="00010EE2"/>
    <w:rsid w:val="00010F41"/>
    <w:rsid w:val="0001111D"/>
    <w:rsid w:val="00011153"/>
    <w:rsid w:val="00011BE8"/>
    <w:rsid w:val="0001321D"/>
    <w:rsid w:val="00013259"/>
    <w:rsid w:val="00013898"/>
    <w:rsid w:val="00013B99"/>
    <w:rsid w:val="00013D00"/>
    <w:rsid w:val="000147E8"/>
    <w:rsid w:val="00014928"/>
    <w:rsid w:val="0001511C"/>
    <w:rsid w:val="000152EE"/>
    <w:rsid w:val="000153B8"/>
    <w:rsid w:val="000157F9"/>
    <w:rsid w:val="00016834"/>
    <w:rsid w:val="00017558"/>
    <w:rsid w:val="000176B2"/>
    <w:rsid w:val="00017C8F"/>
    <w:rsid w:val="00017E7F"/>
    <w:rsid w:val="0002016D"/>
    <w:rsid w:val="0002047C"/>
    <w:rsid w:val="000206BF"/>
    <w:rsid w:val="000209F2"/>
    <w:rsid w:val="00020D09"/>
    <w:rsid w:val="00020EF2"/>
    <w:rsid w:val="0002151A"/>
    <w:rsid w:val="00021A1F"/>
    <w:rsid w:val="000227D9"/>
    <w:rsid w:val="00022927"/>
    <w:rsid w:val="00022987"/>
    <w:rsid w:val="00023010"/>
    <w:rsid w:val="000240F3"/>
    <w:rsid w:val="000243C4"/>
    <w:rsid w:val="0002456E"/>
    <w:rsid w:val="00024F65"/>
    <w:rsid w:val="0002537C"/>
    <w:rsid w:val="00025AFB"/>
    <w:rsid w:val="00025B3D"/>
    <w:rsid w:val="000262BF"/>
    <w:rsid w:val="0002667B"/>
    <w:rsid w:val="000268E8"/>
    <w:rsid w:val="00026F3E"/>
    <w:rsid w:val="00026F83"/>
    <w:rsid w:val="00027416"/>
    <w:rsid w:val="000276A7"/>
    <w:rsid w:val="00027717"/>
    <w:rsid w:val="00030B17"/>
    <w:rsid w:val="00030CCA"/>
    <w:rsid w:val="00030DF2"/>
    <w:rsid w:val="0003143D"/>
    <w:rsid w:val="00031CAF"/>
    <w:rsid w:val="00032089"/>
    <w:rsid w:val="00032ADC"/>
    <w:rsid w:val="00033A25"/>
    <w:rsid w:val="00033AC7"/>
    <w:rsid w:val="00034160"/>
    <w:rsid w:val="000341A4"/>
    <w:rsid w:val="000341D9"/>
    <w:rsid w:val="000344AD"/>
    <w:rsid w:val="00034CBB"/>
    <w:rsid w:val="00035565"/>
    <w:rsid w:val="000358F7"/>
    <w:rsid w:val="000361FD"/>
    <w:rsid w:val="00036243"/>
    <w:rsid w:val="00037252"/>
    <w:rsid w:val="00037939"/>
    <w:rsid w:val="00037BAA"/>
    <w:rsid w:val="00040325"/>
    <w:rsid w:val="000403C3"/>
    <w:rsid w:val="00040718"/>
    <w:rsid w:val="000407C1"/>
    <w:rsid w:val="0004096D"/>
    <w:rsid w:val="00041193"/>
    <w:rsid w:val="0004180C"/>
    <w:rsid w:val="000418F5"/>
    <w:rsid w:val="00041A04"/>
    <w:rsid w:val="00041D87"/>
    <w:rsid w:val="00042707"/>
    <w:rsid w:val="00042AFA"/>
    <w:rsid w:val="00042FC4"/>
    <w:rsid w:val="00043274"/>
    <w:rsid w:val="00043AC1"/>
    <w:rsid w:val="00044D5D"/>
    <w:rsid w:val="00044E80"/>
    <w:rsid w:val="00044F16"/>
    <w:rsid w:val="0004544B"/>
    <w:rsid w:val="00045450"/>
    <w:rsid w:val="000455A4"/>
    <w:rsid w:val="000455DD"/>
    <w:rsid w:val="00045691"/>
    <w:rsid w:val="00045C19"/>
    <w:rsid w:val="00045E93"/>
    <w:rsid w:val="00045FF0"/>
    <w:rsid w:val="00046687"/>
    <w:rsid w:val="000468CD"/>
    <w:rsid w:val="000471BA"/>
    <w:rsid w:val="0004770E"/>
    <w:rsid w:val="00047CB8"/>
    <w:rsid w:val="000500F0"/>
    <w:rsid w:val="00050EC1"/>
    <w:rsid w:val="00051246"/>
    <w:rsid w:val="00051BD8"/>
    <w:rsid w:val="000520B3"/>
    <w:rsid w:val="0005269E"/>
    <w:rsid w:val="000538F9"/>
    <w:rsid w:val="00053CE8"/>
    <w:rsid w:val="00054529"/>
    <w:rsid w:val="00054675"/>
    <w:rsid w:val="00055003"/>
    <w:rsid w:val="000557D5"/>
    <w:rsid w:val="00056731"/>
    <w:rsid w:val="00056E28"/>
    <w:rsid w:val="00060344"/>
    <w:rsid w:val="000610E9"/>
    <w:rsid w:val="0006132C"/>
    <w:rsid w:val="000625C6"/>
    <w:rsid w:val="00063527"/>
    <w:rsid w:val="00063591"/>
    <w:rsid w:val="00063F5C"/>
    <w:rsid w:val="000644E9"/>
    <w:rsid w:val="000651D7"/>
    <w:rsid w:val="00065260"/>
    <w:rsid w:val="00065653"/>
    <w:rsid w:val="000657CE"/>
    <w:rsid w:val="00065901"/>
    <w:rsid w:val="000668CB"/>
    <w:rsid w:val="00066E77"/>
    <w:rsid w:val="00066F94"/>
    <w:rsid w:val="000671A0"/>
    <w:rsid w:val="0006781D"/>
    <w:rsid w:val="0007034F"/>
    <w:rsid w:val="00070389"/>
    <w:rsid w:val="00070E86"/>
    <w:rsid w:val="000716C7"/>
    <w:rsid w:val="000723EA"/>
    <w:rsid w:val="00072E45"/>
    <w:rsid w:val="0007335E"/>
    <w:rsid w:val="00073835"/>
    <w:rsid w:val="00074321"/>
    <w:rsid w:val="000747C1"/>
    <w:rsid w:val="00074826"/>
    <w:rsid w:val="00074A7C"/>
    <w:rsid w:val="00074F7A"/>
    <w:rsid w:val="000752DD"/>
    <w:rsid w:val="000759EC"/>
    <w:rsid w:val="0007656C"/>
    <w:rsid w:val="00076690"/>
    <w:rsid w:val="00076F6A"/>
    <w:rsid w:val="00077072"/>
    <w:rsid w:val="00077925"/>
    <w:rsid w:val="00077FF6"/>
    <w:rsid w:val="0008095E"/>
    <w:rsid w:val="000809C8"/>
    <w:rsid w:val="000814CA"/>
    <w:rsid w:val="00081F9C"/>
    <w:rsid w:val="000820F4"/>
    <w:rsid w:val="00082AB3"/>
    <w:rsid w:val="00082B73"/>
    <w:rsid w:val="00082DF1"/>
    <w:rsid w:val="00083FE9"/>
    <w:rsid w:val="00084177"/>
    <w:rsid w:val="000846D3"/>
    <w:rsid w:val="00084AF1"/>
    <w:rsid w:val="00085660"/>
    <w:rsid w:val="00085CED"/>
    <w:rsid w:val="00086C6A"/>
    <w:rsid w:val="00086FC6"/>
    <w:rsid w:val="00086FE1"/>
    <w:rsid w:val="000879FC"/>
    <w:rsid w:val="00087DA6"/>
    <w:rsid w:val="00090D47"/>
    <w:rsid w:val="00090FD7"/>
    <w:rsid w:val="0009203C"/>
    <w:rsid w:val="000923D3"/>
    <w:rsid w:val="000924D3"/>
    <w:rsid w:val="000925E6"/>
    <w:rsid w:val="00092DC7"/>
    <w:rsid w:val="00092F74"/>
    <w:rsid w:val="0009594A"/>
    <w:rsid w:val="000959DC"/>
    <w:rsid w:val="00095C45"/>
    <w:rsid w:val="00095F9F"/>
    <w:rsid w:val="000962AF"/>
    <w:rsid w:val="0009642C"/>
    <w:rsid w:val="00096F75"/>
    <w:rsid w:val="00097769"/>
    <w:rsid w:val="000978CB"/>
    <w:rsid w:val="000A08D2"/>
    <w:rsid w:val="000A0A24"/>
    <w:rsid w:val="000A13CE"/>
    <w:rsid w:val="000A1897"/>
    <w:rsid w:val="000A1B82"/>
    <w:rsid w:val="000A2830"/>
    <w:rsid w:val="000A2F5C"/>
    <w:rsid w:val="000A3D01"/>
    <w:rsid w:val="000A3E81"/>
    <w:rsid w:val="000A462E"/>
    <w:rsid w:val="000A497A"/>
    <w:rsid w:val="000A4DB8"/>
    <w:rsid w:val="000A4FC0"/>
    <w:rsid w:val="000A51CA"/>
    <w:rsid w:val="000A5365"/>
    <w:rsid w:val="000A5644"/>
    <w:rsid w:val="000A581D"/>
    <w:rsid w:val="000A62DB"/>
    <w:rsid w:val="000A67C0"/>
    <w:rsid w:val="000A6E03"/>
    <w:rsid w:val="000A713D"/>
    <w:rsid w:val="000A71DF"/>
    <w:rsid w:val="000A72A3"/>
    <w:rsid w:val="000A7670"/>
    <w:rsid w:val="000B011D"/>
    <w:rsid w:val="000B0136"/>
    <w:rsid w:val="000B0516"/>
    <w:rsid w:val="000B0705"/>
    <w:rsid w:val="000B07FC"/>
    <w:rsid w:val="000B0BFF"/>
    <w:rsid w:val="000B12CD"/>
    <w:rsid w:val="000B13EC"/>
    <w:rsid w:val="000B1C2E"/>
    <w:rsid w:val="000B1CCD"/>
    <w:rsid w:val="000B1EF9"/>
    <w:rsid w:val="000B215C"/>
    <w:rsid w:val="000B278C"/>
    <w:rsid w:val="000B2AFB"/>
    <w:rsid w:val="000B2B87"/>
    <w:rsid w:val="000B2C70"/>
    <w:rsid w:val="000B2CEC"/>
    <w:rsid w:val="000B34DA"/>
    <w:rsid w:val="000B38AB"/>
    <w:rsid w:val="000B38FE"/>
    <w:rsid w:val="000B3921"/>
    <w:rsid w:val="000B3EC2"/>
    <w:rsid w:val="000B40EE"/>
    <w:rsid w:val="000B4473"/>
    <w:rsid w:val="000B47F2"/>
    <w:rsid w:val="000B50B8"/>
    <w:rsid w:val="000B51AE"/>
    <w:rsid w:val="000B5DCC"/>
    <w:rsid w:val="000B6718"/>
    <w:rsid w:val="000B69DD"/>
    <w:rsid w:val="000B6B75"/>
    <w:rsid w:val="000B7946"/>
    <w:rsid w:val="000C01D2"/>
    <w:rsid w:val="000C0235"/>
    <w:rsid w:val="000C02AC"/>
    <w:rsid w:val="000C04F9"/>
    <w:rsid w:val="000C1369"/>
    <w:rsid w:val="000C15F9"/>
    <w:rsid w:val="000C19DC"/>
    <w:rsid w:val="000C1A9A"/>
    <w:rsid w:val="000C24E8"/>
    <w:rsid w:val="000C25E2"/>
    <w:rsid w:val="000C2BD9"/>
    <w:rsid w:val="000C3207"/>
    <w:rsid w:val="000C3583"/>
    <w:rsid w:val="000C3792"/>
    <w:rsid w:val="000C411E"/>
    <w:rsid w:val="000C438A"/>
    <w:rsid w:val="000C4553"/>
    <w:rsid w:val="000C509D"/>
    <w:rsid w:val="000C5376"/>
    <w:rsid w:val="000C5415"/>
    <w:rsid w:val="000C54AA"/>
    <w:rsid w:val="000C58C2"/>
    <w:rsid w:val="000C5C68"/>
    <w:rsid w:val="000C5E4F"/>
    <w:rsid w:val="000C5FE8"/>
    <w:rsid w:val="000C6017"/>
    <w:rsid w:val="000C614E"/>
    <w:rsid w:val="000C63C0"/>
    <w:rsid w:val="000C65F9"/>
    <w:rsid w:val="000C6D8E"/>
    <w:rsid w:val="000C704E"/>
    <w:rsid w:val="000C7A88"/>
    <w:rsid w:val="000D01D1"/>
    <w:rsid w:val="000D0263"/>
    <w:rsid w:val="000D03FA"/>
    <w:rsid w:val="000D04F3"/>
    <w:rsid w:val="000D1101"/>
    <w:rsid w:val="000D15C8"/>
    <w:rsid w:val="000D1638"/>
    <w:rsid w:val="000D16C1"/>
    <w:rsid w:val="000D1B94"/>
    <w:rsid w:val="000D1F32"/>
    <w:rsid w:val="000D235A"/>
    <w:rsid w:val="000D28AC"/>
    <w:rsid w:val="000D29ED"/>
    <w:rsid w:val="000D2D7F"/>
    <w:rsid w:val="000D2F01"/>
    <w:rsid w:val="000D3331"/>
    <w:rsid w:val="000D33A8"/>
    <w:rsid w:val="000D3462"/>
    <w:rsid w:val="000D34A4"/>
    <w:rsid w:val="000D3C84"/>
    <w:rsid w:val="000D445E"/>
    <w:rsid w:val="000D4478"/>
    <w:rsid w:val="000D471C"/>
    <w:rsid w:val="000D4907"/>
    <w:rsid w:val="000D4919"/>
    <w:rsid w:val="000D4965"/>
    <w:rsid w:val="000D4B2C"/>
    <w:rsid w:val="000D4D12"/>
    <w:rsid w:val="000D4E02"/>
    <w:rsid w:val="000D500D"/>
    <w:rsid w:val="000D5FCD"/>
    <w:rsid w:val="000D7952"/>
    <w:rsid w:val="000D7ED8"/>
    <w:rsid w:val="000E01E0"/>
    <w:rsid w:val="000E088B"/>
    <w:rsid w:val="000E093F"/>
    <w:rsid w:val="000E0A27"/>
    <w:rsid w:val="000E1184"/>
    <w:rsid w:val="000E13ED"/>
    <w:rsid w:val="000E176C"/>
    <w:rsid w:val="000E1990"/>
    <w:rsid w:val="000E20E9"/>
    <w:rsid w:val="000E25BE"/>
    <w:rsid w:val="000E2EA6"/>
    <w:rsid w:val="000E2F76"/>
    <w:rsid w:val="000E30C2"/>
    <w:rsid w:val="000E370A"/>
    <w:rsid w:val="000E3863"/>
    <w:rsid w:val="000E4032"/>
    <w:rsid w:val="000E40E6"/>
    <w:rsid w:val="000E4388"/>
    <w:rsid w:val="000E43CE"/>
    <w:rsid w:val="000E54AD"/>
    <w:rsid w:val="000E60C0"/>
    <w:rsid w:val="000E669F"/>
    <w:rsid w:val="000E6AAD"/>
    <w:rsid w:val="000E7C17"/>
    <w:rsid w:val="000E7D81"/>
    <w:rsid w:val="000F018C"/>
    <w:rsid w:val="000F0658"/>
    <w:rsid w:val="000F1A5C"/>
    <w:rsid w:val="000F24A8"/>
    <w:rsid w:val="000F27B5"/>
    <w:rsid w:val="000F2B20"/>
    <w:rsid w:val="000F2D2E"/>
    <w:rsid w:val="000F3402"/>
    <w:rsid w:val="000F3D61"/>
    <w:rsid w:val="000F4902"/>
    <w:rsid w:val="000F58CE"/>
    <w:rsid w:val="000F599D"/>
    <w:rsid w:val="000F5C36"/>
    <w:rsid w:val="000F6489"/>
    <w:rsid w:val="000F6B10"/>
    <w:rsid w:val="000F6C27"/>
    <w:rsid w:val="000F6C91"/>
    <w:rsid w:val="000F6D7F"/>
    <w:rsid w:val="000F74A4"/>
    <w:rsid w:val="001003B9"/>
    <w:rsid w:val="001017BF"/>
    <w:rsid w:val="00101B07"/>
    <w:rsid w:val="00101D8D"/>
    <w:rsid w:val="00102030"/>
    <w:rsid w:val="0010267E"/>
    <w:rsid w:val="00102DE5"/>
    <w:rsid w:val="00103D0E"/>
    <w:rsid w:val="00103DAE"/>
    <w:rsid w:val="00103E66"/>
    <w:rsid w:val="00104712"/>
    <w:rsid w:val="00104971"/>
    <w:rsid w:val="001049A0"/>
    <w:rsid w:val="00104D62"/>
    <w:rsid w:val="0010569C"/>
    <w:rsid w:val="00105C47"/>
    <w:rsid w:val="00106473"/>
    <w:rsid w:val="0010666E"/>
    <w:rsid w:val="00106855"/>
    <w:rsid w:val="00106BA2"/>
    <w:rsid w:val="001070C9"/>
    <w:rsid w:val="00107ABD"/>
    <w:rsid w:val="00107F0C"/>
    <w:rsid w:val="00111049"/>
    <w:rsid w:val="001114D9"/>
    <w:rsid w:val="001118DB"/>
    <w:rsid w:val="00111A83"/>
    <w:rsid w:val="00112272"/>
    <w:rsid w:val="00112348"/>
    <w:rsid w:val="00113364"/>
    <w:rsid w:val="00113894"/>
    <w:rsid w:val="00114537"/>
    <w:rsid w:val="001145C2"/>
    <w:rsid w:val="00114811"/>
    <w:rsid w:val="00114A77"/>
    <w:rsid w:val="00114AFB"/>
    <w:rsid w:val="00114C21"/>
    <w:rsid w:val="00114D00"/>
    <w:rsid w:val="00114FE4"/>
    <w:rsid w:val="00115002"/>
    <w:rsid w:val="0011528A"/>
    <w:rsid w:val="00115BC7"/>
    <w:rsid w:val="00115CF9"/>
    <w:rsid w:val="00117AE8"/>
    <w:rsid w:val="00117D28"/>
    <w:rsid w:val="00117E86"/>
    <w:rsid w:val="001201F6"/>
    <w:rsid w:val="00120443"/>
    <w:rsid w:val="00120739"/>
    <w:rsid w:val="00120E4B"/>
    <w:rsid w:val="00121D54"/>
    <w:rsid w:val="00121D72"/>
    <w:rsid w:val="00121F43"/>
    <w:rsid w:val="0012221F"/>
    <w:rsid w:val="0012226A"/>
    <w:rsid w:val="001236E8"/>
    <w:rsid w:val="00123823"/>
    <w:rsid w:val="00123BAF"/>
    <w:rsid w:val="00123F7A"/>
    <w:rsid w:val="00124101"/>
    <w:rsid w:val="00124553"/>
    <w:rsid w:val="0012506E"/>
    <w:rsid w:val="00125463"/>
    <w:rsid w:val="00125998"/>
    <w:rsid w:val="001264DE"/>
    <w:rsid w:val="00126A6A"/>
    <w:rsid w:val="00127FDE"/>
    <w:rsid w:val="00130070"/>
    <w:rsid w:val="0013059A"/>
    <w:rsid w:val="001309AA"/>
    <w:rsid w:val="00130BE4"/>
    <w:rsid w:val="0013182B"/>
    <w:rsid w:val="00131866"/>
    <w:rsid w:val="00131A3D"/>
    <w:rsid w:val="00131E6E"/>
    <w:rsid w:val="001333CA"/>
    <w:rsid w:val="00133769"/>
    <w:rsid w:val="00133786"/>
    <w:rsid w:val="00133CE3"/>
    <w:rsid w:val="00133EDF"/>
    <w:rsid w:val="00134040"/>
    <w:rsid w:val="001342F5"/>
    <w:rsid w:val="001344F5"/>
    <w:rsid w:val="00134B20"/>
    <w:rsid w:val="001354DD"/>
    <w:rsid w:val="00135736"/>
    <w:rsid w:val="001358FF"/>
    <w:rsid w:val="0013594F"/>
    <w:rsid w:val="00135A75"/>
    <w:rsid w:val="00135B12"/>
    <w:rsid w:val="00135D8B"/>
    <w:rsid w:val="0013707F"/>
    <w:rsid w:val="001371E6"/>
    <w:rsid w:val="00137751"/>
    <w:rsid w:val="00137A12"/>
    <w:rsid w:val="00137BBF"/>
    <w:rsid w:val="00137BF2"/>
    <w:rsid w:val="00137C74"/>
    <w:rsid w:val="00137DED"/>
    <w:rsid w:val="00137F5A"/>
    <w:rsid w:val="001401BC"/>
    <w:rsid w:val="00140B15"/>
    <w:rsid w:val="00141172"/>
    <w:rsid w:val="001414B5"/>
    <w:rsid w:val="00142001"/>
    <w:rsid w:val="00142081"/>
    <w:rsid w:val="001433DE"/>
    <w:rsid w:val="0014379F"/>
    <w:rsid w:val="001437E9"/>
    <w:rsid w:val="00144298"/>
    <w:rsid w:val="001443A5"/>
    <w:rsid w:val="0014444D"/>
    <w:rsid w:val="00144D13"/>
    <w:rsid w:val="00144F42"/>
    <w:rsid w:val="001454B0"/>
    <w:rsid w:val="0014563B"/>
    <w:rsid w:val="00145651"/>
    <w:rsid w:val="00145F71"/>
    <w:rsid w:val="0014659A"/>
    <w:rsid w:val="001465D1"/>
    <w:rsid w:val="00146CB9"/>
    <w:rsid w:val="001472C8"/>
    <w:rsid w:val="00147514"/>
    <w:rsid w:val="00147731"/>
    <w:rsid w:val="001500F6"/>
    <w:rsid w:val="00150C63"/>
    <w:rsid w:val="001510E9"/>
    <w:rsid w:val="001514B0"/>
    <w:rsid w:val="00151C9F"/>
    <w:rsid w:val="00151E67"/>
    <w:rsid w:val="001523E6"/>
    <w:rsid w:val="00152ECF"/>
    <w:rsid w:val="001533D7"/>
    <w:rsid w:val="00153FD5"/>
    <w:rsid w:val="00154284"/>
    <w:rsid w:val="001546F6"/>
    <w:rsid w:val="0015566C"/>
    <w:rsid w:val="00155C2F"/>
    <w:rsid w:val="00155DE1"/>
    <w:rsid w:val="001560BC"/>
    <w:rsid w:val="00156430"/>
    <w:rsid w:val="001564FE"/>
    <w:rsid w:val="00156749"/>
    <w:rsid w:val="00157CFA"/>
    <w:rsid w:val="00157F7F"/>
    <w:rsid w:val="001606DF"/>
    <w:rsid w:val="00160AE0"/>
    <w:rsid w:val="00161042"/>
    <w:rsid w:val="00161396"/>
    <w:rsid w:val="00161ACF"/>
    <w:rsid w:val="00161B3A"/>
    <w:rsid w:val="001626B9"/>
    <w:rsid w:val="0016281C"/>
    <w:rsid w:val="00163413"/>
    <w:rsid w:val="001637A8"/>
    <w:rsid w:val="00163A90"/>
    <w:rsid w:val="00163BEF"/>
    <w:rsid w:val="00163D0E"/>
    <w:rsid w:val="00163E55"/>
    <w:rsid w:val="00163EEA"/>
    <w:rsid w:val="0016408D"/>
    <w:rsid w:val="00164259"/>
    <w:rsid w:val="001642CD"/>
    <w:rsid w:val="001642D2"/>
    <w:rsid w:val="001653E1"/>
    <w:rsid w:val="00165A14"/>
    <w:rsid w:val="001663D3"/>
    <w:rsid w:val="001665AF"/>
    <w:rsid w:val="00166D2C"/>
    <w:rsid w:val="0016733F"/>
    <w:rsid w:val="001677F4"/>
    <w:rsid w:val="001705BE"/>
    <w:rsid w:val="0017090C"/>
    <w:rsid w:val="00170A91"/>
    <w:rsid w:val="00171CA4"/>
    <w:rsid w:val="00172108"/>
    <w:rsid w:val="001726BD"/>
    <w:rsid w:val="00172A27"/>
    <w:rsid w:val="00173038"/>
    <w:rsid w:val="001738CE"/>
    <w:rsid w:val="00173B79"/>
    <w:rsid w:val="00173C33"/>
    <w:rsid w:val="001744A5"/>
    <w:rsid w:val="0017465A"/>
    <w:rsid w:val="00174848"/>
    <w:rsid w:val="00174ABF"/>
    <w:rsid w:val="00174E53"/>
    <w:rsid w:val="00175AF4"/>
    <w:rsid w:val="001762FC"/>
    <w:rsid w:val="001763BC"/>
    <w:rsid w:val="0017664C"/>
    <w:rsid w:val="00176675"/>
    <w:rsid w:val="00176DB6"/>
    <w:rsid w:val="00176ED8"/>
    <w:rsid w:val="001776F4"/>
    <w:rsid w:val="00180E56"/>
    <w:rsid w:val="00180F17"/>
    <w:rsid w:val="00180F39"/>
    <w:rsid w:val="00181034"/>
    <w:rsid w:val="0018136A"/>
    <w:rsid w:val="001815F4"/>
    <w:rsid w:val="00181D9E"/>
    <w:rsid w:val="00181E81"/>
    <w:rsid w:val="001822CA"/>
    <w:rsid w:val="00182BF1"/>
    <w:rsid w:val="00182BF4"/>
    <w:rsid w:val="0018384D"/>
    <w:rsid w:val="00183D8A"/>
    <w:rsid w:val="00186106"/>
    <w:rsid w:val="00186CA0"/>
    <w:rsid w:val="00187896"/>
    <w:rsid w:val="001903A5"/>
    <w:rsid w:val="00190DA5"/>
    <w:rsid w:val="00190EFB"/>
    <w:rsid w:val="0019100B"/>
    <w:rsid w:val="0019118C"/>
    <w:rsid w:val="001917C2"/>
    <w:rsid w:val="00191C78"/>
    <w:rsid w:val="00192870"/>
    <w:rsid w:val="001928B3"/>
    <w:rsid w:val="00192AD8"/>
    <w:rsid w:val="00192B97"/>
    <w:rsid w:val="001932C0"/>
    <w:rsid w:val="001932E2"/>
    <w:rsid w:val="0019371B"/>
    <w:rsid w:val="00193F2A"/>
    <w:rsid w:val="00194385"/>
    <w:rsid w:val="00194D95"/>
    <w:rsid w:val="00195154"/>
    <w:rsid w:val="00195626"/>
    <w:rsid w:val="0019635A"/>
    <w:rsid w:val="0019664E"/>
    <w:rsid w:val="0019783A"/>
    <w:rsid w:val="001A0182"/>
    <w:rsid w:val="001A0D5E"/>
    <w:rsid w:val="001A0E22"/>
    <w:rsid w:val="001A13A7"/>
    <w:rsid w:val="001A152F"/>
    <w:rsid w:val="001A16E1"/>
    <w:rsid w:val="001A1DCA"/>
    <w:rsid w:val="001A2979"/>
    <w:rsid w:val="001A359B"/>
    <w:rsid w:val="001A3B51"/>
    <w:rsid w:val="001A4199"/>
    <w:rsid w:val="001A4240"/>
    <w:rsid w:val="001A42EA"/>
    <w:rsid w:val="001A4798"/>
    <w:rsid w:val="001A4926"/>
    <w:rsid w:val="001A4D19"/>
    <w:rsid w:val="001A50EC"/>
    <w:rsid w:val="001A515B"/>
    <w:rsid w:val="001A59E9"/>
    <w:rsid w:val="001A6097"/>
    <w:rsid w:val="001A61A0"/>
    <w:rsid w:val="001A6361"/>
    <w:rsid w:val="001A666A"/>
    <w:rsid w:val="001A698F"/>
    <w:rsid w:val="001A6EEC"/>
    <w:rsid w:val="001A6F67"/>
    <w:rsid w:val="001A7002"/>
    <w:rsid w:val="001A723B"/>
    <w:rsid w:val="001A755D"/>
    <w:rsid w:val="001A7AE5"/>
    <w:rsid w:val="001B0CF6"/>
    <w:rsid w:val="001B1027"/>
    <w:rsid w:val="001B14C5"/>
    <w:rsid w:val="001B327E"/>
    <w:rsid w:val="001B37CF"/>
    <w:rsid w:val="001B3A55"/>
    <w:rsid w:val="001B3F56"/>
    <w:rsid w:val="001B4220"/>
    <w:rsid w:val="001B4FA1"/>
    <w:rsid w:val="001B5406"/>
    <w:rsid w:val="001B5F1F"/>
    <w:rsid w:val="001B610E"/>
    <w:rsid w:val="001B6758"/>
    <w:rsid w:val="001B6B4D"/>
    <w:rsid w:val="001B7081"/>
    <w:rsid w:val="001B7726"/>
    <w:rsid w:val="001B7FDC"/>
    <w:rsid w:val="001C0848"/>
    <w:rsid w:val="001C1219"/>
    <w:rsid w:val="001C1408"/>
    <w:rsid w:val="001C1AD4"/>
    <w:rsid w:val="001C1D30"/>
    <w:rsid w:val="001C1FE2"/>
    <w:rsid w:val="001C23D9"/>
    <w:rsid w:val="001C249D"/>
    <w:rsid w:val="001C271C"/>
    <w:rsid w:val="001C28ED"/>
    <w:rsid w:val="001C295A"/>
    <w:rsid w:val="001C2AB4"/>
    <w:rsid w:val="001C4432"/>
    <w:rsid w:val="001C488F"/>
    <w:rsid w:val="001C5344"/>
    <w:rsid w:val="001C58BF"/>
    <w:rsid w:val="001C5A30"/>
    <w:rsid w:val="001C60DD"/>
    <w:rsid w:val="001C616D"/>
    <w:rsid w:val="001C61AE"/>
    <w:rsid w:val="001C632A"/>
    <w:rsid w:val="001C6891"/>
    <w:rsid w:val="001C6BEC"/>
    <w:rsid w:val="001C6CA4"/>
    <w:rsid w:val="001D0176"/>
    <w:rsid w:val="001D093D"/>
    <w:rsid w:val="001D0941"/>
    <w:rsid w:val="001D0E8C"/>
    <w:rsid w:val="001D15FA"/>
    <w:rsid w:val="001D1A57"/>
    <w:rsid w:val="001D1AEB"/>
    <w:rsid w:val="001D1B54"/>
    <w:rsid w:val="001D1DF4"/>
    <w:rsid w:val="001D1F7B"/>
    <w:rsid w:val="001D2887"/>
    <w:rsid w:val="001D2E3C"/>
    <w:rsid w:val="001D2E88"/>
    <w:rsid w:val="001D2F58"/>
    <w:rsid w:val="001D3BF4"/>
    <w:rsid w:val="001D42E6"/>
    <w:rsid w:val="001D4526"/>
    <w:rsid w:val="001D4600"/>
    <w:rsid w:val="001D51C5"/>
    <w:rsid w:val="001D53EF"/>
    <w:rsid w:val="001D582B"/>
    <w:rsid w:val="001D58B4"/>
    <w:rsid w:val="001D5A6C"/>
    <w:rsid w:val="001D6133"/>
    <w:rsid w:val="001D614B"/>
    <w:rsid w:val="001D65BA"/>
    <w:rsid w:val="001D65C1"/>
    <w:rsid w:val="001D6834"/>
    <w:rsid w:val="001D69B9"/>
    <w:rsid w:val="001D77EB"/>
    <w:rsid w:val="001D7806"/>
    <w:rsid w:val="001D79A3"/>
    <w:rsid w:val="001E0020"/>
    <w:rsid w:val="001E096C"/>
    <w:rsid w:val="001E0ECD"/>
    <w:rsid w:val="001E148C"/>
    <w:rsid w:val="001E1491"/>
    <w:rsid w:val="001E15F5"/>
    <w:rsid w:val="001E1BDF"/>
    <w:rsid w:val="001E1E06"/>
    <w:rsid w:val="001E1E85"/>
    <w:rsid w:val="001E209B"/>
    <w:rsid w:val="001E26F5"/>
    <w:rsid w:val="001E30A3"/>
    <w:rsid w:val="001E30C3"/>
    <w:rsid w:val="001E3360"/>
    <w:rsid w:val="001E36BC"/>
    <w:rsid w:val="001E496C"/>
    <w:rsid w:val="001E498B"/>
    <w:rsid w:val="001E4F17"/>
    <w:rsid w:val="001E5D05"/>
    <w:rsid w:val="001E70A2"/>
    <w:rsid w:val="001E7210"/>
    <w:rsid w:val="001E733E"/>
    <w:rsid w:val="001E754B"/>
    <w:rsid w:val="001F017A"/>
    <w:rsid w:val="001F056F"/>
    <w:rsid w:val="001F06AB"/>
    <w:rsid w:val="001F0AC8"/>
    <w:rsid w:val="001F0D78"/>
    <w:rsid w:val="001F10DF"/>
    <w:rsid w:val="001F18A9"/>
    <w:rsid w:val="001F2527"/>
    <w:rsid w:val="001F2E2A"/>
    <w:rsid w:val="001F307D"/>
    <w:rsid w:val="001F39C8"/>
    <w:rsid w:val="001F3B99"/>
    <w:rsid w:val="001F41D5"/>
    <w:rsid w:val="001F46EF"/>
    <w:rsid w:val="001F56C7"/>
    <w:rsid w:val="001F5D12"/>
    <w:rsid w:val="001F6586"/>
    <w:rsid w:val="001F6772"/>
    <w:rsid w:val="001F6CD7"/>
    <w:rsid w:val="001F6D1C"/>
    <w:rsid w:val="001F705C"/>
    <w:rsid w:val="001F7306"/>
    <w:rsid w:val="0020065E"/>
    <w:rsid w:val="002007EC"/>
    <w:rsid w:val="00200A0A"/>
    <w:rsid w:val="002014FD"/>
    <w:rsid w:val="00201885"/>
    <w:rsid w:val="00201A28"/>
    <w:rsid w:val="00201A4A"/>
    <w:rsid w:val="00201CA6"/>
    <w:rsid w:val="00202062"/>
    <w:rsid w:val="002022D0"/>
    <w:rsid w:val="00202D17"/>
    <w:rsid w:val="00202EAC"/>
    <w:rsid w:val="0020366D"/>
    <w:rsid w:val="002039DF"/>
    <w:rsid w:val="00204047"/>
    <w:rsid w:val="002040B2"/>
    <w:rsid w:val="0020436E"/>
    <w:rsid w:val="002047DE"/>
    <w:rsid w:val="002050DB"/>
    <w:rsid w:val="002056B4"/>
    <w:rsid w:val="00205949"/>
    <w:rsid w:val="00205988"/>
    <w:rsid w:val="0020685C"/>
    <w:rsid w:val="002070DC"/>
    <w:rsid w:val="00207491"/>
    <w:rsid w:val="002078FD"/>
    <w:rsid w:val="00207B1A"/>
    <w:rsid w:val="00212513"/>
    <w:rsid w:val="0021322E"/>
    <w:rsid w:val="002133B1"/>
    <w:rsid w:val="00213EC9"/>
    <w:rsid w:val="0021423D"/>
    <w:rsid w:val="002142DA"/>
    <w:rsid w:val="00214D5D"/>
    <w:rsid w:val="0021508B"/>
    <w:rsid w:val="002160C1"/>
    <w:rsid w:val="00216172"/>
    <w:rsid w:val="00216583"/>
    <w:rsid w:val="002166AE"/>
    <w:rsid w:val="00216759"/>
    <w:rsid w:val="00216B8B"/>
    <w:rsid w:val="00216BB9"/>
    <w:rsid w:val="00217050"/>
    <w:rsid w:val="0021761F"/>
    <w:rsid w:val="00217857"/>
    <w:rsid w:val="00217BAA"/>
    <w:rsid w:val="00217F9F"/>
    <w:rsid w:val="00220026"/>
    <w:rsid w:val="002204F5"/>
    <w:rsid w:val="00221051"/>
    <w:rsid w:val="002210A1"/>
    <w:rsid w:val="00221546"/>
    <w:rsid w:val="00222335"/>
    <w:rsid w:val="00222842"/>
    <w:rsid w:val="0022302C"/>
    <w:rsid w:val="002233B9"/>
    <w:rsid w:val="00223567"/>
    <w:rsid w:val="0022394D"/>
    <w:rsid w:val="00223F78"/>
    <w:rsid w:val="00224772"/>
    <w:rsid w:val="00225765"/>
    <w:rsid w:val="00225E7A"/>
    <w:rsid w:val="00225F03"/>
    <w:rsid w:val="00225F16"/>
    <w:rsid w:val="0022711A"/>
    <w:rsid w:val="0022726B"/>
    <w:rsid w:val="002272C0"/>
    <w:rsid w:val="00227532"/>
    <w:rsid w:val="0022755E"/>
    <w:rsid w:val="002276ED"/>
    <w:rsid w:val="0023021E"/>
    <w:rsid w:val="002306A8"/>
    <w:rsid w:val="00230EA3"/>
    <w:rsid w:val="00230EBD"/>
    <w:rsid w:val="00231062"/>
    <w:rsid w:val="00231711"/>
    <w:rsid w:val="00231B38"/>
    <w:rsid w:val="00231BE9"/>
    <w:rsid w:val="00232059"/>
    <w:rsid w:val="002324A6"/>
    <w:rsid w:val="002327D3"/>
    <w:rsid w:val="00232C8A"/>
    <w:rsid w:val="002332FC"/>
    <w:rsid w:val="00234128"/>
    <w:rsid w:val="0023452E"/>
    <w:rsid w:val="0023461D"/>
    <w:rsid w:val="00234A94"/>
    <w:rsid w:val="0023505B"/>
    <w:rsid w:val="00235190"/>
    <w:rsid w:val="002357E2"/>
    <w:rsid w:val="00235D15"/>
    <w:rsid w:val="00235E11"/>
    <w:rsid w:val="00237369"/>
    <w:rsid w:val="00237617"/>
    <w:rsid w:val="00237CE5"/>
    <w:rsid w:val="002401E6"/>
    <w:rsid w:val="0024075A"/>
    <w:rsid w:val="002409B0"/>
    <w:rsid w:val="00241A11"/>
    <w:rsid w:val="00241F4E"/>
    <w:rsid w:val="00242379"/>
    <w:rsid w:val="00242426"/>
    <w:rsid w:val="0024259A"/>
    <w:rsid w:val="00242AB5"/>
    <w:rsid w:val="00242FAF"/>
    <w:rsid w:val="002434B4"/>
    <w:rsid w:val="0024411E"/>
    <w:rsid w:val="002441E7"/>
    <w:rsid w:val="00244580"/>
    <w:rsid w:val="00244649"/>
    <w:rsid w:val="00244C45"/>
    <w:rsid w:val="00245013"/>
    <w:rsid w:val="0024511E"/>
    <w:rsid w:val="00245559"/>
    <w:rsid w:val="00245579"/>
    <w:rsid w:val="00245804"/>
    <w:rsid w:val="00245CE3"/>
    <w:rsid w:val="00245D9B"/>
    <w:rsid w:val="00245DB3"/>
    <w:rsid w:val="0024636F"/>
    <w:rsid w:val="002468BF"/>
    <w:rsid w:val="0024697B"/>
    <w:rsid w:val="00246F7D"/>
    <w:rsid w:val="0024701B"/>
    <w:rsid w:val="00247328"/>
    <w:rsid w:val="002474B3"/>
    <w:rsid w:val="002476C4"/>
    <w:rsid w:val="00247F4C"/>
    <w:rsid w:val="0025058C"/>
    <w:rsid w:val="002516FD"/>
    <w:rsid w:val="00251CCD"/>
    <w:rsid w:val="00251D8B"/>
    <w:rsid w:val="00252F89"/>
    <w:rsid w:val="002534D6"/>
    <w:rsid w:val="00253AC7"/>
    <w:rsid w:val="00253B16"/>
    <w:rsid w:val="00253EC3"/>
    <w:rsid w:val="00253F55"/>
    <w:rsid w:val="00254FCC"/>
    <w:rsid w:val="002554FD"/>
    <w:rsid w:val="0025568A"/>
    <w:rsid w:val="002558AD"/>
    <w:rsid w:val="00255972"/>
    <w:rsid w:val="00255EE0"/>
    <w:rsid w:val="0025735B"/>
    <w:rsid w:val="00257853"/>
    <w:rsid w:val="00257F7E"/>
    <w:rsid w:val="002605F5"/>
    <w:rsid w:val="00260626"/>
    <w:rsid w:val="0026069C"/>
    <w:rsid w:val="002610D4"/>
    <w:rsid w:val="002614B4"/>
    <w:rsid w:val="00262874"/>
    <w:rsid w:val="00262BD0"/>
    <w:rsid w:val="00264027"/>
    <w:rsid w:val="00264363"/>
    <w:rsid w:val="002647CE"/>
    <w:rsid w:val="00264C4F"/>
    <w:rsid w:val="002654A6"/>
    <w:rsid w:val="0026567D"/>
    <w:rsid w:val="00265C20"/>
    <w:rsid w:val="00265DE9"/>
    <w:rsid w:val="00266C4F"/>
    <w:rsid w:val="00266E65"/>
    <w:rsid w:val="002672F3"/>
    <w:rsid w:val="0026730F"/>
    <w:rsid w:val="00267DBE"/>
    <w:rsid w:val="002702FE"/>
    <w:rsid w:val="00270A76"/>
    <w:rsid w:val="002712E0"/>
    <w:rsid w:val="002714AF"/>
    <w:rsid w:val="00271969"/>
    <w:rsid w:val="00271D2E"/>
    <w:rsid w:val="002725EE"/>
    <w:rsid w:val="00272ABC"/>
    <w:rsid w:val="00272B64"/>
    <w:rsid w:val="00272D0E"/>
    <w:rsid w:val="00272EB3"/>
    <w:rsid w:val="00272F2A"/>
    <w:rsid w:val="00273F46"/>
    <w:rsid w:val="00273FA3"/>
    <w:rsid w:val="0027430E"/>
    <w:rsid w:val="002750CB"/>
    <w:rsid w:val="002755DB"/>
    <w:rsid w:val="00276F9D"/>
    <w:rsid w:val="00277D71"/>
    <w:rsid w:val="00281CB7"/>
    <w:rsid w:val="0028256C"/>
    <w:rsid w:val="002828B9"/>
    <w:rsid w:val="002830A8"/>
    <w:rsid w:val="002836C7"/>
    <w:rsid w:val="0028376E"/>
    <w:rsid w:val="0028386F"/>
    <w:rsid w:val="00283976"/>
    <w:rsid w:val="002839B8"/>
    <w:rsid w:val="00283FE6"/>
    <w:rsid w:val="002840F2"/>
    <w:rsid w:val="00284474"/>
    <w:rsid w:val="00284739"/>
    <w:rsid w:val="002847F5"/>
    <w:rsid w:val="00284923"/>
    <w:rsid w:val="00284AFA"/>
    <w:rsid w:val="00284B4A"/>
    <w:rsid w:val="00284F30"/>
    <w:rsid w:val="00285643"/>
    <w:rsid w:val="0028622C"/>
    <w:rsid w:val="002863D2"/>
    <w:rsid w:val="002867D3"/>
    <w:rsid w:val="002868FA"/>
    <w:rsid w:val="002869BB"/>
    <w:rsid w:val="00286CA9"/>
    <w:rsid w:val="00286FBD"/>
    <w:rsid w:val="00287562"/>
    <w:rsid w:val="002875BB"/>
    <w:rsid w:val="0028796E"/>
    <w:rsid w:val="002879B9"/>
    <w:rsid w:val="00290AFD"/>
    <w:rsid w:val="00290BE5"/>
    <w:rsid w:val="00290DE9"/>
    <w:rsid w:val="0029118E"/>
    <w:rsid w:val="00291917"/>
    <w:rsid w:val="00291A07"/>
    <w:rsid w:val="00292332"/>
    <w:rsid w:val="00293B20"/>
    <w:rsid w:val="002942F3"/>
    <w:rsid w:val="002946EE"/>
    <w:rsid w:val="0029475A"/>
    <w:rsid w:val="002948E9"/>
    <w:rsid w:val="00294D7D"/>
    <w:rsid w:val="00294D97"/>
    <w:rsid w:val="002955DE"/>
    <w:rsid w:val="00295BBC"/>
    <w:rsid w:val="002960C9"/>
    <w:rsid w:val="00296389"/>
    <w:rsid w:val="00296773"/>
    <w:rsid w:val="00296977"/>
    <w:rsid w:val="00296C08"/>
    <w:rsid w:val="00297B71"/>
    <w:rsid w:val="00297FE6"/>
    <w:rsid w:val="002A06D4"/>
    <w:rsid w:val="002A06FD"/>
    <w:rsid w:val="002A1788"/>
    <w:rsid w:val="002A1905"/>
    <w:rsid w:val="002A26F1"/>
    <w:rsid w:val="002A3A16"/>
    <w:rsid w:val="002A3BBE"/>
    <w:rsid w:val="002A3FD8"/>
    <w:rsid w:val="002A4910"/>
    <w:rsid w:val="002A4978"/>
    <w:rsid w:val="002A6045"/>
    <w:rsid w:val="002A6353"/>
    <w:rsid w:val="002A7394"/>
    <w:rsid w:val="002A7756"/>
    <w:rsid w:val="002A7880"/>
    <w:rsid w:val="002A7CC2"/>
    <w:rsid w:val="002B0147"/>
    <w:rsid w:val="002B0240"/>
    <w:rsid w:val="002B07EE"/>
    <w:rsid w:val="002B08DA"/>
    <w:rsid w:val="002B0D0F"/>
    <w:rsid w:val="002B1045"/>
    <w:rsid w:val="002B126E"/>
    <w:rsid w:val="002B171B"/>
    <w:rsid w:val="002B1B68"/>
    <w:rsid w:val="002B2038"/>
    <w:rsid w:val="002B22CB"/>
    <w:rsid w:val="002B3145"/>
    <w:rsid w:val="002B3717"/>
    <w:rsid w:val="002B40E4"/>
    <w:rsid w:val="002B4E74"/>
    <w:rsid w:val="002B4F9D"/>
    <w:rsid w:val="002B5C10"/>
    <w:rsid w:val="002B6234"/>
    <w:rsid w:val="002B7818"/>
    <w:rsid w:val="002B7C23"/>
    <w:rsid w:val="002C0044"/>
    <w:rsid w:val="002C04AB"/>
    <w:rsid w:val="002C0AF9"/>
    <w:rsid w:val="002C19A5"/>
    <w:rsid w:val="002C1B20"/>
    <w:rsid w:val="002C338D"/>
    <w:rsid w:val="002C35B0"/>
    <w:rsid w:val="002C3AA4"/>
    <w:rsid w:val="002C47DB"/>
    <w:rsid w:val="002C4951"/>
    <w:rsid w:val="002C5171"/>
    <w:rsid w:val="002C619F"/>
    <w:rsid w:val="002C6220"/>
    <w:rsid w:val="002C632D"/>
    <w:rsid w:val="002C6CAE"/>
    <w:rsid w:val="002C701B"/>
    <w:rsid w:val="002C7051"/>
    <w:rsid w:val="002C7153"/>
    <w:rsid w:val="002C74DC"/>
    <w:rsid w:val="002D0483"/>
    <w:rsid w:val="002D074A"/>
    <w:rsid w:val="002D080C"/>
    <w:rsid w:val="002D199F"/>
    <w:rsid w:val="002D27BC"/>
    <w:rsid w:val="002D2B90"/>
    <w:rsid w:val="002D3214"/>
    <w:rsid w:val="002D387D"/>
    <w:rsid w:val="002D3BE5"/>
    <w:rsid w:val="002D3EF9"/>
    <w:rsid w:val="002D4230"/>
    <w:rsid w:val="002D466A"/>
    <w:rsid w:val="002D46D0"/>
    <w:rsid w:val="002D472F"/>
    <w:rsid w:val="002D47D0"/>
    <w:rsid w:val="002D5625"/>
    <w:rsid w:val="002D599D"/>
    <w:rsid w:val="002D63E6"/>
    <w:rsid w:val="002D6969"/>
    <w:rsid w:val="002D6F52"/>
    <w:rsid w:val="002D70FA"/>
    <w:rsid w:val="002D78E0"/>
    <w:rsid w:val="002D7C3B"/>
    <w:rsid w:val="002E000A"/>
    <w:rsid w:val="002E02C5"/>
    <w:rsid w:val="002E039F"/>
    <w:rsid w:val="002E04A5"/>
    <w:rsid w:val="002E0502"/>
    <w:rsid w:val="002E150D"/>
    <w:rsid w:val="002E1A1B"/>
    <w:rsid w:val="002E1A26"/>
    <w:rsid w:val="002E1C0D"/>
    <w:rsid w:val="002E21A9"/>
    <w:rsid w:val="002E22BD"/>
    <w:rsid w:val="002E2744"/>
    <w:rsid w:val="002E2839"/>
    <w:rsid w:val="002E2853"/>
    <w:rsid w:val="002E2D7C"/>
    <w:rsid w:val="002E313A"/>
    <w:rsid w:val="002E3904"/>
    <w:rsid w:val="002E4080"/>
    <w:rsid w:val="002E453D"/>
    <w:rsid w:val="002E4A54"/>
    <w:rsid w:val="002E4B8C"/>
    <w:rsid w:val="002E4F00"/>
    <w:rsid w:val="002E5379"/>
    <w:rsid w:val="002E55C3"/>
    <w:rsid w:val="002E583E"/>
    <w:rsid w:val="002E5BAC"/>
    <w:rsid w:val="002E6074"/>
    <w:rsid w:val="002E6413"/>
    <w:rsid w:val="002E7F54"/>
    <w:rsid w:val="002F0843"/>
    <w:rsid w:val="002F0FC5"/>
    <w:rsid w:val="002F1193"/>
    <w:rsid w:val="002F13BA"/>
    <w:rsid w:val="002F154A"/>
    <w:rsid w:val="002F234E"/>
    <w:rsid w:val="002F23B4"/>
    <w:rsid w:val="002F2B9D"/>
    <w:rsid w:val="002F2D5A"/>
    <w:rsid w:val="002F2FAE"/>
    <w:rsid w:val="002F3AD1"/>
    <w:rsid w:val="002F41D2"/>
    <w:rsid w:val="002F43A1"/>
    <w:rsid w:val="002F480A"/>
    <w:rsid w:val="002F4A02"/>
    <w:rsid w:val="002F5373"/>
    <w:rsid w:val="002F564D"/>
    <w:rsid w:val="002F599C"/>
    <w:rsid w:val="002F5B16"/>
    <w:rsid w:val="002F6448"/>
    <w:rsid w:val="002F6744"/>
    <w:rsid w:val="002F7A0D"/>
    <w:rsid w:val="0030012A"/>
    <w:rsid w:val="00300226"/>
    <w:rsid w:val="00300695"/>
    <w:rsid w:val="00300724"/>
    <w:rsid w:val="0030096C"/>
    <w:rsid w:val="003009BA"/>
    <w:rsid w:val="00300E36"/>
    <w:rsid w:val="00301003"/>
    <w:rsid w:val="00301BC7"/>
    <w:rsid w:val="00302A10"/>
    <w:rsid w:val="003030AF"/>
    <w:rsid w:val="00303CDF"/>
    <w:rsid w:val="0030446F"/>
    <w:rsid w:val="00304906"/>
    <w:rsid w:val="0030599F"/>
    <w:rsid w:val="00305D59"/>
    <w:rsid w:val="00306457"/>
    <w:rsid w:val="00306866"/>
    <w:rsid w:val="003068B5"/>
    <w:rsid w:val="00306A71"/>
    <w:rsid w:val="00306B8B"/>
    <w:rsid w:val="00306DAE"/>
    <w:rsid w:val="003071A2"/>
    <w:rsid w:val="0030771B"/>
    <w:rsid w:val="00307C93"/>
    <w:rsid w:val="00307FF2"/>
    <w:rsid w:val="00310266"/>
    <w:rsid w:val="0031095F"/>
    <w:rsid w:val="00310C80"/>
    <w:rsid w:val="00311909"/>
    <w:rsid w:val="00311B63"/>
    <w:rsid w:val="003140DA"/>
    <w:rsid w:val="0031462E"/>
    <w:rsid w:val="003154BC"/>
    <w:rsid w:val="0031580A"/>
    <w:rsid w:val="00316384"/>
    <w:rsid w:val="003204CC"/>
    <w:rsid w:val="00320AD6"/>
    <w:rsid w:val="0032107B"/>
    <w:rsid w:val="003211C0"/>
    <w:rsid w:val="003212B5"/>
    <w:rsid w:val="00321498"/>
    <w:rsid w:val="0032184A"/>
    <w:rsid w:val="00321A24"/>
    <w:rsid w:val="00321D40"/>
    <w:rsid w:val="003222D1"/>
    <w:rsid w:val="00322579"/>
    <w:rsid w:val="00322A6B"/>
    <w:rsid w:val="00323076"/>
    <w:rsid w:val="003234F6"/>
    <w:rsid w:val="00323765"/>
    <w:rsid w:val="00325B76"/>
    <w:rsid w:val="00326025"/>
    <w:rsid w:val="0032648F"/>
    <w:rsid w:val="00326733"/>
    <w:rsid w:val="003272CF"/>
    <w:rsid w:val="0032743F"/>
    <w:rsid w:val="0033018A"/>
    <w:rsid w:val="00330B0B"/>
    <w:rsid w:val="0033128B"/>
    <w:rsid w:val="003319AA"/>
    <w:rsid w:val="00331E58"/>
    <w:rsid w:val="00332263"/>
    <w:rsid w:val="0033262D"/>
    <w:rsid w:val="003330F6"/>
    <w:rsid w:val="00333856"/>
    <w:rsid w:val="00334666"/>
    <w:rsid w:val="00334C58"/>
    <w:rsid w:val="00334CC2"/>
    <w:rsid w:val="003354DA"/>
    <w:rsid w:val="003359E4"/>
    <w:rsid w:val="00335E56"/>
    <w:rsid w:val="0033618E"/>
    <w:rsid w:val="00336E5E"/>
    <w:rsid w:val="00336F34"/>
    <w:rsid w:val="0033704D"/>
    <w:rsid w:val="00337379"/>
    <w:rsid w:val="003400B8"/>
    <w:rsid w:val="003402BE"/>
    <w:rsid w:val="003402C2"/>
    <w:rsid w:val="0034036E"/>
    <w:rsid w:val="003408A0"/>
    <w:rsid w:val="00341312"/>
    <w:rsid w:val="00341506"/>
    <w:rsid w:val="00341F1D"/>
    <w:rsid w:val="003424CB"/>
    <w:rsid w:val="003425B7"/>
    <w:rsid w:val="00342AE9"/>
    <w:rsid w:val="00342B4C"/>
    <w:rsid w:val="00343663"/>
    <w:rsid w:val="00343813"/>
    <w:rsid w:val="00343AE0"/>
    <w:rsid w:val="00343E93"/>
    <w:rsid w:val="00343F5E"/>
    <w:rsid w:val="00344040"/>
    <w:rsid w:val="00344247"/>
    <w:rsid w:val="00344250"/>
    <w:rsid w:val="00344C14"/>
    <w:rsid w:val="00346B16"/>
    <w:rsid w:val="00346DA5"/>
    <w:rsid w:val="0034702E"/>
    <w:rsid w:val="0034704F"/>
    <w:rsid w:val="00347171"/>
    <w:rsid w:val="0034761F"/>
    <w:rsid w:val="0035066A"/>
    <w:rsid w:val="0035086C"/>
    <w:rsid w:val="00350D5E"/>
    <w:rsid w:val="00350FE6"/>
    <w:rsid w:val="0035108B"/>
    <w:rsid w:val="00351B07"/>
    <w:rsid w:val="00351B8C"/>
    <w:rsid w:val="00352C10"/>
    <w:rsid w:val="003530F1"/>
    <w:rsid w:val="00353345"/>
    <w:rsid w:val="00353767"/>
    <w:rsid w:val="00353831"/>
    <w:rsid w:val="00353A02"/>
    <w:rsid w:val="00354019"/>
    <w:rsid w:val="0035430B"/>
    <w:rsid w:val="003549DA"/>
    <w:rsid w:val="00354AAA"/>
    <w:rsid w:val="0035518C"/>
    <w:rsid w:val="003556FC"/>
    <w:rsid w:val="00355AF7"/>
    <w:rsid w:val="0035679B"/>
    <w:rsid w:val="003569A5"/>
    <w:rsid w:val="00356ECE"/>
    <w:rsid w:val="00356FA3"/>
    <w:rsid w:val="00357FD2"/>
    <w:rsid w:val="003600D4"/>
    <w:rsid w:val="00360473"/>
    <w:rsid w:val="00360ABF"/>
    <w:rsid w:val="00360DD3"/>
    <w:rsid w:val="00361055"/>
    <w:rsid w:val="00361538"/>
    <w:rsid w:val="00361D8A"/>
    <w:rsid w:val="00361FA6"/>
    <w:rsid w:val="00362709"/>
    <w:rsid w:val="003627EE"/>
    <w:rsid w:val="00362BB4"/>
    <w:rsid w:val="00362C72"/>
    <w:rsid w:val="00362FF1"/>
    <w:rsid w:val="00363449"/>
    <w:rsid w:val="003645BD"/>
    <w:rsid w:val="00364A9F"/>
    <w:rsid w:val="00364B28"/>
    <w:rsid w:val="003650CC"/>
    <w:rsid w:val="003650D4"/>
    <w:rsid w:val="003658FB"/>
    <w:rsid w:val="00365BEA"/>
    <w:rsid w:val="00366092"/>
    <w:rsid w:val="00367186"/>
    <w:rsid w:val="003679CC"/>
    <w:rsid w:val="00367D75"/>
    <w:rsid w:val="00370BE7"/>
    <w:rsid w:val="003717D1"/>
    <w:rsid w:val="00371B60"/>
    <w:rsid w:val="00372E81"/>
    <w:rsid w:val="00373242"/>
    <w:rsid w:val="00373621"/>
    <w:rsid w:val="00373659"/>
    <w:rsid w:val="00373B18"/>
    <w:rsid w:val="00373F69"/>
    <w:rsid w:val="003746F8"/>
    <w:rsid w:val="003747CA"/>
    <w:rsid w:val="00374AE2"/>
    <w:rsid w:val="00375120"/>
    <w:rsid w:val="00375131"/>
    <w:rsid w:val="00375555"/>
    <w:rsid w:val="003755F3"/>
    <w:rsid w:val="00375B5D"/>
    <w:rsid w:val="00375E52"/>
    <w:rsid w:val="00375F6B"/>
    <w:rsid w:val="00377015"/>
    <w:rsid w:val="003779D0"/>
    <w:rsid w:val="00377A22"/>
    <w:rsid w:val="00377D1F"/>
    <w:rsid w:val="00381080"/>
    <w:rsid w:val="00381A6C"/>
    <w:rsid w:val="00381AD2"/>
    <w:rsid w:val="00381C43"/>
    <w:rsid w:val="00381DD0"/>
    <w:rsid w:val="00381EFD"/>
    <w:rsid w:val="0038257F"/>
    <w:rsid w:val="00382805"/>
    <w:rsid w:val="0038287F"/>
    <w:rsid w:val="00382D30"/>
    <w:rsid w:val="00383680"/>
    <w:rsid w:val="00384813"/>
    <w:rsid w:val="0038484D"/>
    <w:rsid w:val="00384E58"/>
    <w:rsid w:val="003854C8"/>
    <w:rsid w:val="00385543"/>
    <w:rsid w:val="0038612A"/>
    <w:rsid w:val="00386721"/>
    <w:rsid w:val="00386A78"/>
    <w:rsid w:val="00386E37"/>
    <w:rsid w:val="003874AF"/>
    <w:rsid w:val="00387855"/>
    <w:rsid w:val="00387A88"/>
    <w:rsid w:val="00390141"/>
    <w:rsid w:val="0039126B"/>
    <w:rsid w:val="003918C7"/>
    <w:rsid w:val="00391CB0"/>
    <w:rsid w:val="00391D16"/>
    <w:rsid w:val="00392265"/>
    <w:rsid w:val="003924F4"/>
    <w:rsid w:val="003925AD"/>
    <w:rsid w:val="00392FD1"/>
    <w:rsid w:val="003933B9"/>
    <w:rsid w:val="003935B0"/>
    <w:rsid w:val="0039389C"/>
    <w:rsid w:val="00393BCD"/>
    <w:rsid w:val="00393EF1"/>
    <w:rsid w:val="00394A28"/>
    <w:rsid w:val="00395066"/>
    <w:rsid w:val="00395EE1"/>
    <w:rsid w:val="003962E9"/>
    <w:rsid w:val="0039671E"/>
    <w:rsid w:val="00396D71"/>
    <w:rsid w:val="00396D8B"/>
    <w:rsid w:val="003A0363"/>
    <w:rsid w:val="003A0738"/>
    <w:rsid w:val="003A07AD"/>
    <w:rsid w:val="003A0FAE"/>
    <w:rsid w:val="003A1148"/>
    <w:rsid w:val="003A12CA"/>
    <w:rsid w:val="003A13A6"/>
    <w:rsid w:val="003A13AA"/>
    <w:rsid w:val="003A1A42"/>
    <w:rsid w:val="003A24C8"/>
    <w:rsid w:val="003A2FE8"/>
    <w:rsid w:val="003A3121"/>
    <w:rsid w:val="003A315F"/>
    <w:rsid w:val="003A377B"/>
    <w:rsid w:val="003A38AB"/>
    <w:rsid w:val="003A3990"/>
    <w:rsid w:val="003A3CBB"/>
    <w:rsid w:val="003A4099"/>
    <w:rsid w:val="003A43D9"/>
    <w:rsid w:val="003A4697"/>
    <w:rsid w:val="003A471D"/>
    <w:rsid w:val="003A5354"/>
    <w:rsid w:val="003A54FA"/>
    <w:rsid w:val="003A56E7"/>
    <w:rsid w:val="003A586D"/>
    <w:rsid w:val="003A5D7A"/>
    <w:rsid w:val="003A5F19"/>
    <w:rsid w:val="003A71C5"/>
    <w:rsid w:val="003A7604"/>
    <w:rsid w:val="003A798E"/>
    <w:rsid w:val="003A7B10"/>
    <w:rsid w:val="003B0437"/>
    <w:rsid w:val="003B06BE"/>
    <w:rsid w:val="003B0755"/>
    <w:rsid w:val="003B1059"/>
    <w:rsid w:val="003B2B99"/>
    <w:rsid w:val="003B2BF9"/>
    <w:rsid w:val="003B30CC"/>
    <w:rsid w:val="003B39E3"/>
    <w:rsid w:val="003B3B74"/>
    <w:rsid w:val="003B3F54"/>
    <w:rsid w:val="003B4290"/>
    <w:rsid w:val="003B5964"/>
    <w:rsid w:val="003B5ABB"/>
    <w:rsid w:val="003B64BC"/>
    <w:rsid w:val="003B6866"/>
    <w:rsid w:val="003B68EC"/>
    <w:rsid w:val="003B706E"/>
    <w:rsid w:val="003B75E5"/>
    <w:rsid w:val="003C04C2"/>
    <w:rsid w:val="003C1550"/>
    <w:rsid w:val="003C18C2"/>
    <w:rsid w:val="003C2DEF"/>
    <w:rsid w:val="003C30D7"/>
    <w:rsid w:val="003C3664"/>
    <w:rsid w:val="003C38B6"/>
    <w:rsid w:val="003C3DC4"/>
    <w:rsid w:val="003C50F6"/>
    <w:rsid w:val="003C5452"/>
    <w:rsid w:val="003C5750"/>
    <w:rsid w:val="003C60C5"/>
    <w:rsid w:val="003C6B8B"/>
    <w:rsid w:val="003C73EC"/>
    <w:rsid w:val="003D011A"/>
    <w:rsid w:val="003D186D"/>
    <w:rsid w:val="003D19EF"/>
    <w:rsid w:val="003D1BF8"/>
    <w:rsid w:val="003D1F21"/>
    <w:rsid w:val="003D2C51"/>
    <w:rsid w:val="003D3D94"/>
    <w:rsid w:val="003D3F9D"/>
    <w:rsid w:val="003D4824"/>
    <w:rsid w:val="003D4ABB"/>
    <w:rsid w:val="003D551E"/>
    <w:rsid w:val="003D552C"/>
    <w:rsid w:val="003D61AE"/>
    <w:rsid w:val="003D63C3"/>
    <w:rsid w:val="003D6540"/>
    <w:rsid w:val="003D6649"/>
    <w:rsid w:val="003D6D3C"/>
    <w:rsid w:val="003D701C"/>
    <w:rsid w:val="003D703B"/>
    <w:rsid w:val="003D7435"/>
    <w:rsid w:val="003D76C6"/>
    <w:rsid w:val="003D78FD"/>
    <w:rsid w:val="003D7B23"/>
    <w:rsid w:val="003E0751"/>
    <w:rsid w:val="003E09B9"/>
    <w:rsid w:val="003E1D33"/>
    <w:rsid w:val="003E2291"/>
    <w:rsid w:val="003E25D3"/>
    <w:rsid w:val="003E267C"/>
    <w:rsid w:val="003E275B"/>
    <w:rsid w:val="003E2FB3"/>
    <w:rsid w:val="003E32EF"/>
    <w:rsid w:val="003E3883"/>
    <w:rsid w:val="003E3889"/>
    <w:rsid w:val="003E3C2E"/>
    <w:rsid w:val="003E3EF4"/>
    <w:rsid w:val="003E5155"/>
    <w:rsid w:val="003E583A"/>
    <w:rsid w:val="003E61E6"/>
    <w:rsid w:val="003E648E"/>
    <w:rsid w:val="003E6BE5"/>
    <w:rsid w:val="003E6ED3"/>
    <w:rsid w:val="003E7617"/>
    <w:rsid w:val="003E775D"/>
    <w:rsid w:val="003E7BBB"/>
    <w:rsid w:val="003E7E24"/>
    <w:rsid w:val="003F081F"/>
    <w:rsid w:val="003F08C8"/>
    <w:rsid w:val="003F0FA7"/>
    <w:rsid w:val="003F1349"/>
    <w:rsid w:val="003F13AB"/>
    <w:rsid w:val="003F259A"/>
    <w:rsid w:val="003F2783"/>
    <w:rsid w:val="003F2CA1"/>
    <w:rsid w:val="003F46C4"/>
    <w:rsid w:val="003F4771"/>
    <w:rsid w:val="003F5DC8"/>
    <w:rsid w:val="003F667F"/>
    <w:rsid w:val="003F6706"/>
    <w:rsid w:val="003F73FE"/>
    <w:rsid w:val="003F7AD5"/>
    <w:rsid w:val="003F7ED8"/>
    <w:rsid w:val="00400048"/>
    <w:rsid w:val="0040192E"/>
    <w:rsid w:val="00402D6F"/>
    <w:rsid w:val="004039B2"/>
    <w:rsid w:val="00403C47"/>
    <w:rsid w:val="00403D91"/>
    <w:rsid w:val="004041D4"/>
    <w:rsid w:val="004048E1"/>
    <w:rsid w:val="00404C19"/>
    <w:rsid w:val="00404CD1"/>
    <w:rsid w:val="00404D32"/>
    <w:rsid w:val="0040516A"/>
    <w:rsid w:val="0040521A"/>
    <w:rsid w:val="004052AD"/>
    <w:rsid w:val="0040570A"/>
    <w:rsid w:val="00405999"/>
    <w:rsid w:val="0040638D"/>
    <w:rsid w:val="00406F5C"/>
    <w:rsid w:val="004070B8"/>
    <w:rsid w:val="0041010F"/>
    <w:rsid w:val="004109E9"/>
    <w:rsid w:val="00410FC4"/>
    <w:rsid w:val="004113F2"/>
    <w:rsid w:val="004126E8"/>
    <w:rsid w:val="004129D1"/>
    <w:rsid w:val="00412D0E"/>
    <w:rsid w:val="0041388B"/>
    <w:rsid w:val="0041410E"/>
    <w:rsid w:val="00414379"/>
    <w:rsid w:val="0041466B"/>
    <w:rsid w:val="0041473E"/>
    <w:rsid w:val="004147A2"/>
    <w:rsid w:val="00414F13"/>
    <w:rsid w:val="00414F2F"/>
    <w:rsid w:val="00415005"/>
    <w:rsid w:val="00415FCC"/>
    <w:rsid w:val="00416750"/>
    <w:rsid w:val="004169F7"/>
    <w:rsid w:val="00416B16"/>
    <w:rsid w:val="00417006"/>
    <w:rsid w:val="0041721C"/>
    <w:rsid w:val="004174B9"/>
    <w:rsid w:val="00417BDE"/>
    <w:rsid w:val="00422059"/>
    <w:rsid w:val="00422FE4"/>
    <w:rsid w:val="00423225"/>
    <w:rsid w:val="00423CB2"/>
    <w:rsid w:val="0042434C"/>
    <w:rsid w:val="0042442B"/>
    <w:rsid w:val="0042455C"/>
    <w:rsid w:val="004248F6"/>
    <w:rsid w:val="004254DA"/>
    <w:rsid w:val="00425974"/>
    <w:rsid w:val="004262DE"/>
    <w:rsid w:val="0042663D"/>
    <w:rsid w:val="004266C7"/>
    <w:rsid w:val="00426C5C"/>
    <w:rsid w:val="0042734C"/>
    <w:rsid w:val="00427847"/>
    <w:rsid w:val="00427F54"/>
    <w:rsid w:val="00430B0D"/>
    <w:rsid w:val="00430FE5"/>
    <w:rsid w:val="004311D1"/>
    <w:rsid w:val="004313CC"/>
    <w:rsid w:val="004313D3"/>
    <w:rsid w:val="004316F1"/>
    <w:rsid w:val="004317C9"/>
    <w:rsid w:val="00431B8B"/>
    <w:rsid w:val="00431E09"/>
    <w:rsid w:val="00432669"/>
    <w:rsid w:val="00432804"/>
    <w:rsid w:val="0043298C"/>
    <w:rsid w:val="00432AC8"/>
    <w:rsid w:val="00432D56"/>
    <w:rsid w:val="00432F80"/>
    <w:rsid w:val="004332A3"/>
    <w:rsid w:val="004332C7"/>
    <w:rsid w:val="00433C39"/>
    <w:rsid w:val="00433EB4"/>
    <w:rsid w:val="00434953"/>
    <w:rsid w:val="004349C9"/>
    <w:rsid w:val="0043528D"/>
    <w:rsid w:val="0043529B"/>
    <w:rsid w:val="004360B4"/>
    <w:rsid w:val="004363F4"/>
    <w:rsid w:val="0043656B"/>
    <w:rsid w:val="004365EA"/>
    <w:rsid w:val="004366E4"/>
    <w:rsid w:val="00436CCD"/>
    <w:rsid w:val="00436E85"/>
    <w:rsid w:val="00437351"/>
    <w:rsid w:val="00437E7A"/>
    <w:rsid w:val="0044013F"/>
    <w:rsid w:val="00441083"/>
    <w:rsid w:val="00441175"/>
    <w:rsid w:val="0044169B"/>
    <w:rsid w:val="00441793"/>
    <w:rsid w:val="00441B1E"/>
    <w:rsid w:val="004420B4"/>
    <w:rsid w:val="00442A51"/>
    <w:rsid w:val="00442C36"/>
    <w:rsid w:val="00443365"/>
    <w:rsid w:val="004445E2"/>
    <w:rsid w:val="0044482F"/>
    <w:rsid w:val="00444CB0"/>
    <w:rsid w:val="004451DC"/>
    <w:rsid w:val="00445612"/>
    <w:rsid w:val="0044601B"/>
    <w:rsid w:val="004461DB"/>
    <w:rsid w:val="004463FF"/>
    <w:rsid w:val="004467F5"/>
    <w:rsid w:val="00447138"/>
    <w:rsid w:val="00447B87"/>
    <w:rsid w:val="0045039B"/>
    <w:rsid w:val="00450597"/>
    <w:rsid w:val="00450B93"/>
    <w:rsid w:val="00451C05"/>
    <w:rsid w:val="00451CD9"/>
    <w:rsid w:val="00451E99"/>
    <w:rsid w:val="00451F0F"/>
    <w:rsid w:val="004522C1"/>
    <w:rsid w:val="004525CE"/>
    <w:rsid w:val="004528C8"/>
    <w:rsid w:val="00452CBF"/>
    <w:rsid w:val="004546DA"/>
    <w:rsid w:val="004550CB"/>
    <w:rsid w:val="00455479"/>
    <w:rsid w:val="00455C16"/>
    <w:rsid w:val="00455FA8"/>
    <w:rsid w:val="004560BB"/>
    <w:rsid w:val="00456799"/>
    <w:rsid w:val="004567A6"/>
    <w:rsid w:val="00456835"/>
    <w:rsid w:val="00456B3F"/>
    <w:rsid w:val="00457274"/>
    <w:rsid w:val="00457606"/>
    <w:rsid w:val="00457CEB"/>
    <w:rsid w:val="00457E2C"/>
    <w:rsid w:val="004601D2"/>
    <w:rsid w:val="0046065C"/>
    <w:rsid w:val="00461CC6"/>
    <w:rsid w:val="00461D59"/>
    <w:rsid w:val="00462CA9"/>
    <w:rsid w:val="00462DBC"/>
    <w:rsid w:val="00463187"/>
    <w:rsid w:val="00463997"/>
    <w:rsid w:val="004639FD"/>
    <w:rsid w:val="00463B1D"/>
    <w:rsid w:val="00463FE3"/>
    <w:rsid w:val="00463FEE"/>
    <w:rsid w:val="00464219"/>
    <w:rsid w:val="004643A6"/>
    <w:rsid w:val="0046468C"/>
    <w:rsid w:val="00464B4B"/>
    <w:rsid w:val="0046637D"/>
    <w:rsid w:val="00466422"/>
    <w:rsid w:val="0046650D"/>
    <w:rsid w:val="00466D90"/>
    <w:rsid w:val="00466E3B"/>
    <w:rsid w:val="00467579"/>
    <w:rsid w:val="00467780"/>
    <w:rsid w:val="00467D37"/>
    <w:rsid w:val="004700FA"/>
    <w:rsid w:val="004703D2"/>
    <w:rsid w:val="004709D1"/>
    <w:rsid w:val="00470AFF"/>
    <w:rsid w:val="0047107E"/>
    <w:rsid w:val="00471129"/>
    <w:rsid w:val="00471456"/>
    <w:rsid w:val="004721A7"/>
    <w:rsid w:val="004722F5"/>
    <w:rsid w:val="00472986"/>
    <w:rsid w:val="00473DD7"/>
    <w:rsid w:val="004741BB"/>
    <w:rsid w:val="004744C0"/>
    <w:rsid w:val="0047481E"/>
    <w:rsid w:val="00474841"/>
    <w:rsid w:val="00474953"/>
    <w:rsid w:val="00474ABA"/>
    <w:rsid w:val="00474D94"/>
    <w:rsid w:val="0047545D"/>
    <w:rsid w:val="0047571C"/>
    <w:rsid w:val="00475963"/>
    <w:rsid w:val="00475A27"/>
    <w:rsid w:val="004762DA"/>
    <w:rsid w:val="00476600"/>
    <w:rsid w:val="004766FF"/>
    <w:rsid w:val="004768BD"/>
    <w:rsid w:val="00476BD3"/>
    <w:rsid w:val="00476CDE"/>
    <w:rsid w:val="00476F33"/>
    <w:rsid w:val="0047756D"/>
    <w:rsid w:val="004777A5"/>
    <w:rsid w:val="004802E2"/>
    <w:rsid w:val="00480680"/>
    <w:rsid w:val="00481E22"/>
    <w:rsid w:val="0048200E"/>
    <w:rsid w:val="0048269D"/>
    <w:rsid w:val="0048277D"/>
    <w:rsid w:val="00482E91"/>
    <w:rsid w:val="004832CE"/>
    <w:rsid w:val="004834A8"/>
    <w:rsid w:val="00483564"/>
    <w:rsid w:val="00484138"/>
    <w:rsid w:val="0048467C"/>
    <w:rsid w:val="00484838"/>
    <w:rsid w:val="00484CF5"/>
    <w:rsid w:val="00485405"/>
    <w:rsid w:val="00485589"/>
    <w:rsid w:val="00485B57"/>
    <w:rsid w:val="0048665B"/>
    <w:rsid w:val="00486EB7"/>
    <w:rsid w:val="00487892"/>
    <w:rsid w:val="00487B0D"/>
    <w:rsid w:val="00487CD9"/>
    <w:rsid w:val="0049042D"/>
    <w:rsid w:val="004907DC"/>
    <w:rsid w:val="00490C28"/>
    <w:rsid w:val="00490CDC"/>
    <w:rsid w:val="00491A77"/>
    <w:rsid w:val="00492559"/>
    <w:rsid w:val="00492888"/>
    <w:rsid w:val="00492C44"/>
    <w:rsid w:val="00492D12"/>
    <w:rsid w:val="0049363E"/>
    <w:rsid w:val="00493B9A"/>
    <w:rsid w:val="00493C6D"/>
    <w:rsid w:val="00493CB1"/>
    <w:rsid w:val="00494DCF"/>
    <w:rsid w:val="00496508"/>
    <w:rsid w:val="00496537"/>
    <w:rsid w:val="00496829"/>
    <w:rsid w:val="004968E9"/>
    <w:rsid w:val="00496AF8"/>
    <w:rsid w:val="00496CCB"/>
    <w:rsid w:val="004978A4"/>
    <w:rsid w:val="004A00C6"/>
    <w:rsid w:val="004A01E0"/>
    <w:rsid w:val="004A068C"/>
    <w:rsid w:val="004A0847"/>
    <w:rsid w:val="004A099C"/>
    <w:rsid w:val="004A104A"/>
    <w:rsid w:val="004A1640"/>
    <w:rsid w:val="004A196E"/>
    <w:rsid w:val="004A1C00"/>
    <w:rsid w:val="004A1DC1"/>
    <w:rsid w:val="004A26B0"/>
    <w:rsid w:val="004A2791"/>
    <w:rsid w:val="004A2D1E"/>
    <w:rsid w:val="004A38EF"/>
    <w:rsid w:val="004A4161"/>
    <w:rsid w:val="004A4C39"/>
    <w:rsid w:val="004A50AE"/>
    <w:rsid w:val="004A5140"/>
    <w:rsid w:val="004A6503"/>
    <w:rsid w:val="004A694C"/>
    <w:rsid w:val="004A73FC"/>
    <w:rsid w:val="004A777D"/>
    <w:rsid w:val="004A7EE7"/>
    <w:rsid w:val="004B05FD"/>
    <w:rsid w:val="004B0DC5"/>
    <w:rsid w:val="004B0FAD"/>
    <w:rsid w:val="004B12C1"/>
    <w:rsid w:val="004B13E5"/>
    <w:rsid w:val="004B1535"/>
    <w:rsid w:val="004B1DBF"/>
    <w:rsid w:val="004B205B"/>
    <w:rsid w:val="004B241F"/>
    <w:rsid w:val="004B290D"/>
    <w:rsid w:val="004B3BB8"/>
    <w:rsid w:val="004B4239"/>
    <w:rsid w:val="004B439D"/>
    <w:rsid w:val="004B4BAD"/>
    <w:rsid w:val="004B4C37"/>
    <w:rsid w:val="004B4CB4"/>
    <w:rsid w:val="004B5818"/>
    <w:rsid w:val="004B64AA"/>
    <w:rsid w:val="004B662B"/>
    <w:rsid w:val="004B6E3D"/>
    <w:rsid w:val="004B6EDC"/>
    <w:rsid w:val="004B7703"/>
    <w:rsid w:val="004B7DA5"/>
    <w:rsid w:val="004B7E86"/>
    <w:rsid w:val="004B7F2E"/>
    <w:rsid w:val="004C0198"/>
    <w:rsid w:val="004C02BE"/>
    <w:rsid w:val="004C03A3"/>
    <w:rsid w:val="004C1340"/>
    <w:rsid w:val="004C13D8"/>
    <w:rsid w:val="004C155A"/>
    <w:rsid w:val="004C187B"/>
    <w:rsid w:val="004C1CA8"/>
    <w:rsid w:val="004C1E9E"/>
    <w:rsid w:val="004C1FA3"/>
    <w:rsid w:val="004C280C"/>
    <w:rsid w:val="004C29E5"/>
    <w:rsid w:val="004C2A26"/>
    <w:rsid w:val="004C2B4B"/>
    <w:rsid w:val="004C2F7B"/>
    <w:rsid w:val="004C3288"/>
    <w:rsid w:val="004C3413"/>
    <w:rsid w:val="004C37CE"/>
    <w:rsid w:val="004C404C"/>
    <w:rsid w:val="004C47A5"/>
    <w:rsid w:val="004C48F2"/>
    <w:rsid w:val="004C4969"/>
    <w:rsid w:val="004C4C8B"/>
    <w:rsid w:val="004C5345"/>
    <w:rsid w:val="004C5BE9"/>
    <w:rsid w:val="004C6A02"/>
    <w:rsid w:val="004C773D"/>
    <w:rsid w:val="004C7A95"/>
    <w:rsid w:val="004C7D16"/>
    <w:rsid w:val="004D0133"/>
    <w:rsid w:val="004D0507"/>
    <w:rsid w:val="004D0A71"/>
    <w:rsid w:val="004D1501"/>
    <w:rsid w:val="004D161C"/>
    <w:rsid w:val="004D1947"/>
    <w:rsid w:val="004D1B25"/>
    <w:rsid w:val="004D1CFF"/>
    <w:rsid w:val="004D235E"/>
    <w:rsid w:val="004D268B"/>
    <w:rsid w:val="004D2C78"/>
    <w:rsid w:val="004D32CF"/>
    <w:rsid w:val="004D3A77"/>
    <w:rsid w:val="004D4E1F"/>
    <w:rsid w:val="004D4FB7"/>
    <w:rsid w:val="004D595C"/>
    <w:rsid w:val="004D5CD9"/>
    <w:rsid w:val="004D5F07"/>
    <w:rsid w:val="004D665D"/>
    <w:rsid w:val="004D75A2"/>
    <w:rsid w:val="004D798F"/>
    <w:rsid w:val="004D7B95"/>
    <w:rsid w:val="004D7C2F"/>
    <w:rsid w:val="004D7E09"/>
    <w:rsid w:val="004E02D4"/>
    <w:rsid w:val="004E035A"/>
    <w:rsid w:val="004E0B69"/>
    <w:rsid w:val="004E1CF7"/>
    <w:rsid w:val="004E1DEE"/>
    <w:rsid w:val="004E1FD6"/>
    <w:rsid w:val="004E2208"/>
    <w:rsid w:val="004E276F"/>
    <w:rsid w:val="004E30D9"/>
    <w:rsid w:val="004E368D"/>
    <w:rsid w:val="004E37B0"/>
    <w:rsid w:val="004E397B"/>
    <w:rsid w:val="004E3FD3"/>
    <w:rsid w:val="004E4F1F"/>
    <w:rsid w:val="004E5545"/>
    <w:rsid w:val="004E5758"/>
    <w:rsid w:val="004E5954"/>
    <w:rsid w:val="004E5EDC"/>
    <w:rsid w:val="004E650E"/>
    <w:rsid w:val="004E7319"/>
    <w:rsid w:val="004E768C"/>
    <w:rsid w:val="004E7719"/>
    <w:rsid w:val="004E78F8"/>
    <w:rsid w:val="004F00C4"/>
    <w:rsid w:val="004F192F"/>
    <w:rsid w:val="004F1A8A"/>
    <w:rsid w:val="004F2A46"/>
    <w:rsid w:val="004F2ADA"/>
    <w:rsid w:val="004F3129"/>
    <w:rsid w:val="004F3415"/>
    <w:rsid w:val="004F3B87"/>
    <w:rsid w:val="004F3E1A"/>
    <w:rsid w:val="004F40CD"/>
    <w:rsid w:val="004F40EA"/>
    <w:rsid w:val="004F4D8F"/>
    <w:rsid w:val="004F5060"/>
    <w:rsid w:val="004F52CE"/>
    <w:rsid w:val="004F54EB"/>
    <w:rsid w:val="004F5728"/>
    <w:rsid w:val="004F5AE2"/>
    <w:rsid w:val="004F5BF8"/>
    <w:rsid w:val="004F5F9B"/>
    <w:rsid w:val="004F69A3"/>
    <w:rsid w:val="004F6A1F"/>
    <w:rsid w:val="004F6B23"/>
    <w:rsid w:val="004F6EA3"/>
    <w:rsid w:val="004F6FCE"/>
    <w:rsid w:val="004F743F"/>
    <w:rsid w:val="00500191"/>
    <w:rsid w:val="00500518"/>
    <w:rsid w:val="00501405"/>
    <w:rsid w:val="00501D7C"/>
    <w:rsid w:val="0050231D"/>
    <w:rsid w:val="00502FD5"/>
    <w:rsid w:val="00503114"/>
    <w:rsid w:val="0050342B"/>
    <w:rsid w:val="00503811"/>
    <w:rsid w:val="00503909"/>
    <w:rsid w:val="00503A72"/>
    <w:rsid w:val="00503A93"/>
    <w:rsid w:val="005040B7"/>
    <w:rsid w:val="00504CCB"/>
    <w:rsid w:val="00504D97"/>
    <w:rsid w:val="00504E5F"/>
    <w:rsid w:val="0050537F"/>
    <w:rsid w:val="005056AE"/>
    <w:rsid w:val="00505BEF"/>
    <w:rsid w:val="00505F0D"/>
    <w:rsid w:val="005061FC"/>
    <w:rsid w:val="00506588"/>
    <w:rsid w:val="005065F5"/>
    <w:rsid w:val="00506C2B"/>
    <w:rsid w:val="005074BA"/>
    <w:rsid w:val="005075FA"/>
    <w:rsid w:val="00507A82"/>
    <w:rsid w:val="00507C80"/>
    <w:rsid w:val="005101AC"/>
    <w:rsid w:val="00510597"/>
    <w:rsid w:val="00510D8D"/>
    <w:rsid w:val="00511B69"/>
    <w:rsid w:val="005129DA"/>
    <w:rsid w:val="00512BB2"/>
    <w:rsid w:val="00512BCE"/>
    <w:rsid w:val="00512E40"/>
    <w:rsid w:val="005131AB"/>
    <w:rsid w:val="00513222"/>
    <w:rsid w:val="005139EB"/>
    <w:rsid w:val="00513B31"/>
    <w:rsid w:val="0051484B"/>
    <w:rsid w:val="005148BF"/>
    <w:rsid w:val="00514996"/>
    <w:rsid w:val="005149A5"/>
    <w:rsid w:val="005154B4"/>
    <w:rsid w:val="005154DC"/>
    <w:rsid w:val="00515525"/>
    <w:rsid w:val="0051558D"/>
    <w:rsid w:val="005156FA"/>
    <w:rsid w:val="005157F9"/>
    <w:rsid w:val="00515CB8"/>
    <w:rsid w:val="005169D5"/>
    <w:rsid w:val="00516B95"/>
    <w:rsid w:val="00517040"/>
    <w:rsid w:val="00517E5D"/>
    <w:rsid w:val="00517E67"/>
    <w:rsid w:val="00517F54"/>
    <w:rsid w:val="005200EE"/>
    <w:rsid w:val="0052080E"/>
    <w:rsid w:val="00520824"/>
    <w:rsid w:val="00520D78"/>
    <w:rsid w:val="00521006"/>
    <w:rsid w:val="005215D6"/>
    <w:rsid w:val="005217CA"/>
    <w:rsid w:val="00521E86"/>
    <w:rsid w:val="0052222D"/>
    <w:rsid w:val="00522744"/>
    <w:rsid w:val="005229D3"/>
    <w:rsid w:val="00522E44"/>
    <w:rsid w:val="00523023"/>
    <w:rsid w:val="005230FC"/>
    <w:rsid w:val="005237C9"/>
    <w:rsid w:val="00523829"/>
    <w:rsid w:val="00523B28"/>
    <w:rsid w:val="00523D37"/>
    <w:rsid w:val="00524334"/>
    <w:rsid w:val="00524455"/>
    <w:rsid w:val="00524A4A"/>
    <w:rsid w:val="00525461"/>
    <w:rsid w:val="00525489"/>
    <w:rsid w:val="005257D3"/>
    <w:rsid w:val="00527208"/>
    <w:rsid w:val="00527C8F"/>
    <w:rsid w:val="00527D99"/>
    <w:rsid w:val="00530303"/>
    <w:rsid w:val="005307E2"/>
    <w:rsid w:val="00530ABF"/>
    <w:rsid w:val="00531B8C"/>
    <w:rsid w:val="00531D3A"/>
    <w:rsid w:val="0053239E"/>
    <w:rsid w:val="00532907"/>
    <w:rsid w:val="00532F41"/>
    <w:rsid w:val="005340BB"/>
    <w:rsid w:val="0053418A"/>
    <w:rsid w:val="00534827"/>
    <w:rsid w:val="00534A29"/>
    <w:rsid w:val="005352A6"/>
    <w:rsid w:val="00535564"/>
    <w:rsid w:val="005370CC"/>
    <w:rsid w:val="00537E4E"/>
    <w:rsid w:val="00540D8F"/>
    <w:rsid w:val="00540F36"/>
    <w:rsid w:val="00541431"/>
    <w:rsid w:val="0054172A"/>
    <w:rsid w:val="00542644"/>
    <w:rsid w:val="00543729"/>
    <w:rsid w:val="00544C43"/>
    <w:rsid w:val="00544EF0"/>
    <w:rsid w:val="00544FEC"/>
    <w:rsid w:val="0054592F"/>
    <w:rsid w:val="00545FE6"/>
    <w:rsid w:val="0054662D"/>
    <w:rsid w:val="00546BB6"/>
    <w:rsid w:val="00546EB5"/>
    <w:rsid w:val="005472B1"/>
    <w:rsid w:val="00547C71"/>
    <w:rsid w:val="00547F97"/>
    <w:rsid w:val="005501C0"/>
    <w:rsid w:val="0055028E"/>
    <w:rsid w:val="005504F7"/>
    <w:rsid w:val="00551535"/>
    <w:rsid w:val="005517E4"/>
    <w:rsid w:val="005523BC"/>
    <w:rsid w:val="00552403"/>
    <w:rsid w:val="00552AB4"/>
    <w:rsid w:val="0055361E"/>
    <w:rsid w:val="00553FEF"/>
    <w:rsid w:val="00554682"/>
    <w:rsid w:val="005548AA"/>
    <w:rsid w:val="0055491D"/>
    <w:rsid w:val="005551B6"/>
    <w:rsid w:val="00555B7C"/>
    <w:rsid w:val="005561C1"/>
    <w:rsid w:val="00556210"/>
    <w:rsid w:val="00556A7F"/>
    <w:rsid w:val="00556A95"/>
    <w:rsid w:val="00556C27"/>
    <w:rsid w:val="00556CA6"/>
    <w:rsid w:val="0055716C"/>
    <w:rsid w:val="00557886"/>
    <w:rsid w:val="00557BA7"/>
    <w:rsid w:val="00560352"/>
    <w:rsid w:val="00560361"/>
    <w:rsid w:val="00560431"/>
    <w:rsid w:val="00560678"/>
    <w:rsid w:val="00560A83"/>
    <w:rsid w:val="00561980"/>
    <w:rsid w:val="005619E7"/>
    <w:rsid w:val="00561D95"/>
    <w:rsid w:val="005621B8"/>
    <w:rsid w:val="005621FE"/>
    <w:rsid w:val="0056306D"/>
    <w:rsid w:val="00563095"/>
    <w:rsid w:val="005637C7"/>
    <w:rsid w:val="00563FE8"/>
    <w:rsid w:val="00564B87"/>
    <w:rsid w:val="005654E4"/>
    <w:rsid w:val="005657BE"/>
    <w:rsid w:val="00565CFC"/>
    <w:rsid w:val="005660FB"/>
    <w:rsid w:val="00566460"/>
    <w:rsid w:val="00566D8F"/>
    <w:rsid w:val="00566EF1"/>
    <w:rsid w:val="005676E2"/>
    <w:rsid w:val="0056786D"/>
    <w:rsid w:val="00567C3C"/>
    <w:rsid w:val="00570039"/>
    <w:rsid w:val="005711F1"/>
    <w:rsid w:val="00571446"/>
    <w:rsid w:val="00571F06"/>
    <w:rsid w:val="00572605"/>
    <w:rsid w:val="00572AA0"/>
    <w:rsid w:val="00572D19"/>
    <w:rsid w:val="00573319"/>
    <w:rsid w:val="0057334F"/>
    <w:rsid w:val="00573ED2"/>
    <w:rsid w:val="00574185"/>
    <w:rsid w:val="00574411"/>
    <w:rsid w:val="005745F9"/>
    <w:rsid w:val="00574EA3"/>
    <w:rsid w:val="005753A0"/>
    <w:rsid w:val="005753C2"/>
    <w:rsid w:val="005756DB"/>
    <w:rsid w:val="005758F3"/>
    <w:rsid w:val="00575D08"/>
    <w:rsid w:val="00576DFC"/>
    <w:rsid w:val="0057704B"/>
    <w:rsid w:val="00577164"/>
    <w:rsid w:val="0057729F"/>
    <w:rsid w:val="00580CA3"/>
    <w:rsid w:val="00580E70"/>
    <w:rsid w:val="005817F8"/>
    <w:rsid w:val="00581FAA"/>
    <w:rsid w:val="00583AE7"/>
    <w:rsid w:val="00583FDC"/>
    <w:rsid w:val="00584190"/>
    <w:rsid w:val="0058464F"/>
    <w:rsid w:val="00584A70"/>
    <w:rsid w:val="005857B3"/>
    <w:rsid w:val="00585842"/>
    <w:rsid w:val="00585AF9"/>
    <w:rsid w:val="00585E10"/>
    <w:rsid w:val="00586013"/>
    <w:rsid w:val="0058608D"/>
    <w:rsid w:val="00586710"/>
    <w:rsid w:val="00586B84"/>
    <w:rsid w:val="00587311"/>
    <w:rsid w:val="005873D5"/>
    <w:rsid w:val="00587544"/>
    <w:rsid w:val="00590048"/>
    <w:rsid w:val="00590332"/>
    <w:rsid w:val="005903ED"/>
    <w:rsid w:val="00590574"/>
    <w:rsid w:val="0059064A"/>
    <w:rsid w:val="00590BE3"/>
    <w:rsid w:val="00590F67"/>
    <w:rsid w:val="00591874"/>
    <w:rsid w:val="00591D1D"/>
    <w:rsid w:val="005920F6"/>
    <w:rsid w:val="00592584"/>
    <w:rsid w:val="0059321F"/>
    <w:rsid w:val="0059352B"/>
    <w:rsid w:val="0059393A"/>
    <w:rsid w:val="00593C25"/>
    <w:rsid w:val="00594253"/>
    <w:rsid w:val="00594536"/>
    <w:rsid w:val="00594E94"/>
    <w:rsid w:val="00594FB4"/>
    <w:rsid w:val="0059517E"/>
    <w:rsid w:val="005951A7"/>
    <w:rsid w:val="00595211"/>
    <w:rsid w:val="00595312"/>
    <w:rsid w:val="00596193"/>
    <w:rsid w:val="00596AE5"/>
    <w:rsid w:val="005970EE"/>
    <w:rsid w:val="00597208"/>
    <w:rsid w:val="005A02D1"/>
    <w:rsid w:val="005A0A6A"/>
    <w:rsid w:val="005A0F9E"/>
    <w:rsid w:val="005A13DA"/>
    <w:rsid w:val="005A1483"/>
    <w:rsid w:val="005A1859"/>
    <w:rsid w:val="005A1B71"/>
    <w:rsid w:val="005A1C14"/>
    <w:rsid w:val="005A1D01"/>
    <w:rsid w:val="005A1F9F"/>
    <w:rsid w:val="005A2970"/>
    <w:rsid w:val="005A2DC6"/>
    <w:rsid w:val="005A389F"/>
    <w:rsid w:val="005A3B8D"/>
    <w:rsid w:val="005A3E9B"/>
    <w:rsid w:val="005A3F2D"/>
    <w:rsid w:val="005A46A6"/>
    <w:rsid w:val="005A499C"/>
    <w:rsid w:val="005A4E72"/>
    <w:rsid w:val="005A4EDA"/>
    <w:rsid w:val="005A4F3B"/>
    <w:rsid w:val="005A5305"/>
    <w:rsid w:val="005A66EC"/>
    <w:rsid w:val="005A674F"/>
    <w:rsid w:val="005A7107"/>
    <w:rsid w:val="005A7B1F"/>
    <w:rsid w:val="005B0020"/>
    <w:rsid w:val="005B0254"/>
    <w:rsid w:val="005B02CB"/>
    <w:rsid w:val="005B0353"/>
    <w:rsid w:val="005B043B"/>
    <w:rsid w:val="005B0786"/>
    <w:rsid w:val="005B11F5"/>
    <w:rsid w:val="005B15FE"/>
    <w:rsid w:val="005B1A42"/>
    <w:rsid w:val="005B1C98"/>
    <w:rsid w:val="005B1D5E"/>
    <w:rsid w:val="005B2470"/>
    <w:rsid w:val="005B2C7D"/>
    <w:rsid w:val="005B2CF5"/>
    <w:rsid w:val="005B2F64"/>
    <w:rsid w:val="005B31F1"/>
    <w:rsid w:val="005B3620"/>
    <w:rsid w:val="005B3894"/>
    <w:rsid w:val="005B3E06"/>
    <w:rsid w:val="005B4830"/>
    <w:rsid w:val="005B4D0C"/>
    <w:rsid w:val="005B4ED4"/>
    <w:rsid w:val="005B52B3"/>
    <w:rsid w:val="005B5330"/>
    <w:rsid w:val="005B6491"/>
    <w:rsid w:val="005B669F"/>
    <w:rsid w:val="005B68FC"/>
    <w:rsid w:val="005B699F"/>
    <w:rsid w:val="005B6BE6"/>
    <w:rsid w:val="005B6C30"/>
    <w:rsid w:val="005B718C"/>
    <w:rsid w:val="005B72BB"/>
    <w:rsid w:val="005B74AE"/>
    <w:rsid w:val="005B751F"/>
    <w:rsid w:val="005B7E36"/>
    <w:rsid w:val="005C077C"/>
    <w:rsid w:val="005C0869"/>
    <w:rsid w:val="005C0A1F"/>
    <w:rsid w:val="005C0E10"/>
    <w:rsid w:val="005C1375"/>
    <w:rsid w:val="005C14C4"/>
    <w:rsid w:val="005C1E05"/>
    <w:rsid w:val="005C3DD5"/>
    <w:rsid w:val="005C3EB7"/>
    <w:rsid w:val="005C5061"/>
    <w:rsid w:val="005C5D43"/>
    <w:rsid w:val="005C6029"/>
    <w:rsid w:val="005C6032"/>
    <w:rsid w:val="005C617F"/>
    <w:rsid w:val="005C651A"/>
    <w:rsid w:val="005C6DAA"/>
    <w:rsid w:val="005C71B3"/>
    <w:rsid w:val="005C7570"/>
    <w:rsid w:val="005C7ADF"/>
    <w:rsid w:val="005C7CAD"/>
    <w:rsid w:val="005D03FE"/>
    <w:rsid w:val="005D0555"/>
    <w:rsid w:val="005D07ED"/>
    <w:rsid w:val="005D0BE0"/>
    <w:rsid w:val="005D1239"/>
    <w:rsid w:val="005D18BD"/>
    <w:rsid w:val="005D19E7"/>
    <w:rsid w:val="005D2DB3"/>
    <w:rsid w:val="005D35A7"/>
    <w:rsid w:val="005D3BA4"/>
    <w:rsid w:val="005D3F5A"/>
    <w:rsid w:val="005D43B2"/>
    <w:rsid w:val="005D440F"/>
    <w:rsid w:val="005D49D0"/>
    <w:rsid w:val="005D4A7B"/>
    <w:rsid w:val="005D4CBA"/>
    <w:rsid w:val="005D50F2"/>
    <w:rsid w:val="005D51CC"/>
    <w:rsid w:val="005D6067"/>
    <w:rsid w:val="005D64DD"/>
    <w:rsid w:val="005D6BEA"/>
    <w:rsid w:val="005D6D2E"/>
    <w:rsid w:val="005D6FFE"/>
    <w:rsid w:val="005D716E"/>
    <w:rsid w:val="005D7272"/>
    <w:rsid w:val="005D72D5"/>
    <w:rsid w:val="005D73A1"/>
    <w:rsid w:val="005D7814"/>
    <w:rsid w:val="005D7BC6"/>
    <w:rsid w:val="005D7E93"/>
    <w:rsid w:val="005E07C9"/>
    <w:rsid w:val="005E2A62"/>
    <w:rsid w:val="005E3B28"/>
    <w:rsid w:val="005E3E1D"/>
    <w:rsid w:val="005E4095"/>
    <w:rsid w:val="005E4145"/>
    <w:rsid w:val="005E495C"/>
    <w:rsid w:val="005E4E9E"/>
    <w:rsid w:val="005E5AE7"/>
    <w:rsid w:val="005E5DBA"/>
    <w:rsid w:val="005E5E98"/>
    <w:rsid w:val="005E60FA"/>
    <w:rsid w:val="005E651A"/>
    <w:rsid w:val="005E6CCE"/>
    <w:rsid w:val="005E71C5"/>
    <w:rsid w:val="005E76BC"/>
    <w:rsid w:val="005F050F"/>
    <w:rsid w:val="005F0E45"/>
    <w:rsid w:val="005F0FD8"/>
    <w:rsid w:val="005F105C"/>
    <w:rsid w:val="005F14A3"/>
    <w:rsid w:val="005F15ED"/>
    <w:rsid w:val="005F1F9A"/>
    <w:rsid w:val="005F24D1"/>
    <w:rsid w:val="005F29B4"/>
    <w:rsid w:val="005F2C87"/>
    <w:rsid w:val="005F325F"/>
    <w:rsid w:val="005F330D"/>
    <w:rsid w:val="005F3A8F"/>
    <w:rsid w:val="005F4650"/>
    <w:rsid w:val="005F4F0E"/>
    <w:rsid w:val="005F4F27"/>
    <w:rsid w:val="005F4F78"/>
    <w:rsid w:val="005F5A79"/>
    <w:rsid w:val="005F5CE6"/>
    <w:rsid w:val="005F601C"/>
    <w:rsid w:val="005F6740"/>
    <w:rsid w:val="005F69F4"/>
    <w:rsid w:val="005F6C29"/>
    <w:rsid w:val="005F6E3A"/>
    <w:rsid w:val="005F71BB"/>
    <w:rsid w:val="005F7489"/>
    <w:rsid w:val="005F772F"/>
    <w:rsid w:val="005F7B15"/>
    <w:rsid w:val="005F7B7B"/>
    <w:rsid w:val="005F7CB7"/>
    <w:rsid w:val="005F7D96"/>
    <w:rsid w:val="005F7E82"/>
    <w:rsid w:val="00600F50"/>
    <w:rsid w:val="00601A81"/>
    <w:rsid w:val="00601ACB"/>
    <w:rsid w:val="0060244E"/>
    <w:rsid w:val="00602DAA"/>
    <w:rsid w:val="00603D2A"/>
    <w:rsid w:val="00603E53"/>
    <w:rsid w:val="006042AD"/>
    <w:rsid w:val="006042EC"/>
    <w:rsid w:val="006044F2"/>
    <w:rsid w:val="006045F4"/>
    <w:rsid w:val="00604744"/>
    <w:rsid w:val="00604C70"/>
    <w:rsid w:val="00604D5A"/>
    <w:rsid w:val="0060538C"/>
    <w:rsid w:val="0060570B"/>
    <w:rsid w:val="00605811"/>
    <w:rsid w:val="00605B6A"/>
    <w:rsid w:val="00605EBA"/>
    <w:rsid w:val="00606800"/>
    <w:rsid w:val="00606C1F"/>
    <w:rsid w:val="00607C38"/>
    <w:rsid w:val="00607C90"/>
    <w:rsid w:val="00607DFE"/>
    <w:rsid w:val="00610597"/>
    <w:rsid w:val="00610E56"/>
    <w:rsid w:val="00610E5E"/>
    <w:rsid w:val="006114DC"/>
    <w:rsid w:val="0061159F"/>
    <w:rsid w:val="00611E71"/>
    <w:rsid w:val="0061220D"/>
    <w:rsid w:val="00612626"/>
    <w:rsid w:val="006130D5"/>
    <w:rsid w:val="00613198"/>
    <w:rsid w:val="006135D2"/>
    <w:rsid w:val="00613C56"/>
    <w:rsid w:val="00615172"/>
    <w:rsid w:val="006153A2"/>
    <w:rsid w:val="006153EF"/>
    <w:rsid w:val="006153FF"/>
    <w:rsid w:val="00615413"/>
    <w:rsid w:val="00615899"/>
    <w:rsid w:val="0061654D"/>
    <w:rsid w:val="0061656B"/>
    <w:rsid w:val="00617FBF"/>
    <w:rsid w:val="00620241"/>
    <w:rsid w:val="00620C7B"/>
    <w:rsid w:val="00620D3C"/>
    <w:rsid w:val="006211F4"/>
    <w:rsid w:val="006214D9"/>
    <w:rsid w:val="00621B52"/>
    <w:rsid w:val="006222F5"/>
    <w:rsid w:val="0062251C"/>
    <w:rsid w:val="00622541"/>
    <w:rsid w:val="00622B2D"/>
    <w:rsid w:val="00622DF4"/>
    <w:rsid w:val="0062372E"/>
    <w:rsid w:val="0062402D"/>
    <w:rsid w:val="006242A6"/>
    <w:rsid w:val="00624403"/>
    <w:rsid w:val="00624BFA"/>
    <w:rsid w:val="0062550C"/>
    <w:rsid w:val="0062594A"/>
    <w:rsid w:val="00626078"/>
    <w:rsid w:val="006263AF"/>
    <w:rsid w:val="00626513"/>
    <w:rsid w:val="00626923"/>
    <w:rsid w:val="00626A51"/>
    <w:rsid w:val="00626D10"/>
    <w:rsid w:val="006272C1"/>
    <w:rsid w:val="00627378"/>
    <w:rsid w:val="0063015D"/>
    <w:rsid w:val="0063020C"/>
    <w:rsid w:val="006302D8"/>
    <w:rsid w:val="006318C9"/>
    <w:rsid w:val="00631D22"/>
    <w:rsid w:val="00632068"/>
    <w:rsid w:val="0063219C"/>
    <w:rsid w:val="006323E3"/>
    <w:rsid w:val="00632493"/>
    <w:rsid w:val="0063277F"/>
    <w:rsid w:val="00633310"/>
    <w:rsid w:val="00633F7A"/>
    <w:rsid w:val="00634707"/>
    <w:rsid w:val="0063631E"/>
    <w:rsid w:val="0063659D"/>
    <w:rsid w:val="00636B65"/>
    <w:rsid w:val="00636BFE"/>
    <w:rsid w:val="00636E9F"/>
    <w:rsid w:val="0063771E"/>
    <w:rsid w:val="00637CBF"/>
    <w:rsid w:val="00637F6F"/>
    <w:rsid w:val="00640445"/>
    <w:rsid w:val="006407F1"/>
    <w:rsid w:val="006407F8"/>
    <w:rsid w:val="0064087D"/>
    <w:rsid w:val="006408F4"/>
    <w:rsid w:val="00640E19"/>
    <w:rsid w:val="006411D9"/>
    <w:rsid w:val="00641251"/>
    <w:rsid w:val="006418D7"/>
    <w:rsid w:val="00641B2E"/>
    <w:rsid w:val="00641EAE"/>
    <w:rsid w:val="006421BC"/>
    <w:rsid w:val="00642E8E"/>
    <w:rsid w:val="00643775"/>
    <w:rsid w:val="006437F2"/>
    <w:rsid w:val="00643ADE"/>
    <w:rsid w:val="00643DD4"/>
    <w:rsid w:val="006440A9"/>
    <w:rsid w:val="00644164"/>
    <w:rsid w:val="0064433F"/>
    <w:rsid w:val="006453B6"/>
    <w:rsid w:val="006456B7"/>
    <w:rsid w:val="00645A39"/>
    <w:rsid w:val="00645E1E"/>
    <w:rsid w:val="00645F8A"/>
    <w:rsid w:val="006460BD"/>
    <w:rsid w:val="006465B1"/>
    <w:rsid w:val="00646626"/>
    <w:rsid w:val="006476C3"/>
    <w:rsid w:val="006477AE"/>
    <w:rsid w:val="00647A7B"/>
    <w:rsid w:val="00647ACD"/>
    <w:rsid w:val="006512B2"/>
    <w:rsid w:val="0065146F"/>
    <w:rsid w:val="0065274D"/>
    <w:rsid w:val="00652C7E"/>
    <w:rsid w:val="006534C7"/>
    <w:rsid w:val="00653722"/>
    <w:rsid w:val="006540DA"/>
    <w:rsid w:val="00654CB4"/>
    <w:rsid w:val="0065503F"/>
    <w:rsid w:val="00655858"/>
    <w:rsid w:val="00656959"/>
    <w:rsid w:val="00656AFD"/>
    <w:rsid w:val="00656B11"/>
    <w:rsid w:val="00657BEA"/>
    <w:rsid w:val="00660C5B"/>
    <w:rsid w:val="00660E20"/>
    <w:rsid w:val="006611EE"/>
    <w:rsid w:val="006617F0"/>
    <w:rsid w:val="00662EC4"/>
    <w:rsid w:val="00663695"/>
    <w:rsid w:val="00664B50"/>
    <w:rsid w:val="00665F07"/>
    <w:rsid w:val="006663D4"/>
    <w:rsid w:val="0066659D"/>
    <w:rsid w:val="00666642"/>
    <w:rsid w:val="00666AB3"/>
    <w:rsid w:val="00666E83"/>
    <w:rsid w:val="006670A5"/>
    <w:rsid w:val="00667389"/>
    <w:rsid w:val="00667596"/>
    <w:rsid w:val="00667FE0"/>
    <w:rsid w:val="006703CF"/>
    <w:rsid w:val="006714F2"/>
    <w:rsid w:val="00671858"/>
    <w:rsid w:val="00672324"/>
    <w:rsid w:val="00672BA9"/>
    <w:rsid w:val="00672BE1"/>
    <w:rsid w:val="006739AE"/>
    <w:rsid w:val="00673B53"/>
    <w:rsid w:val="00673BD0"/>
    <w:rsid w:val="00673C3E"/>
    <w:rsid w:val="00675255"/>
    <w:rsid w:val="00675A47"/>
    <w:rsid w:val="00675F50"/>
    <w:rsid w:val="0067703E"/>
    <w:rsid w:val="006775E5"/>
    <w:rsid w:val="006776EC"/>
    <w:rsid w:val="0067773A"/>
    <w:rsid w:val="00680006"/>
    <w:rsid w:val="00680DD9"/>
    <w:rsid w:val="00680DEF"/>
    <w:rsid w:val="006810D0"/>
    <w:rsid w:val="00681BD5"/>
    <w:rsid w:val="00681BF0"/>
    <w:rsid w:val="00681D21"/>
    <w:rsid w:val="00681D72"/>
    <w:rsid w:val="00681F94"/>
    <w:rsid w:val="0068218C"/>
    <w:rsid w:val="006823C6"/>
    <w:rsid w:val="00682AC8"/>
    <w:rsid w:val="00683164"/>
    <w:rsid w:val="00683737"/>
    <w:rsid w:val="006843AC"/>
    <w:rsid w:val="00684978"/>
    <w:rsid w:val="00684C37"/>
    <w:rsid w:val="00685169"/>
    <w:rsid w:val="00685B51"/>
    <w:rsid w:val="00685C8D"/>
    <w:rsid w:val="00686182"/>
    <w:rsid w:val="006864B3"/>
    <w:rsid w:val="0068675C"/>
    <w:rsid w:val="00686890"/>
    <w:rsid w:val="00687154"/>
    <w:rsid w:val="00690670"/>
    <w:rsid w:val="006906A4"/>
    <w:rsid w:val="0069077D"/>
    <w:rsid w:val="00691031"/>
    <w:rsid w:val="006918A6"/>
    <w:rsid w:val="0069192F"/>
    <w:rsid w:val="0069195F"/>
    <w:rsid w:val="00691B9C"/>
    <w:rsid w:val="0069288F"/>
    <w:rsid w:val="0069299B"/>
    <w:rsid w:val="00692B36"/>
    <w:rsid w:val="00692B5B"/>
    <w:rsid w:val="00692E79"/>
    <w:rsid w:val="006931CC"/>
    <w:rsid w:val="006932EE"/>
    <w:rsid w:val="00693A42"/>
    <w:rsid w:val="00693A8D"/>
    <w:rsid w:val="00693B37"/>
    <w:rsid w:val="00693C04"/>
    <w:rsid w:val="00694303"/>
    <w:rsid w:val="00695480"/>
    <w:rsid w:val="006955B4"/>
    <w:rsid w:val="00695B6B"/>
    <w:rsid w:val="0069654A"/>
    <w:rsid w:val="00696E41"/>
    <w:rsid w:val="00697162"/>
    <w:rsid w:val="00697705"/>
    <w:rsid w:val="006A022F"/>
    <w:rsid w:val="006A0A49"/>
    <w:rsid w:val="006A0AA7"/>
    <w:rsid w:val="006A0B48"/>
    <w:rsid w:val="006A0B50"/>
    <w:rsid w:val="006A0C78"/>
    <w:rsid w:val="006A0CB4"/>
    <w:rsid w:val="006A1082"/>
    <w:rsid w:val="006A110F"/>
    <w:rsid w:val="006A1A78"/>
    <w:rsid w:val="006A1F61"/>
    <w:rsid w:val="006A2EF6"/>
    <w:rsid w:val="006A3085"/>
    <w:rsid w:val="006A34E5"/>
    <w:rsid w:val="006A34E8"/>
    <w:rsid w:val="006A3DAE"/>
    <w:rsid w:val="006A3E0F"/>
    <w:rsid w:val="006A4038"/>
    <w:rsid w:val="006A4090"/>
    <w:rsid w:val="006A41B8"/>
    <w:rsid w:val="006A4328"/>
    <w:rsid w:val="006A4B1C"/>
    <w:rsid w:val="006A5080"/>
    <w:rsid w:val="006A54F4"/>
    <w:rsid w:val="006A573A"/>
    <w:rsid w:val="006A58D4"/>
    <w:rsid w:val="006A598C"/>
    <w:rsid w:val="006A5AA4"/>
    <w:rsid w:val="006A5EAF"/>
    <w:rsid w:val="006A62FB"/>
    <w:rsid w:val="006A65C1"/>
    <w:rsid w:val="006A67A2"/>
    <w:rsid w:val="006A692D"/>
    <w:rsid w:val="006A6C1B"/>
    <w:rsid w:val="006A6C23"/>
    <w:rsid w:val="006A6E30"/>
    <w:rsid w:val="006A7776"/>
    <w:rsid w:val="006A7A47"/>
    <w:rsid w:val="006A7B78"/>
    <w:rsid w:val="006A7D4F"/>
    <w:rsid w:val="006B05A8"/>
    <w:rsid w:val="006B08C8"/>
    <w:rsid w:val="006B0A0D"/>
    <w:rsid w:val="006B0FE4"/>
    <w:rsid w:val="006B1370"/>
    <w:rsid w:val="006B1B5E"/>
    <w:rsid w:val="006B2861"/>
    <w:rsid w:val="006B38E8"/>
    <w:rsid w:val="006B391A"/>
    <w:rsid w:val="006B417F"/>
    <w:rsid w:val="006B41A0"/>
    <w:rsid w:val="006B5B61"/>
    <w:rsid w:val="006B5BD2"/>
    <w:rsid w:val="006B66A9"/>
    <w:rsid w:val="006B68EE"/>
    <w:rsid w:val="006B7544"/>
    <w:rsid w:val="006B7829"/>
    <w:rsid w:val="006B79E9"/>
    <w:rsid w:val="006C00D7"/>
    <w:rsid w:val="006C16A6"/>
    <w:rsid w:val="006C1954"/>
    <w:rsid w:val="006C1DB8"/>
    <w:rsid w:val="006C21C4"/>
    <w:rsid w:val="006C28A5"/>
    <w:rsid w:val="006C2AF1"/>
    <w:rsid w:val="006C2DEA"/>
    <w:rsid w:val="006C3161"/>
    <w:rsid w:val="006C3247"/>
    <w:rsid w:val="006C34C2"/>
    <w:rsid w:val="006C35D4"/>
    <w:rsid w:val="006C3B26"/>
    <w:rsid w:val="006C3CB1"/>
    <w:rsid w:val="006C3F68"/>
    <w:rsid w:val="006C492B"/>
    <w:rsid w:val="006C4C6F"/>
    <w:rsid w:val="006C541C"/>
    <w:rsid w:val="006C6DE4"/>
    <w:rsid w:val="006C6ECB"/>
    <w:rsid w:val="006C74F7"/>
    <w:rsid w:val="006C7B28"/>
    <w:rsid w:val="006C7D16"/>
    <w:rsid w:val="006C7D52"/>
    <w:rsid w:val="006D00F5"/>
    <w:rsid w:val="006D10EB"/>
    <w:rsid w:val="006D22EB"/>
    <w:rsid w:val="006D2357"/>
    <w:rsid w:val="006D2465"/>
    <w:rsid w:val="006D31FD"/>
    <w:rsid w:val="006D371E"/>
    <w:rsid w:val="006D3B05"/>
    <w:rsid w:val="006D3C16"/>
    <w:rsid w:val="006D3D69"/>
    <w:rsid w:val="006D40E5"/>
    <w:rsid w:val="006D44A0"/>
    <w:rsid w:val="006D478E"/>
    <w:rsid w:val="006D49B1"/>
    <w:rsid w:val="006D5221"/>
    <w:rsid w:val="006D5A02"/>
    <w:rsid w:val="006D607C"/>
    <w:rsid w:val="006D629F"/>
    <w:rsid w:val="006D6BC5"/>
    <w:rsid w:val="006D6D07"/>
    <w:rsid w:val="006D6E6F"/>
    <w:rsid w:val="006D6FFD"/>
    <w:rsid w:val="006D7201"/>
    <w:rsid w:val="006D7426"/>
    <w:rsid w:val="006D7E7D"/>
    <w:rsid w:val="006D7EB2"/>
    <w:rsid w:val="006E0319"/>
    <w:rsid w:val="006E11C5"/>
    <w:rsid w:val="006E1BEF"/>
    <w:rsid w:val="006E1EF9"/>
    <w:rsid w:val="006E2214"/>
    <w:rsid w:val="006E250F"/>
    <w:rsid w:val="006E2644"/>
    <w:rsid w:val="006E297A"/>
    <w:rsid w:val="006E299B"/>
    <w:rsid w:val="006E2C36"/>
    <w:rsid w:val="006E2FE7"/>
    <w:rsid w:val="006E3D31"/>
    <w:rsid w:val="006E4AFE"/>
    <w:rsid w:val="006E5237"/>
    <w:rsid w:val="006E5794"/>
    <w:rsid w:val="006E5D17"/>
    <w:rsid w:val="006E6081"/>
    <w:rsid w:val="006E670F"/>
    <w:rsid w:val="006E67F6"/>
    <w:rsid w:val="006E686D"/>
    <w:rsid w:val="006E689B"/>
    <w:rsid w:val="006E6EA5"/>
    <w:rsid w:val="006E702A"/>
    <w:rsid w:val="006E79A2"/>
    <w:rsid w:val="006E7E2E"/>
    <w:rsid w:val="006F0164"/>
    <w:rsid w:val="006F03C1"/>
    <w:rsid w:val="006F042E"/>
    <w:rsid w:val="006F072F"/>
    <w:rsid w:val="006F0779"/>
    <w:rsid w:val="006F09E3"/>
    <w:rsid w:val="006F09EB"/>
    <w:rsid w:val="006F1055"/>
    <w:rsid w:val="006F1D7E"/>
    <w:rsid w:val="006F24D7"/>
    <w:rsid w:val="006F2527"/>
    <w:rsid w:val="006F2826"/>
    <w:rsid w:val="006F385D"/>
    <w:rsid w:val="006F4296"/>
    <w:rsid w:val="006F441C"/>
    <w:rsid w:val="006F4719"/>
    <w:rsid w:val="006F5B04"/>
    <w:rsid w:val="006F5E4B"/>
    <w:rsid w:val="006F5EDD"/>
    <w:rsid w:val="006F6768"/>
    <w:rsid w:val="006F6C57"/>
    <w:rsid w:val="006F6E78"/>
    <w:rsid w:val="006F7758"/>
    <w:rsid w:val="006F7D26"/>
    <w:rsid w:val="007011A2"/>
    <w:rsid w:val="007012F4"/>
    <w:rsid w:val="00702082"/>
    <w:rsid w:val="0070272E"/>
    <w:rsid w:val="007027E0"/>
    <w:rsid w:val="00703B78"/>
    <w:rsid w:val="00703B93"/>
    <w:rsid w:val="0070463F"/>
    <w:rsid w:val="0070483F"/>
    <w:rsid w:val="00704C98"/>
    <w:rsid w:val="00704CB8"/>
    <w:rsid w:val="00704FCD"/>
    <w:rsid w:val="007050F3"/>
    <w:rsid w:val="00705436"/>
    <w:rsid w:val="007057DE"/>
    <w:rsid w:val="007059C7"/>
    <w:rsid w:val="00706EF6"/>
    <w:rsid w:val="0070714E"/>
    <w:rsid w:val="0070757F"/>
    <w:rsid w:val="00707AC1"/>
    <w:rsid w:val="0071033B"/>
    <w:rsid w:val="00710FF3"/>
    <w:rsid w:val="00711554"/>
    <w:rsid w:val="007118D0"/>
    <w:rsid w:val="007118EC"/>
    <w:rsid w:val="00711C8C"/>
    <w:rsid w:val="007126AA"/>
    <w:rsid w:val="007128A4"/>
    <w:rsid w:val="00712BD5"/>
    <w:rsid w:val="00712C95"/>
    <w:rsid w:val="007131B2"/>
    <w:rsid w:val="007132D9"/>
    <w:rsid w:val="00713359"/>
    <w:rsid w:val="007134CB"/>
    <w:rsid w:val="007135F0"/>
    <w:rsid w:val="00713641"/>
    <w:rsid w:val="007138EB"/>
    <w:rsid w:val="00713AEF"/>
    <w:rsid w:val="00715535"/>
    <w:rsid w:val="0071650A"/>
    <w:rsid w:val="00716B7D"/>
    <w:rsid w:val="007175D7"/>
    <w:rsid w:val="00717746"/>
    <w:rsid w:val="00720052"/>
    <w:rsid w:val="00720A01"/>
    <w:rsid w:val="0072109E"/>
    <w:rsid w:val="007214D6"/>
    <w:rsid w:val="007216F1"/>
    <w:rsid w:val="007218A4"/>
    <w:rsid w:val="00721AB7"/>
    <w:rsid w:val="00721F06"/>
    <w:rsid w:val="007226F3"/>
    <w:rsid w:val="00722FC6"/>
    <w:rsid w:val="00723E14"/>
    <w:rsid w:val="007249D9"/>
    <w:rsid w:val="007255EF"/>
    <w:rsid w:val="007258B5"/>
    <w:rsid w:val="00725BDE"/>
    <w:rsid w:val="00725D5D"/>
    <w:rsid w:val="007262D9"/>
    <w:rsid w:val="007264D5"/>
    <w:rsid w:val="00727339"/>
    <w:rsid w:val="00727A35"/>
    <w:rsid w:val="00727B9A"/>
    <w:rsid w:val="007302C1"/>
    <w:rsid w:val="007307C5"/>
    <w:rsid w:val="0073081F"/>
    <w:rsid w:val="00730ACC"/>
    <w:rsid w:val="00730BAA"/>
    <w:rsid w:val="007312C7"/>
    <w:rsid w:val="00733171"/>
    <w:rsid w:val="00733272"/>
    <w:rsid w:val="00733E26"/>
    <w:rsid w:val="00734172"/>
    <w:rsid w:val="0073456F"/>
    <w:rsid w:val="00734647"/>
    <w:rsid w:val="00734688"/>
    <w:rsid w:val="00734F26"/>
    <w:rsid w:val="00735574"/>
    <w:rsid w:val="00735581"/>
    <w:rsid w:val="00735F15"/>
    <w:rsid w:val="0073621C"/>
    <w:rsid w:val="007363E3"/>
    <w:rsid w:val="00736CDD"/>
    <w:rsid w:val="0073740C"/>
    <w:rsid w:val="007375C6"/>
    <w:rsid w:val="0074022D"/>
    <w:rsid w:val="00740515"/>
    <w:rsid w:val="0074069A"/>
    <w:rsid w:val="00740B3C"/>
    <w:rsid w:val="00740C36"/>
    <w:rsid w:val="00741A64"/>
    <w:rsid w:val="00741F56"/>
    <w:rsid w:val="0074227D"/>
    <w:rsid w:val="007430D0"/>
    <w:rsid w:val="00743878"/>
    <w:rsid w:val="00743FFB"/>
    <w:rsid w:val="00744012"/>
    <w:rsid w:val="00744426"/>
    <w:rsid w:val="007444FD"/>
    <w:rsid w:val="00744573"/>
    <w:rsid w:val="00744C87"/>
    <w:rsid w:val="00745748"/>
    <w:rsid w:val="007458CE"/>
    <w:rsid w:val="00745ADB"/>
    <w:rsid w:val="00745D75"/>
    <w:rsid w:val="00745EC5"/>
    <w:rsid w:val="00746681"/>
    <w:rsid w:val="007467F2"/>
    <w:rsid w:val="0074685C"/>
    <w:rsid w:val="00746DFB"/>
    <w:rsid w:val="0074721A"/>
    <w:rsid w:val="0074765B"/>
    <w:rsid w:val="007479FD"/>
    <w:rsid w:val="00747B2E"/>
    <w:rsid w:val="0075004C"/>
    <w:rsid w:val="00750D1D"/>
    <w:rsid w:val="00751640"/>
    <w:rsid w:val="00752032"/>
    <w:rsid w:val="00752213"/>
    <w:rsid w:val="007529C7"/>
    <w:rsid w:val="00753246"/>
    <w:rsid w:val="007533AB"/>
    <w:rsid w:val="00753B7C"/>
    <w:rsid w:val="00753D09"/>
    <w:rsid w:val="00754333"/>
    <w:rsid w:val="00754625"/>
    <w:rsid w:val="00755446"/>
    <w:rsid w:val="007556AF"/>
    <w:rsid w:val="00755BA2"/>
    <w:rsid w:val="00755BCF"/>
    <w:rsid w:val="0075645D"/>
    <w:rsid w:val="0075663E"/>
    <w:rsid w:val="007569E0"/>
    <w:rsid w:val="00756E9C"/>
    <w:rsid w:val="00757B4D"/>
    <w:rsid w:val="0076017A"/>
    <w:rsid w:val="007608B8"/>
    <w:rsid w:val="00760A75"/>
    <w:rsid w:val="007615DE"/>
    <w:rsid w:val="007618A2"/>
    <w:rsid w:val="00761D3B"/>
    <w:rsid w:val="007620C9"/>
    <w:rsid w:val="0076238F"/>
    <w:rsid w:val="007625EB"/>
    <w:rsid w:val="007626BF"/>
    <w:rsid w:val="00762ACD"/>
    <w:rsid w:val="0076387A"/>
    <w:rsid w:val="0076387F"/>
    <w:rsid w:val="00763FFC"/>
    <w:rsid w:val="007643A4"/>
    <w:rsid w:val="00764682"/>
    <w:rsid w:val="00764CB6"/>
    <w:rsid w:val="00764ECA"/>
    <w:rsid w:val="007654F7"/>
    <w:rsid w:val="0076599B"/>
    <w:rsid w:val="00766244"/>
    <w:rsid w:val="00766382"/>
    <w:rsid w:val="00766B3B"/>
    <w:rsid w:val="007702C1"/>
    <w:rsid w:val="00770E45"/>
    <w:rsid w:val="0077158F"/>
    <w:rsid w:val="007718A2"/>
    <w:rsid w:val="00771FF9"/>
    <w:rsid w:val="007723C7"/>
    <w:rsid w:val="00772A8E"/>
    <w:rsid w:val="00772C54"/>
    <w:rsid w:val="00772FBC"/>
    <w:rsid w:val="007732F0"/>
    <w:rsid w:val="0077389F"/>
    <w:rsid w:val="00773946"/>
    <w:rsid w:val="00774633"/>
    <w:rsid w:val="007748B7"/>
    <w:rsid w:val="00774C57"/>
    <w:rsid w:val="007753AA"/>
    <w:rsid w:val="00775415"/>
    <w:rsid w:val="00775519"/>
    <w:rsid w:val="00775748"/>
    <w:rsid w:val="00775D44"/>
    <w:rsid w:val="007761A5"/>
    <w:rsid w:val="007768B4"/>
    <w:rsid w:val="007770A3"/>
    <w:rsid w:val="00777BD7"/>
    <w:rsid w:val="0078011B"/>
    <w:rsid w:val="007801F3"/>
    <w:rsid w:val="00780272"/>
    <w:rsid w:val="0078076D"/>
    <w:rsid w:val="00780A26"/>
    <w:rsid w:val="00780EF4"/>
    <w:rsid w:val="00782014"/>
    <w:rsid w:val="0078203A"/>
    <w:rsid w:val="007826E8"/>
    <w:rsid w:val="00782909"/>
    <w:rsid w:val="00782A45"/>
    <w:rsid w:val="0078347B"/>
    <w:rsid w:val="00783C67"/>
    <w:rsid w:val="00784B1E"/>
    <w:rsid w:val="00784E8A"/>
    <w:rsid w:val="00785E36"/>
    <w:rsid w:val="007861A7"/>
    <w:rsid w:val="00786347"/>
    <w:rsid w:val="00786438"/>
    <w:rsid w:val="00786439"/>
    <w:rsid w:val="0079109F"/>
    <w:rsid w:val="007917B6"/>
    <w:rsid w:val="007919AF"/>
    <w:rsid w:val="00791B99"/>
    <w:rsid w:val="00791F3E"/>
    <w:rsid w:val="007920AA"/>
    <w:rsid w:val="007927BE"/>
    <w:rsid w:val="007929A9"/>
    <w:rsid w:val="00792E25"/>
    <w:rsid w:val="00793282"/>
    <w:rsid w:val="007932F7"/>
    <w:rsid w:val="00793ED5"/>
    <w:rsid w:val="007942AE"/>
    <w:rsid w:val="00794565"/>
    <w:rsid w:val="00794C4B"/>
    <w:rsid w:val="0079533A"/>
    <w:rsid w:val="00795889"/>
    <w:rsid w:val="00795B29"/>
    <w:rsid w:val="00795B6B"/>
    <w:rsid w:val="00795B80"/>
    <w:rsid w:val="007967CC"/>
    <w:rsid w:val="00796B7E"/>
    <w:rsid w:val="00796EC8"/>
    <w:rsid w:val="007A09C9"/>
    <w:rsid w:val="007A1140"/>
    <w:rsid w:val="007A151E"/>
    <w:rsid w:val="007A16AD"/>
    <w:rsid w:val="007A2153"/>
    <w:rsid w:val="007A255B"/>
    <w:rsid w:val="007A2BCD"/>
    <w:rsid w:val="007A3204"/>
    <w:rsid w:val="007A34FC"/>
    <w:rsid w:val="007A3610"/>
    <w:rsid w:val="007A4055"/>
    <w:rsid w:val="007A6224"/>
    <w:rsid w:val="007A72EF"/>
    <w:rsid w:val="007B110E"/>
    <w:rsid w:val="007B138B"/>
    <w:rsid w:val="007B1956"/>
    <w:rsid w:val="007B2125"/>
    <w:rsid w:val="007B27BE"/>
    <w:rsid w:val="007B29CA"/>
    <w:rsid w:val="007B330B"/>
    <w:rsid w:val="007B3EDC"/>
    <w:rsid w:val="007B43AD"/>
    <w:rsid w:val="007B48ED"/>
    <w:rsid w:val="007B4C06"/>
    <w:rsid w:val="007B4C4F"/>
    <w:rsid w:val="007B4E01"/>
    <w:rsid w:val="007B5CB4"/>
    <w:rsid w:val="007B5D2C"/>
    <w:rsid w:val="007B5DBF"/>
    <w:rsid w:val="007B5FC2"/>
    <w:rsid w:val="007B6911"/>
    <w:rsid w:val="007B691F"/>
    <w:rsid w:val="007B6C7A"/>
    <w:rsid w:val="007B76BD"/>
    <w:rsid w:val="007B79ED"/>
    <w:rsid w:val="007B79FC"/>
    <w:rsid w:val="007C0203"/>
    <w:rsid w:val="007C024C"/>
    <w:rsid w:val="007C0FC6"/>
    <w:rsid w:val="007C1A82"/>
    <w:rsid w:val="007C220A"/>
    <w:rsid w:val="007C22B7"/>
    <w:rsid w:val="007C2321"/>
    <w:rsid w:val="007C286C"/>
    <w:rsid w:val="007C390B"/>
    <w:rsid w:val="007C39C9"/>
    <w:rsid w:val="007C3B18"/>
    <w:rsid w:val="007C3B80"/>
    <w:rsid w:val="007C3D84"/>
    <w:rsid w:val="007C3ECA"/>
    <w:rsid w:val="007C4C1D"/>
    <w:rsid w:val="007C5254"/>
    <w:rsid w:val="007C5CEE"/>
    <w:rsid w:val="007C5EF5"/>
    <w:rsid w:val="007C646B"/>
    <w:rsid w:val="007C67A9"/>
    <w:rsid w:val="007C749C"/>
    <w:rsid w:val="007C76F0"/>
    <w:rsid w:val="007C7864"/>
    <w:rsid w:val="007C7DBA"/>
    <w:rsid w:val="007C7E87"/>
    <w:rsid w:val="007C7F4A"/>
    <w:rsid w:val="007D0B66"/>
    <w:rsid w:val="007D0DC7"/>
    <w:rsid w:val="007D1475"/>
    <w:rsid w:val="007D172B"/>
    <w:rsid w:val="007D1AA0"/>
    <w:rsid w:val="007D1C25"/>
    <w:rsid w:val="007D2023"/>
    <w:rsid w:val="007D20A6"/>
    <w:rsid w:val="007D215D"/>
    <w:rsid w:val="007D281F"/>
    <w:rsid w:val="007D28E0"/>
    <w:rsid w:val="007D29FF"/>
    <w:rsid w:val="007D2E7E"/>
    <w:rsid w:val="007D3013"/>
    <w:rsid w:val="007D37FA"/>
    <w:rsid w:val="007D413B"/>
    <w:rsid w:val="007D4722"/>
    <w:rsid w:val="007D556D"/>
    <w:rsid w:val="007D56EE"/>
    <w:rsid w:val="007D61E3"/>
    <w:rsid w:val="007D6275"/>
    <w:rsid w:val="007D6603"/>
    <w:rsid w:val="007D6696"/>
    <w:rsid w:val="007D6FB8"/>
    <w:rsid w:val="007D70A9"/>
    <w:rsid w:val="007D7113"/>
    <w:rsid w:val="007D790A"/>
    <w:rsid w:val="007D7D72"/>
    <w:rsid w:val="007D7FCF"/>
    <w:rsid w:val="007E0F91"/>
    <w:rsid w:val="007E10A2"/>
    <w:rsid w:val="007E110E"/>
    <w:rsid w:val="007E1235"/>
    <w:rsid w:val="007E13D1"/>
    <w:rsid w:val="007E1728"/>
    <w:rsid w:val="007E1B5C"/>
    <w:rsid w:val="007E2040"/>
    <w:rsid w:val="007E2204"/>
    <w:rsid w:val="007E24AB"/>
    <w:rsid w:val="007E2691"/>
    <w:rsid w:val="007E270B"/>
    <w:rsid w:val="007E29FC"/>
    <w:rsid w:val="007E2CAE"/>
    <w:rsid w:val="007E2E05"/>
    <w:rsid w:val="007E3696"/>
    <w:rsid w:val="007E383E"/>
    <w:rsid w:val="007E3AA3"/>
    <w:rsid w:val="007E41DD"/>
    <w:rsid w:val="007E4421"/>
    <w:rsid w:val="007E450C"/>
    <w:rsid w:val="007E4732"/>
    <w:rsid w:val="007E4A31"/>
    <w:rsid w:val="007E4B97"/>
    <w:rsid w:val="007E5144"/>
    <w:rsid w:val="007E5222"/>
    <w:rsid w:val="007E577E"/>
    <w:rsid w:val="007E5E12"/>
    <w:rsid w:val="007E68C9"/>
    <w:rsid w:val="007E782E"/>
    <w:rsid w:val="007E7978"/>
    <w:rsid w:val="007F0875"/>
    <w:rsid w:val="007F0A78"/>
    <w:rsid w:val="007F0DF5"/>
    <w:rsid w:val="007F125C"/>
    <w:rsid w:val="007F12FA"/>
    <w:rsid w:val="007F1443"/>
    <w:rsid w:val="007F16E9"/>
    <w:rsid w:val="007F1B94"/>
    <w:rsid w:val="007F2212"/>
    <w:rsid w:val="007F265C"/>
    <w:rsid w:val="007F2F74"/>
    <w:rsid w:val="007F3258"/>
    <w:rsid w:val="007F3268"/>
    <w:rsid w:val="007F32F6"/>
    <w:rsid w:val="007F3653"/>
    <w:rsid w:val="007F3710"/>
    <w:rsid w:val="007F3A75"/>
    <w:rsid w:val="007F4488"/>
    <w:rsid w:val="007F497D"/>
    <w:rsid w:val="007F4FFF"/>
    <w:rsid w:val="007F5740"/>
    <w:rsid w:val="007F5AFB"/>
    <w:rsid w:val="007F5C09"/>
    <w:rsid w:val="007F6240"/>
    <w:rsid w:val="007F66E1"/>
    <w:rsid w:val="007F6CDC"/>
    <w:rsid w:val="007F744D"/>
    <w:rsid w:val="007F78CB"/>
    <w:rsid w:val="007F7A9A"/>
    <w:rsid w:val="007F7DCB"/>
    <w:rsid w:val="008014F6"/>
    <w:rsid w:val="008018AD"/>
    <w:rsid w:val="00801902"/>
    <w:rsid w:val="00801A81"/>
    <w:rsid w:val="00801F49"/>
    <w:rsid w:val="00802749"/>
    <w:rsid w:val="00802C0F"/>
    <w:rsid w:val="00802D47"/>
    <w:rsid w:val="00803352"/>
    <w:rsid w:val="008033CC"/>
    <w:rsid w:val="00803B68"/>
    <w:rsid w:val="00803F32"/>
    <w:rsid w:val="008043F8"/>
    <w:rsid w:val="0080495A"/>
    <w:rsid w:val="00805227"/>
    <w:rsid w:val="00805814"/>
    <w:rsid w:val="00805A70"/>
    <w:rsid w:val="00806034"/>
    <w:rsid w:val="00806B87"/>
    <w:rsid w:val="00806E6C"/>
    <w:rsid w:val="0080745E"/>
    <w:rsid w:val="00807D0D"/>
    <w:rsid w:val="00807EAC"/>
    <w:rsid w:val="00807F8A"/>
    <w:rsid w:val="0081015F"/>
    <w:rsid w:val="008103B0"/>
    <w:rsid w:val="008103BF"/>
    <w:rsid w:val="00810708"/>
    <w:rsid w:val="00810881"/>
    <w:rsid w:val="00810933"/>
    <w:rsid w:val="008109E2"/>
    <w:rsid w:val="00810C20"/>
    <w:rsid w:val="00810C9E"/>
    <w:rsid w:val="00810EE9"/>
    <w:rsid w:val="008114D9"/>
    <w:rsid w:val="008116AA"/>
    <w:rsid w:val="0081172B"/>
    <w:rsid w:val="00811748"/>
    <w:rsid w:val="00811E32"/>
    <w:rsid w:val="008122EE"/>
    <w:rsid w:val="008122FF"/>
    <w:rsid w:val="0081265B"/>
    <w:rsid w:val="008134C7"/>
    <w:rsid w:val="0081353E"/>
    <w:rsid w:val="00813FF2"/>
    <w:rsid w:val="008143C3"/>
    <w:rsid w:val="00814B20"/>
    <w:rsid w:val="00815521"/>
    <w:rsid w:val="00815573"/>
    <w:rsid w:val="00815C25"/>
    <w:rsid w:val="00815E08"/>
    <w:rsid w:val="008160A4"/>
    <w:rsid w:val="0081642C"/>
    <w:rsid w:val="008170A4"/>
    <w:rsid w:val="0081765E"/>
    <w:rsid w:val="00817E43"/>
    <w:rsid w:val="00820107"/>
    <w:rsid w:val="008208A0"/>
    <w:rsid w:val="0082154B"/>
    <w:rsid w:val="00821793"/>
    <w:rsid w:val="008221A6"/>
    <w:rsid w:val="0082296B"/>
    <w:rsid w:val="0082332D"/>
    <w:rsid w:val="008236E7"/>
    <w:rsid w:val="0082419E"/>
    <w:rsid w:val="00824431"/>
    <w:rsid w:val="0082461D"/>
    <w:rsid w:val="00824741"/>
    <w:rsid w:val="00824EA3"/>
    <w:rsid w:val="00825070"/>
    <w:rsid w:val="008256CB"/>
    <w:rsid w:val="00825787"/>
    <w:rsid w:val="00825A00"/>
    <w:rsid w:val="0082639E"/>
    <w:rsid w:val="00826B02"/>
    <w:rsid w:val="00826CB6"/>
    <w:rsid w:val="00826FA1"/>
    <w:rsid w:val="0082729B"/>
    <w:rsid w:val="008278F5"/>
    <w:rsid w:val="00827C24"/>
    <w:rsid w:val="00830202"/>
    <w:rsid w:val="00830290"/>
    <w:rsid w:val="008308CA"/>
    <w:rsid w:val="00830922"/>
    <w:rsid w:val="00830FB5"/>
    <w:rsid w:val="00831D24"/>
    <w:rsid w:val="00832220"/>
    <w:rsid w:val="00832464"/>
    <w:rsid w:val="00832927"/>
    <w:rsid w:val="00833256"/>
    <w:rsid w:val="008345B0"/>
    <w:rsid w:val="00834609"/>
    <w:rsid w:val="00834BC9"/>
    <w:rsid w:val="00835277"/>
    <w:rsid w:val="00835A68"/>
    <w:rsid w:val="00835C08"/>
    <w:rsid w:val="00835CD0"/>
    <w:rsid w:val="00835EC5"/>
    <w:rsid w:val="00836017"/>
    <w:rsid w:val="008362B8"/>
    <w:rsid w:val="00836477"/>
    <w:rsid w:val="00836A40"/>
    <w:rsid w:val="00837185"/>
    <w:rsid w:val="008371D0"/>
    <w:rsid w:val="00837D0A"/>
    <w:rsid w:val="00840AAB"/>
    <w:rsid w:val="00840C39"/>
    <w:rsid w:val="00840DDC"/>
    <w:rsid w:val="00840F67"/>
    <w:rsid w:val="008415F9"/>
    <w:rsid w:val="00841794"/>
    <w:rsid w:val="008417A4"/>
    <w:rsid w:val="008418AA"/>
    <w:rsid w:val="00841AD1"/>
    <w:rsid w:val="00841F98"/>
    <w:rsid w:val="00842435"/>
    <w:rsid w:val="008424BB"/>
    <w:rsid w:val="00842531"/>
    <w:rsid w:val="00842C22"/>
    <w:rsid w:val="00842C83"/>
    <w:rsid w:val="00842CE3"/>
    <w:rsid w:val="00842DE8"/>
    <w:rsid w:val="008434FC"/>
    <w:rsid w:val="008438BD"/>
    <w:rsid w:val="00843AC3"/>
    <w:rsid w:val="008445C7"/>
    <w:rsid w:val="0084460B"/>
    <w:rsid w:val="00844780"/>
    <w:rsid w:val="008449C4"/>
    <w:rsid w:val="00844A7E"/>
    <w:rsid w:val="008455D6"/>
    <w:rsid w:val="008459C3"/>
    <w:rsid w:val="008459CA"/>
    <w:rsid w:val="0084653E"/>
    <w:rsid w:val="00846C67"/>
    <w:rsid w:val="0084712C"/>
    <w:rsid w:val="00847890"/>
    <w:rsid w:val="00847B51"/>
    <w:rsid w:val="00847F20"/>
    <w:rsid w:val="00847F6A"/>
    <w:rsid w:val="00850582"/>
    <w:rsid w:val="00851327"/>
    <w:rsid w:val="00851598"/>
    <w:rsid w:val="008515EC"/>
    <w:rsid w:val="00851D8C"/>
    <w:rsid w:val="00851FC0"/>
    <w:rsid w:val="008522B1"/>
    <w:rsid w:val="00852ED5"/>
    <w:rsid w:val="00853004"/>
    <w:rsid w:val="008535E3"/>
    <w:rsid w:val="0085392B"/>
    <w:rsid w:val="00853AFE"/>
    <w:rsid w:val="00854122"/>
    <w:rsid w:val="00854528"/>
    <w:rsid w:val="00854546"/>
    <w:rsid w:val="008557B3"/>
    <w:rsid w:val="00856602"/>
    <w:rsid w:val="00856873"/>
    <w:rsid w:val="00856927"/>
    <w:rsid w:val="00856934"/>
    <w:rsid w:val="00856F32"/>
    <w:rsid w:val="00857025"/>
    <w:rsid w:val="008574E5"/>
    <w:rsid w:val="00857AA7"/>
    <w:rsid w:val="00860678"/>
    <w:rsid w:val="008608F4"/>
    <w:rsid w:val="00860BEC"/>
    <w:rsid w:val="008618A8"/>
    <w:rsid w:val="00861E8F"/>
    <w:rsid w:val="00861F87"/>
    <w:rsid w:val="0086202C"/>
    <w:rsid w:val="008623C4"/>
    <w:rsid w:val="00862530"/>
    <w:rsid w:val="00862BA0"/>
    <w:rsid w:val="00863271"/>
    <w:rsid w:val="00863427"/>
    <w:rsid w:val="0086352C"/>
    <w:rsid w:val="00863837"/>
    <w:rsid w:val="00863841"/>
    <w:rsid w:val="0086462A"/>
    <w:rsid w:val="008646D4"/>
    <w:rsid w:val="00864854"/>
    <w:rsid w:val="00864C2E"/>
    <w:rsid w:val="0086542B"/>
    <w:rsid w:val="008657C2"/>
    <w:rsid w:val="00865DCA"/>
    <w:rsid w:val="00866154"/>
    <w:rsid w:val="0086797B"/>
    <w:rsid w:val="0087051F"/>
    <w:rsid w:val="0087093E"/>
    <w:rsid w:val="00870DFB"/>
    <w:rsid w:val="00871585"/>
    <w:rsid w:val="00871C09"/>
    <w:rsid w:val="00871C62"/>
    <w:rsid w:val="00872A1E"/>
    <w:rsid w:val="00872D88"/>
    <w:rsid w:val="00873E09"/>
    <w:rsid w:val="00873F2D"/>
    <w:rsid w:val="00874838"/>
    <w:rsid w:val="0087489A"/>
    <w:rsid w:val="00874C17"/>
    <w:rsid w:val="008758D0"/>
    <w:rsid w:val="00875E84"/>
    <w:rsid w:val="008761D2"/>
    <w:rsid w:val="00876255"/>
    <w:rsid w:val="00876464"/>
    <w:rsid w:val="008768E0"/>
    <w:rsid w:val="00876B58"/>
    <w:rsid w:val="00876DA4"/>
    <w:rsid w:val="008775D9"/>
    <w:rsid w:val="008776A0"/>
    <w:rsid w:val="00877A55"/>
    <w:rsid w:val="00877A95"/>
    <w:rsid w:val="00877C61"/>
    <w:rsid w:val="00880835"/>
    <w:rsid w:val="00880E5F"/>
    <w:rsid w:val="00881147"/>
    <w:rsid w:val="00882136"/>
    <w:rsid w:val="00882592"/>
    <w:rsid w:val="008828BE"/>
    <w:rsid w:val="0088292D"/>
    <w:rsid w:val="00882B3C"/>
    <w:rsid w:val="00882BE7"/>
    <w:rsid w:val="00882F2F"/>
    <w:rsid w:val="0088365B"/>
    <w:rsid w:val="00883722"/>
    <w:rsid w:val="008839BD"/>
    <w:rsid w:val="00883A25"/>
    <w:rsid w:val="0088460C"/>
    <w:rsid w:val="0088481B"/>
    <w:rsid w:val="00884A3E"/>
    <w:rsid w:val="0088504C"/>
    <w:rsid w:val="0088511C"/>
    <w:rsid w:val="008855BC"/>
    <w:rsid w:val="008859D5"/>
    <w:rsid w:val="00885E82"/>
    <w:rsid w:val="00885E88"/>
    <w:rsid w:val="0088607D"/>
    <w:rsid w:val="008866A1"/>
    <w:rsid w:val="008867FB"/>
    <w:rsid w:val="00886C02"/>
    <w:rsid w:val="0088734C"/>
    <w:rsid w:val="00887566"/>
    <w:rsid w:val="00887868"/>
    <w:rsid w:val="008913B0"/>
    <w:rsid w:val="00891677"/>
    <w:rsid w:val="0089181E"/>
    <w:rsid w:val="00891CF0"/>
    <w:rsid w:val="00891E8B"/>
    <w:rsid w:val="0089262C"/>
    <w:rsid w:val="0089262D"/>
    <w:rsid w:val="0089335D"/>
    <w:rsid w:val="00893AAE"/>
    <w:rsid w:val="00893F5F"/>
    <w:rsid w:val="00894132"/>
    <w:rsid w:val="00894B3E"/>
    <w:rsid w:val="00895152"/>
    <w:rsid w:val="008962AF"/>
    <w:rsid w:val="008964BD"/>
    <w:rsid w:val="00896501"/>
    <w:rsid w:val="00896B8B"/>
    <w:rsid w:val="00896F86"/>
    <w:rsid w:val="008976DC"/>
    <w:rsid w:val="008A04D1"/>
    <w:rsid w:val="008A166C"/>
    <w:rsid w:val="008A226F"/>
    <w:rsid w:val="008A259D"/>
    <w:rsid w:val="008A296D"/>
    <w:rsid w:val="008A3621"/>
    <w:rsid w:val="008A3F57"/>
    <w:rsid w:val="008A43B7"/>
    <w:rsid w:val="008A4542"/>
    <w:rsid w:val="008A5264"/>
    <w:rsid w:val="008A5302"/>
    <w:rsid w:val="008A5325"/>
    <w:rsid w:val="008A5C12"/>
    <w:rsid w:val="008A6895"/>
    <w:rsid w:val="008B0663"/>
    <w:rsid w:val="008B0963"/>
    <w:rsid w:val="008B0C2C"/>
    <w:rsid w:val="008B201C"/>
    <w:rsid w:val="008B2157"/>
    <w:rsid w:val="008B2BD0"/>
    <w:rsid w:val="008B2E85"/>
    <w:rsid w:val="008B30FC"/>
    <w:rsid w:val="008B3D02"/>
    <w:rsid w:val="008B481D"/>
    <w:rsid w:val="008B4E1C"/>
    <w:rsid w:val="008B4E38"/>
    <w:rsid w:val="008B6398"/>
    <w:rsid w:val="008B6C47"/>
    <w:rsid w:val="008B6E30"/>
    <w:rsid w:val="008B702C"/>
    <w:rsid w:val="008C03C3"/>
    <w:rsid w:val="008C0CEA"/>
    <w:rsid w:val="008C16FC"/>
    <w:rsid w:val="008C1A7D"/>
    <w:rsid w:val="008C1F65"/>
    <w:rsid w:val="008C2CC1"/>
    <w:rsid w:val="008C2DD3"/>
    <w:rsid w:val="008C30B8"/>
    <w:rsid w:val="008C38AE"/>
    <w:rsid w:val="008C39DA"/>
    <w:rsid w:val="008C49DE"/>
    <w:rsid w:val="008C4A8C"/>
    <w:rsid w:val="008C4C30"/>
    <w:rsid w:val="008C4E4B"/>
    <w:rsid w:val="008C57EA"/>
    <w:rsid w:val="008C5ADC"/>
    <w:rsid w:val="008C5B69"/>
    <w:rsid w:val="008C5DB8"/>
    <w:rsid w:val="008C5EC8"/>
    <w:rsid w:val="008C5FF3"/>
    <w:rsid w:val="008C634E"/>
    <w:rsid w:val="008D02EB"/>
    <w:rsid w:val="008D04EF"/>
    <w:rsid w:val="008D069E"/>
    <w:rsid w:val="008D13C7"/>
    <w:rsid w:val="008D17B7"/>
    <w:rsid w:val="008D1A62"/>
    <w:rsid w:val="008D1FE3"/>
    <w:rsid w:val="008D2066"/>
    <w:rsid w:val="008D3C8B"/>
    <w:rsid w:val="008D4244"/>
    <w:rsid w:val="008D4578"/>
    <w:rsid w:val="008D457C"/>
    <w:rsid w:val="008D475D"/>
    <w:rsid w:val="008D4F05"/>
    <w:rsid w:val="008D5DFA"/>
    <w:rsid w:val="008D60ED"/>
    <w:rsid w:val="008D755D"/>
    <w:rsid w:val="008E08E8"/>
    <w:rsid w:val="008E1121"/>
    <w:rsid w:val="008E1144"/>
    <w:rsid w:val="008E229F"/>
    <w:rsid w:val="008E288B"/>
    <w:rsid w:val="008E2BF9"/>
    <w:rsid w:val="008E2F2F"/>
    <w:rsid w:val="008E397D"/>
    <w:rsid w:val="008E3D2A"/>
    <w:rsid w:val="008E481B"/>
    <w:rsid w:val="008E4B22"/>
    <w:rsid w:val="008E4EA3"/>
    <w:rsid w:val="008E4EFF"/>
    <w:rsid w:val="008E5286"/>
    <w:rsid w:val="008E56B3"/>
    <w:rsid w:val="008E5773"/>
    <w:rsid w:val="008E5808"/>
    <w:rsid w:val="008E60B3"/>
    <w:rsid w:val="008E626D"/>
    <w:rsid w:val="008E6294"/>
    <w:rsid w:val="008E6C29"/>
    <w:rsid w:val="008E6DEF"/>
    <w:rsid w:val="008E7437"/>
    <w:rsid w:val="008E7C96"/>
    <w:rsid w:val="008F0EB2"/>
    <w:rsid w:val="008F17AF"/>
    <w:rsid w:val="008F1AFF"/>
    <w:rsid w:val="008F35AE"/>
    <w:rsid w:val="008F36B3"/>
    <w:rsid w:val="008F37E5"/>
    <w:rsid w:val="008F3861"/>
    <w:rsid w:val="008F387B"/>
    <w:rsid w:val="008F3C61"/>
    <w:rsid w:val="008F4261"/>
    <w:rsid w:val="008F43D7"/>
    <w:rsid w:val="008F4A97"/>
    <w:rsid w:val="008F4E91"/>
    <w:rsid w:val="008F5206"/>
    <w:rsid w:val="008F53F8"/>
    <w:rsid w:val="008F54A4"/>
    <w:rsid w:val="008F5D15"/>
    <w:rsid w:val="008F5E42"/>
    <w:rsid w:val="008F61B9"/>
    <w:rsid w:val="008F63C0"/>
    <w:rsid w:val="008F6549"/>
    <w:rsid w:val="008F6F6F"/>
    <w:rsid w:val="008F708C"/>
    <w:rsid w:val="008F736F"/>
    <w:rsid w:val="008F7C4A"/>
    <w:rsid w:val="008F7E0A"/>
    <w:rsid w:val="009003D7"/>
    <w:rsid w:val="009005E2"/>
    <w:rsid w:val="00900759"/>
    <w:rsid w:val="00900890"/>
    <w:rsid w:val="00900957"/>
    <w:rsid w:val="009013BE"/>
    <w:rsid w:val="0090230A"/>
    <w:rsid w:val="00902547"/>
    <w:rsid w:val="009028DB"/>
    <w:rsid w:val="00902968"/>
    <w:rsid w:val="009029A4"/>
    <w:rsid w:val="00902AA4"/>
    <w:rsid w:val="0090475F"/>
    <w:rsid w:val="00904C13"/>
    <w:rsid w:val="009058BF"/>
    <w:rsid w:val="0090667D"/>
    <w:rsid w:val="0090683D"/>
    <w:rsid w:val="00907319"/>
    <w:rsid w:val="00907945"/>
    <w:rsid w:val="00910264"/>
    <w:rsid w:val="00910550"/>
    <w:rsid w:val="00910F21"/>
    <w:rsid w:val="0091139F"/>
    <w:rsid w:val="00911990"/>
    <w:rsid w:val="00911B3C"/>
    <w:rsid w:val="00911FE4"/>
    <w:rsid w:val="009125B1"/>
    <w:rsid w:val="00912AAD"/>
    <w:rsid w:val="00912DBD"/>
    <w:rsid w:val="009139AE"/>
    <w:rsid w:val="00913E16"/>
    <w:rsid w:val="00913EEF"/>
    <w:rsid w:val="0091429E"/>
    <w:rsid w:val="0091593F"/>
    <w:rsid w:val="009205FE"/>
    <w:rsid w:val="009209EB"/>
    <w:rsid w:val="0092141B"/>
    <w:rsid w:val="00921D1E"/>
    <w:rsid w:val="00921DAD"/>
    <w:rsid w:val="00921EBC"/>
    <w:rsid w:val="00922748"/>
    <w:rsid w:val="009229DB"/>
    <w:rsid w:val="00922B56"/>
    <w:rsid w:val="00922E4A"/>
    <w:rsid w:val="009234EC"/>
    <w:rsid w:val="00923A72"/>
    <w:rsid w:val="00923B3B"/>
    <w:rsid w:val="0092472F"/>
    <w:rsid w:val="00924B77"/>
    <w:rsid w:val="00924B93"/>
    <w:rsid w:val="009250D0"/>
    <w:rsid w:val="00925286"/>
    <w:rsid w:val="00925763"/>
    <w:rsid w:val="00925770"/>
    <w:rsid w:val="00925B39"/>
    <w:rsid w:val="00925F57"/>
    <w:rsid w:val="009260C9"/>
    <w:rsid w:val="00926550"/>
    <w:rsid w:val="00927F23"/>
    <w:rsid w:val="00930579"/>
    <w:rsid w:val="00930C5D"/>
    <w:rsid w:val="00930D2E"/>
    <w:rsid w:val="0093130C"/>
    <w:rsid w:val="00931508"/>
    <w:rsid w:val="00931F03"/>
    <w:rsid w:val="00932831"/>
    <w:rsid w:val="009328F0"/>
    <w:rsid w:val="00932D9F"/>
    <w:rsid w:val="009337A0"/>
    <w:rsid w:val="00933915"/>
    <w:rsid w:val="00933A17"/>
    <w:rsid w:val="009340A8"/>
    <w:rsid w:val="00934FD0"/>
    <w:rsid w:val="00935106"/>
    <w:rsid w:val="009352B7"/>
    <w:rsid w:val="0093582A"/>
    <w:rsid w:val="00935B3B"/>
    <w:rsid w:val="00935E0A"/>
    <w:rsid w:val="00935E36"/>
    <w:rsid w:val="00936399"/>
    <w:rsid w:val="00936514"/>
    <w:rsid w:val="00936550"/>
    <w:rsid w:val="009376DD"/>
    <w:rsid w:val="009377C8"/>
    <w:rsid w:val="00937913"/>
    <w:rsid w:val="00940319"/>
    <w:rsid w:val="0094099A"/>
    <w:rsid w:val="009410BA"/>
    <w:rsid w:val="0094124A"/>
    <w:rsid w:val="00941CB9"/>
    <w:rsid w:val="009424F4"/>
    <w:rsid w:val="009425C7"/>
    <w:rsid w:val="0094366B"/>
    <w:rsid w:val="0094416F"/>
    <w:rsid w:val="009442B2"/>
    <w:rsid w:val="009443C7"/>
    <w:rsid w:val="009444CC"/>
    <w:rsid w:val="009447F2"/>
    <w:rsid w:val="00944A2E"/>
    <w:rsid w:val="00945ACB"/>
    <w:rsid w:val="00945CDF"/>
    <w:rsid w:val="00945FB2"/>
    <w:rsid w:val="009465D9"/>
    <w:rsid w:val="0094741E"/>
    <w:rsid w:val="00947612"/>
    <w:rsid w:val="009500A3"/>
    <w:rsid w:val="0095010F"/>
    <w:rsid w:val="0095019B"/>
    <w:rsid w:val="009504C0"/>
    <w:rsid w:val="0095093D"/>
    <w:rsid w:val="00950981"/>
    <w:rsid w:val="00950D77"/>
    <w:rsid w:val="00950E51"/>
    <w:rsid w:val="00951C2E"/>
    <w:rsid w:val="00952053"/>
    <w:rsid w:val="009523E6"/>
    <w:rsid w:val="00952524"/>
    <w:rsid w:val="00952A51"/>
    <w:rsid w:val="00952AE5"/>
    <w:rsid w:val="00953959"/>
    <w:rsid w:val="00953ADF"/>
    <w:rsid w:val="00954514"/>
    <w:rsid w:val="0095489A"/>
    <w:rsid w:val="00954E65"/>
    <w:rsid w:val="00954F46"/>
    <w:rsid w:val="00955230"/>
    <w:rsid w:val="0095619C"/>
    <w:rsid w:val="00956983"/>
    <w:rsid w:val="009573DC"/>
    <w:rsid w:val="00957A39"/>
    <w:rsid w:val="00957E12"/>
    <w:rsid w:val="00957E62"/>
    <w:rsid w:val="00960332"/>
    <w:rsid w:val="00960C73"/>
    <w:rsid w:val="009612EA"/>
    <w:rsid w:val="00961FE8"/>
    <w:rsid w:val="00962019"/>
    <w:rsid w:val="009620FD"/>
    <w:rsid w:val="0096214E"/>
    <w:rsid w:val="00962218"/>
    <w:rsid w:val="00962A15"/>
    <w:rsid w:val="00962B23"/>
    <w:rsid w:val="009635AB"/>
    <w:rsid w:val="00963863"/>
    <w:rsid w:val="00963E20"/>
    <w:rsid w:val="009641B1"/>
    <w:rsid w:val="00964845"/>
    <w:rsid w:val="00964E9E"/>
    <w:rsid w:val="009650CA"/>
    <w:rsid w:val="0096549A"/>
    <w:rsid w:val="00965C3B"/>
    <w:rsid w:val="00965C92"/>
    <w:rsid w:val="0096615A"/>
    <w:rsid w:val="009664F2"/>
    <w:rsid w:val="00966501"/>
    <w:rsid w:val="00966682"/>
    <w:rsid w:val="00966ADA"/>
    <w:rsid w:val="009671F9"/>
    <w:rsid w:val="009676B6"/>
    <w:rsid w:val="00967CFE"/>
    <w:rsid w:val="0097034B"/>
    <w:rsid w:val="00970BCE"/>
    <w:rsid w:val="00970F7D"/>
    <w:rsid w:val="009712DA"/>
    <w:rsid w:val="009713B4"/>
    <w:rsid w:val="00971852"/>
    <w:rsid w:val="0097266C"/>
    <w:rsid w:val="009729CC"/>
    <w:rsid w:val="00972BB4"/>
    <w:rsid w:val="00973589"/>
    <w:rsid w:val="00975230"/>
    <w:rsid w:val="00976521"/>
    <w:rsid w:val="00976D82"/>
    <w:rsid w:val="00976F53"/>
    <w:rsid w:val="0097724A"/>
    <w:rsid w:val="009800C3"/>
    <w:rsid w:val="009802F8"/>
    <w:rsid w:val="009805E6"/>
    <w:rsid w:val="0098060C"/>
    <w:rsid w:val="00981450"/>
    <w:rsid w:val="00981AA0"/>
    <w:rsid w:val="00981AF5"/>
    <w:rsid w:val="00981DF6"/>
    <w:rsid w:val="00982129"/>
    <w:rsid w:val="00982815"/>
    <w:rsid w:val="00982846"/>
    <w:rsid w:val="00984542"/>
    <w:rsid w:val="00984919"/>
    <w:rsid w:val="00984A1B"/>
    <w:rsid w:val="00984BDE"/>
    <w:rsid w:val="00984EB1"/>
    <w:rsid w:val="00985062"/>
    <w:rsid w:val="009852EB"/>
    <w:rsid w:val="009856E6"/>
    <w:rsid w:val="00985896"/>
    <w:rsid w:val="00985C75"/>
    <w:rsid w:val="00986876"/>
    <w:rsid w:val="00986CF8"/>
    <w:rsid w:val="009870E1"/>
    <w:rsid w:val="0098759A"/>
    <w:rsid w:val="00987F73"/>
    <w:rsid w:val="0099101C"/>
    <w:rsid w:val="009911B3"/>
    <w:rsid w:val="00991708"/>
    <w:rsid w:val="00991D9E"/>
    <w:rsid w:val="00991EB8"/>
    <w:rsid w:val="0099245B"/>
    <w:rsid w:val="0099248A"/>
    <w:rsid w:val="00992A64"/>
    <w:rsid w:val="0099317B"/>
    <w:rsid w:val="009932F4"/>
    <w:rsid w:val="00993300"/>
    <w:rsid w:val="00993888"/>
    <w:rsid w:val="00993894"/>
    <w:rsid w:val="0099389E"/>
    <w:rsid w:val="00993C5E"/>
    <w:rsid w:val="009945E3"/>
    <w:rsid w:val="00994704"/>
    <w:rsid w:val="00995E09"/>
    <w:rsid w:val="00995E74"/>
    <w:rsid w:val="0099628D"/>
    <w:rsid w:val="00996350"/>
    <w:rsid w:val="0099692F"/>
    <w:rsid w:val="009972D5"/>
    <w:rsid w:val="0099730E"/>
    <w:rsid w:val="00997DC4"/>
    <w:rsid w:val="009A0AE7"/>
    <w:rsid w:val="009A0BD9"/>
    <w:rsid w:val="009A0E65"/>
    <w:rsid w:val="009A138B"/>
    <w:rsid w:val="009A15FE"/>
    <w:rsid w:val="009A1B3A"/>
    <w:rsid w:val="009A27D4"/>
    <w:rsid w:val="009A2814"/>
    <w:rsid w:val="009A2A20"/>
    <w:rsid w:val="009A2FEF"/>
    <w:rsid w:val="009A3C98"/>
    <w:rsid w:val="009A4203"/>
    <w:rsid w:val="009A6769"/>
    <w:rsid w:val="009A678C"/>
    <w:rsid w:val="009A7335"/>
    <w:rsid w:val="009A7860"/>
    <w:rsid w:val="009A78E6"/>
    <w:rsid w:val="009A7D24"/>
    <w:rsid w:val="009B02D5"/>
    <w:rsid w:val="009B03A6"/>
    <w:rsid w:val="009B0B36"/>
    <w:rsid w:val="009B0C18"/>
    <w:rsid w:val="009B10C1"/>
    <w:rsid w:val="009B10FF"/>
    <w:rsid w:val="009B1667"/>
    <w:rsid w:val="009B21AD"/>
    <w:rsid w:val="009B21FC"/>
    <w:rsid w:val="009B2783"/>
    <w:rsid w:val="009B2D87"/>
    <w:rsid w:val="009B2FA8"/>
    <w:rsid w:val="009B35F0"/>
    <w:rsid w:val="009B3A17"/>
    <w:rsid w:val="009B3B5C"/>
    <w:rsid w:val="009B4618"/>
    <w:rsid w:val="009B4E92"/>
    <w:rsid w:val="009B5425"/>
    <w:rsid w:val="009B5AA1"/>
    <w:rsid w:val="009B640A"/>
    <w:rsid w:val="009B6920"/>
    <w:rsid w:val="009B6B00"/>
    <w:rsid w:val="009B7EB5"/>
    <w:rsid w:val="009C065A"/>
    <w:rsid w:val="009C0E0A"/>
    <w:rsid w:val="009C197F"/>
    <w:rsid w:val="009C1A14"/>
    <w:rsid w:val="009C2238"/>
    <w:rsid w:val="009C2941"/>
    <w:rsid w:val="009C2F69"/>
    <w:rsid w:val="009C3765"/>
    <w:rsid w:val="009C3B9D"/>
    <w:rsid w:val="009C4868"/>
    <w:rsid w:val="009C5AE7"/>
    <w:rsid w:val="009C622D"/>
    <w:rsid w:val="009C6D58"/>
    <w:rsid w:val="009C70D6"/>
    <w:rsid w:val="009C7865"/>
    <w:rsid w:val="009C7F94"/>
    <w:rsid w:val="009D0890"/>
    <w:rsid w:val="009D0B3D"/>
    <w:rsid w:val="009D182F"/>
    <w:rsid w:val="009D1926"/>
    <w:rsid w:val="009D1DC1"/>
    <w:rsid w:val="009D1EF0"/>
    <w:rsid w:val="009D262F"/>
    <w:rsid w:val="009D3285"/>
    <w:rsid w:val="009D38BD"/>
    <w:rsid w:val="009D3A2A"/>
    <w:rsid w:val="009D3CA0"/>
    <w:rsid w:val="009D41B3"/>
    <w:rsid w:val="009D46B3"/>
    <w:rsid w:val="009D49F6"/>
    <w:rsid w:val="009D4BD4"/>
    <w:rsid w:val="009D4D95"/>
    <w:rsid w:val="009D536B"/>
    <w:rsid w:val="009D5799"/>
    <w:rsid w:val="009D5BD0"/>
    <w:rsid w:val="009D61BD"/>
    <w:rsid w:val="009D64CC"/>
    <w:rsid w:val="009D66EA"/>
    <w:rsid w:val="009D69FE"/>
    <w:rsid w:val="009D6ABE"/>
    <w:rsid w:val="009D6FC6"/>
    <w:rsid w:val="009D717D"/>
    <w:rsid w:val="009D75E3"/>
    <w:rsid w:val="009D77E2"/>
    <w:rsid w:val="009D7BF2"/>
    <w:rsid w:val="009D7EED"/>
    <w:rsid w:val="009D7F29"/>
    <w:rsid w:val="009E0275"/>
    <w:rsid w:val="009E0CE7"/>
    <w:rsid w:val="009E0E21"/>
    <w:rsid w:val="009E0F35"/>
    <w:rsid w:val="009E1318"/>
    <w:rsid w:val="009E170E"/>
    <w:rsid w:val="009E17F6"/>
    <w:rsid w:val="009E184A"/>
    <w:rsid w:val="009E1FD2"/>
    <w:rsid w:val="009E232E"/>
    <w:rsid w:val="009E283D"/>
    <w:rsid w:val="009E438D"/>
    <w:rsid w:val="009E470F"/>
    <w:rsid w:val="009E4D95"/>
    <w:rsid w:val="009E5347"/>
    <w:rsid w:val="009E55F5"/>
    <w:rsid w:val="009E66C5"/>
    <w:rsid w:val="009E7122"/>
    <w:rsid w:val="009E7FD8"/>
    <w:rsid w:val="009F0479"/>
    <w:rsid w:val="009F09BB"/>
    <w:rsid w:val="009F0C5F"/>
    <w:rsid w:val="009F0EAA"/>
    <w:rsid w:val="009F0EC2"/>
    <w:rsid w:val="009F1488"/>
    <w:rsid w:val="009F1570"/>
    <w:rsid w:val="009F1950"/>
    <w:rsid w:val="009F1F5B"/>
    <w:rsid w:val="009F2084"/>
    <w:rsid w:val="009F27D8"/>
    <w:rsid w:val="009F2995"/>
    <w:rsid w:val="009F2A84"/>
    <w:rsid w:val="009F351E"/>
    <w:rsid w:val="009F358B"/>
    <w:rsid w:val="009F3677"/>
    <w:rsid w:val="009F3885"/>
    <w:rsid w:val="009F3C3B"/>
    <w:rsid w:val="009F3CB5"/>
    <w:rsid w:val="009F41DF"/>
    <w:rsid w:val="009F51BA"/>
    <w:rsid w:val="009F5F95"/>
    <w:rsid w:val="009F610E"/>
    <w:rsid w:val="009F6AB1"/>
    <w:rsid w:val="009F6AB6"/>
    <w:rsid w:val="009F6E6F"/>
    <w:rsid w:val="009F722A"/>
    <w:rsid w:val="009F787E"/>
    <w:rsid w:val="00A000EB"/>
    <w:rsid w:val="00A00337"/>
    <w:rsid w:val="00A00768"/>
    <w:rsid w:val="00A00C29"/>
    <w:rsid w:val="00A00D0A"/>
    <w:rsid w:val="00A0242B"/>
    <w:rsid w:val="00A02E9C"/>
    <w:rsid w:val="00A03019"/>
    <w:rsid w:val="00A035E8"/>
    <w:rsid w:val="00A03A6F"/>
    <w:rsid w:val="00A040B0"/>
    <w:rsid w:val="00A04170"/>
    <w:rsid w:val="00A04193"/>
    <w:rsid w:val="00A05FF4"/>
    <w:rsid w:val="00A06443"/>
    <w:rsid w:val="00A06A61"/>
    <w:rsid w:val="00A06C93"/>
    <w:rsid w:val="00A06D29"/>
    <w:rsid w:val="00A10061"/>
    <w:rsid w:val="00A103B8"/>
    <w:rsid w:val="00A10BA3"/>
    <w:rsid w:val="00A10C4A"/>
    <w:rsid w:val="00A11172"/>
    <w:rsid w:val="00A111DA"/>
    <w:rsid w:val="00A11316"/>
    <w:rsid w:val="00A11751"/>
    <w:rsid w:val="00A11C00"/>
    <w:rsid w:val="00A11CB8"/>
    <w:rsid w:val="00A12401"/>
    <w:rsid w:val="00A1283D"/>
    <w:rsid w:val="00A12B14"/>
    <w:rsid w:val="00A13141"/>
    <w:rsid w:val="00A13711"/>
    <w:rsid w:val="00A13740"/>
    <w:rsid w:val="00A138A3"/>
    <w:rsid w:val="00A13B46"/>
    <w:rsid w:val="00A13B72"/>
    <w:rsid w:val="00A13E5F"/>
    <w:rsid w:val="00A14130"/>
    <w:rsid w:val="00A142F3"/>
    <w:rsid w:val="00A1437D"/>
    <w:rsid w:val="00A14443"/>
    <w:rsid w:val="00A144E7"/>
    <w:rsid w:val="00A146D8"/>
    <w:rsid w:val="00A14A14"/>
    <w:rsid w:val="00A14D13"/>
    <w:rsid w:val="00A15031"/>
    <w:rsid w:val="00A15697"/>
    <w:rsid w:val="00A1583D"/>
    <w:rsid w:val="00A15EF6"/>
    <w:rsid w:val="00A165B3"/>
    <w:rsid w:val="00A16B4A"/>
    <w:rsid w:val="00A16B87"/>
    <w:rsid w:val="00A16D4B"/>
    <w:rsid w:val="00A16E5C"/>
    <w:rsid w:val="00A17055"/>
    <w:rsid w:val="00A170DF"/>
    <w:rsid w:val="00A17566"/>
    <w:rsid w:val="00A2031A"/>
    <w:rsid w:val="00A22345"/>
    <w:rsid w:val="00A22CDB"/>
    <w:rsid w:val="00A23287"/>
    <w:rsid w:val="00A235BE"/>
    <w:rsid w:val="00A23A57"/>
    <w:rsid w:val="00A23B7F"/>
    <w:rsid w:val="00A24591"/>
    <w:rsid w:val="00A24BF5"/>
    <w:rsid w:val="00A24D84"/>
    <w:rsid w:val="00A25010"/>
    <w:rsid w:val="00A25516"/>
    <w:rsid w:val="00A25AB0"/>
    <w:rsid w:val="00A25EEF"/>
    <w:rsid w:val="00A26147"/>
    <w:rsid w:val="00A26185"/>
    <w:rsid w:val="00A26AA3"/>
    <w:rsid w:val="00A26C08"/>
    <w:rsid w:val="00A26D5C"/>
    <w:rsid w:val="00A26E08"/>
    <w:rsid w:val="00A26F25"/>
    <w:rsid w:val="00A273A3"/>
    <w:rsid w:val="00A2741A"/>
    <w:rsid w:val="00A27434"/>
    <w:rsid w:val="00A2748E"/>
    <w:rsid w:val="00A2788A"/>
    <w:rsid w:val="00A27B88"/>
    <w:rsid w:val="00A27F01"/>
    <w:rsid w:val="00A30538"/>
    <w:rsid w:val="00A30A6D"/>
    <w:rsid w:val="00A322F8"/>
    <w:rsid w:val="00A32F25"/>
    <w:rsid w:val="00A32F68"/>
    <w:rsid w:val="00A32FDA"/>
    <w:rsid w:val="00A331C3"/>
    <w:rsid w:val="00A33BAA"/>
    <w:rsid w:val="00A33C27"/>
    <w:rsid w:val="00A33F79"/>
    <w:rsid w:val="00A343DD"/>
    <w:rsid w:val="00A3464E"/>
    <w:rsid w:val="00A34733"/>
    <w:rsid w:val="00A34ACF"/>
    <w:rsid w:val="00A34C56"/>
    <w:rsid w:val="00A352BD"/>
    <w:rsid w:val="00A354A7"/>
    <w:rsid w:val="00A36775"/>
    <w:rsid w:val="00A36FE6"/>
    <w:rsid w:val="00A37064"/>
    <w:rsid w:val="00A37A18"/>
    <w:rsid w:val="00A37BB2"/>
    <w:rsid w:val="00A40A8B"/>
    <w:rsid w:val="00A40E7B"/>
    <w:rsid w:val="00A41321"/>
    <w:rsid w:val="00A413FF"/>
    <w:rsid w:val="00A4144A"/>
    <w:rsid w:val="00A4158E"/>
    <w:rsid w:val="00A415E8"/>
    <w:rsid w:val="00A41787"/>
    <w:rsid w:val="00A41AEA"/>
    <w:rsid w:val="00A41CEF"/>
    <w:rsid w:val="00A41F6B"/>
    <w:rsid w:val="00A42588"/>
    <w:rsid w:val="00A425AA"/>
    <w:rsid w:val="00A428EC"/>
    <w:rsid w:val="00A42C6B"/>
    <w:rsid w:val="00A4348F"/>
    <w:rsid w:val="00A43754"/>
    <w:rsid w:val="00A43773"/>
    <w:rsid w:val="00A438A3"/>
    <w:rsid w:val="00A44A78"/>
    <w:rsid w:val="00A44C1A"/>
    <w:rsid w:val="00A454FC"/>
    <w:rsid w:val="00A45FBB"/>
    <w:rsid w:val="00A460A6"/>
    <w:rsid w:val="00A46275"/>
    <w:rsid w:val="00A46759"/>
    <w:rsid w:val="00A4749B"/>
    <w:rsid w:val="00A47889"/>
    <w:rsid w:val="00A478D8"/>
    <w:rsid w:val="00A47974"/>
    <w:rsid w:val="00A47DD7"/>
    <w:rsid w:val="00A47E5A"/>
    <w:rsid w:val="00A50E77"/>
    <w:rsid w:val="00A5146A"/>
    <w:rsid w:val="00A51999"/>
    <w:rsid w:val="00A51B04"/>
    <w:rsid w:val="00A51D86"/>
    <w:rsid w:val="00A52398"/>
    <w:rsid w:val="00A52D54"/>
    <w:rsid w:val="00A52EC6"/>
    <w:rsid w:val="00A53ADA"/>
    <w:rsid w:val="00A54404"/>
    <w:rsid w:val="00A5442E"/>
    <w:rsid w:val="00A54750"/>
    <w:rsid w:val="00A54B9C"/>
    <w:rsid w:val="00A54EC9"/>
    <w:rsid w:val="00A566AE"/>
    <w:rsid w:val="00A5674C"/>
    <w:rsid w:val="00A56CB8"/>
    <w:rsid w:val="00A56EBC"/>
    <w:rsid w:val="00A576C2"/>
    <w:rsid w:val="00A577BA"/>
    <w:rsid w:val="00A5784E"/>
    <w:rsid w:val="00A57B03"/>
    <w:rsid w:val="00A604CC"/>
    <w:rsid w:val="00A60822"/>
    <w:rsid w:val="00A609BC"/>
    <w:rsid w:val="00A60C8E"/>
    <w:rsid w:val="00A6165C"/>
    <w:rsid w:val="00A61874"/>
    <w:rsid w:val="00A62613"/>
    <w:rsid w:val="00A628EF"/>
    <w:rsid w:val="00A62E77"/>
    <w:rsid w:val="00A6391B"/>
    <w:rsid w:val="00A6398A"/>
    <w:rsid w:val="00A63B37"/>
    <w:rsid w:val="00A64FDB"/>
    <w:rsid w:val="00A65B22"/>
    <w:rsid w:val="00A67938"/>
    <w:rsid w:val="00A67CF2"/>
    <w:rsid w:val="00A67ECC"/>
    <w:rsid w:val="00A7045C"/>
    <w:rsid w:val="00A70817"/>
    <w:rsid w:val="00A71B15"/>
    <w:rsid w:val="00A72010"/>
    <w:rsid w:val="00A734F4"/>
    <w:rsid w:val="00A739B6"/>
    <w:rsid w:val="00A73CAD"/>
    <w:rsid w:val="00A74C9E"/>
    <w:rsid w:val="00A750C2"/>
    <w:rsid w:val="00A75F04"/>
    <w:rsid w:val="00A76642"/>
    <w:rsid w:val="00A76D0A"/>
    <w:rsid w:val="00A76D9E"/>
    <w:rsid w:val="00A77A76"/>
    <w:rsid w:val="00A77A7C"/>
    <w:rsid w:val="00A8000D"/>
    <w:rsid w:val="00A80754"/>
    <w:rsid w:val="00A8096A"/>
    <w:rsid w:val="00A80AA1"/>
    <w:rsid w:val="00A80D1A"/>
    <w:rsid w:val="00A80D3A"/>
    <w:rsid w:val="00A81099"/>
    <w:rsid w:val="00A81E95"/>
    <w:rsid w:val="00A825C0"/>
    <w:rsid w:val="00A82965"/>
    <w:rsid w:val="00A82E27"/>
    <w:rsid w:val="00A83020"/>
    <w:rsid w:val="00A8343C"/>
    <w:rsid w:val="00A834A5"/>
    <w:rsid w:val="00A834C1"/>
    <w:rsid w:val="00A837A9"/>
    <w:rsid w:val="00A83831"/>
    <w:rsid w:val="00A83C06"/>
    <w:rsid w:val="00A83D52"/>
    <w:rsid w:val="00A842DA"/>
    <w:rsid w:val="00A845E8"/>
    <w:rsid w:val="00A84749"/>
    <w:rsid w:val="00A8474B"/>
    <w:rsid w:val="00A848F9"/>
    <w:rsid w:val="00A8493F"/>
    <w:rsid w:val="00A84945"/>
    <w:rsid w:val="00A84CE9"/>
    <w:rsid w:val="00A84EB5"/>
    <w:rsid w:val="00A8598C"/>
    <w:rsid w:val="00A86196"/>
    <w:rsid w:val="00A864AD"/>
    <w:rsid w:val="00A86569"/>
    <w:rsid w:val="00A86D2A"/>
    <w:rsid w:val="00A870F5"/>
    <w:rsid w:val="00A875FE"/>
    <w:rsid w:val="00A8768C"/>
    <w:rsid w:val="00A87842"/>
    <w:rsid w:val="00A87B62"/>
    <w:rsid w:val="00A87E38"/>
    <w:rsid w:val="00A90163"/>
    <w:rsid w:val="00A902AB"/>
    <w:rsid w:val="00A908C9"/>
    <w:rsid w:val="00A911B7"/>
    <w:rsid w:val="00A92632"/>
    <w:rsid w:val="00A92B4F"/>
    <w:rsid w:val="00A93A67"/>
    <w:rsid w:val="00A944CB"/>
    <w:rsid w:val="00A94934"/>
    <w:rsid w:val="00A94B7A"/>
    <w:rsid w:val="00A95BC5"/>
    <w:rsid w:val="00A9615C"/>
    <w:rsid w:val="00A963FD"/>
    <w:rsid w:val="00A96492"/>
    <w:rsid w:val="00A96AB6"/>
    <w:rsid w:val="00A96CF0"/>
    <w:rsid w:val="00A97304"/>
    <w:rsid w:val="00A9765D"/>
    <w:rsid w:val="00A976AE"/>
    <w:rsid w:val="00A97E3F"/>
    <w:rsid w:val="00A97E8A"/>
    <w:rsid w:val="00AA0E99"/>
    <w:rsid w:val="00AA0F9C"/>
    <w:rsid w:val="00AA1183"/>
    <w:rsid w:val="00AA2190"/>
    <w:rsid w:val="00AA233A"/>
    <w:rsid w:val="00AA25AD"/>
    <w:rsid w:val="00AA2F5D"/>
    <w:rsid w:val="00AA2F94"/>
    <w:rsid w:val="00AA325E"/>
    <w:rsid w:val="00AA36F4"/>
    <w:rsid w:val="00AA3B7C"/>
    <w:rsid w:val="00AA4B64"/>
    <w:rsid w:val="00AA6F79"/>
    <w:rsid w:val="00AA70B8"/>
    <w:rsid w:val="00AA737C"/>
    <w:rsid w:val="00AA7CC7"/>
    <w:rsid w:val="00AB011A"/>
    <w:rsid w:val="00AB0507"/>
    <w:rsid w:val="00AB0768"/>
    <w:rsid w:val="00AB07A1"/>
    <w:rsid w:val="00AB0858"/>
    <w:rsid w:val="00AB0A9A"/>
    <w:rsid w:val="00AB0C36"/>
    <w:rsid w:val="00AB1BBB"/>
    <w:rsid w:val="00AB278E"/>
    <w:rsid w:val="00AB28A3"/>
    <w:rsid w:val="00AB36E1"/>
    <w:rsid w:val="00AB37DB"/>
    <w:rsid w:val="00AB3A2F"/>
    <w:rsid w:val="00AB3E1A"/>
    <w:rsid w:val="00AB49CC"/>
    <w:rsid w:val="00AB51BC"/>
    <w:rsid w:val="00AB5572"/>
    <w:rsid w:val="00AB5684"/>
    <w:rsid w:val="00AB5C7E"/>
    <w:rsid w:val="00AB5CF3"/>
    <w:rsid w:val="00AB6944"/>
    <w:rsid w:val="00AB69A2"/>
    <w:rsid w:val="00AB6D07"/>
    <w:rsid w:val="00AB707B"/>
    <w:rsid w:val="00AB7D93"/>
    <w:rsid w:val="00AC0581"/>
    <w:rsid w:val="00AC0E7C"/>
    <w:rsid w:val="00AC10D1"/>
    <w:rsid w:val="00AC187A"/>
    <w:rsid w:val="00AC1B3B"/>
    <w:rsid w:val="00AC1DF1"/>
    <w:rsid w:val="00AC1EDB"/>
    <w:rsid w:val="00AC22FB"/>
    <w:rsid w:val="00AC2FD9"/>
    <w:rsid w:val="00AC33A4"/>
    <w:rsid w:val="00AC3B2D"/>
    <w:rsid w:val="00AC3F02"/>
    <w:rsid w:val="00AC5B7A"/>
    <w:rsid w:val="00AC61A9"/>
    <w:rsid w:val="00AC61D8"/>
    <w:rsid w:val="00AC6A46"/>
    <w:rsid w:val="00AC6AA6"/>
    <w:rsid w:val="00AD09F3"/>
    <w:rsid w:val="00AD0CC0"/>
    <w:rsid w:val="00AD1416"/>
    <w:rsid w:val="00AD1906"/>
    <w:rsid w:val="00AD1982"/>
    <w:rsid w:val="00AD1BB4"/>
    <w:rsid w:val="00AD1D58"/>
    <w:rsid w:val="00AD2AA8"/>
    <w:rsid w:val="00AD3BFA"/>
    <w:rsid w:val="00AD3C7B"/>
    <w:rsid w:val="00AD4662"/>
    <w:rsid w:val="00AD5E94"/>
    <w:rsid w:val="00AD60FD"/>
    <w:rsid w:val="00AD68D8"/>
    <w:rsid w:val="00AD73E7"/>
    <w:rsid w:val="00AE032D"/>
    <w:rsid w:val="00AE067F"/>
    <w:rsid w:val="00AE08C3"/>
    <w:rsid w:val="00AE09F4"/>
    <w:rsid w:val="00AE0F22"/>
    <w:rsid w:val="00AE147E"/>
    <w:rsid w:val="00AE1A90"/>
    <w:rsid w:val="00AE1FE2"/>
    <w:rsid w:val="00AE208F"/>
    <w:rsid w:val="00AE2559"/>
    <w:rsid w:val="00AE268F"/>
    <w:rsid w:val="00AE3585"/>
    <w:rsid w:val="00AE3660"/>
    <w:rsid w:val="00AE3C39"/>
    <w:rsid w:val="00AE425B"/>
    <w:rsid w:val="00AE4265"/>
    <w:rsid w:val="00AE473E"/>
    <w:rsid w:val="00AE4A96"/>
    <w:rsid w:val="00AE51DE"/>
    <w:rsid w:val="00AE6050"/>
    <w:rsid w:val="00AE621C"/>
    <w:rsid w:val="00AE69AF"/>
    <w:rsid w:val="00AE6D13"/>
    <w:rsid w:val="00AE6DD5"/>
    <w:rsid w:val="00AE76CF"/>
    <w:rsid w:val="00AE7D53"/>
    <w:rsid w:val="00AE7F40"/>
    <w:rsid w:val="00AF0228"/>
    <w:rsid w:val="00AF0F14"/>
    <w:rsid w:val="00AF149D"/>
    <w:rsid w:val="00AF1764"/>
    <w:rsid w:val="00AF19D6"/>
    <w:rsid w:val="00AF1B46"/>
    <w:rsid w:val="00AF24EE"/>
    <w:rsid w:val="00AF27F1"/>
    <w:rsid w:val="00AF39A1"/>
    <w:rsid w:val="00AF3A3A"/>
    <w:rsid w:val="00AF3C29"/>
    <w:rsid w:val="00AF3D7B"/>
    <w:rsid w:val="00AF406F"/>
    <w:rsid w:val="00AF423E"/>
    <w:rsid w:val="00AF424A"/>
    <w:rsid w:val="00AF4360"/>
    <w:rsid w:val="00AF481D"/>
    <w:rsid w:val="00AF70FD"/>
    <w:rsid w:val="00AF73C9"/>
    <w:rsid w:val="00AF7BEE"/>
    <w:rsid w:val="00B00104"/>
    <w:rsid w:val="00B00691"/>
    <w:rsid w:val="00B00A88"/>
    <w:rsid w:val="00B00B7E"/>
    <w:rsid w:val="00B00EFF"/>
    <w:rsid w:val="00B0112F"/>
    <w:rsid w:val="00B024F0"/>
    <w:rsid w:val="00B028CA"/>
    <w:rsid w:val="00B02BC3"/>
    <w:rsid w:val="00B02EC4"/>
    <w:rsid w:val="00B02EDF"/>
    <w:rsid w:val="00B03037"/>
    <w:rsid w:val="00B03821"/>
    <w:rsid w:val="00B03DEB"/>
    <w:rsid w:val="00B0546A"/>
    <w:rsid w:val="00B05785"/>
    <w:rsid w:val="00B058F0"/>
    <w:rsid w:val="00B05C2C"/>
    <w:rsid w:val="00B06404"/>
    <w:rsid w:val="00B0683F"/>
    <w:rsid w:val="00B06934"/>
    <w:rsid w:val="00B06F15"/>
    <w:rsid w:val="00B075AF"/>
    <w:rsid w:val="00B07ADC"/>
    <w:rsid w:val="00B07D97"/>
    <w:rsid w:val="00B10186"/>
    <w:rsid w:val="00B101D9"/>
    <w:rsid w:val="00B106D4"/>
    <w:rsid w:val="00B1132F"/>
    <w:rsid w:val="00B113CE"/>
    <w:rsid w:val="00B11657"/>
    <w:rsid w:val="00B11CD2"/>
    <w:rsid w:val="00B1286E"/>
    <w:rsid w:val="00B1296B"/>
    <w:rsid w:val="00B13015"/>
    <w:rsid w:val="00B133A1"/>
    <w:rsid w:val="00B13633"/>
    <w:rsid w:val="00B13C1A"/>
    <w:rsid w:val="00B13CFC"/>
    <w:rsid w:val="00B14628"/>
    <w:rsid w:val="00B14797"/>
    <w:rsid w:val="00B14CD9"/>
    <w:rsid w:val="00B14F4A"/>
    <w:rsid w:val="00B1551A"/>
    <w:rsid w:val="00B1580D"/>
    <w:rsid w:val="00B15922"/>
    <w:rsid w:val="00B15BDE"/>
    <w:rsid w:val="00B16349"/>
    <w:rsid w:val="00B1650D"/>
    <w:rsid w:val="00B16EB4"/>
    <w:rsid w:val="00B173AD"/>
    <w:rsid w:val="00B20152"/>
    <w:rsid w:val="00B206B1"/>
    <w:rsid w:val="00B20CEE"/>
    <w:rsid w:val="00B20DA4"/>
    <w:rsid w:val="00B2149D"/>
    <w:rsid w:val="00B21BCF"/>
    <w:rsid w:val="00B22838"/>
    <w:rsid w:val="00B2375A"/>
    <w:rsid w:val="00B23F98"/>
    <w:rsid w:val="00B246A6"/>
    <w:rsid w:val="00B24DDA"/>
    <w:rsid w:val="00B2619A"/>
    <w:rsid w:val="00B26411"/>
    <w:rsid w:val="00B2729D"/>
    <w:rsid w:val="00B2745F"/>
    <w:rsid w:val="00B274A4"/>
    <w:rsid w:val="00B300BF"/>
    <w:rsid w:val="00B3018C"/>
    <w:rsid w:val="00B3054A"/>
    <w:rsid w:val="00B305A3"/>
    <w:rsid w:val="00B30686"/>
    <w:rsid w:val="00B30ABE"/>
    <w:rsid w:val="00B30B1A"/>
    <w:rsid w:val="00B3128A"/>
    <w:rsid w:val="00B31347"/>
    <w:rsid w:val="00B3142D"/>
    <w:rsid w:val="00B316D4"/>
    <w:rsid w:val="00B321B4"/>
    <w:rsid w:val="00B322C4"/>
    <w:rsid w:val="00B3247E"/>
    <w:rsid w:val="00B32589"/>
    <w:rsid w:val="00B3291E"/>
    <w:rsid w:val="00B32A1F"/>
    <w:rsid w:val="00B32CB1"/>
    <w:rsid w:val="00B331B7"/>
    <w:rsid w:val="00B335B5"/>
    <w:rsid w:val="00B33AFB"/>
    <w:rsid w:val="00B33B54"/>
    <w:rsid w:val="00B33EF6"/>
    <w:rsid w:val="00B33FDD"/>
    <w:rsid w:val="00B341C2"/>
    <w:rsid w:val="00B3462E"/>
    <w:rsid w:val="00B34A69"/>
    <w:rsid w:val="00B34C7A"/>
    <w:rsid w:val="00B35F4F"/>
    <w:rsid w:val="00B36735"/>
    <w:rsid w:val="00B36AB9"/>
    <w:rsid w:val="00B36D17"/>
    <w:rsid w:val="00B376C6"/>
    <w:rsid w:val="00B37A12"/>
    <w:rsid w:val="00B40D88"/>
    <w:rsid w:val="00B416C2"/>
    <w:rsid w:val="00B41996"/>
    <w:rsid w:val="00B419BA"/>
    <w:rsid w:val="00B42457"/>
    <w:rsid w:val="00B42860"/>
    <w:rsid w:val="00B429B7"/>
    <w:rsid w:val="00B42AF5"/>
    <w:rsid w:val="00B42C9D"/>
    <w:rsid w:val="00B42F3B"/>
    <w:rsid w:val="00B43246"/>
    <w:rsid w:val="00B4411B"/>
    <w:rsid w:val="00B44A87"/>
    <w:rsid w:val="00B44D53"/>
    <w:rsid w:val="00B4542E"/>
    <w:rsid w:val="00B45564"/>
    <w:rsid w:val="00B462E7"/>
    <w:rsid w:val="00B46586"/>
    <w:rsid w:val="00B47252"/>
    <w:rsid w:val="00B4768F"/>
    <w:rsid w:val="00B47865"/>
    <w:rsid w:val="00B478C7"/>
    <w:rsid w:val="00B47E0D"/>
    <w:rsid w:val="00B47E26"/>
    <w:rsid w:val="00B47EBB"/>
    <w:rsid w:val="00B51BBE"/>
    <w:rsid w:val="00B5297D"/>
    <w:rsid w:val="00B53385"/>
    <w:rsid w:val="00B537E8"/>
    <w:rsid w:val="00B53B61"/>
    <w:rsid w:val="00B54ABD"/>
    <w:rsid w:val="00B54ED9"/>
    <w:rsid w:val="00B54F12"/>
    <w:rsid w:val="00B553D6"/>
    <w:rsid w:val="00B5591E"/>
    <w:rsid w:val="00B55B18"/>
    <w:rsid w:val="00B56269"/>
    <w:rsid w:val="00B56CC8"/>
    <w:rsid w:val="00B570B2"/>
    <w:rsid w:val="00B57208"/>
    <w:rsid w:val="00B574E9"/>
    <w:rsid w:val="00B579A4"/>
    <w:rsid w:val="00B57AA4"/>
    <w:rsid w:val="00B57DB3"/>
    <w:rsid w:val="00B60106"/>
    <w:rsid w:val="00B6069A"/>
    <w:rsid w:val="00B617B3"/>
    <w:rsid w:val="00B6180E"/>
    <w:rsid w:val="00B61C3F"/>
    <w:rsid w:val="00B61CD4"/>
    <w:rsid w:val="00B62616"/>
    <w:rsid w:val="00B62CE5"/>
    <w:rsid w:val="00B62DB0"/>
    <w:rsid w:val="00B6343F"/>
    <w:rsid w:val="00B6378E"/>
    <w:rsid w:val="00B63A60"/>
    <w:rsid w:val="00B63C20"/>
    <w:rsid w:val="00B64325"/>
    <w:rsid w:val="00B6477B"/>
    <w:rsid w:val="00B6486B"/>
    <w:rsid w:val="00B64A85"/>
    <w:rsid w:val="00B65D92"/>
    <w:rsid w:val="00B6640D"/>
    <w:rsid w:val="00B665D4"/>
    <w:rsid w:val="00B66774"/>
    <w:rsid w:val="00B66B83"/>
    <w:rsid w:val="00B66C38"/>
    <w:rsid w:val="00B6718B"/>
    <w:rsid w:val="00B671AA"/>
    <w:rsid w:val="00B702F9"/>
    <w:rsid w:val="00B70662"/>
    <w:rsid w:val="00B71046"/>
    <w:rsid w:val="00B712EA"/>
    <w:rsid w:val="00B71678"/>
    <w:rsid w:val="00B71809"/>
    <w:rsid w:val="00B71F04"/>
    <w:rsid w:val="00B71F98"/>
    <w:rsid w:val="00B71FC1"/>
    <w:rsid w:val="00B7200D"/>
    <w:rsid w:val="00B726B0"/>
    <w:rsid w:val="00B73225"/>
    <w:rsid w:val="00B738EB"/>
    <w:rsid w:val="00B74BEB"/>
    <w:rsid w:val="00B74D8D"/>
    <w:rsid w:val="00B74F17"/>
    <w:rsid w:val="00B75FAE"/>
    <w:rsid w:val="00B76212"/>
    <w:rsid w:val="00B76853"/>
    <w:rsid w:val="00B76F66"/>
    <w:rsid w:val="00B77223"/>
    <w:rsid w:val="00B77245"/>
    <w:rsid w:val="00B776DF"/>
    <w:rsid w:val="00B802F1"/>
    <w:rsid w:val="00B80CCE"/>
    <w:rsid w:val="00B80E91"/>
    <w:rsid w:val="00B8126E"/>
    <w:rsid w:val="00B819C8"/>
    <w:rsid w:val="00B81E77"/>
    <w:rsid w:val="00B82119"/>
    <w:rsid w:val="00B823A9"/>
    <w:rsid w:val="00B82807"/>
    <w:rsid w:val="00B82B68"/>
    <w:rsid w:val="00B832EC"/>
    <w:rsid w:val="00B83388"/>
    <w:rsid w:val="00B83490"/>
    <w:rsid w:val="00B834B5"/>
    <w:rsid w:val="00B83A32"/>
    <w:rsid w:val="00B83E47"/>
    <w:rsid w:val="00B8436E"/>
    <w:rsid w:val="00B8438B"/>
    <w:rsid w:val="00B849DF"/>
    <w:rsid w:val="00B853AF"/>
    <w:rsid w:val="00B85D31"/>
    <w:rsid w:val="00B85EB9"/>
    <w:rsid w:val="00B86343"/>
    <w:rsid w:val="00B8655E"/>
    <w:rsid w:val="00B86597"/>
    <w:rsid w:val="00B87099"/>
    <w:rsid w:val="00B87631"/>
    <w:rsid w:val="00B87B21"/>
    <w:rsid w:val="00B87CE0"/>
    <w:rsid w:val="00B87D6B"/>
    <w:rsid w:val="00B87F19"/>
    <w:rsid w:val="00B900EC"/>
    <w:rsid w:val="00B90E4C"/>
    <w:rsid w:val="00B918E9"/>
    <w:rsid w:val="00B91CBA"/>
    <w:rsid w:val="00B92181"/>
    <w:rsid w:val="00B92185"/>
    <w:rsid w:val="00B922EA"/>
    <w:rsid w:val="00B9264F"/>
    <w:rsid w:val="00B92955"/>
    <w:rsid w:val="00B934FB"/>
    <w:rsid w:val="00B93A23"/>
    <w:rsid w:val="00B93AB8"/>
    <w:rsid w:val="00B93AC1"/>
    <w:rsid w:val="00B93DB2"/>
    <w:rsid w:val="00B94044"/>
    <w:rsid w:val="00B94176"/>
    <w:rsid w:val="00B95019"/>
    <w:rsid w:val="00B959B9"/>
    <w:rsid w:val="00B95AF3"/>
    <w:rsid w:val="00B9621B"/>
    <w:rsid w:val="00B9639B"/>
    <w:rsid w:val="00B964BC"/>
    <w:rsid w:val="00B977FE"/>
    <w:rsid w:val="00B97F19"/>
    <w:rsid w:val="00B97F28"/>
    <w:rsid w:val="00BA094F"/>
    <w:rsid w:val="00BA15EF"/>
    <w:rsid w:val="00BA1AAC"/>
    <w:rsid w:val="00BA1C01"/>
    <w:rsid w:val="00BA1DE6"/>
    <w:rsid w:val="00BA2299"/>
    <w:rsid w:val="00BA2B9D"/>
    <w:rsid w:val="00BA3644"/>
    <w:rsid w:val="00BA3B75"/>
    <w:rsid w:val="00BA3F0E"/>
    <w:rsid w:val="00BA4685"/>
    <w:rsid w:val="00BA4ABC"/>
    <w:rsid w:val="00BA57F2"/>
    <w:rsid w:val="00BA5A31"/>
    <w:rsid w:val="00BA5A4F"/>
    <w:rsid w:val="00BA5A66"/>
    <w:rsid w:val="00BA60DA"/>
    <w:rsid w:val="00BA641C"/>
    <w:rsid w:val="00BA660F"/>
    <w:rsid w:val="00BA734D"/>
    <w:rsid w:val="00BA7944"/>
    <w:rsid w:val="00BA7B22"/>
    <w:rsid w:val="00BB1325"/>
    <w:rsid w:val="00BB1507"/>
    <w:rsid w:val="00BB1817"/>
    <w:rsid w:val="00BB19F4"/>
    <w:rsid w:val="00BB2ABA"/>
    <w:rsid w:val="00BB2C63"/>
    <w:rsid w:val="00BB329C"/>
    <w:rsid w:val="00BB3929"/>
    <w:rsid w:val="00BB3F57"/>
    <w:rsid w:val="00BB3F82"/>
    <w:rsid w:val="00BB4826"/>
    <w:rsid w:val="00BB4BD9"/>
    <w:rsid w:val="00BB558C"/>
    <w:rsid w:val="00BB589F"/>
    <w:rsid w:val="00BB59F4"/>
    <w:rsid w:val="00BB7449"/>
    <w:rsid w:val="00BB77B3"/>
    <w:rsid w:val="00BC02EC"/>
    <w:rsid w:val="00BC03A0"/>
    <w:rsid w:val="00BC0402"/>
    <w:rsid w:val="00BC0911"/>
    <w:rsid w:val="00BC14B4"/>
    <w:rsid w:val="00BC22BA"/>
    <w:rsid w:val="00BC2587"/>
    <w:rsid w:val="00BC327D"/>
    <w:rsid w:val="00BC3C3D"/>
    <w:rsid w:val="00BC3E81"/>
    <w:rsid w:val="00BC40BE"/>
    <w:rsid w:val="00BC4206"/>
    <w:rsid w:val="00BC43E8"/>
    <w:rsid w:val="00BC444F"/>
    <w:rsid w:val="00BC4C57"/>
    <w:rsid w:val="00BC5486"/>
    <w:rsid w:val="00BC56D7"/>
    <w:rsid w:val="00BC5B54"/>
    <w:rsid w:val="00BC5CF9"/>
    <w:rsid w:val="00BC5F43"/>
    <w:rsid w:val="00BC6C4A"/>
    <w:rsid w:val="00BC7289"/>
    <w:rsid w:val="00BC74BB"/>
    <w:rsid w:val="00BC7B6D"/>
    <w:rsid w:val="00BC7F32"/>
    <w:rsid w:val="00BD065C"/>
    <w:rsid w:val="00BD07BA"/>
    <w:rsid w:val="00BD0FA7"/>
    <w:rsid w:val="00BD1140"/>
    <w:rsid w:val="00BD13DB"/>
    <w:rsid w:val="00BD1B85"/>
    <w:rsid w:val="00BD1B8C"/>
    <w:rsid w:val="00BD274E"/>
    <w:rsid w:val="00BD3171"/>
    <w:rsid w:val="00BD3269"/>
    <w:rsid w:val="00BD3888"/>
    <w:rsid w:val="00BD3D03"/>
    <w:rsid w:val="00BD4109"/>
    <w:rsid w:val="00BD4453"/>
    <w:rsid w:val="00BD46D3"/>
    <w:rsid w:val="00BD486F"/>
    <w:rsid w:val="00BD4E23"/>
    <w:rsid w:val="00BD5858"/>
    <w:rsid w:val="00BD5872"/>
    <w:rsid w:val="00BD5AF4"/>
    <w:rsid w:val="00BD5EF0"/>
    <w:rsid w:val="00BD6257"/>
    <w:rsid w:val="00BD6626"/>
    <w:rsid w:val="00BD6659"/>
    <w:rsid w:val="00BD667C"/>
    <w:rsid w:val="00BD71AE"/>
    <w:rsid w:val="00BD7210"/>
    <w:rsid w:val="00BD7233"/>
    <w:rsid w:val="00BD7449"/>
    <w:rsid w:val="00BD7CAD"/>
    <w:rsid w:val="00BE0A77"/>
    <w:rsid w:val="00BE0F21"/>
    <w:rsid w:val="00BE1274"/>
    <w:rsid w:val="00BE1B3E"/>
    <w:rsid w:val="00BE1C21"/>
    <w:rsid w:val="00BE1CF4"/>
    <w:rsid w:val="00BE3106"/>
    <w:rsid w:val="00BE33EC"/>
    <w:rsid w:val="00BE4417"/>
    <w:rsid w:val="00BE4DD6"/>
    <w:rsid w:val="00BE534B"/>
    <w:rsid w:val="00BE64F2"/>
    <w:rsid w:val="00BE6AF2"/>
    <w:rsid w:val="00BE73C0"/>
    <w:rsid w:val="00BE7406"/>
    <w:rsid w:val="00BE75B0"/>
    <w:rsid w:val="00BE76DB"/>
    <w:rsid w:val="00BE7B89"/>
    <w:rsid w:val="00BE7CD5"/>
    <w:rsid w:val="00BF021D"/>
    <w:rsid w:val="00BF0283"/>
    <w:rsid w:val="00BF02F3"/>
    <w:rsid w:val="00BF0305"/>
    <w:rsid w:val="00BF04D7"/>
    <w:rsid w:val="00BF04F7"/>
    <w:rsid w:val="00BF085F"/>
    <w:rsid w:val="00BF1770"/>
    <w:rsid w:val="00BF1969"/>
    <w:rsid w:val="00BF1BE7"/>
    <w:rsid w:val="00BF1BF8"/>
    <w:rsid w:val="00BF236F"/>
    <w:rsid w:val="00BF251C"/>
    <w:rsid w:val="00BF285D"/>
    <w:rsid w:val="00BF35B7"/>
    <w:rsid w:val="00BF388B"/>
    <w:rsid w:val="00BF44D4"/>
    <w:rsid w:val="00BF47FE"/>
    <w:rsid w:val="00BF4DCE"/>
    <w:rsid w:val="00BF515A"/>
    <w:rsid w:val="00BF5BC5"/>
    <w:rsid w:val="00BF6129"/>
    <w:rsid w:val="00BF72D6"/>
    <w:rsid w:val="00BF73FA"/>
    <w:rsid w:val="00BF7597"/>
    <w:rsid w:val="00BF78E3"/>
    <w:rsid w:val="00BF7B53"/>
    <w:rsid w:val="00C00758"/>
    <w:rsid w:val="00C007A7"/>
    <w:rsid w:val="00C00CB5"/>
    <w:rsid w:val="00C01AF3"/>
    <w:rsid w:val="00C01BB0"/>
    <w:rsid w:val="00C022B2"/>
    <w:rsid w:val="00C028EB"/>
    <w:rsid w:val="00C02DD6"/>
    <w:rsid w:val="00C032C3"/>
    <w:rsid w:val="00C040C0"/>
    <w:rsid w:val="00C04E7C"/>
    <w:rsid w:val="00C050B8"/>
    <w:rsid w:val="00C05826"/>
    <w:rsid w:val="00C05919"/>
    <w:rsid w:val="00C05AA5"/>
    <w:rsid w:val="00C05ED0"/>
    <w:rsid w:val="00C06F75"/>
    <w:rsid w:val="00C0705A"/>
    <w:rsid w:val="00C07249"/>
    <w:rsid w:val="00C07465"/>
    <w:rsid w:val="00C07FE7"/>
    <w:rsid w:val="00C10CDC"/>
    <w:rsid w:val="00C113B1"/>
    <w:rsid w:val="00C117A4"/>
    <w:rsid w:val="00C11AEE"/>
    <w:rsid w:val="00C11D45"/>
    <w:rsid w:val="00C11E70"/>
    <w:rsid w:val="00C120C0"/>
    <w:rsid w:val="00C127BB"/>
    <w:rsid w:val="00C127D5"/>
    <w:rsid w:val="00C12868"/>
    <w:rsid w:val="00C12B49"/>
    <w:rsid w:val="00C12DE3"/>
    <w:rsid w:val="00C12FFC"/>
    <w:rsid w:val="00C130A1"/>
    <w:rsid w:val="00C13111"/>
    <w:rsid w:val="00C133E8"/>
    <w:rsid w:val="00C1392B"/>
    <w:rsid w:val="00C140E5"/>
    <w:rsid w:val="00C140EA"/>
    <w:rsid w:val="00C1413F"/>
    <w:rsid w:val="00C14F99"/>
    <w:rsid w:val="00C15B25"/>
    <w:rsid w:val="00C15C8F"/>
    <w:rsid w:val="00C15EB2"/>
    <w:rsid w:val="00C16022"/>
    <w:rsid w:val="00C16257"/>
    <w:rsid w:val="00C16C86"/>
    <w:rsid w:val="00C16D0E"/>
    <w:rsid w:val="00C16F89"/>
    <w:rsid w:val="00C17800"/>
    <w:rsid w:val="00C1784E"/>
    <w:rsid w:val="00C17BD7"/>
    <w:rsid w:val="00C201C8"/>
    <w:rsid w:val="00C207DE"/>
    <w:rsid w:val="00C20B7E"/>
    <w:rsid w:val="00C20ECB"/>
    <w:rsid w:val="00C20F9F"/>
    <w:rsid w:val="00C212C4"/>
    <w:rsid w:val="00C2184A"/>
    <w:rsid w:val="00C21950"/>
    <w:rsid w:val="00C219F1"/>
    <w:rsid w:val="00C21D21"/>
    <w:rsid w:val="00C2247F"/>
    <w:rsid w:val="00C22889"/>
    <w:rsid w:val="00C23566"/>
    <w:rsid w:val="00C23E80"/>
    <w:rsid w:val="00C24008"/>
    <w:rsid w:val="00C253D1"/>
    <w:rsid w:val="00C2553F"/>
    <w:rsid w:val="00C25683"/>
    <w:rsid w:val="00C25D2D"/>
    <w:rsid w:val="00C267F6"/>
    <w:rsid w:val="00C2730A"/>
    <w:rsid w:val="00C2731A"/>
    <w:rsid w:val="00C2769E"/>
    <w:rsid w:val="00C30819"/>
    <w:rsid w:val="00C30854"/>
    <w:rsid w:val="00C30DC1"/>
    <w:rsid w:val="00C31B91"/>
    <w:rsid w:val="00C31D14"/>
    <w:rsid w:val="00C32958"/>
    <w:rsid w:val="00C32F55"/>
    <w:rsid w:val="00C33195"/>
    <w:rsid w:val="00C33C52"/>
    <w:rsid w:val="00C33EE3"/>
    <w:rsid w:val="00C33FC1"/>
    <w:rsid w:val="00C35011"/>
    <w:rsid w:val="00C353C2"/>
    <w:rsid w:val="00C3541F"/>
    <w:rsid w:val="00C354B0"/>
    <w:rsid w:val="00C356CC"/>
    <w:rsid w:val="00C35D59"/>
    <w:rsid w:val="00C360C9"/>
    <w:rsid w:val="00C368B4"/>
    <w:rsid w:val="00C373BB"/>
    <w:rsid w:val="00C37AA0"/>
    <w:rsid w:val="00C37FE9"/>
    <w:rsid w:val="00C40761"/>
    <w:rsid w:val="00C407B7"/>
    <w:rsid w:val="00C40AB3"/>
    <w:rsid w:val="00C40DAA"/>
    <w:rsid w:val="00C42113"/>
    <w:rsid w:val="00C424D5"/>
    <w:rsid w:val="00C42A4E"/>
    <w:rsid w:val="00C42FE8"/>
    <w:rsid w:val="00C4344B"/>
    <w:rsid w:val="00C43529"/>
    <w:rsid w:val="00C43891"/>
    <w:rsid w:val="00C440D0"/>
    <w:rsid w:val="00C44DBE"/>
    <w:rsid w:val="00C44DC9"/>
    <w:rsid w:val="00C44DFD"/>
    <w:rsid w:val="00C459F6"/>
    <w:rsid w:val="00C45A82"/>
    <w:rsid w:val="00C46A04"/>
    <w:rsid w:val="00C46B40"/>
    <w:rsid w:val="00C46D71"/>
    <w:rsid w:val="00C47000"/>
    <w:rsid w:val="00C47655"/>
    <w:rsid w:val="00C477E8"/>
    <w:rsid w:val="00C4793C"/>
    <w:rsid w:val="00C50AC0"/>
    <w:rsid w:val="00C512FE"/>
    <w:rsid w:val="00C51E6B"/>
    <w:rsid w:val="00C5226B"/>
    <w:rsid w:val="00C52656"/>
    <w:rsid w:val="00C5284A"/>
    <w:rsid w:val="00C529B4"/>
    <w:rsid w:val="00C531D1"/>
    <w:rsid w:val="00C53326"/>
    <w:rsid w:val="00C53394"/>
    <w:rsid w:val="00C534E0"/>
    <w:rsid w:val="00C55A24"/>
    <w:rsid w:val="00C55F39"/>
    <w:rsid w:val="00C5657C"/>
    <w:rsid w:val="00C574CF"/>
    <w:rsid w:val="00C57D81"/>
    <w:rsid w:val="00C609E5"/>
    <w:rsid w:val="00C60D09"/>
    <w:rsid w:val="00C61275"/>
    <w:rsid w:val="00C61346"/>
    <w:rsid w:val="00C6153F"/>
    <w:rsid w:val="00C618FE"/>
    <w:rsid w:val="00C61C97"/>
    <w:rsid w:val="00C61DA6"/>
    <w:rsid w:val="00C6218F"/>
    <w:rsid w:val="00C62B46"/>
    <w:rsid w:val="00C6375B"/>
    <w:rsid w:val="00C63920"/>
    <w:rsid w:val="00C63AC5"/>
    <w:rsid w:val="00C63B3C"/>
    <w:rsid w:val="00C63C19"/>
    <w:rsid w:val="00C63C5E"/>
    <w:rsid w:val="00C64206"/>
    <w:rsid w:val="00C6499D"/>
    <w:rsid w:val="00C65024"/>
    <w:rsid w:val="00C653FE"/>
    <w:rsid w:val="00C65B5F"/>
    <w:rsid w:val="00C66180"/>
    <w:rsid w:val="00C668F9"/>
    <w:rsid w:val="00C6700F"/>
    <w:rsid w:val="00C67796"/>
    <w:rsid w:val="00C67AC0"/>
    <w:rsid w:val="00C70439"/>
    <w:rsid w:val="00C70A1C"/>
    <w:rsid w:val="00C7101A"/>
    <w:rsid w:val="00C711E0"/>
    <w:rsid w:val="00C71A36"/>
    <w:rsid w:val="00C725F4"/>
    <w:rsid w:val="00C7297D"/>
    <w:rsid w:val="00C72B4E"/>
    <w:rsid w:val="00C72F81"/>
    <w:rsid w:val="00C73AF7"/>
    <w:rsid w:val="00C74A66"/>
    <w:rsid w:val="00C7511E"/>
    <w:rsid w:val="00C769AE"/>
    <w:rsid w:val="00C76ABC"/>
    <w:rsid w:val="00C7732F"/>
    <w:rsid w:val="00C77F53"/>
    <w:rsid w:val="00C80113"/>
    <w:rsid w:val="00C804A7"/>
    <w:rsid w:val="00C805E0"/>
    <w:rsid w:val="00C80D10"/>
    <w:rsid w:val="00C80F0B"/>
    <w:rsid w:val="00C810DD"/>
    <w:rsid w:val="00C812F3"/>
    <w:rsid w:val="00C81450"/>
    <w:rsid w:val="00C81560"/>
    <w:rsid w:val="00C815BA"/>
    <w:rsid w:val="00C82DDB"/>
    <w:rsid w:val="00C8345E"/>
    <w:rsid w:val="00C839B3"/>
    <w:rsid w:val="00C83A4D"/>
    <w:rsid w:val="00C84657"/>
    <w:rsid w:val="00C849CC"/>
    <w:rsid w:val="00C84C08"/>
    <w:rsid w:val="00C85012"/>
    <w:rsid w:val="00C8513D"/>
    <w:rsid w:val="00C851D9"/>
    <w:rsid w:val="00C85260"/>
    <w:rsid w:val="00C85377"/>
    <w:rsid w:val="00C85B20"/>
    <w:rsid w:val="00C85D5E"/>
    <w:rsid w:val="00C85D9A"/>
    <w:rsid w:val="00C865CA"/>
    <w:rsid w:val="00C867F0"/>
    <w:rsid w:val="00C86D29"/>
    <w:rsid w:val="00C86D82"/>
    <w:rsid w:val="00C872AE"/>
    <w:rsid w:val="00C8772E"/>
    <w:rsid w:val="00C877BD"/>
    <w:rsid w:val="00C87DEC"/>
    <w:rsid w:val="00C87EBE"/>
    <w:rsid w:val="00C90645"/>
    <w:rsid w:val="00C908A3"/>
    <w:rsid w:val="00C908C6"/>
    <w:rsid w:val="00C909C3"/>
    <w:rsid w:val="00C90C70"/>
    <w:rsid w:val="00C9125A"/>
    <w:rsid w:val="00C915BB"/>
    <w:rsid w:val="00C9177F"/>
    <w:rsid w:val="00C926C6"/>
    <w:rsid w:val="00C92B99"/>
    <w:rsid w:val="00C9376D"/>
    <w:rsid w:val="00C93A54"/>
    <w:rsid w:val="00C93B6B"/>
    <w:rsid w:val="00C93BAC"/>
    <w:rsid w:val="00C959DC"/>
    <w:rsid w:val="00C96735"/>
    <w:rsid w:val="00C96BBE"/>
    <w:rsid w:val="00C972C7"/>
    <w:rsid w:val="00C97769"/>
    <w:rsid w:val="00C97D0F"/>
    <w:rsid w:val="00C97F95"/>
    <w:rsid w:val="00CA0111"/>
    <w:rsid w:val="00CA12F2"/>
    <w:rsid w:val="00CA1E22"/>
    <w:rsid w:val="00CA1EB4"/>
    <w:rsid w:val="00CA2809"/>
    <w:rsid w:val="00CA2970"/>
    <w:rsid w:val="00CA3B40"/>
    <w:rsid w:val="00CA3B78"/>
    <w:rsid w:val="00CA3EDC"/>
    <w:rsid w:val="00CA3F57"/>
    <w:rsid w:val="00CA463A"/>
    <w:rsid w:val="00CA46DE"/>
    <w:rsid w:val="00CA478D"/>
    <w:rsid w:val="00CA4823"/>
    <w:rsid w:val="00CA4ABB"/>
    <w:rsid w:val="00CA4D10"/>
    <w:rsid w:val="00CA4DCE"/>
    <w:rsid w:val="00CA5170"/>
    <w:rsid w:val="00CA5886"/>
    <w:rsid w:val="00CA5F1D"/>
    <w:rsid w:val="00CA6214"/>
    <w:rsid w:val="00CA6AC1"/>
    <w:rsid w:val="00CA6D95"/>
    <w:rsid w:val="00CA721B"/>
    <w:rsid w:val="00CA7772"/>
    <w:rsid w:val="00CA77C0"/>
    <w:rsid w:val="00CA79C7"/>
    <w:rsid w:val="00CA7AC7"/>
    <w:rsid w:val="00CB088E"/>
    <w:rsid w:val="00CB1731"/>
    <w:rsid w:val="00CB2A0E"/>
    <w:rsid w:val="00CB2B01"/>
    <w:rsid w:val="00CB385E"/>
    <w:rsid w:val="00CB3E0C"/>
    <w:rsid w:val="00CB429B"/>
    <w:rsid w:val="00CB46B4"/>
    <w:rsid w:val="00CB5F8D"/>
    <w:rsid w:val="00CB6396"/>
    <w:rsid w:val="00CB66BD"/>
    <w:rsid w:val="00CB6A85"/>
    <w:rsid w:val="00CB6C5E"/>
    <w:rsid w:val="00CB6FDD"/>
    <w:rsid w:val="00CB73C5"/>
    <w:rsid w:val="00CB7524"/>
    <w:rsid w:val="00CB78C8"/>
    <w:rsid w:val="00CB7BAE"/>
    <w:rsid w:val="00CB7CE0"/>
    <w:rsid w:val="00CC0369"/>
    <w:rsid w:val="00CC0490"/>
    <w:rsid w:val="00CC1A9E"/>
    <w:rsid w:val="00CC1B0F"/>
    <w:rsid w:val="00CC1CEF"/>
    <w:rsid w:val="00CC1F5A"/>
    <w:rsid w:val="00CC23B2"/>
    <w:rsid w:val="00CC248D"/>
    <w:rsid w:val="00CC2A99"/>
    <w:rsid w:val="00CC2B31"/>
    <w:rsid w:val="00CC2B49"/>
    <w:rsid w:val="00CC2BC4"/>
    <w:rsid w:val="00CC2F35"/>
    <w:rsid w:val="00CC301F"/>
    <w:rsid w:val="00CC378C"/>
    <w:rsid w:val="00CC3A54"/>
    <w:rsid w:val="00CC4090"/>
    <w:rsid w:val="00CC43AF"/>
    <w:rsid w:val="00CC5532"/>
    <w:rsid w:val="00CC5706"/>
    <w:rsid w:val="00CC6563"/>
    <w:rsid w:val="00CC6D2D"/>
    <w:rsid w:val="00CC76AD"/>
    <w:rsid w:val="00CC7DE7"/>
    <w:rsid w:val="00CC7F5A"/>
    <w:rsid w:val="00CD09FB"/>
    <w:rsid w:val="00CD0DBD"/>
    <w:rsid w:val="00CD1ACB"/>
    <w:rsid w:val="00CD1C8F"/>
    <w:rsid w:val="00CD1F31"/>
    <w:rsid w:val="00CD2088"/>
    <w:rsid w:val="00CD31E7"/>
    <w:rsid w:val="00CD494C"/>
    <w:rsid w:val="00CD4D05"/>
    <w:rsid w:val="00CD4FB1"/>
    <w:rsid w:val="00CD5163"/>
    <w:rsid w:val="00CD5965"/>
    <w:rsid w:val="00CD5A21"/>
    <w:rsid w:val="00CD6106"/>
    <w:rsid w:val="00CD620C"/>
    <w:rsid w:val="00CD69BF"/>
    <w:rsid w:val="00CD69E8"/>
    <w:rsid w:val="00CD7CC7"/>
    <w:rsid w:val="00CE039F"/>
    <w:rsid w:val="00CE072D"/>
    <w:rsid w:val="00CE0B41"/>
    <w:rsid w:val="00CE151F"/>
    <w:rsid w:val="00CE1B86"/>
    <w:rsid w:val="00CE1C39"/>
    <w:rsid w:val="00CE23BA"/>
    <w:rsid w:val="00CE2C33"/>
    <w:rsid w:val="00CE2C9F"/>
    <w:rsid w:val="00CE327B"/>
    <w:rsid w:val="00CE4013"/>
    <w:rsid w:val="00CE428A"/>
    <w:rsid w:val="00CE453F"/>
    <w:rsid w:val="00CE4815"/>
    <w:rsid w:val="00CE4867"/>
    <w:rsid w:val="00CE4E66"/>
    <w:rsid w:val="00CE58D8"/>
    <w:rsid w:val="00CE59DD"/>
    <w:rsid w:val="00CE69C1"/>
    <w:rsid w:val="00CE6A04"/>
    <w:rsid w:val="00CE71EC"/>
    <w:rsid w:val="00CF0188"/>
    <w:rsid w:val="00CF02AF"/>
    <w:rsid w:val="00CF0D41"/>
    <w:rsid w:val="00CF1370"/>
    <w:rsid w:val="00CF14F8"/>
    <w:rsid w:val="00CF1756"/>
    <w:rsid w:val="00CF1996"/>
    <w:rsid w:val="00CF1C61"/>
    <w:rsid w:val="00CF2A8D"/>
    <w:rsid w:val="00CF30A5"/>
    <w:rsid w:val="00CF3479"/>
    <w:rsid w:val="00CF3752"/>
    <w:rsid w:val="00CF38B3"/>
    <w:rsid w:val="00CF3950"/>
    <w:rsid w:val="00CF39DD"/>
    <w:rsid w:val="00CF3C79"/>
    <w:rsid w:val="00CF5003"/>
    <w:rsid w:val="00CF51CC"/>
    <w:rsid w:val="00CF5283"/>
    <w:rsid w:val="00CF55E6"/>
    <w:rsid w:val="00CF583A"/>
    <w:rsid w:val="00CF58C7"/>
    <w:rsid w:val="00CF5A65"/>
    <w:rsid w:val="00CF5A7B"/>
    <w:rsid w:val="00CF608D"/>
    <w:rsid w:val="00CF60C0"/>
    <w:rsid w:val="00CF6472"/>
    <w:rsid w:val="00CF6DF6"/>
    <w:rsid w:val="00CF745D"/>
    <w:rsid w:val="00D0041C"/>
    <w:rsid w:val="00D00521"/>
    <w:rsid w:val="00D00712"/>
    <w:rsid w:val="00D008FF"/>
    <w:rsid w:val="00D00D39"/>
    <w:rsid w:val="00D018BD"/>
    <w:rsid w:val="00D01A48"/>
    <w:rsid w:val="00D01E65"/>
    <w:rsid w:val="00D0207B"/>
    <w:rsid w:val="00D0208B"/>
    <w:rsid w:val="00D026AD"/>
    <w:rsid w:val="00D031C9"/>
    <w:rsid w:val="00D032D8"/>
    <w:rsid w:val="00D0336C"/>
    <w:rsid w:val="00D03AE0"/>
    <w:rsid w:val="00D03EF8"/>
    <w:rsid w:val="00D041D3"/>
    <w:rsid w:val="00D04B6B"/>
    <w:rsid w:val="00D04F2E"/>
    <w:rsid w:val="00D05089"/>
    <w:rsid w:val="00D053DD"/>
    <w:rsid w:val="00D053E2"/>
    <w:rsid w:val="00D05683"/>
    <w:rsid w:val="00D056FA"/>
    <w:rsid w:val="00D05C34"/>
    <w:rsid w:val="00D067D2"/>
    <w:rsid w:val="00D06831"/>
    <w:rsid w:val="00D06ABF"/>
    <w:rsid w:val="00D07954"/>
    <w:rsid w:val="00D07B89"/>
    <w:rsid w:val="00D07C41"/>
    <w:rsid w:val="00D105E8"/>
    <w:rsid w:val="00D11889"/>
    <w:rsid w:val="00D11AD6"/>
    <w:rsid w:val="00D12B0E"/>
    <w:rsid w:val="00D12EB1"/>
    <w:rsid w:val="00D133A2"/>
    <w:rsid w:val="00D133B8"/>
    <w:rsid w:val="00D1354F"/>
    <w:rsid w:val="00D137E7"/>
    <w:rsid w:val="00D13A7D"/>
    <w:rsid w:val="00D13D39"/>
    <w:rsid w:val="00D14749"/>
    <w:rsid w:val="00D14B9C"/>
    <w:rsid w:val="00D15857"/>
    <w:rsid w:val="00D15BB1"/>
    <w:rsid w:val="00D17298"/>
    <w:rsid w:val="00D17387"/>
    <w:rsid w:val="00D17A16"/>
    <w:rsid w:val="00D2000D"/>
    <w:rsid w:val="00D20ACA"/>
    <w:rsid w:val="00D20F3C"/>
    <w:rsid w:val="00D22AD1"/>
    <w:rsid w:val="00D22D66"/>
    <w:rsid w:val="00D22FF4"/>
    <w:rsid w:val="00D2306A"/>
    <w:rsid w:val="00D234CB"/>
    <w:rsid w:val="00D238FF"/>
    <w:rsid w:val="00D2419B"/>
    <w:rsid w:val="00D2424F"/>
    <w:rsid w:val="00D24AE2"/>
    <w:rsid w:val="00D24D4D"/>
    <w:rsid w:val="00D260E4"/>
    <w:rsid w:val="00D264AB"/>
    <w:rsid w:val="00D26611"/>
    <w:rsid w:val="00D26663"/>
    <w:rsid w:val="00D26BDC"/>
    <w:rsid w:val="00D27182"/>
    <w:rsid w:val="00D301D2"/>
    <w:rsid w:val="00D30222"/>
    <w:rsid w:val="00D302A7"/>
    <w:rsid w:val="00D30A48"/>
    <w:rsid w:val="00D31435"/>
    <w:rsid w:val="00D315C1"/>
    <w:rsid w:val="00D316D5"/>
    <w:rsid w:val="00D316F3"/>
    <w:rsid w:val="00D31975"/>
    <w:rsid w:val="00D31A18"/>
    <w:rsid w:val="00D31A28"/>
    <w:rsid w:val="00D31AE0"/>
    <w:rsid w:val="00D31CC1"/>
    <w:rsid w:val="00D3222C"/>
    <w:rsid w:val="00D32583"/>
    <w:rsid w:val="00D32927"/>
    <w:rsid w:val="00D33519"/>
    <w:rsid w:val="00D33DBE"/>
    <w:rsid w:val="00D341E8"/>
    <w:rsid w:val="00D34311"/>
    <w:rsid w:val="00D344DB"/>
    <w:rsid w:val="00D3496F"/>
    <w:rsid w:val="00D34CE4"/>
    <w:rsid w:val="00D35227"/>
    <w:rsid w:val="00D356A9"/>
    <w:rsid w:val="00D35ABD"/>
    <w:rsid w:val="00D36031"/>
    <w:rsid w:val="00D364FA"/>
    <w:rsid w:val="00D36780"/>
    <w:rsid w:val="00D36A0B"/>
    <w:rsid w:val="00D36DA0"/>
    <w:rsid w:val="00D36E80"/>
    <w:rsid w:val="00D36EE3"/>
    <w:rsid w:val="00D36FEA"/>
    <w:rsid w:val="00D37299"/>
    <w:rsid w:val="00D379BC"/>
    <w:rsid w:val="00D40A98"/>
    <w:rsid w:val="00D40B29"/>
    <w:rsid w:val="00D40F3F"/>
    <w:rsid w:val="00D4118F"/>
    <w:rsid w:val="00D41306"/>
    <w:rsid w:val="00D41914"/>
    <w:rsid w:val="00D41C82"/>
    <w:rsid w:val="00D42A52"/>
    <w:rsid w:val="00D42DBC"/>
    <w:rsid w:val="00D42DCD"/>
    <w:rsid w:val="00D42F4C"/>
    <w:rsid w:val="00D43538"/>
    <w:rsid w:val="00D4403E"/>
    <w:rsid w:val="00D444B1"/>
    <w:rsid w:val="00D447A4"/>
    <w:rsid w:val="00D447DF"/>
    <w:rsid w:val="00D44838"/>
    <w:rsid w:val="00D449FA"/>
    <w:rsid w:val="00D44B2E"/>
    <w:rsid w:val="00D44BB3"/>
    <w:rsid w:val="00D4591B"/>
    <w:rsid w:val="00D45B18"/>
    <w:rsid w:val="00D46696"/>
    <w:rsid w:val="00D46980"/>
    <w:rsid w:val="00D46AF3"/>
    <w:rsid w:val="00D470C6"/>
    <w:rsid w:val="00D5027A"/>
    <w:rsid w:val="00D50338"/>
    <w:rsid w:val="00D50C12"/>
    <w:rsid w:val="00D50D2C"/>
    <w:rsid w:val="00D50DDA"/>
    <w:rsid w:val="00D50F78"/>
    <w:rsid w:val="00D5126E"/>
    <w:rsid w:val="00D518CC"/>
    <w:rsid w:val="00D522F8"/>
    <w:rsid w:val="00D52347"/>
    <w:rsid w:val="00D527FF"/>
    <w:rsid w:val="00D53122"/>
    <w:rsid w:val="00D537D5"/>
    <w:rsid w:val="00D5392E"/>
    <w:rsid w:val="00D5399B"/>
    <w:rsid w:val="00D53A28"/>
    <w:rsid w:val="00D54033"/>
    <w:rsid w:val="00D54926"/>
    <w:rsid w:val="00D54CC6"/>
    <w:rsid w:val="00D54D4D"/>
    <w:rsid w:val="00D55015"/>
    <w:rsid w:val="00D5519F"/>
    <w:rsid w:val="00D5579D"/>
    <w:rsid w:val="00D55E72"/>
    <w:rsid w:val="00D56373"/>
    <w:rsid w:val="00D567D1"/>
    <w:rsid w:val="00D5688F"/>
    <w:rsid w:val="00D576AF"/>
    <w:rsid w:val="00D57DB6"/>
    <w:rsid w:val="00D61694"/>
    <w:rsid w:val="00D61AEE"/>
    <w:rsid w:val="00D61B87"/>
    <w:rsid w:val="00D61DB7"/>
    <w:rsid w:val="00D62A6F"/>
    <w:rsid w:val="00D62AC8"/>
    <w:rsid w:val="00D62F2E"/>
    <w:rsid w:val="00D630FD"/>
    <w:rsid w:val="00D63F6F"/>
    <w:rsid w:val="00D644C6"/>
    <w:rsid w:val="00D64709"/>
    <w:rsid w:val="00D648B3"/>
    <w:rsid w:val="00D64CDA"/>
    <w:rsid w:val="00D64F31"/>
    <w:rsid w:val="00D6512A"/>
    <w:rsid w:val="00D651DC"/>
    <w:rsid w:val="00D654B4"/>
    <w:rsid w:val="00D657F6"/>
    <w:rsid w:val="00D65C58"/>
    <w:rsid w:val="00D661C6"/>
    <w:rsid w:val="00D66BC2"/>
    <w:rsid w:val="00D66EC0"/>
    <w:rsid w:val="00D676AC"/>
    <w:rsid w:val="00D67708"/>
    <w:rsid w:val="00D67E01"/>
    <w:rsid w:val="00D70546"/>
    <w:rsid w:val="00D70A57"/>
    <w:rsid w:val="00D71A2D"/>
    <w:rsid w:val="00D71B1E"/>
    <w:rsid w:val="00D71BAB"/>
    <w:rsid w:val="00D72156"/>
    <w:rsid w:val="00D7241B"/>
    <w:rsid w:val="00D728B2"/>
    <w:rsid w:val="00D72C5A"/>
    <w:rsid w:val="00D72CDE"/>
    <w:rsid w:val="00D736B2"/>
    <w:rsid w:val="00D73BE3"/>
    <w:rsid w:val="00D73DE4"/>
    <w:rsid w:val="00D741C5"/>
    <w:rsid w:val="00D74A1A"/>
    <w:rsid w:val="00D74D8F"/>
    <w:rsid w:val="00D74FD9"/>
    <w:rsid w:val="00D75575"/>
    <w:rsid w:val="00D7640E"/>
    <w:rsid w:val="00D76454"/>
    <w:rsid w:val="00D7680D"/>
    <w:rsid w:val="00D76BC9"/>
    <w:rsid w:val="00D76D1B"/>
    <w:rsid w:val="00D76F67"/>
    <w:rsid w:val="00D7760F"/>
    <w:rsid w:val="00D80599"/>
    <w:rsid w:val="00D808F8"/>
    <w:rsid w:val="00D80C43"/>
    <w:rsid w:val="00D81503"/>
    <w:rsid w:val="00D816A5"/>
    <w:rsid w:val="00D81793"/>
    <w:rsid w:val="00D82BB4"/>
    <w:rsid w:val="00D82FB0"/>
    <w:rsid w:val="00D8328E"/>
    <w:rsid w:val="00D834EF"/>
    <w:rsid w:val="00D836BA"/>
    <w:rsid w:val="00D8380C"/>
    <w:rsid w:val="00D839D3"/>
    <w:rsid w:val="00D83C00"/>
    <w:rsid w:val="00D83C52"/>
    <w:rsid w:val="00D84115"/>
    <w:rsid w:val="00D84536"/>
    <w:rsid w:val="00D84626"/>
    <w:rsid w:val="00D84AD4"/>
    <w:rsid w:val="00D84E2B"/>
    <w:rsid w:val="00D85299"/>
    <w:rsid w:val="00D859F3"/>
    <w:rsid w:val="00D85C32"/>
    <w:rsid w:val="00D86277"/>
    <w:rsid w:val="00D86358"/>
    <w:rsid w:val="00D87694"/>
    <w:rsid w:val="00D87BCA"/>
    <w:rsid w:val="00D9030C"/>
    <w:rsid w:val="00D90779"/>
    <w:rsid w:val="00D91E9B"/>
    <w:rsid w:val="00D923AF"/>
    <w:rsid w:val="00D93037"/>
    <w:rsid w:val="00D936C5"/>
    <w:rsid w:val="00D93D79"/>
    <w:rsid w:val="00D943B6"/>
    <w:rsid w:val="00D9499C"/>
    <w:rsid w:val="00D94B62"/>
    <w:rsid w:val="00D957D7"/>
    <w:rsid w:val="00D96010"/>
    <w:rsid w:val="00D96653"/>
    <w:rsid w:val="00D96DCA"/>
    <w:rsid w:val="00D96DDA"/>
    <w:rsid w:val="00D96F3A"/>
    <w:rsid w:val="00D97BE8"/>
    <w:rsid w:val="00D97D43"/>
    <w:rsid w:val="00D97F10"/>
    <w:rsid w:val="00DA0537"/>
    <w:rsid w:val="00DA0889"/>
    <w:rsid w:val="00DA089B"/>
    <w:rsid w:val="00DA0AD1"/>
    <w:rsid w:val="00DA1891"/>
    <w:rsid w:val="00DA1D45"/>
    <w:rsid w:val="00DA1FD5"/>
    <w:rsid w:val="00DA21A8"/>
    <w:rsid w:val="00DA2244"/>
    <w:rsid w:val="00DA3008"/>
    <w:rsid w:val="00DA3391"/>
    <w:rsid w:val="00DA34F1"/>
    <w:rsid w:val="00DA439B"/>
    <w:rsid w:val="00DA4F0E"/>
    <w:rsid w:val="00DA509F"/>
    <w:rsid w:val="00DA5465"/>
    <w:rsid w:val="00DA56FE"/>
    <w:rsid w:val="00DA5AF6"/>
    <w:rsid w:val="00DA5CC4"/>
    <w:rsid w:val="00DA5FF9"/>
    <w:rsid w:val="00DA604A"/>
    <w:rsid w:val="00DA646D"/>
    <w:rsid w:val="00DA6B9A"/>
    <w:rsid w:val="00DA7374"/>
    <w:rsid w:val="00DB03A8"/>
    <w:rsid w:val="00DB097E"/>
    <w:rsid w:val="00DB0A7A"/>
    <w:rsid w:val="00DB0B9C"/>
    <w:rsid w:val="00DB1F2B"/>
    <w:rsid w:val="00DB2275"/>
    <w:rsid w:val="00DB2D0D"/>
    <w:rsid w:val="00DB2DD3"/>
    <w:rsid w:val="00DB3925"/>
    <w:rsid w:val="00DB3DDE"/>
    <w:rsid w:val="00DB410A"/>
    <w:rsid w:val="00DB4BF4"/>
    <w:rsid w:val="00DB5106"/>
    <w:rsid w:val="00DB5B69"/>
    <w:rsid w:val="00DB5F57"/>
    <w:rsid w:val="00DB608A"/>
    <w:rsid w:val="00DB64B3"/>
    <w:rsid w:val="00DB64BB"/>
    <w:rsid w:val="00DB6891"/>
    <w:rsid w:val="00DB7132"/>
    <w:rsid w:val="00DB7995"/>
    <w:rsid w:val="00DB7E5D"/>
    <w:rsid w:val="00DC04D0"/>
    <w:rsid w:val="00DC0984"/>
    <w:rsid w:val="00DC0B5E"/>
    <w:rsid w:val="00DC1080"/>
    <w:rsid w:val="00DC1290"/>
    <w:rsid w:val="00DC1328"/>
    <w:rsid w:val="00DC2CD9"/>
    <w:rsid w:val="00DC354C"/>
    <w:rsid w:val="00DC3667"/>
    <w:rsid w:val="00DC3BB2"/>
    <w:rsid w:val="00DC3C17"/>
    <w:rsid w:val="00DC476F"/>
    <w:rsid w:val="00DC4D9E"/>
    <w:rsid w:val="00DC4E8D"/>
    <w:rsid w:val="00DC56CF"/>
    <w:rsid w:val="00DC5DFD"/>
    <w:rsid w:val="00DC6144"/>
    <w:rsid w:val="00DC63E2"/>
    <w:rsid w:val="00DC687D"/>
    <w:rsid w:val="00DC6F99"/>
    <w:rsid w:val="00DC71FD"/>
    <w:rsid w:val="00DC7936"/>
    <w:rsid w:val="00DC7D03"/>
    <w:rsid w:val="00DC7E9F"/>
    <w:rsid w:val="00DD07C7"/>
    <w:rsid w:val="00DD101D"/>
    <w:rsid w:val="00DD1054"/>
    <w:rsid w:val="00DD10C1"/>
    <w:rsid w:val="00DD156C"/>
    <w:rsid w:val="00DD18C2"/>
    <w:rsid w:val="00DD1DA6"/>
    <w:rsid w:val="00DD1E84"/>
    <w:rsid w:val="00DD227B"/>
    <w:rsid w:val="00DD23B8"/>
    <w:rsid w:val="00DD2F36"/>
    <w:rsid w:val="00DD308E"/>
    <w:rsid w:val="00DD3A11"/>
    <w:rsid w:val="00DD4435"/>
    <w:rsid w:val="00DD464D"/>
    <w:rsid w:val="00DD46E8"/>
    <w:rsid w:val="00DD4D9C"/>
    <w:rsid w:val="00DD4EB9"/>
    <w:rsid w:val="00DD56DB"/>
    <w:rsid w:val="00DD5BE9"/>
    <w:rsid w:val="00DD63D8"/>
    <w:rsid w:val="00DD6B6D"/>
    <w:rsid w:val="00DD7004"/>
    <w:rsid w:val="00DD7FBD"/>
    <w:rsid w:val="00DE01B9"/>
    <w:rsid w:val="00DE0331"/>
    <w:rsid w:val="00DE05EB"/>
    <w:rsid w:val="00DE273F"/>
    <w:rsid w:val="00DE280C"/>
    <w:rsid w:val="00DE2926"/>
    <w:rsid w:val="00DE29AB"/>
    <w:rsid w:val="00DE2B71"/>
    <w:rsid w:val="00DE2DC8"/>
    <w:rsid w:val="00DE2E87"/>
    <w:rsid w:val="00DE3186"/>
    <w:rsid w:val="00DE337D"/>
    <w:rsid w:val="00DE356D"/>
    <w:rsid w:val="00DE373A"/>
    <w:rsid w:val="00DE3DC7"/>
    <w:rsid w:val="00DE4319"/>
    <w:rsid w:val="00DE450A"/>
    <w:rsid w:val="00DE4852"/>
    <w:rsid w:val="00DE4F3D"/>
    <w:rsid w:val="00DE5B71"/>
    <w:rsid w:val="00DE6326"/>
    <w:rsid w:val="00DE645F"/>
    <w:rsid w:val="00DE67C2"/>
    <w:rsid w:val="00DE6ADC"/>
    <w:rsid w:val="00DE6D3D"/>
    <w:rsid w:val="00DE6D5F"/>
    <w:rsid w:val="00DE70C6"/>
    <w:rsid w:val="00DE70CA"/>
    <w:rsid w:val="00DE7552"/>
    <w:rsid w:val="00DE7E1B"/>
    <w:rsid w:val="00DF02F8"/>
    <w:rsid w:val="00DF0310"/>
    <w:rsid w:val="00DF0A23"/>
    <w:rsid w:val="00DF12E9"/>
    <w:rsid w:val="00DF13E0"/>
    <w:rsid w:val="00DF164D"/>
    <w:rsid w:val="00DF1D6D"/>
    <w:rsid w:val="00DF20F3"/>
    <w:rsid w:val="00DF2969"/>
    <w:rsid w:val="00DF29BC"/>
    <w:rsid w:val="00DF2E2A"/>
    <w:rsid w:val="00DF3183"/>
    <w:rsid w:val="00DF323B"/>
    <w:rsid w:val="00DF330B"/>
    <w:rsid w:val="00DF350D"/>
    <w:rsid w:val="00DF3649"/>
    <w:rsid w:val="00DF40E0"/>
    <w:rsid w:val="00DF4267"/>
    <w:rsid w:val="00DF4A8B"/>
    <w:rsid w:val="00DF4C3D"/>
    <w:rsid w:val="00DF586B"/>
    <w:rsid w:val="00DF5F52"/>
    <w:rsid w:val="00DF7895"/>
    <w:rsid w:val="00DF7A98"/>
    <w:rsid w:val="00DF7AED"/>
    <w:rsid w:val="00DF7D1F"/>
    <w:rsid w:val="00DF7EEE"/>
    <w:rsid w:val="00E0044C"/>
    <w:rsid w:val="00E00714"/>
    <w:rsid w:val="00E0089B"/>
    <w:rsid w:val="00E00A2E"/>
    <w:rsid w:val="00E01091"/>
    <w:rsid w:val="00E01428"/>
    <w:rsid w:val="00E022B5"/>
    <w:rsid w:val="00E02377"/>
    <w:rsid w:val="00E038B8"/>
    <w:rsid w:val="00E0396A"/>
    <w:rsid w:val="00E03F5C"/>
    <w:rsid w:val="00E0423E"/>
    <w:rsid w:val="00E045C1"/>
    <w:rsid w:val="00E04BC6"/>
    <w:rsid w:val="00E057C0"/>
    <w:rsid w:val="00E06505"/>
    <w:rsid w:val="00E06E2D"/>
    <w:rsid w:val="00E06F50"/>
    <w:rsid w:val="00E0718F"/>
    <w:rsid w:val="00E071C4"/>
    <w:rsid w:val="00E07594"/>
    <w:rsid w:val="00E07BF8"/>
    <w:rsid w:val="00E07EFB"/>
    <w:rsid w:val="00E10DBA"/>
    <w:rsid w:val="00E110AD"/>
    <w:rsid w:val="00E115BC"/>
    <w:rsid w:val="00E11E33"/>
    <w:rsid w:val="00E11FC6"/>
    <w:rsid w:val="00E12FCE"/>
    <w:rsid w:val="00E140FB"/>
    <w:rsid w:val="00E1515A"/>
    <w:rsid w:val="00E1553B"/>
    <w:rsid w:val="00E15DF1"/>
    <w:rsid w:val="00E15FF4"/>
    <w:rsid w:val="00E161AB"/>
    <w:rsid w:val="00E16976"/>
    <w:rsid w:val="00E16CF6"/>
    <w:rsid w:val="00E1732F"/>
    <w:rsid w:val="00E17407"/>
    <w:rsid w:val="00E17BB7"/>
    <w:rsid w:val="00E20E71"/>
    <w:rsid w:val="00E2134B"/>
    <w:rsid w:val="00E213A1"/>
    <w:rsid w:val="00E217D2"/>
    <w:rsid w:val="00E22668"/>
    <w:rsid w:val="00E22E9E"/>
    <w:rsid w:val="00E2359A"/>
    <w:rsid w:val="00E2374B"/>
    <w:rsid w:val="00E2386E"/>
    <w:rsid w:val="00E23ED9"/>
    <w:rsid w:val="00E24CF4"/>
    <w:rsid w:val="00E25D7D"/>
    <w:rsid w:val="00E26067"/>
    <w:rsid w:val="00E26500"/>
    <w:rsid w:val="00E277CB"/>
    <w:rsid w:val="00E27C3C"/>
    <w:rsid w:val="00E3015C"/>
    <w:rsid w:val="00E301F7"/>
    <w:rsid w:val="00E30A0E"/>
    <w:rsid w:val="00E30DD6"/>
    <w:rsid w:val="00E30E61"/>
    <w:rsid w:val="00E310D3"/>
    <w:rsid w:val="00E314FB"/>
    <w:rsid w:val="00E318D5"/>
    <w:rsid w:val="00E31A26"/>
    <w:rsid w:val="00E32134"/>
    <w:rsid w:val="00E325EC"/>
    <w:rsid w:val="00E32BCD"/>
    <w:rsid w:val="00E33663"/>
    <w:rsid w:val="00E33D71"/>
    <w:rsid w:val="00E34106"/>
    <w:rsid w:val="00E34399"/>
    <w:rsid w:val="00E36120"/>
    <w:rsid w:val="00E36751"/>
    <w:rsid w:val="00E36920"/>
    <w:rsid w:val="00E36C2F"/>
    <w:rsid w:val="00E37B85"/>
    <w:rsid w:val="00E404F5"/>
    <w:rsid w:val="00E40AB3"/>
    <w:rsid w:val="00E4119A"/>
    <w:rsid w:val="00E41449"/>
    <w:rsid w:val="00E4183E"/>
    <w:rsid w:val="00E41D35"/>
    <w:rsid w:val="00E42CEC"/>
    <w:rsid w:val="00E42D29"/>
    <w:rsid w:val="00E42FCB"/>
    <w:rsid w:val="00E42FE0"/>
    <w:rsid w:val="00E430D3"/>
    <w:rsid w:val="00E43786"/>
    <w:rsid w:val="00E437E1"/>
    <w:rsid w:val="00E43A07"/>
    <w:rsid w:val="00E4486B"/>
    <w:rsid w:val="00E4494D"/>
    <w:rsid w:val="00E44F23"/>
    <w:rsid w:val="00E45B43"/>
    <w:rsid w:val="00E46568"/>
    <w:rsid w:val="00E466E4"/>
    <w:rsid w:val="00E46F22"/>
    <w:rsid w:val="00E4703E"/>
    <w:rsid w:val="00E502FE"/>
    <w:rsid w:val="00E50327"/>
    <w:rsid w:val="00E50895"/>
    <w:rsid w:val="00E50A3F"/>
    <w:rsid w:val="00E50B4C"/>
    <w:rsid w:val="00E51ABB"/>
    <w:rsid w:val="00E51C6E"/>
    <w:rsid w:val="00E52359"/>
    <w:rsid w:val="00E52595"/>
    <w:rsid w:val="00E52613"/>
    <w:rsid w:val="00E52792"/>
    <w:rsid w:val="00E52B92"/>
    <w:rsid w:val="00E530D7"/>
    <w:rsid w:val="00E53523"/>
    <w:rsid w:val="00E53C49"/>
    <w:rsid w:val="00E53E57"/>
    <w:rsid w:val="00E54293"/>
    <w:rsid w:val="00E54C6D"/>
    <w:rsid w:val="00E54FB0"/>
    <w:rsid w:val="00E55658"/>
    <w:rsid w:val="00E55AA3"/>
    <w:rsid w:val="00E55FB5"/>
    <w:rsid w:val="00E56CBE"/>
    <w:rsid w:val="00E56D54"/>
    <w:rsid w:val="00E57090"/>
    <w:rsid w:val="00E57BEC"/>
    <w:rsid w:val="00E57C45"/>
    <w:rsid w:val="00E57E50"/>
    <w:rsid w:val="00E606B7"/>
    <w:rsid w:val="00E60ADE"/>
    <w:rsid w:val="00E60D53"/>
    <w:rsid w:val="00E60F13"/>
    <w:rsid w:val="00E610F3"/>
    <w:rsid w:val="00E616E4"/>
    <w:rsid w:val="00E62487"/>
    <w:rsid w:val="00E6262A"/>
    <w:rsid w:val="00E62640"/>
    <w:rsid w:val="00E62CF7"/>
    <w:rsid w:val="00E62E74"/>
    <w:rsid w:val="00E62EFB"/>
    <w:rsid w:val="00E63134"/>
    <w:rsid w:val="00E631B4"/>
    <w:rsid w:val="00E63AFE"/>
    <w:rsid w:val="00E65010"/>
    <w:rsid w:val="00E6533F"/>
    <w:rsid w:val="00E65572"/>
    <w:rsid w:val="00E65C35"/>
    <w:rsid w:val="00E65E66"/>
    <w:rsid w:val="00E678EF"/>
    <w:rsid w:val="00E67B79"/>
    <w:rsid w:val="00E67BE3"/>
    <w:rsid w:val="00E70117"/>
    <w:rsid w:val="00E70933"/>
    <w:rsid w:val="00E70EBC"/>
    <w:rsid w:val="00E7123D"/>
    <w:rsid w:val="00E71A8F"/>
    <w:rsid w:val="00E72216"/>
    <w:rsid w:val="00E7296D"/>
    <w:rsid w:val="00E73643"/>
    <w:rsid w:val="00E73808"/>
    <w:rsid w:val="00E73B6E"/>
    <w:rsid w:val="00E74833"/>
    <w:rsid w:val="00E748E7"/>
    <w:rsid w:val="00E74B39"/>
    <w:rsid w:val="00E75814"/>
    <w:rsid w:val="00E75C0D"/>
    <w:rsid w:val="00E766A2"/>
    <w:rsid w:val="00E76805"/>
    <w:rsid w:val="00E76D3B"/>
    <w:rsid w:val="00E776B3"/>
    <w:rsid w:val="00E77D1A"/>
    <w:rsid w:val="00E80691"/>
    <w:rsid w:val="00E80A3A"/>
    <w:rsid w:val="00E80F14"/>
    <w:rsid w:val="00E81441"/>
    <w:rsid w:val="00E8151F"/>
    <w:rsid w:val="00E81548"/>
    <w:rsid w:val="00E81CF6"/>
    <w:rsid w:val="00E82140"/>
    <w:rsid w:val="00E82600"/>
    <w:rsid w:val="00E82D05"/>
    <w:rsid w:val="00E82E0A"/>
    <w:rsid w:val="00E83629"/>
    <w:rsid w:val="00E83846"/>
    <w:rsid w:val="00E8387C"/>
    <w:rsid w:val="00E83BCE"/>
    <w:rsid w:val="00E83CCD"/>
    <w:rsid w:val="00E83EC4"/>
    <w:rsid w:val="00E841E6"/>
    <w:rsid w:val="00E8421A"/>
    <w:rsid w:val="00E84573"/>
    <w:rsid w:val="00E845BE"/>
    <w:rsid w:val="00E8472F"/>
    <w:rsid w:val="00E8486B"/>
    <w:rsid w:val="00E84CDA"/>
    <w:rsid w:val="00E84FF0"/>
    <w:rsid w:val="00E850FA"/>
    <w:rsid w:val="00E85626"/>
    <w:rsid w:val="00E857A3"/>
    <w:rsid w:val="00E86049"/>
    <w:rsid w:val="00E861FB"/>
    <w:rsid w:val="00E8669E"/>
    <w:rsid w:val="00E87271"/>
    <w:rsid w:val="00E87683"/>
    <w:rsid w:val="00E87C46"/>
    <w:rsid w:val="00E9011E"/>
    <w:rsid w:val="00E911D0"/>
    <w:rsid w:val="00E9153C"/>
    <w:rsid w:val="00E91E80"/>
    <w:rsid w:val="00E91F06"/>
    <w:rsid w:val="00E91F85"/>
    <w:rsid w:val="00E925F6"/>
    <w:rsid w:val="00E92A66"/>
    <w:rsid w:val="00E92D47"/>
    <w:rsid w:val="00E9319A"/>
    <w:rsid w:val="00E9348D"/>
    <w:rsid w:val="00E94C43"/>
    <w:rsid w:val="00E94EF2"/>
    <w:rsid w:val="00E9544F"/>
    <w:rsid w:val="00E9572D"/>
    <w:rsid w:val="00E95A3D"/>
    <w:rsid w:val="00E95D07"/>
    <w:rsid w:val="00E96333"/>
    <w:rsid w:val="00E964DB"/>
    <w:rsid w:val="00E9667D"/>
    <w:rsid w:val="00E96CEF"/>
    <w:rsid w:val="00E96F59"/>
    <w:rsid w:val="00E9720E"/>
    <w:rsid w:val="00E9723C"/>
    <w:rsid w:val="00E979E9"/>
    <w:rsid w:val="00E97C99"/>
    <w:rsid w:val="00EA025E"/>
    <w:rsid w:val="00EA0852"/>
    <w:rsid w:val="00EA0930"/>
    <w:rsid w:val="00EA0E36"/>
    <w:rsid w:val="00EA142D"/>
    <w:rsid w:val="00EA166D"/>
    <w:rsid w:val="00EA2F57"/>
    <w:rsid w:val="00EA34E6"/>
    <w:rsid w:val="00EA3B27"/>
    <w:rsid w:val="00EA3FBD"/>
    <w:rsid w:val="00EA4156"/>
    <w:rsid w:val="00EA49E2"/>
    <w:rsid w:val="00EA4BD2"/>
    <w:rsid w:val="00EA4C72"/>
    <w:rsid w:val="00EA5217"/>
    <w:rsid w:val="00EA60A6"/>
    <w:rsid w:val="00EA6731"/>
    <w:rsid w:val="00EA69B9"/>
    <w:rsid w:val="00EA6B2B"/>
    <w:rsid w:val="00EA6C87"/>
    <w:rsid w:val="00EA6CFA"/>
    <w:rsid w:val="00EA6F6D"/>
    <w:rsid w:val="00EA7290"/>
    <w:rsid w:val="00EA73B1"/>
    <w:rsid w:val="00EA741F"/>
    <w:rsid w:val="00EA742C"/>
    <w:rsid w:val="00EA796D"/>
    <w:rsid w:val="00EB0134"/>
    <w:rsid w:val="00EB0665"/>
    <w:rsid w:val="00EB0D25"/>
    <w:rsid w:val="00EB10B6"/>
    <w:rsid w:val="00EB1259"/>
    <w:rsid w:val="00EB16E6"/>
    <w:rsid w:val="00EB1DD8"/>
    <w:rsid w:val="00EB2B81"/>
    <w:rsid w:val="00EB2B84"/>
    <w:rsid w:val="00EB2C6D"/>
    <w:rsid w:val="00EB2F37"/>
    <w:rsid w:val="00EB3153"/>
    <w:rsid w:val="00EB31EA"/>
    <w:rsid w:val="00EB3569"/>
    <w:rsid w:val="00EB38CC"/>
    <w:rsid w:val="00EB3EF9"/>
    <w:rsid w:val="00EB4850"/>
    <w:rsid w:val="00EB4863"/>
    <w:rsid w:val="00EB4A3D"/>
    <w:rsid w:val="00EB5127"/>
    <w:rsid w:val="00EB51B6"/>
    <w:rsid w:val="00EB5ADF"/>
    <w:rsid w:val="00EB611E"/>
    <w:rsid w:val="00EB675C"/>
    <w:rsid w:val="00EB6BE7"/>
    <w:rsid w:val="00EB78A5"/>
    <w:rsid w:val="00EC0855"/>
    <w:rsid w:val="00EC1B53"/>
    <w:rsid w:val="00EC2025"/>
    <w:rsid w:val="00EC20B7"/>
    <w:rsid w:val="00EC2160"/>
    <w:rsid w:val="00EC2673"/>
    <w:rsid w:val="00EC288E"/>
    <w:rsid w:val="00EC2C82"/>
    <w:rsid w:val="00EC312D"/>
    <w:rsid w:val="00EC3205"/>
    <w:rsid w:val="00EC328E"/>
    <w:rsid w:val="00EC32DF"/>
    <w:rsid w:val="00EC36C3"/>
    <w:rsid w:val="00EC37E9"/>
    <w:rsid w:val="00EC3CAF"/>
    <w:rsid w:val="00EC4106"/>
    <w:rsid w:val="00EC49DD"/>
    <w:rsid w:val="00EC4CD0"/>
    <w:rsid w:val="00EC4F06"/>
    <w:rsid w:val="00EC5AB2"/>
    <w:rsid w:val="00EC5DC0"/>
    <w:rsid w:val="00EC64F2"/>
    <w:rsid w:val="00EC69AA"/>
    <w:rsid w:val="00EC6F9D"/>
    <w:rsid w:val="00EC71CB"/>
    <w:rsid w:val="00EC7227"/>
    <w:rsid w:val="00EC748F"/>
    <w:rsid w:val="00EC7818"/>
    <w:rsid w:val="00EC7C5E"/>
    <w:rsid w:val="00ED0179"/>
    <w:rsid w:val="00ED0412"/>
    <w:rsid w:val="00ED05C0"/>
    <w:rsid w:val="00ED066F"/>
    <w:rsid w:val="00ED0683"/>
    <w:rsid w:val="00ED0F5F"/>
    <w:rsid w:val="00ED1137"/>
    <w:rsid w:val="00ED2DB7"/>
    <w:rsid w:val="00ED3079"/>
    <w:rsid w:val="00ED30F8"/>
    <w:rsid w:val="00ED3D39"/>
    <w:rsid w:val="00ED3D52"/>
    <w:rsid w:val="00ED3EA1"/>
    <w:rsid w:val="00ED45DE"/>
    <w:rsid w:val="00ED54AC"/>
    <w:rsid w:val="00ED55E8"/>
    <w:rsid w:val="00ED5657"/>
    <w:rsid w:val="00ED566D"/>
    <w:rsid w:val="00ED575D"/>
    <w:rsid w:val="00ED58FE"/>
    <w:rsid w:val="00ED5B05"/>
    <w:rsid w:val="00ED61A8"/>
    <w:rsid w:val="00ED6335"/>
    <w:rsid w:val="00ED6434"/>
    <w:rsid w:val="00ED6CF6"/>
    <w:rsid w:val="00ED709D"/>
    <w:rsid w:val="00ED76AB"/>
    <w:rsid w:val="00ED7EDA"/>
    <w:rsid w:val="00EE001B"/>
    <w:rsid w:val="00EE01CD"/>
    <w:rsid w:val="00EE04A1"/>
    <w:rsid w:val="00EE0BF5"/>
    <w:rsid w:val="00EE0BFA"/>
    <w:rsid w:val="00EE13C0"/>
    <w:rsid w:val="00EE150A"/>
    <w:rsid w:val="00EE1807"/>
    <w:rsid w:val="00EE1AEA"/>
    <w:rsid w:val="00EE1B5E"/>
    <w:rsid w:val="00EE1CA7"/>
    <w:rsid w:val="00EE1D0B"/>
    <w:rsid w:val="00EE296C"/>
    <w:rsid w:val="00EE29FD"/>
    <w:rsid w:val="00EE325B"/>
    <w:rsid w:val="00EE328A"/>
    <w:rsid w:val="00EE355C"/>
    <w:rsid w:val="00EE368B"/>
    <w:rsid w:val="00EE47FC"/>
    <w:rsid w:val="00EE4D96"/>
    <w:rsid w:val="00EE527F"/>
    <w:rsid w:val="00EE5757"/>
    <w:rsid w:val="00EE5931"/>
    <w:rsid w:val="00EE5E50"/>
    <w:rsid w:val="00EE689D"/>
    <w:rsid w:val="00EE71EC"/>
    <w:rsid w:val="00EE7531"/>
    <w:rsid w:val="00EE753C"/>
    <w:rsid w:val="00EE782B"/>
    <w:rsid w:val="00EF00E4"/>
    <w:rsid w:val="00EF04C9"/>
    <w:rsid w:val="00EF0907"/>
    <w:rsid w:val="00EF14D7"/>
    <w:rsid w:val="00EF1576"/>
    <w:rsid w:val="00EF1733"/>
    <w:rsid w:val="00EF1A87"/>
    <w:rsid w:val="00EF2168"/>
    <w:rsid w:val="00EF25DB"/>
    <w:rsid w:val="00EF2909"/>
    <w:rsid w:val="00EF325D"/>
    <w:rsid w:val="00EF3CBF"/>
    <w:rsid w:val="00EF4163"/>
    <w:rsid w:val="00EF5530"/>
    <w:rsid w:val="00EF563B"/>
    <w:rsid w:val="00EF5689"/>
    <w:rsid w:val="00EF593E"/>
    <w:rsid w:val="00EF5DA8"/>
    <w:rsid w:val="00EF5DF4"/>
    <w:rsid w:val="00EF5F37"/>
    <w:rsid w:val="00EF6021"/>
    <w:rsid w:val="00EF6063"/>
    <w:rsid w:val="00EF6093"/>
    <w:rsid w:val="00EF6147"/>
    <w:rsid w:val="00EF6D0D"/>
    <w:rsid w:val="00EF72E6"/>
    <w:rsid w:val="00EF7603"/>
    <w:rsid w:val="00EF7700"/>
    <w:rsid w:val="00EF7758"/>
    <w:rsid w:val="00EF7775"/>
    <w:rsid w:val="00EF7C62"/>
    <w:rsid w:val="00EF7E2A"/>
    <w:rsid w:val="00F0010A"/>
    <w:rsid w:val="00F00A4D"/>
    <w:rsid w:val="00F01DBA"/>
    <w:rsid w:val="00F01EEC"/>
    <w:rsid w:val="00F021AF"/>
    <w:rsid w:val="00F022FC"/>
    <w:rsid w:val="00F02969"/>
    <w:rsid w:val="00F030B2"/>
    <w:rsid w:val="00F030BA"/>
    <w:rsid w:val="00F03453"/>
    <w:rsid w:val="00F03649"/>
    <w:rsid w:val="00F039F4"/>
    <w:rsid w:val="00F03B4F"/>
    <w:rsid w:val="00F04338"/>
    <w:rsid w:val="00F049DE"/>
    <w:rsid w:val="00F0586B"/>
    <w:rsid w:val="00F05872"/>
    <w:rsid w:val="00F05974"/>
    <w:rsid w:val="00F05BE4"/>
    <w:rsid w:val="00F0606B"/>
    <w:rsid w:val="00F0652C"/>
    <w:rsid w:val="00F0703E"/>
    <w:rsid w:val="00F07172"/>
    <w:rsid w:val="00F0744B"/>
    <w:rsid w:val="00F07919"/>
    <w:rsid w:val="00F07A24"/>
    <w:rsid w:val="00F1040B"/>
    <w:rsid w:val="00F11254"/>
    <w:rsid w:val="00F1134E"/>
    <w:rsid w:val="00F116F7"/>
    <w:rsid w:val="00F11876"/>
    <w:rsid w:val="00F118A0"/>
    <w:rsid w:val="00F119C6"/>
    <w:rsid w:val="00F11FA3"/>
    <w:rsid w:val="00F12196"/>
    <w:rsid w:val="00F1235F"/>
    <w:rsid w:val="00F1258C"/>
    <w:rsid w:val="00F12F8F"/>
    <w:rsid w:val="00F13241"/>
    <w:rsid w:val="00F13C64"/>
    <w:rsid w:val="00F141A7"/>
    <w:rsid w:val="00F143F8"/>
    <w:rsid w:val="00F1498D"/>
    <w:rsid w:val="00F14AA9"/>
    <w:rsid w:val="00F150B0"/>
    <w:rsid w:val="00F15BA2"/>
    <w:rsid w:val="00F15CD0"/>
    <w:rsid w:val="00F15E94"/>
    <w:rsid w:val="00F167A2"/>
    <w:rsid w:val="00F16BD2"/>
    <w:rsid w:val="00F16DB2"/>
    <w:rsid w:val="00F16E85"/>
    <w:rsid w:val="00F2059E"/>
    <w:rsid w:val="00F2063C"/>
    <w:rsid w:val="00F212C3"/>
    <w:rsid w:val="00F21391"/>
    <w:rsid w:val="00F22981"/>
    <w:rsid w:val="00F22ABB"/>
    <w:rsid w:val="00F231C6"/>
    <w:rsid w:val="00F235DB"/>
    <w:rsid w:val="00F238AE"/>
    <w:rsid w:val="00F23D9C"/>
    <w:rsid w:val="00F23E85"/>
    <w:rsid w:val="00F24F7C"/>
    <w:rsid w:val="00F25302"/>
    <w:rsid w:val="00F258E8"/>
    <w:rsid w:val="00F25CB3"/>
    <w:rsid w:val="00F25E31"/>
    <w:rsid w:val="00F26054"/>
    <w:rsid w:val="00F2647E"/>
    <w:rsid w:val="00F2669F"/>
    <w:rsid w:val="00F26CBE"/>
    <w:rsid w:val="00F270AA"/>
    <w:rsid w:val="00F275B9"/>
    <w:rsid w:val="00F27FD4"/>
    <w:rsid w:val="00F3023F"/>
    <w:rsid w:val="00F309CC"/>
    <w:rsid w:val="00F318DA"/>
    <w:rsid w:val="00F320E0"/>
    <w:rsid w:val="00F330E8"/>
    <w:rsid w:val="00F3330C"/>
    <w:rsid w:val="00F334AE"/>
    <w:rsid w:val="00F33544"/>
    <w:rsid w:val="00F33576"/>
    <w:rsid w:val="00F33EF8"/>
    <w:rsid w:val="00F347A8"/>
    <w:rsid w:val="00F34B7C"/>
    <w:rsid w:val="00F34E46"/>
    <w:rsid w:val="00F35471"/>
    <w:rsid w:val="00F354CA"/>
    <w:rsid w:val="00F356A4"/>
    <w:rsid w:val="00F367ED"/>
    <w:rsid w:val="00F368CC"/>
    <w:rsid w:val="00F36DCE"/>
    <w:rsid w:val="00F3723F"/>
    <w:rsid w:val="00F375DD"/>
    <w:rsid w:val="00F379D5"/>
    <w:rsid w:val="00F401CF"/>
    <w:rsid w:val="00F403C5"/>
    <w:rsid w:val="00F40A47"/>
    <w:rsid w:val="00F40C92"/>
    <w:rsid w:val="00F41837"/>
    <w:rsid w:val="00F41E59"/>
    <w:rsid w:val="00F422E4"/>
    <w:rsid w:val="00F425A3"/>
    <w:rsid w:val="00F4262F"/>
    <w:rsid w:val="00F4289C"/>
    <w:rsid w:val="00F42948"/>
    <w:rsid w:val="00F4298E"/>
    <w:rsid w:val="00F42CCC"/>
    <w:rsid w:val="00F431A6"/>
    <w:rsid w:val="00F43A66"/>
    <w:rsid w:val="00F43BCD"/>
    <w:rsid w:val="00F44648"/>
    <w:rsid w:val="00F448AE"/>
    <w:rsid w:val="00F44E66"/>
    <w:rsid w:val="00F453BF"/>
    <w:rsid w:val="00F45E68"/>
    <w:rsid w:val="00F46040"/>
    <w:rsid w:val="00F467E8"/>
    <w:rsid w:val="00F46F05"/>
    <w:rsid w:val="00F47B5F"/>
    <w:rsid w:val="00F47C9A"/>
    <w:rsid w:val="00F510D5"/>
    <w:rsid w:val="00F51971"/>
    <w:rsid w:val="00F5237D"/>
    <w:rsid w:val="00F523C3"/>
    <w:rsid w:val="00F5244F"/>
    <w:rsid w:val="00F52C63"/>
    <w:rsid w:val="00F52F48"/>
    <w:rsid w:val="00F52FC8"/>
    <w:rsid w:val="00F530ED"/>
    <w:rsid w:val="00F5334A"/>
    <w:rsid w:val="00F54218"/>
    <w:rsid w:val="00F547A6"/>
    <w:rsid w:val="00F55DE9"/>
    <w:rsid w:val="00F5619B"/>
    <w:rsid w:val="00F5716E"/>
    <w:rsid w:val="00F57591"/>
    <w:rsid w:val="00F578DE"/>
    <w:rsid w:val="00F57B97"/>
    <w:rsid w:val="00F57C81"/>
    <w:rsid w:val="00F57DEC"/>
    <w:rsid w:val="00F57F32"/>
    <w:rsid w:val="00F60069"/>
    <w:rsid w:val="00F6013C"/>
    <w:rsid w:val="00F6091A"/>
    <w:rsid w:val="00F60A47"/>
    <w:rsid w:val="00F6108D"/>
    <w:rsid w:val="00F615E7"/>
    <w:rsid w:val="00F61927"/>
    <w:rsid w:val="00F61A1A"/>
    <w:rsid w:val="00F61B2D"/>
    <w:rsid w:val="00F61BCE"/>
    <w:rsid w:val="00F61C79"/>
    <w:rsid w:val="00F62163"/>
    <w:rsid w:val="00F62AD6"/>
    <w:rsid w:val="00F63643"/>
    <w:rsid w:val="00F636DD"/>
    <w:rsid w:val="00F63901"/>
    <w:rsid w:val="00F63A72"/>
    <w:rsid w:val="00F63DFA"/>
    <w:rsid w:val="00F645FF"/>
    <w:rsid w:val="00F648FD"/>
    <w:rsid w:val="00F64E6A"/>
    <w:rsid w:val="00F651DD"/>
    <w:rsid w:val="00F65AE4"/>
    <w:rsid w:val="00F65F1A"/>
    <w:rsid w:val="00F65F2E"/>
    <w:rsid w:val="00F65F3A"/>
    <w:rsid w:val="00F66129"/>
    <w:rsid w:val="00F667B0"/>
    <w:rsid w:val="00F67196"/>
    <w:rsid w:val="00F674D7"/>
    <w:rsid w:val="00F67501"/>
    <w:rsid w:val="00F67539"/>
    <w:rsid w:val="00F67D2F"/>
    <w:rsid w:val="00F67D74"/>
    <w:rsid w:val="00F70545"/>
    <w:rsid w:val="00F705D7"/>
    <w:rsid w:val="00F713EE"/>
    <w:rsid w:val="00F71C1A"/>
    <w:rsid w:val="00F71C9B"/>
    <w:rsid w:val="00F72588"/>
    <w:rsid w:val="00F7284A"/>
    <w:rsid w:val="00F73168"/>
    <w:rsid w:val="00F73B1E"/>
    <w:rsid w:val="00F73CF9"/>
    <w:rsid w:val="00F73E7C"/>
    <w:rsid w:val="00F744BA"/>
    <w:rsid w:val="00F748CB"/>
    <w:rsid w:val="00F75615"/>
    <w:rsid w:val="00F75D5B"/>
    <w:rsid w:val="00F76441"/>
    <w:rsid w:val="00F76ED3"/>
    <w:rsid w:val="00F7707A"/>
    <w:rsid w:val="00F775FD"/>
    <w:rsid w:val="00F80183"/>
    <w:rsid w:val="00F809F5"/>
    <w:rsid w:val="00F80A05"/>
    <w:rsid w:val="00F80C35"/>
    <w:rsid w:val="00F820D5"/>
    <w:rsid w:val="00F82231"/>
    <w:rsid w:val="00F82893"/>
    <w:rsid w:val="00F83591"/>
    <w:rsid w:val="00F8365D"/>
    <w:rsid w:val="00F838DC"/>
    <w:rsid w:val="00F839A8"/>
    <w:rsid w:val="00F83ED7"/>
    <w:rsid w:val="00F840ED"/>
    <w:rsid w:val="00F84398"/>
    <w:rsid w:val="00F84424"/>
    <w:rsid w:val="00F854EE"/>
    <w:rsid w:val="00F85764"/>
    <w:rsid w:val="00F85D1B"/>
    <w:rsid w:val="00F85D39"/>
    <w:rsid w:val="00F85D70"/>
    <w:rsid w:val="00F86E28"/>
    <w:rsid w:val="00F87160"/>
    <w:rsid w:val="00F8732B"/>
    <w:rsid w:val="00F87A37"/>
    <w:rsid w:val="00F87CD3"/>
    <w:rsid w:val="00F87D7A"/>
    <w:rsid w:val="00F87DCC"/>
    <w:rsid w:val="00F90226"/>
    <w:rsid w:val="00F90238"/>
    <w:rsid w:val="00F902CE"/>
    <w:rsid w:val="00F9054B"/>
    <w:rsid w:val="00F909AE"/>
    <w:rsid w:val="00F90CEB"/>
    <w:rsid w:val="00F90D59"/>
    <w:rsid w:val="00F9102A"/>
    <w:rsid w:val="00F92C3E"/>
    <w:rsid w:val="00F930A9"/>
    <w:rsid w:val="00F93F50"/>
    <w:rsid w:val="00F9410A"/>
    <w:rsid w:val="00F94815"/>
    <w:rsid w:val="00F950FF"/>
    <w:rsid w:val="00F952F0"/>
    <w:rsid w:val="00F95FDF"/>
    <w:rsid w:val="00F960BE"/>
    <w:rsid w:val="00F9638E"/>
    <w:rsid w:val="00F9654C"/>
    <w:rsid w:val="00F9674E"/>
    <w:rsid w:val="00F9693C"/>
    <w:rsid w:val="00F969AA"/>
    <w:rsid w:val="00F973DF"/>
    <w:rsid w:val="00F97DF3"/>
    <w:rsid w:val="00F97FDE"/>
    <w:rsid w:val="00FA050D"/>
    <w:rsid w:val="00FA0D3B"/>
    <w:rsid w:val="00FA11D6"/>
    <w:rsid w:val="00FA14FA"/>
    <w:rsid w:val="00FA1629"/>
    <w:rsid w:val="00FA168E"/>
    <w:rsid w:val="00FA16AE"/>
    <w:rsid w:val="00FA1A54"/>
    <w:rsid w:val="00FA1D60"/>
    <w:rsid w:val="00FA2178"/>
    <w:rsid w:val="00FA27D1"/>
    <w:rsid w:val="00FA2FD3"/>
    <w:rsid w:val="00FA3189"/>
    <w:rsid w:val="00FA31C9"/>
    <w:rsid w:val="00FA341D"/>
    <w:rsid w:val="00FA4128"/>
    <w:rsid w:val="00FA44E4"/>
    <w:rsid w:val="00FA53DB"/>
    <w:rsid w:val="00FA5711"/>
    <w:rsid w:val="00FA5A24"/>
    <w:rsid w:val="00FA5FBD"/>
    <w:rsid w:val="00FA60AF"/>
    <w:rsid w:val="00FA6340"/>
    <w:rsid w:val="00FA6AF6"/>
    <w:rsid w:val="00FA6D76"/>
    <w:rsid w:val="00FA78A6"/>
    <w:rsid w:val="00FA7EE9"/>
    <w:rsid w:val="00FB0189"/>
    <w:rsid w:val="00FB07B0"/>
    <w:rsid w:val="00FB07BE"/>
    <w:rsid w:val="00FB1080"/>
    <w:rsid w:val="00FB1B2C"/>
    <w:rsid w:val="00FB1BD5"/>
    <w:rsid w:val="00FB242A"/>
    <w:rsid w:val="00FB250A"/>
    <w:rsid w:val="00FB2A25"/>
    <w:rsid w:val="00FB3CF7"/>
    <w:rsid w:val="00FB3F4E"/>
    <w:rsid w:val="00FB4782"/>
    <w:rsid w:val="00FB4B45"/>
    <w:rsid w:val="00FB4CEF"/>
    <w:rsid w:val="00FB54E0"/>
    <w:rsid w:val="00FB60E0"/>
    <w:rsid w:val="00FB6996"/>
    <w:rsid w:val="00FB6E45"/>
    <w:rsid w:val="00FB7211"/>
    <w:rsid w:val="00FC04B7"/>
    <w:rsid w:val="00FC060B"/>
    <w:rsid w:val="00FC0AF7"/>
    <w:rsid w:val="00FC1134"/>
    <w:rsid w:val="00FC114D"/>
    <w:rsid w:val="00FC12EB"/>
    <w:rsid w:val="00FC245E"/>
    <w:rsid w:val="00FC2E6B"/>
    <w:rsid w:val="00FC4AFE"/>
    <w:rsid w:val="00FC5495"/>
    <w:rsid w:val="00FC5C83"/>
    <w:rsid w:val="00FC5DEA"/>
    <w:rsid w:val="00FC5EB2"/>
    <w:rsid w:val="00FC64B2"/>
    <w:rsid w:val="00FC72C3"/>
    <w:rsid w:val="00FC7302"/>
    <w:rsid w:val="00FC7306"/>
    <w:rsid w:val="00FC74D8"/>
    <w:rsid w:val="00FC79D3"/>
    <w:rsid w:val="00FC7F06"/>
    <w:rsid w:val="00FD05B8"/>
    <w:rsid w:val="00FD1884"/>
    <w:rsid w:val="00FD20C7"/>
    <w:rsid w:val="00FD2A47"/>
    <w:rsid w:val="00FD2B32"/>
    <w:rsid w:val="00FD32DE"/>
    <w:rsid w:val="00FD3580"/>
    <w:rsid w:val="00FD3E0B"/>
    <w:rsid w:val="00FD4B29"/>
    <w:rsid w:val="00FD4B75"/>
    <w:rsid w:val="00FD50D9"/>
    <w:rsid w:val="00FD5C38"/>
    <w:rsid w:val="00FD5E1E"/>
    <w:rsid w:val="00FD639C"/>
    <w:rsid w:val="00FD681F"/>
    <w:rsid w:val="00FD6A78"/>
    <w:rsid w:val="00FD6C22"/>
    <w:rsid w:val="00FD71D7"/>
    <w:rsid w:val="00FD755F"/>
    <w:rsid w:val="00FD79BD"/>
    <w:rsid w:val="00FD7BBD"/>
    <w:rsid w:val="00FD7CF8"/>
    <w:rsid w:val="00FE0133"/>
    <w:rsid w:val="00FE01C6"/>
    <w:rsid w:val="00FE052D"/>
    <w:rsid w:val="00FE0758"/>
    <w:rsid w:val="00FE0F44"/>
    <w:rsid w:val="00FE149E"/>
    <w:rsid w:val="00FE1BDB"/>
    <w:rsid w:val="00FE1C85"/>
    <w:rsid w:val="00FE1D66"/>
    <w:rsid w:val="00FE1ED2"/>
    <w:rsid w:val="00FE21B2"/>
    <w:rsid w:val="00FE2464"/>
    <w:rsid w:val="00FE2934"/>
    <w:rsid w:val="00FE2BE3"/>
    <w:rsid w:val="00FE2C9E"/>
    <w:rsid w:val="00FE3BE5"/>
    <w:rsid w:val="00FE4316"/>
    <w:rsid w:val="00FE4A31"/>
    <w:rsid w:val="00FE507A"/>
    <w:rsid w:val="00FE5183"/>
    <w:rsid w:val="00FE5852"/>
    <w:rsid w:val="00FE5DE0"/>
    <w:rsid w:val="00FE60C4"/>
    <w:rsid w:val="00FE66A7"/>
    <w:rsid w:val="00FE6AEE"/>
    <w:rsid w:val="00FE6AFD"/>
    <w:rsid w:val="00FE6B92"/>
    <w:rsid w:val="00FE7350"/>
    <w:rsid w:val="00FE7C6A"/>
    <w:rsid w:val="00FF029C"/>
    <w:rsid w:val="00FF0E47"/>
    <w:rsid w:val="00FF0EB8"/>
    <w:rsid w:val="00FF113B"/>
    <w:rsid w:val="00FF1517"/>
    <w:rsid w:val="00FF1CE4"/>
    <w:rsid w:val="00FF3177"/>
    <w:rsid w:val="00FF3775"/>
    <w:rsid w:val="00FF396A"/>
    <w:rsid w:val="00FF3CA8"/>
    <w:rsid w:val="00FF475D"/>
    <w:rsid w:val="00FF48BA"/>
    <w:rsid w:val="00FF4CC8"/>
    <w:rsid w:val="00FF4D57"/>
    <w:rsid w:val="00FF5A7D"/>
    <w:rsid w:val="00FF5F7B"/>
    <w:rsid w:val="00FF62FB"/>
    <w:rsid w:val="00FF6544"/>
    <w:rsid w:val="00FF6855"/>
    <w:rsid w:val="00FF6C4F"/>
    <w:rsid w:val="00FF6E79"/>
    <w:rsid w:val="00FF7A1D"/>
    <w:rsid w:val="01057174"/>
    <w:rsid w:val="01141165"/>
    <w:rsid w:val="011A7413"/>
    <w:rsid w:val="011D05F2"/>
    <w:rsid w:val="013B4944"/>
    <w:rsid w:val="01460AFB"/>
    <w:rsid w:val="01461878"/>
    <w:rsid w:val="014C6B51"/>
    <w:rsid w:val="017A53D7"/>
    <w:rsid w:val="018F4C90"/>
    <w:rsid w:val="01906009"/>
    <w:rsid w:val="01A26771"/>
    <w:rsid w:val="01BA61B0"/>
    <w:rsid w:val="01BD5413"/>
    <w:rsid w:val="01DB732C"/>
    <w:rsid w:val="01DE0AF5"/>
    <w:rsid w:val="01DF5C17"/>
    <w:rsid w:val="01EC20E2"/>
    <w:rsid w:val="01F55FF7"/>
    <w:rsid w:val="01FE59A9"/>
    <w:rsid w:val="02004946"/>
    <w:rsid w:val="020B5498"/>
    <w:rsid w:val="021242F8"/>
    <w:rsid w:val="022D634F"/>
    <w:rsid w:val="02704AC1"/>
    <w:rsid w:val="028642E4"/>
    <w:rsid w:val="02A14B54"/>
    <w:rsid w:val="02CD6797"/>
    <w:rsid w:val="02D16977"/>
    <w:rsid w:val="02F32FFC"/>
    <w:rsid w:val="03192C8F"/>
    <w:rsid w:val="03304250"/>
    <w:rsid w:val="033D7F41"/>
    <w:rsid w:val="034B7162"/>
    <w:rsid w:val="038371BA"/>
    <w:rsid w:val="038C592B"/>
    <w:rsid w:val="03BB7FBE"/>
    <w:rsid w:val="03D36266"/>
    <w:rsid w:val="03D41080"/>
    <w:rsid w:val="03D96696"/>
    <w:rsid w:val="0404728D"/>
    <w:rsid w:val="04071455"/>
    <w:rsid w:val="04172684"/>
    <w:rsid w:val="042042C5"/>
    <w:rsid w:val="042322EA"/>
    <w:rsid w:val="043400F8"/>
    <w:rsid w:val="044E5CAC"/>
    <w:rsid w:val="04895C82"/>
    <w:rsid w:val="048F5C08"/>
    <w:rsid w:val="04B9220D"/>
    <w:rsid w:val="04D05CEB"/>
    <w:rsid w:val="04D82EFA"/>
    <w:rsid w:val="04FC3176"/>
    <w:rsid w:val="0513540B"/>
    <w:rsid w:val="05242382"/>
    <w:rsid w:val="05243941"/>
    <w:rsid w:val="05937674"/>
    <w:rsid w:val="05A14F91"/>
    <w:rsid w:val="05AC7D4D"/>
    <w:rsid w:val="05BB16A9"/>
    <w:rsid w:val="05BF62C4"/>
    <w:rsid w:val="05CC2BF2"/>
    <w:rsid w:val="05CC71A7"/>
    <w:rsid w:val="05DE2B77"/>
    <w:rsid w:val="05F940F9"/>
    <w:rsid w:val="06035C4C"/>
    <w:rsid w:val="06443F97"/>
    <w:rsid w:val="064F49ED"/>
    <w:rsid w:val="0661439A"/>
    <w:rsid w:val="066A28A8"/>
    <w:rsid w:val="067B6479"/>
    <w:rsid w:val="06805B31"/>
    <w:rsid w:val="0680729D"/>
    <w:rsid w:val="06D10F0F"/>
    <w:rsid w:val="06FC1BD6"/>
    <w:rsid w:val="07173764"/>
    <w:rsid w:val="0721282E"/>
    <w:rsid w:val="072635AC"/>
    <w:rsid w:val="0768220B"/>
    <w:rsid w:val="078D7F72"/>
    <w:rsid w:val="079C1EB4"/>
    <w:rsid w:val="07B228C5"/>
    <w:rsid w:val="07C35693"/>
    <w:rsid w:val="07CB4548"/>
    <w:rsid w:val="07DB478B"/>
    <w:rsid w:val="07F57B42"/>
    <w:rsid w:val="07F92E63"/>
    <w:rsid w:val="080018C5"/>
    <w:rsid w:val="08002919"/>
    <w:rsid w:val="080D690E"/>
    <w:rsid w:val="08337B3B"/>
    <w:rsid w:val="084D31AF"/>
    <w:rsid w:val="08501AD4"/>
    <w:rsid w:val="087D135E"/>
    <w:rsid w:val="088017D6"/>
    <w:rsid w:val="088210AA"/>
    <w:rsid w:val="088272FC"/>
    <w:rsid w:val="08843074"/>
    <w:rsid w:val="0889068B"/>
    <w:rsid w:val="088D1DF0"/>
    <w:rsid w:val="0895702F"/>
    <w:rsid w:val="08964B56"/>
    <w:rsid w:val="089E3A0A"/>
    <w:rsid w:val="089F0A54"/>
    <w:rsid w:val="08CC6A44"/>
    <w:rsid w:val="08F71A98"/>
    <w:rsid w:val="09077801"/>
    <w:rsid w:val="090E293E"/>
    <w:rsid w:val="09381F46"/>
    <w:rsid w:val="0955056D"/>
    <w:rsid w:val="095824D2"/>
    <w:rsid w:val="09687D48"/>
    <w:rsid w:val="09720E93"/>
    <w:rsid w:val="09A3577C"/>
    <w:rsid w:val="09C120A6"/>
    <w:rsid w:val="09C91B7D"/>
    <w:rsid w:val="09CA10DA"/>
    <w:rsid w:val="09D21BBD"/>
    <w:rsid w:val="09E53DAB"/>
    <w:rsid w:val="09E65669"/>
    <w:rsid w:val="09FB50D8"/>
    <w:rsid w:val="0A1A293B"/>
    <w:rsid w:val="0A3F5D60"/>
    <w:rsid w:val="0A806213"/>
    <w:rsid w:val="0A9675B8"/>
    <w:rsid w:val="0A9F23E7"/>
    <w:rsid w:val="0AA043AD"/>
    <w:rsid w:val="0AC92FC0"/>
    <w:rsid w:val="0AE222D4"/>
    <w:rsid w:val="0AEA1189"/>
    <w:rsid w:val="0AF4446C"/>
    <w:rsid w:val="0AFB22BB"/>
    <w:rsid w:val="0AFF1214"/>
    <w:rsid w:val="0B400554"/>
    <w:rsid w:val="0B47289C"/>
    <w:rsid w:val="0B4873A4"/>
    <w:rsid w:val="0B4B3DB3"/>
    <w:rsid w:val="0B5C65EF"/>
    <w:rsid w:val="0B783601"/>
    <w:rsid w:val="0B925AA8"/>
    <w:rsid w:val="0B9C6927"/>
    <w:rsid w:val="0BA92DF2"/>
    <w:rsid w:val="0BB51797"/>
    <w:rsid w:val="0BB62502"/>
    <w:rsid w:val="0C097EDB"/>
    <w:rsid w:val="0C3500D2"/>
    <w:rsid w:val="0C3A5C6D"/>
    <w:rsid w:val="0C5E69F7"/>
    <w:rsid w:val="0C6E5BD3"/>
    <w:rsid w:val="0CA85983"/>
    <w:rsid w:val="0CB80F31"/>
    <w:rsid w:val="0CBB102F"/>
    <w:rsid w:val="0CC61966"/>
    <w:rsid w:val="0CD9317A"/>
    <w:rsid w:val="0CE441A3"/>
    <w:rsid w:val="0CEA656A"/>
    <w:rsid w:val="0D0260B6"/>
    <w:rsid w:val="0D1D2B5B"/>
    <w:rsid w:val="0D2A7C36"/>
    <w:rsid w:val="0D49488C"/>
    <w:rsid w:val="0D5D3E94"/>
    <w:rsid w:val="0D7A11E1"/>
    <w:rsid w:val="0D8633EB"/>
    <w:rsid w:val="0D8C5488"/>
    <w:rsid w:val="0D906017"/>
    <w:rsid w:val="0DA43871"/>
    <w:rsid w:val="0DA912E5"/>
    <w:rsid w:val="0DB7612F"/>
    <w:rsid w:val="0DF50570"/>
    <w:rsid w:val="0DFF319D"/>
    <w:rsid w:val="0E0013EF"/>
    <w:rsid w:val="0E0B5581"/>
    <w:rsid w:val="0E1C64A3"/>
    <w:rsid w:val="0E1E7AC7"/>
    <w:rsid w:val="0E2C3DC4"/>
    <w:rsid w:val="0E89082D"/>
    <w:rsid w:val="0E924011"/>
    <w:rsid w:val="0E945EA0"/>
    <w:rsid w:val="0EAD44D4"/>
    <w:rsid w:val="0EB1735A"/>
    <w:rsid w:val="0EB63B25"/>
    <w:rsid w:val="0EDB39C9"/>
    <w:rsid w:val="0EF2259E"/>
    <w:rsid w:val="0EF935B0"/>
    <w:rsid w:val="0F125A6E"/>
    <w:rsid w:val="0F184516"/>
    <w:rsid w:val="0F1A3C19"/>
    <w:rsid w:val="0F1B6879"/>
    <w:rsid w:val="0F3375A2"/>
    <w:rsid w:val="0F620D8F"/>
    <w:rsid w:val="0F6E4136"/>
    <w:rsid w:val="0F760D8D"/>
    <w:rsid w:val="0F784FB5"/>
    <w:rsid w:val="0F7E5F8C"/>
    <w:rsid w:val="0F8676D2"/>
    <w:rsid w:val="0F90528B"/>
    <w:rsid w:val="0F9E0909"/>
    <w:rsid w:val="0FB60554"/>
    <w:rsid w:val="0FB81855"/>
    <w:rsid w:val="0FC01374"/>
    <w:rsid w:val="0FDB3799"/>
    <w:rsid w:val="0FDF5034"/>
    <w:rsid w:val="0FE11293"/>
    <w:rsid w:val="0FF7412C"/>
    <w:rsid w:val="0FFE73A9"/>
    <w:rsid w:val="101F20B9"/>
    <w:rsid w:val="1032785A"/>
    <w:rsid w:val="10367256"/>
    <w:rsid w:val="10401F77"/>
    <w:rsid w:val="1045758D"/>
    <w:rsid w:val="10853E2D"/>
    <w:rsid w:val="10895F6A"/>
    <w:rsid w:val="10AA5642"/>
    <w:rsid w:val="10CE5FDD"/>
    <w:rsid w:val="10D97CD5"/>
    <w:rsid w:val="110101A8"/>
    <w:rsid w:val="111C7DAD"/>
    <w:rsid w:val="112847B9"/>
    <w:rsid w:val="115634AF"/>
    <w:rsid w:val="11665A0D"/>
    <w:rsid w:val="11790093"/>
    <w:rsid w:val="117A3266"/>
    <w:rsid w:val="117F6F84"/>
    <w:rsid w:val="11A575B4"/>
    <w:rsid w:val="11C73FD2"/>
    <w:rsid w:val="11CC5291"/>
    <w:rsid w:val="11EA5AEF"/>
    <w:rsid w:val="11EF3FB3"/>
    <w:rsid w:val="121410E2"/>
    <w:rsid w:val="12317D70"/>
    <w:rsid w:val="123B7238"/>
    <w:rsid w:val="12413D84"/>
    <w:rsid w:val="12A06CFD"/>
    <w:rsid w:val="12DA0925"/>
    <w:rsid w:val="12E27315"/>
    <w:rsid w:val="12E60D33"/>
    <w:rsid w:val="12F26E2C"/>
    <w:rsid w:val="12FD26C4"/>
    <w:rsid w:val="13144FF5"/>
    <w:rsid w:val="1318709B"/>
    <w:rsid w:val="132A0CBC"/>
    <w:rsid w:val="13315BA7"/>
    <w:rsid w:val="134358DA"/>
    <w:rsid w:val="135F0966"/>
    <w:rsid w:val="137837D5"/>
    <w:rsid w:val="13884C75"/>
    <w:rsid w:val="139879D4"/>
    <w:rsid w:val="13C133CE"/>
    <w:rsid w:val="13EB044B"/>
    <w:rsid w:val="13FE4729"/>
    <w:rsid w:val="14107459"/>
    <w:rsid w:val="142D3EF2"/>
    <w:rsid w:val="14301CC2"/>
    <w:rsid w:val="143C4803"/>
    <w:rsid w:val="1459231F"/>
    <w:rsid w:val="145D29CB"/>
    <w:rsid w:val="146B158C"/>
    <w:rsid w:val="148D242E"/>
    <w:rsid w:val="149F4F2C"/>
    <w:rsid w:val="14D47131"/>
    <w:rsid w:val="14D62EA9"/>
    <w:rsid w:val="14EF656C"/>
    <w:rsid w:val="14F43330"/>
    <w:rsid w:val="150F3CC6"/>
    <w:rsid w:val="151614F8"/>
    <w:rsid w:val="155B0F75"/>
    <w:rsid w:val="155D11DB"/>
    <w:rsid w:val="15602773"/>
    <w:rsid w:val="15621664"/>
    <w:rsid w:val="157510E3"/>
    <w:rsid w:val="157C0F6F"/>
    <w:rsid w:val="157E0E4B"/>
    <w:rsid w:val="157F2DE8"/>
    <w:rsid w:val="158C29D1"/>
    <w:rsid w:val="15936EBD"/>
    <w:rsid w:val="15984BA7"/>
    <w:rsid w:val="159B37AB"/>
    <w:rsid w:val="15C95EAC"/>
    <w:rsid w:val="15E909BB"/>
    <w:rsid w:val="160348E3"/>
    <w:rsid w:val="16143C3C"/>
    <w:rsid w:val="165135EF"/>
    <w:rsid w:val="1653052A"/>
    <w:rsid w:val="16573B76"/>
    <w:rsid w:val="165A3666"/>
    <w:rsid w:val="1662251B"/>
    <w:rsid w:val="167069E6"/>
    <w:rsid w:val="168B415B"/>
    <w:rsid w:val="168E3310"/>
    <w:rsid w:val="16A843D2"/>
    <w:rsid w:val="16E318AE"/>
    <w:rsid w:val="16EF3DAF"/>
    <w:rsid w:val="16FD25F0"/>
    <w:rsid w:val="16FD2A85"/>
    <w:rsid w:val="172779EC"/>
    <w:rsid w:val="176351DE"/>
    <w:rsid w:val="17C51D59"/>
    <w:rsid w:val="17F033C3"/>
    <w:rsid w:val="17F86B8C"/>
    <w:rsid w:val="17FB6783"/>
    <w:rsid w:val="17FD6265"/>
    <w:rsid w:val="18090EA0"/>
    <w:rsid w:val="181B6E25"/>
    <w:rsid w:val="18252948"/>
    <w:rsid w:val="182C2DE0"/>
    <w:rsid w:val="185D1DAA"/>
    <w:rsid w:val="186C1E40"/>
    <w:rsid w:val="186E51A7"/>
    <w:rsid w:val="188C387F"/>
    <w:rsid w:val="18C66D91"/>
    <w:rsid w:val="18C71958"/>
    <w:rsid w:val="18DE13E4"/>
    <w:rsid w:val="18EE4943"/>
    <w:rsid w:val="18FB634F"/>
    <w:rsid w:val="19396899"/>
    <w:rsid w:val="194B54E8"/>
    <w:rsid w:val="1968700C"/>
    <w:rsid w:val="19687E48"/>
    <w:rsid w:val="19793E03"/>
    <w:rsid w:val="19842706"/>
    <w:rsid w:val="1989562C"/>
    <w:rsid w:val="19B42830"/>
    <w:rsid w:val="19B47531"/>
    <w:rsid w:val="19BC4967"/>
    <w:rsid w:val="19CB514C"/>
    <w:rsid w:val="19D75F39"/>
    <w:rsid w:val="19EF2CAB"/>
    <w:rsid w:val="19FC1F67"/>
    <w:rsid w:val="1A09413C"/>
    <w:rsid w:val="1A335071"/>
    <w:rsid w:val="1A516B2E"/>
    <w:rsid w:val="1A622AE9"/>
    <w:rsid w:val="1A6258A1"/>
    <w:rsid w:val="1A745FC6"/>
    <w:rsid w:val="1A854B6F"/>
    <w:rsid w:val="1A9D119C"/>
    <w:rsid w:val="1A9E7E4D"/>
    <w:rsid w:val="1A9F5AEC"/>
    <w:rsid w:val="1AC03278"/>
    <w:rsid w:val="1AF23F9A"/>
    <w:rsid w:val="1AF70FC5"/>
    <w:rsid w:val="1B1964A4"/>
    <w:rsid w:val="1B4D72F6"/>
    <w:rsid w:val="1B5A546C"/>
    <w:rsid w:val="1B5C578B"/>
    <w:rsid w:val="1B666609"/>
    <w:rsid w:val="1B6A154A"/>
    <w:rsid w:val="1B925650"/>
    <w:rsid w:val="1B9C64CF"/>
    <w:rsid w:val="1BB76E65"/>
    <w:rsid w:val="1BBD091F"/>
    <w:rsid w:val="1BC339CF"/>
    <w:rsid w:val="1BD61BE0"/>
    <w:rsid w:val="1BF64652"/>
    <w:rsid w:val="1C0922FA"/>
    <w:rsid w:val="1C19367C"/>
    <w:rsid w:val="1C1B5646"/>
    <w:rsid w:val="1C2564C4"/>
    <w:rsid w:val="1C2E07BB"/>
    <w:rsid w:val="1C3B4881"/>
    <w:rsid w:val="1C512BD7"/>
    <w:rsid w:val="1C566E7F"/>
    <w:rsid w:val="1C92116A"/>
    <w:rsid w:val="1CB73F7F"/>
    <w:rsid w:val="1CDF439F"/>
    <w:rsid w:val="1D1246D4"/>
    <w:rsid w:val="1D1E20C6"/>
    <w:rsid w:val="1D2B7B0B"/>
    <w:rsid w:val="1D7E27C4"/>
    <w:rsid w:val="1D7E6257"/>
    <w:rsid w:val="1D814D75"/>
    <w:rsid w:val="1D817F2D"/>
    <w:rsid w:val="1D943894"/>
    <w:rsid w:val="1DBA2C3C"/>
    <w:rsid w:val="1DE33F41"/>
    <w:rsid w:val="1E164317"/>
    <w:rsid w:val="1E1C7453"/>
    <w:rsid w:val="1E396ABD"/>
    <w:rsid w:val="1E3E1D2D"/>
    <w:rsid w:val="1E4744D0"/>
    <w:rsid w:val="1E476CDF"/>
    <w:rsid w:val="1E4B2DB5"/>
    <w:rsid w:val="1E8F5E77"/>
    <w:rsid w:val="1E9351E5"/>
    <w:rsid w:val="1E947861"/>
    <w:rsid w:val="1EA74AFC"/>
    <w:rsid w:val="1EB46693"/>
    <w:rsid w:val="1EC27FFB"/>
    <w:rsid w:val="1EC975DB"/>
    <w:rsid w:val="1ECB4C27"/>
    <w:rsid w:val="1F0C372C"/>
    <w:rsid w:val="1F0C74C8"/>
    <w:rsid w:val="1F1545CE"/>
    <w:rsid w:val="1F3F59C0"/>
    <w:rsid w:val="1F705CA9"/>
    <w:rsid w:val="1F750E9F"/>
    <w:rsid w:val="1F7A4CA9"/>
    <w:rsid w:val="1F986C6B"/>
    <w:rsid w:val="1F9D2043"/>
    <w:rsid w:val="1FA25C89"/>
    <w:rsid w:val="1FA3619B"/>
    <w:rsid w:val="1FAB0A8F"/>
    <w:rsid w:val="1FB03876"/>
    <w:rsid w:val="1FD77031"/>
    <w:rsid w:val="1FE73CCD"/>
    <w:rsid w:val="1FE83A91"/>
    <w:rsid w:val="1FF73CD4"/>
    <w:rsid w:val="20264F2D"/>
    <w:rsid w:val="202B0CA0"/>
    <w:rsid w:val="20631A24"/>
    <w:rsid w:val="206B178A"/>
    <w:rsid w:val="20784E15"/>
    <w:rsid w:val="20987265"/>
    <w:rsid w:val="20B51F36"/>
    <w:rsid w:val="20B62E5A"/>
    <w:rsid w:val="20C242E2"/>
    <w:rsid w:val="20CD53CA"/>
    <w:rsid w:val="20E73D48"/>
    <w:rsid w:val="20F03AF9"/>
    <w:rsid w:val="210E7527"/>
    <w:rsid w:val="21195153"/>
    <w:rsid w:val="21313216"/>
    <w:rsid w:val="215A77EE"/>
    <w:rsid w:val="21795B85"/>
    <w:rsid w:val="21BE6D2B"/>
    <w:rsid w:val="21C47CCC"/>
    <w:rsid w:val="21D36BA1"/>
    <w:rsid w:val="21DD7793"/>
    <w:rsid w:val="21DE6427"/>
    <w:rsid w:val="220426D8"/>
    <w:rsid w:val="220555B1"/>
    <w:rsid w:val="2208666C"/>
    <w:rsid w:val="220F17A9"/>
    <w:rsid w:val="221D3ECF"/>
    <w:rsid w:val="2225242F"/>
    <w:rsid w:val="222608A0"/>
    <w:rsid w:val="222765D7"/>
    <w:rsid w:val="222D7E81"/>
    <w:rsid w:val="223C00C4"/>
    <w:rsid w:val="223D2982"/>
    <w:rsid w:val="224114F2"/>
    <w:rsid w:val="22472126"/>
    <w:rsid w:val="227A76F1"/>
    <w:rsid w:val="227C17AF"/>
    <w:rsid w:val="22804455"/>
    <w:rsid w:val="22812A62"/>
    <w:rsid w:val="229218B9"/>
    <w:rsid w:val="22B97967"/>
    <w:rsid w:val="22BB7A5B"/>
    <w:rsid w:val="22D60519"/>
    <w:rsid w:val="22DF561F"/>
    <w:rsid w:val="22E42C35"/>
    <w:rsid w:val="22F04E61"/>
    <w:rsid w:val="23141814"/>
    <w:rsid w:val="231D1CA3"/>
    <w:rsid w:val="233D73B8"/>
    <w:rsid w:val="236476CD"/>
    <w:rsid w:val="237044C9"/>
    <w:rsid w:val="23724C32"/>
    <w:rsid w:val="23757D31"/>
    <w:rsid w:val="2379410A"/>
    <w:rsid w:val="23841D23"/>
    <w:rsid w:val="23847F75"/>
    <w:rsid w:val="23955CDE"/>
    <w:rsid w:val="23A8416F"/>
    <w:rsid w:val="23AB6130"/>
    <w:rsid w:val="23CB7951"/>
    <w:rsid w:val="23E7334B"/>
    <w:rsid w:val="24194B61"/>
    <w:rsid w:val="243C084F"/>
    <w:rsid w:val="24465687"/>
    <w:rsid w:val="24494C16"/>
    <w:rsid w:val="24635DDC"/>
    <w:rsid w:val="246F5C6D"/>
    <w:rsid w:val="247517FA"/>
    <w:rsid w:val="2483022C"/>
    <w:rsid w:val="248409B2"/>
    <w:rsid w:val="24E3038F"/>
    <w:rsid w:val="251C3689"/>
    <w:rsid w:val="25367EDA"/>
    <w:rsid w:val="25640CE8"/>
    <w:rsid w:val="25956469"/>
    <w:rsid w:val="25983900"/>
    <w:rsid w:val="25A8619C"/>
    <w:rsid w:val="25BF7042"/>
    <w:rsid w:val="25C17CCE"/>
    <w:rsid w:val="25DC3A62"/>
    <w:rsid w:val="261E020C"/>
    <w:rsid w:val="262477ED"/>
    <w:rsid w:val="26416ED3"/>
    <w:rsid w:val="264B2840"/>
    <w:rsid w:val="2657371E"/>
    <w:rsid w:val="26714E4D"/>
    <w:rsid w:val="26811FF9"/>
    <w:rsid w:val="26976211"/>
    <w:rsid w:val="269D2E03"/>
    <w:rsid w:val="269D38EB"/>
    <w:rsid w:val="26D77A20"/>
    <w:rsid w:val="26F31699"/>
    <w:rsid w:val="26FE3B9A"/>
    <w:rsid w:val="270311B0"/>
    <w:rsid w:val="27057291"/>
    <w:rsid w:val="272A498F"/>
    <w:rsid w:val="27546C3A"/>
    <w:rsid w:val="276640DB"/>
    <w:rsid w:val="276E6F72"/>
    <w:rsid w:val="276F4A98"/>
    <w:rsid w:val="277E547B"/>
    <w:rsid w:val="279E57C7"/>
    <w:rsid w:val="27A04C51"/>
    <w:rsid w:val="27A460F5"/>
    <w:rsid w:val="27CB7F20"/>
    <w:rsid w:val="27D72D69"/>
    <w:rsid w:val="27DF39CB"/>
    <w:rsid w:val="27F969D3"/>
    <w:rsid w:val="27FB3942"/>
    <w:rsid w:val="2814224D"/>
    <w:rsid w:val="28305F4F"/>
    <w:rsid w:val="284C229C"/>
    <w:rsid w:val="28827F44"/>
    <w:rsid w:val="28D92B11"/>
    <w:rsid w:val="28E9647F"/>
    <w:rsid w:val="291B0A33"/>
    <w:rsid w:val="291D6417"/>
    <w:rsid w:val="292C2C40"/>
    <w:rsid w:val="29343190"/>
    <w:rsid w:val="29495149"/>
    <w:rsid w:val="29934A6D"/>
    <w:rsid w:val="29C42E79"/>
    <w:rsid w:val="29C43E4B"/>
    <w:rsid w:val="29D41C18"/>
    <w:rsid w:val="29DC643B"/>
    <w:rsid w:val="29F179E6"/>
    <w:rsid w:val="29F553A2"/>
    <w:rsid w:val="29F92748"/>
    <w:rsid w:val="29FE1E05"/>
    <w:rsid w:val="2A164F5A"/>
    <w:rsid w:val="2A5266D7"/>
    <w:rsid w:val="2A587A65"/>
    <w:rsid w:val="2A957F45"/>
    <w:rsid w:val="2A96679C"/>
    <w:rsid w:val="2AA809EC"/>
    <w:rsid w:val="2AEB2687"/>
    <w:rsid w:val="2AFF2EA8"/>
    <w:rsid w:val="2B05199B"/>
    <w:rsid w:val="2B093F9D"/>
    <w:rsid w:val="2B110340"/>
    <w:rsid w:val="2B112D3D"/>
    <w:rsid w:val="2B3109E2"/>
    <w:rsid w:val="2B5E554F"/>
    <w:rsid w:val="2B685109"/>
    <w:rsid w:val="2B746B21"/>
    <w:rsid w:val="2B8C690D"/>
    <w:rsid w:val="2BA03472"/>
    <w:rsid w:val="2BAA0794"/>
    <w:rsid w:val="2BAC0068"/>
    <w:rsid w:val="2BB74E0C"/>
    <w:rsid w:val="2BBA36B7"/>
    <w:rsid w:val="2BC63986"/>
    <w:rsid w:val="2BDC344F"/>
    <w:rsid w:val="2BDD46C6"/>
    <w:rsid w:val="2BDF62D6"/>
    <w:rsid w:val="2BFD6B16"/>
    <w:rsid w:val="2C1739D0"/>
    <w:rsid w:val="2C2A0FD2"/>
    <w:rsid w:val="2C3747BF"/>
    <w:rsid w:val="2C3768AB"/>
    <w:rsid w:val="2C4879C3"/>
    <w:rsid w:val="2C8C1B9E"/>
    <w:rsid w:val="2CAB6572"/>
    <w:rsid w:val="2CAF267C"/>
    <w:rsid w:val="2CAF6062"/>
    <w:rsid w:val="2CCE400E"/>
    <w:rsid w:val="2CD930DF"/>
    <w:rsid w:val="2CDA2C9E"/>
    <w:rsid w:val="2CE81574"/>
    <w:rsid w:val="2CF0733B"/>
    <w:rsid w:val="2CFB648A"/>
    <w:rsid w:val="2D1442C3"/>
    <w:rsid w:val="2D2E7DF5"/>
    <w:rsid w:val="2D2F4BE6"/>
    <w:rsid w:val="2D3A16A4"/>
    <w:rsid w:val="2D917516"/>
    <w:rsid w:val="2D96384A"/>
    <w:rsid w:val="2DA80DA1"/>
    <w:rsid w:val="2DE55AB4"/>
    <w:rsid w:val="2E0315D3"/>
    <w:rsid w:val="2E097214"/>
    <w:rsid w:val="2E0F1003"/>
    <w:rsid w:val="2E313328"/>
    <w:rsid w:val="2E3305CD"/>
    <w:rsid w:val="2E457A46"/>
    <w:rsid w:val="2E4722CA"/>
    <w:rsid w:val="2E4B3B69"/>
    <w:rsid w:val="2E527668"/>
    <w:rsid w:val="2E775838"/>
    <w:rsid w:val="2F115822"/>
    <w:rsid w:val="2F1C3757"/>
    <w:rsid w:val="2F391C13"/>
    <w:rsid w:val="2F5527C5"/>
    <w:rsid w:val="2F6A2C5F"/>
    <w:rsid w:val="2F7512A3"/>
    <w:rsid w:val="2F9652B7"/>
    <w:rsid w:val="2F9E23BE"/>
    <w:rsid w:val="2FB40CBC"/>
    <w:rsid w:val="2FC17E5A"/>
    <w:rsid w:val="2FCA31B3"/>
    <w:rsid w:val="2FD63906"/>
    <w:rsid w:val="30055F99"/>
    <w:rsid w:val="30082508"/>
    <w:rsid w:val="301461DC"/>
    <w:rsid w:val="302D729E"/>
    <w:rsid w:val="303758A2"/>
    <w:rsid w:val="3062163D"/>
    <w:rsid w:val="30784549"/>
    <w:rsid w:val="308A21E4"/>
    <w:rsid w:val="308C0468"/>
    <w:rsid w:val="30A13F14"/>
    <w:rsid w:val="30A326AC"/>
    <w:rsid w:val="30B5561E"/>
    <w:rsid w:val="30B67293"/>
    <w:rsid w:val="30BF439A"/>
    <w:rsid w:val="30C23E8A"/>
    <w:rsid w:val="30D342E9"/>
    <w:rsid w:val="30E958BB"/>
    <w:rsid w:val="31087E79"/>
    <w:rsid w:val="310B75DF"/>
    <w:rsid w:val="31300152"/>
    <w:rsid w:val="3138414C"/>
    <w:rsid w:val="313A6212"/>
    <w:rsid w:val="31663C07"/>
    <w:rsid w:val="316B4522"/>
    <w:rsid w:val="31757A67"/>
    <w:rsid w:val="319C5F3C"/>
    <w:rsid w:val="31C11D6E"/>
    <w:rsid w:val="31E56082"/>
    <w:rsid w:val="31E621E0"/>
    <w:rsid w:val="321E1594"/>
    <w:rsid w:val="321F6D79"/>
    <w:rsid w:val="322C2218"/>
    <w:rsid w:val="32350D74"/>
    <w:rsid w:val="32411B40"/>
    <w:rsid w:val="326A09A4"/>
    <w:rsid w:val="32747406"/>
    <w:rsid w:val="32917FBB"/>
    <w:rsid w:val="32A55811"/>
    <w:rsid w:val="32AC6BA0"/>
    <w:rsid w:val="32BF68D3"/>
    <w:rsid w:val="32C65EB4"/>
    <w:rsid w:val="32CC7242"/>
    <w:rsid w:val="32CE2FBA"/>
    <w:rsid w:val="32D0096E"/>
    <w:rsid w:val="32D061BB"/>
    <w:rsid w:val="32E225C2"/>
    <w:rsid w:val="3304078A"/>
    <w:rsid w:val="330447ED"/>
    <w:rsid w:val="33260700"/>
    <w:rsid w:val="33650E50"/>
    <w:rsid w:val="336851BD"/>
    <w:rsid w:val="336A2CE3"/>
    <w:rsid w:val="337C0328"/>
    <w:rsid w:val="33950BA1"/>
    <w:rsid w:val="33EA7980"/>
    <w:rsid w:val="341B222F"/>
    <w:rsid w:val="342100B0"/>
    <w:rsid w:val="343B7289"/>
    <w:rsid w:val="345C0152"/>
    <w:rsid w:val="34646684"/>
    <w:rsid w:val="346906DB"/>
    <w:rsid w:val="346C7CFA"/>
    <w:rsid w:val="346F60D7"/>
    <w:rsid w:val="347C070A"/>
    <w:rsid w:val="348502FD"/>
    <w:rsid w:val="3486036D"/>
    <w:rsid w:val="34873421"/>
    <w:rsid w:val="348A1163"/>
    <w:rsid w:val="34984188"/>
    <w:rsid w:val="349873DC"/>
    <w:rsid w:val="34A6593E"/>
    <w:rsid w:val="34A83397"/>
    <w:rsid w:val="34B85CD0"/>
    <w:rsid w:val="34CD1A2A"/>
    <w:rsid w:val="34FB7A61"/>
    <w:rsid w:val="35092088"/>
    <w:rsid w:val="35384282"/>
    <w:rsid w:val="35543CAD"/>
    <w:rsid w:val="3566572C"/>
    <w:rsid w:val="3575006C"/>
    <w:rsid w:val="35A3072E"/>
    <w:rsid w:val="35B441BE"/>
    <w:rsid w:val="35B53FBD"/>
    <w:rsid w:val="35B93AAE"/>
    <w:rsid w:val="35BF6BEA"/>
    <w:rsid w:val="35C45DB3"/>
    <w:rsid w:val="35D95EFE"/>
    <w:rsid w:val="35F32297"/>
    <w:rsid w:val="35F44AE6"/>
    <w:rsid w:val="360F1920"/>
    <w:rsid w:val="36154A5C"/>
    <w:rsid w:val="362E6575"/>
    <w:rsid w:val="36344A88"/>
    <w:rsid w:val="36604E11"/>
    <w:rsid w:val="367C275D"/>
    <w:rsid w:val="36A57CAE"/>
    <w:rsid w:val="36AE1139"/>
    <w:rsid w:val="36BB1AA7"/>
    <w:rsid w:val="36BD137C"/>
    <w:rsid w:val="36C723D3"/>
    <w:rsid w:val="36CE383E"/>
    <w:rsid w:val="36DB0564"/>
    <w:rsid w:val="36DD1A1E"/>
    <w:rsid w:val="370E5F00"/>
    <w:rsid w:val="3724764D"/>
    <w:rsid w:val="37294C63"/>
    <w:rsid w:val="373A6E70"/>
    <w:rsid w:val="374750E9"/>
    <w:rsid w:val="374E0226"/>
    <w:rsid w:val="375178F1"/>
    <w:rsid w:val="37574539"/>
    <w:rsid w:val="3759353B"/>
    <w:rsid w:val="375F0685"/>
    <w:rsid w:val="376B527C"/>
    <w:rsid w:val="379C5435"/>
    <w:rsid w:val="37D20E57"/>
    <w:rsid w:val="37F15BEE"/>
    <w:rsid w:val="37FB60DB"/>
    <w:rsid w:val="380A1955"/>
    <w:rsid w:val="380F20AB"/>
    <w:rsid w:val="382172B4"/>
    <w:rsid w:val="382C30D4"/>
    <w:rsid w:val="38343B3E"/>
    <w:rsid w:val="38346569"/>
    <w:rsid w:val="383834B4"/>
    <w:rsid w:val="38457C0A"/>
    <w:rsid w:val="38790EA4"/>
    <w:rsid w:val="387939C8"/>
    <w:rsid w:val="38804D57"/>
    <w:rsid w:val="38855EC9"/>
    <w:rsid w:val="388E7474"/>
    <w:rsid w:val="38944205"/>
    <w:rsid w:val="38A87920"/>
    <w:rsid w:val="38B642D4"/>
    <w:rsid w:val="38C034D2"/>
    <w:rsid w:val="38CB6E14"/>
    <w:rsid w:val="393022D9"/>
    <w:rsid w:val="39353B57"/>
    <w:rsid w:val="39406294"/>
    <w:rsid w:val="394F0285"/>
    <w:rsid w:val="3960312F"/>
    <w:rsid w:val="398E34A3"/>
    <w:rsid w:val="39B50A30"/>
    <w:rsid w:val="39D10AC3"/>
    <w:rsid w:val="39E60BE9"/>
    <w:rsid w:val="39EB4452"/>
    <w:rsid w:val="3A011698"/>
    <w:rsid w:val="3A0D6176"/>
    <w:rsid w:val="3A1E491C"/>
    <w:rsid w:val="3A4602B0"/>
    <w:rsid w:val="3A79578E"/>
    <w:rsid w:val="3A892160"/>
    <w:rsid w:val="3A8C1D1A"/>
    <w:rsid w:val="3A900DAC"/>
    <w:rsid w:val="3AC151B3"/>
    <w:rsid w:val="3AC728D0"/>
    <w:rsid w:val="3AEC0481"/>
    <w:rsid w:val="3B042E3F"/>
    <w:rsid w:val="3B141786"/>
    <w:rsid w:val="3B1B2B15"/>
    <w:rsid w:val="3B2F65C0"/>
    <w:rsid w:val="3B471B5C"/>
    <w:rsid w:val="3B4B164C"/>
    <w:rsid w:val="3B7E58F2"/>
    <w:rsid w:val="3B8907CC"/>
    <w:rsid w:val="3B9B5A04"/>
    <w:rsid w:val="3BBB6F5F"/>
    <w:rsid w:val="3BC92060"/>
    <w:rsid w:val="3BD57167"/>
    <w:rsid w:val="3BE8545D"/>
    <w:rsid w:val="3BFD221A"/>
    <w:rsid w:val="3C1E1CA2"/>
    <w:rsid w:val="3C272409"/>
    <w:rsid w:val="3C333E8E"/>
    <w:rsid w:val="3C575163"/>
    <w:rsid w:val="3C97441D"/>
    <w:rsid w:val="3C981AB8"/>
    <w:rsid w:val="3CB46D7D"/>
    <w:rsid w:val="3CF67395"/>
    <w:rsid w:val="3CFB0E50"/>
    <w:rsid w:val="3D0A1BA6"/>
    <w:rsid w:val="3D127F47"/>
    <w:rsid w:val="3D1912D6"/>
    <w:rsid w:val="3D363C36"/>
    <w:rsid w:val="3D401F16"/>
    <w:rsid w:val="3D6C1E0F"/>
    <w:rsid w:val="3D74468C"/>
    <w:rsid w:val="3DBC6CA3"/>
    <w:rsid w:val="3DC37382"/>
    <w:rsid w:val="3DEC26E0"/>
    <w:rsid w:val="3DEE2762"/>
    <w:rsid w:val="3DF17B5D"/>
    <w:rsid w:val="3DF338D5"/>
    <w:rsid w:val="3DF77869"/>
    <w:rsid w:val="3E111FAD"/>
    <w:rsid w:val="3E1C0263"/>
    <w:rsid w:val="3E223883"/>
    <w:rsid w:val="3E372B2B"/>
    <w:rsid w:val="3E3A69E4"/>
    <w:rsid w:val="3E502AD5"/>
    <w:rsid w:val="3E7D777A"/>
    <w:rsid w:val="3E870D9F"/>
    <w:rsid w:val="3E883D9F"/>
    <w:rsid w:val="3E9A0C3B"/>
    <w:rsid w:val="3EB23790"/>
    <w:rsid w:val="3EC0029B"/>
    <w:rsid w:val="3EC040FF"/>
    <w:rsid w:val="3EC6658B"/>
    <w:rsid w:val="3ECC2AA4"/>
    <w:rsid w:val="3ED85943"/>
    <w:rsid w:val="3EDA6843"/>
    <w:rsid w:val="3EF21DDE"/>
    <w:rsid w:val="3F0538C0"/>
    <w:rsid w:val="3F0C7FEE"/>
    <w:rsid w:val="3F283364"/>
    <w:rsid w:val="3F454604"/>
    <w:rsid w:val="3F4A1C1A"/>
    <w:rsid w:val="3F7B48AA"/>
    <w:rsid w:val="3F7E3672"/>
    <w:rsid w:val="3F9609BC"/>
    <w:rsid w:val="3FAE03FB"/>
    <w:rsid w:val="3FAF7CCF"/>
    <w:rsid w:val="3FB428A8"/>
    <w:rsid w:val="3FC4377B"/>
    <w:rsid w:val="3FC43BC1"/>
    <w:rsid w:val="3FC43F26"/>
    <w:rsid w:val="3FCD2003"/>
    <w:rsid w:val="3FE452B3"/>
    <w:rsid w:val="40007F4B"/>
    <w:rsid w:val="40061FE5"/>
    <w:rsid w:val="40185875"/>
    <w:rsid w:val="401961DF"/>
    <w:rsid w:val="40630701"/>
    <w:rsid w:val="40672358"/>
    <w:rsid w:val="40724853"/>
    <w:rsid w:val="40771B10"/>
    <w:rsid w:val="407927B7"/>
    <w:rsid w:val="40A150DA"/>
    <w:rsid w:val="40A35A86"/>
    <w:rsid w:val="40D93256"/>
    <w:rsid w:val="40DB21D4"/>
    <w:rsid w:val="40F0234E"/>
    <w:rsid w:val="410F0A26"/>
    <w:rsid w:val="411A4C6D"/>
    <w:rsid w:val="411D478D"/>
    <w:rsid w:val="41287D39"/>
    <w:rsid w:val="41556C22"/>
    <w:rsid w:val="4168282C"/>
    <w:rsid w:val="416B4DC5"/>
    <w:rsid w:val="41A82FDB"/>
    <w:rsid w:val="41B1448B"/>
    <w:rsid w:val="41C7366E"/>
    <w:rsid w:val="41D32D98"/>
    <w:rsid w:val="41D43A1D"/>
    <w:rsid w:val="41DD4C48"/>
    <w:rsid w:val="420752A4"/>
    <w:rsid w:val="420E33D3"/>
    <w:rsid w:val="42147D69"/>
    <w:rsid w:val="42153FAF"/>
    <w:rsid w:val="4225682E"/>
    <w:rsid w:val="425828A0"/>
    <w:rsid w:val="426D0C07"/>
    <w:rsid w:val="4272567F"/>
    <w:rsid w:val="428078F9"/>
    <w:rsid w:val="42A846D3"/>
    <w:rsid w:val="42AE24C0"/>
    <w:rsid w:val="42B03F85"/>
    <w:rsid w:val="42BC4BDD"/>
    <w:rsid w:val="42C47321"/>
    <w:rsid w:val="42C94F24"/>
    <w:rsid w:val="42CE7FA4"/>
    <w:rsid w:val="42D85561"/>
    <w:rsid w:val="42EA5FD9"/>
    <w:rsid w:val="42FC147E"/>
    <w:rsid w:val="430040E3"/>
    <w:rsid w:val="430D110E"/>
    <w:rsid w:val="432B5F4E"/>
    <w:rsid w:val="432E715D"/>
    <w:rsid w:val="432F3601"/>
    <w:rsid w:val="43357D94"/>
    <w:rsid w:val="434440DA"/>
    <w:rsid w:val="435814F8"/>
    <w:rsid w:val="43627A68"/>
    <w:rsid w:val="43671945"/>
    <w:rsid w:val="43900D43"/>
    <w:rsid w:val="43946DDD"/>
    <w:rsid w:val="43AD1D66"/>
    <w:rsid w:val="43D146B8"/>
    <w:rsid w:val="43D637F5"/>
    <w:rsid w:val="43DF5027"/>
    <w:rsid w:val="43E20674"/>
    <w:rsid w:val="43ED0DC6"/>
    <w:rsid w:val="440D1834"/>
    <w:rsid w:val="441647C1"/>
    <w:rsid w:val="441B1DD7"/>
    <w:rsid w:val="44220846"/>
    <w:rsid w:val="44450C02"/>
    <w:rsid w:val="444F273B"/>
    <w:rsid w:val="44507CD3"/>
    <w:rsid w:val="4456696C"/>
    <w:rsid w:val="445B0426"/>
    <w:rsid w:val="44673385"/>
    <w:rsid w:val="44735770"/>
    <w:rsid w:val="447934DE"/>
    <w:rsid w:val="4484172B"/>
    <w:rsid w:val="448C2BFC"/>
    <w:rsid w:val="44AA2D84"/>
    <w:rsid w:val="44BF09B5"/>
    <w:rsid w:val="44E87F0C"/>
    <w:rsid w:val="450068EF"/>
    <w:rsid w:val="45120AE5"/>
    <w:rsid w:val="452A3695"/>
    <w:rsid w:val="453A3B62"/>
    <w:rsid w:val="453C6991"/>
    <w:rsid w:val="454A2974"/>
    <w:rsid w:val="45623936"/>
    <w:rsid w:val="456854D7"/>
    <w:rsid w:val="4571611F"/>
    <w:rsid w:val="45762D24"/>
    <w:rsid w:val="45F61652"/>
    <w:rsid w:val="461E170B"/>
    <w:rsid w:val="465B17C9"/>
    <w:rsid w:val="466215D1"/>
    <w:rsid w:val="468405AD"/>
    <w:rsid w:val="46A9191C"/>
    <w:rsid w:val="46E464B1"/>
    <w:rsid w:val="46F10BCE"/>
    <w:rsid w:val="472D2676"/>
    <w:rsid w:val="474D674C"/>
    <w:rsid w:val="47503B46"/>
    <w:rsid w:val="475813B1"/>
    <w:rsid w:val="478B1917"/>
    <w:rsid w:val="47A619B8"/>
    <w:rsid w:val="47BC4A77"/>
    <w:rsid w:val="48054931"/>
    <w:rsid w:val="48110CE2"/>
    <w:rsid w:val="482113FD"/>
    <w:rsid w:val="48231E97"/>
    <w:rsid w:val="48256D81"/>
    <w:rsid w:val="4831308A"/>
    <w:rsid w:val="48605905"/>
    <w:rsid w:val="48721AD0"/>
    <w:rsid w:val="48760666"/>
    <w:rsid w:val="48783354"/>
    <w:rsid w:val="48787FC5"/>
    <w:rsid w:val="48802209"/>
    <w:rsid w:val="48AC2FFE"/>
    <w:rsid w:val="48C90054"/>
    <w:rsid w:val="48D03190"/>
    <w:rsid w:val="48D52555"/>
    <w:rsid w:val="48E72288"/>
    <w:rsid w:val="48F36FC3"/>
    <w:rsid w:val="48FF5824"/>
    <w:rsid w:val="49107A31"/>
    <w:rsid w:val="492A45BA"/>
    <w:rsid w:val="49396F88"/>
    <w:rsid w:val="494C3E5D"/>
    <w:rsid w:val="494D658F"/>
    <w:rsid w:val="4968159F"/>
    <w:rsid w:val="496C3A0A"/>
    <w:rsid w:val="49766D2C"/>
    <w:rsid w:val="49836455"/>
    <w:rsid w:val="49A168DB"/>
    <w:rsid w:val="49BA406B"/>
    <w:rsid w:val="49BC2F93"/>
    <w:rsid w:val="49D05F4E"/>
    <w:rsid w:val="49E93407"/>
    <w:rsid w:val="49F33F46"/>
    <w:rsid w:val="4A013C4D"/>
    <w:rsid w:val="4A01737A"/>
    <w:rsid w:val="4A09117A"/>
    <w:rsid w:val="4A190834"/>
    <w:rsid w:val="4A4407A6"/>
    <w:rsid w:val="4A5B2F2E"/>
    <w:rsid w:val="4A6F789F"/>
    <w:rsid w:val="4A8A3813"/>
    <w:rsid w:val="4A9621B8"/>
    <w:rsid w:val="4AA42BB3"/>
    <w:rsid w:val="4AAC5537"/>
    <w:rsid w:val="4ABB577A"/>
    <w:rsid w:val="4AC8724B"/>
    <w:rsid w:val="4AE0363C"/>
    <w:rsid w:val="4AFA574C"/>
    <w:rsid w:val="4AFD2237"/>
    <w:rsid w:val="4B214B21"/>
    <w:rsid w:val="4B223A4B"/>
    <w:rsid w:val="4B24104E"/>
    <w:rsid w:val="4B29302C"/>
    <w:rsid w:val="4B2C18FC"/>
    <w:rsid w:val="4B3E1A9B"/>
    <w:rsid w:val="4B807EC8"/>
    <w:rsid w:val="4B906C07"/>
    <w:rsid w:val="4B9965E3"/>
    <w:rsid w:val="4BA821A3"/>
    <w:rsid w:val="4BF216F8"/>
    <w:rsid w:val="4BF8159D"/>
    <w:rsid w:val="4BF929FE"/>
    <w:rsid w:val="4C1632F2"/>
    <w:rsid w:val="4C211C2E"/>
    <w:rsid w:val="4C4023DB"/>
    <w:rsid w:val="4C593A83"/>
    <w:rsid w:val="4C793B3F"/>
    <w:rsid w:val="4C7B4318"/>
    <w:rsid w:val="4C820C46"/>
    <w:rsid w:val="4C897591"/>
    <w:rsid w:val="4C9036F0"/>
    <w:rsid w:val="4CBC51C9"/>
    <w:rsid w:val="4CC630C7"/>
    <w:rsid w:val="4D051221"/>
    <w:rsid w:val="4D0B475C"/>
    <w:rsid w:val="4D186EB4"/>
    <w:rsid w:val="4D221AE1"/>
    <w:rsid w:val="4D31533A"/>
    <w:rsid w:val="4D3B0DF4"/>
    <w:rsid w:val="4D3C7046"/>
    <w:rsid w:val="4D4E6D7A"/>
    <w:rsid w:val="4D551EB6"/>
    <w:rsid w:val="4D693BB4"/>
    <w:rsid w:val="4D7631EE"/>
    <w:rsid w:val="4D9E1AAF"/>
    <w:rsid w:val="4DA71B0F"/>
    <w:rsid w:val="4DBD7C05"/>
    <w:rsid w:val="4DDA685F"/>
    <w:rsid w:val="4DEA6AA2"/>
    <w:rsid w:val="4E0D548F"/>
    <w:rsid w:val="4E347D1E"/>
    <w:rsid w:val="4E4361B3"/>
    <w:rsid w:val="4E6206F3"/>
    <w:rsid w:val="4E6D01EE"/>
    <w:rsid w:val="4E8145A7"/>
    <w:rsid w:val="4E850579"/>
    <w:rsid w:val="4E854A1D"/>
    <w:rsid w:val="4E8932A1"/>
    <w:rsid w:val="4E9C58C3"/>
    <w:rsid w:val="4EB62A4C"/>
    <w:rsid w:val="4ECE0912"/>
    <w:rsid w:val="4ED4505D"/>
    <w:rsid w:val="4F05790C"/>
    <w:rsid w:val="4F07036D"/>
    <w:rsid w:val="4F10078B"/>
    <w:rsid w:val="4F147B4F"/>
    <w:rsid w:val="4F15778D"/>
    <w:rsid w:val="4F4641AC"/>
    <w:rsid w:val="4F6A4411"/>
    <w:rsid w:val="4F8F7FCE"/>
    <w:rsid w:val="4F9C41AC"/>
    <w:rsid w:val="4FA15887"/>
    <w:rsid w:val="4FA505E0"/>
    <w:rsid w:val="4FBD1F95"/>
    <w:rsid w:val="4FCB74B0"/>
    <w:rsid w:val="4FD95020"/>
    <w:rsid w:val="4FDC61FC"/>
    <w:rsid w:val="4FEA6F5D"/>
    <w:rsid w:val="4FF736F9"/>
    <w:rsid w:val="50073AD8"/>
    <w:rsid w:val="501124D1"/>
    <w:rsid w:val="50151DD1"/>
    <w:rsid w:val="501620BF"/>
    <w:rsid w:val="5025382E"/>
    <w:rsid w:val="504700EF"/>
    <w:rsid w:val="50D2381E"/>
    <w:rsid w:val="50F37542"/>
    <w:rsid w:val="50F41807"/>
    <w:rsid w:val="50F479BB"/>
    <w:rsid w:val="50FE6698"/>
    <w:rsid w:val="510E6AA4"/>
    <w:rsid w:val="511E6CBC"/>
    <w:rsid w:val="51380460"/>
    <w:rsid w:val="51423B86"/>
    <w:rsid w:val="51477D68"/>
    <w:rsid w:val="515C434B"/>
    <w:rsid w:val="51645608"/>
    <w:rsid w:val="51CB6BEB"/>
    <w:rsid w:val="522C72C3"/>
    <w:rsid w:val="523911F2"/>
    <w:rsid w:val="523D2BA6"/>
    <w:rsid w:val="525D44BA"/>
    <w:rsid w:val="52895556"/>
    <w:rsid w:val="52A5743C"/>
    <w:rsid w:val="52B0372E"/>
    <w:rsid w:val="52B94C95"/>
    <w:rsid w:val="52CB2066"/>
    <w:rsid w:val="52FC742D"/>
    <w:rsid w:val="52FE6B4C"/>
    <w:rsid w:val="53005A6E"/>
    <w:rsid w:val="53090F43"/>
    <w:rsid w:val="532760A3"/>
    <w:rsid w:val="53334A48"/>
    <w:rsid w:val="53373E0C"/>
    <w:rsid w:val="534327B1"/>
    <w:rsid w:val="5350423D"/>
    <w:rsid w:val="53536E98"/>
    <w:rsid w:val="53655CAD"/>
    <w:rsid w:val="536C60F0"/>
    <w:rsid w:val="538232D9"/>
    <w:rsid w:val="53963229"/>
    <w:rsid w:val="53982AFD"/>
    <w:rsid w:val="539B1FD4"/>
    <w:rsid w:val="53A8610F"/>
    <w:rsid w:val="53AC65A8"/>
    <w:rsid w:val="53C03E02"/>
    <w:rsid w:val="53C068CB"/>
    <w:rsid w:val="53C102A5"/>
    <w:rsid w:val="53C9110C"/>
    <w:rsid w:val="53F624F4"/>
    <w:rsid w:val="541D1254"/>
    <w:rsid w:val="542E3166"/>
    <w:rsid w:val="54346FD8"/>
    <w:rsid w:val="54436263"/>
    <w:rsid w:val="545E7B2D"/>
    <w:rsid w:val="54603CD5"/>
    <w:rsid w:val="54604B65"/>
    <w:rsid w:val="54776A33"/>
    <w:rsid w:val="54A64729"/>
    <w:rsid w:val="54AF4BCB"/>
    <w:rsid w:val="54B25E40"/>
    <w:rsid w:val="54BB54BF"/>
    <w:rsid w:val="54CC5108"/>
    <w:rsid w:val="54DF48B9"/>
    <w:rsid w:val="54E07570"/>
    <w:rsid w:val="54E2767E"/>
    <w:rsid w:val="55133831"/>
    <w:rsid w:val="55320D2F"/>
    <w:rsid w:val="55344AA7"/>
    <w:rsid w:val="553625CD"/>
    <w:rsid w:val="55644704"/>
    <w:rsid w:val="55921EC7"/>
    <w:rsid w:val="55C71477"/>
    <w:rsid w:val="55EC1538"/>
    <w:rsid w:val="55ED398C"/>
    <w:rsid w:val="55F32CD2"/>
    <w:rsid w:val="561C5140"/>
    <w:rsid w:val="56296AEC"/>
    <w:rsid w:val="563A7E9B"/>
    <w:rsid w:val="5643330B"/>
    <w:rsid w:val="564C451C"/>
    <w:rsid w:val="56547508"/>
    <w:rsid w:val="56755377"/>
    <w:rsid w:val="5680512B"/>
    <w:rsid w:val="56806491"/>
    <w:rsid w:val="568E6439"/>
    <w:rsid w:val="56B04601"/>
    <w:rsid w:val="56BA62F8"/>
    <w:rsid w:val="56CD0D0F"/>
    <w:rsid w:val="56DA2D74"/>
    <w:rsid w:val="56E16569"/>
    <w:rsid w:val="56EE0C86"/>
    <w:rsid w:val="57034439"/>
    <w:rsid w:val="57037F03"/>
    <w:rsid w:val="5722186D"/>
    <w:rsid w:val="57250B4B"/>
    <w:rsid w:val="572B3C88"/>
    <w:rsid w:val="572F5526"/>
    <w:rsid w:val="573A3ECB"/>
    <w:rsid w:val="574B7843"/>
    <w:rsid w:val="575256B8"/>
    <w:rsid w:val="575954CF"/>
    <w:rsid w:val="575B30E0"/>
    <w:rsid w:val="575B631B"/>
    <w:rsid w:val="57613F40"/>
    <w:rsid w:val="57806D9C"/>
    <w:rsid w:val="57A45C57"/>
    <w:rsid w:val="57BB30F9"/>
    <w:rsid w:val="57CB2B92"/>
    <w:rsid w:val="57D04458"/>
    <w:rsid w:val="57E914FA"/>
    <w:rsid w:val="5833777F"/>
    <w:rsid w:val="584420FC"/>
    <w:rsid w:val="58501BF8"/>
    <w:rsid w:val="585A4825"/>
    <w:rsid w:val="587873A1"/>
    <w:rsid w:val="58823D14"/>
    <w:rsid w:val="589E3BA3"/>
    <w:rsid w:val="58B33F35"/>
    <w:rsid w:val="58D565A1"/>
    <w:rsid w:val="58D815A3"/>
    <w:rsid w:val="58DA5210"/>
    <w:rsid w:val="58DE5456"/>
    <w:rsid w:val="58F45CCB"/>
    <w:rsid w:val="59123351"/>
    <w:rsid w:val="59284458"/>
    <w:rsid w:val="59303932"/>
    <w:rsid w:val="59374DE5"/>
    <w:rsid w:val="593E4146"/>
    <w:rsid w:val="59414AF7"/>
    <w:rsid w:val="594736BF"/>
    <w:rsid w:val="59617F90"/>
    <w:rsid w:val="5970438E"/>
    <w:rsid w:val="59851D75"/>
    <w:rsid w:val="59976845"/>
    <w:rsid w:val="599C0E6D"/>
    <w:rsid w:val="59A3044D"/>
    <w:rsid w:val="59A321FB"/>
    <w:rsid w:val="59AE5538"/>
    <w:rsid w:val="59BE7035"/>
    <w:rsid w:val="59C44A54"/>
    <w:rsid w:val="59CC2C8B"/>
    <w:rsid w:val="59D67A23"/>
    <w:rsid w:val="59DE1485"/>
    <w:rsid w:val="59E00D5A"/>
    <w:rsid w:val="59E92304"/>
    <w:rsid w:val="5A0E3B19"/>
    <w:rsid w:val="5A142776"/>
    <w:rsid w:val="5A2F6AE0"/>
    <w:rsid w:val="5A355549"/>
    <w:rsid w:val="5A7A2037"/>
    <w:rsid w:val="5A84202D"/>
    <w:rsid w:val="5AB3646E"/>
    <w:rsid w:val="5ACF4347"/>
    <w:rsid w:val="5AD8258E"/>
    <w:rsid w:val="5AE73CC7"/>
    <w:rsid w:val="5B10566E"/>
    <w:rsid w:val="5B186FDC"/>
    <w:rsid w:val="5B631B3D"/>
    <w:rsid w:val="5B7E0DB7"/>
    <w:rsid w:val="5BAC367A"/>
    <w:rsid w:val="5BB96A47"/>
    <w:rsid w:val="5BC76EDA"/>
    <w:rsid w:val="5BE74621"/>
    <w:rsid w:val="5BED4BFC"/>
    <w:rsid w:val="5C1C6713"/>
    <w:rsid w:val="5C4862C0"/>
    <w:rsid w:val="5C4C0928"/>
    <w:rsid w:val="5C9A1694"/>
    <w:rsid w:val="5CA00C74"/>
    <w:rsid w:val="5CD74A08"/>
    <w:rsid w:val="5CDC3B2C"/>
    <w:rsid w:val="5CE06252"/>
    <w:rsid w:val="5CF2583E"/>
    <w:rsid w:val="5D172415"/>
    <w:rsid w:val="5D292A17"/>
    <w:rsid w:val="5D3072E6"/>
    <w:rsid w:val="5D5E2D2E"/>
    <w:rsid w:val="5D84546F"/>
    <w:rsid w:val="5D850596"/>
    <w:rsid w:val="5D934B31"/>
    <w:rsid w:val="5D9A2A1B"/>
    <w:rsid w:val="5D9C143B"/>
    <w:rsid w:val="5DB02CAE"/>
    <w:rsid w:val="5DCA41FA"/>
    <w:rsid w:val="5DCA5BD8"/>
    <w:rsid w:val="5DCF35BF"/>
    <w:rsid w:val="5DD87FB4"/>
    <w:rsid w:val="5DE16876"/>
    <w:rsid w:val="5DF91EB9"/>
    <w:rsid w:val="5E023994"/>
    <w:rsid w:val="5E103CD7"/>
    <w:rsid w:val="5E115985"/>
    <w:rsid w:val="5E1E4546"/>
    <w:rsid w:val="5E3C7569"/>
    <w:rsid w:val="5E4A0E97"/>
    <w:rsid w:val="5E5341F0"/>
    <w:rsid w:val="5E6676D9"/>
    <w:rsid w:val="5ED846F5"/>
    <w:rsid w:val="5EF144AD"/>
    <w:rsid w:val="5EFC6636"/>
    <w:rsid w:val="5F1D65AC"/>
    <w:rsid w:val="5F346F7D"/>
    <w:rsid w:val="5F3F4774"/>
    <w:rsid w:val="5F4448FB"/>
    <w:rsid w:val="5F49114F"/>
    <w:rsid w:val="5F5226F9"/>
    <w:rsid w:val="5F526256"/>
    <w:rsid w:val="5F597808"/>
    <w:rsid w:val="5F683EFF"/>
    <w:rsid w:val="5F6F2C89"/>
    <w:rsid w:val="5F8335AF"/>
    <w:rsid w:val="5FC353A5"/>
    <w:rsid w:val="5FD57C94"/>
    <w:rsid w:val="5FE5356E"/>
    <w:rsid w:val="5FF11601"/>
    <w:rsid w:val="60057E9D"/>
    <w:rsid w:val="60234096"/>
    <w:rsid w:val="602D0409"/>
    <w:rsid w:val="6042276E"/>
    <w:rsid w:val="605204D7"/>
    <w:rsid w:val="60534329"/>
    <w:rsid w:val="60567FC7"/>
    <w:rsid w:val="60765F74"/>
    <w:rsid w:val="609E371C"/>
    <w:rsid w:val="609F196E"/>
    <w:rsid w:val="60B01B43"/>
    <w:rsid w:val="60B154B2"/>
    <w:rsid w:val="60D0643D"/>
    <w:rsid w:val="60EE0200"/>
    <w:rsid w:val="60F76E4F"/>
    <w:rsid w:val="60FA20AB"/>
    <w:rsid w:val="60FD0443"/>
    <w:rsid w:val="61267B20"/>
    <w:rsid w:val="614147D4"/>
    <w:rsid w:val="614646A3"/>
    <w:rsid w:val="615F3AC8"/>
    <w:rsid w:val="61646714"/>
    <w:rsid w:val="61897F29"/>
    <w:rsid w:val="61972646"/>
    <w:rsid w:val="61AA3C64"/>
    <w:rsid w:val="61BD3787"/>
    <w:rsid w:val="61C13B66"/>
    <w:rsid w:val="61ED6709"/>
    <w:rsid w:val="61FE26C5"/>
    <w:rsid w:val="620677CB"/>
    <w:rsid w:val="620A1F86"/>
    <w:rsid w:val="6220088D"/>
    <w:rsid w:val="622F287E"/>
    <w:rsid w:val="62394D2F"/>
    <w:rsid w:val="624A76B8"/>
    <w:rsid w:val="625050B2"/>
    <w:rsid w:val="62526C3C"/>
    <w:rsid w:val="6267026A"/>
    <w:rsid w:val="62B757BA"/>
    <w:rsid w:val="62BE1353"/>
    <w:rsid w:val="62D43425"/>
    <w:rsid w:val="62DB0C58"/>
    <w:rsid w:val="62E32663"/>
    <w:rsid w:val="62EB3711"/>
    <w:rsid w:val="63066950"/>
    <w:rsid w:val="63181564"/>
    <w:rsid w:val="63223AF7"/>
    <w:rsid w:val="63365E8E"/>
    <w:rsid w:val="633F742C"/>
    <w:rsid w:val="637D3ABD"/>
    <w:rsid w:val="638741D4"/>
    <w:rsid w:val="63922297"/>
    <w:rsid w:val="63A1155A"/>
    <w:rsid w:val="63BA6ABF"/>
    <w:rsid w:val="63C65797"/>
    <w:rsid w:val="63E15DFA"/>
    <w:rsid w:val="641A23AF"/>
    <w:rsid w:val="6450746C"/>
    <w:rsid w:val="64683C68"/>
    <w:rsid w:val="64805613"/>
    <w:rsid w:val="648F3AA8"/>
    <w:rsid w:val="64B60D91"/>
    <w:rsid w:val="64B8256B"/>
    <w:rsid w:val="64C319A4"/>
    <w:rsid w:val="64C74A05"/>
    <w:rsid w:val="64DC0EBE"/>
    <w:rsid w:val="64DE2C54"/>
    <w:rsid w:val="64F528BC"/>
    <w:rsid w:val="64FE31F0"/>
    <w:rsid w:val="65273CE0"/>
    <w:rsid w:val="653502EE"/>
    <w:rsid w:val="656071F2"/>
    <w:rsid w:val="656407E1"/>
    <w:rsid w:val="656F392D"/>
    <w:rsid w:val="657049D2"/>
    <w:rsid w:val="658B0713"/>
    <w:rsid w:val="6592426C"/>
    <w:rsid w:val="65A92947"/>
    <w:rsid w:val="65B15D83"/>
    <w:rsid w:val="65B75347"/>
    <w:rsid w:val="65BC1D7D"/>
    <w:rsid w:val="65CD15AA"/>
    <w:rsid w:val="66061B48"/>
    <w:rsid w:val="66170884"/>
    <w:rsid w:val="661A074A"/>
    <w:rsid w:val="661A55F3"/>
    <w:rsid w:val="661C12AC"/>
    <w:rsid w:val="66212175"/>
    <w:rsid w:val="6630103B"/>
    <w:rsid w:val="66565EB4"/>
    <w:rsid w:val="666A0329"/>
    <w:rsid w:val="66772A46"/>
    <w:rsid w:val="66911A20"/>
    <w:rsid w:val="66964E7C"/>
    <w:rsid w:val="66A75C2A"/>
    <w:rsid w:val="66A852F5"/>
    <w:rsid w:val="66AD6AFC"/>
    <w:rsid w:val="66B745E8"/>
    <w:rsid w:val="66E10D70"/>
    <w:rsid w:val="66E418F7"/>
    <w:rsid w:val="66F95B50"/>
    <w:rsid w:val="670D0FEF"/>
    <w:rsid w:val="67204E8B"/>
    <w:rsid w:val="672636AE"/>
    <w:rsid w:val="676F196F"/>
    <w:rsid w:val="677F6056"/>
    <w:rsid w:val="67812CC0"/>
    <w:rsid w:val="67AC688F"/>
    <w:rsid w:val="67B026C9"/>
    <w:rsid w:val="67F73E3E"/>
    <w:rsid w:val="68284A2F"/>
    <w:rsid w:val="683A1F7D"/>
    <w:rsid w:val="68464643"/>
    <w:rsid w:val="684B5F38"/>
    <w:rsid w:val="68633281"/>
    <w:rsid w:val="687C2595"/>
    <w:rsid w:val="68812F5B"/>
    <w:rsid w:val="68B63CF9"/>
    <w:rsid w:val="68C41BCD"/>
    <w:rsid w:val="68D26659"/>
    <w:rsid w:val="68DE6DAC"/>
    <w:rsid w:val="68FC7B88"/>
    <w:rsid w:val="69074555"/>
    <w:rsid w:val="69131F8C"/>
    <w:rsid w:val="691926AF"/>
    <w:rsid w:val="691A6629"/>
    <w:rsid w:val="69255BE1"/>
    <w:rsid w:val="693869CB"/>
    <w:rsid w:val="69390486"/>
    <w:rsid w:val="693C74B5"/>
    <w:rsid w:val="69513A22"/>
    <w:rsid w:val="698C6808"/>
    <w:rsid w:val="69A52F56"/>
    <w:rsid w:val="69AC4CB9"/>
    <w:rsid w:val="69D564C8"/>
    <w:rsid w:val="69DF4164"/>
    <w:rsid w:val="69EC374B"/>
    <w:rsid w:val="69F208EB"/>
    <w:rsid w:val="69FA725F"/>
    <w:rsid w:val="69FD1912"/>
    <w:rsid w:val="6A0A6350"/>
    <w:rsid w:val="6A244C92"/>
    <w:rsid w:val="6A2F3223"/>
    <w:rsid w:val="6A62242F"/>
    <w:rsid w:val="6A71616D"/>
    <w:rsid w:val="6A726379"/>
    <w:rsid w:val="6AC326FD"/>
    <w:rsid w:val="6ACE4BFE"/>
    <w:rsid w:val="6ADC556D"/>
    <w:rsid w:val="6B012FBB"/>
    <w:rsid w:val="6B19056F"/>
    <w:rsid w:val="6B205964"/>
    <w:rsid w:val="6B3339D4"/>
    <w:rsid w:val="6B361121"/>
    <w:rsid w:val="6B404763"/>
    <w:rsid w:val="6B4355EC"/>
    <w:rsid w:val="6B4B6067"/>
    <w:rsid w:val="6B7439F8"/>
    <w:rsid w:val="6B9B7669"/>
    <w:rsid w:val="6BAB3A94"/>
    <w:rsid w:val="6BB57DE0"/>
    <w:rsid w:val="6BC128DD"/>
    <w:rsid w:val="6BC8789F"/>
    <w:rsid w:val="6BCB0156"/>
    <w:rsid w:val="6BCE6D8F"/>
    <w:rsid w:val="6BEB1F0C"/>
    <w:rsid w:val="6BEE42C3"/>
    <w:rsid w:val="6BF903F6"/>
    <w:rsid w:val="6BFB54A3"/>
    <w:rsid w:val="6BFD1C3F"/>
    <w:rsid w:val="6C125D1B"/>
    <w:rsid w:val="6C1B20C5"/>
    <w:rsid w:val="6C436659"/>
    <w:rsid w:val="6C496EB7"/>
    <w:rsid w:val="6C5F6456"/>
    <w:rsid w:val="6C6121CE"/>
    <w:rsid w:val="6C692E30"/>
    <w:rsid w:val="6C882231"/>
    <w:rsid w:val="6C893C7E"/>
    <w:rsid w:val="6C946129"/>
    <w:rsid w:val="6CB24ED0"/>
    <w:rsid w:val="6CB41892"/>
    <w:rsid w:val="6CBF4CAA"/>
    <w:rsid w:val="6CBF5146"/>
    <w:rsid w:val="6CCE6612"/>
    <w:rsid w:val="6CD75FEC"/>
    <w:rsid w:val="6CF13C81"/>
    <w:rsid w:val="6CF21078"/>
    <w:rsid w:val="6D192383"/>
    <w:rsid w:val="6D216210"/>
    <w:rsid w:val="6D2A0B24"/>
    <w:rsid w:val="6D365409"/>
    <w:rsid w:val="6D3803D2"/>
    <w:rsid w:val="6D665BAA"/>
    <w:rsid w:val="6D6A5899"/>
    <w:rsid w:val="6D806915"/>
    <w:rsid w:val="6DB85E1E"/>
    <w:rsid w:val="6DC54686"/>
    <w:rsid w:val="6DD95D94"/>
    <w:rsid w:val="6DE66D6B"/>
    <w:rsid w:val="6DEC5AC7"/>
    <w:rsid w:val="6DF662F1"/>
    <w:rsid w:val="6E0F4DD7"/>
    <w:rsid w:val="6E1B267E"/>
    <w:rsid w:val="6E281C9B"/>
    <w:rsid w:val="6E6B7334"/>
    <w:rsid w:val="6E8201DA"/>
    <w:rsid w:val="6E985C4F"/>
    <w:rsid w:val="6EA97E5C"/>
    <w:rsid w:val="6EAE5472"/>
    <w:rsid w:val="6EC66318"/>
    <w:rsid w:val="6EDB7343"/>
    <w:rsid w:val="6EFD6EA2"/>
    <w:rsid w:val="6F0222EA"/>
    <w:rsid w:val="6F0A2C38"/>
    <w:rsid w:val="6F162D83"/>
    <w:rsid w:val="6F174DC6"/>
    <w:rsid w:val="6F222A1D"/>
    <w:rsid w:val="6F26325B"/>
    <w:rsid w:val="6F275FEB"/>
    <w:rsid w:val="6F285225"/>
    <w:rsid w:val="6F2D08D1"/>
    <w:rsid w:val="6F2E3EBD"/>
    <w:rsid w:val="6F4B0F13"/>
    <w:rsid w:val="6F6C4A36"/>
    <w:rsid w:val="6F79127D"/>
    <w:rsid w:val="6F822FE2"/>
    <w:rsid w:val="6F8C57B4"/>
    <w:rsid w:val="6FB42615"/>
    <w:rsid w:val="6FBD596D"/>
    <w:rsid w:val="6FBF0958"/>
    <w:rsid w:val="6FBFB242"/>
    <w:rsid w:val="6FC50CC6"/>
    <w:rsid w:val="6FD827A7"/>
    <w:rsid w:val="6FDB5DF3"/>
    <w:rsid w:val="6FE3114C"/>
    <w:rsid w:val="6FE40902"/>
    <w:rsid w:val="6FE47B39"/>
    <w:rsid w:val="6FE86762"/>
    <w:rsid w:val="6FE949B4"/>
    <w:rsid w:val="6FEA4429"/>
    <w:rsid w:val="6FFC5822"/>
    <w:rsid w:val="700C41FF"/>
    <w:rsid w:val="70381498"/>
    <w:rsid w:val="704978C4"/>
    <w:rsid w:val="704B2831"/>
    <w:rsid w:val="70656D0F"/>
    <w:rsid w:val="70691651"/>
    <w:rsid w:val="70910BA8"/>
    <w:rsid w:val="7097629B"/>
    <w:rsid w:val="70C04FE9"/>
    <w:rsid w:val="70D54F38"/>
    <w:rsid w:val="712E667E"/>
    <w:rsid w:val="71563CD0"/>
    <w:rsid w:val="715B6E5E"/>
    <w:rsid w:val="71662034"/>
    <w:rsid w:val="716F6C7E"/>
    <w:rsid w:val="717464FF"/>
    <w:rsid w:val="717E112C"/>
    <w:rsid w:val="71997D14"/>
    <w:rsid w:val="719C7804"/>
    <w:rsid w:val="71B02234"/>
    <w:rsid w:val="71CB7924"/>
    <w:rsid w:val="71CD79BE"/>
    <w:rsid w:val="71D15700"/>
    <w:rsid w:val="71E116BB"/>
    <w:rsid w:val="71EB456F"/>
    <w:rsid w:val="71F64F7F"/>
    <w:rsid w:val="72203F91"/>
    <w:rsid w:val="7229553C"/>
    <w:rsid w:val="7231294E"/>
    <w:rsid w:val="72367C59"/>
    <w:rsid w:val="72477770"/>
    <w:rsid w:val="724B65EB"/>
    <w:rsid w:val="72532832"/>
    <w:rsid w:val="725E35C6"/>
    <w:rsid w:val="727FCC9C"/>
    <w:rsid w:val="72AA51B2"/>
    <w:rsid w:val="72AA7CFF"/>
    <w:rsid w:val="72FA0103"/>
    <w:rsid w:val="72FC407A"/>
    <w:rsid w:val="73025D8D"/>
    <w:rsid w:val="73373C88"/>
    <w:rsid w:val="73463ECB"/>
    <w:rsid w:val="737E5413"/>
    <w:rsid w:val="73816E48"/>
    <w:rsid w:val="73927111"/>
    <w:rsid w:val="73A40BF2"/>
    <w:rsid w:val="73B61051"/>
    <w:rsid w:val="73C51294"/>
    <w:rsid w:val="7400407A"/>
    <w:rsid w:val="741404B4"/>
    <w:rsid w:val="74145D78"/>
    <w:rsid w:val="741C4C2C"/>
    <w:rsid w:val="742C1313"/>
    <w:rsid w:val="74343D24"/>
    <w:rsid w:val="743D707D"/>
    <w:rsid w:val="74687E72"/>
    <w:rsid w:val="74955D2B"/>
    <w:rsid w:val="74A971EB"/>
    <w:rsid w:val="74B308B5"/>
    <w:rsid w:val="74BB2697"/>
    <w:rsid w:val="74BD37C8"/>
    <w:rsid w:val="74D0484D"/>
    <w:rsid w:val="74E42F3A"/>
    <w:rsid w:val="74E97204"/>
    <w:rsid w:val="74FA31C0"/>
    <w:rsid w:val="75041C97"/>
    <w:rsid w:val="75071439"/>
    <w:rsid w:val="753E061F"/>
    <w:rsid w:val="755577BA"/>
    <w:rsid w:val="7573383A"/>
    <w:rsid w:val="757C5983"/>
    <w:rsid w:val="758D193E"/>
    <w:rsid w:val="758D7B90"/>
    <w:rsid w:val="75993C3F"/>
    <w:rsid w:val="759F209F"/>
    <w:rsid w:val="759F5B15"/>
    <w:rsid w:val="75A40B21"/>
    <w:rsid w:val="75B5599A"/>
    <w:rsid w:val="75C61D72"/>
    <w:rsid w:val="75CE3C64"/>
    <w:rsid w:val="75D377E3"/>
    <w:rsid w:val="75D67879"/>
    <w:rsid w:val="75E10FA4"/>
    <w:rsid w:val="75EB48B6"/>
    <w:rsid w:val="75F3486D"/>
    <w:rsid w:val="75FE0A8D"/>
    <w:rsid w:val="760D2A7F"/>
    <w:rsid w:val="761061B9"/>
    <w:rsid w:val="761C0F14"/>
    <w:rsid w:val="76203B99"/>
    <w:rsid w:val="76263B40"/>
    <w:rsid w:val="762C0463"/>
    <w:rsid w:val="763D7E58"/>
    <w:rsid w:val="76790114"/>
    <w:rsid w:val="7682225F"/>
    <w:rsid w:val="768518EC"/>
    <w:rsid w:val="76B63291"/>
    <w:rsid w:val="76C479BE"/>
    <w:rsid w:val="76DA47E8"/>
    <w:rsid w:val="772613BC"/>
    <w:rsid w:val="777F175A"/>
    <w:rsid w:val="778536F0"/>
    <w:rsid w:val="77940F04"/>
    <w:rsid w:val="77AB254F"/>
    <w:rsid w:val="77C47AB5"/>
    <w:rsid w:val="77C67628"/>
    <w:rsid w:val="77D55E6A"/>
    <w:rsid w:val="77EE46EC"/>
    <w:rsid w:val="780802FA"/>
    <w:rsid w:val="78324A1E"/>
    <w:rsid w:val="78482494"/>
    <w:rsid w:val="785C50C5"/>
    <w:rsid w:val="786F493D"/>
    <w:rsid w:val="788259A6"/>
    <w:rsid w:val="789B6A68"/>
    <w:rsid w:val="78A15D20"/>
    <w:rsid w:val="78A21BA4"/>
    <w:rsid w:val="78AF7665"/>
    <w:rsid w:val="78C037AD"/>
    <w:rsid w:val="78CD4747"/>
    <w:rsid w:val="78D15FE5"/>
    <w:rsid w:val="78D36201"/>
    <w:rsid w:val="78DE186D"/>
    <w:rsid w:val="79052133"/>
    <w:rsid w:val="791417BA"/>
    <w:rsid w:val="791A5E73"/>
    <w:rsid w:val="791F31F5"/>
    <w:rsid w:val="79224A93"/>
    <w:rsid w:val="79310BF3"/>
    <w:rsid w:val="79450781"/>
    <w:rsid w:val="79787AC8"/>
    <w:rsid w:val="79A25A9A"/>
    <w:rsid w:val="79B0209F"/>
    <w:rsid w:val="79C63670"/>
    <w:rsid w:val="79C97604"/>
    <w:rsid w:val="79CC49FF"/>
    <w:rsid w:val="79EE1288"/>
    <w:rsid w:val="79FB39E5"/>
    <w:rsid w:val="7A316DFD"/>
    <w:rsid w:val="7A57076C"/>
    <w:rsid w:val="7A603AC5"/>
    <w:rsid w:val="7A6F3D08"/>
    <w:rsid w:val="7A756E44"/>
    <w:rsid w:val="7A8C2B0C"/>
    <w:rsid w:val="7AA03EC1"/>
    <w:rsid w:val="7AAC4F5C"/>
    <w:rsid w:val="7AB87870"/>
    <w:rsid w:val="7ABE6735"/>
    <w:rsid w:val="7AC51215"/>
    <w:rsid w:val="7B166879"/>
    <w:rsid w:val="7B29035B"/>
    <w:rsid w:val="7B2E771F"/>
    <w:rsid w:val="7B3929B0"/>
    <w:rsid w:val="7B5D1DB2"/>
    <w:rsid w:val="7B787ADC"/>
    <w:rsid w:val="7B7B492E"/>
    <w:rsid w:val="7B823962"/>
    <w:rsid w:val="7B94453A"/>
    <w:rsid w:val="7B9C6019"/>
    <w:rsid w:val="7BCB7664"/>
    <w:rsid w:val="7BD209F2"/>
    <w:rsid w:val="7BE14791"/>
    <w:rsid w:val="7BE94962"/>
    <w:rsid w:val="7BEB4002"/>
    <w:rsid w:val="7BEF517F"/>
    <w:rsid w:val="7BF8029A"/>
    <w:rsid w:val="7BFC781D"/>
    <w:rsid w:val="7C2D2452"/>
    <w:rsid w:val="7C2E374F"/>
    <w:rsid w:val="7C9F655F"/>
    <w:rsid w:val="7CDD764F"/>
    <w:rsid w:val="7D052805"/>
    <w:rsid w:val="7D0D15B6"/>
    <w:rsid w:val="7D153C39"/>
    <w:rsid w:val="7D27514D"/>
    <w:rsid w:val="7D4742D3"/>
    <w:rsid w:val="7D493119"/>
    <w:rsid w:val="7D6438CC"/>
    <w:rsid w:val="7D6F5224"/>
    <w:rsid w:val="7D7B4FAF"/>
    <w:rsid w:val="7D8550A2"/>
    <w:rsid w:val="7DA146F3"/>
    <w:rsid w:val="7DAF11D6"/>
    <w:rsid w:val="7DAF4025"/>
    <w:rsid w:val="7DC42592"/>
    <w:rsid w:val="7DD00F61"/>
    <w:rsid w:val="7DE0456D"/>
    <w:rsid w:val="7DEE638C"/>
    <w:rsid w:val="7DF6029C"/>
    <w:rsid w:val="7DF67B25"/>
    <w:rsid w:val="7E0F33E1"/>
    <w:rsid w:val="7E2E7A36"/>
    <w:rsid w:val="7E307C52"/>
    <w:rsid w:val="7E350DC4"/>
    <w:rsid w:val="7E372D57"/>
    <w:rsid w:val="7E5C3668"/>
    <w:rsid w:val="7E6873EC"/>
    <w:rsid w:val="7E757872"/>
    <w:rsid w:val="7E8045CE"/>
    <w:rsid w:val="7E885398"/>
    <w:rsid w:val="7EA05CC3"/>
    <w:rsid w:val="7EAD4DFF"/>
    <w:rsid w:val="7EAE2D9C"/>
    <w:rsid w:val="7EB268B9"/>
    <w:rsid w:val="7EBF1AAA"/>
    <w:rsid w:val="7EC64112"/>
    <w:rsid w:val="7ED82952"/>
    <w:rsid w:val="7EEA1BAF"/>
    <w:rsid w:val="7EF30E5E"/>
    <w:rsid w:val="7EF766B2"/>
    <w:rsid w:val="7F075DA6"/>
    <w:rsid w:val="7F0F1615"/>
    <w:rsid w:val="7F1A400C"/>
    <w:rsid w:val="7F313C82"/>
    <w:rsid w:val="7F4A7556"/>
    <w:rsid w:val="7F5259A6"/>
    <w:rsid w:val="7F776909"/>
    <w:rsid w:val="7F853AF9"/>
    <w:rsid w:val="7F9E2999"/>
    <w:rsid w:val="7FA30027"/>
    <w:rsid w:val="7FB34225"/>
    <w:rsid w:val="7FB34697"/>
    <w:rsid w:val="7FB36445"/>
    <w:rsid w:val="7FFDC30B"/>
    <w:rsid w:val="DE5F16A4"/>
    <w:rsid w:val="E76F137E"/>
    <w:rsid w:val="FDDBBCE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420" w:firstLineChars="200"/>
      <w:jc w:val="both"/>
    </w:pPr>
    <w:rPr>
      <w:rFonts w:ascii="Times New Roman" w:hAnsi="Times New Roman" w:eastAsia="宋体" w:cs="Times New Roman"/>
      <w:kern w:val="2"/>
      <w:sz w:val="21"/>
      <w:lang w:val="en-US" w:eastAsia="zh-CN" w:bidi="ar-SA"/>
    </w:rPr>
  </w:style>
  <w:style w:type="paragraph" w:styleId="3">
    <w:name w:val="heading 1"/>
    <w:basedOn w:val="1"/>
    <w:next w:val="1"/>
    <w:link w:val="44"/>
    <w:qFormat/>
    <w:uiPriority w:val="0"/>
    <w:pPr>
      <w:keepNext/>
      <w:keepLines/>
      <w:adjustRightInd w:val="0"/>
      <w:spacing w:before="120"/>
      <w:textAlignment w:val="baseline"/>
      <w:outlineLvl w:val="0"/>
    </w:pPr>
    <w:rPr>
      <w:rFonts w:eastAsia="黑体"/>
      <w:b/>
      <w:kern w:val="44"/>
      <w:sz w:val="28"/>
    </w:rPr>
  </w:style>
  <w:style w:type="paragraph" w:styleId="4">
    <w:name w:val="heading 2"/>
    <w:basedOn w:val="1"/>
    <w:next w:val="1"/>
    <w:link w:val="45"/>
    <w:qFormat/>
    <w:uiPriority w:val="0"/>
    <w:pPr>
      <w:keepNext/>
      <w:adjustRightInd w:val="0"/>
      <w:spacing w:before="100" w:beforeLines="100" w:line="480" w:lineRule="auto"/>
      <w:textAlignment w:val="baseline"/>
      <w:outlineLvl w:val="1"/>
    </w:pPr>
    <w:rPr>
      <w:b/>
      <w:kern w:val="0"/>
      <w:sz w:val="36"/>
      <w:lang w:val="zh-CN"/>
    </w:rPr>
  </w:style>
  <w:style w:type="paragraph" w:styleId="5">
    <w:name w:val="heading 3"/>
    <w:basedOn w:val="1"/>
    <w:next w:val="1"/>
    <w:qFormat/>
    <w:uiPriority w:val="0"/>
    <w:pPr>
      <w:tabs>
        <w:tab w:val="left" w:pos="900"/>
      </w:tabs>
      <w:adjustRightInd w:val="0"/>
      <w:spacing w:before="260" w:after="260"/>
      <w:ind w:firstLine="0" w:firstLineChars="0"/>
      <w:textAlignment w:val="baseline"/>
      <w:outlineLvl w:val="2"/>
    </w:pPr>
    <w:rPr>
      <w:b/>
      <w:kern w:val="0"/>
    </w:rPr>
  </w:style>
  <w:style w:type="paragraph" w:styleId="6">
    <w:name w:val="heading 4"/>
    <w:basedOn w:val="1"/>
    <w:next w:val="1"/>
    <w:qFormat/>
    <w:uiPriority w:val="0"/>
    <w:pPr>
      <w:adjustRightInd w:val="0"/>
      <w:spacing w:before="120"/>
      <w:textAlignment w:val="baseline"/>
      <w:outlineLvl w:val="3"/>
    </w:pPr>
    <w:rPr>
      <w:rFonts w:ascii="Arial" w:eastAsia="黑体"/>
      <w:kern w:val="0"/>
      <w:sz w:val="28"/>
    </w:rPr>
  </w:style>
  <w:style w:type="paragraph" w:styleId="7">
    <w:name w:val="heading 5"/>
    <w:basedOn w:val="1"/>
    <w:next w:val="1"/>
    <w:qFormat/>
    <w:uiPriority w:val="0"/>
    <w:pPr>
      <w:keepNext/>
      <w:keepLines/>
      <w:spacing w:before="280" w:after="290" w:line="372" w:lineRule="auto"/>
      <w:outlineLvl w:val="4"/>
    </w:pPr>
    <w:rPr>
      <w:b/>
      <w:sz w:val="28"/>
    </w:rPr>
  </w:style>
  <w:style w:type="paragraph" w:styleId="8">
    <w:name w:val="heading 6"/>
    <w:basedOn w:val="1"/>
    <w:next w:val="1"/>
    <w:qFormat/>
    <w:uiPriority w:val="0"/>
    <w:pPr>
      <w:keepNext/>
      <w:keepLines/>
      <w:spacing w:before="240" w:after="64" w:line="317" w:lineRule="auto"/>
      <w:outlineLvl w:val="5"/>
    </w:pPr>
    <w:rPr>
      <w:rFonts w:ascii="Arial" w:hAnsi="Arial" w:eastAsia="黑体"/>
      <w:b/>
      <w:sz w:val="24"/>
    </w:rPr>
  </w:style>
  <w:style w:type="paragraph" w:styleId="9">
    <w:name w:val="heading 7"/>
    <w:basedOn w:val="1"/>
    <w:next w:val="1"/>
    <w:qFormat/>
    <w:uiPriority w:val="0"/>
    <w:pPr>
      <w:keepNext/>
      <w:keepLines/>
      <w:adjustRightInd w:val="0"/>
      <w:spacing w:before="240" w:after="64" w:line="320" w:lineRule="atLeast"/>
      <w:textAlignment w:val="baseline"/>
      <w:outlineLvl w:val="6"/>
    </w:pPr>
    <w:rPr>
      <w:b/>
      <w:kern w:val="0"/>
      <w:sz w:val="24"/>
    </w:rPr>
  </w:style>
  <w:style w:type="paragraph" w:styleId="10">
    <w:name w:val="heading 8"/>
    <w:basedOn w:val="1"/>
    <w:next w:val="1"/>
    <w:qFormat/>
    <w:uiPriority w:val="0"/>
    <w:pPr>
      <w:keepNext/>
      <w:keepLines/>
      <w:adjustRightInd w:val="0"/>
      <w:spacing w:before="240" w:after="64" w:line="320" w:lineRule="atLeast"/>
      <w:textAlignment w:val="baseline"/>
      <w:outlineLvl w:val="7"/>
    </w:pPr>
    <w:rPr>
      <w:rFonts w:ascii="Arial" w:hAnsi="Arial" w:eastAsia="黑体"/>
      <w:kern w:val="0"/>
      <w:sz w:val="24"/>
    </w:rPr>
  </w:style>
  <w:style w:type="paragraph" w:styleId="11">
    <w:name w:val="heading 9"/>
    <w:basedOn w:val="1"/>
    <w:next w:val="1"/>
    <w:qFormat/>
    <w:uiPriority w:val="0"/>
    <w:pPr>
      <w:keepNext/>
      <w:keepLines/>
      <w:adjustRightInd w:val="0"/>
      <w:spacing w:before="240" w:after="64" w:line="320" w:lineRule="atLeast"/>
      <w:textAlignment w:val="baseline"/>
      <w:outlineLvl w:val="8"/>
    </w:pPr>
    <w:rPr>
      <w:rFonts w:ascii="Arial" w:hAnsi="Arial" w:eastAsia="黑体"/>
      <w:kern w:val="0"/>
    </w:rPr>
  </w:style>
  <w:style w:type="character" w:default="1" w:styleId="36">
    <w:name w:val="Default Paragraph Font"/>
    <w:unhideWhenUsed/>
    <w:qFormat/>
    <w:uiPriority w:val="1"/>
  </w:style>
  <w:style w:type="table" w:default="1" w:styleId="34">
    <w:name w:val="Normal Table"/>
    <w:unhideWhenUsed/>
    <w:qFormat/>
    <w:uiPriority w:val="99"/>
    <w:tblPr>
      <w:tblCellMar>
        <w:top w:w="0" w:type="dxa"/>
        <w:left w:w="108" w:type="dxa"/>
        <w:bottom w:w="0" w:type="dxa"/>
        <w:right w:w="108" w:type="dxa"/>
      </w:tblCellMar>
    </w:tblPr>
  </w:style>
  <w:style w:type="paragraph" w:styleId="2">
    <w:name w:val="Body Text"/>
    <w:basedOn w:val="1"/>
    <w:link w:val="47"/>
    <w:qFormat/>
    <w:uiPriority w:val="0"/>
    <w:rPr>
      <w:rFonts w:ascii="金山简黑体" w:hAnsi="Courier New" w:eastAsia="金山简黑体"/>
      <w:b/>
      <w:spacing w:val="-8"/>
      <w:sz w:val="44"/>
    </w:rPr>
  </w:style>
  <w:style w:type="paragraph" w:styleId="12">
    <w:name w:val="toc 7"/>
    <w:basedOn w:val="1"/>
    <w:next w:val="1"/>
    <w:qFormat/>
    <w:uiPriority w:val="0"/>
    <w:pPr>
      <w:ind w:left="1260"/>
      <w:jc w:val="left"/>
    </w:pPr>
    <w:rPr>
      <w:sz w:val="18"/>
    </w:rPr>
  </w:style>
  <w:style w:type="paragraph" w:styleId="13">
    <w:name w:val="Normal Indent"/>
    <w:basedOn w:val="1"/>
    <w:next w:val="1"/>
    <w:qFormat/>
    <w:uiPriority w:val="0"/>
    <w:pPr>
      <w:ind w:firstLine="420"/>
    </w:pPr>
    <w:rPr>
      <w:rFonts w:ascii="Times New Roman" w:hAnsi="Times New Roman"/>
      <w:szCs w:val="20"/>
    </w:rPr>
  </w:style>
  <w:style w:type="paragraph" w:styleId="14">
    <w:name w:val="caption"/>
    <w:basedOn w:val="1"/>
    <w:next w:val="1"/>
    <w:qFormat/>
    <w:uiPriority w:val="0"/>
    <w:pPr>
      <w:spacing w:line="480" w:lineRule="auto"/>
    </w:pPr>
    <w:rPr>
      <w:rFonts w:ascii="华文中宋" w:hAnsi="华文中宋" w:eastAsia="华文中宋"/>
      <w:sz w:val="36"/>
    </w:rPr>
  </w:style>
  <w:style w:type="paragraph" w:styleId="15">
    <w:name w:val="annotation text"/>
    <w:basedOn w:val="1"/>
    <w:link w:val="46"/>
    <w:qFormat/>
    <w:uiPriority w:val="0"/>
    <w:pPr>
      <w:adjustRightInd w:val="0"/>
      <w:spacing w:line="360" w:lineRule="atLeast"/>
      <w:jc w:val="left"/>
      <w:textAlignment w:val="baseline"/>
    </w:pPr>
    <w:rPr>
      <w:kern w:val="0"/>
      <w:sz w:val="24"/>
      <w:lang w:val="zh-CN"/>
    </w:rPr>
  </w:style>
  <w:style w:type="paragraph" w:styleId="16">
    <w:name w:val="toc 5"/>
    <w:basedOn w:val="1"/>
    <w:next w:val="1"/>
    <w:qFormat/>
    <w:uiPriority w:val="0"/>
    <w:pPr>
      <w:ind w:left="840"/>
      <w:jc w:val="left"/>
    </w:pPr>
    <w:rPr>
      <w:sz w:val="18"/>
    </w:rPr>
  </w:style>
  <w:style w:type="paragraph" w:styleId="17">
    <w:name w:val="toc 3"/>
    <w:basedOn w:val="1"/>
    <w:next w:val="1"/>
    <w:qFormat/>
    <w:uiPriority w:val="0"/>
    <w:pPr>
      <w:ind w:left="420"/>
      <w:jc w:val="left"/>
    </w:pPr>
    <w:rPr>
      <w:i/>
      <w:sz w:val="20"/>
    </w:rPr>
  </w:style>
  <w:style w:type="paragraph" w:styleId="18">
    <w:name w:val="Plain Text"/>
    <w:basedOn w:val="1"/>
    <w:link w:val="48"/>
    <w:qFormat/>
    <w:uiPriority w:val="0"/>
    <w:rPr>
      <w:rFonts w:ascii="宋体" w:hAnsi="Courier New"/>
    </w:rPr>
  </w:style>
  <w:style w:type="paragraph" w:styleId="19">
    <w:name w:val="toc 8"/>
    <w:basedOn w:val="1"/>
    <w:next w:val="1"/>
    <w:qFormat/>
    <w:uiPriority w:val="0"/>
    <w:pPr>
      <w:ind w:left="1470"/>
      <w:jc w:val="left"/>
    </w:pPr>
    <w:rPr>
      <w:sz w:val="18"/>
    </w:rPr>
  </w:style>
  <w:style w:type="paragraph" w:styleId="20">
    <w:name w:val="Date"/>
    <w:basedOn w:val="1"/>
    <w:next w:val="1"/>
    <w:link w:val="49"/>
    <w:qFormat/>
    <w:uiPriority w:val="0"/>
    <w:rPr>
      <w:rFonts w:ascii="Arial" w:hAnsi="Arial" w:eastAsia="仿宋_GB2312"/>
      <w:sz w:val="32"/>
    </w:rPr>
  </w:style>
  <w:style w:type="paragraph" w:styleId="21">
    <w:name w:val="endnote text"/>
    <w:basedOn w:val="1"/>
    <w:qFormat/>
    <w:uiPriority w:val="0"/>
    <w:pPr>
      <w:adjustRightInd w:val="0"/>
      <w:spacing w:line="360" w:lineRule="atLeast"/>
      <w:jc w:val="left"/>
      <w:textAlignment w:val="baseline"/>
    </w:pPr>
    <w:rPr>
      <w:rFonts w:ascii="宋体"/>
      <w:kern w:val="28"/>
      <w:sz w:val="28"/>
    </w:rPr>
  </w:style>
  <w:style w:type="paragraph" w:styleId="22">
    <w:name w:val="Balloon Text"/>
    <w:basedOn w:val="1"/>
    <w:qFormat/>
    <w:uiPriority w:val="0"/>
    <w:rPr>
      <w:sz w:val="18"/>
    </w:rPr>
  </w:style>
  <w:style w:type="paragraph" w:styleId="23">
    <w:name w:val="footer"/>
    <w:basedOn w:val="1"/>
    <w:link w:val="50"/>
    <w:qFormat/>
    <w:uiPriority w:val="0"/>
    <w:pPr>
      <w:tabs>
        <w:tab w:val="center" w:pos="4153"/>
        <w:tab w:val="right" w:pos="8306"/>
      </w:tabs>
      <w:snapToGrid w:val="0"/>
      <w:jc w:val="left"/>
    </w:pPr>
    <w:rPr>
      <w:rFonts w:ascii="宋体" w:hAnsi="Courier New"/>
      <w:sz w:val="18"/>
    </w:rPr>
  </w:style>
  <w:style w:type="paragraph" w:styleId="24">
    <w:name w:val="header"/>
    <w:basedOn w:val="1"/>
    <w:link w:val="51"/>
    <w:qFormat/>
    <w:uiPriority w:val="0"/>
    <w:pPr>
      <w:pBdr>
        <w:bottom w:val="single" w:color="auto" w:sz="6" w:space="1"/>
      </w:pBdr>
      <w:tabs>
        <w:tab w:val="center" w:pos="4153"/>
        <w:tab w:val="right" w:pos="8306"/>
      </w:tabs>
      <w:snapToGrid w:val="0"/>
      <w:jc w:val="center"/>
    </w:pPr>
    <w:rPr>
      <w:sz w:val="18"/>
    </w:rPr>
  </w:style>
  <w:style w:type="paragraph" w:styleId="25">
    <w:name w:val="toc 1"/>
    <w:basedOn w:val="1"/>
    <w:next w:val="1"/>
    <w:qFormat/>
    <w:uiPriority w:val="39"/>
    <w:pPr>
      <w:tabs>
        <w:tab w:val="right" w:leader="dot" w:pos="9628"/>
      </w:tabs>
      <w:spacing w:before="120" w:after="120"/>
      <w:ind w:firstLine="178" w:firstLineChars="74"/>
      <w:jc w:val="left"/>
    </w:pPr>
    <w:rPr>
      <w:b/>
      <w:caps/>
      <w:sz w:val="20"/>
    </w:rPr>
  </w:style>
  <w:style w:type="paragraph" w:styleId="26">
    <w:name w:val="toc 4"/>
    <w:basedOn w:val="1"/>
    <w:next w:val="1"/>
    <w:qFormat/>
    <w:uiPriority w:val="0"/>
    <w:pPr>
      <w:ind w:left="630"/>
      <w:jc w:val="left"/>
    </w:pPr>
    <w:rPr>
      <w:sz w:val="18"/>
    </w:rPr>
  </w:style>
  <w:style w:type="paragraph" w:styleId="27">
    <w:name w:val="List"/>
    <w:basedOn w:val="1"/>
    <w:qFormat/>
    <w:uiPriority w:val="0"/>
    <w:pPr>
      <w:ind w:left="420" w:hanging="420"/>
    </w:pPr>
    <w:rPr>
      <w:rFonts w:ascii="Arial" w:hAnsi="Arial" w:eastAsia="楷体_GB2312"/>
      <w:sz w:val="28"/>
    </w:rPr>
  </w:style>
  <w:style w:type="paragraph" w:styleId="28">
    <w:name w:val="footnote text"/>
    <w:basedOn w:val="1"/>
    <w:qFormat/>
    <w:uiPriority w:val="0"/>
    <w:pPr>
      <w:adjustRightInd w:val="0"/>
      <w:spacing w:line="312" w:lineRule="atLeast"/>
      <w:jc w:val="left"/>
      <w:textAlignment w:val="baseline"/>
    </w:pPr>
    <w:rPr>
      <w:kern w:val="0"/>
      <w:sz w:val="18"/>
    </w:rPr>
  </w:style>
  <w:style w:type="paragraph" w:styleId="29">
    <w:name w:val="toc 6"/>
    <w:basedOn w:val="1"/>
    <w:next w:val="1"/>
    <w:qFormat/>
    <w:uiPriority w:val="0"/>
    <w:pPr>
      <w:ind w:left="1050"/>
      <w:jc w:val="left"/>
    </w:pPr>
    <w:rPr>
      <w:sz w:val="18"/>
    </w:rPr>
  </w:style>
  <w:style w:type="paragraph" w:styleId="30">
    <w:name w:val="toc 2"/>
    <w:basedOn w:val="1"/>
    <w:next w:val="1"/>
    <w:qFormat/>
    <w:uiPriority w:val="39"/>
    <w:pPr>
      <w:ind w:left="210"/>
      <w:jc w:val="left"/>
    </w:pPr>
    <w:rPr>
      <w:smallCaps/>
      <w:sz w:val="20"/>
    </w:rPr>
  </w:style>
  <w:style w:type="paragraph" w:styleId="31">
    <w:name w:val="toc 9"/>
    <w:basedOn w:val="1"/>
    <w:next w:val="1"/>
    <w:qFormat/>
    <w:uiPriority w:val="0"/>
    <w:pPr>
      <w:ind w:left="1680"/>
      <w:jc w:val="left"/>
    </w:pPr>
    <w:rPr>
      <w:sz w:val="18"/>
    </w:rPr>
  </w:style>
  <w:style w:type="paragraph" w:styleId="32">
    <w:name w:val="Normal (Web)"/>
    <w:basedOn w:val="1"/>
    <w:qFormat/>
    <w:uiPriority w:val="99"/>
    <w:pPr>
      <w:widowControl/>
      <w:spacing w:before="100" w:beforeAutospacing="1" w:after="100" w:afterAutospacing="1"/>
      <w:jc w:val="left"/>
    </w:pPr>
    <w:rPr>
      <w:rFonts w:ascii="宋体" w:hAnsi="宋体"/>
      <w:color w:val="000000"/>
      <w:kern w:val="0"/>
      <w:sz w:val="18"/>
    </w:rPr>
  </w:style>
  <w:style w:type="paragraph" w:styleId="33">
    <w:name w:val="annotation subject"/>
    <w:basedOn w:val="15"/>
    <w:next w:val="15"/>
    <w:link w:val="52"/>
    <w:unhideWhenUsed/>
    <w:qFormat/>
    <w:uiPriority w:val="99"/>
    <w:pPr>
      <w:adjustRightInd/>
      <w:spacing w:line="360" w:lineRule="auto"/>
      <w:textAlignment w:val="auto"/>
    </w:pPr>
    <w:rPr>
      <w:b/>
      <w:bCs/>
      <w:kern w:val="2"/>
      <w:sz w:val="21"/>
    </w:rPr>
  </w:style>
  <w:style w:type="table" w:styleId="35">
    <w:name w:val="Table Grid"/>
    <w:basedOn w:val="34"/>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7">
    <w:name w:val="Strong"/>
    <w:qFormat/>
    <w:uiPriority w:val="22"/>
    <w:rPr>
      <w:b/>
    </w:rPr>
  </w:style>
  <w:style w:type="character" w:styleId="38">
    <w:name w:val="page number"/>
    <w:qFormat/>
    <w:uiPriority w:val="0"/>
  </w:style>
  <w:style w:type="character" w:styleId="39">
    <w:name w:val="Emphasis"/>
    <w:qFormat/>
    <w:uiPriority w:val="20"/>
    <w:rPr>
      <w:i/>
    </w:rPr>
  </w:style>
  <w:style w:type="character" w:styleId="40">
    <w:name w:val="Hyperlink"/>
    <w:qFormat/>
    <w:uiPriority w:val="99"/>
    <w:rPr>
      <w:color w:val="0000FF"/>
      <w:u w:val="single"/>
    </w:rPr>
  </w:style>
  <w:style w:type="character" w:styleId="41">
    <w:name w:val="annotation reference"/>
    <w:unhideWhenUsed/>
    <w:qFormat/>
    <w:uiPriority w:val="99"/>
    <w:rPr>
      <w:sz w:val="21"/>
      <w:szCs w:val="21"/>
    </w:rPr>
  </w:style>
  <w:style w:type="character" w:styleId="42">
    <w:name w:val="footnote reference"/>
    <w:qFormat/>
    <w:uiPriority w:val="0"/>
    <w:rPr>
      <w:vertAlign w:val="superscript"/>
    </w:rPr>
  </w:style>
  <w:style w:type="paragraph" w:customStyle="1" w:styleId="43">
    <w:name w:val="_Style 1"/>
    <w:basedOn w:val="1"/>
    <w:qFormat/>
    <w:uiPriority w:val="0"/>
    <w:pPr>
      <w:ind w:firstLine="420" w:firstLineChars="200"/>
    </w:pPr>
    <w:rPr>
      <w:rFonts w:ascii="Calibri" w:hAnsi="Calibri"/>
      <w:szCs w:val="22"/>
    </w:rPr>
  </w:style>
  <w:style w:type="character" w:customStyle="1" w:styleId="44">
    <w:name w:val="标题 1 字符"/>
    <w:link w:val="3"/>
    <w:qFormat/>
    <w:uiPriority w:val="0"/>
    <w:rPr>
      <w:rFonts w:eastAsia="黑体"/>
      <w:b/>
      <w:kern w:val="44"/>
      <w:sz w:val="28"/>
      <w:lang w:val="en-US" w:eastAsia="zh-CN"/>
    </w:rPr>
  </w:style>
  <w:style w:type="character" w:customStyle="1" w:styleId="45">
    <w:name w:val="标题 2 字符"/>
    <w:link w:val="4"/>
    <w:qFormat/>
    <w:uiPriority w:val="0"/>
    <w:rPr>
      <w:rFonts w:ascii="Times New Roman" w:hAnsi="Times New Roman" w:eastAsia="宋体"/>
      <w:b/>
      <w:sz w:val="36"/>
    </w:rPr>
  </w:style>
  <w:style w:type="character" w:customStyle="1" w:styleId="46">
    <w:name w:val="批注文字 字符"/>
    <w:link w:val="15"/>
    <w:qFormat/>
    <w:uiPriority w:val="0"/>
    <w:rPr>
      <w:rFonts w:ascii="Times New Roman" w:hAnsi="Times New Roman"/>
      <w:sz w:val="24"/>
    </w:rPr>
  </w:style>
  <w:style w:type="character" w:customStyle="1" w:styleId="47">
    <w:name w:val="正文文本 字符"/>
    <w:link w:val="2"/>
    <w:qFormat/>
    <w:uiPriority w:val="0"/>
    <w:rPr>
      <w:rFonts w:ascii="金山简黑体" w:hAnsi="Courier New" w:eastAsia="金山简黑体"/>
      <w:b/>
      <w:spacing w:val="-8"/>
      <w:kern w:val="2"/>
      <w:sz w:val="44"/>
      <w:lang w:val="en-US" w:eastAsia="zh-CN"/>
    </w:rPr>
  </w:style>
  <w:style w:type="character" w:customStyle="1" w:styleId="48">
    <w:name w:val="纯文本 字符"/>
    <w:link w:val="18"/>
    <w:qFormat/>
    <w:uiPriority w:val="0"/>
    <w:rPr>
      <w:rFonts w:ascii="宋体" w:hAnsi="Courier New" w:eastAsia="宋体"/>
      <w:kern w:val="2"/>
      <w:sz w:val="21"/>
      <w:lang w:val="en-US" w:eastAsia="zh-CN"/>
    </w:rPr>
  </w:style>
  <w:style w:type="character" w:customStyle="1" w:styleId="49">
    <w:name w:val="日期 字符"/>
    <w:link w:val="20"/>
    <w:qFormat/>
    <w:uiPriority w:val="0"/>
    <w:rPr>
      <w:rFonts w:ascii="Arial" w:hAnsi="Arial" w:eastAsia="仿宋_GB2312"/>
      <w:kern w:val="2"/>
      <w:sz w:val="32"/>
      <w:lang w:val="en-US" w:eastAsia="zh-CN"/>
    </w:rPr>
  </w:style>
  <w:style w:type="character" w:customStyle="1" w:styleId="50">
    <w:name w:val="页脚 字符"/>
    <w:link w:val="23"/>
    <w:qFormat/>
    <w:uiPriority w:val="0"/>
    <w:rPr>
      <w:rFonts w:ascii="宋体" w:hAnsi="Courier New" w:eastAsia="宋体"/>
      <w:kern w:val="2"/>
      <w:sz w:val="18"/>
      <w:lang w:val="en-US" w:eastAsia="zh-CN"/>
    </w:rPr>
  </w:style>
  <w:style w:type="character" w:customStyle="1" w:styleId="51">
    <w:name w:val="页眉 字符"/>
    <w:link w:val="24"/>
    <w:qFormat/>
    <w:uiPriority w:val="0"/>
    <w:rPr>
      <w:rFonts w:eastAsia="宋体"/>
      <w:kern w:val="2"/>
      <w:sz w:val="18"/>
      <w:lang w:val="en-US" w:eastAsia="zh-CN"/>
    </w:rPr>
  </w:style>
  <w:style w:type="character" w:customStyle="1" w:styleId="52">
    <w:name w:val="批注主题 字符"/>
    <w:link w:val="33"/>
    <w:semiHidden/>
    <w:qFormat/>
    <w:uiPriority w:val="99"/>
    <w:rPr>
      <w:rFonts w:ascii="Times New Roman" w:hAnsi="Times New Roman"/>
      <w:b/>
      <w:bCs/>
      <w:kern w:val="2"/>
      <w:sz w:val="21"/>
    </w:rPr>
  </w:style>
  <w:style w:type="character" w:customStyle="1" w:styleId="53">
    <w:name w:val="已访问的超链接1"/>
    <w:qFormat/>
    <w:uiPriority w:val="0"/>
    <w:rPr>
      <w:color w:val="800080"/>
      <w:u w:val="single"/>
    </w:rPr>
  </w:style>
  <w:style w:type="character" w:customStyle="1" w:styleId="54">
    <w:name w:val="页码1"/>
    <w:qFormat/>
    <w:uiPriority w:val="0"/>
  </w:style>
  <w:style w:type="character" w:customStyle="1" w:styleId="55">
    <w:name w:val="lh131"/>
    <w:qFormat/>
    <w:uiPriority w:val="0"/>
  </w:style>
  <w:style w:type="character" w:customStyle="1" w:styleId="56">
    <w:name w:val="纯文本 Char1"/>
    <w:qFormat/>
    <w:uiPriority w:val="0"/>
    <w:rPr>
      <w:rFonts w:ascii="宋体" w:hAnsi="Courier New" w:eastAsia="宋体"/>
      <w:kern w:val="2"/>
      <w:sz w:val="21"/>
      <w:lang w:val="en-US" w:eastAsia="zh-CN"/>
    </w:rPr>
  </w:style>
  <w:style w:type="paragraph" w:customStyle="1" w:styleId="57">
    <w:name w:val="纯文本1"/>
    <w:basedOn w:val="1"/>
    <w:link w:val="58"/>
    <w:qFormat/>
    <w:uiPriority w:val="0"/>
    <w:rPr>
      <w:rFonts w:ascii="宋体" w:hAnsi="Courier New"/>
    </w:rPr>
  </w:style>
  <w:style w:type="character" w:customStyle="1" w:styleId="58">
    <w:name w:val="Plain Text Char Char"/>
    <w:link w:val="57"/>
    <w:qFormat/>
    <w:uiPriority w:val="0"/>
    <w:rPr>
      <w:rFonts w:ascii="宋体" w:hAnsi="Courier New"/>
      <w:kern w:val="2"/>
      <w:sz w:val="21"/>
      <w:szCs w:val="21"/>
    </w:rPr>
  </w:style>
  <w:style w:type="character" w:customStyle="1" w:styleId="59">
    <w:name w:val="grame"/>
    <w:qFormat/>
    <w:uiPriority w:val="0"/>
  </w:style>
  <w:style w:type="character" w:customStyle="1" w:styleId="60">
    <w:name w:val="Char Char3"/>
    <w:qFormat/>
    <w:uiPriority w:val="0"/>
    <w:rPr>
      <w:rFonts w:eastAsia="宋体"/>
      <w:sz w:val="18"/>
      <w:lang w:val="en-US" w:eastAsia="zh-CN"/>
    </w:rPr>
  </w:style>
  <w:style w:type="character" w:customStyle="1" w:styleId="61">
    <w:name w:val="正文首行缩进 2 Char"/>
    <w:link w:val="62"/>
    <w:qFormat/>
    <w:uiPriority w:val="0"/>
    <w:rPr>
      <w:rFonts w:ascii="Arial" w:hAnsi="Arial" w:eastAsia="宋体"/>
      <w:kern w:val="2"/>
      <w:sz w:val="21"/>
      <w:lang w:val="en-US" w:eastAsia="zh-CN"/>
    </w:rPr>
  </w:style>
  <w:style w:type="paragraph" w:customStyle="1" w:styleId="62">
    <w:name w:val="正文首行缩进 21"/>
    <w:basedOn w:val="63"/>
    <w:link w:val="61"/>
    <w:qFormat/>
    <w:uiPriority w:val="0"/>
    <w:pPr>
      <w:spacing w:after="120" w:line="240" w:lineRule="auto"/>
      <w:ind w:left="420" w:leftChars="200" w:firstLine="420"/>
    </w:pPr>
    <w:rPr>
      <w:rFonts w:ascii="Arial" w:hAnsi="Arial"/>
      <w:spacing w:val="0"/>
      <w:sz w:val="21"/>
    </w:rPr>
  </w:style>
  <w:style w:type="paragraph" w:customStyle="1" w:styleId="63">
    <w:name w:val="正文文本缩进1"/>
    <w:basedOn w:val="1"/>
    <w:qFormat/>
    <w:uiPriority w:val="0"/>
    <w:pPr>
      <w:spacing w:line="200" w:lineRule="exact"/>
      <w:ind w:firstLine="301"/>
    </w:pPr>
    <w:rPr>
      <w:rFonts w:ascii="宋体" w:hAnsi="Courier New"/>
      <w:spacing w:val="-4"/>
      <w:sz w:val="18"/>
    </w:rPr>
  </w:style>
  <w:style w:type="character" w:customStyle="1" w:styleId="64">
    <w:name w:val="normaltext1"/>
    <w:qFormat/>
    <w:uiPriority w:val="0"/>
    <w:rPr>
      <w:rFonts w:hint="default" w:ascii="Բ" w:hAnsi="Բ"/>
      <w:color w:val="666666"/>
      <w:sz w:val="18"/>
      <w:u w:val="none"/>
    </w:rPr>
  </w:style>
  <w:style w:type="character" w:customStyle="1" w:styleId="65">
    <w:name w:val="占位符文本1"/>
    <w:qFormat/>
    <w:uiPriority w:val="0"/>
    <w:rPr>
      <w:color w:val="808080"/>
    </w:rPr>
  </w:style>
  <w:style w:type="character" w:customStyle="1" w:styleId="66">
    <w:name w:val="批注引用1"/>
    <w:qFormat/>
    <w:uiPriority w:val="0"/>
    <w:rPr>
      <w:sz w:val="21"/>
    </w:rPr>
  </w:style>
  <w:style w:type="character" w:customStyle="1" w:styleId="67">
    <w:name w:val="纯文本 Char2"/>
    <w:qFormat/>
    <w:uiPriority w:val="0"/>
    <w:rPr>
      <w:rFonts w:ascii="宋体" w:hAnsi="Courier New" w:eastAsia="宋体"/>
      <w:kern w:val="2"/>
      <w:sz w:val="21"/>
      <w:lang w:val="en-US" w:eastAsia="zh-CN"/>
    </w:rPr>
  </w:style>
  <w:style w:type="character" w:customStyle="1" w:styleId="68">
    <w:name w:val="文档结构图 Char"/>
    <w:link w:val="69"/>
    <w:qFormat/>
    <w:uiPriority w:val="0"/>
    <w:rPr>
      <w:rFonts w:eastAsia="宋体"/>
      <w:kern w:val="2"/>
      <w:sz w:val="21"/>
      <w:lang w:val="en-US" w:eastAsia="zh-CN"/>
    </w:rPr>
  </w:style>
  <w:style w:type="paragraph" w:customStyle="1" w:styleId="69">
    <w:name w:val="文档结构图1"/>
    <w:basedOn w:val="1"/>
    <w:link w:val="68"/>
    <w:qFormat/>
    <w:uiPriority w:val="0"/>
    <w:pPr>
      <w:shd w:val="clear" w:color="auto" w:fill="000080"/>
    </w:pPr>
  </w:style>
  <w:style w:type="character" w:customStyle="1" w:styleId="70">
    <w:name w:val="Body text|2"/>
    <w:unhideWhenUsed/>
    <w:qFormat/>
    <w:uiPriority w:val="0"/>
    <w:rPr>
      <w:rFonts w:ascii="PMingLiU" w:hAnsi="PMingLiU" w:eastAsia="PMingLiU" w:cs="PMingLiU"/>
      <w:color w:val="000000"/>
      <w:spacing w:val="0"/>
      <w:w w:val="100"/>
      <w:position w:val="0"/>
      <w:sz w:val="20"/>
      <w:szCs w:val="20"/>
      <w:u w:val="none"/>
      <w:lang w:val="zh-CN" w:eastAsia="zh-CN" w:bidi="zh-CN"/>
    </w:rPr>
  </w:style>
  <w:style w:type="paragraph" w:customStyle="1" w:styleId="71">
    <w:name w:val="p28"/>
    <w:basedOn w:val="1"/>
    <w:qFormat/>
    <w:uiPriority w:val="0"/>
    <w:pPr>
      <w:widowControl/>
      <w:spacing w:line="480" w:lineRule="auto"/>
      <w:ind w:firstLine="4620"/>
      <w:jc w:val="left"/>
    </w:pPr>
    <w:rPr>
      <w:rFonts w:ascii="宋体" w:hAnsi="宋体"/>
      <w:kern w:val="0"/>
    </w:rPr>
  </w:style>
  <w:style w:type="paragraph" w:customStyle="1" w:styleId="72">
    <w:name w:val="横表格"/>
    <w:basedOn w:val="1"/>
    <w:qFormat/>
    <w:uiPriority w:val="0"/>
    <w:pPr>
      <w:tabs>
        <w:tab w:val="left" w:pos="1200"/>
      </w:tabs>
      <w:spacing w:line="360" w:lineRule="exact"/>
      <w:ind w:right="-41" w:rightChars="-41"/>
      <w:jc w:val="center"/>
    </w:pPr>
    <w:rPr>
      <w:rFonts w:ascii="宋体" w:hAnsi="宋体"/>
      <w:sz w:val="24"/>
    </w:rPr>
  </w:style>
  <w:style w:type="paragraph" w:customStyle="1" w:styleId="73">
    <w:name w:val="p61"/>
    <w:basedOn w:val="1"/>
    <w:qFormat/>
    <w:uiPriority w:val="0"/>
    <w:pPr>
      <w:widowControl/>
      <w:spacing w:after="180"/>
      <w:jc w:val="left"/>
    </w:pPr>
    <w:rPr>
      <w:rFonts w:ascii="宋体" w:hAnsi="宋体"/>
      <w:kern w:val="0"/>
    </w:rPr>
  </w:style>
  <w:style w:type="paragraph" w:customStyle="1" w:styleId="74">
    <w:name w:val="列表1"/>
    <w:basedOn w:val="1"/>
    <w:qFormat/>
    <w:uiPriority w:val="0"/>
    <w:pPr>
      <w:ind w:left="420" w:hanging="420"/>
    </w:pPr>
    <w:rPr>
      <w:rFonts w:ascii="Arial" w:hAnsi="Arial" w:eastAsia="楷体_GB2312"/>
      <w:sz w:val="28"/>
    </w:rPr>
  </w:style>
  <w:style w:type="paragraph" w:customStyle="1" w:styleId="75">
    <w:name w:val="p229"/>
    <w:basedOn w:val="1"/>
    <w:qFormat/>
    <w:uiPriority w:val="0"/>
    <w:pPr>
      <w:widowControl/>
      <w:spacing w:before="180" w:after="90" w:line="480" w:lineRule="auto"/>
      <w:jc w:val="center"/>
    </w:pPr>
    <w:rPr>
      <w:rFonts w:ascii="黑体" w:hAnsi="宋体" w:eastAsia="黑体"/>
      <w:kern w:val="0"/>
      <w:sz w:val="28"/>
    </w:rPr>
  </w:style>
  <w:style w:type="paragraph" w:customStyle="1" w:styleId="76">
    <w:name w:val="Char"/>
    <w:basedOn w:val="1"/>
    <w:qFormat/>
    <w:uiPriority w:val="0"/>
  </w:style>
  <w:style w:type="paragraph" w:customStyle="1" w:styleId="77">
    <w:name w:val="p22"/>
    <w:basedOn w:val="1"/>
    <w:qFormat/>
    <w:uiPriority w:val="0"/>
    <w:pPr>
      <w:widowControl/>
      <w:spacing w:before="180" w:after="180"/>
      <w:jc w:val="center"/>
    </w:pPr>
    <w:rPr>
      <w:rFonts w:ascii="黑体" w:hAnsi="宋体" w:eastAsia="黑体"/>
      <w:kern w:val="0"/>
      <w:sz w:val="28"/>
    </w:rPr>
  </w:style>
  <w:style w:type="paragraph" w:customStyle="1" w:styleId="78">
    <w:name w:val="Char Char Char Char Char Char Char Char Char"/>
    <w:basedOn w:val="1"/>
    <w:qFormat/>
    <w:uiPriority w:val="0"/>
  </w:style>
  <w:style w:type="paragraph" w:customStyle="1" w:styleId="79">
    <w:name w:val="列表段落11"/>
    <w:basedOn w:val="1"/>
    <w:qFormat/>
    <w:uiPriority w:val="34"/>
    <w:pPr>
      <w:spacing w:line="240" w:lineRule="auto"/>
    </w:pPr>
    <w:rPr>
      <w:rFonts w:ascii="等线" w:hAnsi="等线"/>
      <w:szCs w:val="22"/>
    </w:rPr>
  </w:style>
  <w:style w:type="paragraph" w:customStyle="1" w:styleId="80">
    <w:name w:val="p212"/>
    <w:basedOn w:val="1"/>
    <w:qFormat/>
    <w:uiPriority w:val="0"/>
    <w:pPr>
      <w:widowControl/>
      <w:ind w:firstLine="3570"/>
      <w:jc w:val="left"/>
    </w:pPr>
    <w:rPr>
      <w:rFonts w:ascii="宋体" w:hAnsi="宋体"/>
      <w:kern w:val="0"/>
    </w:rPr>
  </w:style>
  <w:style w:type="paragraph" w:customStyle="1" w:styleId="81">
    <w:name w:val="默认段落字体 Para Char Char Char Char"/>
    <w:basedOn w:val="1"/>
    <w:qFormat/>
    <w:uiPriority w:val="0"/>
  </w:style>
  <w:style w:type="paragraph" w:customStyle="1" w:styleId="82">
    <w:name w:val="p210"/>
    <w:basedOn w:val="1"/>
    <w:qFormat/>
    <w:uiPriority w:val="0"/>
    <w:pPr>
      <w:widowControl/>
      <w:spacing w:before="180" w:after="180" w:line="480" w:lineRule="auto"/>
      <w:jc w:val="left"/>
    </w:pPr>
    <w:rPr>
      <w:rFonts w:ascii="宋体" w:hAnsi="宋体"/>
      <w:kern w:val="0"/>
    </w:rPr>
  </w:style>
  <w:style w:type="paragraph" w:customStyle="1" w:styleId="83">
    <w:name w:val="Char Char Char Char Char Char Char Char Char Char Char Char"/>
    <w:basedOn w:val="1"/>
    <w:qFormat/>
    <w:uiPriority w:val="0"/>
    <w:pPr>
      <w:spacing w:line="240" w:lineRule="atLeast"/>
      <w:ind w:left="420"/>
    </w:pPr>
    <w:rPr>
      <w:kern w:val="0"/>
      <w:sz w:val="20"/>
    </w:rPr>
  </w:style>
  <w:style w:type="paragraph" w:customStyle="1" w:styleId="84">
    <w:name w:val="样式 标题 1 + 段前: 5 磅 段后: 3.6 磅"/>
    <w:basedOn w:val="3"/>
    <w:qFormat/>
    <w:uiPriority w:val="0"/>
    <w:pPr>
      <w:widowControl/>
      <w:tabs>
        <w:tab w:val="left" w:pos="720"/>
      </w:tabs>
      <w:adjustRightInd/>
      <w:spacing w:before="100" w:after="100"/>
      <w:ind w:left="360" w:hanging="360"/>
      <w:jc w:val="left"/>
      <w:textAlignment w:val="auto"/>
    </w:pPr>
    <w:rPr>
      <w:rFonts w:eastAsia="宋体"/>
    </w:rPr>
  </w:style>
  <w:style w:type="paragraph" w:customStyle="1" w:styleId="85">
    <w:name w:val="纯文本11"/>
    <w:basedOn w:val="1"/>
    <w:qFormat/>
    <w:uiPriority w:val="0"/>
    <w:rPr>
      <w:rFonts w:ascii="宋体" w:hAnsi="Courier New"/>
      <w:szCs w:val="22"/>
    </w:rPr>
  </w:style>
  <w:style w:type="paragraph" w:customStyle="1" w:styleId="86">
    <w:name w:val="Char Char Char Char1 Char Char Char"/>
    <w:basedOn w:val="1"/>
    <w:qFormat/>
    <w:uiPriority w:val="0"/>
    <w:pPr>
      <w:spacing w:line="240" w:lineRule="atLeast"/>
      <w:ind w:left="420"/>
    </w:pPr>
    <w:rPr>
      <w:kern w:val="0"/>
    </w:rPr>
  </w:style>
  <w:style w:type="paragraph" w:customStyle="1" w:styleId="87">
    <w:name w:val="p213"/>
    <w:basedOn w:val="1"/>
    <w:qFormat/>
    <w:uiPriority w:val="0"/>
    <w:pPr>
      <w:widowControl/>
      <w:ind w:firstLine="3570"/>
      <w:jc w:val="left"/>
    </w:pPr>
    <w:rPr>
      <w:rFonts w:ascii="黑体" w:hAnsi="宋体" w:eastAsia="黑体"/>
      <w:kern w:val="0"/>
    </w:rPr>
  </w:style>
  <w:style w:type="paragraph" w:customStyle="1" w:styleId="88">
    <w:name w:val="样式 正文文本 2 + 宋体"/>
    <w:basedOn w:val="1"/>
    <w:qFormat/>
    <w:uiPriority w:val="0"/>
    <w:pPr>
      <w:spacing w:line="480" w:lineRule="auto"/>
    </w:pPr>
    <w:rPr>
      <w:rFonts w:ascii="宋体" w:hAnsi="宋体"/>
      <w:sz w:val="24"/>
    </w:rPr>
  </w:style>
  <w:style w:type="paragraph" w:customStyle="1" w:styleId="89">
    <w:name w:val="索引 11"/>
    <w:basedOn w:val="1"/>
    <w:next w:val="1"/>
    <w:qFormat/>
    <w:uiPriority w:val="0"/>
  </w:style>
  <w:style w:type="paragraph" w:customStyle="1" w:styleId="90">
    <w:name w:val="p58"/>
    <w:basedOn w:val="1"/>
    <w:qFormat/>
    <w:uiPriority w:val="0"/>
    <w:pPr>
      <w:widowControl/>
      <w:spacing w:before="36"/>
      <w:jc w:val="left"/>
    </w:pPr>
    <w:rPr>
      <w:rFonts w:ascii="宋体" w:hAnsi="宋体"/>
      <w:kern w:val="0"/>
    </w:rPr>
  </w:style>
  <w:style w:type="paragraph" w:customStyle="1" w:styleId="91">
    <w:name w:val="表"/>
    <w:basedOn w:val="1"/>
    <w:qFormat/>
    <w:uiPriority w:val="0"/>
    <w:pPr>
      <w:widowControl/>
      <w:spacing w:before="312" w:beforeLines="100" w:after="93" w:afterLines="30"/>
      <w:ind w:left="200" w:leftChars="100" w:right="400" w:rightChars="400" w:firstLine="480"/>
      <w:jc w:val="left"/>
    </w:pPr>
    <w:rPr>
      <w:rFonts w:ascii="宋体" w:hAnsi="宋体"/>
      <w:color w:val="FF0000"/>
      <w:kern w:val="0"/>
      <w:sz w:val="24"/>
    </w:rPr>
  </w:style>
  <w:style w:type="paragraph" w:customStyle="1" w:styleId="92">
    <w:name w:val="p29"/>
    <w:basedOn w:val="1"/>
    <w:qFormat/>
    <w:uiPriority w:val="0"/>
    <w:pPr>
      <w:widowControl/>
      <w:spacing w:before="180" w:after="180" w:line="480" w:lineRule="auto"/>
      <w:jc w:val="center"/>
    </w:pPr>
    <w:rPr>
      <w:rFonts w:ascii="黑体" w:hAnsi="宋体" w:eastAsia="黑体"/>
      <w:kern w:val="0"/>
      <w:sz w:val="28"/>
    </w:rPr>
  </w:style>
  <w:style w:type="paragraph" w:customStyle="1" w:styleId="93">
    <w:name w:val="p45"/>
    <w:basedOn w:val="1"/>
    <w:qFormat/>
    <w:uiPriority w:val="0"/>
    <w:pPr>
      <w:widowControl/>
      <w:spacing w:line="480" w:lineRule="auto"/>
      <w:jc w:val="left"/>
    </w:pPr>
    <w:rPr>
      <w:rFonts w:ascii="宋体" w:hAnsi="宋体"/>
      <w:kern w:val="0"/>
    </w:rPr>
  </w:style>
  <w:style w:type="paragraph" w:customStyle="1" w:styleId="94">
    <w:name w:val="Char Char Char Char Char Char Char Char Char Char1"/>
    <w:basedOn w:val="1"/>
    <w:qFormat/>
    <w:uiPriority w:val="0"/>
    <w:pPr>
      <w:tabs>
        <w:tab w:val="left" w:pos="425"/>
      </w:tabs>
      <w:ind w:left="425" w:hanging="425"/>
    </w:pPr>
    <w:rPr>
      <w:rFonts w:ascii="Arial" w:hAnsi="Arial" w:eastAsia="黑体"/>
      <w:b/>
      <w:sz w:val="32"/>
    </w:rPr>
  </w:style>
  <w:style w:type="paragraph" w:customStyle="1" w:styleId="95">
    <w:name w:val="p39"/>
    <w:basedOn w:val="1"/>
    <w:qFormat/>
    <w:uiPriority w:val="0"/>
    <w:pPr>
      <w:widowControl/>
      <w:spacing w:before="270" w:after="270"/>
      <w:jc w:val="center"/>
    </w:pPr>
    <w:rPr>
      <w:rFonts w:ascii="黑体" w:hAnsi="宋体" w:eastAsia="黑体"/>
      <w:kern w:val="0"/>
      <w:sz w:val="28"/>
    </w:rPr>
  </w:style>
  <w:style w:type="paragraph" w:customStyle="1" w:styleId="96">
    <w:name w:val="p175"/>
    <w:basedOn w:val="1"/>
    <w:qFormat/>
    <w:uiPriority w:val="0"/>
    <w:pPr>
      <w:widowControl/>
      <w:spacing w:line="480" w:lineRule="auto"/>
      <w:jc w:val="left"/>
    </w:pPr>
    <w:rPr>
      <w:rFonts w:ascii="宋体" w:hAnsi="宋体"/>
      <w:kern w:val="0"/>
    </w:rPr>
  </w:style>
  <w:style w:type="paragraph" w:customStyle="1" w:styleId="97">
    <w:name w:val="p206"/>
    <w:basedOn w:val="1"/>
    <w:qFormat/>
    <w:uiPriority w:val="0"/>
    <w:pPr>
      <w:widowControl/>
      <w:spacing w:line="480" w:lineRule="auto"/>
      <w:jc w:val="left"/>
    </w:pPr>
    <w:rPr>
      <w:rFonts w:ascii="黑体" w:hAnsi="宋体" w:eastAsia="黑体"/>
      <w:kern w:val="0"/>
    </w:rPr>
  </w:style>
  <w:style w:type="paragraph" w:customStyle="1" w:styleId="98">
    <w:name w:val="正文1"/>
    <w:basedOn w:val="1"/>
    <w:next w:val="1"/>
    <w:qFormat/>
    <w:uiPriority w:val="0"/>
    <w:pPr>
      <w:ind w:firstLine="200"/>
    </w:pPr>
    <w:rPr>
      <w:rFonts w:ascii="宋体"/>
      <w:sz w:val="24"/>
    </w:rPr>
  </w:style>
  <w:style w:type="paragraph" w:customStyle="1" w:styleId="99">
    <w:name w:val="批注主题1"/>
    <w:basedOn w:val="15"/>
    <w:next w:val="15"/>
    <w:qFormat/>
    <w:uiPriority w:val="0"/>
    <w:pPr>
      <w:adjustRightInd/>
      <w:spacing w:line="240" w:lineRule="auto"/>
      <w:textAlignment w:val="auto"/>
    </w:pPr>
    <w:rPr>
      <w:b/>
      <w:kern w:val="2"/>
      <w:sz w:val="21"/>
    </w:rPr>
  </w:style>
  <w:style w:type="paragraph" w:customStyle="1" w:styleId="100">
    <w:name w:val="样式 标题 3 + (中文) 黑体 小四 非加粗 段前: 7.8 磅 段后: 0 磅 行距: 固定值 20 磅"/>
    <w:basedOn w:val="5"/>
    <w:qFormat/>
    <w:uiPriority w:val="0"/>
    <w:pPr>
      <w:keepNext/>
      <w:keepLines/>
      <w:tabs>
        <w:tab w:val="clear" w:pos="900"/>
      </w:tabs>
      <w:adjustRightInd/>
      <w:spacing w:before="0" w:line="400" w:lineRule="exact"/>
      <w:textAlignment w:val="auto"/>
    </w:pPr>
    <w:rPr>
      <w:b w:val="0"/>
      <w:kern w:val="2"/>
      <w:sz w:val="24"/>
    </w:rPr>
  </w:style>
  <w:style w:type="paragraph" w:customStyle="1" w:styleId="101">
    <w:name w:val="p44"/>
    <w:basedOn w:val="1"/>
    <w:qFormat/>
    <w:uiPriority w:val="0"/>
    <w:pPr>
      <w:widowControl/>
      <w:jc w:val="left"/>
    </w:pPr>
    <w:rPr>
      <w:rFonts w:ascii="黑体" w:hAnsi="宋体" w:eastAsia="黑体"/>
      <w:kern w:val="0"/>
    </w:rPr>
  </w:style>
  <w:style w:type="paragraph" w:customStyle="1" w:styleId="102">
    <w:name w:val="正文4"/>
    <w:basedOn w:val="1"/>
    <w:qFormat/>
    <w:uiPriority w:val="0"/>
    <w:pPr>
      <w:ind w:left="400" w:leftChars="400"/>
    </w:pPr>
    <w:rPr>
      <w:rFonts w:ascii="宋体"/>
      <w:sz w:val="24"/>
    </w:rPr>
  </w:style>
  <w:style w:type="paragraph" w:customStyle="1" w:styleId="103">
    <w:name w:val="p231"/>
    <w:basedOn w:val="1"/>
    <w:qFormat/>
    <w:uiPriority w:val="0"/>
    <w:pPr>
      <w:widowControl/>
      <w:ind w:firstLine="3150"/>
      <w:jc w:val="left"/>
    </w:pPr>
    <w:rPr>
      <w:rFonts w:ascii="宋体" w:hAnsi="宋体"/>
      <w:kern w:val="0"/>
    </w:rPr>
  </w:style>
  <w:style w:type="paragraph" w:customStyle="1" w:styleId="104">
    <w:name w:val="p27"/>
    <w:basedOn w:val="1"/>
    <w:qFormat/>
    <w:uiPriority w:val="0"/>
    <w:pPr>
      <w:widowControl/>
      <w:spacing w:line="480" w:lineRule="auto"/>
      <w:ind w:firstLine="2625"/>
      <w:jc w:val="left"/>
    </w:pPr>
    <w:rPr>
      <w:rFonts w:ascii="宋体" w:hAnsi="宋体"/>
      <w:kern w:val="0"/>
    </w:rPr>
  </w:style>
  <w:style w:type="paragraph" w:customStyle="1" w:styleId="105">
    <w:name w:val="p25"/>
    <w:basedOn w:val="1"/>
    <w:qFormat/>
    <w:uiPriority w:val="0"/>
    <w:pPr>
      <w:widowControl/>
      <w:spacing w:line="480" w:lineRule="auto"/>
      <w:jc w:val="left"/>
    </w:pPr>
    <w:rPr>
      <w:rFonts w:ascii="宋体" w:hAnsi="宋体"/>
      <w:kern w:val="0"/>
    </w:rPr>
  </w:style>
  <w:style w:type="paragraph" w:customStyle="1" w:styleId="106">
    <w:name w:val="正细缩2"/>
    <w:basedOn w:val="1"/>
    <w:qFormat/>
    <w:uiPriority w:val="0"/>
    <w:pPr>
      <w:ind w:firstLine="480"/>
    </w:pPr>
    <w:rPr>
      <w:rFonts w:ascii="仿宋_GB2312" w:eastAsia="仿宋_GB2312"/>
      <w:sz w:val="24"/>
    </w:rPr>
  </w:style>
  <w:style w:type="paragraph" w:customStyle="1" w:styleId="107">
    <w:name w:val="日期1"/>
    <w:basedOn w:val="1"/>
    <w:next w:val="1"/>
    <w:qFormat/>
    <w:uiPriority w:val="0"/>
    <w:rPr>
      <w:rFonts w:ascii="Arial" w:hAnsi="Arial" w:eastAsia="仿宋_GB2312"/>
      <w:sz w:val="32"/>
    </w:rPr>
  </w:style>
  <w:style w:type="paragraph" w:customStyle="1" w:styleId="108">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109">
    <w:name w:val="p47"/>
    <w:basedOn w:val="1"/>
    <w:qFormat/>
    <w:uiPriority w:val="0"/>
    <w:pPr>
      <w:widowControl/>
      <w:spacing w:before="180" w:after="180"/>
      <w:jc w:val="center"/>
    </w:pPr>
    <w:rPr>
      <w:rFonts w:ascii="黑体" w:hAnsi="宋体" w:eastAsia="黑体"/>
      <w:kern w:val="0"/>
      <w:sz w:val="28"/>
    </w:rPr>
  </w:style>
  <w:style w:type="paragraph" w:customStyle="1" w:styleId="110">
    <w:name w:val="p15"/>
    <w:basedOn w:val="1"/>
    <w:qFormat/>
    <w:uiPriority w:val="0"/>
    <w:pPr>
      <w:widowControl/>
      <w:spacing w:line="480" w:lineRule="auto"/>
      <w:jc w:val="left"/>
    </w:pPr>
    <w:rPr>
      <w:rFonts w:ascii="宋体" w:hAnsi="宋体"/>
      <w:kern w:val="0"/>
    </w:rPr>
  </w:style>
  <w:style w:type="paragraph" w:customStyle="1" w:styleId="111">
    <w:name w:val="p214"/>
    <w:basedOn w:val="1"/>
    <w:qFormat/>
    <w:uiPriority w:val="0"/>
    <w:pPr>
      <w:widowControl/>
      <w:ind w:firstLine="4830"/>
      <w:jc w:val="left"/>
    </w:pPr>
    <w:rPr>
      <w:rFonts w:ascii="宋体" w:hAnsi="宋体"/>
      <w:kern w:val="0"/>
    </w:rPr>
  </w:style>
  <w:style w:type="paragraph" w:customStyle="1" w:styleId="112">
    <w:name w:val="修订1"/>
    <w:qFormat/>
    <w:uiPriority w:val="0"/>
    <w:rPr>
      <w:rFonts w:ascii="Times New Roman" w:hAnsi="Times New Roman" w:eastAsia="宋体" w:cs="Times New Roman"/>
      <w:kern w:val="2"/>
      <w:sz w:val="21"/>
      <w:lang w:val="en-US" w:eastAsia="zh-CN" w:bidi="ar-SA"/>
    </w:rPr>
  </w:style>
  <w:style w:type="paragraph" w:styleId="113">
    <w:name w:val="List Paragraph"/>
    <w:basedOn w:val="1"/>
    <w:qFormat/>
    <w:uiPriority w:val="1"/>
    <w:pPr>
      <w:spacing w:line="240" w:lineRule="auto"/>
    </w:pPr>
    <w:rPr>
      <w:rFonts w:ascii="Calibri" w:hAnsi="Calibri"/>
      <w:szCs w:val="22"/>
    </w:rPr>
  </w:style>
  <w:style w:type="paragraph" w:customStyle="1" w:styleId="114">
    <w:name w:val="p31"/>
    <w:basedOn w:val="1"/>
    <w:qFormat/>
    <w:uiPriority w:val="0"/>
    <w:pPr>
      <w:widowControl/>
      <w:spacing w:before="90" w:after="90" w:line="480" w:lineRule="auto"/>
      <w:jc w:val="right"/>
    </w:pPr>
    <w:rPr>
      <w:rFonts w:ascii="黑体" w:hAnsi="宋体" w:eastAsia="黑体"/>
      <w:kern w:val="0"/>
    </w:rPr>
  </w:style>
  <w:style w:type="paragraph" w:customStyle="1" w:styleId="115">
    <w:name w:val="p216"/>
    <w:basedOn w:val="1"/>
    <w:qFormat/>
    <w:uiPriority w:val="0"/>
    <w:pPr>
      <w:widowControl/>
      <w:spacing w:before="180" w:after="180"/>
      <w:jc w:val="center"/>
    </w:pPr>
    <w:rPr>
      <w:rFonts w:ascii="黑体" w:hAnsi="宋体" w:eastAsia="黑体"/>
      <w:kern w:val="0"/>
      <w:sz w:val="28"/>
    </w:rPr>
  </w:style>
  <w:style w:type="paragraph" w:customStyle="1" w:styleId="116">
    <w:name w:val="p26"/>
    <w:basedOn w:val="1"/>
    <w:qFormat/>
    <w:uiPriority w:val="0"/>
    <w:pPr>
      <w:widowControl/>
      <w:spacing w:line="480" w:lineRule="auto"/>
      <w:ind w:firstLine="3570"/>
      <w:jc w:val="left"/>
    </w:pPr>
    <w:rPr>
      <w:rFonts w:ascii="宋体" w:hAnsi="宋体"/>
      <w:kern w:val="0"/>
    </w:rPr>
  </w:style>
  <w:style w:type="paragraph" w:customStyle="1" w:styleId="117">
    <w:name w:val="普通(网站)1"/>
    <w:basedOn w:val="1"/>
    <w:qFormat/>
    <w:uiPriority w:val="0"/>
    <w:pPr>
      <w:widowControl/>
      <w:spacing w:before="100" w:beforeAutospacing="1" w:after="100" w:afterAutospacing="1"/>
      <w:jc w:val="left"/>
    </w:pPr>
    <w:rPr>
      <w:rFonts w:ascii="宋体" w:hAnsi="宋体"/>
      <w:color w:val="000000"/>
      <w:kern w:val="0"/>
      <w:sz w:val="18"/>
    </w:rPr>
  </w:style>
  <w:style w:type="paragraph" w:customStyle="1" w:styleId="118">
    <w:name w:val="1 Char Char Char Char Char Char Char"/>
    <w:basedOn w:val="1"/>
    <w:qFormat/>
    <w:uiPriority w:val="0"/>
    <w:rPr>
      <w:sz w:val="30"/>
    </w:rPr>
  </w:style>
  <w:style w:type="paragraph" w:customStyle="1" w:styleId="119">
    <w:name w:val="p48"/>
    <w:basedOn w:val="1"/>
    <w:qFormat/>
    <w:uiPriority w:val="0"/>
    <w:pPr>
      <w:widowControl/>
      <w:jc w:val="left"/>
    </w:pPr>
    <w:rPr>
      <w:rFonts w:ascii="宋体" w:hAnsi="宋体"/>
      <w:kern w:val="0"/>
    </w:rPr>
  </w:style>
  <w:style w:type="paragraph" w:customStyle="1" w:styleId="120">
    <w:name w:val="p43"/>
    <w:basedOn w:val="1"/>
    <w:qFormat/>
    <w:uiPriority w:val="0"/>
    <w:pPr>
      <w:widowControl/>
      <w:jc w:val="left"/>
    </w:pPr>
    <w:rPr>
      <w:rFonts w:ascii="黑体" w:hAnsi="宋体" w:eastAsia="黑体"/>
      <w:kern w:val="0"/>
    </w:rPr>
  </w:style>
  <w:style w:type="paragraph" w:customStyle="1" w:styleId="121">
    <w:name w:val="p132"/>
    <w:basedOn w:val="1"/>
    <w:qFormat/>
    <w:uiPriority w:val="0"/>
    <w:pPr>
      <w:widowControl/>
      <w:jc w:val="center"/>
    </w:pPr>
    <w:rPr>
      <w:rFonts w:ascii="黑体" w:hAnsi="宋体" w:eastAsia="黑体"/>
      <w:kern w:val="0"/>
      <w:sz w:val="28"/>
    </w:rPr>
  </w:style>
  <w:style w:type="paragraph" w:customStyle="1" w:styleId="122">
    <w:name w:val="p24"/>
    <w:basedOn w:val="1"/>
    <w:qFormat/>
    <w:uiPriority w:val="0"/>
    <w:pPr>
      <w:widowControl/>
      <w:spacing w:line="480" w:lineRule="auto"/>
      <w:jc w:val="left"/>
    </w:pPr>
    <w:rPr>
      <w:rFonts w:ascii="宋体" w:hAnsi="宋体"/>
      <w:kern w:val="0"/>
    </w:rPr>
  </w:style>
  <w:style w:type="paragraph" w:customStyle="1" w:styleId="123">
    <w:name w:val="附件"/>
    <w:basedOn w:val="1"/>
    <w:qFormat/>
    <w:uiPriority w:val="0"/>
    <w:pPr>
      <w:tabs>
        <w:tab w:val="left" w:pos="420"/>
      </w:tabs>
      <w:spacing w:before="156" w:beforeLines="50"/>
      <w:ind w:left="567" w:hanging="567"/>
    </w:pPr>
    <w:rPr>
      <w:rFonts w:ascii="宋体"/>
      <w:b/>
      <w:sz w:val="28"/>
    </w:rPr>
  </w:style>
  <w:style w:type="paragraph" w:customStyle="1" w:styleId="124">
    <w:name w:val="默认段落字体 Para Char"/>
    <w:basedOn w:val="1"/>
    <w:qFormat/>
    <w:uiPriority w:val="0"/>
  </w:style>
  <w:style w:type="paragraph" w:customStyle="1" w:styleId="125">
    <w:name w:val="正文缩进1"/>
    <w:basedOn w:val="1"/>
    <w:qFormat/>
    <w:uiPriority w:val="0"/>
  </w:style>
  <w:style w:type="paragraph" w:customStyle="1" w:styleId="126">
    <w:name w:val="p94"/>
    <w:basedOn w:val="1"/>
    <w:qFormat/>
    <w:uiPriority w:val="0"/>
    <w:pPr>
      <w:widowControl/>
      <w:spacing w:line="480" w:lineRule="auto"/>
      <w:jc w:val="left"/>
    </w:pPr>
    <w:rPr>
      <w:rFonts w:ascii="宋体" w:hAnsi="宋体"/>
      <w:kern w:val="0"/>
    </w:rPr>
  </w:style>
  <w:style w:type="paragraph" w:customStyle="1" w:styleId="127">
    <w:name w:val="标题 1A"/>
    <w:basedOn w:val="1"/>
    <w:qFormat/>
    <w:uiPriority w:val="0"/>
    <w:pPr>
      <w:widowControl/>
      <w:spacing w:before="120"/>
    </w:pPr>
    <w:rPr>
      <w:kern w:val="0"/>
      <w:sz w:val="24"/>
    </w:rPr>
  </w:style>
  <w:style w:type="paragraph" w:customStyle="1" w:styleId="128">
    <w:name w:val="p17"/>
    <w:basedOn w:val="1"/>
    <w:qFormat/>
    <w:uiPriority w:val="0"/>
    <w:pPr>
      <w:widowControl/>
      <w:jc w:val="left"/>
    </w:pPr>
    <w:rPr>
      <w:rFonts w:ascii="宋体" w:hAnsi="宋体"/>
      <w:kern w:val="0"/>
      <w:sz w:val="28"/>
    </w:rPr>
  </w:style>
  <w:style w:type="paragraph" w:customStyle="1" w:styleId="129">
    <w:name w:val="p2"/>
    <w:basedOn w:val="1"/>
    <w:qFormat/>
    <w:uiPriority w:val="0"/>
    <w:pPr>
      <w:widowControl/>
      <w:spacing w:line="480" w:lineRule="auto"/>
      <w:jc w:val="left"/>
    </w:pPr>
    <w:rPr>
      <w:rFonts w:ascii="宋体" w:hAnsi="宋体"/>
      <w:kern w:val="0"/>
    </w:rPr>
  </w:style>
  <w:style w:type="paragraph" w:customStyle="1" w:styleId="130">
    <w:name w:val="p202"/>
    <w:basedOn w:val="1"/>
    <w:qFormat/>
    <w:uiPriority w:val="0"/>
    <w:pPr>
      <w:widowControl/>
      <w:jc w:val="center"/>
    </w:pPr>
    <w:rPr>
      <w:rFonts w:ascii="楷体_GB2312" w:hAnsi="宋体" w:eastAsia="楷体_GB2312"/>
      <w:kern w:val="0"/>
      <w:sz w:val="32"/>
    </w:rPr>
  </w:style>
  <w:style w:type="paragraph" w:customStyle="1" w:styleId="131">
    <w:name w:val="正文文本 31"/>
    <w:basedOn w:val="1"/>
    <w:qFormat/>
    <w:uiPriority w:val="0"/>
    <w:rPr>
      <w:sz w:val="24"/>
    </w:rPr>
  </w:style>
  <w:style w:type="paragraph" w:customStyle="1" w:styleId="132">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rPr>
  </w:style>
  <w:style w:type="paragraph" w:customStyle="1" w:styleId="133">
    <w:name w:val="p208"/>
    <w:basedOn w:val="1"/>
    <w:qFormat/>
    <w:uiPriority w:val="0"/>
    <w:pPr>
      <w:widowControl/>
      <w:spacing w:before="90" w:line="480" w:lineRule="auto"/>
      <w:jc w:val="left"/>
    </w:pPr>
    <w:rPr>
      <w:rFonts w:ascii="宋体" w:hAnsi="宋体"/>
      <w:kern w:val="0"/>
    </w:rPr>
  </w:style>
  <w:style w:type="paragraph" w:customStyle="1" w:styleId="134">
    <w:name w:val="p222"/>
    <w:basedOn w:val="1"/>
    <w:qFormat/>
    <w:uiPriority w:val="0"/>
    <w:pPr>
      <w:widowControl/>
      <w:jc w:val="right"/>
    </w:pPr>
    <w:rPr>
      <w:rFonts w:ascii="宋体" w:hAnsi="宋体"/>
      <w:kern w:val="0"/>
    </w:rPr>
  </w:style>
  <w:style w:type="paragraph" w:customStyle="1" w:styleId="135">
    <w:name w:val="样式 标题 2 + Times New Roman 四号 非加粗 段前: 5 磅 段后: 0 磅 行距: 固定值 20..."/>
    <w:basedOn w:val="4"/>
    <w:qFormat/>
    <w:uiPriority w:val="0"/>
    <w:pPr>
      <w:keepLines/>
      <w:adjustRightInd/>
      <w:spacing w:beforeLines="0" w:line="400" w:lineRule="exact"/>
      <w:textAlignment w:val="auto"/>
    </w:pPr>
    <w:rPr>
      <w:b w:val="0"/>
      <w:kern w:val="2"/>
    </w:rPr>
  </w:style>
  <w:style w:type="paragraph" w:customStyle="1" w:styleId="136">
    <w:name w:val="图标题"/>
    <w:basedOn w:val="1"/>
    <w:next w:val="1"/>
    <w:qFormat/>
    <w:uiPriority w:val="0"/>
    <w:pPr>
      <w:spacing w:line="480" w:lineRule="exact"/>
      <w:ind w:firstLine="482"/>
      <w:jc w:val="center"/>
    </w:pPr>
    <w:rPr>
      <w:rFonts w:ascii="宋体" w:hAnsi="宋体"/>
      <w:b/>
      <w:sz w:val="24"/>
    </w:rPr>
  </w:style>
  <w:style w:type="paragraph" w:customStyle="1" w:styleId="137">
    <w:name w:val="正文文本缩进 31"/>
    <w:basedOn w:val="1"/>
    <w:qFormat/>
    <w:uiPriority w:val="0"/>
    <w:pPr>
      <w:spacing w:line="400" w:lineRule="exact"/>
      <w:ind w:left="360"/>
    </w:pPr>
    <w:rPr>
      <w:sz w:val="24"/>
    </w:rPr>
  </w:style>
  <w:style w:type="paragraph" w:customStyle="1" w:styleId="138">
    <w:name w:val="节标题"/>
    <w:basedOn w:val="1"/>
    <w:next w:val="1"/>
    <w:qFormat/>
    <w:uiPriority w:val="0"/>
    <w:pPr>
      <w:widowControl/>
      <w:spacing w:line="289" w:lineRule="atLeast"/>
      <w:jc w:val="center"/>
      <w:textAlignment w:val="baseline"/>
    </w:pPr>
    <w:rPr>
      <w:color w:val="000000"/>
      <w:kern w:val="0"/>
      <w:sz w:val="28"/>
    </w:rPr>
  </w:style>
  <w:style w:type="paragraph" w:customStyle="1" w:styleId="139">
    <w:name w:val="p211"/>
    <w:basedOn w:val="1"/>
    <w:qFormat/>
    <w:uiPriority w:val="0"/>
    <w:pPr>
      <w:widowControl/>
      <w:spacing w:after="180" w:line="480" w:lineRule="auto"/>
      <w:jc w:val="left"/>
    </w:pPr>
    <w:rPr>
      <w:rFonts w:ascii="宋体" w:hAnsi="宋体"/>
      <w:kern w:val="0"/>
    </w:rPr>
  </w:style>
  <w:style w:type="paragraph" w:customStyle="1" w:styleId="140">
    <w:name w:val="抬头"/>
    <w:basedOn w:val="1"/>
    <w:qFormat/>
    <w:uiPriority w:val="0"/>
    <w:pPr>
      <w:spacing w:before="156" w:beforeLines="50"/>
    </w:pPr>
    <w:rPr>
      <w:rFonts w:ascii="宋体"/>
      <w:sz w:val="24"/>
    </w:rPr>
  </w:style>
  <w:style w:type="paragraph" w:customStyle="1" w:styleId="141">
    <w:name w:val="p46"/>
    <w:basedOn w:val="1"/>
    <w:qFormat/>
    <w:uiPriority w:val="0"/>
    <w:pPr>
      <w:widowControl/>
      <w:ind w:firstLine="422"/>
      <w:jc w:val="left"/>
    </w:pPr>
    <w:rPr>
      <w:rFonts w:ascii="宋体" w:hAnsi="宋体"/>
      <w:kern w:val="0"/>
    </w:rPr>
  </w:style>
  <w:style w:type="paragraph" w:customStyle="1" w:styleId="142">
    <w:name w:val="p23"/>
    <w:basedOn w:val="1"/>
    <w:qFormat/>
    <w:uiPriority w:val="0"/>
    <w:pPr>
      <w:widowControl/>
      <w:ind w:firstLine="5355"/>
      <w:jc w:val="left"/>
    </w:pPr>
    <w:rPr>
      <w:rFonts w:ascii="宋体" w:hAnsi="宋体"/>
      <w:kern w:val="0"/>
    </w:rPr>
  </w:style>
  <w:style w:type="paragraph" w:customStyle="1" w:styleId="143">
    <w:name w:val="p41"/>
    <w:basedOn w:val="1"/>
    <w:qFormat/>
    <w:uiPriority w:val="0"/>
    <w:pPr>
      <w:widowControl/>
      <w:spacing w:after="90"/>
      <w:jc w:val="center"/>
    </w:pPr>
    <w:rPr>
      <w:rFonts w:ascii="黑体" w:hAnsi="宋体" w:eastAsia="黑体"/>
      <w:kern w:val="0"/>
      <w:sz w:val="28"/>
    </w:rPr>
  </w:style>
  <w:style w:type="paragraph" w:customStyle="1" w:styleId="144">
    <w:name w:val="p32"/>
    <w:basedOn w:val="1"/>
    <w:qFormat/>
    <w:uiPriority w:val="0"/>
    <w:pPr>
      <w:widowControl/>
      <w:spacing w:line="480" w:lineRule="auto"/>
      <w:ind w:firstLine="5775"/>
      <w:jc w:val="left"/>
    </w:pPr>
    <w:rPr>
      <w:rFonts w:ascii="宋体" w:hAnsi="宋体"/>
      <w:kern w:val="0"/>
    </w:rPr>
  </w:style>
  <w:style w:type="paragraph" w:customStyle="1" w:styleId="145">
    <w:name w:val="para"/>
    <w:basedOn w:val="1"/>
    <w:qFormat/>
    <w:uiPriority w:val="0"/>
    <w:pPr>
      <w:widowControl/>
      <w:adjustRightInd w:val="0"/>
      <w:spacing w:before="160"/>
      <w:ind w:firstLine="425"/>
      <w:textAlignment w:val="baseline"/>
    </w:pPr>
    <w:rPr>
      <w:kern w:val="0"/>
      <w:sz w:val="24"/>
      <w:lang w:eastAsia="en-US"/>
    </w:rPr>
  </w:style>
  <w:style w:type="paragraph" w:customStyle="1" w:styleId="146">
    <w:name w:val="xl58"/>
    <w:basedOn w:val="1"/>
    <w:qFormat/>
    <w:uiPriority w:val="0"/>
    <w:pPr>
      <w:widowControl/>
      <w:spacing w:before="100" w:beforeAutospacing="1" w:after="100" w:afterAutospacing="1"/>
      <w:jc w:val="center"/>
      <w:textAlignment w:val="center"/>
    </w:pPr>
    <w:rPr>
      <w:rFonts w:ascii="宋体" w:hAnsi="宋体"/>
      <w:b/>
      <w:kern w:val="0"/>
      <w:sz w:val="32"/>
    </w:rPr>
  </w:style>
  <w:style w:type="paragraph" w:customStyle="1" w:styleId="147">
    <w:name w:val="样式 标题 1 + 18 磅"/>
    <w:basedOn w:val="3"/>
    <w:qFormat/>
    <w:uiPriority w:val="0"/>
    <w:pPr>
      <w:keepNext w:val="0"/>
      <w:keepLines w:val="0"/>
      <w:adjustRightInd/>
      <w:spacing w:before="0" w:line="400" w:lineRule="exact"/>
      <w:jc w:val="right"/>
      <w:textAlignment w:val="auto"/>
      <w:outlineLvl w:val="9"/>
    </w:pPr>
    <w:rPr>
      <w:rFonts w:ascii="宋体" w:hAnsi="宋体" w:eastAsia="宋体"/>
      <w:b w:val="0"/>
      <w:kern w:val="2"/>
      <w:sz w:val="24"/>
    </w:rPr>
  </w:style>
  <w:style w:type="paragraph" w:customStyle="1" w:styleId="148">
    <w:name w:val="p42"/>
    <w:basedOn w:val="1"/>
    <w:qFormat/>
    <w:uiPriority w:val="0"/>
    <w:pPr>
      <w:widowControl/>
      <w:jc w:val="left"/>
    </w:pPr>
    <w:rPr>
      <w:rFonts w:ascii="黑体" w:hAnsi="宋体" w:eastAsia="黑体"/>
      <w:kern w:val="0"/>
    </w:rPr>
  </w:style>
  <w:style w:type="paragraph" w:customStyle="1" w:styleId="149">
    <w:name w:val="p207"/>
    <w:basedOn w:val="1"/>
    <w:qFormat/>
    <w:uiPriority w:val="0"/>
    <w:pPr>
      <w:widowControl/>
      <w:spacing w:line="480" w:lineRule="auto"/>
      <w:jc w:val="right"/>
    </w:pPr>
    <w:rPr>
      <w:rFonts w:ascii="宋体" w:hAnsi="宋体"/>
      <w:kern w:val="0"/>
    </w:rPr>
  </w:style>
  <w:style w:type="paragraph" w:customStyle="1" w:styleId="150">
    <w:name w:val="Char Char Char1 Char Char Char Char"/>
    <w:basedOn w:val="1"/>
    <w:qFormat/>
    <w:uiPriority w:val="0"/>
    <w:rPr>
      <w:rFonts w:ascii="Tahoma" w:hAnsi="Tahoma"/>
      <w:sz w:val="24"/>
    </w:rPr>
  </w:style>
  <w:style w:type="paragraph" w:customStyle="1" w:styleId="151">
    <w:name w:val="1"/>
    <w:basedOn w:val="1"/>
    <w:qFormat/>
    <w:uiPriority w:val="0"/>
    <w:pPr>
      <w:spacing w:after="156" w:afterLines="50"/>
      <w:jc w:val="center"/>
    </w:pPr>
    <w:rPr>
      <w:rFonts w:ascii="宋体" w:hAnsi="宋体"/>
      <w:b/>
      <w:sz w:val="28"/>
    </w:rPr>
  </w:style>
  <w:style w:type="paragraph" w:customStyle="1" w:styleId="152">
    <w:name w:val="正文2"/>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153">
    <w:name w:val="第四行"/>
    <w:basedOn w:val="1"/>
    <w:qFormat/>
    <w:uiPriority w:val="0"/>
    <w:pPr>
      <w:tabs>
        <w:tab w:val="left" w:pos="1200"/>
      </w:tabs>
      <w:jc w:val="center"/>
    </w:pPr>
    <w:rPr>
      <w:rFonts w:ascii="宋体" w:hAnsi="Arial Narrow"/>
      <w:b/>
      <w:spacing w:val="40"/>
      <w:sz w:val="28"/>
    </w:rPr>
  </w:style>
  <w:style w:type="paragraph" w:customStyle="1" w:styleId="154">
    <w:name w:val="p219"/>
    <w:basedOn w:val="1"/>
    <w:qFormat/>
    <w:uiPriority w:val="0"/>
    <w:pPr>
      <w:widowControl/>
      <w:ind w:hanging="630"/>
      <w:jc w:val="left"/>
    </w:pPr>
    <w:rPr>
      <w:rFonts w:ascii="宋体" w:hAnsi="宋体"/>
      <w:kern w:val="0"/>
    </w:rPr>
  </w:style>
  <w:style w:type="paragraph" w:customStyle="1" w:styleId="155">
    <w:name w:val="g3"/>
    <w:basedOn w:val="1"/>
    <w:qFormat/>
    <w:uiPriority w:val="0"/>
    <w:pPr>
      <w:widowControl/>
      <w:spacing w:before="100" w:beforeAutospacing="1" w:after="100" w:afterAutospacing="1" w:line="675" w:lineRule="atLeast"/>
      <w:jc w:val="left"/>
    </w:pPr>
    <w:rPr>
      <w:rFonts w:hint="eastAsia" w:ascii="华文中宋" w:hAnsi="华文中宋" w:eastAsia="华文中宋"/>
      <w:kern w:val="0"/>
      <w:sz w:val="42"/>
    </w:rPr>
  </w:style>
  <w:style w:type="paragraph" w:customStyle="1" w:styleId="156">
    <w:name w:val="Char Char Char"/>
    <w:basedOn w:val="1"/>
    <w:qFormat/>
    <w:uiPriority w:val="0"/>
    <w:pPr>
      <w:adjustRightInd w:val="0"/>
    </w:pPr>
    <w:rPr>
      <w:kern w:val="0"/>
      <w:sz w:val="24"/>
    </w:rPr>
  </w:style>
  <w:style w:type="paragraph" w:customStyle="1" w:styleId="157">
    <w:name w:val="p30"/>
    <w:basedOn w:val="1"/>
    <w:qFormat/>
    <w:uiPriority w:val="0"/>
    <w:pPr>
      <w:widowControl/>
      <w:spacing w:line="480" w:lineRule="auto"/>
      <w:jc w:val="right"/>
    </w:pPr>
    <w:rPr>
      <w:rFonts w:ascii="宋体" w:hAnsi="宋体"/>
      <w:kern w:val="0"/>
    </w:rPr>
  </w:style>
  <w:style w:type="paragraph" w:customStyle="1" w:styleId="158">
    <w:name w:val="表格"/>
    <w:basedOn w:val="1"/>
    <w:qFormat/>
    <w:uiPriority w:val="0"/>
    <w:pPr>
      <w:tabs>
        <w:tab w:val="left" w:pos="1200"/>
      </w:tabs>
      <w:spacing w:line="500" w:lineRule="exact"/>
      <w:jc w:val="center"/>
    </w:pPr>
    <w:rPr>
      <w:rFonts w:ascii="宋体" w:hAnsi="Arial Narrow"/>
      <w:sz w:val="24"/>
    </w:rPr>
  </w:style>
  <w:style w:type="paragraph" w:customStyle="1" w:styleId="159">
    <w:name w:val="p55"/>
    <w:basedOn w:val="1"/>
    <w:qFormat/>
    <w:uiPriority w:val="0"/>
    <w:pPr>
      <w:widowControl/>
      <w:jc w:val="left"/>
    </w:pPr>
    <w:rPr>
      <w:rFonts w:ascii="宋体" w:hAnsi="宋体"/>
      <w:kern w:val="0"/>
    </w:rPr>
  </w:style>
  <w:style w:type="paragraph" w:customStyle="1" w:styleId="160">
    <w:name w:val="Table Text Char"/>
    <w:qFormat/>
    <w:uiPriority w:val="0"/>
    <w:pPr>
      <w:snapToGrid w:val="0"/>
      <w:spacing w:before="80" w:after="80"/>
    </w:pPr>
    <w:rPr>
      <w:rFonts w:ascii="Arial" w:hAnsi="Arial" w:eastAsia="宋体" w:cs="Times New Roman"/>
      <w:kern w:val="2"/>
      <w:sz w:val="21"/>
      <w:lang w:val="en-US" w:eastAsia="zh-CN" w:bidi="ar-SA"/>
    </w:rPr>
  </w:style>
  <w:style w:type="paragraph" w:customStyle="1" w:styleId="161">
    <w:name w:val="普通(网站)11"/>
    <w:basedOn w:val="1"/>
    <w:qFormat/>
    <w:uiPriority w:val="0"/>
    <w:pPr>
      <w:widowControl/>
      <w:spacing w:before="100" w:beforeAutospacing="1" w:after="100" w:afterAutospacing="1"/>
      <w:jc w:val="left"/>
    </w:pPr>
    <w:rPr>
      <w:rFonts w:ascii="宋体" w:hAnsi="宋体"/>
      <w:color w:val="000000"/>
      <w:kern w:val="0"/>
      <w:sz w:val="18"/>
    </w:rPr>
  </w:style>
  <w:style w:type="paragraph" w:customStyle="1" w:styleId="162">
    <w:name w:val="称呼1"/>
    <w:basedOn w:val="1"/>
    <w:next w:val="1"/>
    <w:qFormat/>
    <w:uiPriority w:val="0"/>
    <w:rPr>
      <w:rFonts w:ascii="宋体" w:eastAsia="仿宋_GB2312"/>
    </w:rPr>
  </w:style>
  <w:style w:type="paragraph" w:customStyle="1" w:styleId="163">
    <w:name w:val="Char Char1"/>
    <w:basedOn w:val="1"/>
    <w:qFormat/>
    <w:uiPriority w:val="0"/>
    <w:pPr>
      <w:widowControl/>
      <w:spacing w:after="160" w:line="240" w:lineRule="exact"/>
      <w:jc w:val="left"/>
    </w:pPr>
    <w:rPr>
      <w:rFonts w:ascii="Verdana" w:hAnsi="Verdana"/>
      <w:kern w:val="0"/>
      <w:sz w:val="20"/>
      <w:lang w:eastAsia="en-US"/>
    </w:rPr>
  </w:style>
  <w:style w:type="paragraph" w:customStyle="1" w:styleId="164">
    <w:name w:val="p0"/>
    <w:basedOn w:val="1"/>
    <w:qFormat/>
    <w:uiPriority w:val="0"/>
    <w:pPr>
      <w:widowControl/>
      <w:jc w:val="left"/>
    </w:pPr>
    <w:rPr>
      <w:kern w:val="0"/>
      <w:sz w:val="20"/>
    </w:rPr>
  </w:style>
  <w:style w:type="paragraph" w:customStyle="1" w:styleId="165">
    <w:name w:val="Body"/>
    <w:basedOn w:val="1"/>
    <w:qFormat/>
    <w:uiPriority w:val="0"/>
    <w:pPr>
      <w:widowControl/>
      <w:spacing w:before="120"/>
      <w:ind w:firstLine="480"/>
    </w:pPr>
    <w:rPr>
      <w:rFonts w:ascii="Arial" w:hAnsi="Arial"/>
      <w:kern w:val="0"/>
      <w:sz w:val="24"/>
    </w:rPr>
  </w:style>
  <w:style w:type="paragraph" w:customStyle="1" w:styleId="166">
    <w:name w:val="样式2"/>
    <w:basedOn w:val="4"/>
    <w:qFormat/>
    <w:uiPriority w:val="0"/>
    <w:pPr>
      <w:spacing w:line="440" w:lineRule="exact"/>
      <w:jc w:val="center"/>
    </w:pPr>
    <w:rPr>
      <w:rFonts w:hAnsi="宋体"/>
      <w:b w:val="0"/>
      <w:sz w:val="32"/>
    </w:rPr>
  </w:style>
  <w:style w:type="paragraph" w:customStyle="1" w:styleId="167">
    <w:name w:val="列出段落1"/>
    <w:basedOn w:val="1"/>
    <w:qFormat/>
    <w:uiPriority w:val="0"/>
    <w:pPr>
      <w:widowControl/>
      <w:spacing w:after="200" w:line="276" w:lineRule="auto"/>
      <w:ind w:left="720"/>
      <w:jc w:val="left"/>
    </w:pPr>
    <w:rPr>
      <w:rFonts w:ascii="Cambria" w:hAnsi="Cambria"/>
      <w:kern w:val="0"/>
      <w:sz w:val="22"/>
    </w:rPr>
  </w:style>
  <w:style w:type="paragraph" w:customStyle="1" w:styleId="168">
    <w:name w:val="样式 标题 1 + 四号 居中 段前: 12 磅 段后: 12 磅 行距: 单倍行距"/>
    <w:basedOn w:val="3"/>
    <w:qFormat/>
    <w:uiPriority w:val="0"/>
    <w:pPr>
      <w:spacing w:before="240" w:after="240" w:line="240" w:lineRule="auto"/>
      <w:ind w:firstLine="288"/>
      <w:jc w:val="center"/>
    </w:pPr>
    <w:rPr>
      <w:rFonts w:eastAsia="宋体"/>
    </w:rPr>
  </w:style>
  <w:style w:type="paragraph" w:customStyle="1" w:styleId="169">
    <w:name w:val="p218"/>
    <w:basedOn w:val="1"/>
    <w:qFormat/>
    <w:uiPriority w:val="0"/>
    <w:pPr>
      <w:widowControl/>
      <w:jc w:val="left"/>
    </w:pPr>
    <w:rPr>
      <w:rFonts w:ascii="仿宋" w:hAnsi="宋体" w:eastAsia="仿宋"/>
      <w:kern w:val="0"/>
    </w:rPr>
  </w:style>
  <w:style w:type="paragraph" w:customStyle="1" w:styleId="170">
    <w:name w:val="正文文本 21"/>
    <w:basedOn w:val="1"/>
    <w:qFormat/>
    <w:uiPriority w:val="0"/>
    <w:rPr>
      <w:rFonts w:ascii="宋体" w:hAnsi="Courier New"/>
      <w:sz w:val="13"/>
    </w:rPr>
  </w:style>
  <w:style w:type="paragraph" w:customStyle="1" w:styleId="171">
    <w:name w:val="p14"/>
    <w:basedOn w:val="1"/>
    <w:qFormat/>
    <w:uiPriority w:val="0"/>
    <w:pPr>
      <w:widowControl/>
      <w:spacing w:line="480" w:lineRule="auto"/>
      <w:jc w:val="left"/>
    </w:pPr>
    <w:rPr>
      <w:rFonts w:ascii="宋体" w:hAnsi="宋体"/>
      <w:kern w:val="0"/>
    </w:rPr>
  </w:style>
  <w:style w:type="paragraph" w:customStyle="1" w:styleId="172">
    <w:name w:val="标题4"/>
    <w:basedOn w:val="1"/>
    <w:next w:val="6"/>
    <w:qFormat/>
    <w:uiPriority w:val="0"/>
    <w:pPr>
      <w:widowControl/>
      <w:jc w:val="left"/>
    </w:pPr>
    <w:rPr>
      <w:rFonts w:ascii="黑体" w:eastAsia="黑体"/>
      <w:kern w:val="0"/>
      <w:sz w:val="24"/>
    </w:rPr>
  </w:style>
  <w:style w:type="paragraph" w:customStyle="1" w:styleId="173">
    <w:name w:val="正文文本缩进 21"/>
    <w:basedOn w:val="1"/>
    <w:qFormat/>
    <w:uiPriority w:val="0"/>
    <w:pPr>
      <w:spacing w:after="120" w:line="480" w:lineRule="auto"/>
      <w:ind w:left="420" w:leftChars="200"/>
    </w:pPr>
  </w:style>
  <w:style w:type="paragraph" w:customStyle="1" w:styleId="174">
    <w:name w:val="p205"/>
    <w:basedOn w:val="1"/>
    <w:qFormat/>
    <w:uiPriority w:val="0"/>
    <w:pPr>
      <w:widowControl/>
      <w:spacing w:before="90" w:after="90"/>
      <w:jc w:val="center"/>
    </w:pPr>
    <w:rPr>
      <w:rFonts w:ascii="黑体" w:hAnsi="宋体" w:eastAsia="黑体"/>
      <w:kern w:val="0"/>
      <w:sz w:val="24"/>
    </w:rPr>
  </w:style>
  <w:style w:type="paragraph" w:customStyle="1" w:styleId="175">
    <w:name w:val="样式 正文1 + 段前: 0.4 行 段后: 0.4 行"/>
    <w:basedOn w:val="1"/>
    <w:qFormat/>
    <w:uiPriority w:val="0"/>
    <w:pPr>
      <w:adjustRightInd w:val="0"/>
      <w:spacing w:before="124" w:beforeLines="40" w:after="124" w:afterLines="40" w:line="500" w:lineRule="exact"/>
      <w:ind w:firstLine="504" w:firstLineChars="210"/>
      <w:textAlignment w:val="center"/>
    </w:pPr>
    <w:rPr>
      <w:kern w:val="0"/>
      <w:sz w:val="24"/>
    </w:rPr>
  </w:style>
  <w:style w:type="paragraph" w:customStyle="1" w:styleId="176">
    <w:name w:val="编号"/>
    <w:basedOn w:val="1"/>
    <w:next w:val="1"/>
    <w:qFormat/>
    <w:uiPriority w:val="0"/>
    <w:pPr>
      <w:tabs>
        <w:tab w:val="left" w:pos="480"/>
      </w:tabs>
      <w:ind w:left="200" w:hanging="200" w:hangingChars="200"/>
    </w:pPr>
    <w:rPr>
      <w:rFonts w:ascii="宋体"/>
      <w:sz w:val="24"/>
    </w:rPr>
  </w:style>
  <w:style w:type="paragraph" w:customStyle="1" w:styleId="177">
    <w:name w:val="样式1"/>
    <w:basedOn w:val="4"/>
    <w:qFormat/>
    <w:uiPriority w:val="0"/>
  </w:style>
  <w:style w:type="paragraph" w:customStyle="1" w:styleId="178">
    <w:name w:val="p223"/>
    <w:basedOn w:val="1"/>
    <w:qFormat/>
    <w:uiPriority w:val="0"/>
    <w:pPr>
      <w:widowControl/>
      <w:ind w:firstLine="3060"/>
      <w:jc w:val="right"/>
    </w:pPr>
    <w:rPr>
      <w:rFonts w:ascii="宋体" w:hAnsi="宋体"/>
      <w:kern w:val="0"/>
    </w:rPr>
  </w:style>
  <w:style w:type="paragraph" w:customStyle="1" w:styleId="179">
    <w:name w:val="正文 + 宋体"/>
    <w:basedOn w:val="1"/>
    <w:qFormat/>
    <w:uiPriority w:val="0"/>
    <w:pPr>
      <w:ind w:right="-135"/>
      <w:jc w:val="center"/>
      <w:outlineLvl w:val="2"/>
    </w:pPr>
    <w:rPr>
      <w:rFonts w:ascii="宋体" w:hAnsi="宋体"/>
      <w:w w:val="90"/>
      <w:sz w:val="32"/>
    </w:rPr>
  </w:style>
  <w:style w:type="paragraph" w:customStyle="1" w:styleId="180">
    <w:name w:val="Table Heading Char"/>
    <w:qFormat/>
    <w:uiPriority w:val="0"/>
    <w:pPr>
      <w:snapToGrid w:val="0"/>
      <w:jc w:val="center"/>
    </w:pPr>
    <w:rPr>
      <w:rFonts w:ascii="Arial" w:hAnsi="Arial" w:eastAsia="黑体" w:cs="Times New Roman"/>
      <w:kern w:val="2"/>
      <w:sz w:val="21"/>
      <w:lang w:val="en-US" w:eastAsia="zh-CN" w:bidi="ar-SA"/>
    </w:rPr>
  </w:style>
  <w:style w:type="paragraph" w:customStyle="1" w:styleId="181">
    <w:name w:val="正文_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82">
    <w:name w:val="修订2"/>
    <w:unhideWhenUsed/>
    <w:qFormat/>
    <w:uiPriority w:val="99"/>
    <w:rPr>
      <w:rFonts w:ascii="Times New Roman" w:hAnsi="Times New Roman" w:eastAsia="宋体" w:cs="Times New Roman"/>
      <w:kern w:val="2"/>
      <w:sz w:val="21"/>
      <w:lang w:val="en-US" w:eastAsia="zh-CN" w:bidi="ar-SA"/>
    </w:rPr>
  </w:style>
  <w:style w:type="paragraph" w:customStyle="1" w:styleId="183">
    <w:name w:val="p11"/>
    <w:basedOn w:val="1"/>
    <w:qFormat/>
    <w:uiPriority w:val="0"/>
    <w:pPr>
      <w:widowControl/>
      <w:spacing w:line="480" w:lineRule="auto"/>
      <w:ind w:firstLine="0" w:firstLineChars="0"/>
      <w:jc w:val="left"/>
    </w:pPr>
    <w:rPr>
      <w:rFonts w:ascii="宋体" w:hAnsi="宋体" w:cs="宋体"/>
      <w:kern w:val="0"/>
      <w:szCs w:val="21"/>
    </w:rPr>
  </w:style>
  <w:style w:type="paragraph" w:customStyle="1" w:styleId="184">
    <w:name w:val="p10"/>
    <w:basedOn w:val="1"/>
    <w:qFormat/>
    <w:uiPriority w:val="0"/>
    <w:pPr>
      <w:widowControl/>
      <w:spacing w:line="480" w:lineRule="auto"/>
      <w:ind w:firstLine="0" w:firstLineChars="0"/>
      <w:jc w:val="left"/>
    </w:pPr>
    <w:rPr>
      <w:rFonts w:ascii="宋体" w:hAnsi="宋体" w:cs="宋体"/>
      <w:kern w:val="0"/>
      <w:sz w:val="32"/>
      <w:szCs w:val="32"/>
    </w:rPr>
  </w:style>
  <w:style w:type="paragraph" w:customStyle="1" w:styleId="185">
    <w:name w:val="p7"/>
    <w:basedOn w:val="1"/>
    <w:qFormat/>
    <w:uiPriority w:val="0"/>
    <w:pPr>
      <w:widowControl/>
      <w:spacing w:line="480" w:lineRule="auto"/>
      <w:ind w:firstLine="0" w:firstLineChars="0"/>
      <w:jc w:val="center"/>
    </w:pPr>
    <w:rPr>
      <w:rFonts w:ascii="黑体" w:hAnsi="黑体" w:eastAsia="黑体" w:cs="宋体"/>
      <w:kern w:val="0"/>
      <w:sz w:val="28"/>
      <w:szCs w:val="28"/>
    </w:rPr>
  </w:style>
  <w:style w:type="character" w:customStyle="1" w:styleId="186">
    <w:name w:val="NormalCharacter"/>
    <w:qFormat/>
    <w:uiPriority w:val="0"/>
  </w:style>
  <w:style w:type="paragraph" w:customStyle="1" w:styleId="187">
    <w:name w:val="p1"/>
    <w:basedOn w:val="1"/>
    <w:qFormat/>
    <w:uiPriority w:val="0"/>
    <w:pPr>
      <w:widowControl/>
      <w:spacing w:line="480" w:lineRule="auto"/>
      <w:ind w:firstLine="0" w:firstLineChars="0"/>
      <w:jc w:val="center"/>
    </w:pPr>
    <w:rPr>
      <w:rFonts w:ascii="宋体" w:hAnsi="宋体" w:cs="宋体"/>
      <w:kern w:val="0"/>
      <w:sz w:val="28"/>
      <w:szCs w:val="28"/>
    </w:rPr>
  </w:style>
  <w:style w:type="character" w:customStyle="1" w:styleId="188">
    <w:name w:val="纯文本 Char3"/>
    <w:qFormat/>
    <w:uiPriority w:val="0"/>
    <w:rPr>
      <w:rFonts w:ascii="宋体" w:hAnsi="Courier New" w:eastAsia="宋体"/>
      <w:kern w:val="2"/>
      <w:sz w:val="21"/>
      <w:lang w:val="en-US" w:eastAsia="zh-CN"/>
    </w:rPr>
  </w:style>
  <w:style w:type="paragraph" w:customStyle="1" w:styleId="189">
    <w:name w:val="纯文本2"/>
    <w:basedOn w:val="1"/>
    <w:qFormat/>
    <w:uiPriority w:val="0"/>
    <w:rPr>
      <w:rFonts w:ascii="宋体" w:hAnsi="Courier New"/>
    </w:rPr>
  </w:style>
  <w:style w:type="paragraph" w:customStyle="1" w:styleId="190">
    <w:name w:val="普通(网站)2"/>
    <w:basedOn w:val="1"/>
    <w:qFormat/>
    <w:uiPriority w:val="0"/>
    <w:pPr>
      <w:widowControl/>
      <w:spacing w:before="100" w:beforeAutospacing="1" w:after="100" w:afterAutospacing="1"/>
      <w:jc w:val="left"/>
    </w:pPr>
    <w:rPr>
      <w:rFonts w:ascii="宋体" w:hAnsi="宋体"/>
      <w:color w:val="000000"/>
      <w:kern w:val="0"/>
      <w:sz w:val="18"/>
    </w:rPr>
  </w:style>
  <w:style w:type="table" w:customStyle="1" w:styleId="191">
    <w:name w:val="Table Normal"/>
    <w:unhideWhenUsed/>
    <w:qFormat/>
    <w:uiPriority w:val="2"/>
    <w:pPr>
      <w:widowControl w:val="0"/>
    </w:pPr>
    <w:rPr>
      <w:sz w:val="22"/>
      <w:lang w:val="en-US" w:eastAsia="en-US" w:bidi="ar-SA"/>
    </w:rPr>
    <w:tblPr>
      <w:tblCellMar>
        <w:top w:w="0" w:type="dxa"/>
        <w:left w:w="0" w:type="dxa"/>
        <w:bottom w:w="0" w:type="dxa"/>
        <w:right w:w="0" w:type="dxa"/>
      </w:tblCellMar>
    </w:tblPr>
  </w:style>
  <w:style w:type="paragraph" w:customStyle="1" w:styleId="192">
    <w:name w:val="Revision"/>
    <w:unhideWhenUsed/>
    <w:qFormat/>
    <w:uiPriority w:val="99"/>
    <w:rPr>
      <w:rFonts w:ascii="Times New Roman" w:hAnsi="Times New Roman" w:eastAsia="宋体" w:cs="Times New Roman"/>
      <w:kern w:val="2"/>
      <w:sz w:val="21"/>
      <w:lang w:val="en-US" w:eastAsia="zh-CN" w:bidi="ar-SA"/>
    </w:rPr>
  </w:style>
  <w:style w:type="paragraph" w:customStyle="1" w:styleId="193">
    <w:name w:val="Body text|1"/>
    <w:basedOn w:val="1"/>
    <w:qFormat/>
    <w:uiPriority w:val="0"/>
    <w:pPr>
      <w:spacing w:line="295" w:lineRule="auto"/>
      <w:jc w:val="left"/>
    </w:pPr>
    <w:rPr>
      <w:rFonts w:ascii="宋体" w:hAnsi="宋体" w:cs="宋体"/>
      <w:kern w:val="0"/>
      <w:sz w:val="22"/>
      <w:szCs w:val="22"/>
      <w:lang w:val="zh-TW" w:eastAsia="zh-TW" w:bidi="zh-TW"/>
    </w:rPr>
  </w:style>
  <w:style w:type="character" w:customStyle="1" w:styleId="194">
    <w:name w:val="font61"/>
    <w:basedOn w:val="36"/>
    <w:qFormat/>
    <w:uiPriority w:val="0"/>
    <w:rPr>
      <w:rFonts w:hint="eastAsia" w:ascii="宋体" w:hAnsi="宋体" w:eastAsia="宋体" w:cs="宋体"/>
      <w:color w:val="000000"/>
      <w:sz w:val="20"/>
      <w:szCs w:val="20"/>
      <w:u w:val="none"/>
    </w:rPr>
  </w:style>
  <w:style w:type="character" w:customStyle="1" w:styleId="195">
    <w:name w:val="Body text|2 Exact"/>
    <w:unhideWhenUsed/>
    <w:qFormat/>
    <w:uiPriority w:val="0"/>
    <w:rPr>
      <w:rFonts w:ascii="PMingLiU" w:hAnsi="PMingLiU" w:eastAsia="PMingLiU" w:cs="PMingLiU"/>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1.xml"/><Relationship Id="rId7" Type="http://schemas.openxmlformats.org/officeDocument/2006/relationships/header" Target="header1.xml"/><Relationship Id="rId6" Type="http://schemas.openxmlformats.org/officeDocument/2006/relationships/endnotes" Target="endnotes.xml"/><Relationship Id="rId5" Type="http://schemas.openxmlformats.org/officeDocument/2006/relationships/footnotes" Target="footnotes.xml"/><Relationship Id="rId4" Type="http://schemas.microsoft.com/office/2011/relationships/commentsExtended" Target="commentsExtended.xml"/><Relationship Id="rId3" Type="http://schemas.openxmlformats.org/officeDocument/2006/relationships/comments" Target="comments.xml"/><Relationship Id="rId21" Type="http://schemas.microsoft.com/office/2011/relationships/people" Target="people.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6.xml"/><Relationship Id="rId15" Type="http://schemas.openxmlformats.org/officeDocument/2006/relationships/header" Target="header4.xml"/><Relationship Id="rId14" Type="http://schemas.openxmlformats.org/officeDocument/2006/relationships/footer" Target="footer5.xml"/><Relationship Id="rId13" Type="http://schemas.openxmlformats.org/officeDocument/2006/relationships/footer" Target="footer4.xml"/><Relationship Id="rId12" Type="http://schemas.openxmlformats.org/officeDocument/2006/relationships/footer" Target="footer3.xml"/><Relationship Id="rId11" Type="http://schemas.openxmlformats.org/officeDocument/2006/relationships/footer" Target="footer2.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84</Pages>
  <Words>2689</Words>
  <Characters>2867</Characters>
  <Lines>314</Lines>
  <Paragraphs>88</Paragraphs>
  <TotalTime>104</TotalTime>
  <ScaleCrop>false</ScaleCrop>
  <LinksUpToDate>false</LinksUpToDate>
  <CharactersWithSpaces>2914</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2026-01-06T07:02:00Z</dcterms:created>
  <dc:creator>国瑞招标</dc:creator>
  <cp:lastModifiedBy>阳厚祺</cp:lastModifiedBy>
  <cp:lastPrinted>2026-03-26T09:21:00Z</cp:lastPrinted>
  <dcterms:modified xsi:type="dcterms:W3CDTF">2026-04-22T02:03:00Z</dcterms:modified>
  <dc:title>国瑞招标</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12101C2F33CB5C261AEEE16933F5585E_43</vt:lpwstr>
  </property>
  <property fmtid="{D5CDD505-2E9C-101B-9397-08002B2CF9AE}" pid="3" name="KSOProductBuildVer">
    <vt:lpwstr>2052-12.1.0.25865</vt:lpwstr>
  </property>
  <property fmtid="{D5CDD505-2E9C-101B-9397-08002B2CF9AE}" pid="4" name="KSOTemplateDocerSaveRecord">
    <vt:lpwstr>eyJoZGlkIjoiMWNmYTUyNTlkMjkyNTM3Y2FmY2I1YzgyNmIzNTZlMGMiLCJ1c2VySWQiOiI3NTExMzUyMzIifQ==</vt:lpwstr>
  </property>
</Properties>
</file>