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7783A">
      <w:pPr>
        <w:tabs>
          <w:tab w:val="left" w:pos="180"/>
        </w:tabs>
        <w:spacing w:line="600" w:lineRule="auto"/>
        <w:jc w:val="center"/>
        <w:rPr>
          <w:rFonts w:hint="eastAsia" w:ascii="黑体" w:hAnsi="黑体" w:eastAsia="黑体" w:cs="黑体"/>
          <w:color w:val="auto"/>
          <w:highlight w:val="none"/>
        </w:rPr>
      </w:pPr>
      <w:r>
        <w:rPr>
          <w:rFonts w:hint="eastAsia" w:ascii="黑体" w:hAnsi="黑体" w:eastAsia="黑体" w:cs="黑体"/>
          <w:b/>
          <w:bCs/>
          <w:color w:val="auto"/>
          <w:sz w:val="44"/>
          <w:szCs w:val="44"/>
          <w:highlight w:val="none"/>
          <w:lang w:val="en-US" w:eastAsia="zh-CN"/>
        </w:rPr>
        <w:t>2026年上海市对口帮扶龙陵县龙山镇横山村石斛鲜切花种植试验示范基地建设项目（EPC+O）</w:t>
      </w:r>
    </w:p>
    <w:p w14:paraId="020B3971">
      <w:pPr>
        <w:rPr>
          <w:rFonts w:hint="eastAsia" w:ascii="黑体" w:hAnsi="黑体" w:eastAsia="黑体" w:cs="黑体"/>
          <w:color w:val="auto"/>
          <w:highlight w:val="none"/>
        </w:rPr>
      </w:pPr>
    </w:p>
    <w:p w14:paraId="0E9A5072">
      <w:pPr>
        <w:pStyle w:val="21"/>
        <w:rPr>
          <w:rFonts w:hint="eastAsia" w:ascii="黑体" w:hAnsi="黑体" w:eastAsia="黑体" w:cs="黑体"/>
          <w:color w:val="auto"/>
          <w:highlight w:val="none"/>
        </w:rPr>
      </w:pPr>
    </w:p>
    <w:p w14:paraId="0B6AB829">
      <w:pPr>
        <w:rPr>
          <w:rFonts w:hint="eastAsia"/>
          <w:color w:val="auto"/>
          <w:highlight w:val="none"/>
        </w:rPr>
      </w:pPr>
    </w:p>
    <w:p w14:paraId="4A31EE8F">
      <w:pPr>
        <w:jc w:val="center"/>
        <w:rPr>
          <w:rFonts w:hint="eastAsia" w:ascii="黑体" w:hAnsi="黑体" w:eastAsia="黑体" w:cs="黑体"/>
          <w:color w:val="auto"/>
          <w:highlight w:val="none"/>
        </w:rPr>
      </w:pPr>
      <w:r>
        <w:rPr>
          <w:rFonts w:hint="eastAsia" w:ascii="黑体" w:hAnsi="黑体" w:eastAsia="黑体" w:cs="黑体"/>
          <w:color w:val="auto"/>
          <w:sz w:val="72"/>
          <w:szCs w:val="72"/>
          <w:highlight w:val="none"/>
        </w:rPr>
        <w:t>招 标 文 件</w:t>
      </w:r>
      <w:bookmarkStart w:id="1805" w:name="_GoBack"/>
      <w:bookmarkEnd w:id="1805"/>
    </w:p>
    <w:p w14:paraId="66A279BA">
      <w:pPr>
        <w:spacing w:line="400" w:lineRule="exact"/>
        <w:rPr>
          <w:rFonts w:hint="eastAsia" w:ascii="黑体" w:hAnsi="黑体" w:eastAsia="黑体" w:cs="黑体"/>
          <w:color w:val="auto"/>
          <w:highlight w:val="none"/>
        </w:rPr>
      </w:pPr>
    </w:p>
    <w:p w14:paraId="2FC259F2">
      <w:pPr>
        <w:spacing w:line="400" w:lineRule="exact"/>
        <w:jc w:val="center"/>
        <w:rPr>
          <w:rFonts w:hint="default" w:ascii="黑体" w:hAnsi="黑体" w:eastAsia="黑体" w:cs="黑体"/>
          <w:b/>
          <w:bCs/>
          <w:color w:val="auto"/>
          <w:sz w:val="28"/>
          <w:szCs w:val="28"/>
          <w:highlight w:val="none"/>
          <w:lang w:val="en-US" w:eastAsia="zh-CN"/>
        </w:rPr>
      </w:pPr>
      <w:r>
        <w:rPr>
          <w:rFonts w:hint="eastAsia" w:ascii="黑体" w:hAnsi="黑体" w:eastAsia="黑体" w:cs="黑体"/>
          <w:b/>
          <w:bCs/>
          <w:color w:val="auto"/>
          <w:sz w:val="28"/>
          <w:szCs w:val="28"/>
          <w:highlight w:val="none"/>
          <w:lang w:eastAsia="zh-CN"/>
        </w:rPr>
        <w:t>项目</w:t>
      </w:r>
      <w:r>
        <w:rPr>
          <w:rFonts w:hint="eastAsia" w:ascii="黑体" w:hAnsi="黑体" w:eastAsia="黑体" w:cs="黑体"/>
          <w:b/>
          <w:bCs/>
          <w:color w:val="auto"/>
          <w:sz w:val="28"/>
          <w:szCs w:val="28"/>
          <w:highlight w:val="none"/>
        </w:rPr>
        <w:t>编号：</w:t>
      </w:r>
      <w:r>
        <w:rPr>
          <w:rFonts w:hint="eastAsia" w:ascii="黑体" w:hAnsi="黑体" w:eastAsia="黑体" w:cs="黑体"/>
          <w:b/>
          <w:bCs/>
          <w:color w:val="auto"/>
          <w:sz w:val="28"/>
          <w:szCs w:val="28"/>
          <w:highlight w:val="none"/>
          <w:lang w:val="en-US" w:eastAsia="zh-CN"/>
        </w:rPr>
        <w:t>YNCCGC-2026-003</w:t>
      </w:r>
    </w:p>
    <w:p w14:paraId="788EF4D2">
      <w:pPr>
        <w:spacing w:line="400" w:lineRule="exact"/>
        <w:rPr>
          <w:rFonts w:hint="eastAsia" w:ascii="黑体" w:hAnsi="黑体" w:eastAsia="黑体" w:cs="黑体"/>
          <w:color w:val="auto"/>
          <w:highlight w:val="none"/>
        </w:rPr>
      </w:pPr>
    </w:p>
    <w:p w14:paraId="4ACE8C1D">
      <w:pPr>
        <w:rPr>
          <w:rFonts w:hint="eastAsia" w:ascii="黑体" w:hAnsi="黑体" w:eastAsia="黑体" w:cs="黑体"/>
          <w:color w:val="auto"/>
          <w:highlight w:val="none"/>
          <w:lang w:val="en-US" w:eastAsia="zh-CN"/>
        </w:rPr>
      </w:pPr>
    </w:p>
    <w:p w14:paraId="1394E47D">
      <w:pPr>
        <w:jc w:val="center"/>
        <w:rPr>
          <w:rFonts w:hint="eastAsia" w:ascii="黑体" w:hAnsi="黑体" w:eastAsia="黑体" w:cs="黑体"/>
          <w:color w:val="auto"/>
          <w:highlight w:val="none"/>
          <w:lang w:eastAsia="zh-CN"/>
        </w:rPr>
      </w:pPr>
      <w:r>
        <w:rPr>
          <w:rFonts w:hint="eastAsia" w:ascii="黑体" w:hAnsi="黑体" w:eastAsia="黑体" w:cs="黑体"/>
          <w:color w:val="auto"/>
          <w:highlight w:val="none"/>
          <w:lang w:val="en-US" w:eastAsia="zh-CN"/>
        </w:rPr>
        <w:t xml:space="preserve">  </w:t>
      </w:r>
    </w:p>
    <w:p w14:paraId="5D77FA93">
      <w:pPr>
        <w:spacing w:line="400" w:lineRule="exact"/>
        <w:rPr>
          <w:rFonts w:hint="eastAsia" w:ascii="黑体" w:hAnsi="黑体" w:eastAsia="黑体" w:cs="黑体"/>
          <w:color w:val="auto"/>
          <w:highlight w:val="none"/>
        </w:rPr>
      </w:pPr>
      <w:r>
        <w:rPr>
          <w:color w:val="auto"/>
          <w:highlight w:val="none"/>
        </w:rPr>
        <w:drawing>
          <wp:anchor distT="0" distB="0" distL="114300" distR="114300" simplePos="0" relativeHeight="251659264" behindDoc="0" locked="0" layoutInCell="1" allowOverlap="1">
            <wp:simplePos x="0" y="0"/>
            <wp:positionH relativeFrom="column">
              <wp:posOffset>1329055</wp:posOffset>
            </wp:positionH>
            <wp:positionV relativeFrom="paragraph">
              <wp:posOffset>187960</wp:posOffset>
            </wp:positionV>
            <wp:extent cx="3155315" cy="2334260"/>
            <wp:effectExtent l="0" t="0" r="0" b="0"/>
            <wp:wrapNone/>
            <wp:docPr id="1" name="图片 1" descr="宸诚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宸诚2"/>
                    <pic:cNvPicPr>
                      <a:picLocks noChangeAspect="1"/>
                    </pic:cNvPicPr>
                  </pic:nvPicPr>
                  <pic:blipFill>
                    <a:blip r:embed="rId15"/>
                    <a:stretch>
                      <a:fillRect/>
                    </a:stretch>
                  </pic:blipFill>
                  <pic:spPr>
                    <a:xfrm>
                      <a:off x="0" y="0"/>
                      <a:ext cx="3155315" cy="2334260"/>
                    </a:xfrm>
                    <a:prstGeom prst="rect">
                      <a:avLst/>
                    </a:prstGeom>
                    <a:noFill/>
                    <a:ln>
                      <a:noFill/>
                    </a:ln>
                  </pic:spPr>
                </pic:pic>
              </a:graphicData>
            </a:graphic>
          </wp:anchor>
        </w:drawing>
      </w:r>
    </w:p>
    <w:p w14:paraId="238A71C3">
      <w:pPr>
        <w:spacing w:line="400" w:lineRule="exact"/>
        <w:rPr>
          <w:rFonts w:hint="eastAsia" w:ascii="黑体" w:hAnsi="黑体" w:eastAsia="黑体" w:cs="黑体"/>
          <w:color w:val="auto"/>
          <w:highlight w:val="none"/>
        </w:rPr>
      </w:pPr>
    </w:p>
    <w:p w14:paraId="6F8EAE48">
      <w:pPr>
        <w:spacing w:line="400" w:lineRule="exact"/>
        <w:rPr>
          <w:rFonts w:hint="eastAsia" w:ascii="黑体" w:hAnsi="黑体" w:eastAsia="黑体" w:cs="黑体"/>
          <w:color w:val="auto"/>
          <w:highlight w:val="none"/>
        </w:rPr>
      </w:pPr>
    </w:p>
    <w:p w14:paraId="40B3B70E">
      <w:pPr>
        <w:pStyle w:val="114"/>
        <w:rPr>
          <w:rFonts w:hint="eastAsia"/>
          <w:color w:val="auto"/>
          <w:highlight w:val="none"/>
        </w:rPr>
      </w:pPr>
    </w:p>
    <w:p w14:paraId="265B3387">
      <w:pPr>
        <w:spacing w:line="400" w:lineRule="exact"/>
        <w:rPr>
          <w:rFonts w:hint="eastAsia" w:ascii="黑体" w:hAnsi="黑体" w:eastAsia="黑体" w:cs="黑体"/>
          <w:color w:val="auto"/>
          <w:highlight w:val="none"/>
        </w:rPr>
      </w:pPr>
    </w:p>
    <w:p w14:paraId="50B95C01">
      <w:pPr>
        <w:pStyle w:val="34"/>
        <w:rPr>
          <w:rFonts w:hint="eastAsia" w:ascii="黑体" w:hAnsi="黑体" w:eastAsia="黑体" w:cs="黑体"/>
          <w:color w:val="auto"/>
          <w:highlight w:val="none"/>
        </w:rPr>
      </w:pPr>
    </w:p>
    <w:p w14:paraId="2BCFC68E">
      <w:pPr>
        <w:pStyle w:val="34"/>
        <w:rPr>
          <w:rFonts w:hint="eastAsia" w:ascii="黑体" w:hAnsi="黑体" w:eastAsia="黑体" w:cs="黑体"/>
          <w:color w:val="auto"/>
          <w:highlight w:val="none"/>
        </w:rPr>
      </w:pPr>
    </w:p>
    <w:p w14:paraId="181AE7EC">
      <w:pPr>
        <w:pStyle w:val="34"/>
        <w:rPr>
          <w:rFonts w:hint="eastAsia" w:ascii="黑体" w:hAnsi="黑体" w:eastAsia="黑体" w:cs="黑体"/>
          <w:color w:val="auto"/>
          <w:highlight w:val="none"/>
        </w:rPr>
      </w:pPr>
    </w:p>
    <w:p w14:paraId="7F8A82A7">
      <w:pPr>
        <w:rPr>
          <w:rFonts w:hint="eastAsia" w:ascii="黑体" w:hAnsi="黑体" w:eastAsia="黑体" w:cs="黑体"/>
          <w:color w:val="auto"/>
          <w:highlight w:val="none"/>
        </w:rPr>
      </w:pPr>
    </w:p>
    <w:p w14:paraId="0D8346D3">
      <w:pPr>
        <w:pStyle w:val="34"/>
        <w:rPr>
          <w:rFonts w:hint="eastAsia" w:ascii="黑体" w:hAnsi="黑体" w:eastAsia="黑体" w:cs="黑体"/>
          <w:color w:val="auto"/>
          <w:highlight w:val="none"/>
        </w:rPr>
      </w:pPr>
    </w:p>
    <w:p w14:paraId="321F88E4">
      <w:pPr>
        <w:rPr>
          <w:rFonts w:hint="eastAsia" w:ascii="黑体" w:hAnsi="黑体" w:eastAsia="黑体" w:cs="黑体"/>
          <w:color w:val="auto"/>
          <w:highlight w:val="none"/>
        </w:rPr>
      </w:pPr>
    </w:p>
    <w:p w14:paraId="7CE76E11">
      <w:pPr>
        <w:pStyle w:val="34"/>
        <w:rPr>
          <w:rFonts w:hint="eastAsia" w:ascii="黑体" w:hAnsi="黑体" w:eastAsia="黑体" w:cs="黑体"/>
          <w:color w:val="auto"/>
          <w:highlight w:val="none"/>
        </w:rPr>
      </w:pPr>
    </w:p>
    <w:p w14:paraId="6BE3B901">
      <w:pPr>
        <w:rPr>
          <w:rFonts w:hint="eastAsia"/>
          <w:color w:val="auto"/>
          <w:highlight w:val="none"/>
        </w:rPr>
      </w:pPr>
    </w:p>
    <w:p w14:paraId="58875020">
      <w:pPr>
        <w:spacing w:line="400" w:lineRule="exact"/>
        <w:rPr>
          <w:rFonts w:hint="eastAsia" w:ascii="黑体" w:hAnsi="黑体" w:eastAsia="黑体" w:cs="黑体"/>
          <w:color w:val="auto"/>
          <w:highlight w:val="none"/>
        </w:rPr>
      </w:pPr>
    </w:p>
    <w:p w14:paraId="496650B3">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rPr>
          <w:rFonts w:hint="eastAsia" w:ascii="宋体" w:hAnsi="宋体" w:eastAsia="宋体" w:cs="宋体"/>
          <w:b/>
          <w:bCs/>
          <w:color w:val="auto"/>
          <w:kern w:val="0"/>
          <w:sz w:val="30"/>
          <w:szCs w:val="30"/>
          <w:highlight w:val="none"/>
          <w:lang w:eastAsia="zh-CN"/>
        </w:rPr>
      </w:pPr>
      <w:bookmarkStart w:id="0" w:name="_Toc300834926"/>
      <w:bookmarkStart w:id="1" w:name="_Toc401232510"/>
      <w:bookmarkStart w:id="2" w:name="_Toc144974478"/>
      <w:bookmarkStart w:id="3" w:name="_Toc247527532"/>
      <w:bookmarkStart w:id="4" w:name="_Toc152042286"/>
      <w:bookmarkStart w:id="5" w:name="_Toc430941147"/>
      <w:r>
        <w:rPr>
          <w:rFonts w:hint="eastAsia" w:ascii="宋体" w:hAnsi="宋体" w:eastAsia="宋体" w:cs="宋体"/>
          <w:b/>
          <w:bCs/>
          <w:color w:val="auto"/>
          <w:kern w:val="0"/>
          <w:sz w:val="30"/>
          <w:szCs w:val="30"/>
          <w:highlight w:val="none"/>
          <w:lang w:eastAsia="zh-CN"/>
        </w:rPr>
        <w:t>招标人：龙陵县龙山镇人民政府</w:t>
      </w:r>
    </w:p>
    <w:p w14:paraId="1EFDBCBC">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rPr>
          <w:rFonts w:hint="eastAsia" w:ascii="宋体" w:hAnsi="宋体" w:eastAsia="宋体" w:cs="宋体"/>
          <w:b/>
          <w:bCs/>
          <w:color w:val="auto"/>
          <w:kern w:val="0"/>
          <w:sz w:val="30"/>
          <w:szCs w:val="30"/>
          <w:highlight w:val="none"/>
          <w:lang w:eastAsia="zh-CN"/>
        </w:rPr>
      </w:pPr>
      <w:r>
        <w:rPr>
          <w:rFonts w:hint="eastAsia" w:ascii="宋体" w:hAnsi="宋体" w:eastAsia="宋体" w:cs="宋体"/>
          <w:b/>
          <w:bCs/>
          <w:color w:val="auto"/>
          <w:kern w:val="0"/>
          <w:sz w:val="30"/>
          <w:szCs w:val="30"/>
          <w:highlight w:val="none"/>
          <w:lang w:eastAsia="zh-CN"/>
        </w:rPr>
        <w:t>招标代理机构：云南宸诚工程项目管理有限公司</w:t>
      </w:r>
    </w:p>
    <w:p w14:paraId="33F0EB4D">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rPr>
          <w:rFonts w:hint="eastAsia" w:ascii="宋体" w:hAnsi="宋体" w:eastAsia="宋体" w:cs="宋体"/>
          <w:b/>
          <w:bCs/>
          <w:color w:val="auto"/>
          <w:kern w:val="0"/>
          <w:sz w:val="30"/>
          <w:szCs w:val="30"/>
          <w:highlight w:val="none"/>
          <w:lang w:val="zh-CN" w:eastAsia="zh-CN"/>
        </w:rPr>
      </w:pPr>
      <w:r>
        <w:rPr>
          <w:rFonts w:hint="eastAsia" w:ascii="宋体" w:hAnsi="宋体" w:eastAsia="宋体" w:cs="宋体"/>
          <w:b/>
          <w:bCs/>
          <w:color w:val="auto"/>
          <w:kern w:val="0"/>
          <w:sz w:val="30"/>
          <w:szCs w:val="30"/>
          <w:highlight w:val="none"/>
          <w:lang w:val="en-US" w:eastAsia="zh-CN"/>
        </w:rPr>
        <w:t>时间：</w:t>
      </w:r>
      <w:r>
        <w:rPr>
          <w:rFonts w:hint="eastAsia" w:ascii="宋体" w:hAnsi="宋体" w:eastAsia="宋体" w:cs="宋体"/>
          <w:b/>
          <w:bCs/>
          <w:color w:val="auto"/>
          <w:kern w:val="0"/>
          <w:sz w:val="30"/>
          <w:szCs w:val="30"/>
          <w:highlight w:val="none"/>
          <w:lang w:eastAsia="zh-CN"/>
        </w:rPr>
        <w:t>二零二</w:t>
      </w:r>
      <w:r>
        <w:rPr>
          <w:rFonts w:hint="eastAsia" w:ascii="宋体" w:hAnsi="宋体" w:cs="宋体"/>
          <w:b/>
          <w:bCs/>
          <w:color w:val="auto"/>
          <w:kern w:val="0"/>
          <w:sz w:val="30"/>
          <w:szCs w:val="30"/>
          <w:highlight w:val="none"/>
          <w:lang w:val="en-US" w:eastAsia="zh-CN"/>
        </w:rPr>
        <w:t>六</w:t>
      </w:r>
      <w:r>
        <w:rPr>
          <w:rFonts w:hint="eastAsia" w:ascii="宋体" w:hAnsi="宋体" w:eastAsia="宋体" w:cs="宋体"/>
          <w:b/>
          <w:bCs/>
          <w:color w:val="auto"/>
          <w:kern w:val="0"/>
          <w:sz w:val="30"/>
          <w:szCs w:val="30"/>
          <w:highlight w:val="none"/>
          <w:lang w:eastAsia="zh-CN"/>
        </w:rPr>
        <w:t>年</w:t>
      </w:r>
      <w:r>
        <w:rPr>
          <w:rFonts w:hint="eastAsia" w:ascii="宋体" w:hAnsi="宋体" w:cs="宋体"/>
          <w:b/>
          <w:bCs/>
          <w:color w:val="auto"/>
          <w:kern w:val="0"/>
          <w:sz w:val="30"/>
          <w:szCs w:val="30"/>
          <w:highlight w:val="none"/>
          <w:lang w:val="en-US" w:eastAsia="zh-CN"/>
        </w:rPr>
        <w:t xml:space="preserve">  </w:t>
      </w:r>
      <w:r>
        <w:rPr>
          <w:rFonts w:hint="eastAsia" w:ascii="宋体" w:hAnsi="宋体" w:eastAsia="宋体" w:cs="宋体"/>
          <w:b/>
          <w:bCs/>
          <w:color w:val="auto"/>
          <w:kern w:val="0"/>
          <w:sz w:val="30"/>
          <w:szCs w:val="30"/>
          <w:highlight w:val="none"/>
          <w:lang w:eastAsia="zh-CN"/>
        </w:rPr>
        <w:t>月</w:t>
      </w:r>
    </w:p>
    <w:p w14:paraId="16A3DFB9">
      <w:pPr>
        <w:rPr>
          <w:rFonts w:hint="eastAsia" w:cs="宋体"/>
          <w:color w:val="auto"/>
          <w:highlight w:val="none"/>
          <w:lang w:val="zh-CN"/>
        </w:rPr>
      </w:pPr>
    </w:p>
    <w:p w14:paraId="2A67FB5B">
      <w:pPr>
        <w:pStyle w:val="21"/>
        <w:rPr>
          <w:rFonts w:hint="eastAsia" w:cs="宋体"/>
          <w:color w:val="auto"/>
          <w:highlight w:val="none"/>
          <w:lang w:val="zh-CN"/>
        </w:rPr>
      </w:pPr>
    </w:p>
    <w:p w14:paraId="3E28EFAE">
      <w:pPr>
        <w:rPr>
          <w:rFonts w:hint="eastAsia"/>
          <w:color w:val="auto"/>
          <w:highlight w:val="none"/>
          <w:lang w:val="zh-CN"/>
        </w:rPr>
      </w:pPr>
    </w:p>
    <w:p w14:paraId="19EFC0BA">
      <w:pPr>
        <w:pStyle w:val="664"/>
        <w:jc w:val="center"/>
        <w:rPr>
          <w:rFonts w:cs="Times New Roman"/>
          <w:color w:val="auto"/>
          <w:sz w:val="44"/>
          <w:szCs w:val="44"/>
          <w:highlight w:val="none"/>
        </w:rPr>
      </w:pPr>
      <w:r>
        <w:rPr>
          <w:rFonts w:hint="eastAsia" w:cs="宋体"/>
          <w:color w:val="auto"/>
          <w:sz w:val="44"/>
          <w:szCs w:val="44"/>
          <w:highlight w:val="none"/>
          <w:lang w:val="zh-CN"/>
        </w:rPr>
        <w:t>目</w:t>
      </w:r>
      <w:r>
        <w:rPr>
          <w:rFonts w:hint="eastAsia" w:cs="宋体"/>
          <w:color w:val="auto"/>
          <w:sz w:val="44"/>
          <w:szCs w:val="44"/>
          <w:highlight w:val="none"/>
          <w:lang w:val="en-US" w:eastAsia="zh-CN"/>
        </w:rPr>
        <w:t xml:space="preserve">  </w:t>
      </w:r>
      <w:r>
        <w:rPr>
          <w:rFonts w:hint="eastAsia" w:cs="宋体"/>
          <w:color w:val="auto"/>
          <w:sz w:val="44"/>
          <w:szCs w:val="44"/>
          <w:highlight w:val="none"/>
          <w:lang w:val="zh-CN"/>
        </w:rPr>
        <w:t>录</w:t>
      </w:r>
    </w:p>
    <w:p w14:paraId="164BB76E">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"_Toc27061" </w:instrText>
      </w:r>
      <w:r>
        <w:rPr>
          <w:color w:val="auto"/>
          <w:highlight w:val="none"/>
        </w:rPr>
        <w:fldChar w:fldCharType="separate"/>
      </w:r>
      <w:r>
        <w:rPr>
          <w:rFonts w:hint="eastAsia" w:ascii="宋体" w:hAnsi="宋体" w:eastAsia="宋体" w:cs="宋体"/>
          <w:color w:val="auto"/>
          <w:sz w:val="22"/>
          <w:szCs w:val="22"/>
          <w:highlight w:val="none"/>
        </w:rPr>
        <w:t>第一卷</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_Toc27061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7D18F2F0">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"_Toc16320" </w:instrText>
      </w:r>
      <w:r>
        <w:rPr>
          <w:color w:val="auto"/>
          <w:highlight w:val="none"/>
        </w:rPr>
        <w:fldChar w:fldCharType="separate"/>
      </w:r>
      <w:r>
        <w:rPr>
          <w:rFonts w:hint="eastAsia" w:ascii="宋体" w:hAnsi="宋体" w:eastAsia="宋体" w:cs="宋体"/>
          <w:color w:val="auto"/>
          <w:sz w:val="22"/>
          <w:szCs w:val="22"/>
          <w:highlight w:val="none"/>
        </w:rPr>
        <w:t>第一章 招标公告</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_Toc16320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4FC2F9E7">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"_Toc23247" </w:instrText>
      </w:r>
      <w:r>
        <w:rPr>
          <w:color w:val="auto"/>
          <w:highlight w:val="none"/>
        </w:rPr>
        <w:fldChar w:fldCharType="separate"/>
      </w:r>
      <w:r>
        <w:rPr>
          <w:rFonts w:hint="eastAsia" w:ascii="宋体" w:hAnsi="宋体" w:eastAsia="宋体" w:cs="宋体"/>
          <w:color w:val="auto"/>
          <w:sz w:val="22"/>
          <w:szCs w:val="22"/>
          <w:highlight w:val="none"/>
        </w:rPr>
        <w:t>第二章 投标人须知</w:t>
      </w:r>
      <w:r>
        <w:rPr>
          <w:rFonts w:hint="eastAsia" w:ascii="宋体" w:hAnsi="宋体" w:eastAsia="宋体" w:cs="宋体"/>
          <w:color w:val="auto"/>
          <w:sz w:val="22"/>
          <w:szCs w:val="22"/>
          <w:highlight w:val="none"/>
        </w:rPr>
        <w:tab/>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fldChar w:fldCharType="end"/>
      </w:r>
    </w:p>
    <w:p w14:paraId="2BCE65A1">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"_Toc21069" </w:instrText>
      </w:r>
      <w:r>
        <w:rPr>
          <w:color w:val="auto"/>
          <w:highlight w:val="none"/>
        </w:rPr>
        <w:fldChar w:fldCharType="separate"/>
      </w:r>
      <w:r>
        <w:rPr>
          <w:rFonts w:hint="eastAsia" w:ascii="宋体" w:hAnsi="宋体" w:eastAsia="宋体" w:cs="宋体"/>
          <w:color w:val="auto"/>
          <w:kern w:val="32"/>
          <w:sz w:val="22"/>
          <w:szCs w:val="22"/>
          <w:highlight w:val="none"/>
        </w:rPr>
        <w:t>第三章 评标办法</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_Toc21069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42</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00EF3CBD">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"_Toc4695" </w:instrText>
      </w:r>
      <w:r>
        <w:rPr>
          <w:color w:val="auto"/>
          <w:highlight w:val="none"/>
        </w:rPr>
        <w:fldChar w:fldCharType="separate"/>
      </w:r>
      <w:r>
        <w:rPr>
          <w:rFonts w:hint="eastAsia" w:ascii="宋体" w:hAnsi="宋体" w:eastAsia="宋体" w:cs="宋体"/>
          <w:color w:val="auto"/>
          <w:sz w:val="22"/>
          <w:szCs w:val="22"/>
          <w:highlight w:val="none"/>
        </w:rPr>
        <w:t>第四章 合同条款及格式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_Toc4695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58</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41779547">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"_Toc19810" </w:instrText>
      </w:r>
      <w:r>
        <w:rPr>
          <w:color w:val="auto"/>
          <w:highlight w:val="none"/>
        </w:rPr>
        <w:fldChar w:fldCharType="separate"/>
      </w:r>
      <w:r>
        <w:rPr>
          <w:rFonts w:hint="eastAsia" w:ascii="宋体" w:hAnsi="宋体" w:eastAsia="宋体" w:cs="宋体"/>
          <w:color w:val="auto"/>
          <w:sz w:val="22"/>
          <w:szCs w:val="22"/>
          <w:highlight w:val="none"/>
        </w:rPr>
        <w:t>第二卷</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_Toc19810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152</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2B26B469">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"_Toc28275" </w:instrText>
      </w:r>
      <w:r>
        <w:rPr>
          <w:color w:val="auto"/>
          <w:highlight w:val="none"/>
        </w:rPr>
        <w:fldChar w:fldCharType="separate"/>
      </w:r>
      <w:r>
        <w:rPr>
          <w:rFonts w:hint="eastAsia" w:ascii="宋体" w:hAnsi="宋体" w:eastAsia="宋体" w:cs="宋体"/>
          <w:color w:val="auto"/>
          <w:sz w:val="22"/>
          <w:szCs w:val="22"/>
          <w:highlight w:val="none"/>
        </w:rPr>
        <w:t>第五章 发包人要求</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_Toc28275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154</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2B9B6E17">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"_Toc27570" </w:instrText>
      </w:r>
      <w:r>
        <w:rPr>
          <w:color w:val="auto"/>
          <w:highlight w:val="none"/>
        </w:rPr>
        <w:fldChar w:fldCharType="separate"/>
      </w:r>
      <w:r>
        <w:rPr>
          <w:rFonts w:hint="eastAsia" w:ascii="宋体" w:hAnsi="宋体" w:eastAsia="宋体" w:cs="宋体"/>
          <w:color w:val="auto"/>
          <w:sz w:val="22"/>
          <w:szCs w:val="22"/>
          <w:highlight w:val="none"/>
        </w:rPr>
        <w:t>第六章 发包人提供的资料</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_Toc27570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155</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4DFD6D39">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"_Toc8011" </w:instrText>
      </w:r>
      <w:r>
        <w:rPr>
          <w:color w:val="auto"/>
          <w:highlight w:val="none"/>
        </w:rPr>
        <w:fldChar w:fldCharType="separate"/>
      </w:r>
      <w:r>
        <w:rPr>
          <w:rFonts w:hint="eastAsia" w:ascii="宋体" w:hAnsi="宋体" w:eastAsia="宋体" w:cs="宋体"/>
          <w:color w:val="auto"/>
          <w:sz w:val="22"/>
          <w:szCs w:val="22"/>
          <w:highlight w:val="none"/>
        </w:rPr>
        <w:t>第三卷</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_Toc8011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158</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22EE97D7">
      <w:pPr>
        <w:pStyle w:val="58"/>
        <w:tabs>
          <w:tab w:val="right" w:leader="dot" w:pos="9040"/>
        </w:tabs>
        <w:rPr>
          <w:rFonts w:hint="eastAsia"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"_Toc10049" </w:instrText>
      </w:r>
      <w:r>
        <w:rPr>
          <w:color w:val="auto"/>
          <w:highlight w:val="none"/>
        </w:rPr>
        <w:fldChar w:fldCharType="separate"/>
      </w:r>
      <w:r>
        <w:rPr>
          <w:rFonts w:hint="eastAsia" w:ascii="宋体" w:hAnsi="宋体" w:eastAsia="宋体" w:cs="宋体"/>
          <w:color w:val="auto"/>
          <w:sz w:val="22"/>
          <w:szCs w:val="22"/>
          <w:highlight w:val="none"/>
        </w:rPr>
        <w:t>第七章 投标文件格式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_Toc10049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159</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14:paraId="03524792">
      <w:pPr>
        <w:pStyle w:val="74"/>
        <w:tabs>
          <w:tab w:val="right" w:leader="dot" w:pos="9638"/>
        </w:tabs>
        <w:rPr>
          <w:color w:val="auto"/>
          <w:highlight w:val="none"/>
        </w:rPr>
      </w:pPr>
    </w:p>
    <w:p w14:paraId="70782CDF">
      <w:pPr>
        <w:rPr>
          <w:rFonts w:ascii="宋体" w:cs="Times New Roman"/>
          <w:b/>
          <w:bCs/>
          <w:color w:val="auto"/>
          <w:sz w:val="32"/>
          <w:szCs w:val="32"/>
          <w:highlight w:val="none"/>
        </w:rPr>
        <w:sectPr>
          <w:headerReference r:id="rId4" w:type="first"/>
          <w:headerReference r:id="rId3" w:type="default"/>
          <w:pgSz w:w="11906" w:h="16838"/>
          <w:pgMar w:top="1440" w:right="1440" w:bottom="1440" w:left="1440" w:header="851" w:footer="992" w:gutter="0"/>
          <w:pgNumType w:start="0"/>
          <w:cols w:space="720" w:num="1"/>
          <w:titlePg/>
          <w:docGrid w:type="lines" w:linePitch="312" w:charSpace="0"/>
        </w:sectPr>
      </w:pPr>
      <w:r>
        <w:rPr>
          <w:color w:val="auto"/>
          <w:highlight w:val="none"/>
        </w:rPr>
        <w:fldChar w:fldCharType="end"/>
      </w:r>
      <w:bookmarkEnd w:id="0"/>
      <w:bookmarkEnd w:id="1"/>
      <w:bookmarkEnd w:id="2"/>
      <w:bookmarkEnd w:id="3"/>
      <w:bookmarkEnd w:id="4"/>
      <w:bookmarkEnd w:id="5"/>
      <w:bookmarkStart w:id="6" w:name="_Toc247513932"/>
      <w:bookmarkStart w:id="7" w:name="_Toc247527533"/>
      <w:bookmarkStart w:id="8" w:name="_Toc152042287"/>
      <w:bookmarkStart w:id="9" w:name="_Toc144974479"/>
      <w:bookmarkStart w:id="10" w:name="_Toc152045511"/>
    </w:p>
    <w:p w14:paraId="702047FC">
      <w:pPr>
        <w:autoSpaceDE w:val="0"/>
        <w:autoSpaceDN w:val="0"/>
        <w:adjustRightInd w:val="0"/>
        <w:spacing w:line="360" w:lineRule="auto"/>
        <w:rPr>
          <w:rFonts w:ascii="宋体" w:cs="Times New Roman"/>
          <w:color w:val="auto"/>
          <w:highlight w:val="none"/>
          <w:lang w:val="zh-CN"/>
        </w:rPr>
      </w:pPr>
    </w:p>
    <w:p w14:paraId="7B2160C2">
      <w:pPr>
        <w:autoSpaceDE w:val="0"/>
        <w:autoSpaceDN w:val="0"/>
        <w:adjustRightInd w:val="0"/>
        <w:spacing w:line="360" w:lineRule="auto"/>
        <w:rPr>
          <w:rFonts w:ascii="宋体" w:cs="Times New Roman"/>
          <w:color w:val="auto"/>
          <w:highlight w:val="none"/>
          <w:lang w:val="zh-CN"/>
        </w:rPr>
      </w:pPr>
    </w:p>
    <w:p w14:paraId="5FE248E5">
      <w:pPr>
        <w:autoSpaceDE w:val="0"/>
        <w:autoSpaceDN w:val="0"/>
        <w:adjustRightInd w:val="0"/>
        <w:spacing w:line="360" w:lineRule="auto"/>
        <w:rPr>
          <w:rFonts w:ascii="宋体" w:cs="Times New Roman"/>
          <w:color w:val="auto"/>
          <w:highlight w:val="none"/>
          <w:lang w:val="zh-CN"/>
        </w:rPr>
      </w:pPr>
    </w:p>
    <w:p w14:paraId="4BA60FE8">
      <w:pPr>
        <w:autoSpaceDE w:val="0"/>
        <w:autoSpaceDN w:val="0"/>
        <w:adjustRightInd w:val="0"/>
        <w:spacing w:line="360" w:lineRule="auto"/>
        <w:rPr>
          <w:rFonts w:ascii="宋体" w:cs="Times New Roman"/>
          <w:color w:val="auto"/>
          <w:highlight w:val="none"/>
          <w:lang w:val="zh-CN"/>
        </w:rPr>
      </w:pPr>
    </w:p>
    <w:p w14:paraId="09AFEA68">
      <w:pPr>
        <w:pStyle w:val="21"/>
        <w:rPr>
          <w:rFonts w:ascii="宋体" w:cs="Times New Roman"/>
          <w:color w:val="auto"/>
          <w:highlight w:val="none"/>
          <w:lang w:val="zh-CN"/>
        </w:rPr>
      </w:pPr>
    </w:p>
    <w:p w14:paraId="7773DE5E">
      <w:pPr>
        <w:rPr>
          <w:color w:val="auto"/>
          <w:highlight w:val="none"/>
          <w:lang w:val="zh-CN"/>
        </w:rPr>
      </w:pPr>
    </w:p>
    <w:p w14:paraId="35C974E2">
      <w:pPr>
        <w:autoSpaceDE w:val="0"/>
        <w:autoSpaceDN w:val="0"/>
        <w:adjustRightInd w:val="0"/>
        <w:spacing w:line="360" w:lineRule="auto"/>
        <w:rPr>
          <w:rFonts w:ascii="宋体" w:cs="Times New Roman"/>
          <w:color w:val="auto"/>
          <w:highlight w:val="none"/>
          <w:lang w:val="zh-CN"/>
        </w:rPr>
      </w:pPr>
    </w:p>
    <w:p w14:paraId="0510EB5B">
      <w:pPr>
        <w:pStyle w:val="3"/>
        <w:jc w:val="center"/>
        <w:rPr>
          <w:rFonts w:cs="Times New Roman"/>
          <w:color w:val="auto"/>
          <w:highlight w:val="none"/>
        </w:rPr>
      </w:pPr>
      <w:bookmarkStart w:id="11" w:name="_Toc19303"/>
      <w:bookmarkStart w:id="12" w:name="_Toc27061"/>
      <w:r>
        <w:rPr>
          <w:rFonts w:hint="eastAsia" w:cs="宋体"/>
          <w:color w:val="auto"/>
          <w:highlight w:val="none"/>
        </w:rPr>
        <w:t>第一卷</w:t>
      </w:r>
      <w:bookmarkEnd w:id="6"/>
      <w:bookmarkEnd w:id="7"/>
      <w:bookmarkEnd w:id="11"/>
      <w:bookmarkEnd w:id="12"/>
    </w:p>
    <w:bookmarkEnd w:id="8"/>
    <w:bookmarkEnd w:id="9"/>
    <w:bookmarkEnd w:id="10"/>
    <w:p w14:paraId="5979289E">
      <w:pPr>
        <w:pStyle w:val="3"/>
        <w:spacing w:line="240" w:lineRule="auto"/>
        <w:jc w:val="center"/>
        <w:rPr>
          <w:rFonts w:hint="eastAsia" w:cs="宋体"/>
          <w:color w:val="auto"/>
          <w:highlight w:val="none"/>
        </w:rPr>
        <w:sectPr>
          <w:footerReference r:id="rId5" w:type="default"/>
          <w:pgSz w:w="11906" w:h="16838"/>
          <w:pgMar w:top="1440" w:right="1440" w:bottom="1440" w:left="1440" w:header="851" w:footer="992" w:gutter="0"/>
          <w:pgNumType w:fmt="decimal" w:start="1"/>
          <w:cols w:space="720" w:num="1"/>
          <w:docGrid w:type="lines" w:linePitch="312" w:charSpace="0"/>
        </w:sectPr>
      </w:pPr>
      <w:bookmarkStart w:id="13" w:name="_Toc16320"/>
      <w:bookmarkStart w:id="14" w:name="_Toc247527534"/>
      <w:bookmarkStart w:id="15" w:name="_Toc5230_WPSOffice_Level1"/>
      <w:bookmarkStart w:id="16" w:name="_Toc16154_WPSOffice_Level1"/>
      <w:bookmarkStart w:id="17" w:name="_Toc247513933"/>
      <w:bookmarkStart w:id="18" w:name="_Toc29513"/>
      <w:bookmarkStart w:id="19" w:name="_Toc247527551"/>
      <w:bookmarkStart w:id="20" w:name="_Toc144974495"/>
      <w:bookmarkStart w:id="21" w:name="_Toc247513950"/>
      <w:bookmarkStart w:id="22" w:name="_Toc152045527"/>
      <w:bookmarkStart w:id="23" w:name="_Toc152042303"/>
    </w:p>
    <w:p w14:paraId="72667E14">
      <w:pPr>
        <w:pStyle w:val="3"/>
        <w:spacing w:line="240" w:lineRule="auto"/>
        <w:jc w:val="center"/>
        <w:rPr>
          <w:rFonts w:cs="Times New Roman"/>
          <w:color w:val="auto"/>
          <w:highlight w:val="none"/>
        </w:rPr>
      </w:pPr>
      <w:r>
        <w:rPr>
          <w:rFonts w:hint="eastAsia" w:cs="宋体"/>
          <w:color w:val="auto"/>
          <w:highlight w:val="none"/>
        </w:rPr>
        <w:t>第一章</w:t>
      </w:r>
      <w:r>
        <w:rPr>
          <w:color w:val="auto"/>
          <w:highlight w:val="none"/>
        </w:rPr>
        <w:t xml:space="preserve"> </w:t>
      </w:r>
      <w:r>
        <w:rPr>
          <w:rFonts w:hint="eastAsia" w:cs="宋体"/>
          <w:color w:val="auto"/>
          <w:highlight w:val="none"/>
        </w:rPr>
        <w:t>招标公告</w:t>
      </w:r>
      <w:bookmarkEnd w:id="13"/>
      <w:bookmarkEnd w:id="14"/>
      <w:bookmarkEnd w:id="15"/>
      <w:bookmarkEnd w:id="16"/>
      <w:bookmarkEnd w:id="17"/>
      <w:bookmarkEnd w:id="18"/>
    </w:p>
    <w:bookmarkEnd w:id="19"/>
    <w:bookmarkEnd w:id="20"/>
    <w:bookmarkEnd w:id="21"/>
    <w:bookmarkEnd w:id="22"/>
    <w:bookmarkEnd w:id="23"/>
    <w:p w14:paraId="06E5658D">
      <w:pPr>
        <w:widowControl/>
        <w:jc w:val="center"/>
        <w:rPr>
          <w:rFonts w:ascii="宋体" w:cs="Times New Roman"/>
          <w:color w:val="auto"/>
          <w:sz w:val="32"/>
          <w:szCs w:val="32"/>
          <w:highlight w:val="none"/>
        </w:rPr>
      </w:pPr>
      <w:bookmarkStart w:id="24" w:name="_Toc24945_WPSOffice_Level2"/>
      <w:bookmarkStart w:id="25" w:name="_Toc15145_WPSOffice_Level2"/>
      <w:bookmarkStart w:id="26" w:name="_Toc23247"/>
      <w:bookmarkStart w:id="27" w:name="_Toc20964_WPSOffice_Level2"/>
      <w:bookmarkStart w:id="28" w:name="_Toc16868_WPSOffice_Level2"/>
      <w:bookmarkStart w:id="29" w:name="_Toc23748"/>
      <w:bookmarkStart w:id="30" w:name="_Toc247527553"/>
      <w:bookmarkStart w:id="31" w:name="_Toc247513952"/>
      <w:bookmarkStart w:id="32" w:name="_Toc152042305"/>
      <w:bookmarkStart w:id="33" w:name="_Toc144974497"/>
      <w:bookmarkStart w:id="34" w:name="_Toc152045529"/>
      <w:r>
        <w:rPr>
          <w:rFonts w:hint="eastAsia" w:ascii="宋体" w:hAnsi="宋体" w:cs="宋体"/>
          <w:b/>
          <w:bCs/>
          <w:color w:val="auto"/>
          <w:sz w:val="32"/>
          <w:szCs w:val="32"/>
          <w:highlight w:val="none"/>
          <w:lang w:val="en-US" w:eastAsia="zh-CN"/>
        </w:rPr>
        <w:t>2026年上海市对口帮扶龙陵县龙山镇横山村石斛鲜切花种植试验示范基地建设项目（EPC+O）</w:t>
      </w:r>
      <w:r>
        <w:rPr>
          <w:rFonts w:hint="eastAsia" w:ascii="宋体" w:hAnsi="宋体" w:cs="宋体"/>
          <w:b/>
          <w:bCs/>
          <w:color w:val="auto"/>
          <w:sz w:val="32"/>
          <w:szCs w:val="32"/>
          <w:highlight w:val="none"/>
        </w:rPr>
        <w:t>公开招标公告</w:t>
      </w:r>
      <w:bookmarkEnd w:id="24"/>
      <w:bookmarkEnd w:id="25"/>
    </w:p>
    <w:p w14:paraId="6E0E4ED4">
      <w:pPr>
        <w:autoSpaceDE w:val="0"/>
        <w:autoSpaceDN w:val="0"/>
        <w:adjustRightInd w:val="0"/>
        <w:spacing w:line="348" w:lineRule="auto"/>
        <w:rPr>
          <w:rFonts w:ascii="宋体" w:cs="Times New Roman"/>
          <w:b/>
          <w:bCs/>
          <w:color w:val="auto"/>
          <w:highlight w:val="none"/>
          <w:lang w:val="zh-CN"/>
        </w:rPr>
      </w:pPr>
      <w:bookmarkStart w:id="35" w:name="_Toc13174_WPSOffice_Level2"/>
      <w:bookmarkStart w:id="36" w:name="_Toc22838_WPSOffice_Level2"/>
      <w:r>
        <w:rPr>
          <w:rFonts w:ascii="宋体" w:hAnsi="宋体" w:cs="宋体"/>
          <w:b/>
          <w:bCs/>
          <w:color w:val="auto"/>
          <w:highlight w:val="none"/>
          <w:lang w:val="zh-CN"/>
        </w:rPr>
        <w:t>1</w:t>
      </w:r>
      <w:r>
        <w:rPr>
          <w:rFonts w:hint="eastAsia" w:ascii="宋体" w:hAnsi="宋体" w:cs="宋体"/>
          <w:b/>
          <w:bCs/>
          <w:color w:val="auto"/>
          <w:highlight w:val="none"/>
        </w:rPr>
        <w:t>.</w:t>
      </w:r>
      <w:r>
        <w:rPr>
          <w:rFonts w:hint="eastAsia" w:ascii="宋体" w:hAnsi="宋体" w:cs="宋体"/>
          <w:b/>
          <w:bCs/>
          <w:color w:val="auto"/>
          <w:highlight w:val="none"/>
          <w:lang w:val="zh-CN"/>
        </w:rPr>
        <w:t>招标条件</w:t>
      </w:r>
      <w:bookmarkEnd w:id="35"/>
      <w:bookmarkEnd w:id="36"/>
    </w:p>
    <w:p w14:paraId="49E9EA1D">
      <w:pPr>
        <w:spacing w:line="440" w:lineRule="exact"/>
        <w:ind w:firstLine="424" w:firstLineChars="202"/>
        <w:rPr>
          <w:rFonts w:ascii="Times New Roman" w:hAnsi="Times New Roman" w:cs="Times New Roman"/>
          <w:color w:val="auto"/>
          <w:highlight w:val="none"/>
        </w:rPr>
      </w:pPr>
      <w:r>
        <w:rPr>
          <w:rFonts w:hint="eastAsia" w:ascii="宋体" w:hAnsi="宋体" w:cs="宋体"/>
          <w:color w:val="auto"/>
          <w:highlight w:val="none"/>
          <w:lang w:val="zh-CN"/>
        </w:rPr>
        <w:t>本招标项目</w:t>
      </w:r>
      <w:r>
        <w:rPr>
          <w:rFonts w:hint="eastAsia" w:ascii="宋体" w:hAnsi="宋体" w:cs="宋体"/>
          <w:color w:val="auto"/>
          <w:highlight w:val="none"/>
          <w:u w:val="single"/>
          <w:lang w:val="en-US" w:eastAsia="zh-CN"/>
        </w:rPr>
        <w:t>2026年上海市对口帮扶龙陵县龙山镇横山村石斛鲜切花种植试验示范基地建设项目（EPC+O）</w:t>
      </w:r>
      <w:r>
        <w:rPr>
          <w:rFonts w:hint="eastAsia" w:ascii="宋体" w:hAnsi="宋体" w:cs="宋体"/>
          <w:color w:val="auto"/>
          <w:highlight w:val="none"/>
          <w:lang w:val="zh-CN"/>
        </w:rPr>
        <w:t>已由</w:t>
      </w:r>
      <w:bookmarkStart w:id="37" w:name="OLE_LINK14"/>
      <w:r>
        <w:rPr>
          <w:rFonts w:hint="eastAsia" w:ascii="宋体" w:hAnsi="宋体" w:cs="宋体"/>
          <w:color w:val="auto"/>
          <w:szCs w:val="21"/>
          <w:highlight w:val="none"/>
          <w:u w:val="single"/>
          <w:lang w:eastAsia="zh-CN" w:bidi="ar"/>
        </w:rPr>
        <w:t>《关于下达 2026 年上海市对口帮扶龙陵县龙山镇横山村石斛鲜切花种植试验示范基地建设项目事业计划和加强资金管理的通知》龙农发</w:t>
      </w:r>
      <w:r>
        <w:rPr>
          <w:rFonts w:hint="eastAsia" w:ascii="宋体" w:hAnsi="宋体" w:cs="宋体"/>
          <w:color w:val="auto"/>
          <w:szCs w:val="21"/>
          <w:highlight w:val="none"/>
          <w:u w:val="single"/>
          <w:lang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bidi="ar"/>
        </w:rPr>
        <w:t>〕</w:t>
      </w:r>
      <w:r>
        <w:rPr>
          <w:rFonts w:hint="eastAsia" w:ascii="宋体" w:hAnsi="宋体" w:cs="宋体"/>
          <w:color w:val="auto"/>
          <w:szCs w:val="21"/>
          <w:highlight w:val="none"/>
          <w:u w:val="single"/>
          <w:lang w:val="en-US" w:eastAsia="zh-CN" w:bidi="ar"/>
        </w:rPr>
        <w:t>30</w:t>
      </w:r>
      <w:r>
        <w:rPr>
          <w:rFonts w:hint="eastAsia" w:ascii="宋体" w:hAnsi="宋体" w:cs="宋体"/>
          <w:color w:val="auto"/>
          <w:szCs w:val="21"/>
          <w:highlight w:val="none"/>
          <w:u w:val="single"/>
          <w:lang w:bidi="ar"/>
        </w:rPr>
        <w:t>号</w:t>
      </w:r>
      <w:r>
        <w:rPr>
          <w:rFonts w:hint="eastAsia" w:ascii="宋体" w:hAnsi="宋体" w:cs="宋体"/>
          <w:color w:val="auto"/>
          <w:szCs w:val="21"/>
          <w:highlight w:val="none"/>
          <w:u w:val="single"/>
          <w:lang w:val="en-US" w:eastAsia="zh-CN" w:bidi="ar"/>
        </w:rPr>
        <w:t>文</w:t>
      </w:r>
      <w:bookmarkEnd w:id="37"/>
      <w:r>
        <w:rPr>
          <w:rFonts w:hint="eastAsia" w:ascii="宋体" w:hAnsi="宋体" w:cs="宋体"/>
          <w:color w:val="auto"/>
          <w:highlight w:val="none"/>
          <w:lang w:val="zh-CN"/>
        </w:rPr>
        <w:t>件批复建设，</w:t>
      </w:r>
      <w:r>
        <w:rPr>
          <w:rFonts w:hint="eastAsia" w:ascii="宋体" w:hAnsi="宋体" w:cs="宋体"/>
          <w:bCs/>
          <w:color w:val="auto"/>
          <w:highlight w:val="none"/>
          <w:lang w:val="zh-CN"/>
        </w:rPr>
        <w:t>建设资金来源为</w:t>
      </w:r>
      <w:r>
        <w:rPr>
          <w:rFonts w:hint="eastAsia" w:ascii="宋体" w:hAnsi="宋体" w:cs="宋体"/>
          <w:bCs/>
          <w:color w:val="auto"/>
          <w:highlight w:val="none"/>
          <w:u w:val="single"/>
          <w:lang w:val="zh-CN"/>
        </w:rPr>
        <w:t>全部申请沪滇帮扶资金</w:t>
      </w:r>
      <w:r>
        <w:rPr>
          <w:rFonts w:hint="eastAsia" w:ascii="宋体" w:hAnsi="宋体" w:cs="宋体"/>
          <w:color w:val="auto"/>
          <w:highlight w:val="none"/>
          <w:lang w:val="zh-CN"/>
        </w:rPr>
        <w:t>，招标人为</w:t>
      </w:r>
      <w:r>
        <w:rPr>
          <w:rFonts w:hint="eastAsia" w:ascii="宋体" w:hAnsi="宋体" w:cs="宋体"/>
          <w:color w:val="auto"/>
          <w:highlight w:val="none"/>
          <w:u w:val="single"/>
          <w:lang w:val="zh-CN"/>
        </w:rPr>
        <w:t>龙陵县龙山镇人民政府</w:t>
      </w:r>
      <w:r>
        <w:rPr>
          <w:rFonts w:hint="eastAsia" w:ascii="宋体" w:hAnsi="宋体" w:cs="宋体"/>
          <w:color w:val="auto"/>
          <w:highlight w:val="none"/>
          <w:lang w:val="zh-CN"/>
        </w:rPr>
        <w:t>，招标代理机构为</w:t>
      </w:r>
      <w:r>
        <w:rPr>
          <w:rFonts w:hint="eastAsia" w:ascii="宋体" w:hAnsi="宋体" w:cs="宋体"/>
          <w:color w:val="auto"/>
          <w:highlight w:val="none"/>
          <w:u w:val="single"/>
          <w:lang w:val="zh-CN"/>
        </w:rPr>
        <w:t>云南宸诚工程项目管理有限公司</w:t>
      </w:r>
      <w:r>
        <w:rPr>
          <w:rFonts w:hint="eastAsia" w:ascii="宋体" w:hAnsi="宋体" w:cs="宋体"/>
          <w:color w:val="auto"/>
          <w:highlight w:val="none"/>
          <w:lang w:val="zh-CN"/>
        </w:rPr>
        <w:t>。项目已具备招标条件，</w:t>
      </w:r>
      <w:r>
        <w:rPr>
          <w:rFonts w:hint="eastAsia" w:cs="宋体"/>
          <w:color w:val="auto"/>
          <w:highlight w:val="none"/>
          <w:lang w:val="zh-CN"/>
        </w:rPr>
        <w:t>现对该项目采用</w:t>
      </w:r>
      <w:r>
        <w:rPr>
          <w:rFonts w:hint="eastAsia" w:ascii="宋体" w:hAnsi="宋体" w:cs="宋体"/>
          <w:color w:val="auto"/>
          <w:highlight w:val="none"/>
          <w:lang w:val="en-US" w:eastAsia="zh-CN"/>
        </w:rPr>
        <w:t>EPC+O</w:t>
      </w:r>
      <w:r>
        <w:rPr>
          <w:rFonts w:hint="eastAsia" w:cs="宋体"/>
          <w:color w:val="auto"/>
          <w:highlight w:val="none"/>
        </w:rPr>
        <w:t>模式（</w:t>
      </w:r>
      <w:r>
        <w:rPr>
          <w:rFonts w:hint="eastAsia" w:ascii="宋体" w:hAnsi="宋体" w:eastAsia="宋体" w:cs="宋体"/>
          <w:color w:val="auto"/>
          <w:highlight w:val="none"/>
          <w:lang w:val="zh-CN" w:eastAsia="zh-CN"/>
        </w:rPr>
        <w:t>设计</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CN" w:eastAsia="zh-CN"/>
        </w:rPr>
        <w:t>施工总承包</w:t>
      </w:r>
      <w:r>
        <w:rPr>
          <w:rFonts w:hint="eastAsia" w:ascii="宋体" w:hAnsi="宋体" w:eastAsia="宋体" w:cs="宋体"/>
          <w:color w:val="auto"/>
          <w:highlight w:val="none"/>
          <w:lang w:val="en-US" w:eastAsia="zh-CN"/>
        </w:rPr>
        <w:t>+运营</w:t>
      </w:r>
      <w:r>
        <w:rPr>
          <w:rFonts w:hint="eastAsia" w:cs="宋体"/>
          <w:color w:val="auto"/>
          <w:highlight w:val="none"/>
          <w:lang w:val="zh-CN"/>
        </w:rPr>
        <w:t>）</w:t>
      </w:r>
      <w:r>
        <w:rPr>
          <w:rFonts w:hint="eastAsia" w:ascii="Times New Roman" w:hAnsi="Times New Roman" w:cs="宋体"/>
          <w:color w:val="auto"/>
          <w:highlight w:val="none"/>
          <w:lang w:val="zh-CN"/>
        </w:rPr>
        <w:t>进行公开招标。</w:t>
      </w:r>
    </w:p>
    <w:p w14:paraId="11538A56">
      <w:pPr>
        <w:autoSpaceDE w:val="0"/>
        <w:autoSpaceDN w:val="0"/>
        <w:adjustRightInd w:val="0"/>
        <w:spacing w:line="348" w:lineRule="auto"/>
        <w:outlineLvl w:val="0"/>
        <w:rPr>
          <w:rFonts w:ascii="Times New Roman" w:hAnsi="Times New Roman" w:cs="Times New Roman"/>
          <w:b/>
          <w:bCs/>
          <w:color w:val="auto"/>
          <w:highlight w:val="none"/>
          <w:lang w:val="zh-CN"/>
        </w:rPr>
      </w:pPr>
      <w:bookmarkStart w:id="38" w:name="_Toc6095"/>
      <w:bookmarkStart w:id="39" w:name="_Toc8104_WPSOffice_Level2"/>
      <w:bookmarkStart w:id="40" w:name="_Toc9432"/>
      <w:bookmarkStart w:id="41" w:name="_Toc17087_WPSOffice_Level2"/>
      <w:bookmarkStart w:id="42" w:name="_Toc45896593"/>
      <w:bookmarkStart w:id="43" w:name="_Toc45896889"/>
      <w:r>
        <w:rPr>
          <w:rFonts w:ascii="Times New Roman" w:hAnsi="Times New Roman" w:cs="Times New Roman"/>
          <w:b/>
          <w:bCs/>
          <w:color w:val="auto"/>
          <w:highlight w:val="none"/>
          <w:lang w:val="zh-CN"/>
        </w:rPr>
        <w:t>2</w:t>
      </w:r>
      <w:r>
        <w:rPr>
          <w:rFonts w:hint="eastAsia" w:ascii="Times New Roman" w:hAnsi="Times New Roman" w:cs="宋体"/>
          <w:b/>
          <w:bCs/>
          <w:color w:val="auto"/>
          <w:highlight w:val="none"/>
        </w:rPr>
        <w:t>.</w:t>
      </w:r>
      <w:r>
        <w:rPr>
          <w:rFonts w:hint="eastAsia" w:ascii="Times New Roman" w:hAnsi="Times New Roman" w:cs="宋体"/>
          <w:b/>
          <w:bCs/>
          <w:color w:val="auto"/>
          <w:highlight w:val="none"/>
          <w:lang w:val="zh-CN"/>
        </w:rPr>
        <w:t>项目概况与招标范围</w:t>
      </w:r>
      <w:bookmarkEnd w:id="38"/>
      <w:bookmarkEnd w:id="39"/>
      <w:bookmarkEnd w:id="40"/>
      <w:bookmarkEnd w:id="41"/>
      <w:bookmarkEnd w:id="42"/>
      <w:bookmarkEnd w:id="43"/>
    </w:p>
    <w:p w14:paraId="36527105">
      <w:pPr>
        <w:spacing w:line="440" w:lineRule="exact"/>
        <w:ind w:firstLine="424" w:firstLineChars="202"/>
        <w:rPr>
          <w:rFonts w:hint="eastAsia" w:ascii="宋体" w:hAnsi="宋体" w:cs="宋体"/>
          <w:color w:val="auto"/>
          <w:highlight w:val="none"/>
          <w:lang w:val="zh-CN"/>
        </w:rPr>
      </w:pPr>
      <w:r>
        <w:rPr>
          <w:rFonts w:hint="eastAsia" w:ascii="宋体" w:hAnsi="宋体" w:cs="宋体"/>
          <w:color w:val="auto"/>
          <w:highlight w:val="none"/>
          <w:lang w:val="zh-CN"/>
        </w:rPr>
        <w:t>2.1项目名称：</w:t>
      </w:r>
      <w:r>
        <w:rPr>
          <w:rFonts w:hint="eastAsia" w:ascii="宋体" w:hAnsi="宋体" w:cs="宋体"/>
          <w:color w:val="auto"/>
          <w:highlight w:val="none"/>
          <w:lang w:val="en-US" w:eastAsia="zh-CN"/>
        </w:rPr>
        <w:t>2026年上海市对口帮扶龙陵县龙山镇横山村石斛鲜切花种植试验示范基地建设项目（EPC+O）</w:t>
      </w:r>
    </w:p>
    <w:p w14:paraId="53BEB5A6">
      <w:pPr>
        <w:spacing w:line="440" w:lineRule="exact"/>
        <w:ind w:firstLine="424" w:firstLineChars="202"/>
        <w:rPr>
          <w:rFonts w:hint="eastAsia" w:ascii="宋体" w:hAnsi="宋体" w:cs="宋体"/>
          <w:color w:val="auto"/>
          <w:highlight w:val="none"/>
          <w:lang w:val="zh-CN"/>
        </w:rPr>
      </w:pPr>
      <w:r>
        <w:rPr>
          <w:rFonts w:hint="eastAsia" w:ascii="宋体" w:hAnsi="宋体" w:cs="宋体"/>
          <w:color w:val="auto"/>
          <w:highlight w:val="none"/>
          <w:lang w:val="zh-CN"/>
        </w:rPr>
        <w:t>2.2建设地点：</w:t>
      </w:r>
      <w:r>
        <w:rPr>
          <w:rFonts w:hint="eastAsia" w:ascii="宋体" w:hAnsi="宋体" w:cs="宋体"/>
          <w:color w:val="auto"/>
          <w:highlight w:val="none"/>
          <w:lang w:val="zh-CN"/>
        </w:rPr>
        <w:t>龙陵县龙山镇横山村</w:t>
      </w:r>
    </w:p>
    <w:p w14:paraId="7BD2BC98">
      <w:pPr>
        <w:spacing w:line="440" w:lineRule="exact"/>
        <w:ind w:firstLine="424" w:firstLineChars="202"/>
        <w:rPr>
          <w:rFonts w:hint="default" w:ascii="宋体" w:hAnsi="宋体" w:cs="宋体"/>
          <w:color w:val="auto"/>
          <w:highlight w:val="none"/>
          <w:lang w:val="en-US" w:eastAsia="zh-CN"/>
        </w:rPr>
      </w:pPr>
      <w:r>
        <w:rPr>
          <w:rFonts w:hint="eastAsia" w:ascii="宋体" w:hAnsi="宋体" w:cs="宋体"/>
          <w:color w:val="auto"/>
          <w:highlight w:val="none"/>
          <w:lang w:val="zh-CN"/>
        </w:rPr>
        <w:t>2.3项目建设主要内容及规模</w:t>
      </w:r>
      <w:r>
        <w:rPr>
          <w:rFonts w:hint="eastAsia" w:ascii="宋体" w:hAnsi="宋体" w:cs="宋体"/>
          <w:color w:val="auto"/>
          <w:highlight w:val="none"/>
          <w:lang w:val="en-US" w:eastAsia="zh-CN"/>
        </w:rPr>
        <w:t xml:space="preserve"> </w:t>
      </w:r>
    </w:p>
    <w:p w14:paraId="1AA15D65">
      <w:pPr>
        <w:spacing w:line="440" w:lineRule="exact"/>
        <w:ind w:firstLine="424" w:firstLineChars="202"/>
        <w:rPr>
          <w:rFonts w:hint="eastAsia" w:ascii="宋体" w:hAnsi="宋体" w:cs="宋体"/>
          <w:color w:val="auto"/>
          <w:highlight w:val="none"/>
          <w:lang w:val="zh-CN" w:eastAsia="zh-CN"/>
        </w:rPr>
      </w:pPr>
      <w:r>
        <w:rPr>
          <w:rFonts w:hint="eastAsia" w:ascii="宋体" w:hAnsi="宋体" w:cs="宋体"/>
          <w:color w:val="auto"/>
          <w:highlight w:val="none"/>
          <w:lang w:val="zh-CN"/>
        </w:rPr>
        <w:t>2.3.1</w:t>
      </w:r>
      <w:r>
        <w:rPr>
          <w:rFonts w:hint="eastAsia" w:ascii="宋体" w:hAnsi="宋体" w:cs="宋体"/>
          <w:color w:val="auto"/>
          <w:highlight w:val="none"/>
          <w:lang w:val="zh-CN" w:eastAsia="zh-CN"/>
        </w:rPr>
        <w:t>主要建设内容为：</w:t>
      </w:r>
      <w:r>
        <w:rPr>
          <w:rFonts w:hint="eastAsia" w:ascii="宋体" w:hAnsi="宋体" w:cs="宋体"/>
          <w:color w:val="auto"/>
          <w:highlight w:val="none"/>
          <w:lang w:val="zh-CN" w:eastAsia="zh-CN"/>
        </w:rPr>
        <w:t>在龙山镇横山村投入800万元实施石斛鲜切花种植基地设施建设。建设内容：1.新建分区催花温室大棚3500平方米，配套安装水肥一体化、温控系统、内外双层遮阳系统，加装电动卷膜机，铺设供电线路，修建供水水池及其他配套附属工程；2.新建观赏石斛切花种植大棚10000平方米，配套安装水肥一体化、供水水池、遮阳系统、全顶通风系统及其他配套附属工程；3.新建钢架结构业务房200平方米、钢结构鲜切花冷库200平方米及其相关附属工程；4.新建标准化石斛储存、扩繁实验大棚3040平方米，配套水肥一体化设施、温控系统、轨道运输系统、内外遮阳系统；5.实施场地硬化2500平方米、挡墙支砌1500立方米。项目建成后，产权归横山村集体所有，支持发展石斛鲜切花及石斛产业，建立联农带农机制，通过租赁方式产生收益，带动村集体经济发展，收益主要用于常态化帮扶下支持带动群众就业增收，壮大村集体经济等。预计惠及农户238户1163人，其中防贫对象和接续帮扶人口46户182人。</w:t>
      </w:r>
    </w:p>
    <w:p w14:paraId="04C24AD9">
      <w:pPr>
        <w:spacing w:line="440" w:lineRule="exact"/>
        <w:ind w:firstLine="424" w:firstLineChars="202"/>
        <w:rPr>
          <w:rFonts w:hint="eastAsia" w:ascii="宋体" w:hAnsi="宋体" w:cs="宋体"/>
          <w:color w:val="auto"/>
          <w:highlight w:val="none"/>
          <w:lang w:val="zh-CN"/>
        </w:rPr>
      </w:pPr>
      <w:r>
        <w:rPr>
          <w:rFonts w:hint="eastAsia" w:ascii="宋体" w:hAnsi="宋体" w:cs="宋体"/>
          <w:color w:val="auto"/>
          <w:highlight w:val="none"/>
          <w:lang w:val="zh-CN"/>
        </w:rPr>
        <w:t>2.3.2项目计划总投资：</w:t>
      </w:r>
      <w:r>
        <w:rPr>
          <w:rFonts w:hint="eastAsia" w:ascii="宋体" w:hAnsi="宋体" w:cs="宋体"/>
          <w:color w:val="auto"/>
          <w:highlight w:val="none"/>
          <w:lang w:val="zh-CN"/>
        </w:rPr>
        <w:t>800</w:t>
      </w:r>
      <w:r>
        <w:rPr>
          <w:rFonts w:hint="eastAsia" w:ascii="宋体" w:hAnsi="宋体" w:cs="宋体"/>
          <w:color w:val="auto"/>
          <w:highlight w:val="none"/>
          <w:lang w:val="en-US" w:eastAsia="zh-CN"/>
        </w:rPr>
        <w:t>万元</w:t>
      </w:r>
      <w:r>
        <w:rPr>
          <w:rFonts w:hint="eastAsia" w:ascii="宋体" w:hAnsi="宋体" w:cs="宋体"/>
          <w:color w:val="auto"/>
          <w:highlight w:val="none"/>
          <w:lang w:val="zh-CN"/>
        </w:rPr>
        <w:t>。</w:t>
      </w:r>
    </w:p>
    <w:p w14:paraId="27E5596E">
      <w:pPr>
        <w:spacing w:line="440" w:lineRule="exact"/>
        <w:ind w:firstLine="424" w:firstLineChars="202"/>
        <w:rPr>
          <w:rFonts w:ascii="宋体" w:hAnsi="宋体" w:cs="宋体"/>
          <w:color w:val="auto"/>
          <w:highlight w:val="none"/>
          <w:lang w:val="zh-CN"/>
        </w:rPr>
      </w:pPr>
      <w:r>
        <w:rPr>
          <w:rFonts w:hint="eastAsia" w:ascii="宋体" w:hAnsi="宋体" w:cs="宋体"/>
          <w:color w:val="auto"/>
          <w:highlight w:val="none"/>
          <w:lang w:val="zh-CN"/>
        </w:rPr>
        <w:t>2.4工期要求：</w:t>
      </w:r>
      <w:r>
        <w:rPr>
          <w:rFonts w:hint="eastAsia" w:ascii="宋体" w:hAnsi="宋体" w:cs="宋体"/>
          <w:color w:val="auto"/>
          <w:highlight w:val="none"/>
          <w:lang w:val="zh-CN"/>
        </w:rPr>
        <w:t>总工期为180日历天。</w:t>
      </w:r>
      <w:r>
        <w:rPr>
          <w:rFonts w:hint="eastAsia" w:ascii="宋体" w:hAnsi="宋体" w:cs="宋体"/>
          <w:color w:val="auto"/>
          <w:highlight w:val="none"/>
          <w:lang w:val="zh-CN"/>
        </w:rPr>
        <w:t xml:space="preserve"> </w:t>
      </w:r>
    </w:p>
    <w:p w14:paraId="03A2D892">
      <w:pPr>
        <w:spacing w:line="440" w:lineRule="exact"/>
        <w:ind w:firstLine="424" w:firstLineChars="202"/>
        <w:rPr>
          <w:rFonts w:ascii="宋体" w:hAnsi="宋体" w:cs="宋体"/>
          <w:color w:val="auto"/>
          <w:highlight w:val="none"/>
          <w:lang w:val="zh-CN"/>
        </w:rPr>
      </w:pPr>
      <w:r>
        <w:rPr>
          <w:rFonts w:hint="eastAsia" w:ascii="宋体" w:hAnsi="宋体" w:cs="宋体"/>
          <w:color w:val="auto"/>
          <w:highlight w:val="none"/>
          <w:lang w:val="zh-CN"/>
        </w:rPr>
        <w:t>2.4.1设计工期：合同签订后</w:t>
      </w:r>
      <w:r>
        <w:rPr>
          <w:rFonts w:hint="eastAsia" w:ascii="宋体" w:hAnsi="宋体" w:cs="宋体"/>
          <w:color w:val="auto"/>
          <w:highlight w:val="none"/>
          <w:lang w:val="en-US" w:eastAsia="zh-CN"/>
        </w:rPr>
        <w:t>3</w:t>
      </w:r>
      <w:r>
        <w:rPr>
          <w:rFonts w:hint="eastAsia" w:ascii="宋体" w:hAnsi="宋体" w:cs="宋体"/>
          <w:color w:val="auto"/>
          <w:highlight w:val="none"/>
        </w:rPr>
        <w:t>0</w:t>
      </w:r>
      <w:r>
        <w:rPr>
          <w:rFonts w:hint="eastAsia" w:ascii="宋体" w:hAnsi="宋体" w:cs="宋体"/>
          <w:color w:val="auto"/>
          <w:highlight w:val="none"/>
          <w:lang w:val="zh-CN"/>
        </w:rPr>
        <w:t>日历</w:t>
      </w:r>
      <w:r>
        <w:rPr>
          <w:rFonts w:hint="eastAsia" w:ascii="宋体" w:hAnsi="宋体" w:cs="宋体"/>
          <w:color w:val="auto"/>
          <w:highlight w:val="none"/>
          <w:lang w:val="zh-CN"/>
        </w:rPr>
        <w:t>天内完成施工图设计。</w:t>
      </w:r>
    </w:p>
    <w:p w14:paraId="45B84063">
      <w:pPr>
        <w:spacing w:line="440" w:lineRule="exact"/>
        <w:ind w:firstLine="424" w:firstLineChars="202"/>
        <w:rPr>
          <w:rFonts w:ascii="宋体" w:hAnsi="宋体" w:cs="宋体"/>
          <w:color w:val="auto"/>
          <w:highlight w:val="none"/>
          <w:lang w:val="zh-CN"/>
        </w:rPr>
      </w:pPr>
      <w:r>
        <w:rPr>
          <w:rFonts w:hint="eastAsia" w:ascii="宋体" w:hAnsi="宋体" w:cs="宋体"/>
          <w:color w:val="auto"/>
          <w:highlight w:val="none"/>
          <w:lang w:val="zh-CN"/>
        </w:rPr>
        <w:t>2.4.2施工工期：</w:t>
      </w:r>
      <w:r>
        <w:rPr>
          <w:rFonts w:hint="eastAsia" w:ascii="宋体" w:hAnsi="宋体" w:cs="宋体"/>
          <w:color w:val="auto"/>
          <w:highlight w:val="none"/>
          <w:lang w:val="en-US" w:eastAsia="zh-CN"/>
        </w:rPr>
        <w:t>150日历天</w:t>
      </w:r>
      <w:r>
        <w:rPr>
          <w:rFonts w:hint="eastAsia" w:ascii="宋体" w:hAnsi="宋体" w:cs="宋体"/>
          <w:color w:val="auto"/>
          <w:highlight w:val="none"/>
          <w:lang w:val="zh-CN"/>
        </w:rPr>
        <w:t>，项目开工至完成建设并通过竣工验收。</w:t>
      </w:r>
    </w:p>
    <w:p w14:paraId="3CFE704E">
      <w:pPr>
        <w:spacing w:line="440" w:lineRule="exact"/>
        <w:ind w:firstLine="424" w:firstLineChars="202"/>
        <w:rPr>
          <w:rFonts w:ascii="宋体" w:hAnsi="宋体" w:cs="宋体"/>
          <w:color w:val="auto"/>
          <w:highlight w:val="none"/>
          <w:lang w:val="zh-CN"/>
        </w:rPr>
      </w:pPr>
      <w:r>
        <w:rPr>
          <w:rFonts w:hint="eastAsia" w:ascii="宋体" w:hAnsi="宋体" w:cs="宋体"/>
          <w:color w:val="auto"/>
          <w:highlight w:val="none"/>
          <w:lang w:val="zh-CN"/>
        </w:rPr>
        <w:t>2.5 招标范围：本项目范围内全部工程的设计、施工直至竣工验收合格及整体移交、工程缺陷责任期内的缺陷修复和保修期内的保修工作及运营。</w:t>
      </w:r>
    </w:p>
    <w:p w14:paraId="5880E83B">
      <w:pPr>
        <w:spacing w:line="440" w:lineRule="exact"/>
        <w:ind w:firstLine="424" w:firstLineChars="202"/>
        <w:rPr>
          <w:rFonts w:hint="eastAsia" w:ascii="宋体" w:hAnsi="宋体" w:cs="宋体"/>
          <w:color w:val="auto"/>
          <w:highlight w:val="none"/>
          <w:lang w:val="zh-CN"/>
        </w:rPr>
      </w:pPr>
      <w:r>
        <w:rPr>
          <w:rFonts w:hint="eastAsia" w:ascii="宋体" w:hAnsi="宋体" w:cs="宋体"/>
          <w:color w:val="auto"/>
          <w:highlight w:val="none"/>
          <w:lang w:val="zh-CN"/>
        </w:rPr>
        <w:t>2.5.</w:t>
      </w:r>
      <w:r>
        <w:rPr>
          <w:rFonts w:hint="eastAsia" w:ascii="宋体" w:hAnsi="宋体" w:cs="宋体"/>
          <w:color w:val="auto"/>
          <w:highlight w:val="none"/>
        </w:rPr>
        <w:t>1</w:t>
      </w:r>
      <w:r>
        <w:rPr>
          <w:rFonts w:hint="eastAsia" w:ascii="宋体" w:hAnsi="宋体" w:cs="宋体"/>
          <w:color w:val="auto"/>
          <w:highlight w:val="none"/>
          <w:lang w:val="zh-CN"/>
        </w:rPr>
        <w:t>设计：</w:t>
      </w:r>
      <w:r>
        <w:rPr>
          <w:rFonts w:hint="eastAsia" w:ascii="宋体" w:hAnsi="宋体" w:cs="宋体"/>
          <w:color w:val="auto"/>
          <w:highlight w:val="none"/>
        </w:rPr>
        <w:t>完成本项目施工图设计，完成设计全套成果资料制作；施工图设计阶段专项技术审查，配合甲方完成施工图审定；配合甲方报批报建、专家咨询、资料收集等相关工作；以及施工过程中的全过程设计服务及协调工作，设计后期的跟踪服务等，具体工作范围以设计任务书及合同为准。</w:t>
      </w:r>
    </w:p>
    <w:p w14:paraId="12B2A3C9">
      <w:pPr>
        <w:spacing w:line="440" w:lineRule="exact"/>
        <w:ind w:firstLine="424" w:firstLineChars="202"/>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2.5.2施工：完成本项目经审查通过的施工图设计包含的全部施工内容，包括材料、设备采购及安装、调试等相关工作，配合招标人组织的验收工作（含各阶段的报批等工作及工程检测费用，以及各种工程资料的编制），配合办理工程建设相关行政审批等服务、工程保修期内的缺陷修复和保修工作；</w:t>
      </w:r>
    </w:p>
    <w:p w14:paraId="4431E77F">
      <w:pPr>
        <w:spacing w:line="440" w:lineRule="exact"/>
        <w:ind w:firstLine="424" w:firstLineChars="202"/>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2.5.3运营：</w:t>
      </w:r>
      <w:r>
        <w:rPr>
          <w:rFonts w:hint="eastAsia" w:ascii="宋体" w:hAnsi="宋体" w:eastAsia="宋体" w:cs="宋体"/>
          <w:color w:val="auto"/>
          <w:highlight w:val="none"/>
          <w:lang w:val="zh-CN"/>
        </w:rPr>
        <w:t>项目竣工验收并具备运营条件后，提供运营托管服务，包括但不限于</w:t>
      </w:r>
      <w:r>
        <w:rPr>
          <w:rFonts w:hint="eastAsia" w:ascii="宋体" w:hAnsi="宋体" w:eastAsia="宋体" w:cs="宋体"/>
          <w:color w:val="auto"/>
          <w:highlight w:val="none"/>
          <w:lang w:val="zh-CN" w:eastAsia="zh-CN"/>
        </w:rPr>
        <w:t>①</w:t>
      </w:r>
      <w:r>
        <w:rPr>
          <w:rFonts w:hint="eastAsia" w:ascii="宋体" w:hAnsi="宋体" w:eastAsia="宋体" w:cs="宋体"/>
          <w:color w:val="auto"/>
          <w:highlight w:val="none"/>
          <w:lang w:val="zh-CN"/>
        </w:rPr>
        <w:t>为本项目提供以运营的需求为导向组织设计方、施工方的设计、建设时序和内容</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zh-CN"/>
        </w:rPr>
        <w:t>②运营方负责统筹项目资金计划、开发时序；③组织实施项目建设范围内运营服务、经营性项目及活动策划</w:t>
      </w:r>
      <w:r>
        <w:rPr>
          <w:rFonts w:hint="eastAsia" w:ascii="宋体" w:hAnsi="宋体" w:eastAsia="宋体" w:cs="宋体"/>
          <w:color w:val="auto"/>
          <w:highlight w:val="none"/>
          <w:lang w:val="en-US" w:eastAsia="zh-CN"/>
        </w:rPr>
        <w:t>等</w:t>
      </w:r>
      <w:r>
        <w:rPr>
          <w:rFonts w:hint="eastAsia" w:ascii="宋体" w:hAnsi="宋体" w:cs="宋体"/>
          <w:color w:val="auto"/>
          <w:highlight w:val="none"/>
          <w:lang w:val="zh-CN" w:eastAsia="zh-CN"/>
        </w:rPr>
        <w:t>；</w:t>
      </w:r>
      <w:r>
        <w:rPr>
          <w:rFonts w:hint="eastAsia" w:ascii="宋体" w:hAnsi="宋体" w:eastAsia="宋体" w:cs="宋体"/>
          <w:color w:val="auto"/>
          <w:highlight w:val="none"/>
          <w:lang w:val="zh-CN"/>
        </w:rPr>
        <w:t>④负责与招标人签订代运营协议，按时缴纳</w:t>
      </w:r>
      <w:r>
        <w:rPr>
          <w:rFonts w:hint="eastAsia" w:ascii="宋体" w:hAnsi="宋体" w:cs="宋体"/>
          <w:color w:val="auto"/>
          <w:highlight w:val="none"/>
          <w:lang w:val="zh-CN"/>
        </w:rPr>
        <w:t>招标人的投资收益</w:t>
      </w:r>
      <w:r>
        <w:rPr>
          <w:rFonts w:hint="eastAsia" w:ascii="宋体" w:hAnsi="宋体" w:eastAsia="宋体" w:cs="宋体"/>
          <w:color w:val="auto"/>
          <w:highlight w:val="none"/>
          <w:lang w:val="zh-CN"/>
        </w:rPr>
        <w:t>。</w:t>
      </w:r>
    </w:p>
    <w:p w14:paraId="2891F7C0">
      <w:pPr>
        <w:spacing w:line="440" w:lineRule="exact"/>
        <w:ind w:firstLine="424" w:firstLineChars="202"/>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招标人保留对招标范围及服务内容进行调整的权利，具体内容以招标人实际委托为准。</w:t>
      </w:r>
    </w:p>
    <w:p w14:paraId="238B6AEE">
      <w:pPr>
        <w:spacing w:line="440" w:lineRule="exact"/>
        <w:ind w:firstLine="424" w:firstLineChars="202"/>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2.5.4</w:t>
      </w:r>
      <w:r>
        <w:rPr>
          <w:rFonts w:hint="eastAsia" w:ascii="宋体" w:hAnsi="宋体" w:eastAsia="宋体" w:cs="宋体"/>
          <w:color w:val="auto"/>
          <w:highlight w:val="none"/>
          <w:lang w:val="zh-CN"/>
        </w:rPr>
        <w:t>运营期限</w:t>
      </w:r>
      <w:r>
        <w:rPr>
          <w:rFonts w:hint="eastAsia" w:ascii="宋体" w:hAnsi="宋体" w:eastAsia="宋体" w:cs="宋体"/>
          <w:color w:val="auto"/>
          <w:highlight w:val="none"/>
          <w:lang w:val="en-US" w:eastAsia="zh-CN"/>
        </w:rPr>
        <w:t>及合作方式</w:t>
      </w:r>
    </w:p>
    <w:p w14:paraId="148F2355">
      <w:pPr>
        <w:spacing w:line="440" w:lineRule="exact"/>
        <w:ind w:firstLine="424" w:firstLineChars="20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本项目合作期限不低于</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年</w:t>
      </w:r>
      <w:r>
        <w:rPr>
          <w:rFonts w:hint="eastAsia" w:ascii="宋体" w:hAnsi="宋体" w:eastAsia="宋体" w:cs="宋体"/>
          <w:color w:val="auto"/>
          <w:highlight w:val="none"/>
          <w:lang w:val="zh-CN" w:eastAsia="zh-CN"/>
        </w:rPr>
        <w:t>，自项目竣工验收交付使用之日起算。项目建成后，产权归横山村集体所有，支持发展石斛鲜切花及石斛产业，建立联农带农机制，通过租赁方式产生收益，带动村集体经济发展，收益主要用于常态化帮扶下支持带动群众就业增收，壮大村集体经济等。中标方作为本项目资产的运营主体；招标人不参与日常运营管理，除</w:t>
      </w:r>
      <w:r>
        <w:rPr>
          <w:rFonts w:hint="eastAsia" w:ascii="宋体" w:hAnsi="宋体" w:eastAsia="宋体" w:cs="宋体"/>
          <w:color w:val="auto"/>
          <w:highlight w:val="none"/>
          <w:lang w:val="en-US" w:eastAsia="zh-CN"/>
        </w:rPr>
        <w:t>800万元</w:t>
      </w:r>
      <w:r>
        <w:rPr>
          <w:rFonts w:hint="eastAsia" w:ascii="宋体" w:hAnsi="宋体" w:eastAsia="宋体" w:cs="宋体"/>
          <w:color w:val="auto"/>
          <w:highlight w:val="none"/>
          <w:lang w:val="zh-CN" w:eastAsia="zh-CN"/>
        </w:rPr>
        <w:t>之外不再投入其他资金，不承担项目运营亏损</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CN" w:eastAsia="zh-CN"/>
        </w:rPr>
        <w:t>项目投产运营后，招标人按每年不低于租赁产权的投入资金的</w:t>
      </w:r>
      <w:r>
        <w:rPr>
          <w:rFonts w:hint="eastAsia" w:ascii="宋体" w:hAnsi="宋体" w:cs="宋体"/>
          <w:color w:val="auto"/>
          <w:highlight w:val="none"/>
          <w:lang w:val="en-US" w:eastAsia="zh-CN"/>
        </w:rPr>
        <w:t>5</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zh-CN" w:eastAsia="zh-CN"/>
        </w:rPr>
        <w:t>进行收益，</w:t>
      </w:r>
      <w:r>
        <w:rPr>
          <w:rFonts w:hint="eastAsia" w:ascii="宋体" w:hAnsi="宋体" w:eastAsia="宋体" w:cs="宋体"/>
          <w:color w:val="auto"/>
          <w:highlight w:val="none"/>
          <w:lang w:val="en-US" w:eastAsia="zh-CN"/>
        </w:rPr>
        <w:t>项目的收益留在村集体合作社。</w:t>
      </w:r>
    </w:p>
    <w:p w14:paraId="1AE30C14">
      <w:pPr>
        <w:spacing w:line="440" w:lineRule="exact"/>
        <w:ind w:firstLine="424" w:firstLineChars="202"/>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2.6质量要求：</w:t>
      </w:r>
    </w:p>
    <w:p w14:paraId="5C776C7C">
      <w:pPr>
        <w:spacing w:line="440" w:lineRule="exact"/>
        <w:ind w:firstLine="424" w:firstLineChars="202"/>
        <w:rPr>
          <w:rFonts w:ascii="宋体" w:hAnsi="宋体" w:cs="宋体"/>
          <w:color w:val="auto"/>
          <w:highlight w:val="none"/>
          <w:lang w:val="zh-CN"/>
        </w:rPr>
      </w:pPr>
      <w:r>
        <w:rPr>
          <w:rFonts w:hint="eastAsia" w:ascii="宋体" w:hAnsi="宋体" w:cs="宋体"/>
          <w:color w:val="auto"/>
          <w:highlight w:val="none"/>
          <w:lang w:val="zh-CN"/>
        </w:rPr>
        <w:t>2.6.1设计：在满足招标人提出的本项目使用功能要求的前提下进行限额设计，符合国家、行业及地方现行的相关标准及强制性规范；确保设计成果资料完整、真实准确、清晰有据、符合项目实际，并对提供的设计成果质量终身负责。</w:t>
      </w:r>
    </w:p>
    <w:p w14:paraId="509FE95A">
      <w:pPr>
        <w:spacing w:line="440" w:lineRule="exact"/>
        <w:ind w:firstLine="424" w:firstLineChars="202"/>
        <w:rPr>
          <w:rFonts w:hint="eastAsia" w:ascii="宋体" w:hAnsi="宋体" w:eastAsia="宋体" w:cs="宋体"/>
          <w:color w:val="auto"/>
          <w:highlight w:val="none"/>
          <w:lang w:val="zh-CN"/>
        </w:rPr>
      </w:pPr>
      <w:r>
        <w:rPr>
          <w:rFonts w:hint="eastAsia" w:ascii="宋体" w:hAnsi="宋体" w:cs="宋体"/>
          <w:color w:val="auto"/>
          <w:highlight w:val="none"/>
          <w:lang w:val="zh-CN"/>
        </w:rPr>
        <w:t>2</w:t>
      </w:r>
      <w:r>
        <w:rPr>
          <w:rFonts w:hint="eastAsia" w:ascii="宋体" w:hAnsi="宋体" w:eastAsia="宋体" w:cs="宋体"/>
          <w:color w:val="auto"/>
          <w:highlight w:val="none"/>
          <w:lang w:val="zh-CN"/>
        </w:rPr>
        <w:t>.6.2施工：符合设计要求，执行国家、省、</w:t>
      </w:r>
      <w:r>
        <w:rPr>
          <w:rFonts w:hint="eastAsia" w:ascii="宋体" w:hAnsi="宋体" w:cs="宋体"/>
          <w:color w:val="auto"/>
          <w:highlight w:val="none"/>
          <w:lang w:val="en-US" w:eastAsia="zh-CN"/>
        </w:rPr>
        <w:t>市</w:t>
      </w:r>
      <w:r>
        <w:rPr>
          <w:rFonts w:hint="eastAsia" w:ascii="宋体" w:hAnsi="宋体" w:eastAsia="宋体" w:cs="宋体"/>
          <w:color w:val="auto"/>
          <w:highlight w:val="none"/>
          <w:lang w:val="zh-CN"/>
        </w:rPr>
        <w:t>现行的质量验收标准，一次性验收合格，并保证各专项工程验收通过、整体通过竣工验收合格。</w:t>
      </w:r>
    </w:p>
    <w:p w14:paraId="04FD0956">
      <w:pPr>
        <w:spacing w:line="440" w:lineRule="exact"/>
        <w:ind w:firstLine="424" w:firstLineChars="202"/>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2.6.3总承包承诺：执行《建设项目工程总承包管理规范》（GB-T50358-2017）及国家、省、</w:t>
      </w:r>
      <w:r>
        <w:rPr>
          <w:rFonts w:hint="eastAsia" w:ascii="宋体" w:hAnsi="宋体" w:cs="宋体"/>
          <w:color w:val="auto"/>
          <w:highlight w:val="none"/>
          <w:lang w:val="en-US" w:eastAsia="zh-CN"/>
        </w:rPr>
        <w:t>市</w:t>
      </w:r>
      <w:r>
        <w:rPr>
          <w:rFonts w:hint="eastAsia" w:ascii="宋体" w:hAnsi="宋体" w:eastAsia="宋体" w:cs="宋体"/>
          <w:color w:val="auto"/>
          <w:highlight w:val="none"/>
          <w:lang w:val="zh-CN"/>
        </w:rPr>
        <w:t>现行法规、规范的相关规定。</w:t>
      </w:r>
    </w:p>
    <w:p w14:paraId="1A6E5A64">
      <w:pPr>
        <w:spacing w:line="440" w:lineRule="exact"/>
        <w:ind w:firstLine="424" w:firstLineChars="202"/>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2.6.4运营：</w:t>
      </w:r>
      <w:r>
        <w:rPr>
          <w:rFonts w:hint="eastAsia" w:ascii="宋体" w:hAnsi="宋体" w:eastAsia="宋体" w:cs="宋体"/>
          <w:color w:val="auto"/>
          <w:highlight w:val="none"/>
          <w:lang w:val="zh-CN"/>
        </w:rPr>
        <w:t>按现行国家、行业及地方相应规范、标准执行，满足招标人的要求</w:t>
      </w:r>
      <w:r>
        <w:rPr>
          <w:rFonts w:hint="eastAsia" w:ascii="宋体" w:hAnsi="宋体" w:cs="宋体"/>
          <w:color w:val="auto"/>
          <w:highlight w:val="none"/>
          <w:lang w:val="zh-CN"/>
        </w:rPr>
        <w:t>。</w:t>
      </w:r>
    </w:p>
    <w:p w14:paraId="2BC464A7">
      <w:pPr>
        <w:spacing w:line="440" w:lineRule="exact"/>
        <w:ind w:firstLine="424" w:firstLineChars="202"/>
        <w:rPr>
          <w:rFonts w:ascii="宋体" w:hAnsi="宋体" w:cs="宋体"/>
          <w:color w:val="auto"/>
          <w:highlight w:val="none"/>
          <w:lang w:val="zh-CN"/>
        </w:rPr>
      </w:pPr>
      <w:r>
        <w:rPr>
          <w:rFonts w:hint="eastAsia" w:ascii="宋体" w:hAnsi="宋体" w:cs="宋体"/>
          <w:color w:val="auto"/>
          <w:highlight w:val="none"/>
          <w:lang w:val="zh-CN"/>
        </w:rPr>
        <w:t>2.7 标段划分：本项目不划分标段。</w:t>
      </w:r>
    </w:p>
    <w:p w14:paraId="48752CB1">
      <w:pPr>
        <w:autoSpaceDE w:val="0"/>
        <w:autoSpaceDN w:val="0"/>
        <w:adjustRightInd w:val="0"/>
        <w:spacing w:line="348" w:lineRule="auto"/>
        <w:outlineLvl w:val="0"/>
        <w:rPr>
          <w:rFonts w:ascii="宋体" w:hAnsi="宋体" w:cs="宋体"/>
          <w:b/>
          <w:bCs/>
          <w:color w:val="auto"/>
          <w:highlight w:val="none"/>
        </w:rPr>
      </w:pPr>
      <w:bookmarkStart w:id="44" w:name="_Toc29546"/>
      <w:bookmarkStart w:id="45" w:name="_Toc45896594"/>
      <w:bookmarkStart w:id="46" w:name="_Toc45896890"/>
      <w:bookmarkStart w:id="47" w:name="_Toc10115_WPSOffice_Level2"/>
      <w:bookmarkStart w:id="48" w:name="_Toc31577"/>
      <w:bookmarkStart w:id="49" w:name="_Toc5377_WPSOffice_Level2"/>
      <w:r>
        <w:rPr>
          <w:rFonts w:hint="eastAsia" w:ascii="宋体" w:hAnsi="宋体" w:cs="宋体"/>
          <w:b/>
          <w:bCs/>
          <w:color w:val="auto"/>
          <w:highlight w:val="none"/>
          <w:lang w:val="zh-CN"/>
        </w:rPr>
        <w:t>3</w:t>
      </w:r>
      <w:r>
        <w:rPr>
          <w:rFonts w:hint="eastAsia" w:ascii="宋体" w:hAnsi="宋体" w:cs="宋体"/>
          <w:b/>
          <w:bCs/>
          <w:color w:val="auto"/>
          <w:highlight w:val="none"/>
        </w:rPr>
        <w:t>.</w:t>
      </w:r>
      <w:r>
        <w:rPr>
          <w:rFonts w:hint="eastAsia" w:ascii="宋体" w:hAnsi="宋体" w:cs="宋体"/>
          <w:b/>
          <w:bCs/>
          <w:color w:val="auto"/>
          <w:highlight w:val="none"/>
          <w:lang w:val="zh-CN"/>
        </w:rPr>
        <w:t>投标人资格要求</w:t>
      </w:r>
      <w:bookmarkEnd w:id="44"/>
      <w:bookmarkEnd w:id="45"/>
      <w:bookmarkEnd w:id="46"/>
      <w:bookmarkEnd w:id="47"/>
      <w:bookmarkEnd w:id="48"/>
      <w:bookmarkEnd w:id="49"/>
      <w:bookmarkStart w:id="50" w:name="_Toc29597"/>
      <w:bookmarkStart w:id="51" w:name="_Toc27651"/>
    </w:p>
    <w:bookmarkEnd w:id="50"/>
    <w:bookmarkEnd w:id="51"/>
    <w:p w14:paraId="60017C17">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eastAsia="zh-CN"/>
        </w:rPr>
      </w:pPr>
      <w:bookmarkStart w:id="52" w:name="_Toc4043_WPSOffice_Level2"/>
      <w:bookmarkStart w:id="53" w:name="_Toc9497_WPSOffice_Level2"/>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1投标人</w:t>
      </w:r>
      <w:r>
        <w:rPr>
          <w:rFonts w:hint="eastAsia" w:ascii="宋体" w:hAnsi="宋体" w:cs="宋体"/>
          <w:color w:val="auto"/>
          <w:highlight w:val="none"/>
          <w:lang w:val="zh-CN"/>
        </w:rPr>
        <w:t>必须是在中华人民共和国境内依法成立，具有独立法人资格和独立承担民事责任能力的企业</w:t>
      </w:r>
      <w:r>
        <w:rPr>
          <w:rFonts w:hint="eastAsia" w:ascii="宋体" w:hAnsi="宋体" w:eastAsia="宋体" w:cs="宋体"/>
          <w:color w:val="auto"/>
          <w:sz w:val="21"/>
          <w:szCs w:val="21"/>
          <w:highlight w:val="none"/>
          <w:lang w:val="en-US" w:eastAsia="zh-CN"/>
        </w:rPr>
        <w:t>，具备有效的营业执照或其他相关法定证明文件</w:t>
      </w:r>
      <w:r>
        <w:rPr>
          <w:rFonts w:hint="eastAsia" w:ascii="宋体" w:hAnsi="宋体" w:eastAsia="宋体" w:cs="宋体"/>
          <w:color w:val="auto"/>
          <w:sz w:val="21"/>
          <w:szCs w:val="21"/>
          <w:highlight w:val="none"/>
          <w:lang w:eastAsia="zh-CN"/>
        </w:rPr>
        <w:t>。</w:t>
      </w:r>
    </w:p>
    <w:p w14:paraId="6953F38F">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r>
        <w:rPr>
          <w:rFonts w:hint="eastAsia" w:ascii="宋体" w:hAnsi="宋体" w:eastAsia="宋体" w:cs="宋体"/>
          <w:color w:val="auto"/>
          <w:sz w:val="21"/>
          <w:szCs w:val="21"/>
          <w:highlight w:val="none"/>
          <w:lang w:val="en-US" w:eastAsia="zh-CN"/>
        </w:rPr>
        <w:t>本次招标要求投标人须同时具备以下资质：</w:t>
      </w:r>
    </w:p>
    <w:p w14:paraId="7DE3D158">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（1）设计资质：</w:t>
      </w:r>
      <w:r>
        <w:rPr>
          <w:rFonts w:hint="eastAsia" w:ascii="宋体" w:hAnsi="宋体" w:eastAsia="宋体" w:cs="宋体"/>
          <w:color w:val="auto"/>
          <w:sz w:val="21"/>
          <w:szCs w:val="21"/>
          <w:highlight w:val="none"/>
          <w:lang w:val="en-US" w:eastAsia="zh-CN"/>
        </w:rPr>
        <w:t>具备建设行政主管部门颁发的工程设计建筑行业</w:t>
      </w:r>
      <w:r>
        <w:rPr>
          <w:rFonts w:hint="eastAsia" w:ascii="宋体" w:hAnsi="宋体" w:cs="宋体"/>
          <w:color w:val="auto"/>
          <w:sz w:val="21"/>
          <w:szCs w:val="21"/>
          <w:highlight w:val="none"/>
          <w:lang w:val="en-US" w:eastAsia="zh-CN"/>
        </w:rPr>
        <w:t>丙</w:t>
      </w:r>
      <w:r>
        <w:rPr>
          <w:rFonts w:hint="eastAsia" w:ascii="宋体" w:hAnsi="宋体" w:eastAsia="宋体" w:cs="宋体"/>
          <w:color w:val="auto"/>
          <w:sz w:val="21"/>
          <w:szCs w:val="21"/>
          <w:highlight w:val="none"/>
          <w:lang w:val="en-US" w:eastAsia="zh-CN"/>
        </w:rPr>
        <w:t>级（含丙级）以上资质或工程设计建筑工程专业丙级（含丙级）以上资质。</w:t>
      </w:r>
    </w:p>
    <w:p w14:paraId="6B93A166">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（2）施工资质：具备建设行政主管部门颁发的</w:t>
      </w:r>
      <w:r>
        <w:rPr>
          <w:rFonts w:hint="eastAsia" w:ascii="宋体" w:hAnsi="宋体" w:eastAsia="宋体" w:cs="宋体"/>
          <w:color w:val="auto"/>
          <w:sz w:val="21"/>
          <w:szCs w:val="21"/>
          <w:highlight w:val="none"/>
          <w:lang w:val="en-US" w:eastAsia="zh-CN"/>
        </w:rPr>
        <w:t>建筑工程施工总承包</w:t>
      </w:r>
      <w:r>
        <w:rPr>
          <w:rFonts w:hint="eastAsia" w:ascii="宋体" w:hAnsi="宋体" w:cs="宋体"/>
          <w:color w:val="auto"/>
          <w:sz w:val="21"/>
          <w:szCs w:val="21"/>
          <w:highlight w:val="none"/>
          <w:lang w:val="en-US" w:eastAsia="zh-CN"/>
        </w:rPr>
        <w:t>叁</w:t>
      </w:r>
      <w:r>
        <w:rPr>
          <w:rFonts w:hint="eastAsia" w:ascii="宋体" w:hAnsi="宋体" w:eastAsia="宋体" w:cs="宋体"/>
          <w:color w:val="auto"/>
          <w:sz w:val="21"/>
          <w:szCs w:val="21"/>
          <w:highlight w:val="none"/>
          <w:lang w:val="en-US" w:eastAsia="zh-CN"/>
        </w:rPr>
        <w:t>级（含叁级）以上资质</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lang w:val="en-US" w:eastAsia="zh-CN"/>
        </w:rPr>
        <w:t>市政公用工程施工总承包叁级（含叁级）及以上资质</w:t>
      </w:r>
      <w:r>
        <w:rPr>
          <w:rFonts w:hint="eastAsia" w:ascii="宋体" w:hAnsi="宋体" w:eastAsia="宋体" w:cs="宋体"/>
          <w:color w:val="auto"/>
          <w:sz w:val="21"/>
          <w:szCs w:val="21"/>
          <w:highlight w:val="none"/>
          <w:lang w:val="en-US" w:eastAsia="zh-CN"/>
        </w:rPr>
        <w:t>，具备有效的安全生产许可证。</w:t>
      </w:r>
    </w:p>
    <w:p w14:paraId="54E4D50E">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3拟投入项目管理人员要求：</w:t>
      </w:r>
    </w:p>
    <w:p w14:paraId="16C1E8FE">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（1）设计负责人：</w:t>
      </w:r>
      <w:r>
        <w:rPr>
          <w:rFonts w:hint="eastAsia" w:ascii="宋体" w:hAnsi="宋体" w:eastAsia="宋体" w:cs="宋体"/>
          <w:color w:val="auto"/>
          <w:sz w:val="21"/>
          <w:szCs w:val="21"/>
          <w:highlight w:val="none"/>
          <w:lang w:eastAsia="zh-CN"/>
        </w:rPr>
        <w:t>须具备</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级</w:t>
      </w:r>
      <w:r>
        <w:rPr>
          <w:rFonts w:hint="eastAsia" w:ascii="宋体" w:hAnsi="宋体" w:cs="宋体"/>
          <w:color w:val="auto"/>
          <w:sz w:val="21"/>
          <w:szCs w:val="21"/>
          <w:highlight w:val="none"/>
          <w:lang w:val="en-US" w:eastAsia="zh-CN"/>
        </w:rPr>
        <w:t>以上（含二级）</w:t>
      </w:r>
      <w:r>
        <w:rPr>
          <w:rFonts w:hint="eastAsia" w:ascii="宋体" w:hAnsi="宋体" w:eastAsia="宋体" w:cs="宋体"/>
          <w:color w:val="auto"/>
          <w:sz w:val="21"/>
          <w:szCs w:val="21"/>
          <w:highlight w:val="none"/>
          <w:lang w:val="en-US" w:eastAsia="zh-CN"/>
        </w:rPr>
        <w:t>注册建筑师或</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级</w:t>
      </w:r>
      <w:r>
        <w:rPr>
          <w:rFonts w:hint="eastAsia" w:ascii="宋体" w:hAnsi="宋体" w:cs="宋体"/>
          <w:color w:val="auto"/>
          <w:sz w:val="21"/>
          <w:szCs w:val="21"/>
          <w:highlight w:val="none"/>
          <w:lang w:val="en-US" w:eastAsia="zh-CN"/>
        </w:rPr>
        <w:t>以上（含二级）</w:t>
      </w:r>
      <w:r>
        <w:rPr>
          <w:rFonts w:hint="eastAsia" w:ascii="宋体" w:hAnsi="宋体" w:eastAsia="宋体" w:cs="宋体"/>
          <w:color w:val="auto"/>
          <w:sz w:val="21"/>
          <w:szCs w:val="21"/>
          <w:highlight w:val="none"/>
          <w:lang w:val="en-US" w:eastAsia="zh-CN"/>
        </w:rPr>
        <w:t>注册结构师资格证书</w:t>
      </w:r>
      <w:r>
        <w:rPr>
          <w:rFonts w:hint="eastAsia" w:ascii="宋体" w:hAnsi="宋体" w:eastAsia="宋体" w:cs="宋体"/>
          <w:color w:val="auto"/>
          <w:sz w:val="21"/>
          <w:szCs w:val="21"/>
          <w:highlight w:val="none"/>
          <w:lang w:val="en-US" w:eastAsia="zh-CN"/>
        </w:rPr>
        <w:t>，提供关系在本单位的社保证明</w:t>
      </w:r>
      <w:r>
        <w:rPr>
          <w:rFonts w:hint="eastAsia" w:ascii="宋体" w:hAnsi="宋体" w:eastAsia="宋体" w:cs="宋体"/>
          <w:color w:val="auto"/>
          <w:sz w:val="21"/>
          <w:szCs w:val="21"/>
          <w:highlight w:val="none"/>
          <w:lang w:val="en-US" w:eastAsia="zh-CN"/>
        </w:rPr>
        <w:t>或劳动合同或其他合法证明</w:t>
      </w:r>
      <w:r>
        <w:rPr>
          <w:rFonts w:hint="eastAsia" w:ascii="宋体" w:hAnsi="宋体" w:eastAsia="宋体" w:cs="宋体"/>
          <w:color w:val="auto"/>
          <w:sz w:val="21"/>
          <w:szCs w:val="21"/>
          <w:highlight w:val="none"/>
          <w:lang w:val="en-US" w:eastAsia="zh-CN"/>
        </w:rPr>
        <w:t>，且须承诺在今后实施过程中除经招标人允许外不作任何更换，投标人自行承诺。</w:t>
      </w:r>
    </w:p>
    <w:p w14:paraId="6B15FA83">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（2）项目经理：须具有</w:t>
      </w:r>
      <w:r>
        <w:rPr>
          <w:rFonts w:hint="eastAsia" w:ascii="宋体" w:hAnsi="宋体" w:eastAsia="宋体" w:cs="宋体"/>
          <w:color w:val="auto"/>
          <w:sz w:val="21"/>
          <w:szCs w:val="21"/>
          <w:highlight w:val="none"/>
          <w:lang w:val="en-US" w:eastAsia="zh-CN"/>
        </w:rPr>
        <w:t>建筑工程或市政公用工程专业贰级（含贰级）以上注册建造师资格</w:t>
      </w:r>
      <w:r>
        <w:rPr>
          <w:rFonts w:hint="eastAsia" w:ascii="宋体" w:hAnsi="宋体" w:eastAsia="宋体" w:cs="宋体"/>
          <w:color w:val="auto"/>
          <w:sz w:val="21"/>
          <w:szCs w:val="21"/>
          <w:highlight w:val="none"/>
          <w:lang w:val="en-US" w:eastAsia="zh-CN"/>
        </w:rPr>
        <w:t>，并具备有效的安全生产考核合格证书，且未担任其他在建工程的项目经理（附承诺书），提供关系在本单位的社保证明</w:t>
      </w:r>
      <w:r>
        <w:rPr>
          <w:rFonts w:hint="eastAsia" w:ascii="宋体" w:hAnsi="宋体" w:eastAsia="宋体" w:cs="宋体"/>
          <w:color w:val="auto"/>
          <w:sz w:val="21"/>
          <w:szCs w:val="21"/>
          <w:highlight w:val="none"/>
          <w:lang w:val="en-US" w:eastAsia="zh-CN"/>
        </w:rPr>
        <w:t>或劳动合同或其他合法证明。</w:t>
      </w:r>
    </w:p>
    <w:p w14:paraId="5A74F4B2">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401" w:firstLineChars="19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说明：①拟派往本项目的设计负责人及项目经理不能为同一人；</w:t>
      </w:r>
      <w:r>
        <w:rPr>
          <w:rFonts w:hint="eastAsia" w:ascii="宋体" w:hAnsi="宋体" w:eastAsia="宋体" w:cs="宋体"/>
          <w:b/>
          <w:bCs/>
          <w:color w:val="auto"/>
          <w:sz w:val="21"/>
          <w:szCs w:val="21"/>
          <w:highlight w:val="none"/>
          <w:lang w:val="en-US" w:eastAsia="zh-CN"/>
        </w:rPr>
        <w:t>②拟派往本项目的项目负责人可以和施工项目经理为同一人，在投标文件中明确。</w:t>
      </w:r>
    </w:p>
    <w:p w14:paraId="3FB48A2E">
      <w:pPr>
        <w:keepNext w:val="0"/>
        <w:keepLines w:val="0"/>
        <w:pageBreakBefore w:val="0"/>
        <w:widowControl w:val="0"/>
        <w:numPr>
          <w:ilvl w:val="0"/>
          <w:numId w:val="0"/>
        </w:numPr>
        <w:kinsoku/>
        <w:wordWrap w:val="0"/>
        <w:overflowPunct/>
        <w:topLinePunct w:val="0"/>
        <w:autoSpaceDE/>
        <w:autoSpaceDN/>
        <w:bidi w:val="0"/>
        <w:adjustRightInd/>
        <w:snapToGrid w:val="0"/>
        <w:spacing w:line="360" w:lineRule="auto"/>
        <w:ind w:right="-57" w:rightChars="-27"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施工技术负责人：须具备</w:t>
      </w:r>
      <w:r>
        <w:rPr>
          <w:rFonts w:hint="eastAsia" w:ascii="宋体" w:hAnsi="宋体" w:eastAsia="宋体" w:cs="宋体"/>
          <w:color w:val="auto"/>
          <w:sz w:val="21"/>
          <w:szCs w:val="21"/>
          <w:highlight w:val="none"/>
          <w:lang w:val="en-US" w:eastAsia="zh-CN"/>
        </w:rPr>
        <w:t>建筑工程或市政公用</w:t>
      </w:r>
      <w:r>
        <w:rPr>
          <w:rFonts w:hint="eastAsia" w:ascii="宋体" w:hAnsi="宋体" w:eastAsia="宋体" w:cs="宋体"/>
          <w:color w:val="auto"/>
          <w:sz w:val="21"/>
          <w:szCs w:val="21"/>
          <w:highlight w:val="none"/>
          <w:lang w:eastAsia="zh-CN"/>
        </w:rPr>
        <w:t>工程</w:t>
      </w:r>
      <w:r>
        <w:rPr>
          <w:rFonts w:hint="eastAsia" w:ascii="宋体" w:hAnsi="宋体" w:eastAsia="宋体" w:cs="宋体"/>
          <w:color w:val="auto"/>
          <w:sz w:val="21"/>
          <w:szCs w:val="21"/>
          <w:highlight w:val="none"/>
          <w:lang w:eastAsia="zh-CN"/>
        </w:rPr>
        <w:t>中级工程师（含</w:t>
      </w:r>
      <w:r>
        <w:rPr>
          <w:rFonts w:hint="eastAsia" w:ascii="宋体" w:hAnsi="宋体" w:eastAsia="宋体" w:cs="宋体"/>
          <w:color w:val="auto"/>
          <w:sz w:val="21"/>
          <w:szCs w:val="21"/>
          <w:highlight w:val="none"/>
          <w:lang w:val="en-US" w:eastAsia="zh-CN"/>
        </w:rPr>
        <w:t>中级</w:t>
      </w:r>
      <w:r>
        <w:rPr>
          <w:rFonts w:hint="eastAsia" w:ascii="宋体" w:hAnsi="宋体" w:eastAsia="宋体" w:cs="宋体"/>
          <w:color w:val="auto"/>
          <w:sz w:val="21"/>
          <w:szCs w:val="21"/>
          <w:highlight w:val="none"/>
          <w:lang w:eastAsia="zh-CN"/>
        </w:rPr>
        <w:t>）及以上职称，提供关系在本单位的社保证明</w:t>
      </w:r>
      <w:r>
        <w:rPr>
          <w:rFonts w:hint="eastAsia" w:ascii="宋体" w:hAnsi="宋体" w:eastAsia="宋体" w:cs="宋体"/>
          <w:color w:val="auto"/>
          <w:sz w:val="21"/>
          <w:szCs w:val="21"/>
          <w:highlight w:val="none"/>
          <w:lang w:eastAsia="zh-CN"/>
        </w:rPr>
        <w:t>或劳动合同或其他合法证明</w:t>
      </w:r>
      <w:r>
        <w:rPr>
          <w:rFonts w:hint="eastAsia" w:ascii="宋体" w:hAnsi="宋体" w:eastAsia="宋体" w:cs="宋体"/>
          <w:color w:val="auto"/>
          <w:sz w:val="21"/>
          <w:szCs w:val="21"/>
          <w:highlight w:val="none"/>
          <w:lang w:eastAsia="zh-CN"/>
        </w:rPr>
        <w:t>。</w:t>
      </w:r>
    </w:p>
    <w:p w14:paraId="12114FFC">
      <w:pPr>
        <w:keepNext w:val="0"/>
        <w:keepLines w:val="0"/>
        <w:pageBreakBefore w:val="0"/>
        <w:widowControl w:val="0"/>
        <w:numPr>
          <w:ilvl w:val="0"/>
          <w:numId w:val="0"/>
        </w:numPr>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）专职安全员：须具备安全生产考核合格证证书C证，提供关系在本单位的社保证明</w:t>
      </w:r>
      <w:r>
        <w:rPr>
          <w:rFonts w:hint="eastAsia" w:ascii="宋体" w:hAnsi="宋体" w:eastAsia="宋体" w:cs="宋体"/>
          <w:color w:val="auto"/>
          <w:sz w:val="21"/>
          <w:szCs w:val="21"/>
          <w:highlight w:val="none"/>
          <w:lang w:eastAsia="zh-CN"/>
        </w:rPr>
        <w:t>或劳动合同或其他合法证明。</w:t>
      </w:r>
    </w:p>
    <w:p w14:paraId="281787F2">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其他人员：</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满足项目实施要求，由投标人根据项目实际情况以及自身实力进行拟派</w:t>
      </w:r>
      <w:r>
        <w:rPr>
          <w:rFonts w:hint="eastAsia" w:ascii="宋体" w:hAnsi="宋体" w:eastAsia="宋体" w:cs="宋体"/>
          <w:color w:val="auto"/>
          <w:sz w:val="21"/>
          <w:szCs w:val="21"/>
          <w:highlight w:val="none"/>
          <w:lang w:eastAsia="zh-CN"/>
        </w:rPr>
        <w:t>。</w:t>
      </w:r>
    </w:p>
    <w:p w14:paraId="2019C286">
      <w:pPr>
        <w:snapToGrid w:val="0"/>
        <w:spacing w:line="360" w:lineRule="auto"/>
        <w:ind w:firstLine="424" w:firstLineChars="202"/>
        <w:rPr>
          <w:rFonts w:ascii="宋体" w:hAnsi="宋体" w:cs="宋体"/>
          <w:color w:val="auto"/>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财务要求：</w:t>
      </w:r>
      <w:r>
        <w:rPr>
          <w:rFonts w:hint="eastAsia" w:ascii="宋体" w:hAnsi="宋体" w:cs="宋体"/>
          <w:color w:val="auto"/>
          <w:sz w:val="21"/>
          <w:szCs w:val="21"/>
          <w:highlight w:val="none"/>
          <w:lang w:val="en-US" w:eastAsia="zh-CN"/>
        </w:rPr>
        <w:t>投标人近年</w:t>
      </w:r>
      <w:r>
        <w:rPr>
          <w:rFonts w:hint="eastAsia" w:ascii="宋体" w:hAnsi="宋体" w:eastAsia="宋体" w:cs="宋体"/>
          <w:color w:val="auto"/>
          <w:sz w:val="21"/>
          <w:szCs w:val="21"/>
          <w:highlight w:val="none"/>
        </w:rPr>
        <w:t>财务状况良好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未处于财产被接管、冻结和破产状态</w:t>
      </w:r>
      <w:r>
        <w:rPr>
          <w:rFonts w:hint="eastAsia" w:ascii="宋体" w:hAnsi="宋体" w:cs="宋体"/>
          <w:color w:val="auto"/>
          <w:sz w:val="21"/>
          <w:szCs w:val="21"/>
          <w:highlight w:val="none"/>
          <w:lang w:val="en-US" w:eastAsia="zh-CN"/>
        </w:rPr>
        <w:t>，</w:t>
      </w:r>
      <w:r>
        <w:rPr>
          <w:rFonts w:hint="eastAsia" w:ascii="宋体" w:hAnsi="宋体" w:cs="宋体"/>
          <w:color w:val="auto"/>
          <w:highlight w:val="none"/>
          <w:lang w:val="zh-CN"/>
        </w:rPr>
        <w:t>须提供</w:t>
      </w:r>
      <w:r>
        <w:rPr>
          <w:rFonts w:hint="eastAsia" w:ascii="宋体" w:hAnsi="宋体" w:cs="宋体"/>
          <w:color w:val="auto"/>
          <w:highlight w:val="none"/>
        </w:rPr>
        <w:t>202</w:t>
      </w:r>
      <w:r>
        <w:rPr>
          <w:rFonts w:hint="eastAsia" w:ascii="宋体" w:hAnsi="宋体" w:cs="宋体"/>
          <w:color w:val="auto"/>
          <w:highlight w:val="none"/>
          <w:lang w:val="en-US" w:eastAsia="zh-CN"/>
        </w:rPr>
        <w:t>4</w:t>
      </w:r>
      <w:r>
        <w:rPr>
          <w:rFonts w:hint="eastAsia" w:ascii="宋体" w:hAnsi="宋体" w:cs="宋体"/>
          <w:color w:val="auto"/>
          <w:highlight w:val="none"/>
          <w:lang w:val="zh-CN"/>
        </w:rPr>
        <w:t>年</w:t>
      </w:r>
      <w:r>
        <w:rPr>
          <w:rFonts w:hint="eastAsia" w:ascii="宋体" w:hAnsi="宋体" w:cs="宋体"/>
          <w:color w:val="auto"/>
          <w:highlight w:val="none"/>
          <w:lang w:val="en-US" w:eastAsia="zh-CN"/>
        </w:rPr>
        <w:t>度或2025年</w:t>
      </w:r>
      <w:r>
        <w:rPr>
          <w:rFonts w:hint="eastAsia" w:ascii="宋体" w:hAnsi="宋体" w:cs="宋体"/>
          <w:color w:val="auto"/>
          <w:highlight w:val="none"/>
          <w:lang w:val="en-US" w:eastAsia="zh-CN"/>
        </w:rPr>
        <w:t>度财务报表</w:t>
      </w:r>
      <w:r>
        <w:rPr>
          <w:rFonts w:hint="eastAsia" w:ascii="宋体" w:hAnsi="宋体" w:cs="宋体"/>
          <w:color w:val="auto"/>
          <w:highlight w:val="none"/>
          <w:lang w:val="zh-CN"/>
        </w:rPr>
        <w:t>（包括资产负债表、利润表、现金流量表）；若成立时间不足一年或基本银行账户</w:t>
      </w:r>
      <w:r>
        <w:rPr>
          <w:rFonts w:hint="eastAsia" w:ascii="宋体" w:hAnsi="宋体" w:cs="宋体"/>
          <w:color w:val="auto"/>
          <w:highlight w:val="none"/>
        </w:rPr>
        <w:t>开户时间不足一年或</w:t>
      </w:r>
      <w:r>
        <w:rPr>
          <w:rFonts w:hint="eastAsia" w:ascii="宋体" w:hAnsi="宋体" w:cs="宋体"/>
          <w:color w:val="auto"/>
          <w:highlight w:val="none"/>
          <w:lang w:val="zh-CN"/>
        </w:rPr>
        <w:t>本项目公告发布之日前一年期间内首次取得资质证书（时间以安全许可证发证日期为准）的，可提供目前现已有的财务报表或基本开户银行出具的资信证明。</w:t>
      </w:r>
      <w:r>
        <w:rPr>
          <w:rFonts w:hint="eastAsia" w:ascii="宋体" w:hAnsi="宋体" w:cs="宋体"/>
          <w:color w:val="auto"/>
          <w:highlight w:val="none"/>
          <w:lang w:val="zh-CN"/>
        </w:rPr>
        <w:t>若为联合体投标的，联合体投标的各成员均须提供。</w:t>
      </w:r>
    </w:p>
    <w:p w14:paraId="535D23C6">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信誉要求：</w:t>
      </w:r>
    </w:p>
    <w:p w14:paraId="714514B0">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3.5.1</w:t>
      </w:r>
      <w:r>
        <w:rPr>
          <w:rFonts w:hint="eastAsia" w:ascii="宋体" w:hAnsi="宋体" w:eastAsia="宋体" w:cs="宋体"/>
          <w:color w:val="auto"/>
          <w:sz w:val="21"/>
          <w:szCs w:val="21"/>
          <w:highlight w:val="none"/>
        </w:rPr>
        <w:t>投标人应具备良好信誉，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近</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年</w:t>
      </w:r>
      <w:r>
        <w:rPr>
          <w:rFonts w:hint="eastAsia" w:ascii="宋体" w:hAnsi="宋体" w:eastAsia="宋体" w:cs="宋体"/>
          <w:color w:val="auto"/>
          <w:sz w:val="21"/>
          <w:szCs w:val="21"/>
          <w:highlight w:val="none"/>
        </w:rPr>
        <w:t>至今未曾骗取中标、串通投标和发生严重违约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没有被建设行政主管部门列入黑名单的情况。（2）企业、法定代表人、</w:t>
      </w:r>
      <w:r>
        <w:rPr>
          <w:rFonts w:hint="eastAsia" w:ascii="宋体" w:hAnsi="宋体" w:eastAsia="宋体" w:cs="宋体"/>
          <w:color w:val="auto"/>
          <w:sz w:val="21"/>
          <w:szCs w:val="21"/>
          <w:highlight w:val="none"/>
          <w:lang w:val="en-US" w:eastAsia="zh-CN"/>
        </w:rPr>
        <w:t>设计负责人、项目经理</w:t>
      </w:r>
      <w:r>
        <w:rPr>
          <w:rFonts w:hint="eastAsia" w:ascii="宋体" w:hAnsi="宋体" w:eastAsia="宋体" w:cs="宋体"/>
          <w:color w:val="auto"/>
          <w:sz w:val="21"/>
          <w:szCs w:val="21"/>
          <w:highlight w:val="none"/>
        </w:rPr>
        <w:t>未被列入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信用中国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网站（www.creditchina.gov.cn）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重大税收违法</w:t>
      </w:r>
      <w:r>
        <w:rPr>
          <w:rFonts w:hint="eastAsia" w:ascii="宋体" w:hAnsi="宋体" w:eastAsia="宋体" w:cs="宋体"/>
          <w:color w:val="auto"/>
          <w:sz w:val="21"/>
          <w:szCs w:val="21"/>
          <w:highlight w:val="none"/>
          <w:lang w:val="en-US" w:eastAsia="zh-CN"/>
        </w:rPr>
        <w:t>失信主体”，</w:t>
      </w:r>
      <w:r>
        <w:rPr>
          <w:rFonts w:hint="eastAsia" w:ascii="宋体" w:hAnsi="宋体" w:eastAsia="宋体" w:cs="宋体"/>
          <w:color w:val="auto"/>
          <w:sz w:val="21"/>
          <w:szCs w:val="21"/>
          <w:highlight w:val="none"/>
        </w:rPr>
        <w:t>中国执行信息公开网（www.zxgk.court.gov.cn/shixin/）的“失信被执行人”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提供“信用中国”网站（www.creditchina.gov.cn）《信用信息报告》</w:t>
      </w:r>
      <w:r>
        <w:rPr>
          <w:rFonts w:hint="eastAsia" w:ascii="宋体" w:hAnsi="宋体" w:eastAsia="宋体" w:cs="宋体"/>
          <w:color w:val="auto"/>
          <w:sz w:val="21"/>
          <w:szCs w:val="21"/>
          <w:highlight w:val="none"/>
          <w:lang w:val="en-US" w:eastAsia="zh-CN"/>
        </w:rPr>
        <w:t>并附相关承诺书</w:t>
      </w:r>
      <w:r>
        <w:rPr>
          <w:rFonts w:hint="eastAsia" w:ascii="宋体" w:hAnsi="宋体" w:eastAsia="宋体" w:cs="宋体"/>
          <w:color w:val="auto"/>
          <w:sz w:val="21"/>
          <w:szCs w:val="21"/>
          <w:highlight w:val="none"/>
        </w:rPr>
        <w:t>。</w:t>
      </w:r>
      <w:r>
        <w:rPr>
          <w:rFonts w:hint="eastAsia" w:ascii="宋体" w:hAnsi="宋体" w:cs="宋体"/>
          <w:color w:val="auto"/>
          <w:highlight w:val="none"/>
          <w:lang w:val="zh-CN"/>
        </w:rPr>
        <w:t>若为联合体投标的，联合体投标的各成员均须作出承诺</w:t>
      </w:r>
      <w:r>
        <w:rPr>
          <w:rFonts w:hint="eastAsia" w:ascii="宋体" w:hAnsi="宋体" w:cs="宋体"/>
          <w:color w:val="auto"/>
          <w:highlight w:val="none"/>
          <w:lang w:val="zh-CN"/>
        </w:rPr>
        <w:t>，并对其真实性负责</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en-US" w:eastAsia="zh-CN"/>
        </w:rPr>
        <w:t>上</w:t>
      </w:r>
      <w:r>
        <w:rPr>
          <w:rFonts w:hint="eastAsia" w:ascii="宋体" w:hAnsi="宋体" w:eastAsia="宋体" w:cs="宋体"/>
          <w:color w:val="auto"/>
          <w:sz w:val="21"/>
          <w:szCs w:val="21"/>
          <w:highlight w:val="none"/>
        </w:rPr>
        <w:t>相关查询以招标人、招标代理机构在相关网站查询结果为准，并交由评标委员会评定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FFE2E08">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rPr>
      </w:pPr>
      <w:r>
        <w:rPr>
          <w:rFonts w:hint="eastAsia" w:ascii="宋体" w:hAnsi="宋体" w:cs="宋体"/>
          <w:color w:val="auto"/>
          <w:highlight w:val="none"/>
          <w:lang w:val="en-US" w:eastAsia="zh-CN"/>
        </w:rPr>
        <w:t>3.5.2</w:t>
      </w:r>
      <w:r>
        <w:rPr>
          <w:rFonts w:hint="eastAsia" w:ascii="宋体" w:hAnsi="宋体" w:cs="宋体"/>
          <w:color w:val="auto"/>
          <w:highlight w:val="none"/>
          <w:lang w:val="zh-CN"/>
        </w:rPr>
        <w:t>投标人近3年未出现拖欠农民工工资情况，并严格按人社部门的相关要求支付农民工工资（提供承诺书）。</w:t>
      </w:r>
      <w:r>
        <w:rPr>
          <w:rFonts w:hint="eastAsia" w:ascii="宋体" w:hAnsi="宋体" w:cs="宋体"/>
          <w:color w:val="auto"/>
          <w:highlight w:val="none"/>
          <w:lang w:val="zh-CN"/>
        </w:rPr>
        <w:t>若为联合体投标的，联合体</w:t>
      </w:r>
      <w:r>
        <w:rPr>
          <w:rFonts w:hint="eastAsia" w:ascii="宋体" w:hAnsi="宋体" w:cs="宋体"/>
          <w:color w:val="auto"/>
          <w:highlight w:val="none"/>
          <w:lang w:val="en-US" w:eastAsia="zh-CN"/>
        </w:rPr>
        <w:t>牵头方</w:t>
      </w:r>
      <w:r>
        <w:rPr>
          <w:rFonts w:hint="eastAsia" w:ascii="宋体" w:hAnsi="宋体" w:cs="宋体"/>
          <w:color w:val="auto"/>
          <w:highlight w:val="none"/>
          <w:lang w:val="zh-CN"/>
        </w:rPr>
        <w:t>提供。</w:t>
      </w:r>
    </w:p>
    <w:p w14:paraId="1AEF6CA2">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cs="宋体"/>
          <w:color w:val="auto"/>
          <w:highlight w:val="none"/>
          <w:lang w:val="zh-CN"/>
        </w:rPr>
      </w:pPr>
      <w:r>
        <w:rPr>
          <w:rFonts w:hint="eastAsia" w:ascii="宋体" w:hAnsi="宋体" w:cs="宋体"/>
          <w:color w:val="auto"/>
          <w:highlight w:val="none"/>
          <w:lang w:val="en-US" w:eastAsia="zh-CN"/>
        </w:rPr>
        <w:t>3.5.3</w:t>
      </w:r>
      <w:r>
        <w:rPr>
          <w:rFonts w:hint="eastAsia" w:ascii="宋体" w:hAnsi="宋体" w:cs="宋体"/>
          <w:color w:val="auto"/>
          <w:highlight w:val="none"/>
          <w:lang w:val="zh-CN"/>
        </w:rPr>
        <w:t>诉讼及仲裁：投标人如实说明近</w:t>
      </w:r>
      <w:r>
        <w:rPr>
          <w:rFonts w:hint="eastAsia" w:ascii="宋体" w:hAnsi="宋体" w:cs="宋体"/>
          <w:color w:val="auto"/>
          <w:highlight w:val="none"/>
          <w:lang w:val="en-US" w:eastAsia="zh-CN"/>
        </w:rPr>
        <w:t>3</w:t>
      </w:r>
      <w:r>
        <w:rPr>
          <w:rFonts w:hint="eastAsia" w:ascii="宋体" w:hAnsi="宋体" w:cs="宋体"/>
          <w:color w:val="auto"/>
          <w:highlight w:val="none"/>
          <w:lang w:val="zh-CN"/>
        </w:rPr>
        <w:t>年发生的诉讼及仲裁相关情况，并说明当前有无因投标申请人违约或不恰当履约引起的合同终止、纠纷、争议、仲裁和诉讼，并承诺涉及诉讼事件不影响申请人在本招标项目的履约能力。</w:t>
      </w:r>
      <w:r>
        <w:rPr>
          <w:rFonts w:hint="eastAsia" w:ascii="宋体" w:hAnsi="宋体" w:cs="宋体"/>
          <w:color w:val="auto"/>
          <w:highlight w:val="none"/>
          <w:lang w:val="zh-CN"/>
        </w:rPr>
        <w:t>若为联合体投标的，联合体投标的各成员均须提供。</w:t>
      </w:r>
    </w:p>
    <w:p w14:paraId="14D83E14">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其他要求：单位负责人为同一人或者存在控股、管理关系的不同单位，不得参加同一标段投标或者未划分标段的同一招标项目投标。</w:t>
      </w:r>
    </w:p>
    <w:p w14:paraId="6EC0378E">
      <w:pPr>
        <w:keepNext w:val="0"/>
        <w:keepLines w:val="0"/>
        <w:pageBreakBefore w:val="0"/>
        <w:kinsoku/>
        <w:wordWrap w:val="0"/>
        <w:overflowPunct/>
        <w:autoSpaceDE/>
        <w:autoSpaceDN/>
        <w:bidi w:val="0"/>
        <w:adjustRightInd w:val="0"/>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本次招标</w:t>
      </w:r>
      <w:r>
        <w:rPr>
          <w:rFonts w:hint="eastAsia" w:ascii="宋体" w:hAnsi="宋体" w:eastAsia="宋体" w:cs="宋体"/>
          <w:b/>
          <w:bCs/>
          <w:color w:val="auto"/>
          <w:sz w:val="21"/>
          <w:szCs w:val="21"/>
          <w:highlight w:val="none"/>
        </w:rPr>
        <w:t>接受</w:t>
      </w:r>
      <w:r>
        <w:rPr>
          <w:rFonts w:hint="eastAsia" w:ascii="宋体" w:hAnsi="宋体" w:eastAsia="宋体" w:cs="宋体"/>
          <w:color w:val="auto"/>
          <w:sz w:val="21"/>
          <w:szCs w:val="21"/>
          <w:highlight w:val="none"/>
        </w:rPr>
        <w:t>联合体投标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联合体要求：</w:t>
      </w:r>
      <w:r>
        <w:rPr>
          <w:rFonts w:hint="eastAsia" w:ascii="宋体" w:hAnsi="宋体" w:eastAsia="宋体" w:cs="宋体"/>
          <w:color w:val="auto"/>
          <w:sz w:val="21"/>
          <w:szCs w:val="21"/>
          <w:highlight w:val="none"/>
        </w:rPr>
        <w:t>联合体单位数量</w:t>
      </w:r>
      <w:r>
        <w:rPr>
          <w:rFonts w:hint="eastAsia" w:ascii="宋体" w:hAnsi="宋体" w:eastAsia="宋体" w:cs="宋体"/>
          <w:color w:val="auto"/>
          <w:sz w:val="21"/>
          <w:szCs w:val="21"/>
          <w:highlight w:val="none"/>
          <w:lang w:val="en-US" w:eastAsia="zh-CN"/>
        </w:rPr>
        <w:t>最多为</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家（含</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w:t>
      </w:r>
      <w:r>
        <w:rPr>
          <w:rFonts w:hint="eastAsia" w:ascii="宋体" w:hAnsi="宋体" w:eastAsia="宋体" w:cs="宋体"/>
          <w:color w:val="auto"/>
          <w:sz w:val="21"/>
          <w:szCs w:val="21"/>
          <w:highlight w:val="none"/>
          <w:lang w:val="en-US" w:eastAsia="zh-CN"/>
        </w:rPr>
        <w:t>须由</w:t>
      </w:r>
      <w:r>
        <w:rPr>
          <w:rFonts w:hint="eastAsia" w:ascii="宋体" w:hAnsi="宋体" w:eastAsia="宋体" w:cs="宋体"/>
          <w:b/>
          <w:bCs/>
          <w:color w:val="auto"/>
          <w:sz w:val="21"/>
          <w:szCs w:val="21"/>
          <w:highlight w:val="none"/>
        </w:rPr>
        <w:t>施工企业</w:t>
      </w:r>
      <w:r>
        <w:rPr>
          <w:rFonts w:hint="eastAsia" w:ascii="宋体" w:hAnsi="宋体" w:eastAsia="宋体" w:cs="宋体"/>
          <w:b/>
          <w:bCs/>
          <w:color w:val="auto"/>
          <w:sz w:val="21"/>
          <w:szCs w:val="21"/>
          <w:highlight w:val="none"/>
          <w:lang w:val="en-US" w:eastAsia="zh-CN"/>
        </w:rPr>
        <w:t>牵头</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签订联合体</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协议，其中联合体牵头人代表联合体各方成员负责投标和合同实施阶段的主办、协调工作，但联合体其他成员在投标、签约与履行合同过程中，仍负有连带的和各自的法律责任。承担同一专业的单位组成的联合体，按照资质等级较低的单位确定资质等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承担不同专业的单位组成的联合体，按照各自资质等级确定资质等级。联合体各方在同一招标项目中以自己名义单独投标或者参加其他联合体投标的，相关投标均无效</w:t>
      </w:r>
      <w:r>
        <w:rPr>
          <w:rFonts w:hint="eastAsia" w:ascii="宋体" w:hAnsi="宋体" w:cs="宋体"/>
          <w:color w:val="auto"/>
          <w:sz w:val="21"/>
          <w:szCs w:val="21"/>
          <w:highlight w:val="none"/>
          <w:lang w:eastAsia="zh-CN"/>
        </w:rPr>
        <w:t>。</w:t>
      </w:r>
    </w:p>
    <w:p w14:paraId="00DEF1A5">
      <w:pPr>
        <w:autoSpaceDE w:val="0"/>
        <w:autoSpaceDN w:val="0"/>
        <w:adjustRightInd w:val="0"/>
        <w:spacing w:line="348" w:lineRule="auto"/>
        <w:rPr>
          <w:rFonts w:ascii="宋体" w:hAnsi="宋体" w:cs="宋体"/>
          <w:b/>
          <w:bCs/>
          <w:color w:val="auto"/>
          <w:highlight w:val="none"/>
          <w:lang w:val="zh-CN"/>
        </w:rPr>
      </w:pPr>
      <w:r>
        <w:rPr>
          <w:rFonts w:hint="eastAsia" w:ascii="宋体" w:hAnsi="宋体" w:cs="宋体"/>
          <w:b/>
          <w:bCs/>
          <w:color w:val="auto"/>
          <w:highlight w:val="none"/>
          <w:lang w:val="zh-CN"/>
        </w:rPr>
        <w:t>4</w:t>
      </w:r>
      <w:r>
        <w:rPr>
          <w:rFonts w:hint="eastAsia" w:ascii="宋体" w:hAnsi="宋体" w:cs="宋体"/>
          <w:b/>
          <w:bCs/>
          <w:color w:val="auto"/>
          <w:highlight w:val="none"/>
        </w:rPr>
        <w:t>.</w:t>
      </w:r>
      <w:r>
        <w:rPr>
          <w:rFonts w:hint="eastAsia" w:ascii="宋体" w:hAnsi="宋体" w:cs="宋体"/>
          <w:b/>
          <w:bCs/>
          <w:color w:val="auto"/>
          <w:highlight w:val="none"/>
          <w:lang w:val="zh-CN"/>
        </w:rPr>
        <w:t>招标文件的获取</w:t>
      </w:r>
      <w:bookmarkEnd w:id="52"/>
      <w:bookmarkEnd w:id="53"/>
    </w:p>
    <w:p w14:paraId="2F95B8D9">
      <w:pPr>
        <w:pStyle w:val="81"/>
        <w:shd w:val="clear" w:color="auto" w:fill="FFFFFF"/>
        <w:spacing w:before="0" w:beforeAutospacing="0" w:after="0" w:afterAutospacing="0" w:line="348" w:lineRule="auto"/>
        <w:ind w:firstLine="420" w:firstLineChars="200"/>
        <w:rPr>
          <w:color w:val="auto"/>
          <w:kern w:val="2"/>
          <w:sz w:val="21"/>
          <w:szCs w:val="21"/>
          <w:highlight w:val="none"/>
          <w:lang w:val="zh-CN"/>
        </w:rPr>
      </w:pPr>
      <w:bookmarkStart w:id="54" w:name="_Toc2710_WPSOffice_Level2"/>
      <w:bookmarkStart w:id="55" w:name="_Toc25385_WPSOffice_Level2"/>
      <w:bookmarkStart w:id="56" w:name="_Toc17364"/>
      <w:r>
        <w:rPr>
          <w:rFonts w:hint="eastAsia"/>
          <w:color w:val="auto"/>
          <w:kern w:val="2"/>
          <w:sz w:val="21"/>
          <w:szCs w:val="21"/>
          <w:highlight w:val="none"/>
          <w:lang w:val="zh-CN"/>
        </w:rPr>
        <w:t>凡有意参加的投标者，请于</w:t>
      </w:r>
      <w:r>
        <w:rPr>
          <w:rFonts w:hint="eastAsia"/>
          <w:b/>
          <w:bCs/>
          <w:color w:val="auto"/>
          <w:kern w:val="2"/>
          <w:sz w:val="21"/>
          <w:szCs w:val="21"/>
          <w:highlight w:val="none"/>
          <w:u w:val="single"/>
          <w:lang w:eastAsia="zh-CN"/>
        </w:rPr>
        <w:t>2026年</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月</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日</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rPr>
        <w:t>时</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val="zh-CN"/>
        </w:rPr>
        <w:t>分至</w:t>
      </w:r>
      <w:r>
        <w:rPr>
          <w:rFonts w:hint="eastAsia"/>
          <w:b/>
          <w:bCs/>
          <w:color w:val="auto"/>
          <w:kern w:val="2"/>
          <w:sz w:val="21"/>
          <w:szCs w:val="21"/>
          <w:highlight w:val="none"/>
          <w:u w:val="single"/>
          <w:lang w:eastAsia="zh-CN"/>
        </w:rPr>
        <w:t>2026年</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月</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日</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rPr>
        <w:t>时</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val="zh-CN"/>
        </w:rPr>
        <w:t>分</w:t>
      </w:r>
      <w:r>
        <w:rPr>
          <w:rFonts w:hint="eastAsia"/>
          <w:color w:val="auto"/>
          <w:kern w:val="2"/>
          <w:sz w:val="21"/>
          <w:szCs w:val="21"/>
          <w:highlight w:val="none"/>
          <w:lang w:val="zh-CN"/>
        </w:rPr>
        <w:t>登录全国公共资源交易平台（云南省）(</w:t>
      </w:r>
      <w:r>
        <w:rPr>
          <w:rFonts w:hint="eastAsia"/>
          <w:color w:val="auto"/>
          <w:kern w:val="2"/>
          <w:sz w:val="21"/>
          <w:szCs w:val="21"/>
          <w:highlight w:val="none"/>
          <w:lang w:eastAsia="zh-CN"/>
        </w:rPr>
        <w:t>http://ggzy.yn.gov.cn/</w:t>
      </w:r>
      <w:r>
        <w:rPr>
          <w:rFonts w:hint="eastAsia"/>
          <w:color w:val="auto"/>
          <w:kern w:val="2"/>
          <w:sz w:val="21"/>
          <w:szCs w:val="21"/>
          <w:highlight w:val="none"/>
          <w:lang w:val="zh-CN"/>
        </w:rPr>
        <w:t>)选择“保山市”</w:t>
      </w:r>
      <w:r>
        <w:rPr>
          <w:color w:val="auto"/>
          <w:highlight w:val="none"/>
        </w:rPr>
        <w:fldChar w:fldCharType="begin"/>
      </w:r>
      <w:r>
        <w:rPr>
          <w:color w:val="auto"/>
          <w:highlight w:val="none"/>
        </w:rPr>
        <w:instrText xml:space="preserve"> HYPERLINK "http://ggzy.yn.gov.cn/ynggfwpt-home-web/" \l "/homePage），凭企业数字证书（CA）在网上获取招标文件及其它招标资料（含招标电子技术标文件，格式为*.BTBJ；招标电子商务标文件，格式为*.SLZBS、图纸）。未办理企业数字证书（CA）的企业需要按照云南省公共资源交易电子认证的要求，办理企业数字证书（CA），并在全国公共资源交易平台（云南省）选择" </w:instrText>
      </w:r>
      <w:r>
        <w:rPr>
          <w:color w:val="auto"/>
          <w:highlight w:val="none"/>
        </w:rPr>
        <w:fldChar w:fldCharType="separate"/>
      </w:r>
      <w:r>
        <w:rPr>
          <w:rFonts w:hint="eastAsia"/>
          <w:color w:val="auto"/>
          <w:kern w:val="2"/>
          <w:sz w:val="21"/>
          <w:szCs w:val="21"/>
          <w:highlight w:val="none"/>
          <w:lang w:val="zh-CN"/>
        </w:rPr>
        <w:t>，凭企业数字证书（CA）在网上获取招标文件及其它招标资料（含招标电子技术标文件，格式为*.</w:t>
      </w:r>
      <w:r>
        <w:rPr>
          <w:rFonts w:hint="eastAsia"/>
          <w:color w:val="auto"/>
          <w:kern w:val="2"/>
          <w:sz w:val="21"/>
          <w:szCs w:val="21"/>
          <w:highlight w:val="none"/>
        </w:rPr>
        <w:t>BT</w:t>
      </w:r>
      <w:r>
        <w:rPr>
          <w:rFonts w:hint="eastAsia"/>
          <w:color w:val="auto"/>
          <w:kern w:val="2"/>
          <w:sz w:val="21"/>
          <w:szCs w:val="21"/>
          <w:highlight w:val="none"/>
          <w:lang w:val="zh-CN"/>
        </w:rPr>
        <w:t>BJ；）。未办理企业数字证书（CA）的企业需要按照云南省公共资源交易电子认证的要求，办理企业数字证书（CA），并在全国公共资源交易平台（云南省）选择“保山市”完成注册通过后，便可获取招标文件，此为获取招标文件的唯一途径。</w:t>
      </w:r>
      <w:r>
        <w:rPr>
          <w:rFonts w:hint="eastAsia"/>
          <w:color w:val="auto"/>
          <w:kern w:val="2"/>
          <w:sz w:val="21"/>
          <w:szCs w:val="21"/>
          <w:highlight w:val="none"/>
          <w:lang w:val="zh-CN"/>
        </w:rPr>
        <w:fldChar w:fldCharType="end"/>
      </w:r>
    </w:p>
    <w:p w14:paraId="5104F5D2">
      <w:pPr>
        <w:tabs>
          <w:tab w:val="left" w:pos="360"/>
        </w:tabs>
        <w:spacing w:line="348" w:lineRule="auto"/>
        <w:rPr>
          <w:rFonts w:ascii="宋体" w:hAnsi="宋体" w:cs="宋体"/>
          <w:b/>
          <w:bCs/>
          <w:color w:val="auto"/>
          <w:highlight w:val="none"/>
          <w:lang w:val="zh-CN"/>
        </w:rPr>
      </w:pPr>
      <w:r>
        <w:rPr>
          <w:rFonts w:hint="eastAsia" w:ascii="宋体" w:hAnsi="宋体" w:cs="宋体"/>
          <w:b/>
          <w:bCs/>
          <w:color w:val="auto"/>
          <w:highlight w:val="none"/>
        </w:rPr>
        <w:t>5.</w:t>
      </w:r>
      <w:r>
        <w:rPr>
          <w:rFonts w:hint="eastAsia" w:ascii="宋体" w:hAnsi="宋体" w:cs="宋体"/>
          <w:b/>
          <w:bCs/>
          <w:color w:val="auto"/>
          <w:highlight w:val="none"/>
          <w:lang w:val="zh-CN"/>
        </w:rPr>
        <w:t>投标文件的递交</w:t>
      </w:r>
      <w:bookmarkEnd w:id="54"/>
      <w:bookmarkEnd w:id="55"/>
      <w:bookmarkEnd w:id="56"/>
    </w:p>
    <w:p w14:paraId="6F2232E4">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5.1本次招标项目投标文件递交截止时间（开标时间）为</w:t>
      </w:r>
      <w:r>
        <w:rPr>
          <w:rFonts w:hint="eastAsia"/>
          <w:b/>
          <w:bCs/>
          <w:color w:val="auto"/>
          <w:kern w:val="2"/>
          <w:sz w:val="21"/>
          <w:szCs w:val="21"/>
          <w:highlight w:val="none"/>
          <w:u w:val="single"/>
          <w:lang w:eastAsia="zh-CN"/>
        </w:rPr>
        <w:t>2026年</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月</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日</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时</w:t>
      </w:r>
      <w:r>
        <w:rPr>
          <w:rFonts w:hint="eastAsia"/>
          <w:b/>
          <w:bCs/>
          <w:color w:val="auto"/>
          <w:kern w:val="2"/>
          <w:sz w:val="21"/>
          <w:szCs w:val="21"/>
          <w:highlight w:val="none"/>
          <w:u w:val="single"/>
          <w:lang w:val="en-US" w:eastAsia="zh-CN"/>
        </w:rPr>
        <w:t xml:space="preserve">  </w:t>
      </w:r>
      <w:r>
        <w:rPr>
          <w:rFonts w:hint="eastAsia"/>
          <w:b/>
          <w:bCs/>
          <w:color w:val="auto"/>
          <w:kern w:val="2"/>
          <w:sz w:val="21"/>
          <w:szCs w:val="21"/>
          <w:highlight w:val="none"/>
          <w:u w:val="single"/>
          <w:lang w:eastAsia="zh-CN"/>
        </w:rPr>
        <w:t>分</w:t>
      </w:r>
      <w:r>
        <w:rPr>
          <w:rFonts w:hint="eastAsia"/>
          <w:color w:val="auto"/>
          <w:kern w:val="2"/>
          <w:sz w:val="21"/>
          <w:szCs w:val="21"/>
          <w:highlight w:val="none"/>
        </w:rPr>
        <w:t>，</w:t>
      </w:r>
      <w:r>
        <w:rPr>
          <w:rFonts w:hint="eastAsia"/>
          <w:color w:val="auto"/>
          <w:kern w:val="2"/>
          <w:sz w:val="21"/>
          <w:szCs w:val="21"/>
          <w:highlight w:val="none"/>
        </w:rPr>
        <w:t>开标地点：</w:t>
      </w:r>
      <w:r>
        <w:rPr>
          <w:rFonts w:hint="eastAsia" w:ascii="宋体" w:hAnsi="宋体" w:cs="宋体"/>
          <w:color w:val="auto"/>
          <w:sz w:val="21"/>
          <w:szCs w:val="21"/>
          <w:highlight w:val="none"/>
          <w:lang w:val="zh-CN" w:eastAsia="zh-CN"/>
        </w:rPr>
        <w:t>龙陵县公共资源交易中心</w:t>
      </w:r>
      <w:r>
        <w:rPr>
          <w:rFonts w:hint="eastAsia"/>
          <w:color w:val="auto"/>
          <w:kern w:val="2"/>
          <w:sz w:val="21"/>
          <w:szCs w:val="21"/>
          <w:highlight w:val="none"/>
        </w:rPr>
        <w:t xml:space="preserve">。 </w:t>
      </w:r>
    </w:p>
    <w:p w14:paraId="418ED4CB">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5.2投标文件递交：投标人须在投标截止时间前登录</w:t>
      </w:r>
      <w:r>
        <w:rPr>
          <w:rFonts w:hint="eastAsia"/>
          <w:color w:val="auto"/>
          <w:kern w:val="2"/>
          <w:sz w:val="21"/>
          <w:szCs w:val="21"/>
          <w:highlight w:val="none"/>
          <w:lang w:val="zh-CN"/>
        </w:rPr>
        <w:t>全国公共资源交易平台（云南省）(</w:t>
      </w:r>
      <w:r>
        <w:rPr>
          <w:rFonts w:hint="eastAsia"/>
          <w:color w:val="auto"/>
          <w:kern w:val="2"/>
          <w:sz w:val="21"/>
          <w:szCs w:val="21"/>
          <w:highlight w:val="none"/>
          <w:lang w:eastAsia="zh-CN"/>
        </w:rPr>
        <w:t>http://ggzy.yn.gov.cn/</w:t>
      </w:r>
      <w:r>
        <w:rPr>
          <w:rFonts w:hint="eastAsia"/>
          <w:color w:val="auto"/>
          <w:kern w:val="2"/>
          <w:sz w:val="21"/>
          <w:szCs w:val="21"/>
          <w:highlight w:val="none"/>
          <w:lang w:val="zh-CN"/>
        </w:rPr>
        <w:t>)选择“保山市”</w:t>
      </w:r>
      <w:r>
        <w:rPr>
          <w:rFonts w:hint="eastAsia"/>
          <w:color w:val="auto"/>
          <w:kern w:val="2"/>
          <w:sz w:val="21"/>
          <w:szCs w:val="21"/>
          <w:highlight w:val="none"/>
        </w:rPr>
        <w:t>，完成所有电子投标文件的上传，网上确认电子签名，并打印“上传投标文件回执”，投标截止时间前未完成投标文件传输的，视为撤回投标文件（如因修改重新上传投标文件后，需再次确认并打印回执）。</w:t>
      </w:r>
    </w:p>
    <w:p w14:paraId="5DFA2387">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5.3开标方式：采用网上开标远程解密方式。</w:t>
      </w:r>
    </w:p>
    <w:p w14:paraId="09CB52AD">
      <w:pPr>
        <w:pStyle w:val="81"/>
        <w:shd w:val="clear" w:color="auto" w:fill="FFFFFF"/>
        <w:spacing w:before="0" w:beforeAutospacing="0" w:after="0" w:afterAutospacing="0" w:line="348" w:lineRule="auto"/>
        <w:ind w:firstLine="420" w:firstLineChars="200"/>
        <w:rPr>
          <w:color w:val="auto"/>
          <w:highlight w:val="none"/>
        </w:rPr>
      </w:pPr>
      <w:r>
        <w:rPr>
          <w:rFonts w:hint="eastAsia"/>
          <w:color w:val="auto"/>
          <w:kern w:val="2"/>
          <w:sz w:val="21"/>
          <w:szCs w:val="21"/>
          <w:highlight w:val="none"/>
        </w:rPr>
        <w:t>5.4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w:t>
      </w:r>
      <w:r>
        <w:rPr>
          <w:rFonts w:hint="eastAsia"/>
          <w:color w:val="auto"/>
          <w:kern w:val="2"/>
          <w:sz w:val="21"/>
          <w:szCs w:val="21"/>
          <w:highlight w:val="none"/>
          <w:lang w:val="zh-CN"/>
        </w:rPr>
        <w:t>(</w:t>
      </w:r>
      <w:r>
        <w:rPr>
          <w:rFonts w:hint="eastAsia"/>
          <w:color w:val="auto"/>
          <w:kern w:val="2"/>
          <w:sz w:val="21"/>
          <w:szCs w:val="21"/>
          <w:highlight w:val="none"/>
          <w:lang w:eastAsia="zh-CN"/>
        </w:rPr>
        <w:t>http://ggzy.yn.gov.cn/</w:t>
      </w:r>
      <w:r>
        <w:rPr>
          <w:rFonts w:hint="eastAsia"/>
          <w:color w:val="auto"/>
          <w:kern w:val="2"/>
          <w:sz w:val="21"/>
          <w:szCs w:val="21"/>
          <w:highlight w:val="none"/>
          <w:lang w:val="zh-CN"/>
        </w:rPr>
        <w:t>)</w:t>
      </w:r>
      <w:r>
        <w:rPr>
          <w:rFonts w:hint="eastAsia"/>
          <w:color w:val="auto"/>
          <w:kern w:val="2"/>
          <w:sz w:val="21"/>
          <w:szCs w:val="21"/>
          <w:highlight w:val="none"/>
        </w:rPr>
        <w:t>选择 “</w:t>
      </w:r>
      <w:r>
        <w:rPr>
          <w:rFonts w:hint="eastAsia"/>
          <w:color w:val="auto"/>
          <w:kern w:val="2"/>
          <w:sz w:val="21"/>
          <w:szCs w:val="21"/>
          <w:highlight w:val="none"/>
          <w:lang w:eastAsia="zh-CN"/>
        </w:rPr>
        <w:t>保山市</w:t>
      </w:r>
      <w:r>
        <w:rPr>
          <w:rFonts w:hint="eastAsia"/>
          <w:color w:val="auto"/>
          <w:kern w:val="2"/>
          <w:sz w:val="21"/>
          <w:szCs w:val="21"/>
          <w:highlight w:val="none"/>
        </w:rPr>
        <w:t>”，点击【智能开标系统】，进入网上开标大厅，至投标截止时间后方能找到对应项目，点击项目后方的【进入】按钮进入开标室页面，进行系统自动签到(温馨提示:登录及电子签名时需要用企业 CA 锁，解密时需要用投标文件加密的CA锁，为了不频繁更换 CA 锁影响解密及签名确认，故建议投标文件加密时采用企业CA锁进行加密)；</w:t>
      </w:r>
    </w:p>
    <w:p w14:paraId="648DF296">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5.5开标系统下达网上解密指令后，投标单位点击上方【网上解密】进入网上解密界面，各投标单位必须在系统下达的时间内完成解密工作；</w:t>
      </w:r>
    </w:p>
    <w:p w14:paraId="6232C35E">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5.6开标过程中，待全部投标单位解密成功唱标后投标单位如有疑问，可以在线发起异议，点击右上角的【提出异议】按钮，填写异议详细内容之后进行提交，由招标人(招标代理机构)给予对应的回复；</w:t>
      </w:r>
    </w:p>
    <w:p w14:paraId="778A9A89">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5.7各投标人应当提前熟悉和掌握网上开标远程解密详细操作，操作步骤可全国公共资源交易平台（云南省）</w:t>
      </w:r>
      <w:r>
        <w:rPr>
          <w:rFonts w:hint="eastAsia"/>
          <w:color w:val="auto"/>
          <w:kern w:val="2"/>
          <w:sz w:val="21"/>
          <w:szCs w:val="21"/>
          <w:highlight w:val="none"/>
          <w:lang w:val="zh-CN"/>
        </w:rPr>
        <w:t>(</w:t>
      </w:r>
      <w:r>
        <w:rPr>
          <w:rFonts w:hint="eastAsia"/>
          <w:color w:val="auto"/>
          <w:kern w:val="2"/>
          <w:sz w:val="21"/>
          <w:szCs w:val="21"/>
          <w:highlight w:val="none"/>
          <w:lang w:eastAsia="zh-CN"/>
        </w:rPr>
        <w:t>http://ggzy.yn.gov.cn/</w:t>
      </w:r>
      <w:r>
        <w:rPr>
          <w:rFonts w:hint="eastAsia"/>
          <w:color w:val="auto"/>
          <w:kern w:val="2"/>
          <w:sz w:val="21"/>
          <w:szCs w:val="21"/>
          <w:highlight w:val="none"/>
          <w:lang w:val="zh-CN"/>
        </w:rPr>
        <w:t>)</w:t>
      </w:r>
      <w:r>
        <w:rPr>
          <w:rFonts w:hint="eastAsia"/>
          <w:color w:val="auto"/>
          <w:kern w:val="2"/>
          <w:sz w:val="21"/>
          <w:szCs w:val="21"/>
          <w:highlight w:val="none"/>
        </w:rPr>
        <w:t>选择“</w:t>
      </w:r>
      <w:r>
        <w:rPr>
          <w:rFonts w:hint="eastAsia"/>
          <w:color w:val="auto"/>
          <w:kern w:val="2"/>
          <w:sz w:val="21"/>
          <w:szCs w:val="21"/>
          <w:highlight w:val="none"/>
          <w:lang w:eastAsia="zh-CN"/>
        </w:rPr>
        <w:t>保山市</w:t>
      </w:r>
      <w:r>
        <w:rPr>
          <w:rFonts w:hint="eastAsia"/>
          <w:color w:val="auto"/>
          <w:kern w:val="2"/>
          <w:sz w:val="21"/>
          <w:szCs w:val="21"/>
          <w:highlight w:val="none"/>
        </w:rPr>
        <w:t>”-办事指南，自行学习 《云南省公共资源交易电子化平台智能开标系统培训教材》；</w:t>
      </w:r>
    </w:p>
    <w:p w14:paraId="75691E30">
      <w:pPr>
        <w:pStyle w:val="81"/>
        <w:shd w:val="clear" w:color="auto" w:fill="FFFFFF"/>
        <w:spacing w:before="0" w:beforeAutospacing="0" w:after="0" w:afterAutospacing="0" w:line="348" w:lineRule="auto"/>
        <w:ind w:firstLine="420" w:firstLineChars="200"/>
        <w:rPr>
          <w:color w:val="auto"/>
          <w:kern w:val="2"/>
          <w:sz w:val="21"/>
          <w:szCs w:val="21"/>
          <w:highlight w:val="none"/>
        </w:rPr>
      </w:pPr>
      <w:r>
        <w:rPr>
          <w:rFonts w:hint="eastAsia"/>
          <w:color w:val="auto"/>
          <w:kern w:val="2"/>
          <w:sz w:val="21"/>
          <w:szCs w:val="21"/>
          <w:highlight w:val="none"/>
        </w:rPr>
        <w:t>5.8开标当天投标人无法正常登录系统、无法正常解密的，应及时联系筑龙客服说明问题并请求远程协助检查确认问题，同时联系招标人(招标代理机构)说明情况；</w:t>
      </w:r>
    </w:p>
    <w:p w14:paraId="70409179">
      <w:pPr>
        <w:autoSpaceDE w:val="0"/>
        <w:autoSpaceDN w:val="0"/>
        <w:adjustRightInd w:val="0"/>
        <w:spacing w:line="348" w:lineRule="auto"/>
        <w:ind w:firstLine="420" w:firstLineChars="200"/>
        <w:outlineLvl w:val="1"/>
        <w:rPr>
          <w:rFonts w:ascii="宋体" w:hAnsi="宋体" w:cs="宋体"/>
          <w:color w:val="auto"/>
          <w:highlight w:val="none"/>
        </w:rPr>
      </w:pPr>
      <w:r>
        <w:rPr>
          <w:rFonts w:hint="eastAsia" w:ascii="宋体" w:hAnsi="宋体" w:cs="宋体"/>
          <w:color w:val="auto"/>
          <w:highlight w:val="none"/>
        </w:rPr>
        <w:t>5.9有关电子化远程解密网上开标未尽事宜，登录</w:t>
      </w:r>
      <w:r>
        <w:rPr>
          <w:rFonts w:hint="eastAsia" w:ascii="宋体" w:hAnsi="宋体" w:cs="宋体"/>
          <w:color w:val="auto"/>
          <w:highlight w:val="none"/>
          <w:lang w:val="zh-CN"/>
        </w:rPr>
        <w:t>全国公共资源交易平台（云南省）(</w:t>
      </w:r>
      <w:r>
        <w:rPr>
          <w:rFonts w:hint="eastAsia" w:ascii="宋体" w:hAnsi="宋体" w:cs="宋体"/>
          <w:color w:val="auto"/>
          <w:highlight w:val="none"/>
          <w:lang w:eastAsia="zh-CN"/>
        </w:rPr>
        <w:t>http://ggzy.yn.gov.cn/</w:t>
      </w:r>
      <w:r>
        <w:rPr>
          <w:rFonts w:hint="eastAsia" w:ascii="宋体" w:hAnsi="宋体" w:cs="宋体"/>
          <w:color w:val="auto"/>
          <w:highlight w:val="none"/>
          <w:lang w:val="zh-CN"/>
        </w:rPr>
        <w:t xml:space="preserve">) </w:t>
      </w:r>
      <w:r>
        <w:rPr>
          <w:rFonts w:hint="eastAsia" w:ascii="宋体" w:hAnsi="宋体" w:cs="宋体"/>
          <w:color w:val="auto"/>
          <w:highlight w:val="none"/>
        </w:rPr>
        <w:t>在首页交易指引自行学习交易规则、交易流程、操作指南等相关内容；</w:t>
      </w:r>
    </w:p>
    <w:p w14:paraId="21E2FF0E">
      <w:pPr>
        <w:pStyle w:val="21"/>
        <w:rPr>
          <w:rFonts w:ascii="宋体" w:hAnsi="宋体" w:cs="宋体"/>
          <w:color w:val="auto"/>
          <w:highlight w:val="none"/>
        </w:rPr>
      </w:pPr>
      <w:r>
        <w:rPr>
          <w:rFonts w:hint="eastAsia" w:ascii="宋体" w:hAnsi="宋体" w:cs="宋体"/>
          <w:color w:val="auto"/>
          <w:sz w:val="21"/>
          <w:szCs w:val="21"/>
          <w:highlight w:val="none"/>
          <w:lang w:val="en-US"/>
        </w:rPr>
        <w:t>5.10各投标人在本项目开标结束后、评标结果公示发布前可以对招标代理机构服务进行评价。</w:t>
      </w:r>
      <w:bookmarkStart w:id="57" w:name="_Toc45896899"/>
      <w:bookmarkStart w:id="58" w:name="_Toc1669_WPSOffice_Level2"/>
      <w:bookmarkStart w:id="59" w:name="_Toc19723_WPSOffice_Level2"/>
      <w:bookmarkStart w:id="60" w:name="_Toc45896603"/>
      <w:bookmarkStart w:id="61" w:name="_Toc32561"/>
      <w:bookmarkStart w:id="62" w:name="_Toc9936"/>
    </w:p>
    <w:p w14:paraId="6501D01C">
      <w:pPr>
        <w:pStyle w:val="461"/>
        <w:keepNext w:val="0"/>
        <w:keepLines w:val="0"/>
        <w:pageBreakBefore w:val="0"/>
        <w:kinsoku/>
        <w:wordWrap w:val="0"/>
        <w:overflowPunct/>
        <w:autoSpaceDE/>
        <w:autoSpaceDN/>
        <w:bidi w:val="0"/>
        <w:spacing w:line="360" w:lineRule="auto"/>
        <w:ind w:right="-57" w:rightChars="-27"/>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6．投标保证金</w:t>
      </w:r>
    </w:p>
    <w:p w14:paraId="47F15DF7">
      <w:pPr>
        <w:spacing w:line="420" w:lineRule="exact"/>
        <w:ind w:left="480" w:firstLine="0" w:firstLineChars="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不要求递交投标保证金</w:t>
      </w:r>
      <w:r>
        <w:rPr>
          <w:rFonts w:hint="eastAsia" w:ascii="宋体" w:hAnsi="宋体" w:cs="宋体"/>
          <w:color w:val="auto"/>
          <w:sz w:val="21"/>
          <w:szCs w:val="21"/>
          <w:highlight w:val="none"/>
          <w:lang w:val="en-US" w:eastAsia="zh-CN"/>
        </w:rPr>
        <w:t>。</w:t>
      </w:r>
    </w:p>
    <w:p w14:paraId="3F5A3AA5">
      <w:pPr>
        <w:spacing w:line="420" w:lineRule="exact"/>
        <w:ind w:left="480" w:hanging="422" w:hangingChars="200"/>
        <w:outlineLvl w:val="1"/>
        <w:rPr>
          <w:rFonts w:ascii="宋体" w:hAnsi="宋体" w:cs="宋体"/>
          <w:b/>
          <w:color w:val="auto"/>
          <w:sz w:val="24"/>
          <w:highlight w:val="none"/>
          <w:lang w:val="zh-CN"/>
        </w:rPr>
      </w:pPr>
      <w:r>
        <w:rPr>
          <w:rFonts w:hint="eastAsia" w:ascii="宋体" w:hAnsi="宋体" w:cs="宋体"/>
          <w:b/>
          <w:color w:val="auto"/>
          <w:sz w:val="21"/>
          <w:szCs w:val="21"/>
          <w:highlight w:val="none"/>
          <w:lang w:val="en-US" w:eastAsia="zh-CN"/>
        </w:rPr>
        <w:t>7.</w:t>
      </w:r>
      <w:r>
        <w:rPr>
          <w:rFonts w:hint="eastAsia" w:ascii="宋体" w:hAnsi="宋体" w:cs="宋体"/>
          <w:b/>
          <w:color w:val="auto"/>
          <w:sz w:val="21"/>
          <w:szCs w:val="21"/>
          <w:highlight w:val="none"/>
          <w:lang w:val="zh-CN"/>
        </w:rPr>
        <w:t>发布公告的媒介</w:t>
      </w:r>
    </w:p>
    <w:p w14:paraId="4AC69B61">
      <w:pPr>
        <w:autoSpaceDE w:val="0"/>
        <w:autoSpaceDN w:val="0"/>
        <w:adjustRightInd w:val="0"/>
        <w:spacing w:line="348" w:lineRule="auto"/>
        <w:ind w:firstLine="420" w:firstLineChars="200"/>
        <w:jc w:val="left"/>
        <w:outlineLvl w:val="0"/>
        <w:rPr>
          <w:rFonts w:ascii="宋体" w:hAnsi="宋体" w:cs="宋体"/>
          <w:color w:val="auto"/>
          <w:highlight w:val="none"/>
          <w:lang w:val="zh-CN"/>
        </w:rPr>
      </w:pPr>
      <w:r>
        <w:rPr>
          <w:rFonts w:hint="eastAsia" w:ascii="宋体" w:hAnsi="宋体" w:cs="宋体"/>
          <w:color w:val="auto"/>
          <w:highlight w:val="none"/>
          <w:lang w:val="zh-CN"/>
        </w:rPr>
        <w:t>本次招标公告在中国招标投标公共服务平台(http://www.cebpubservice.com)和全国公共资源交易平台（云南省）（</w:t>
      </w:r>
      <w:r>
        <w:rPr>
          <w:rFonts w:hint="eastAsia" w:ascii="宋体" w:hAnsi="宋体" w:cs="宋体"/>
          <w:color w:val="auto"/>
          <w:highlight w:val="none"/>
          <w:lang w:eastAsia="zh-CN"/>
        </w:rPr>
        <w:t>http://ggzy.yn.gov.cn/</w:t>
      </w:r>
      <w:r>
        <w:rPr>
          <w:rFonts w:hint="eastAsia" w:ascii="宋体" w:hAnsi="宋体" w:cs="宋体"/>
          <w:color w:val="auto"/>
          <w:highlight w:val="none"/>
          <w:lang w:val="zh-CN"/>
        </w:rPr>
        <w:t>）上发布，招标人及招标代理机构对其他网站或媒体转载的公告及公告内容不承担任何责任。</w:t>
      </w:r>
    </w:p>
    <w:p w14:paraId="1E71BC63">
      <w:pPr>
        <w:keepNext w:val="0"/>
        <w:keepLines w:val="0"/>
        <w:pageBreakBefore w:val="0"/>
        <w:kinsoku/>
        <w:wordWrap w:val="0"/>
        <w:overflowPunct/>
        <w:autoSpaceDE/>
        <w:autoSpaceDN/>
        <w:bidi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监督部门：</w:t>
      </w:r>
      <w:r>
        <w:rPr>
          <w:rFonts w:hint="eastAsia" w:ascii="宋体" w:hAnsi="宋体" w:cs="宋体"/>
          <w:color w:val="auto"/>
          <w:sz w:val="21"/>
          <w:szCs w:val="21"/>
          <w:highlight w:val="none"/>
          <w:lang w:eastAsia="zh-CN"/>
        </w:rPr>
        <w:t>龙陵县农业农村局</w:t>
      </w:r>
      <w:r>
        <w:rPr>
          <w:rFonts w:hint="eastAsia" w:ascii="宋体" w:hAnsi="宋体" w:eastAsia="宋体" w:cs="宋体"/>
          <w:color w:val="auto"/>
          <w:sz w:val="21"/>
          <w:szCs w:val="21"/>
          <w:highlight w:val="none"/>
        </w:rPr>
        <w:t>，电话：</w:t>
      </w:r>
      <w:r>
        <w:rPr>
          <w:rFonts w:hint="eastAsia" w:ascii="宋体" w:hAnsi="宋体" w:cs="宋体"/>
          <w:color w:val="auto"/>
          <w:sz w:val="21"/>
          <w:szCs w:val="21"/>
          <w:highlight w:val="none"/>
          <w:lang w:eastAsia="zh-CN"/>
        </w:rPr>
        <w:t>0875-</w:t>
      </w:r>
      <w:r>
        <w:rPr>
          <w:rFonts w:hint="eastAsia" w:ascii="宋体" w:hAnsi="宋体" w:cs="宋体"/>
          <w:color w:val="auto"/>
          <w:sz w:val="21"/>
          <w:szCs w:val="21"/>
          <w:highlight w:val="none"/>
          <w:lang w:val="en-US" w:eastAsia="zh-CN"/>
        </w:rPr>
        <w:t>6121648</w:t>
      </w:r>
      <w:r>
        <w:rPr>
          <w:rFonts w:hint="eastAsia" w:ascii="宋体" w:hAnsi="宋体" w:eastAsia="宋体" w:cs="宋体"/>
          <w:color w:val="auto"/>
          <w:sz w:val="21"/>
          <w:szCs w:val="21"/>
          <w:highlight w:val="none"/>
        </w:rPr>
        <w:t>。</w:t>
      </w:r>
    </w:p>
    <w:p w14:paraId="40907234">
      <w:pPr>
        <w:autoSpaceDE w:val="0"/>
        <w:autoSpaceDN w:val="0"/>
        <w:adjustRightInd w:val="0"/>
        <w:spacing w:line="348" w:lineRule="auto"/>
        <w:jc w:val="left"/>
        <w:outlineLvl w:val="0"/>
        <w:rPr>
          <w:rFonts w:ascii="宋体" w:hAnsi="宋体" w:cs="宋体"/>
          <w:color w:val="auto"/>
          <w:highlight w:val="none"/>
          <w:lang w:val="zh-CN"/>
        </w:rPr>
      </w:pPr>
      <w:r>
        <w:rPr>
          <w:rFonts w:hint="eastAsia" w:ascii="宋体" w:hAnsi="宋体" w:cs="宋体"/>
          <w:b/>
          <w:bCs/>
          <w:color w:val="auto"/>
          <w:sz w:val="22"/>
          <w:szCs w:val="22"/>
          <w:highlight w:val="none"/>
          <w:lang w:val="en-US" w:eastAsia="zh-CN"/>
        </w:rPr>
        <w:t>8</w:t>
      </w:r>
      <w:r>
        <w:rPr>
          <w:rFonts w:hint="eastAsia" w:ascii="宋体" w:hAnsi="宋体" w:cs="宋体"/>
          <w:b/>
          <w:bCs/>
          <w:color w:val="auto"/>
          <w:sz w:val="22"/>
          <w:szCs w:val="22"/>
          <w:highlight w:val="none"/>
        </w:rPr>
        <w:t>.</w:t>
      </w:r>
      <w:r>
        <w:rPr>
          <w:rFonts w:hint="eastAsia" w:ascii="宋体" w:hAnsi="宋体" w:cs="宋体"/>
          <w:b/>
          <w:bCs/>
          <w:color w:val="auto"/>
          <w:sz w:val="22"/>
          <w:szCs w:val="22"/>
          <w:highlight w:val="none"/>
          <w:lang w:val="zh-CN"/>
        </w:rPr>
        <w:t>联系方式</w:t>
      </w:r>
      <w:bookmarkEnd w:id="57"/>
      <w:bookmarkEnd w:id="58"/>
      <w:bookmarkEnd w:id="59"/>
      <w:bookmarkEnd w:id="60"/>
      <w:bookmarkEnd w:id="61"/>
      <w:bookmarkEnd w:id="62"/>
    </w:p>
    <w:p w14:paraId="1E9BE1DF">
      <w:pPr>
        <w:autoSpaceDE w:val="0"/>
        <w:autoSpaceDN w:val="0"/>
        <w:adjustRightInd w:val="0"/>
        <w:spacing w:line="348" w:lineRule="auto"/>
        <w:ind w:firstLine="420" w:firstLineChars="200"/>
        <w:jc w:val="left"/>
        <w:outlineLvl w:val="0"/>
        <w:rPr>
          <w:rFonts w:ascii="宋体" w:hAnsi="宋体" w:cs="宋体"/>
          <w:color w:val="auto"/>
          <w:highlight w:val="none"/>
          <w:lang w:val="zh-CN"/>
        </w:rPr>
      </w:pPr>
      <w:r>
        <w:rPr>
          <w:rFonts w:hint="eastAsia" w:ascii="宋体" w:hAnsi="宋体" w:cs="宋体"/>
          <w:color w:val="auto"/>
          <w:highlight w:val="none"/>
          <w:lang w:val="zh-CN"/>
        </w:rPr>
        <w:t>招标人：龙陵县龙山镇人民政府</w:t>
      </w:r>
    </w:p>
    <w:p w14:paraId="62AB7465">
      <w:pPr>
        <w:autoSpaceDE w:val="0"/>
        <w:autoSpaceDN w:val="0"/>
        <w:adjustRightInd w:val="0"/>
        <w:spacing w:line="348" w:lineRule="auto"/>
        <w:ind w:firstLine="420" w:firstLineChars="200"/>
        <w:jc w:val="left"/>
        <w:outlineLvl w:val="0"/>
        <w:rPr>
          <w:rFonts w:ascii="宋体" w:hAnsi="宋体" w:cs="宋体"/>
          <w:color w:val="auto"/>
          <w:highlight w:val="none"/>
          <w:lang w:val="zh-CN"/>
        </w:rPr>
      </w:pPr>
      <w:r>
        <w:rPr>
          <w:rFonts w:hint="eastAsia" w:ascii="宋体" w:hAnsi="宋体" w:cs="宋体"/>
          <w:color w:val="auto"/>
          <w:highlight w:val="none"/>
          <w:lang w:val="zh-CN"/>
        </w:rPr>
        <w:t xml:space="preserve">地址：云南省保山市龙陵县龙山镇热泉路中段 </w:t>
      </w:r>
    </w:p>
    <w:p w14:paraId="65FDDAF8">
      <w:pPr>
        <w:autoSpaceDE w:val="0"/>
        <w:autoSpaceDN w:val="0"/>
        <w:adjustRightInd w:val="0"/>
        <w:spacing w:line="348" w:lineRule="auto"/>
        <w:ind w:firstLine="420" w:firstLineChars="200"/>
        <w:jc w:val="left"/>
        <w:outlineLvl w:val="0"/>
        <w:rPr>
          <w:rFonts w:ascii="宋体" w:hAnsi="宋体" w:cs="宋体"/>
          <w:color w:val="auto"/>
          <w:highlight w:val="none"/>
          <w:lang w:val="zh-CN"/>
        </w:rPr>
      </w:pPr>
      <w:r>
        <w:rPr>
          <w:rFonts w:hint="eastAsia" w:ascii="宋体" w:hAnsi="宋体" w:cs="宋体"/>
          <w:color w:val="auto"/>
          <w:highlight w:val="none"/>
          <w:lang w:val="zh-CN"/>
        </w:rPr>
        <w:t>联 系 人：王先生</w:t>
      </w:r>
    </w:p>
    <w:p w14:paraId="264875A5">
      <w:pPr>
        <w:autoSpaceDE w:val="0"/>
        <w:autoSpaceDN w:val="0"/>
        <w:adjustRightInd w:val="0"/>
        <w:spacing w:line="348" w:lineRule="auto"/>
        <w:ind w:firstLine="420" w:firstLineChars="200"/>
        <w:jc w:val="left"/>
        <w:outlineLvl w:val="0"/>
        <w:rPr>
          <w:rFonts w:hint="default" w:ascii="宋体" w:hAnsi="宋体" w:eastAsia="宋体" w:cs="宋体"/>
          <w:color w:val="auto"/>
          <w:highlight w:val="none"/>
          <w:lang w:val="en-US" w:eastAsia="zh-CN"/>
        </w:rPr>
      </w:pPr>
      <w:r>
        <w:rPr>
          <w:rFonts w:hint="eastAsia" w:ascii="宋体" w:hAnsi="宋体" w:cs="宋体"/>
          <w:color w:val="auto"/>
          <w:highlight w:val="none"/>
          <w:lang w:val="zh-CN"/>
        </w:rPr>
        <w:t>电    话：</w:t>
      </w:r>
      <w:r>
        <w:rPr>
          <w:rFonts w:hint="eastAsia" w:ascii="宋体" w:hAnsi="宋体" w:cs="宋体"/>
          <w:color w:val="auto"/>
          <w:highlight w:val="none"/>
          <w:lang w:val="en-US" w:eastAsia="zh-CN"/>
        </w:rPr>
        <w:t>0875-6121848</w:t>
      </w:r>
    </w:p>
    <w:p w14:paraId="541B5048">
      <w:pPr>
        <w:autoSpaceDE w:val="0"/>
        <w:autoSpaceDN w:val="0"/>
        <w:adjustRightInd w:val="0"/>
        <w:spacing w:line="348" w:lineRule="auto"/>
        <w:ind w:firstLine="420" w:firstLineChars="200"/>
        <w:jc w:val="left"/>
        <w:outlineLvl w:val="0"/>
        <w:rPr>
          <w:rFonts w:ascii="宋体" w:hAnsi="宋体" w:cs="宋体"/>
          <w:color w:val="auto"/>
          <w:highlight w:val="none"/>
        </w:rPr>
      </w:pPr>
    </w:p>
    <w:p w14:paraId="11DE900A">
      <w:pPr>
        <w:autoSpaceDE w:val="0"/>
        <w:autoSpaceDN w:val="0"/>
        <w:adjustRightInd w:val="0"/>
        <w:spacing w:line="348" w:lineRule="auto"/>
        <w:ind w:firstLine="420" w:firstLineChars="200"/>
        <w:jc w:val="left"/>
        <w:outlineLvl w:val="0"/>
        <w:rPr>
          <w:rFonts w:ascii="宋体" w:hAnsi="宋体" w:cs="宋体"/>
          <w:color w:val="auto"/>
          <w:highlight w:val="none"/>
        </w:rPr>
      </w:pPr>
      <w:r>
        <w:rPr>
          <w:rFonts w:hint="eastAsia" w:ascii="宋体" w:hAnsi="宋体" w:cs="宋体"/>
          <w:color w:val="auto"/>
          <w:highlight w:val="none"/>
          <w:lang w:val="zh-CN"/>
        </w:rPr>
        <w:t>招标代理机构：云南宸诚工程项目管理有限公司</w:t>
      </w:r>
    </w:p>
    <w:p w14:paraId="586AA131">
      <w:pPr>
        <w:autoSpaceDE w:val="0"/>
        <w:autoSpaceDN w:val="0"/>
        <w:adjustRightInd w:val="0"/>
        <w:spacing w:line="348" w:lineRule="auto"/>
        <w:ind w:firstLine="420" w:firstLineChars="200"/>
        <w:jc w:val="left"/>
        <w:outlineLvl w:val="0"/>
        <w:rPr>
          <w:rFonts w:ascii="宋体" w:hAnsi="宋体" w:cs="宋体"/>
          <w:color w:val="auto"/>
          <w:highlight w:val="none"/>
          <w:lang w:val="zh-CN"/>
        </w:rPr>
      </w:pPr>
      <w:r>
        <w:rPr>
          <w:rFonts w:hint="eastAsia" w:ascii="宋体" w:hAnsi="宋体" w:cs="宋体"/>
          <w:color w:val="auto"/>
          <w:highlight w:val="none"/>
          <w:lang w:val="zh-CN"/>
        </w:rPr>
        <w:t>地 址：云南省保山市龙陵县龙山镇龙华社区龙陵县财富中心S2幢7号101　</w:t>
      </w:r>
    </w:p>
    <w:p w14:paraId="0B52A8EA">
      <w:pPr>
        <w:autoSpaceDE w:val="0"/>
        <w:autoSpaceDN w:val="0"/>
        <w:adjustRightInd w:val="0"/>
        <w:spacing w:line="348" w:lineRule="auto"/>
        <w:ind w:firstLine="420" w:firstLineChars="200"/>
        <w:jc w:val="left"/>
        <w:outlineLvl w:val="0"/>
        <w:rPr>
          <w:rFonts w:ascii="宋体" w:hAnsi="宋体" w:cs="宋体"/>
          <w:color w:val="auto"/>
          <w:highlight w:val="none"/>
          <w:lang w:val="zh-CN"/>
        </w:rPr>
      </w:pPr>
      <w:r>
        <w:rPr>
          <w:rFonts w:hint="eastAsia" w:ascii="宋体" w:hAnsi="宋体" w:cs="宋体"/>
          <w:color w:val="auto"/>
          <w:highlight w:val="none"/>
          <w:lang w:val="zh-CN"/>
        </w:rPr>
        <w:t>联 系 人：赛先生</w:t>
      </w:r>
    </w:p>
    <w:p w14:paraId="30730253">
      <w:pPr>
        <w:autoSpaceDE w:val="0"/>
        <w:autoSpaceDN w:val="0"/>
        <w:adjustRightInd w:val="0"/>
        <w:spacing w:line="348" w:lineRule="auto"/>
        <w:ind w:firstLine="420" w:firstLineChars="200"/>
        <w:jc w:val="left"/>
        <w:outlineLvl w:val="0"/>
        <w:rPr>
          <w:color w:val="auto"/>
          <w:highlight w:val="none"/>
        </w:rPr>
      </w:pPr>
      <w:r>
        <w:rPr>
          <w:rFonts w:hint="eastAsia" w:ascii="宋体" w:hAnsi="宋体" w:cs="宋体"/>
          <w:color w:val="auto"/>
          <w:highlight w:val="none"/>
          <w:lang w:val="zh-CN"/>
        </w:rPr>
        <w:t>电    话：</w:t>
      </w:r>
      <w:r>
        <w:rPr>
          <w:rFonts w:hint="eastAsia" w:ascii="宋体" w:hAnsi="宋体" w:cs="宋体"/>
          <w:color w:val="auto"/>
          <w:highlight w:val="none"/>
          <w:lang w:eastAsia="zh-CN"/>
        </w:rPr>
        <w:t>0875-6127885</w:t>
      </w:r>
    </w:p>
    <w:p w14:paraId="6AAA285C">
      <w:pPr>
        <w:rPr>
          <w:rFonts w:hint="eastAsia" w:cs="宋体"/>
          <w:color w:val="auto"/>
          <w:highlight w:val="none"/>
        </w:rPr>
      </w:pPr>
      <w:r>
        <w:rPr>
          <w:rFonts w:hint="eastAsia" w:cs="宋体"/>
          <w:color w:val="auto"/>
          <w:highlight w:val="none"/>
        </w:rPr>
        <w:br w:type="page"/>
      </w:r>
    </w:p>
    <w:p w14:paraId="2FA373E3">
      <w:pPr>
        <w:pStyle w:val="4"/>
        <w:spacing w:before="0" w:after="0"/>
        <w:jc w:val="center"/>
        <w:rPr>
          <w:color w:val="auto"/>
          <w:highlight w:val="none"/>
        </w:rPr>
      </w:pPr>
      <w:r>
        <w:rPr>
          <w:rFonts w:hint="eastAsia" w:ascii="宋体" w:hAnsi="宋体" w:cs="宋体"/>
          <w:color w:val="auto"/>
          <w:sz w:val="24"/>
          <w:szCs w:val="24"/>
          <w:highlight w:val="none"/>
          <w:lang w:eastAsia="zh-CN"/>
        </w:rPr>
        <w:t>项目管理</w:t>
      </w:r>
      <w:r>
        <w:rPr>
          <w:rFonts w:hint="eastAsia" w:ascii="宋体" w:hAnsi="宋体" w:cs="宋体"/>
          <w:color w:val="auto"/>
          <w:sz w:val="24"/>
          <w:szCs w:val="24"/>
          <w:highlight w:val="none"/>
        </w:rPr>
        <w:t>人员配备表</w:t>
      </w:r>
    </w:p>
    <w:tbl>
      <w:tblPr>
        <w:tblStyle w:val="88"/>
        <w:tblW w:w="94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9"/>
        <w:gridCol w:w="1063"/>
        <w:gridCol w:w="1285"/>
        <w:gridCol w:w="1385"/>
        <w:gridCol w:w="3870"/>
      </w:tblGrid>
      <w:tr w14:paraId="2A933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5A4FA923">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专业岗位</w:t>
            </w:r>
          </w:p>
        </w:tc>
        <w:tc>
          <w:tcPr>
            <w:tcW w:w="1063" w:type="dxa"/>
            <w:tcBorders>
              <w:top w:val="single" w:color="000000" w:sz="4" w:space="0"/>
              <w:left w:val="single" w:color="000000" w:sz="4" w:space="0"/>
              <w:bottom w:val="single" w:color="000000" w:sz="4" w:space="0"/>
              <w:right w:val="single" w:color="000000" w:sz="4" w:space="0"/>
            </w:tcBorders>
            <w:vAlign w:val="center"/>
          </w:tcPr>
          <w:p w14:paraId="42FE728D">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人员数量最低要求</w:t>
            </w:r>
          </w:p>
        </w:tc>
        <w:tc>
          <w:tcPr>
            <w:tcW w:w="1285" w:type="dxa"/>
            <w:tcBorders>
              <w:top w:val="single" w:color="000000" w:sz="4" w:space="0"/>
              <w:left w:val="single" w:color="000000" w:sz="4" w:space="0"/>
              <w:bottom w:val="single" w:color="000000" w:sz="4" w:space="0"/>
              <w:right w:val="single" w:color="000000" w:sz="4" w:space="0"/>
            </w:tcBorders>
          </w:tcPr>
          <w:p w14:paraId="24A799E5">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岗位资格要求</w:t>
            </w:r>
          </w:p>
        </w:tc>
        <w:tc>
          <w:tcPr>
            <w:tcW w:w="1385" w:type="dxa"/>
            <w:tcBorders>
              <w:top w:val="single" w:color="000000" w:sz="4" w:space="0"/>
              <w:left w:val="single" w:color="000000" w:sz="4" w:space="0"/>
              <w:bottom w:val="single" w:color="000000" w:sz="4" w:space="0"/>
              <w:right w:val="single" w:color="000000" w:sz="4" w:space="0"/>
            </w:tcBorders>
          </w:tcPr>
          <w:p w14:paraId="7331A19B">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岗位要求</w:t>
            </w:r>
          </w:p>
        </w:tc>
        <w:tc>
          <w:tcPr>
            <w:tcW w:w="3870" w:type="dxa"/>
            <w:tcBorders>
              <w:top w:val="single" w:color="000000" w:sz="4" w:space="0"/>
              <w:left w:val="single" w:color="000000" w:sz="4" w:space="0"/>
              <w:bottom w:val="single" w:color="000000" w:sz="4" w:space="0"/>
              <w:right w:val="single" w:color="000000" w:sz="4" w:space="0"/>
            </w:tcBorders>
          </w:tcPr>
          <w:p w14:paraId="0495FDA1">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ABA1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05F3EDB6">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总承包项目负责人</w:t>
            </w:r>
            <w:r>
              <w:rPr>
                <w:rFonts w:hint="eastAsia" w:ascii="宋体" w:hAnsi="宋体" w:eastAsia="宋体" w:cs="宋体"/>
                <w:color w:val="auto"/>
                <w:sz w:val="21"/>
                <w:szCs w:val="21"/>
                <w:highlight w:val="none"/>
                <w:lang w:eastAsia="zh-CN"/>
              </w:rPr>
              <w:t>（可以和施工项目经理为同一人）</w:t>
            </w:r>
          </w:p>
        </w:tc>
        <w:tc>
          <w:tcPr>
            <w:tcW w:w="1063" w:type="dxa"/>
            <w:tcBorders>
              <w:top w:val="single" w:color="000000" w:sz="4" w:space="0"/>
              <w:left w:val="single" w:color="000000" w:sz="4" w:space="0"/>
              <w:bottom w:val="single" w:color="000000" w:sz="4" w:space="0"/>
              <w:right w:val="single" w:color="000000" w:sz="4" w:space="0"/>
            </w:tcBorders>
            <w:vAlign w:val="center"/>
          </w:tcPr>
          <w:p w14:paraId="5CE3079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input538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tcPr>
          <w:p w14:paraId="6CF5E6FF">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input541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0A05236A">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1385" w:type="dxa"/>
            <w:tcBorders>
              <w:top w:val="single" w:color="000000" w:sz="4" w:space="0"/>
              <w:left w:val="single" w:color="000000" w:sz="4" w:space="0"/>
              <w:bottom w:val="single" w:color="000000" w:sz="4" w:space="0"/>
              <w:right w:val="single" w:color="000000" w:sz="4" w:space="0"/>
            </w:tcBorders>
          </w:tcPr>
          <w:p w14:paraId="42B3561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input541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1DA47FE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7FC466AF">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须提供注册建造师证书、有效的</w:t>
            </w:r>
            <w:r>
              <w:rPr>
                <w:rFonts w:hint="eastAsia" w:ascii="宋体" w:hAnsi="宋体" w:eastAsia="宋体" w:cs="宋体"/>
                <w:color w:val="auto"/>
                <w:sz w:val="21"/>
                <w:szCs w:val="21"/>
                <w:highlight w:val="none"/>
              </w:rPr>
              <w:t>B</w:t>
            </w:r>
            <w:r>
              <w:rPr>
                <w:rFonts w:hint="eastAsia" w:ascii="宋体" w:hAnsi="宋体" w:eastAsia="宋体" w:cs="宋体"/>
                <w:color w:val="auto"/>
                <w:spacing w:val="1"/>
                <w:sz w:val="21"/>
                <w:szCs w:val="21"/>
                <w:highlight w:val="none"/>
              </w:rPr>
              <w:t>类</w:t>
            </w:r>
            <w:r>
              <w:rPr>
                <w:rFonts w:hint="eastAsia" w:ascii="宋体" w:hAnsi="宋体" w:eastAsia="宋体" w:cs="宋体"/>
                <w:color w:val="auto"/>
                <w:sz w:val="21"/>
                <w:szCs w:val="21"/>
                <w:highlight w:val="none"/>
              </w:rPr>
              <w:t>安全</w:t>
            </w:r>
            <w:r>
              <w:rPr>
                <w:rFonts w:hint="eastAsia" w:ascii="宋体" w:hAnsi="宋体" w:eastAsia="宋体" w:cs="宋体"/>
                <w:color w:val="auto"/>
                <w:spacing w:val="16"/>
                <w:sz w:val="21"/>
                <w:szCs w:val="21"/>
                <w:highlight w:val="none"/>
              </w:rPr>
              <w:t>生</w:t>
            </w:r>
            <w:r>
              <w:rPr>
                <w:rFonts w:hint="eastAsia" w:ascii="宋体" w:hAnsi="宋体" w:eastAsia="宋体" w:cs="宋体"/>
                <w:color w:val="auto"/>
                <w:spacing w:val="14"/>
                <w:sz w:val="21"/>
                <w:szCs w:val="21"/>
                <w:highlight w:val="none"/>
              </w:rPr>
              <w:t>产</w:t>
            </w:r>
            <w:r>
              <w:rPr>
                <w:rFonts w:hint="eastAsia" w:ascii="宋体" w:hAnsi="宋体" w:eastAsia="宋体" w:cs="宋体"/>
                <w:color w:val="auto"/>
                <w:spacing w:val="8"/>
                <w:sz w:val="21"/>
                <w:szCs w:val="21"/>
                <w:highlight w:val="none"/>
              </w:rPr>
              <w:t>考核合格证书、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sz w:val="21"/>
                <w:szCs w:val="21"/>
                <w:highlight w:val="none"/>
                <w:lang w:val="zh-CN"/>
              </w:rPr>
              <w:t>社保缴费证明</w:t>
            </w:r>
            <w:r>
              <w:rPr>
                <w:rFonts w:hint="eastAsia" w:ascii="宋体" w:hAnsi="宋体" w:eastAsia="宋体" w:cs="宋体"/>
                <w:color w:val="auto"/>
                <w:spacing w:val="8"/>
                <w:sz w:val="21"/>
                <w:szCs w:val="21"/>
                <w:highlight w:val="none"/>
                <w:lang w:eastAsia="zh-CN"/>
              </w:rPr>
              <w:t>。</w:t>
            </w:r>
          </w:p>
        </w:tc>
      </w:tr>
      <w:tr w14:paraId="2B268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001342AF">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设计负责人</w:t>
            </w:r>
          </w:p>
        </w:tc>
        <w:tc>
          <w:tcPr>
            <w:tcW w:w="1063" w:type="dxa"/>
            <w:tcBorders>
              <w:top w:val="single" w:color="000000" w:sz="4" w:space="0"/>
              <w:left w:val="single" w:color="000000" w:sz="4" w:space="0"/>
              <w:bottom w:val="single" w:color="000000" w:sz="4" w:space="0"/>
              <w:right w:val="single" w:color="000000" w:sz="4" w:space="0"/>
            </w:tcBorders>
            <w:vAlign w:val="center"/>
          </w:tcPr>
          <w:p w14:paraId="279DDCD8">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1285" w:type="dxa"/>
            <w:tcBorders>
              <w:top w:val="single" w:color="000000" w:sz="4" w:space="0"/>
              <w:left w:val="single" w:color="000000" w:sz="4" w:space="0"/>
              <w:bottom w:val="single" w:color="000000" w:sz="4" w:space="0"/>
              <w:right w:val="single" w:color="000000" w:sz="4" w:space="0"/>
            </w:tcBorders>
            <w:vAlign w:val="top"/>
          </w:tcPr>
          <w:p w14:paraId="3916E2A1">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input539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148C44A6">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p>
        </w:tc>
        <w:tc>
          <w:tcPr>
            <w:tcW w:w="1385" w:type="dxa"/>
            <w:tcBorders>
              <w:top w:val="single" w:color="000000" w:sz="4" w:space="0"/>
              <w:left w:val="single" w:color="000000" w:sz="4" w:space="0"/>
              <w:bottom w:val="single" w:color="000000" w:sz="4" w:space="0"/>
              <w:right w:val="single" w:color="000000" w:sz="4" w:space="0"/>
            </w:tcBorders>
            <w:vAlign w:val="top"/>
          </w:tcPr>
          <w:p w14:paraId="06A12EDD">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input541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55F0B7AC">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0F3F3796">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须</w:t>
            </w:r>
            <w:r>
              <w:rPr>
                <w:rFonts w:hint="eastAsia" w:ascii="宋体" w:hAnsi="宋体" w:eastAsia="宋体" w:cs="宋体"/>
                <w:color w:val="auto"/>
                <w:spacing w:val="15"/>
                <w:sz w:val="21"/>
                <w:szCs w:val="21"/>
                <w:highlight w:val="none"/>
              </w:rPr>
              <w:t>提</w:t>
            </w:r>
            <w:r>
              <w:rPr>
                <w:rFonts w:hint="eastAsia" w:ascii="宋体" w:hAnsi="宋体" w:eastAsia="宋体" w:cs="宋体"/>
                <w:color w:val="auto"/>
                <w:spacing w:val="8"/>
                <w:sz w:val="21"/>
                <w:szCs w:val="21"/>
                <w:highlight w:val="none"/>
              </w:rPr>
              <w:t>供相关</w:t>
            </w:r>
            <w:r>
              <w:rPr>
                <w:rFonts w:hint="eastAsia" w:ascii="宋体" w:hAnsi="宋体" w:eastAsia="宋体" w:cs="宋体"/>
                <w:color w:val="auto"/>
                <w:spacing w:val="8"/>
                <w:sz w:val="21"/>
                <w:szCs w:val="21"/>
                <w:highlight w:val="none"/>
                <w:lang w:eastAsia="zh-CN"/>
              </w:rPr>
              <w:t>注册</w:t>
            </w:r>
            <w:r>
              <w:rPr>
                <w:rFonts w:hint="eastAsia" w:ascii="宋体" w:hAnsi="宋体" w:eastAsia="宋体" w:cs="宋体"/>
                <w:color w:val="auto"/>
                <w:spacing w:val="8"/>
                <w:sz w:val="21"/>
                <w:szCs w:val="21"/>
                <w:highlight w:val="none"/>
              </w:rPr>
              <w:t>证书、</w:t>
            </w:r>
            <w:r>
              <w:rPr>
                <w:rFonts w:hint="eastAsia" w:ascii="宋体" w:hAnsi="宋体" w:eastAsia="宋体" w:cs="宋体"/>
                <w:color w:val="auto"/>
                <w:spacing w:val="8"/>
                <w:sz w:val="21"/>
                <w:szCs w:val="21"/>
                <w:highlight w:val="none"/>
                <w:lang w:eastAsia="zh-CN"/>
              </w:rPr>
              <w:t>职称证、</w:t>
            </w:r>
            <w:r>
              <w:rPr>
                <w:rFonts w:hint="eastAsia" w:ascii="宋体" w:hAnsi="宋体" w:eastAsia="宋体" w:cs="宋体"/>
                <w:color w:val="auto"/>
                <w:sz w:val="21"/>
                <w:szCs w:val="21"/>
                <w:highlight w:val="none"/>
                <w:lang w:eastAsia="zh-CN"/>
              </w:rPr>
              <w:t>身份证原件扫描件、社保缴费证明</w:t>
            </w:r>
          </w:p>
        </w:tc>
      </w:tr>
      <w:tr w14:paraId="3CFA4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6C8D9D5A">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w:t>
            </w:r>
            <w:r>
              <w:rPr>
                <w:rFonts w:hint="eastAsia" w:ascii="宋体" w:hAnsi="宋体" w:eastAsia="宋体" w:cs="宋体"/>
                <w:color w:val="auto"/>
                <w:sz w:val="21"/>
                <w:szCs w:val="21"/>
                <w:highlight w:val="none"/>
              </w:rPr>
              <w:t>项目经理</w:t>
            </w:r>
          </w:p>
        </w:tc>
        <w:tc>
          <w:tcPr>
            <w:tcW w:w="1063" w:type="dxa"/>
            <w:tcBorders>
              <w:top w:val="single" w:color="000000" w:sz="4" w:space="0"/>
              <w:left w:val="single" w:color="000000" w:sz="4" w:space="0"/>
              <w:bottom w:val="single" w:color="000000" w:sz="4" w:space="0"/>
              <w:right w:val="single" w:color="000000" w:sz="4" w:space="0"/>
            </w:tcBorders>
            <w:vAlign w:val="center"/>
          </w:tcPr>
          <w:p w14:paraId="11A3F409">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input538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vAlign w:val="top"/>
          </w:tcPr>
          <w:p w14:paraId="2954B9EC">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input539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55E51D24">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p>
        </w:tc>
        <w:tc>
          <w:tcPr>
            <w:tcW w:w="1385" w:type="dxa"/>
            <w:tcBorders>
              <w:top w:val="single" w:color="000000" w:sz="4" w:space="0"/>
              <w:left w:val="single" w:color="000000" w:sz="4" w:space="0"/>
              <w:bottom w:val="single" w:color="000000" w:sz="4" w:space="0"/>
              <w:right w:val="single" w:color="000000" w:sz="4" w:space="0"/>
            </w:tcBorders>
            <w:vAlign w:val="top"/>
          </w:tcPr>
          <w:p w14:paraId="34A1D30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input541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73FC3D1D">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1BFDA680">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pacing w:val="16"/>
                <w:sz w:val="21"/>
                <w:szCs w:val="21"/>
                <w:highlight w:val="none"/>
              </w:rPr>
            </w:pPr>
            <w:r>
              <w:rPr>
                <w:rFonts w:hint="eastAsia" w:ascii="宋体" w:hAnsi="宋体" w:eastAsia="宋体" w:cs="宋体"/>
                <w:color w:val="auto"/>
                <w:spacing w:val="1"/>
                <w:sz w:val="21"/>
                <w:szCs w:val="21"/>
                <w:highlight w:val="none"/>
              </w:rPr>
              <w:t>须提供注册建造师证书、有效的</w:t>
            </w:r>
            <w:r>
              <w:rPr>
                <w:rFonts w:hint="eastAsia" w:ascii="宋体" w:hAnsi="宋体" w:eastAsia="宋体" w:cs="宋体"/>
                <w:color w:val="auto"/>
                <w:sz w:val="21"/>
                <w:szCs w:val="21"/>
                <w:highlight w:val="none"/>
              </w:rPr>
              <w:t>B</w:t>
            </w:r>
            <w:r>
              <w:rPr>
                <w:rFonts w:hint="eastAsia" w:ascii="宋体" w:hAnsi="宋体" w:eastAsia="宋体" w:cs="宋体"/>
                <w:color w:val="auto"/>
                <w:spacing w:val="1"/>
                <w:sz w:val="21"/>
                <w:szCs w:val="21"/>
                <w:highlight w:val="none"/>
              </w:rPr>
              <w:t>类</w:t>
            </w:r>
            <w:r>
              <w:rPr>
                <w:rFonts w:hint="eastAsia" w:ascii="宋体" w:hAnsi="宋体" w:eastAsia="宋体" w:cs="宋体"/>
                <w:color w:val="auto"/>
                <w:sz w:val="21"/>
                <w:szCs w:val="21"/>
                <w:highlight w:val="none"/>
              </w:rPr>
              <w:t>安全</w:t>
            </w:r>
            <w:r>
              <w:rPr>
                <w:rFonts w:hint="eastAsia" w:ascii="宋体" w:hAnsi="宋体" w:eastAsia="宋体" w:cs="宋体"/>
                <w:color w:val="auto"/>
                <w:spacing w:val="16"/>
                <w:sz w:val="21"/>
                <w:szCs w:val="21"/>
                <w:highlight w:val="none"/>
              </w:rPr>
              <w:t>生</w:t>
            </w:r>
            <w:r>
              <w:rPr>
                <w:rFonts w:hint="eastAsia" w:ascii="宋体" w:hAnsi="宋体" w:eastAsia="宋体" w:cs="宋体"/>
                <w:color w:val="auto"/>
                <w:spacing w:val="14"/>
                <w:sz w:val="21"/>
                <w:szCs w:val="21"/>
                <w:highlight w:val="none"/>
              </w:rPr>
              <w:t>产</w:t>
            </w:r>
            <w:r>
              <w:rPr>
                <w:rFonts w:hint="eastAsia" w:ascii="宋体" w:hAnsi="宋体" w:eastAsia="宋体" w:cs="宋体"/>
                <w:color w:val="auto"/>
                <w:spacing w:val="8"/>
                <w:sz w:val="21"/>
                <w:szCs w:val="21"/>
                <w:highlight w:val="none"/>
              </w:rPr>
              <w:t>考核合格证书、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sz w:val="21"/>
                <w:szCs w:val="21"/>
                <w:highlight w:val="none"/>
                <w:lang w:val="zh-CN"/>
              </w:rPr>
              <w:t>社保缴费证明</w:t>
            </w:r>
            <w:r>
              <w:rPr>
                <w:rFonts w:hint="eastAsia" w:ascii="宋体" w:hAnsi="宋体" w:eastAsia="宋体" w:cs="宋体"/>
                <w:color w:val="auto"/>
                <w:spacing w:val="8"/>
                <w:sz w:val="21"/>
                <w:szCs w:val="21"/>
                <w:highlight w:val="none"/>
                <w:lang w:eastAsia="zh-CN"/>
              </w:rPr>
              <w:t>。</w:t>
            </w:r>
          </w:p>
        </w:tc>
      </w:tr>
      <w:tr w14:paraId="7D8C6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82" w:type="dxa"/>
            <w:gridSpan w:val="5"/>
            <w:tcBorders>
              <w:top w:val="single" w:color="000000" w:sz="4" w:space="0"/>
              <w:left w:val="single" w:color="000000" w:sz="4" w:space="0"/>
              <w:bottom w:val="single" w:color="000000" w:sz="4" w:space="0"/>
              <w:right w:val="single" w:color="000000" w:sz="4" w:space="0"/>
            </w:tcBorders>
            <w:vAlign w:val="center"/>
          </w:tcPr>
          <w:p w14:paraId="79EA4907">
            <w:pPr>
              <w:keepNext w:val="0"/>
              <w:keepLines w:val="0"/>
              <w:suppressLineNumbers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拟配备的施工现场专业（管理）人员要求</w:t>
            </w:r>
          </w:p>
        </w:tc>
      </w:tr>
      <w:tr w14:paraId="0E7A3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6A94F350">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1063" w:type="dxa"/>
            <w:tcBorders>
              <w:top w:val="single" w:color="000000" w:sz="4" w:space="0"/>
              <w:left w:val="single" w:color="000000" w:sz="4" w:space="0"/>
              <w:bottom w:val="single" w:color="000000" w:sz="4" w:space="0"/>
              <w:right w:val="single" w:color="000000" w:sz="4" w:space="0"/>
            </w:tcBorders>
            <w:vAlign w:val="center"/>
          </w:tcPr>
          <w:p w14:paraId="5BAE871D">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285" w:type="dxa"/>
            <w:tcBorders>
              <w:top w:val="single" w:color="000000" w:sz="4" w:space="0"/>
              <w:left w:val="single" w:color="000000" w:sz="4" w:space="0"/>
              <w:bottom w:val="single" w:color="000000" w:sz="4" w:space="0"/>
              <w:right w:val="single" w:color="000000" w:sz="4" w:space="0"/>
            </w:tcBorders>
          </w:tcPr>
          <w:p w14:paraId="4D07C345">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input545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p w14:paraId="1EFB9F9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1385" w:type="dxa"/>
            <w:tcBorders>
              <w:top w:val="single" w:color="000000" w:sz="4" w:space="0"/>
              <w:left w:val="single" w:color="000000" w:sz="4" w:space="0"/>
              <w:bottom w:val="single" w:color="000000" w:sz="4" w:space="0"/>
              <w:right w:val="single" w:color="000000" w:sz="4" w:space="0"/>
            </w:tcBorders>
          </w:tcPr>
          <w:p w14:paraId="28A0B38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input547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10963F1C">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62AEB711">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须提供职称证书、身份证原件扫描件、社保缴费证明</w:t>
            </w:r>
          </w:p>
        </w:tc>
      </w:tr>
      <w:tr w14:paraId="56752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549C3EC7">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71CA75BF">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285" w:type="dxa"/>
            <w:tcBorders>
              <w:top w:val="single" w:color="000000" w:sz="4" w:space="0"/>
              <w:left w:val="single" w:color="000000" w:sz="4" w:space="0"/>
              <w:bottom w:val="single" w:color="000000" w:sz="4" w:space="0"/>
              <w:right w:val="single" w:color="000000" w:sz="4" w:space="0"/>
            </w:tcBorders>
          </w:tcPr>
          <w:p w14:paraId="6821A9BF">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36AD1CE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1385" w:type="dxa"/>
            <w:tcBorders>
              <w:top w:val="single" w:color="000000" w:sz="4" w:space="0"/>
              <w:left w:val="single" w:color="000000" w:sz="4" w:space="0"/>
              <w:bottom w:val="single" w:color="000000" w:sz="4" w:space="0"/>
              <w:right w:val="single" w:color="000000" w:sz="4" w:space="0"/>
            </w:tcBorders>
          </w:tcPr>
          <w:p w14:paraId="07D456C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1FB01D7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104221F1">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sz w:val="21"/>
                <w:szCs w:val="21"/>
                <w:highlight w:val="none"/>
                <w:lang w:val="zh-CN"/>
              </w:rPr>
              <w:t>社保缴费证明</w:t>
            </w:r>
            <w:r>
              <w:rPr>
                <w:rFonts w:hint="eastAsia" w:ascii="宋体" w:hAnsi="宋体" w:eastAsia="宋体" w:cs="宋体"/>
                <w:color w:val="auto"/>
                <w:spacing w:val="8"/>
                <w:sz w:val="21"/>
                <w:szCs w:val="21"/>
                <w:highlight w:val="none"/>
                <w:lang w:eastAsia="zh-CN"/>
              </w:rPr>
              <w:t>。</w:t>
            </w:r>
          </w:p>
        </w:tc>
      </w:tr>
      <w:tr w14:paraId="7B327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5ECAD6A1">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3C81D705">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285" w:type="dxa"/>
            <w:tcBorders>
              <w:top w:val="single" w:color="000000" w:sz="4" w:space="0"/>
              <w:left w:val="single" w:color="000000" w:sz="4" w:space="0"/>
              <w:bottom w:val="single" w:color="000000" w:sz="4" w:space="0"/>
              <w:right w:val="single" w:color="000000" w:sz="4" w:space="0"/>
            </w:tcBorders>
          </w:tcPr>
          <w:p w14:paraId="7792BE4C">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28ADA27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1385" w:type="dxa"/>
            <w:tcBorders>
              <w:top w:val="single" w:color="000000" w:sz="4" w:space="0"/>
              <w:left w:val="single" w:color="000000" w:sz="4" w:space="0"/>
              <w:bottom w:val="single" w:color="000000" w:sz="4" w:space="0"/>
              <w:right w:val="single" w:color="000000" w:sz="4" w:space="0"/>
            </w:tcBorders>
          </w:tcPr>
          <w:p w14:paraId="62958818">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input559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111BBF6D">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40638003">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sz w:val="21"/>
                <w:szCs w:val="21"/>
                <w:highlight w:val="none"/>
                <w:lang w:val="zh-CN"/>
              </w:rPr>
              <w:t>社保缴费证明</w:t>
            </w:r>
            <w:r>
              <w:rPr>
                <w:rFonts w:hint="eastAsia" w:ascii="宋体" w:hAnsi="宋体" w:eastAsia="宋体" w:cs="宋体"/>
                <w:color w:val="auto"/>
                <w:spacing w:val="8"/>
                <w:sz w:val="21"/>
                <w:szCs w:val="21"/>
                <w:highlight w:val="none"/>
                <w:lang w:eastAsia="zh-CN"/>
              </w:rPr>
              <w:t>。</w:t>
            </w:r>
          </w:p>
        </w:tc>
      </w:tr>
      <w:tr w14:paraId="1E901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127262AE">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5EC88527">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285" w:type="dxa"/>
            <w:tcBorders>
              <w:top w:val="single" w:color="000000" w:sz="4" w:space="0"/>
              <w:left w:val="single" w:color="000000" w:sz="4" w:space="0"/>
              <w:bottom w:val="single" w:color="000000" w:sz="4" w:space="0"/>
              <w:right w:val="single" w:color="000000" w:sz="4" w:space="0"/>
            </w:tcBorders>
          </w:tcPr>
          <w:p w14:paraId="01906D91">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14DC40D7">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1385" w:type="dxa"/>
            <w:tcBorders>
              <w:top w:val="single" w:color="000000" w:sz="4" w:space="0"/>
              <w:left w:val="single" w:color="000000" w:sz="4" w:space="0"/>
              <w:bottom w:val="single" w:color="000000" w:sz="4" w:space="0"/>
              <w:right w:val="single" w:color="000000" w:sz="4" w:space="0"/>
            </w:tcBorders>
          </w:tcPr>
          <w:p w14:paraId="3FDEAA01">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p w14:paraId="4E95C33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1AB7F71D">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sz w:val="21"/>
                <w:szCs w:val="21"/>
                <w:highlight w:val="none"/>
                <w:lang w:val="zh-CN"/>
              </w:rPr>
              <w:t>社保缴费证明</w:t>
            </w:r>
            <w:r>
              <w:rPr>
                <w:rFonts w:hint="eastAsia" w:ascii="宋体" w:hAnsi="宋体" w:eastAsia="宋体" w:cs="宋体"/>
                <w:color w:val="auto"/>
                <w:spacing w:val="8"/>
                <w:sz w:val="21"/>
                <w:szCs w:val="21"/>
                <w:highlight w:val="none"/>
                <w:lang w:eastAsia="zh-CN"/>
              </w:rPr>
              <w:t>。</w:t>
            </w:r>
          </w:p>
        </w:tc>
      </w:tr>
      <w:tr w14:paraId="4A647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1B3500C6">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2119EF3E">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input568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tcPr>
          <w:p w14:paraId="74D8FEFE">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lang w:eastAsia="zh-CN"/>
              </w:rPr>
              <w:t>☑</w:t>
            </w:r>
          </w:p>
          <w:p w14:paraId="0CF946BC">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p>
        </w:tc>
        <w:tc>
          <w:tcPr>
            <w:tcW w:w="1385" w:type="dxa"/>
            <w:tcBorders>
              <w:top w:val="single" w:color="000000" w:sz="4" w:space="0"/>
              <w:left w:val="single" w:color="000000" w:sz="4" w:space="0"/>
              <w:bottom w:val="single" w:color="000000" w:sz="4" w:space="0"/>
              <w:right w:val="single" w:color="000000" w:sz="4" w:space="0"/>
            </w:tcBorders>
          </w:tcPr>
          <w:p w14:paraId="1B6A4DF3">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p w14:paraId="1E64BFEA">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3D62F5B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5"/>
                <w:sz w:val="21"/>
                <w:szCs w:val="21"/>
                <w:highlight w:val="none"/>
                <w:lang w:eastAsia="zh-CN"/>
              </w:rPr>
              <w:t>。</w:t>
            </w:r>
          </w:p>
        </w:tc>
      </w:tr>
      <w:tr w14:paraId="4FB57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3A878F3F">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517F5560">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input574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tcPr>
          <w:p w14:paraId="0AA786B4">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lang w:eastAsia="zh-CN"/>
              </w:rPr>
              <w:t>☑</w:t>
            </w:r>
          </w:p>
          <w:p w14:paraId="1B0A4E6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p>
        </w:tc>
        <w:tc>
          <w:tcPr>
            <w:tcW w:w="1385" w:type="dxa"/>
            <w:tcBorders>
              <w:top w:val="single" w:color="000000" w:sz="4" w:space="0"/>
              <w:left w:val="single" w:color="000000" w:sz="4" w:space="0"/>
              <w:bottom w:val="single" w:color="000000" w:sz="4" w:space="0"/>
              <w:right w:val="single" w:color="000000" w:sz="4" w:space="0"/>
            </w:tcBorders>
          </w:tcPr>
          <w:p w14:paraId="1DA8FE2C">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p w14:paraId="01467B07">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460DE3C6">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5"/>
                <w:sz w:val="21"/>
                <w:szCs w:val="21"/>
                <w:highlight w:val="none"/>
                <w:lang w:eastAsia="zh-CN"/>
              </w:rPr>
              <w:t>。</w:t>
            </w:r>
          </w:p>
        </w:tc>
      </w:tr>
      <w:tr w14:paraId="3F604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01377C1A">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618B60F8">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input580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tcPr>
          <w:p w14:paraId="6490C44D">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lang w:eastAsia="zh-CN"/>
              </w:rPr>
              <w:t>☑</w:t>
            </w:r>
          </w:p>
          <w:p w14:paraId="666EAE2A">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p>
        </w:tc>
        <w:tc>
          <w:tcPr>
            <w:tcW w:w="1385" w:type="dxa"/>
            <w:tcBorders>
              <w:top w:val="single" w:color="000000" w:sz="4" w:space="0"/>
              <w:left w:val="single" w:color="000000" w:sz="4" w:space="0"/>
              <w:bottom w:val="single" w:color="000000" w:sz="4" w:space="0"/>
              <w:right w:val="single" w:color="000000" w:sz="4" w:space="0"/>
            </w:tcBorders>
          </w:tcPr>
          <w:p w14:paraId="245179E8">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p w14:paraId="4EB2E9A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4D472457">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5"/>
                <w:sz w:val="21"/>
                <w:szCs w:val="21"/>
                <w:highlight w:val="none"/>
                <w:lang w:eastAsia="zh-CN"/>
              </w:rPr>
              <w:t>。</w:t>
            </w:r>
          </w:p>
        </w:tc>
      </w:tr>
      <w:tr w14:paraId="573EF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3C3F5735">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3C7C598F">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input586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tcPr>
          <w:p w14:paraId="365F8572">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lang w:eastAsia="zh-CN"/>
              </w:rPr>
              <w:t>☑</w:t>
            </w:r>
          </w:p>
          <w:p w14:paraId="52CE8B32">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p>
        </w:tc>
        <w:tc>
          <w:tcPr>
            <w:tcW w:w="1385" w:type="dxa"/>
            <w:tcBorders>
              <w:top w:val="single" w:color="000000" w:sz="4" w:space="0"/>
              <w:left w:val="single" w:color="000000" w:sz="4" w:space="0"/>
              <w:bottom w:val="single" w:color="000000" w:sz="4" w:space="0"/>
              <w:right w:val="single" w:color="000000" w:sz="4" w:space="0"/>
            </w:tcBorders>
          </w:tcPr>
          <w:p w14:paraId="01DB7EF4">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p w14:paraId="50AD51A5">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00A6957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5"/>
                <w:sz w:val="21"/>
                <w:szCs w:val="21"/>
                <w:highlight w:val="none"/>
                <w:lang w:eastAsia="zh-CN"/>
              </w:rPr>
              <w:t>。</w:t>
            </w:r>
          </w:p>
        </w:tc>
      </w:tr>
      <w:tr w14:paraId="1A66C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tcBorders>
              <w:top w:val="single" w:color="000000" w:sz="4" w:space="0"/>
              <w:left w:val="single" w:color="000000" w:sz="4" w:space="0"/>
              <w:bottom w:val="single" w:color="000000" w:sz="4" w:space="0"/>
              <w:right w:val="single" w:color="000000" w:sz="4" w:space="0"/>
            </w:tcBorders>
            <w:vAlign w:val="center"/>
          </w:tcPr>
          <w:p w14:paraId="216C6AA4">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资料员</w:t>
            </w:r>
          </w:p>
        </w:tc>
        <w:tc>
          <w:tcPr>
            <w:tcW w:w="1063" w:type="dxa"/>
            <w:tcBorders>
              <w:top w:val="single" w:color="000000" w:sz="4" w:space="0"/>
              <w:left w:val="single" w:color="000000" w:sz="4" w:space="0"/>
              <w:bottom w:val="single" w:color="000000" w:sz="4" w:space="0"/>
              <w:right w:val="single" w:color="000000" w:sz="4" w:space="0"/>
            </w:tcBorders>
            <w:vAlign w:val="center"/>
          </w:tcPr>
          <w:p w14:paraId="095B63CD">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p>
        </w:tc>
        <w:tc>
          <w:tcPr>
            <w:tcW w:w="1285" w:type="dxa"/>
            <w:tcBorders>
              <w:top w:val="single" w:color="000000" w:sz="4" w:space="0"/>
              <w:left w:val="single" w:color="000000" w:sz="4" w:space="0"/>
              <w:bottom w:val="single" w:color="000000" w:sz="4" w:space="0"/>
              <w:right w:val="single" w:color="000000" w:sz="4" w:space="0"/>
            </w:tcBorders>
          </w:tcPr>
          <w:p w14:paraId="2C2C540B">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lang w:eastAsia="zh-CN"/>
              </w:rPr>
              <w:t>☑</w:t>
            </w:r>
          </w:p>
          <w:p w14:paraId="2CD8C364">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p>
        </w:tc>
        <w:tc>
          <w:tcPr>
            <w:tcW w:w="1385" w:type="dxa"/>
            <w:tcBorders>
              <w:top w:val="single" w:color="000000" w:sz="4" w:space="0"/>
              <w:left w:val="single" w:color="000000" w:sz="4" w:space="0"/>
              <w:bottom w:val="single" w:color="000000" w:sz="4" w:space="0"/>
              <w:right w:val="single" w:color="000000" w:sz="4" w:space="0"/>
            </w:tcBorders>
          </w:tcPr>
          <w:p w14:paraId="66061B19">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input557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p w14:paraId="66952E14">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input593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fldChar w:fldCharType="end"/>
            </w:r>
          </w:p>
        </w:tc>
        <w:tc>
          <w:tcPr>
            <w:tcW w:w="3870" w:type="dxa"/>
            <w:tcBorders>
              <w:top w:val="single" w:color="000000" w:sz="4" w:space="0"/>
              <w:left w:val="single" w:color="000000" w:sz="4" w:space="0"/>
              <w:bottom w:val="single" w:color="000000" w:sz="4" w:space="0"/>
              <w:right w:val="single" w:color="000000" w:sz="4" w:space="0"/>
            </w:tcBorders>
            <w:vAlign w:val="center"/>
          </w:tcPr>
          <w:p w14:paraId="5CE9E44A">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5"/>
                <w:sz w:val="21"/>
                <w:szCs w:val="21"/>
                <w:highlight w:val="none"/>
                <w:lang w:eastAsia="zh-CN"/>
              </w:rPr>
              <w:t>。</w:t>
            </w:r>
          </w:p>
        </w:tc>
      </w:tr>
    </w:tbl>
    <w:p w14:paraId="2BC3B460">
      <w:pPr>
        <w:widowControl/>
        <w:ind w:firstLine="420" w:firstLineChars="200"/>
        <w:jc w:val="left"/>
        <w:rPr>
          <w:rFonts w:hint="eastAsia" w:ascii="宋体" w:hAnsi="宋体" w:eastAsia="宋体" w:cs="宋体"/>
          <w:color w:val="auto"/>
          <w:highlight w:val="none"/>
        </w:rPr>
      </w:pPr>
      <w:r>
        <w:rPr>
          <w:rFonts w:hint="eastAsia" w:cs="宋体"/>
          <w:color w:val="auto"/>
          <w:highlight w:val="none"/>
        </w:rPr>
        <w:t>注：</w:t>
      </w:r>
      <w:r>
        <w:rPr>
          <w:rFonts w:hint="eastAsia" w:ascii="宋体" w:hAnsi="宋体" w:eastAsia="宋体" w:cs="宋体"/>
          <w:color w:val="auto"/>
          <w:highlight w:val="none"/>
        </w:rPr>
        <w:t>1、表中“岗位资格要求”栏是、否提供岗位证书(资格证书)的在“□”内打“√”。</w:t>
      </w:r>
    </w:p>
    <w:p w14:paraId="1CFCF023">
      <w:pPr>
        <w:widowControl/>
        <w:ind w:firstLine="840" w:firstLineChars="400"/>
        <w:jc w:val="left"/>
        <w:rPr>
          <w:rFonts w:hint="eastAsia" w:ascii="宋体" w:hAnsi="宋体" w:eastAsia="宋体" w:cs="宋体"/>
          <w:color w:val="auto"/>
          <w:highlight w:val="none"/>
        </w:rPr>
      </w:pPr>
      <w:r>
        <w:rPr>
          <w:rFonts w:hint="eastAsia" w:ascii="宋体" w:hAnsi="宋体" w:eastAsia="宋体" w:cs="宋体"/>
          <w:color w:val="auto"/>
          <w:highlight w:val="none"/>
        </w:rPr>
        <w:t>2、表中“岗位要求”栏专职、可兼任在“□”内打“√”。</w:t>
      </w:r>
    </w:p>
    <w:p w14:paraId="678CE4A3">
      <w:pPr>
        <w:widowControl/>
        <w:ind w:firstLine="840" w:firstLineChars="400"/>
        <w:jc w:val="left"/>
        <w:rPr>
          <w:rFonts w:hint="eastAsia" w:ascii="宋体" w:hAnsi="宋体" w:eastAsia="宋体" w:cs="宋体"/>
          <w:color w:val="auto"/>
          <w:highlight w:val="none"/>
        </w:rPr>
      </w:pPr>
      <w:r>
        <w:rPr>
          <w:rFonts w:hint="eastAsia" w:ascii="宋体" w:hAnsi="宋体" w:eastAsia="宋体" w:cs="宋体"/>
          <w:color w:val="auto"/>
          <w:highlight w:val="none"/>
        </w:rPr>
        <w:t>3、此表为投标人配置“项目管理人员配备表”最低要求。</w:t>
      </w:r>
    </w:p>
    <w:p w14:paraId="31C6AE9F">
      <w:pPr>
        <w:widowControl/>
        <w:ind w:firstLine="840" w:firstLineChars="400"/>
        <w:jc w:val="left"/>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若为退休人员不需提供社保缴费证明原件扫描件，提供退休证及聘用合同原件扫描件即可</w:t>
      </w:r>
      <w:r>
        <w:rPr>
          <w:rFonts w:hint="eastAsia" w:ascii="宋体" w:hAnsi="宋体" w:eastAsia="宋体" w:cs="宋体"/>
          <w:color w:val="auto"/>
          <w:highlight w:val="none"/>
        </w:rPr>
        <w:t>。</w:t>
      </w:r>
    </w:p>
    <w:p w14:paraId="1746770A">
      <w:pPr>
        <w:widowControl/>
        <w:ind w:firstLine="840" w:firstLineChars="400"/>
        <w:jc w:val="left"/>
        <w:outlineLvl w:val="1"/>
        <w:rPr>
          <w:rFonts w:hint="eastAsia" w:cs="宋体"/>
          <w:color w:val="auto"/>
          <w:highlight w:val="none"/>
        </w:rPr>
      </w:pPr>
      <w:r>
        <w:rPr>
          <w:rFonts w:hint="eastAsia" w:ascii="宋体" w:hAnsi="宋体" w:eastAsia="宋体" w:cs="宋体"/>
          <w:color w:val="auto"/>
          <w:highlight w:val="none"/>
        </w:rPr>
        <w:t>5、以上所要求提供的证件均为原件扫描件。</w:t>
      </w:r>
    </w:p>
    <w:p w14:paraId="2E4951C1">
      <w:pPr>
        <w:rPr>
          <w:rFonts w:hint="eastAsia"/>
          <w:color w:val="auto"/>
          <w:highlight w:val="none"/>
        </w:rPr>
      </w:pPr>
      <w:r>
        <w:rPr>
          <w:rFonts w:hint="eastAsia"/>
          <w:color w:val="auto"/>
          <w:highlight w:val="none"/>
        </w:rPr>
        <w:br w:type="page"/>
      </w:r>
    </w:p>
    <w:p w14:paraId="23AB8C72">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黑体" w:hAnsi="黑体" w:eastAsia="黑体" w:cs="Times New Roman"/>
          <w:color w:val="auto"/>
          <w:sz w:val="32"/>
          <w:szCs w:val="32"/>
          <w:highlight w:val="none"/>
        </w:rPr>
      </w:pPr>
      <w:r>
        <w:rPr>
          <w:rFonts w:hint="eastAsia" w:cs="宋体"/>
          <w:color w:val="auto"/>
          <w:highlight w:val="none"/>
        </w:rPr>
        <w:t>第二章</w:t>
      </w:r>
      <w:r>
        <w:rPr>
          <w:color w:val="auto"/>
          <w:highlight w:val="none"/>
        </w:rPr>
        <w:t xml:space="preserve"> </w:t>
      </w:r>
      <w:r>
        <w:rPr>
          <w:rFonts w:hint="eastAsia" w:cs="宋体"/>
          <w:color w:val="auto"/>
          <w:highlight w:val="none"/>
        </w:rPr>
        <w:t>投标人须知</w:t>
      </w:r>
      <w:bookmarkEnd w:id="26"/>
    </w:p>
    <w:p w14:paraId="79ED4C1A">
      <w:pPr>
        <w:pStyle w:val="4"/>
        <w:keepNext/>
        <w:keepLines/>
        <w:pageBreakBefore w:val="0"/>
        <w:widowControl w:val="0"/>
        <w:kinsoku/>
        <w:wordWrap/>
        <w:overflowPunct/>
        <w:topLinePunct w:val="0"/>
        <w:autoSpaceDE/>
        <w:autoSpaceDN/>
        <w:bidi w:val="0"/>
        <w:adjustRightInd/>
        <w:snapToGrid/>
        <w:spacing w:before="0" w:after="0" w:line="360" w:lineRule="auto"/>
        <w:ind w:firstLine="3534" w:firstLineChars="1100"/>
        <w:textAlignment w:val="auto"/>
        <w:rPr>
          <w:rFonts w:hint="eastAsia" w:cs="黑体"/>
          <w:color w:val="auto"/>
          <w:highlight w:val="none"/>
        </w:rPr>
      </w:pPr>
      <w:bookmarkStart w:id="63" w:name="_Toc29035"/>
      <w:r>
        <w:rPr>
          <w:rFonts w:hint="eastAsia" w:cs="黑体"/>
          <w:color w:val="auto"/>
          <w:highlight w:val="none"/>
        </w:rPr>
        <w:t>投标人须知前附表</w:t>
      </w:r>
      <w:bookmarkEnd w:id="63"/>
    </w:p>
    <w:tbl>
      <w:tblPr>
        <w:tblStyle w:val="88"/>
        <w:tblW w:w="9638" w:type="dxa"/>
        <w:tblInd w:w="0" w:type="dxa"/>
        <w:tblLayout w:type="fixed"/>
        <w:tblCellMar>
          <w:top w:w="0" w:type="dxa"/>
          <w:left w:w="108" w:type="dxa"/>
          <w:bottom w:w="0" w:type="dxa"/>
          <w:right w:w="108" w:type="dxa"/>
        </w:tblCellMar>
      </w:tblPr>
      <w:tblGrid>
        <w:gridCol w:w="6"/>
        <w:gridCol w:w="948"/>
        <w:gridCol w:w="2208"/>
        <w:gridCol w:w="6476"/>
      </w:tblGrid>
      <w:tr w14:paraId="5C22A164">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378BF5DD">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208" w:type="dxa"/>
            <w:tcBorders>
              <w:top w:val="single" w:color="auto" w:sz="4" w:space="0"/>
              <w:left w:val="single" w:color="auto" w:sz="4" w:space="0"/>
              <w:bottom w:val="single" w:color="auto" w:sz="4" w:space="0"/>
              <w:right w:val="single" w:color="auto" w:sz="4" w:space="0"/>
            </w:tcBorders>
            <w:vAlign w:val="center"/>
          </w:tcPr>
          <w:p w14:paraId="5B7CC7DA">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  款  名  称</w:t>
            </w:r>
          </w:p>
        </w:tc>
        <w:tc>
          <w:tcPr>
            <w:tcW w:w="6476" w:type="dxa"/>
            <w:tcBorders>
              <w:top w:val="single" w:color="auto" w:sz="4" w:space="0"/>
              <w:left w:val="single" w:color="auto" w:sz="4" w:space="0"/>
              <w:bottom w:val="single" w:color="auto" w:sz="4" w:space="0"/>
              <w:right w:val="single" w:color="auto" w:sz="4" w:space="0"/>
            </w:tcBorders>
            <w:vAlign w:val="center"/>
          </w:tcPr>
          <w:p w14:paraId="6F30AB46">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编  列  内  容</w:t>
            </w:r>
          </w:p>
        </w:tc>
      </w:tr>
      <w:tr w14:paraId="73A5B781">
        <w:tblPrEx>
          <w:tblCellMar>
            <w:top w:w="0" w:type="dxa"/>
            <w:left w:w="108" w:type="dxa"/>
            <w:bottom w:w="0" w:type="dxa"/>
            <w:right w:w="108" w:type="dxa"/>
          </w:tblCellMar>
        </w:tblPrEx>
        <w:trPr>
          <w:trHeight w:val="1614"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0432F77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208" w:type="dxa"/>
            <w:tcBorders>
              <w:top w:val="single" w:color="auto" w:sz="4" w:space="0"/>
              <w:left w:val="single" w:color="auto" w:sz="4" w:space="0"/>
              <w:bottom w:val="single" w:color="auto" w:sz="4" w:space="0"/>
              <w:right w:val="single" w:color="auto" w:sz="4" w:space="0"/>
            </w:tcBorders>
            <w:vAlign w:val="center"/>
          </w:tcPr>
          <w:p w14:paraId="4E86903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6476" w:type="dxa"/>
            <w:tcBorders>
              <w:top w:val="single" w:color="auto" w:sz="4" w:space="0"/>
              <w:left w:val="single" w:color="auto" w:sz="4" w:space="0"/>
              <w:bottom w:val="single" w:color="auto" w:sz="4" w:space="0"/>
              <w:right w:val="single" w:color="auto" w:sz="4" w:space="0"/>
            </w:tcBorders>
            <w:vAlign w:val="center"/>
          </w:tcPr>
          <w:p w14:paraId="5EC6BD3B">
            <w:pPr>
              <w:spacing w:line="440" w:lineRule="exact"/>
              <w:rPr>
                <w:rFonts w:hint="eastAsia" w:ascii="宋体" w:hAnsi="宋体" w:cs="宋体"/>
                <w:color w:val="auto"/>
                <w:highlight w:val="none"/>
                <w:lang w:val="zh-CN" w:eastAsia="zh-CN"/>
              </w:rPr>
            </w:pPr>
            <w:r>
              <w:rPr>
                <w:rFonts w:hint="eastAsia" w:ascii="宋体" w:hAnsi="宋体" w:cs="宋体"/>
                <w:color w:val="auto"/>
                <w:highlight w:val="none"/>
                <w:lang w:val="zh-CN" w:eastAsia="zh-CN"/>
              </w:rPr>
              <w:t>招标人：龙陵县龙山镇人民政府</w:t>
            </w:r>
          </w:p>
          <w:p w14:paraId="7CFA91CB">
            <w:pPr>
              <w:spacing w:line="440" w:lineRule="exact"/>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地址：云南省保山市龙陵县龙山镇热泉路中段 </w:t>
            </w:r>
          </w:p>
          <w:p w14:paraId="5A2B22CE">
            <w:pPr>
              <w:spacing w:line="440" w:lineRule="exact"/>
              <w:rPr>
                <w:rFonts w:hint="eastAsia" w:ascii="宋体" w:hAnsi="宋体" w:cs="宋体"/>
                <w:color w:val="auto"/>
                <w:highlight w:val="none"/>
                <w:lang w:val="zh-CN" w:eastAsia="zh-CN"/>
              </w:rPr>
            </w:pPr>
            <w:r>
              <w:rPr>
                <w:rFonts w:hint="eastAsia" w:ascii="宋体" w:hAnsi="宋体" w:cs="宋体"/>
                <w:color w:val="auto"/>
                <w:highlight w:val="none"/>
                <w:lang w:val="zh-CN" w:eastAsia="zh-CN"/>
              </w:rPr>
              <w:t>联 系 人：王先生</w:t>
            </w:r>
          </w:p>
          <w:p w14:paraId="2607D27F">
            <w:pPr>
              <w:spacing w:line="440" w:lineRule="exact"/>
              <w:rPr>
                <w:rFonts w:hint="default" w:ascii="宋体" w:hAnsi="宋体" w:cs="宋体"/>
                <w:color w:val="auto"/>
                <w:highlight w:val="none"/>
                <w:lang w:val="en-US" w:eastAsia="zh-CN"/>
              </w:rPr>
            </w:pPr>
            <w:r>
              <w:rPr>
                <w:rFonts w:hint="eastAsia" w:ascii="宋体" w:hAnsi="宋体" w:cs="宋体"/>
                <w:color w:val="auto"/>
                <w:highlight w:val="none"/>
                <w:lang w:val="zh-CN" w:eastAsia="zh-CN"/>
              </w:rPr>
              <w:t>电    话：</w:t>
            </w:r>
            <w:r>
              <w:rPr>
                <w:rFonts w:hint="eastAsia" w:ascii="宋体" w:hAnsi="宋体" w:cs="宋体"/>
                <w:color w:val="auto"/>
                <w:highlight w:val="none"/>
                <w:lang w:val="en-US" w:eastAsia="zh-CN"/>
              </w:rPr>
              <w:t>0875-6121848</w:t>
            </w:r>
          </w:p>
        </w:tc>
      </w:tr>
      <w:tr w14:paraId="0AA3D4D1">
        <w:tblPrEx>
          <w:tblCellMar>
            <w:top w:w="0" w:type="dxa"/>
            <w:left w:w="108" w:type="dxa"/>
            <w:bottom w:w="0" w:type="dxa"/>
            <w:right w:w="108" w:type="dxa"/>
          </w:tblCellMar>
        </w:tblPrEx>
        <w:trPr>
          <w:trHeight w:val="1627"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64B3262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208" w:type="dxa"/>
            <w:tcBorders>
              <w:top w:val="single" w:color="auto" w:sz="4" w:space="0"/>
              <w:left w:val="single" w:color="auto" w:sz="4" w:space="0"/>
              <w:bottom w:val="single" w:color="auto" w:sz="4" w:space="0"/>
              <w:right w:val="single" w:color="auto" w:sz="4" w:space="0"/>
            </w:tcBorders>
            <w:vAlign w:val="center"/>
          </w:tcPr>
          <w:p w14:paraId="58C661A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6476" w:type="dxa"/>
            <w:tcBorders>
              <w:top w:val="single" w:color="auto" w:sz="4" w:space="0"/>
              <w:left w:val="single" w:color="auto" w:sz="4" w:space="0"/>
              <w:bottom w:val="single" w:color="auto" w:sz="4" w:space="0"/>
              <w:right w:val="single" w:color="auto" w:sz="4" w:space="0"/>
            </w:tcBorders>
            <w:vAlign w:val="center"/>
          </w:tcPr>
          <w:p w14:paraId="45792716">
            <w:pPr>
              <w:spacing w:line="440" w:lineRule="exact"/>
              <w:rPr>
                <w:rFonts w:hint="eastAsia" w:ascii="宋体" w:hAnsi="宋体" w:cs="宋体"/>
                <w:color w:val="auto"/>
                <w:highlight w:val="none"/>
                <w:lang w:val="zh-CN" w:eastAsia="zh-CN"/>
              </w:rPr>
            </w:pPr>
            <w:r>
              <w:rPr>
                <w:rFonts w:hint="eastAsia" w:ascii="宋体" w:hAnsi="宋体" w:cs="宋体"/>
                <w:color w:val="auto"/>
                <w:highlight w:val="none"/>
                <w:lang w:val="en-US" w:eastAsia="zh-CN"/>
              </w:rPr>
              <w:t xml:space="preserve">名称：云南宸诚工程项目管理有限公司 </w:t>
            </w:r>
            <w:r>
              <w:rPr>
                <w:rFonts w:hint="eastAsia" w:ascii="宋体" w:hAnsi="宋体" w:cs="宋体"/>
                <w:color w:val="auto"/>
                <w:highlight w:val="none"/>
                <w:lang w:val="zh-CN" w:eastAsia="zh-CN"/>
              </w:rPr>
              <w:t xml:space="preserve"> </w:t>
            </w:r>
          </w:p>
          <w:p w14:paraId="12E55CAB">
            <w:pPr>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zh-CN" w:eastAsia="zh-CN"/>
              </w:rPr>
              <w:t>地址：</w:t>
            </w:r>
            <w:r>
              <w:rPr>
                <w:rFonts w:hint="eastAsia" w:ascii="宋体" w:hAnsi="宋体" w:cs="宋体"/>
                <w:color w:val="auto"/>
                <w:highlight w:val="none"/>
                <w:lang w:val="en-US" w:eastAsia="zh-CN"/>
              </w:rPr>
              <w:t>云南省保山市龙陵县龙山镇龙华社区龙陵县财富中心S2幢7号101　</w:t>
            </w:r>
          </w:p>
          <w:p w14:paraId="600D462E">
            <w:pPr>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zh-CN" w:eastAsia="zh-CN"/>
              </w:rPr>
              <w:t>联系人：</w:t>
            </w:r>
            <w:r>
              <w:rPr>
                <w:rFonts w:hint="eastAsia" w:ascii="宋体" w:hAnsi="宋体" w:cs="宋体"/>
                <w:color w:val="auto"/>
                <w:highlight w:val="none"/>
                <w:lang w:val="en-US" w:eastAsia="zh-CN"/>
              </w:rPr>
              <w:t>赛先生</w:t>
            </w:r>
          </w:p>
          <w:p w14:paraId="4CC1FFE3">
            <w:pPr>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电话：0875-6127885</w:t>
            </w:r>
          </w:p>
        </w:tc>
      </w:tr>
      <w:tr w14:paraId="6124105D">
        <w:tblPrEx>
          <w:tblCellMar>
            <w:top w:w="0" w:type="dxa"/>
            <w:left w:w="108" w:type="dxa"/>
            <w:bottom w:w="0" w:type="dxa"/>
            <w:right w:w="108" w:type="dxa"/>
          </w:tblCellMar>
        </w:tblPrEx>
        <w:trPr>
          <w:trHeight w:val="831"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57D35868">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208" w:type="dxa"/>
            <w:tcBorders>
              <w:top w:val="single" w:color="auto" w:sz="4" w:space="0"/>
              <w:left w:val="single" w:color="auto" w:sz="4" w:space="0"/>
              <w:bottom w:val="single" w:color="auto" w:sz="4" w:space="0"/>
              <w:right w:val="single" w:color="auto" w:sz="4" w:space="0"/>
            </w:tcBorders>
            <w:vAlign w:val="center"/>
          </w:tcPr>
          <w:p w14:paraId="7F26D2E3">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6476" w:type="dxa"/>
            <w:tcBorders>
              <w:top w:val="single" w:color="auto" w:sz="4" w:space="0"/>
              <w:left w:val="single" w:color="auto" w:sz="4" w:space="0"/>
              <w:bottom w:val="single" w:color="auto" w:sz="4" w:space="0"/>
              <w:right w:val="single" w:color="auto" w:sz="4" w:space="0"/>
            </w:tcBorders>
            <w:vAlign w:val="center"/>
          </w:tcPr>
          <w:p w14:paraId="383BA666">
            <w:pPr>
              <w:spacing w:line="360" w:lineRule="auto"/>
              <w:rPr>
                <w:rFonts w:hint="eastAsia" w:ascii="宋体" w:hAnsi="宋体" w:eastAsia="宋体" w:cs="宋体"/>
                <w:color w:val="auto"/>
                <w:highlight w:val="none"/>
                <w:lang w:val="zh-CN" w:eastAsia="zh-CN"/>
              </w:rPr>
            </w:pPr>
            <w:r>
              <w:rPr>
                <w:rFonts w:hint="eastAsia" w:ascii="宋体" w:hAnsi="宋体" w:cs="宋体"/>
                <w:color w:val="auto"/>
                <w:highlight w:val="none"/>
                <w:lang w:val="en-US" w:eastAsia="zh-CN"/>
              </w:rPr>
              <w:t>2026年上海市对口帮扶龙陵县龙山镇横山村石斛鲜切花种植试验示范基地建设项目（EPC+O）</w:t>
            </w:r>
          </w:p>
        </w:tc>
      </w:tr>
      <w:tr w14:paraId="21CA9B9F">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192CB94F">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208" w:type="dxa"/>
            <w:tcBorders>
              <w:top w:val="single" w:color="auto" w:sz="4" w:space="0"/>
              <w:left w:val="single" w:color="auto" w:sz="4" w:space="0"/>
              <w:bottom w:val="single" w:color="auto" w:sz="4" w:space="0"/>
              <w:right w:val="single" w:color="auto" w:sz="4" w:space="0"/>
            </w:tcBorders>
            <w:vAlign w:val="center"/>
          </w:tcPr>
          <w:p w14:paraId="6B0EE7FD">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建设地点及内容</w:t>
            </w:r>
          </w:p>
        </w:tc>
        <w:tc>
          <w:tcPr>
            <w:tcW w:w="6476" w:type="dxa"/>
            <w:tcBorders>
              <w:top w:val="single" w:color="auto" w:sz="4" w:space="0"/>
              <w:left w:val="single" w:color="auto" w:sz="4" w:space="0"/>
              <w:bottom w:val="single" w:color="auto" w:sz="4" w:space="0"/>
              <w:right w:val="single" w:color="auto" w:sz="4" w:space="0"/>
            </w:tcBorders>
            <w:vAlign w:val="center"/>
          </w:tcPr>
          <w:p w14:paraId="02F68387">
            <w:pPr>
              <w:spacing w:line="440" w:lineRule="exact"/>
              <w:rPr>
                <w:rFonts w:hint="eastAsia" w:ascii="宋体" w:hAnsi="宋体" w:cs="宋体"/>
                <w:color w:val="auto"/>
                <w:highlight w:val="none"/>
                <w:lang w:val="zh-CN"/>
              </w:rPr>
            </w:pPr>
            <w:r>
              <w:rPr>
                <w:rFonts w:hint="eastAsia" w:ascii="宋体" w:hAnsi="宋体" w:cs="宋体"/>
                <w:color w:val="auto"/>
                <w:highlight w:val="none"/>
                <w:lang w:val="zh-CN"/>
              </w:rPr>
              <w:t>建设地点：</w:t>
            </w:r>
            <w:r>
              <w:rPr>
                <w:rFonts w:hint="eastAsia" w:ascii="宋体" w:hAnsi="宋体" w:cs="宋体"/>
                <w:color w:val="auto"/>
                <w:highlight w:val="none"/>
                <w:lang w:val="zh-CN" w:eastAsia="zh-CN"/>
              </w:rPr>
              <w:t>龙陵县龙山镇横山村。</w:t>
            </w:r>
          </w:p>
          <w:p w14:paraId="149CB35E">
            <w:pPr>
              <w:spacing w:line="440" w:lineRule="exact"/>
              <w:rPr>
                <w:rFonts w:hint="eastAsia" w:ascii="宋体" w:hAnsi="宋体" w:cs="宋体"/>
                <w:color w:val="auto"/>
                <w:highlight w:val="none"/>
                <w:lang w:val="zh-CN"/>
              </w:rPr>
            </w:pPr>
            <w:r>
              <w:rPr>
                <w:rFonts w:hint="eastAsia" w:ascii="宋体" w:hAnsi="宋体" w:cs="宋体"/>
                <w:color w:val="auto"/>
                <w:highlight w:val="none"/>
                <w:lang w:val="zh-CN"/>
              </w:rPr>
              <w:t>项目建设主要内容及规模：</w:t>
            </w:r>
            <w:r>
              <w:rPr>
                <w:rFonts w:hint="eastAsia" w:ascii="宋体" w:hAnsi="宋体" w:cs="宋体"/>
                <w:color w:val="auto"/>
                <w:highlight w:val="none"/>
                <w:lang w:val="zh-CN"/>
              </w:rPr>
              <w:t>在龙山镇横山村投入800万元实施石斛鲜切花种植基地设施建设。建设内容：1.新建分区催花温室大棚3500平方米，配套安装水肥一体化、温控系统、内外双层遮阳系统，加装电动卷膜机，铺设供电线路，修建供水水池及其他配套附属工程；2.新建观赏石斛切花种植大棚10000平方米，配套安装水肥一体化、供水水池、遮阳系统、全顶通风系统及其他配套附属工程；3.新建钢架结构业务房200平方米、钢结构鲜切花冷库200平方米及其相关附属工程；4.新建标准化石斛储存、扩繁实验大棚3040平方米，配套水肥一体化设施、温控系统、轨道运输系统、内外遮阳系统；5.实施场地硬化2500平方米、挡墙支砌1500立方米。项目建成后，产权归横山村集体所有，支持发展石斛鲜切花及石斛产业，建立联农带农机制，通过租赁方式产生收益，带动村集体经济发展，收益主要用于常态化帮扶下支持带动群众就业增收，壮大村集体经济等。预计惠及农户238户1163人，其中防贫对象和接续帮扶人口46户182人。</w:t>
            </w:r>
          </w:p>
          <w:p w14:paraId="0E00D730">
            <w:pPr>
              <w:spacing w:line="440" w:lineRule="exact"/>
              <w:rPr>
                <w:rFonts w:hint="eastAsia" w:ascii="宋体" w:hAnsi="宋体" w:eastAsia="宋体" w:cs="宋体"/>
                <w:color w:val="auto"/>
                <w:highlight w:val="none"/>
                <w:lang w:val="zh-CN" w:eastAsia="zh-CN"/>
              </w:rPr>
            </w:pPr>
            <w:r>
              <w:rPr>
                <w:rFonts w:hint="eastAsia" w:ascii="宋体" w:hAnsi="宋体" w:cs="宋体"/>
                <w:color w:val="auto"/>
                <w:highlight w:val="none"/>
                <w:lang w:val="zh-CN" w:eastAsia="zh-CN"/>
              </w:rPr>
              <w:t>项目计划总投资约</w:t>
            </w:r>
            <w:r>
              <w:rPr>
                <w:rFonts w:hint="eastAsia" w:ascii="宋体" w:hAnsi="宋体" w:cs="宋体"/>
                <w:color w:val="auto"/>
                <w:highlight w:val="none"/>
                <w:lang w:val="en-US" w:eastAsia="zh-CN"/>
              </w:rPr>
              <w:t>800万元</w:t>
            </w:r>
            <w:r>
              <w:rPr>
                <w:rFonts w:hint="eastAsia" w:ascii="宋体" w:hAnsi="宋体" w:cs="宋体"/>
                <w:color w:val="auto"/>
                <w:highlight w:val="none"/>
                <w:lang w:val="zh-CN" w:eastAsia="zh-CN"/>
              </w:rPr>
              <w:t>。</w:t>
            </w:r>
          </w:p>
        </w:tc>
      </w:tr>
      <w:tr w14:paraId="2214E0FD">
        <w:tblPrEx>
          <w:tblCellMar>
            <w:top w:w="0" w:type="dxa"/>
            <w:left w:w="108" w:type="dxa"/>
            <w:bottom w:w="0" w:type="dxa"/>
            <w:right w:w="108" w:type="dxa"/>
          </w:tblCellMar>
        </w:tblPrEx>
        <w:trPr>
          <w:trHeight w:val="386"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3770359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208" w:type="dxa"/>
            <w:tcBorders>
              <w:top w:val="single" w:color="auto" w:sz="4" w:space="0"/>
              <w:left w:val="single" w:color="auto" w:sz="4" w:space="0"/>
              <w:bottom w:val="single" w:color="auto" w:sz="4" w:space="0"/>
              <w:right w:val="single" w:color="auto" w:sz="4" w:space="0"/>
            </w:tcBorders>
            <w:vAlign w:val="center"/>
          </w:tcPr>
          <w:p w14:paraId="48AE391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资金来源</w:t>
            </w:r>
          </w:p>
        </w:tc>
        <w:tc>
          <w:tcPr>
            <w:tcW w:w="6476" w:type="dxa"/>
            <w:tcBorders>
              <w:top w:val="single" w:color="auto" w:sz="4" w:space="0"/>
              <w:left w:val="single" w:color="auto" w:sz="4" w:space="0"/>
              <w:bottom w:val="single" w:color="auto" w:sz="4" w:space="0"/>
              <w:right w:val="single" w:color="auto" w:sz="4" w:space="0"/>
            </w:tcBorders>
            <w:vAlign w:val="center"/>
          </w:tcPr>
          <w:p w14:paraId="56320309">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全部申请沪滇帮扶资金</w:t>
            </w:r>
          </w:p>
        </w:tc>
      </w:tr>
      <w:tr w14:paraId="10BD19E0">
        <w:tblPrEx>
          <w:tblCellMar>
            <w:top w:w="0" w:type="dxa"/>
            <w:left w:w="108" w:type="dxa"/>
            <w:bottom w:w="0" w:type="dxa"/>
            <w:right w:w="108" w:type="dxa"/>
          </w:tblCellMar>
        </w:tblPrEx>
        <w:trPr>
          <w:trHeight w:val="434"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27F761C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208" w:type="dxa"/>
            <w:tcBorders>
              <w:top w:val="single" w:color="auto" w:sz="4" w:space="0"/>
              <w:left w:val="single" w:color="auto" w:sz="4" w:space="0"/>
              <w:bottom w:val="single" w:color="auto" w:sz="4" w:space="0"/>
              <w:right w:val="single" w:color="auto" w:sz="4" w:space="0"/>
            </w:tcBorders>
            <w:vAlign w:val="center"/>
          </w:tcPr>
          <w:p w14:paraId="27F8C4C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6476" w:type="dxa"/>
            <w:tcBorders>
              <w:top w:val="single" w:color="auto" w:sz="4" w:space="0"/>
              <w:left w:val="single" w:color="auto" w:sz="4" w:space="0"/>
              <w:bottom w:val="single" w:color="auto" w:sz="4" w:space="0"/>
              <w:right w:val="single" w:color="auto" w:sz="4" w:space="0"/>
            </w:tcBorders>
            <w:vAlign w:val="center"/>
          </w:tcPr>
          <w:p w14:paraId="70FE1014">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已落实。</w:t>
            </w:r>
          </w:p>
        </w:tc>
      </w:tr>
      <w:tr w14:paraId="0F4001D5">
        <w:tblPrEx>
          <w:tblCellMar>
            <w:top w:w="0" w:type="dxa"/>
            <w:left w:w="108" w:type="dxa"/>
            <w:bottom w:w="0" w:type="dxa"/>
            <w:right w:w="108" w:type="dxa"/>
          </w:tblCellMar>
        </w:tblPrEx>
        <w:trPr>
          <w:trHeight w:val="540"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4C72275B">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208" w:type="dxa"/>
            <w:tcBorders>
              <w:top w:val="single" w:color="auto" w:sz="4" w:space="0"/>
              <w:left w:val="single" w:color="auto" w:sz="4" w:space="0"/>
              <w:bottom w:val="single" w:color="auto" w:sz="4" w:space="0"/>
              <w:right w:val="single" w:color="auto" w:sz="4" w:space="0"/>
            </w:tcBorders>
            <w:vAlign w:val="center"/>
          </w:tcPr>
          <w:p w14:paraId="7962A244">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6476" w:type="dxa"/>
            <w:tcBorders>
              <w:top w:val="single" w:color="auto" w:sz="4" w:space="0"/>
              <w:left w:val="single" w:color="auto" w:sz="4" w:space="0"/>
              <w:bottom w:val="single" w:color="auto" w:sz="4" w:space="0"/>
              <w:right w:val="single" w:color="auto" w:sz="4" w:space="0"/>
            </w:tcBorders>
            <w:vAlign w:val="center"/>
          </w:tcPr>
          <w:p w14:paraId="2CC51BAB">
            <w:pPr>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eastAsia="zh-CN"/>
              </w:rPr>
              <w:t>详见第一章 招标公告 2.5“招标范围”。</w:t>
            </w:r>
          </w:p>
        </w:tc>
      </w:tr>
      <w:tr w14:paraId="31099BDA">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288F26EA">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208" w:type="dxa"/>
            <w:tcBorders>
              <w:top w:val="single" w:color="auto" w:sz="4" w:space="0"/>
              <w:left w:val="single" w:color="auto" w:sz="4" w:space="0"/>
              <w:bottom w:val="single" w:color="auto" w:sz="4" w:space="0"/>
              <w:right w:val="single" w:color="auto" w:sz="4" w:space="0"/>
            </w:tcBorders>
            <w:vAlign w:val="center"/>
          </w:tcPr>
          <w:p w14:paraId="5BC47DBF">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工期要求</w:t>
            </w:r>
          </w:p>
        </w:tc>
        <w:tc>
          <w:tcPr>
            <w:tcW w:w="6476" w:type="dxa"/>
            <w:tcBorders>
              <w:top w:val="single" w:color="auto" w:sz="4" w:space="0"/>
              <w:left w:val="single" w:color="auto" w:sz="4" w:space="0"/>
              <w:bottom w:val="single" w:color="auto" w:sz="4" w:space="0"/>
              <w:right w:val="single" w:color="auto" w:sz="4" w:space="0"/>
            </w:tcBorders>
            <w:vAlign w:val="center"/>
          </w:tcPr>
          <w:p w14:paraId="170F049F">
            <w:pPr>
              <w:spacing w:line="440" w:lineRule="exact"/>
              <w:rPr>
                <w:rFonts w:hint="eastAsia" w:ascii="宋体" w:hAnsi="宋体" w:cs="宋体"/>
                <w:color w:val="auto"/>
                <w:kern w:val="2"/>
                <w:sz w:val="21"/>
                <w:szCs w:val="21"/>
                <w:highlight w:val="none"/>
                <w:lang w:val="zh-CN" w:eastAsia="zh-CN"/>
              </w:rPr>
            </w:pPr>
            <w:r>
              <w:rPr>
                <w:rFonts w:hint="eastAsia" w:ascii="宋体" w:hAnsi="宋体" w:cs="宋体"/>
                <w:color w:val="auto"/>
                <w:kern w:val="2"/>
                <w:sz w:val="21"/>
                <w:szCs w:val="21"/>
                <w:highlight w:val="none"/>
                <w:lang w:val="zh-CN" w:eastAsia="zh-CN"/>
              </w:rPr>
              <w:t>工期要求：总工期为</w:t>
            </w:r>
            <w:r>
              <w:rPr>
                <w:rFonts w:hint="eastAsia" w:ascii="宋体" w:hAnsi="宋体" w:cs="宋体"/>
                <w:color w:val="auto"/>
                <w:kern w:val="2"/>
                <w:sz w:val="21"/>
                <w:szCs w:val="21"/>
                <w:highlight w:val="none"/>
                <w:lang w:val="en-US" w:eastAsia="zh-CN"/>
              </w:rPr>
              <w:t>180</w:t>
            </w:r>
            <w:r>
              <w:rPr>
                <w:rFonts w:hint="eastAsia" w:ascii="宋体" w:hAnsi="宋体" w:cs="宋体"/>
                <w:color w:val="auto"/>
                <w:kern w:val="2"/>
                <w:sz w:val="21"/>
                <w:szCs w:val="21"/>
                <w:highlight w:val="none"/>
                <w:lang w:val="en-US" w:eastAsia="zh-CN"/>
              </w:rPr>
              <w:t>日历天</w:t>
            </w:r>
            <w:r>
              <w:rPr>
                <w:rFonts w:hint="eastAsia" w:ascii="宋体" w:hAnsi="宋体" w:cs="宋体"/>
                <w:color w:val="auto"/>
                <w:kern w:val="2"/>
                <w:sz w:val="21"/>
                <w:szCs w:val="21"/>
                <w:highlight w:val="none"/>
                <w:lang w:val="zh-CN" w:eastAsia="zh-CN"/>
              </w:rPr>
              <w:t>。</w:t>
            </w:r>
          </w:p>
          <w:p w14:paraId="55BA7D97">
            <w:pPr>
              <w:spacing w:line="440" w:lineRule="exact"/>
              <w:rPr>
                <w:rFonts w:hint="eastAsia" w:ascii="宋体" w:hAnsi="宋体" w:cs="宋体"/>
                <w:color w:val="auto"/>
                <w:kern w:val="2"/>
                <w:sz w:val="21"/>
                <w:szCs w:val="21"/>
                <w:highlight w:val="none"/>
                <w:lang w:val="zh-CN" w:eastAsia="zh-CN"/>
              </w:rPr>
            </w:pPr>
            <w:r>
              <w:rPr>
                <w:rFonts w:hint="eastAsia" w:ascii="宋体" w:hAnsi="宋体" w:cs="宋体"/>
                <w:color w:val="auto"/>
                <w:kern w:val="2"/>
                <w:sz w:val="21"/>
                <w:szCs w:val="21"/>
                <w:highlight w:val="none"/>
                <w:lang w:val="zh-CN" w:eastAsia="zh-CN"/>
              </w:rPr>
              <w:t>设计工期：合同签订后</w:t>
            </w:r>
            <w:r>
              <w:rPr>
                <w:rFonts w:hint="eastAsia" w:ascii="宋体" w:hAnsi="宋体" w:cs="宋体"/>
                <w:color w:val="auto"/>
                <w:kern w:val="2"/>
                <w:sz w:val="21"/>
                <w:szCs w:val="21"/>
                <w:highlight w:val="none"/>
                <w:lang w:val="en-US" w:eastAsia="zh-CN"/>
              </w:rPr>
              <w:t>30</w:t>
            </w:r>
            <w:r>
              <w:rPr>
                <w:rFonts w:hint="eastAsia" w:ascii="宋体" w:hAnsi="宋体" w:cs="宋体"/>
                <w:color w:val="auto"/>
                <w:kern w:val="2"/>
                <w:sz w:val="21"/>
                <w:szCs w:val="21"/>
                <w:highlight w:val="none"/>
                <w:lang w:val="zh-CN" w:eastAsia="zh-CN"/>
              </w:rPr>
              <w:t>日历天</w:t>
            </w:r>
            <w:r>
              <w:rPr>
                <w:rFonts w:hint="eastAsia" w:ascii="宋体" w:hAnsi="宋体" w:cs="宋体"/>
                <w:color w:val="auto"/>
                <w:kern w:val="2"/>
                <w:sz w:val="21"/>
                <w:szCs w:val="21"/>
                <w:highlight w:val="none"/>
                <w:lang w:val="zh-CN" w:eastAsia="zh-CN"/>
              </w:rPr>
              <w:t>内完成施工图设计。</w:t>
            </w:r>
          </w:p>
          <w:p w14:paraId="5855C1BD">
            <w:pPr>
              <w:spacing w:line="440" w:lineRule="exact"/>
              <w:rPr>
                <w:rFonts w:hint="eastAsia" w:ascii="宋体" w:hAnsi="宋体" w:cs="宋体"/>
                <w:color w:val="auto"/>
                <w:kern w:val="2"/>
                <w:sz w:val="21"/>
                <w:szCs w:val="21"/>
                <w:highlight w:val="none"/>
                <w:lang w:val="zh-CN" w:eastAsia="zh-CN"/>
              </w:rPr>
            </w:pPr>
            <w:r>
              <w:rPr>
                <w:rFonts w:hint="eastAsia" w:ascii="宋体" w:hAnsi="宋体" w:cs="宋体"/>
                <w:color w:val="auto"/>
                <w:kern w:val="2"/>
                <w:sz w:val="21"/>
                <w:szCs w:val="21"/>
                <w:highlight w:val="none"/>
                <w:lang w:val="en-US" w:eastAsia="zh-CN"/>
              </w:rPr>
              <w:t>施工工期：</w:t>
            </w:r>
            <w:r>
              <w:rPr>
                <w:rFonts w:hint="eastAsia" w:ascii="宋体" w:hAnsi="宋体" w:cs="宋体"/>
                <w:color w:val="auto"/>
                <w:kern w:val="2"/>
                <w:sz w:val="21"/>
                <w:szCs w:val="21"/>
                <w:highlight w:val="none"/>
                <w:lang w:val="en-US" w:eastAsia="zh-CN"/>
              </w:rPr>
              <w:t>150日历天</w:t>
            </w:r>
            <w:r>
              <w:rPr>
                <w:rFonts w:hint="eastAsia" w:ascii="宋体" w:hAnsi="宋体" w:cs="宋体"/>
                <w:color w:val="auto"/>
                <w:kern w:val="2"/>
                <w:sz w:val="21"/>
                <w:szCs w:val="21"/>
                <w:highlight w:val="none"/>
                <w:lang w:val="en-US" w:eastAsia="zh-CN"/>
              </w:rPr>
              <w:t>，项目开工至完成建设并通过竣工验收。</w:t>
            </w:r>
          </w:p>
        </w:tc>
      </w:tr>
      <w:tr w14:paraId="66E6738B">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65E0C7BF">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208" w:type="dxa"/>
            <w:tcBorders>
              <w:top w:val="single" w:color="auto" w:sz="4" w:space="0"/>
              <w:left w:val="single" w:color="auto" w:sz="4" w:space="0"/>
              <w:bottom w:val="single" w:color="auto" w:sz="4" w:space="0"/>
              <w:right w:val="single" w:color="auto" w:sz="4" w:space="0"/>
            </w:tcBorders>
            <w:vAlign w:val="center"/>
          </w:tcPr>
          <w:p w14:paraId="01A22091">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质量标准</w:t>
            </w:r>
          </w:p>
        </w:tc>
        <w:tc>
          <w:tcPr>
            <w:tcW w:w="6476" w:type="dxa"/>
            <w:tcBorders>
              <w:top w:val="single" w:color="auto" w:sz="4" w:space="0"/>
              <w:left w:val="single" w:color="auto" w:sz="4" w:space="0"/>
              <w:bottom w:val="single" w:color="auto" w:sz="4" w:space="0"/>
              <w:right w:val="single" w:color="auto" w:sz="4" w:space="0"/>
            </w:tcBorders>
            <w:vAlign w:val="center"/>
          </w:tcPr>
          <w:p w14:paraId="797C13EE">
            <w:pPr>
              <w:spacing w:line="440" w:lineRule="exact"/>
              <w:rPr>
                <w:rFonts w:ascii="宋体" w:hAnsi="宋体" w:cs="宋体"/>
                <w:color w:val="auto"/>
                <w:highlight w:val="none"/>
                <w:lang w:val="zh-CN"/>
              </w:rPr>
            </w:pPr>
            <w:r>
              <w:rPr>
                <w:rFonts w:hint="eastAsia" w:ascii="宋体" w:hAnsi="宋体" w:cs="宋体"/>
                <w:color w:val="auto"/>
                <w:highlight w:val="none"/>
                <w:lang w:val="en-US" w:eastAsia="zh-CN"/>
              </w:rPr>
              <w:t>1.</w:t>
            </w:r>
            <w:r>
              <w:rPr>
                <w:rFonts w:hint="eastAsia" w:ascii="宋体" w:hAnsi="宋体" w:cs="宋体"/>
                <w:color w:val="auto"/>
                <w:highlight w:val="none"/>
                <w:lang w:val="zh-CN"/>
              </w:rPr>
              <w:t>设计：在满足招标人提出的本项目使用功能要求的前提下进行限额设计，符合国家、行业及地方现行的相关标准及强制性规范；确保设计成果资料完整、真实准确、清晰有据、符合项目实际，并对提供的设计成果质量终身负责。</w:t>
            </w:r>
          </w:p>
          <w:p w14:paraId="7AC1DD0B">
            <w:pPr>
              <w:spacing w:line="440" w:lineRule="exact"/>
              <w:rPr>
                <w:rFonts w:hint="eastAsia" w:ascii="宋体" w:hAnsi="宋体" w:eastAsia="宋体" w:cs="宋体"/>
                <w:color w:val="auto"/>
                <w:highlight w:val="none"/>
                <w:lang w:val="zh-CN"/>
              </w:rPr>
            </w:pPr>
            <w:r>
              <w:rPr>
                <w:rFonts w:hint="eastAsia" w:ascii="宋体" w:hAnsi="宋体" w:cs="宋体"/>
                <w:color w:val="auto"/>
                <w:highlight w:val="none"/>
                <w:lang w:val="zh-CN"/>
              </w:rPr>
              <w:t>2</w:t>
            </w:r>
            <w:r>
              <w:rPr>
                <w:rFonts w:hint="eastAsia" w:ascii="宋体" w:hAnsi="宋体" w:eastAsia="宋体" w:cs="宋体"/>
                <w:color w:val="auto"/>
                <w:highlight w:val="none"/>
                <w:lang w:val="zh-CN"/>
              </w:rPr>
              <w:t>.施工：符合设计要求，执行国家、省、</w:t>
            </w:r>
            <w:r>
              <w:rPr>
                <w:rFonts w:hint="eastAsia" w:ascii="宋体" w:hAnsi="宋体" w:cs="宋体"/>
                <w:color w:val="auto"/>
                <w:highlight w:val="none"/>
                <w:lang w:val="en-US" w:eastAsia="zh-CN"/>
              </w:rPr>
              <w:t>市</w:t>
            </w:r>
            <w:r>
              <w:rPr>
                <w:rFonts w:hint="eastAsia" w:ascii="宋体" w:hAnsi="宋体" w:eastAsia="宋体" w:cs="宋体"/>
                <w:color w:val="auto"/>
                <w:highlight w:val="none"/>
                <w:lang w:val="zh-CN"/>
              </w:rPr>
              <w:t>现行的质量验收标准，一次性验收合格，并保证各专项工程验收通过、整体通过竣工验收合格。</w:t>
            </w:r>
          </w:p>
          <w:p w14:paraId="79527EA0">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w:t>
            </w:r>
            <w:r>
              <w:rPr>
                <w:rFonts w:hint="eastAsia" w:ascii="宋体" w:hAnsi="宋体" w:cs="宋体"/>
                <w:color w:val="auto"/>
                <w:highlight w:val="none"/>
                <w:lang w:val="en-US" w:eastAsia="zh-CN"/>
              </w:rPr>
              <w:t>.</w:t>
            </w:r>
            <w:r>
              <w:rPr>
                <w:rFonts w:hint="eastAsia" w:ascii="宋体" w:hAnsi="宋体" w:eastAsia="宋体" w:cs="宋体"/>
                <w:color w:val="auto"/>
                <w:highlight w:val="none"/>
                <w:lang w:val="zh-CN"/>
              </w:rPr>
              <w:t>总承包承诺：执行《建设项目工程总承包管理规范》（GB-T50358-2017）及国家、省、</w:t>
            </w:r>
            <w:r>
              <w:rPr>
                <w:rFonts w:hint="eastAsia" w:ascii="宋体" w:hAnsi="宋体" w:cs="宋体"/>
                <w:color w:val="auto"/>
                <w:highlight w:val="none"/>
                <w:lang w:val="en-US" w:eastAsia="zh-CN"/>
              </w:rPr>
              <w:t>市</w:t>
            </w:r>
            <w:r>
              <w:rPr>
                <w:rFonts w:hint="eastAsia" w:ascii="宋体" w:hAnsi="宋体" w:eastAsia="宋体" w:cs="宋体"/>
                <w:color w:val="auto"/>
                <w:highlight w:val="none"/>
                <w:lang w:val="zh-CN"/>
              </w:rPr>
              <w:t>现行法规、规范的相关规定。</w:t>
            </w:r>
          </w:p>
          <w:p w14:paraId="43C11C7E">
            <w:pPr>
              <w:spacing w:line="4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运营：</w:t>
            </w:r>
            <w:r>
              <w:rPr>
                <w:rFonts w:hint="eastAsia" w:ascii="宋体" w:hAnsi="宋体" w:eastAsia="宋体" w:cs="宋体"/>
                <w:color w:val="auto"/>
                <w:highlight w:val="none"/>
                <w:lang w:val="zh-CN"/>
              </w:rPr>
              <w:t>按现行国家、行业及地方相应规范、标准执行，满足招标人的要求</w:t>
            </w:r>
            <w:r>
              <w:rPr>
                <w:rFonts w:hint="eastAsia" w:ascii="宋体" w:hAnsi="宋体" w:cs="宋体"/>
                <w:color w:val="auto"/>
                <w:highlight w:val="none"/>
                <w:lang w:val="zh-CN"/>
              </w:rPr>
              <w:t>。</w:t>
            </w:r>
          </w:p>
        </w:tc>
      </w:tr>
      <w:tr w14:paraId="50692650">
        <w:tblPrEx>
          <w:tblCellMar>
            <w:top w:w="0" w:type="dxa"/>
            <w:left w:w="108" w:type="dxa"/>
            <w:bottom w:w="0" w:type="dxa"/>
            <w:right w:w="108" w:type="dxa"/>
          </w:tblCellMar>
        </w:tblPrEx>
        <w:trPr>
          <w:trHeight w:val="330"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79F53582">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208" w:type="dxa"/>
            <w:tcBorders>
              <w:top w:val="single" w:color="auto" w:sz="4" w:space="0"/>
              <w:left w:val="single" w:color="auto" w:sz="4" w:space="0"/>
              <w:bottom w:val="single" w:color="auto" w:sz="4" w:space="0"/>
              <w:right w:val="single" w:color="auto" w:sz="4" w:space="0"/>
            </w:tcBorders>
            <w:vAlign w:val="center"/>
          </w:tcPr>
          <w:p w14:paraId="3FA99B5E">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投标人资质条件、能力和信誉</w:t>
            </w:r>
          </w:p>
        </w:tc>
        <w:tc>
          <w:tcPr>
            <w:tcW w:w="6476" w:type="dxa"/>
            <w:tcBorders>
              <w:top w:val="single" w:color="auto" w:sz="4" w:space="0"/>
              <w:left w:val="single" w:color="auto" w:sz="4" w:space="0"/>
              <w:bottom w:val="single" w:color="auto" w:sz="4" w:space="0"/>
              <w:right w:val="single" w:color="auto" w:sz="4" w:space="0"/>
            </w:tcBorders>
            <w:vAlign w:val="center"/>
          </w:tcPr>
          <w:p w14:paraId="7D14B9CD">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投标人</w:t>
            </w:r>
            <w:r>
              <w:rPr>
                <w:rFonts w:hint="eastAsia" w:ascii="宋体" w:hAnsi="宋体" w:cs="宋体"/>
                <w:color w:val="auto"/>
                <w:highlight w:val="none"/>
                <w:lang w:val="zh-CN"/>
              </w:rPr>
              <w:t>必须是在中华人民共和国境内依法成立，具有独立法人资格和独立承担民事责任能力的企业</w:t>
            </w:r>
            <w:r>
              <w:rPr>
                <w:rFonts w:hint="eastAsia" w:ascii="宋体" w:hAnsi="宋体" w:eastAsia="宋体" w:cs="宋体"/>
                <w:color w:val="auto"/>
                <w:sz w:val="21"/>
                <w:szCs w:val="21"/>
                <w:highlight w:val="none"/>
                <w:lang w:val="en-US" w:eastAsia="zh-CN"/>
              </w:rPr>
              <w:t>，具备有效的营业执照或其他相关法定证明文件</w:t>
            </w:r>
            <w:r>
              <w:rPr>
                <w:rFonts w:hint="eastAsia" w:ascii="宋体" w:hAnsi="宋体" w:eastAsia="宋体" w:cs="宋体"/>
                <w:color w:val="auto"/>
                <w:sz w:val="21"/>
                <w:szCs w:val="21"/>
                <w:highlight w:val="none"/>
                <w:lang w:eastAsia="zh-CN"/>
              </w:rPr>
              <w:t>。</w:t>
            </w:r>
          </w:p>
          <w:p w14:paraId="76B15491">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本次招标要求投标人须同时具备以下资质：</w:t>
            </w:r>
          </w:p>
          <w:p w14:paraId="5D56BA4C">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（1）设计资质：</w:t>
            </w:r>
            <w:r>
              <w:rPr>
                <w:rFonts w:hint="eastAsia" w:ascii="宋体" w:hAnsi="宋体" w:eastAsia="宋体" w:cs="宋体"/>
                <w:color w:val="auto"/>
                <w:sz w:val="21"/>
                <w:szCs w:val="21"/>
                <w:highlight w:val="none"/>
                <w:lang w:val="en-US" w:eastAsia="zh-CN"/>
              </w:rPr>
              <w:t>具备建设行政主管部门颁发的工程设计建筑行业</w:t>
            </w:r>
            <w:r>
              <w:rPr>
                <w:rFonts w:hint="eastAsia" w:ascii="宋体" w:hAnsi="宋体" w:cs="宋体"/>
                <w:color w:val="auto"/>
                <w:sz w:val="21"/>
                <w:szCs w:val="21"/>
                <w:highlight w:val="none"/>
                <w:lang w:val="en-US" w:eastAsia="zh-CN"/>
              </w:rPr>
              <w:t>丙</w:t>
            </w:r>
            <w:r>
              <w:rPr>
                <w:rFonts w:hint="eastAsia" w:ascii="宋体" w:hAnsi="宋体" w:eastAsia="宋体" w:cs="宋体"/>
                <w:color w:val="auto"/>
                <w:sz w:val="21"/>
                <w:szCs w:val="21"/>
                <w:highlight w:val="none"/>
                <w:lang w:val="en-US" w:eastAsia="zh-CN"/>
              </w:rPr>
              <w:t>级（含丙级）以上资质或工程设计建筑工程专业丙级（含丙级）以上资质。</w:t>
            </w:r>
          </w:p>
          <w:p w14:paraId="0BBE3585">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（2）施工资质：</w:t>
            </w:r>
            <w:r>
              <w:rPr>
                <w:rFonts w:hint="eastAsia" w:ascii="宋体" w:hAnsi="宋体" w:eastAsia="宋体" w:cs="宋体"/>
                <w:color w:val="auto"/>
                <w:sz w:val="21"/>
                <w:szCs w:val="21"/>
                <w:highlight w:val="none"/>
                <w:lang w:val="en-US" w:eastAsia="zh-CN"/>
              </w:rPr>
              <w:t>具备建设行政主管部门颁发的建筑工程施工总承包</w:t>
            </w:r>
            <w:r>
              <w:rPr>
                <w:rFonts w:hint="eastAsia" w:ascii="宋体" w:hAnsi="宋体" w:cs="宋体"/>
                <w:color w:val="auto"/>
                <w:sz w:val="21"/>
                <w:szCs w:val="21"/>
                <w:highlight w:val="none"/>
                <w:lang w:val="en-US" w:eastAsia="zh-CN"/>
              </w:rPr>
              <w:t>叁</w:t>
            </w:r>
            <w:r>
              <w:rPr>
                <w:rFonts w:hint="eastAsia" w:ascii="宋体" w:hAnsi="宋体" w:eastAsia="宋体" w:cs="宋体"/>
                <w:color w:val="auto"/>
                <w:sz w:val="21"/>
                <w:szCs w:val="21"/>
                <w:highlight w:val="none"/>
                <w:lang w:val="en-US" w:eastAsia="zh-CN"/>
              </w:rPr>
              <w:t>级（含叁级）以上资质</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lang w:val="en-US" w:eastAsia="zh-CN"/>
              </w:rPr>
              <w:t>市政公用工程施工总承包叁级（含叁级）及以上资质，具备有效的安全生产许可证。</w:t>
            </w:r>
          </w:p>
          <w:p w14:paraId="3B30144F">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拟投入项目管理人员要求：</w:t>
            </w:r>
          </w:p>
          <w:p w14:paraId="28FF3813">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（1）设计负责人：</w:t>
            </w:r>
            <w:r>
              <w:rPr>
                <w:rFonts w:hint="eastAsia" w:ascii="宋体" w:hAnsi="宋体" w:eastAsia="宋体" w:cs="宋体"/>
                <w:color w:val="auto"/>
                <w:sz w:val="21"/>
                <w:szCs w:val="21"/>
                <w:highlight w:val="none"/>
                <w:lang w:eastAsia="zh-CN"/>
              </w:rPr>
              <w:t>须具备</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级</w:t>
            </w:r>
            <w:r>
              <w:rPr>
                <w:rFonts w:hint="eastAsia" w:ascii="宋体" w:hAnsi="宋体" w:cs="宋体"/>
                <w:color w:val="auto"/>
                <w:sz w:val="21"/>
                <w:szCs w:val="21"/>
                <w:highlight w:val="none"/>
                <w:lang w:val="en-US" w:eastAsia="zh-CN"/>
              </w:rPr>
              <w:t>以上（含二级）</w:t>
            </w:r>
            <w:r>
              <w:rPr>
                <w:rFonts w:hint="eastAsia" w:ascii="宋体" w:hAnsi="宋体" w:eastAsia="宋体" w:cs="宋体"/>
                <w:color w:val="auto"/>
                <w:sz w:val="21"/>
                <w:szCs w:val="21"/>
                <w:highlight w:val="none"/>
                <w:lang w:val="en-US" w:eastAsia="zh-CN"/>
              </w:rPr>
              <w:t>注册建筑师或</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级</w:t>
            </w:r>
            <w:r>
              <w:rPr>
                <w:rFonts w:hint="eastAsia" w:ascii="宋体" w:hAnsi="宋体" w:cs="宋体"/>
                <w:color w:val="auto"/>
                <w:sz w:val="21"/>
                <w:szCs w:val="21"/>
                <w:highlight w:val="none"/>
                <w:lang w:val="en-US" w:eastAsia="zh-CN"/>
              </w:rPr>
              <w:t>以上（含二级）</w:t>
            </w:r>
            <w:r>
              <w:rPr>
                <w:rFonts w:hint="eastAsia" w:ascii="宋体" w:hAnsi="宋体" w:eastAsia="宋体" w:cs="宋体"/>
                <w:color w:val="auto"/>
                <w:sz w:val="21"/>
                <w:szCs w:val="21"/>
                <w:highlight w:val="none"/>
                <w:lang w:val="en-US" w:eastAsia="zh-CN"/>
              </w:rPr>
              <w:t>注册结构师资格证书</w:t>
            </w:r>
            <w:r>
              <w:rPr>
                <w:rFonts w:hint="eastAsia" w:ascii="宋体" w:hAnsi="宋体" w:eastAsia="宋体" w:cs="宋体"/>
                <w:color w:val="auto"/>
                <w:sz w:val="21"/>
                <w:szCs w:val="21"/>
                <w:highlight w:val="none"/>
                <w:lang w:val="en-US" w:eastAsia="zh-CN"/>
              </w:rPr>
              <w:t>，提供关系在本单位的社保证明</w:t>
            </w:r>
            <w:r>
              <w:rPr>
                <w:rFonts w:hint="eastAsia" w:ascii="宋体" w:hAnsi="宋体" w:eastAsia="宋体" w:cs="宋体"/>
                <w:color w:val="auto"/>
                <w:sz w:val="21"/>
                <w:szCs w:val="21"/>
                <w:highlight w:val="none"/>
                <w:lang w:val="en-US" w:eastAsia="zh-CN"/>
              </w:rPr>
              <w:t>或劳动合同或其他合法证明</w:t>
            </w:r>
            <w:r>
              <w:rPr>
                <w:rFonts w:hint="eastAsia" w:ascii="宋体" w:hAnsi="宋体" w:eastAsia="宋体" w:cs="宋体"/>
                <w:color w:val="auto"/>
                <w:sz w:val="21"/>
                <w:szCs w:val="21"/>
                <w:highlight w:val="none"/>
                <w:lang w:val="en-US" w:eastAsia="zh-CN"/>
              </w:rPr>
              <w:t>，且须承诺在今后实施过程中除经招标人允许外不作任何更换，投标人自行承诺。</w:t>
            </w:r>
          </w:p>
          <w:p w14:paraId="7B559865">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（2）项目经理：须具有</w:t>
            </w:r>
            <w:r>
              <w:rPr>
                <w:rFonts w:hint="eastAsia" w:ascii="宋体" w:hAnsi="宋体" w:eastAsia="宋体" w:cs="宋体"/>
                <w:color w:val="auto"/>
                <w:sz w:val="21"/>
                <w:szCs w:val="21"/>
                <w:highlight w:val="none"/>
                <w:lang w:val="en-US" w:eastAsia="zh-CN"/>
              </w:rPr>
              <w:t>建筑工程或市政公用工程专业贰</w:t>
            </w:r>
            <w:r>
              <w:rPr>
                <w:rFonts w:hint="eastAsia" w:ascii="宋体" w:hAnsi="宋体" w:eastAsia="宋体" w:cs="宋体"/>
                <w:color w:val="auto"/>
                <w:sz w:val="21"/>
                <w:szCs w:val="21"/>
                <w:highlight w:val="none"/>
                <w:lang w:val="en-US" w:eastAsia="zh-CN"/>
              </w:rPr>
              <w:t>级（含贰级）以上注册建造师资格，并具备有效的安全生产考核合格证书，且未担任其他在建工程的项目经理（附承诺书），提供关系在本单位的社保证明</w:t>
            </w:r>
            <w:r>
              <w:rPr>
                <w:rFonts w:hint="eastAsia" w:ascii="宋体" w:hAnsi="宋体" w:eastAsia="宋体" w:cs="宋体"/>
                <w:color w:val="auto"/>
                <w:sz w:val="21"/>
                <w:szCs w:val="21"/>
                <w:highlight w:val="none"/>
                <w:lang w:val="en-US" w:eastAsia="zh-CN"/>
              </w:rPr>
              <w:t>或劳动合同或其他合法证明</w:t>
            </w:r>
            <w:r>
              <w:rPr>
                <w:rFonts w:hint="eastAsia" w:ascii="宋体" w:hAnsi="宋体" w:eastAsia="宋体" w:cs="宋体"/>
                <w:color w:val="auto"/>
                <w:sz w:val="21"/>
                <w:szCs w:val="21"/>
                <w:highlight w:val="none"/>
                <w:lang w:val="en-US" w:eastAsia="zh-CN"/>
              </w:rPr>
              <w:t>。</w:t>
            </w:r>
          </w:p>
          <w:p w14:paraId="0962B7FD">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说明：</w:t>
            </w:r>
            <w:r>
              <w:rPr>
                <w:rFonts w:hint="eastAsia" w:ascii="宋体" w:hAnsi="宋体" w:eastAsia="宋体" w:cs="宋体"/>
                <w:b/>
                <w:bCs/>
                <w:color w:val="auto"/>
                <w:sz w:val="21"/>
                <w:szCs w:val="21"/>
                <w:highlight w:val="none"/>
                <w:lang w:val="en-US" w:eastAsia="zh-CN"/>
              </w:rPr>
              <w:t>①拟派往本项目的设计负责人及项目经理不能为同一人；②</w:t>
            </w:r>
            <w:r>
              <w:rPr>
                <w:rFonts w:hint="eastAsia" w:ascii="宋体" w:hAnsi="宋体" w:eastAsia="宋体" w:cs="宋体"/>
                <w:b/>
                <w:bCs/>
                <w:color w:val="auto"/>
                <w:sz w:val="21"/>
                <w:szCs w:val="21"/>
                <w:highlight w:val="none"/>
                <w:lang w:val="en-US" w:eastAsia="zh-CN"/>
              </w:rPr>
              <w:t>拟派往本项目的项目负责人可以和施工项目经理为同一人，在投标文件中明确</w:t>
            </w:r>
            <w:r>
              <w:rPr>
                <w:rFonts w:hint="eastAsia" w:ascii="宋体" w:hAnsi="宋体" w:cs="宋体"/>
                <w:b/>
                <w:bCs/>
                <w:color w:val="auto"/>
                <w:sz w:val="21"/>
                <w:szCs w:val="21"/>
                <w:highlight w:val="none"/>
                <w:lang w:val="en-US" w:eastAsia="zh-CN"/>
              </w:rPr>
              <w:t>。</w:t>
            </w:r>
          </w:p>
          <w:p w14:paraId="03692E0E">
            <w:pPr>
              <w:keepNext w:val="0"/>
              <w:keepLines w:val="0"/>
              <w:pageBreakBefore w:val="0"/>
              <w:widowControl w:val="0"/>
              <w:numPr>
                <w:ilvl w:val="0"/>
                <w:numId w:val="0"/>
              </w:numPr>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施工技术负责人：须具备</w:t>
            </w:r>
            <w:r>
              <w:rPr>
                <w:rFonts w:hint="eastAsia" w:ascii="宋体" w:hAnsi="宋体" w:eastAsia="宋体" w:cs="宋体"/>
                <w:color w:val="auto"/>
                <w:sz w:val="21"/>
                <w:szCs w:val="21"/>
                <w:highlight w:val="none"/>
                <w:lang w:val="en-US" w:eastAsia="zh-CN"/>
              </w:rPr>
              <w:t>建筑工程或市政公用</w:t>
            </w:r>
            <w:r>
              <w:rPr>
                <w:rFonts w:hint="eastAsia" w:ascii="宋体" w:hAnsi="宋体" w:eastAsia="宋体" w:cs="宋体"/>
                <w:color w:val="auto"/>
                <w:sz w:val="21"/>
                <w:szCs w:val="21"/>
                <w:highlight w:val="none"/>
                <w:lang w:eastAsia="zh-CN"/>
              </w:rPr>
              <w:t>工程中级工程师（含</w:t>
            </w:r>
            <w:r>
              <w:rPr>
                <w:rFonts w:hint="eastAsia" w:ascii="宋体" w:hAnsi="宋体" w:eastAsia="宋体" w:cs="宋体"/>
                <w:color w:val="auto"/>
                <w:sz w:val="21"/>
                <w:szCs w:val="21"/>
                <w:highlight w:val="none"/>
                <w:lang w:val="en-US" w:eastAsia="zh-CN"/>
              </w:rPr>
              <w:t>中级</w:t>
            </w:r>
            <w:r>
              <w:rPr>
                <w:rFonts w:hint="eastAsia" w:ascii="宋体" w:hAnsi="宋体" w:eastAsia="宋体" w:cs="宋体"/>
                <w:color w:val="auto"/>
                <w:sz w:val="21"/>
                <w:szCs w:val="21"/>
                <w:highlight w:val="none"/>
                <w:lang w:eastAsia="zh-CN"/>
              </w:rPr>
              <w:t>）及以上职称，提供关系在本单位的社保证明</w:t>
            </w:r>
            <w:r>
              <w:rPr>
                <w:rFonts w:hint="eastAsia" w:ascii="宋体" w:hAnsi="宋体" w:eastAsia="宋体" w:cs="宋体"/>
                <w:color w:val="auto"/>
                <w:sz w:val="21"/>
                <w:szCs w:val="21"/>
                <w:highlight w:val="none"/>
                <w:lang w:eastAsia="zh-CN"/>
              </w:rPr>
              <w:t>或劳动合同或其他合法证明</w:t>
            </w:r>
            <w:r>
              <w:rPr>
                <w:rFonts w:hint="eastAsia" w:ascii="宋体" w:hAnsi="宋体" w:eastAsia="宋体" w:cs="宋体"/>
                <w:color w:val="auto"/>
                <w:sz w:val="21"/>
                <w:szCs w:val="21"/>
                <w:highlight w:val="none"/>
                <w:lang w:eastAsia="zh-CN"/>
              </w:rPr>
              <w:t>。</w:t>
            </w:r>
          </w:p>
          <w:p w14:paraId="684B6910">
            <w:pPr>
              <w:keepNext w:val="0"/>
              <w:keepLines w:val="0"/>
              <w:pageBreakBefore w:val="0"/>
              <w:widowControl w:val="0"/>
              <w:numPr>
                <w:ilvl w:val="0"/>
                <w:numId w:val="0"/>
              </w:numPr>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专职安全员：须具备安全生产考核合格证证书C证，提供关系在本单位的社保证明</w:t>
            </w:r>
            <w:r>
              <w:rPr>
                <w:rFonts w:hint="eastAsia" w:ascii="宋体" w:hAnsi="宋体" w:eastAsia="宋体" w:cs="宋体"/>
                <w:color w:val="auto"/>
                <w:sz w:val="21"/>
                <w:szCs w:val="21"/>
                <w:highlight w:val="none"/>
                <w:lang w:eastAsia="zh-CN"/>
              </w:rPr>
              <w:t>或劳动合同或其他合法证明</w:t>
            </w:r>
            <w:r>
              <w:rPr>
                <w:rFonts w:hint="eastAsia" w:ascii="宋体" w:hAnsi="宋体" w:eastAsia="宋体" w:cs="宋体"/>
                <w:color w:val="auto"/>
                <w:sz w:val="21"/>
                <w:szCs w:val="21"/>
                <w:highlight w:val="none"/>
                <w:lang w:eastAsia="zh-CN"/>
              </w:rPr>
              <w:t>。</w:t>
            </w:r>
          </w:p>
          <w:p w14:paraId="77920DEE">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其他人员：</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满足项目实施要求，由投标人根据项目实际情况以及自身实力进行拟派</w:t>
            </w:r>
            <w:r>
              <w:rPr>
                <w:rFonts w:hint="eastAsia" w:ascii="宋体" w:hAnsi="宋体" w:eastAsia="宋体" w:cs="宋体"/>
                <w:color w:val="auto"/>
                <w:sz w:val="21"/>
                <w:szCs w:val="21"/>
                <w:highlight w:val="none"/>
                <w:lang w:eastAsia="zh-CN"/>
              </w:rPr>
              <w:t>。</w:t>
            </w:r>
          </w:p>
          <w:p w14:paraId="62CFF528">
            <w:pPr>
              <w:snapToGrid w:val="0"/>
              <w:spacing w:line="360" w:lineRule="auto"/>
              <w:rPr>
                <w:rFonts w:ascii="宋体" w:hAnsi="宋体" w:cs="宋体"/>
                <w:color w:val="auto"/>
                <w:highlight w:val="none"/>
                <w:lang w:val="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财务要求：</w:t>
            </w:r>
            <w:r>
              <w:rPr>
                <w:rFonts w:hint="eastAsia" w:ascii="宋体" w:hAnsi="宋体" w:cs="宋体"/>
                <w:color w:val="auto"/>
                <w:sz w:val="21"/>
                <w:szCs w:val="21"/>
                <w:highlight w:val="none"/>
                <w:lang w:val="en-US" w:eastAsia="zh-CN"/>
              </w:rPr>
              <w:t>投标人近年</w:t>
            </w:r>
            <w:r>
              <w:rPr>
                <w:rFonts w:hint="eastAsia" w:ascii="宋体" w:hAnsi="宋体" w:eastAsia="宋体" w:cs="宋体"/>
                <w:color w:val="auto"/>
                <w:sz w:val="21"/>
                <w:szCs w:val="21"/>
                <w:highlight w:val="none"/>
              </w:rPr>
              <w:t>财务状况良好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未处于财产被接管、冻结和破产状态</w:t>
            </w:r>
            <w:r>
              <w:rPr>
                <w:rFonts w:hint="eastAsia" w:ascii="宋体" w:hAnsi="宋体" w:cs="宋体"/>
                <w:color w:val="auto"/>
                <w:sz w:val="21"/>
                <w:szCs w:val="21"/>
                <w:highlight w:val="none"/>
                <w:lang w:val="en-US" w:eastAsia="zh-CN"/>
              </w:rPr>
              <w:t>，</w:t>
            </w:r>
            <w:r>
              <w:rPr>
                <w:rFonts w:hint="eastAsia" w:ascii="宋体" w:hAnsi="宋体" w:cs="宋体"/>
                <w:color w:val="auto"/>
                <w:highlight w:val="none"/>
                <w:lang w:val="zh-CN"/>
              </w:rPr>
              <w:t>须提供</w:t>
            </w:r>
            <w:r>
              <w:rPr>
                <w:rFonts w:hint="eastAsia" w:ascii="宋体" w:hAnsi="宋体" w:cs="宋体"/>
                <w:color w:val="auto"/>
                <w:highlight w:val="none"/>
                <w:lang w:eastAsia="zh-CN"/>
              </w:rPr>
              <w:t>2024年度或2025年度</w:t>
            </w:r>
            <w:r>
              <w:rPr>
                <w:rFonts w:hint="eastAsia" w:ascii="宋体" w:hAnsi="宋体" w:cs="宋体"/>
                <w:color w:val="auto"/>
                <w:highlight w:val="none"/>
                <w:lang w:val="en-US" w:eastAsia="zh-CN"/>
              </w:rPr>
              <w:t>财务报表</w:t>
            </w:r>
            <w:r>
              <w:rPr>
                <w:rFonts w:hint="eastAsia" w:ascii="宋体" w:hAnsi="宋体" w:cs="宋体"/>
                <w:color w:val="auto"/>
                <w:highlight w:val="none"/>
                <w:lang w:val="zh-CN"/>
              </w:rPr>
              <w:t>（包括资产负债表、利润表、现金流量表）；若成立时间不足一年或基本银行账户</w:t>
            </w:r>
            <w:r>
              <w:rPr>
                <w:rFonts w:hint="eastAsia" w:ascii="宋体" w:hAnsi="宋体" w:cs="宋体"/>
                <w:color w:val="auto"/>
                <w:highlight w:val="none"/>
              </w:rPr>
              <w:t>开户时间不足一年或</w:t>
            </w:r>
            <w:r>
              <w:rPr>
                <w:rFonts w:hint="eastAsia" w:ascii="宋体" w:hAnsi="宋体" w:cs="宋体"/>
                <w:color w:val="auto"/>
                <w:highlight w:val="none"/>
                <w:lang w:val="zh-CN"/>
              </w:rPr>
              <w:t>本项目公告发布之日前一年期间内首次取得资质证书（时间以安全许可证发证日期为准）的，可提供目前现已有的财务报表或基本开户银行出具的资信证明。若为联合体投标的，联合体投标的各成员均须提供。</w:t>
            </w:r>
          </w:p>
          <w:p w14:paraId="05B2D33C">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信誉要求：</w:t>
            </w:r>
          </w:p>
          <w:p w14:paraId="0ED5B077">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5.1</w:t>
            </w:r>
            <w:r>
              <w:rPr>
                <w:rFonts w:hint="eastAsia" w:ascii="宋体" w:hAnsi="宋体" w:eastAsia="宋体" w:cs="宋体"/>
                <w:color w:val="auto"/>
                <w:sz w:val="21"/>
                <w:szCs w:val="21"/>
                <w:highlight w:val="none"/>
              </w:rPr>
              <w:t>投标人应具备良好信誉，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近</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年</w:t>
            </w:r>
            <w:r>
              <w:rPr>
                <w:rFonts w:hint="eastAsia" w:ascii="宋体" w:hAnsi="宋体" w:eastAsia="宋体" w:cs="宋体"/>
                <w:color w:val="auto"/>
                <w:sz w:val="21"/>
                <w:szCs w:val="21"/>
                <w:highlight w:val="none"/>
              </w:rPr>
              <w:t>至今未曾骗取中标、串通投标和发生严重违约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没有被建设行政主管部门列入黑名单的情况。（2）企业、法定代表人、</w:t>
            </w:r>
            <w:r>
              <w:rPr>
                <w:rFonts w:hint="eastAsia" w:ascii="宋体" w:hAnsi="宋体" w:eastAsia="宋体" w:cs="宋体"/>
                <w:color w:val="auto"/>
                <w:sz w:val="21"/>
                <w:szCs w:val="21"/>
                <w:highlight w:val="none"/>
                <w:lang w:val="en-US" w:eastAsia="zh-CN"/>
              </w:rPr>
              <w:t>设计负责人、项目经理</w:t>
            </w:r>
            <w:r>
              <w:rPr>
                <w:rFonts w:hint="eastAsia" w:ascii="宋体" w:hAnsi="宋体" w:eastAsia="宋体" w:cs="宋体"/>
                <w:color w:val="auto"/>
                <w:sz w:val="21"/>
                <w:szCs w:val="21"/>
                <w:highlight w:val="none"/>
              </w:rPr>
              <w:t>未被列入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信用中国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网站（www.creditchina.gov.cn）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重大税收违法</w:t>
            </w:r>
            <w:r>
              <w:rPr>
                <w:rFonts w:hint="eastAsia" w:ascii="宋体" w:hAnsi="宋体" w:eastAsia="宋体" w:cs="宋体"/>
                <w:color w:val="auto"/>
                <w:sz w:val="21"/>
                <w:szCs w:val="21"/>
                <w:highlight w:val="none"/>
                <w:lang w:val="en-US" w:eastAsia="zh-CN"/>
              </w:rPr>
              <w:t>失信主体”，</w:t>
            </w:r>
            <w:r>
              <w:rPr>
                <w:rFonts w:hint="eastAsia" w:ascii="宋体" w:hAnsi="宋体" w:eastAsia="宋体" w:cs="宋体"/>
                <w:color w:val="auto"/>
                <w:sz w:val="21"/>
                <w:szCs w:val="21"/>
                <w:highlight w:val="none"/>
              </w:rPr>
              <w:t>中国执行信息公开网（www.zxgk.court.gov.cn/shixin/）的“失信被执行人”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提供“信用中国”网站（www.creditchina.gov.cn）《信用信息报告》</w:t>
            </w:r>
            <w:r>
              <w:rPr>
                <w:rFonts w:hint="eastAsia" w:ascii="宋体" w:hAnsi="宋体" w:eastAsia="宋体" w:cs="宋体"/>
                <w:color w:val="auto"/>
                <w:sz w:val="21"/>
                <w:szCs w:val="21"/>
                <w:highlight w:val="none"/>
                <w:lang w:val="en-US" w:eastAsia="zh-CN"/>
              </w:rPr>
              <w:t>并附相关承诺书</w:t>
            </w:r>
            <w:r>
              <w:rPr>
                <w:rFonts w:hint="eastAsia" w:ascii="宋体" w:hAnsi="宋体" w:eastAsia="宋体" w:cs="宋体"/>
                <w:color w:val="auto"/>
                <w:sz w:val="21"/>
                <w:szCs w:val="21"/>
                <w:highlight w:val="none"/>
              </w:rPr>
              <w:t>。</w:t>
            </w:r>
            <w:r>
              <w:rPr>
                <w:rFonts w:hint="eastAsia" w:ascii="宋体" w:hAnsi="宋体" w:cs="宋体"/>
                <w:color w:val="auto"/>
                <w:highlight w:val="none"/>
                <w:lang w:val="zh-CN"/>
              </w:rPr>
              <w:t>若为联合体投标的，联合体投标的各成员均须作出承诺，并对其真实性负责</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en-US" w:eastAsia="zh-CN"/>
              </w:rPr>
              <w:t>上</w:t>
            </w:r>
            <w:r>
              <w:rPr>
                <w:rFonts w:hint="eastAsia" w:ascii="宋体" w:hAnsi="宋体" w:eastAsia="宋体" w:cs="宋体"/>
                <w:color w:val="auto"/>
                <w:sz w:val="21"/>
                <w:szCs w:val="21"/>
                <w:highlight w:val="none"/>
              </w:rPr>
              <w:t>相关查询以招标人、招标代理机构在相关网站查询结果为准，并交由评标委员会评定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3268FA6">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sz w:val="21"/>
                <w:szCs w:val="21"/>
                <w:highlight w:val="none"/>
              </w:rPr>
            </w:pPr>
            <w:r>
              <w:rPr>
                <w:rFonts w:hint="eastAsia" w:ascii="宋体" w:hAnsi="宋体" w:cs="宋体"/>
                <w:color w:val="auto"/>
                <w:highlight w:val="none"/>
                <w:lang w:val="en-US" w:eastAsia="zh-CN"/>
              </w:rPr>
              <w:t>5.2</w:t>
            </w:r>
            <w:r>
              <w:rPr>
                <w:rFonts w:hint="eastAsia" w:ascii="宋体" w:hAnsi="宋体" w:cs="宋体"/>
                <w:color w:val="auto"/>
                <w:highlight w:val="none"/>
                <w:lang w:val="zh-CN"/>
              </w:rPr>
              <w:t>投标人近3年未出现拖欠农民工工资情况，并严格按人社部门的相关要求支付农民工工资（提供承诺书）。</w:t>
            </w:r>
            <w:r>
              <w:rPr>
                <w:rFonts w:hint="eastAsia" w:ascii="宋体" w:hAnsi="宋体" w:cs="宋体"/>
                <w:color w:val="auto"/>
                <w:highlight w:val="none"/>
                <w:lang w:val="zh-CN"/>
              </w:rPr>
              <w:t>若为联合体投标的，联合体</w:t>
            </w:r>
            <w:r>
              <w:rPr>
                <w:rFonts w:hint="eastAsia" w:ascii="宋体" w:hAnsi="宋体" w:cs="宋体"/>
                <w:color w:val="auto"/>
                <w:highlight w:val="none"/>
                <w:lang w:val="en-US" w:eastAsia="zh-CN"/>
              </w:rPr>
              <w:t>牵头方</w:t>
            </w:r>
            <w:r>
              <w:rPr>
                <w:rFonts w:hint="eastAsia" w:ascii="宋体" w:hAnsi="宋体" w:cs="宋体"/>
                <w:color w:val="auto"/>
                <w:highlight w:val="none"/>
                <w:lang w:val="zh-CN"/>
              </w:rPr>
              <w:t>提供。</w:t>
            </w:r>
          </w:p>
          <w:p w14:paraId="6EB67C26">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cs="宋体"/>
                <w:color w:val="auto"/>
                <w:highlight w:val="none"/>
                <w:lang w:val="zh-CN"/>
              </w:rPr>
            </w:pPr>
            <w:r>
              <w:rPr>
                <w:rFonts w:hint="eastAsia" w:ascii="宋体" w:hAnsi="宋体" w:cs="宋体"/>
                <w:color w:val="auto"/>
                <w:highlight w:val="none"/>
                <w:lang w:val="en-US" w:eastAsia="zh-CN"/>
              </w:rPr>
              <w:t>5.3</w:t>
            </w:r>
            <w:r>
              <w:rPr>
                <w:rFonts w:hint="eastAsia" w:ascii="宋体" w:hAnsi="宋体" w:cs="宋体"/>
                <w:color w:val="auto"/>
                <w:highlight w:val="none"/>
                <w:lang w:val="zh-CN"/>
              </w:rPr>
              <w:t>诉讼及仲裁：投标人如实说明近</w:t>
            </w:r>
            <w:r>
              <w:rPr>
                <w:rFonts w:hint="eastAsia" w:ascii="宋体" w:hAnsi="宋体" w:cs="宋体"/>
                <w:color w:val="auto"/>
                <w:highlight w:val="none"/>
                <w:lang w:val="en-US" w:eastAsia="zh-CN"/>
              </w:rPr>
              <w:t>3</w:t>
            </w:r>
            <w:r>
              <w:rPr>
                <w:rFonts w:hint="eastAsia" w:ascii="宋体" w:hAnsi="宋体" w:cs="宋体"/>
                <w:color w:val="auto"/>
                <w:highlight w:val="none"/>
                <w:lang w:val="zh-CN"/>
              </w:rPr>
              <w:t>年发生的诉讼及仲裁相关情况，并说明当前有无因投标申请人违约或不恰当履约引起的合同终止、纠纷、争议、仲裁和诉讼，并承诺涉及诉讼事件不影响申请人在本招标项目的履约能力。</w:t>
            </w:r>
            <w:r>
              <w:rPr>
                <w:rFonts w:hint="eastAsia" w:ascii="宋体" w:hAnsi="宋体" w:cs="宋体"/>
                <w:color w:val="auto"/>
                <w:highlight w:val="none"/>
                <w:lang w:val="zh-CN"/>
              </w:rPr>
              <w:t>若为联合体投标的，联合体投标的各成员均须提供。</w:t>
            </w:r>
          </w:p>
          <w:p w14:paraId="3702B13C">
            <w:pPr>
              <w:keepNext w:val="0"/>
              <w:keepLines w:val="0"/>
              <w:pageBreakBefore w:val="0"/>
              <w:widowControl w:val="0"/>
              <w:kinsoku/>
              <w:wordWrap w:val="0"/>
              <w:overflowPunct/>
              <w:topLinePunct w:val="0"/>
              <w:autoSpaceDE/>
              <w:autoSpaceDN/>
              <w:bidi w:val="0"/>
              <w:adjustRightInd/>
              <w:snapToGrid w:val="0"/>
              <w:spacing w:line="360" w:lineRule="auto"/>
              <w:ind w:right="-57" w:rightChars="-27"/>
              <w:jc w:val="both"/>
              <w:textAlignment w:val="auto"/>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其他要求：单位负责人为同一人或者存在控股、管理关系的不同单位，不得参加同一标段投标或者未划分标段的同一招标项目投标。</w:t>
            </w:r>
          </w:p>
        </w:tc>
      </w:tr>
      <w:tr w14:paraId="3FCCAC26">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72C402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208" w:type="dxa"/>
            <w:tcBorders>
              <w:top w:val="single" w:color="auto" w:sz="4" w:space="0"/>
              <w:left w:val="single" w:color="auto" w:sz="4" w:space="0"/>
              <w:bottom w:val="single" w:color="auto" w:sz="4" w:space="0"/>
              <w:right w:val="single" w:color="auto" w:sz="4" w:space="0"/>
            </w:tcBorders>
            <w:vAlign w:val="center"/>
          </w:tcPr>
          <w:p w14:paraId="3BBE7837">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6476" w:type="dxa"/>
            <w:tcBorders>
              <w:top w:val="single" w:color="auto" w:sz="4" w:space="0"/>
              <w:left w:val="single" w:color="auto" w:sz="4" w:space="0"/>
              <w:bottom w:val="single" w:color="auto" w:sz="4" w:space="0"/>
              <w:right w:val="single" w:color="auto" w:sz="4" w:space="0"/>
            </w:tcBorders>
            <w:vAlign w:val="center"/>
          </w:tcPr>
          <w:p w14:paraId="35FA59B8">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宋体" w:hAnsi="宋体" w:eastAsia="宋体" w:cs="宋体"/>
                <w:color w:val="auto"/>
                <w:kern w:val="0"/>
                <w:sz w:val="21"/>
                <w:szCs w:val="21"/>
                <w:highlight w:val="none"/>
                <w:u w:val="none"/>
                <w:lang w:val="zh-CN"/>
              </w:rPr>
            </w:pPr>
            <w:r>
              <w:rPr>
                <w:rFonts w:hint="eastAsia" w:ascii="宋体" w:hAnsi="宋体" w:eastAsia="宋体" w:cs="宋体"/>
                <w:color w:val="auto"/>
                <w:highlight w:val="none"/>
                <w:lang w:val="en-US" w:eastAsia="zh-CN"/>
              </w:rPr>
              <w:t>□不</w:t>
            </w:r>
            <w:r>
              <w:rPr>
                <w:rFonts w:hint="eastAsia" w:ascii="宋体" w:hAnsi="宋体" w:eastAsia="宋体" w:cs="宋体"/>
                <w:color w:val="auto"/>
                <w:kern w:val="0"/>
                <w:sz w:val="21"/>
                <w:szCs w:val="21"/>
                <w:highlight w:val="none"/>
                <w:u w:val="none"/>
                <w:lang w:val="zh-CN"/>
              </w:rPr>
              <w:t>接受</w:t>
            </w:r>
          </w:p>
          <w:p w14:paraId="7570434F">
            <w:pPr>
              <w:pStyle w:val="81"/>
              <w:shd w:val="clear" w:color="auto" w:fill="FFFFFF"/>
              <w:spacing w:before="0" w:beforeAutospacing="0" w:after="0" w:afterAutospacing="0" w:line="348" w:lineRule="auto"/>
              <w:rPr>
                <w:rFonts w:hint="eastAsia" w:ascii="宋体" w:hAnsi="宋体" w:eastAsia="宋体" w:cs="宋体"/>
                <w:color w:val="auto"/>
                <w:kern w:val="0"/>
                <w:sz w:val="21"/>
                <w:szCs w:val="21"/>
                <w:highlight w:val="none"/>
                <w:u w:val="none"/>
                <w:lang w:val="zh-CN"/>
              </w:rPr>
            </w:pPr>
            <w:r>
              <w:rPr>
                <w:rFonts w:hint="eastAsia" w:ascii="宋体" w:hAnsi="宋体" w:eastAsia="宋体" w:cs="宋体"/>
                <w:color w:val="auto"/>
                <w:kern w:val="0"/>
                <w:sz w:val="21"/>
                <w:szCs w:val="21"/>
                <w:highlight w:val="none"/>
                <w:u w:val="none"/>
                <w:lang w:val="zh-CN"/>
              </w:rPr>
              <w:t>■接受，应满足下列要求：</w:t>
            </w:r>
          </w:p>
          <w:p w14:paraId="18A0E222">
            <w:pPr>
              <w:snapToGrid w:val="0"/>
              <w:spacing w:line="360" w:lineRule="auto"/>
              <w:ind w:firstLine="424" w:firstLineChars="202"/>
              <w:rPr>
                <w:rFonts w:ascii="宋体" w:hAnsi="宋体" w:cs="宋体"/>
                <w:color w:val="auto"/>
                <w:highlight w:val="none"/>
              </w:rPr>
            </w:pPr>
            <w:r>
              <w:rPr>
                <w:rFonts w:hint="eastAsia" w:ascii="宋体" w:hAnsi="宋体" w:cs="宋体"/>
                <w:color w:val="auto"/>
                <w:highlight w:val="none"/>
              </w:rPr>
              <w:t>本次招标接受联合体投标（联合体的家数不得超过</w:t>
            </w:r>
            <w:r>
              <w:rPr>
                <w:rFonts w:hint="eastAsia" w:ascii="宋体" w:hAnsi="宋体" w:cs="宋体"/>
                <w:color w:val="auto"/>
                <w:highlight w:val="none"/>
                <w:lang w:val="en-US" w:eastAsia="zh-CN"/>
              </w:rPr>
              <w:t>3</w:t>
            </w:r>
            <w:r>
              <w:rPr>
                <w:rFonts w:hint="eastAsia" w:ascii="宋体" w:hAnsi="宋体" w:cs="宋体"/>
                <w:color w:val="auto"/>
                <w:highlight w:val="none"/>
              </w:rPr>
              <w:t>家，</w:t>
            </w:r>
            <w:r>
              <w:rPr>
                <w:rFonts w:hint="eastAsia" w:ascii="宋体" w:hAnsi="宋体" w:cs="宋体"/>
                <w:color w:val="auto"/>
                <w:highlight w:val="none"/>
                <w:lang w:val="zh-CN"/>
              </w:rPr>
              <w:t>牵头人必须是</w:t>
            </w:r>
            <w:r>
              <w:rPr>
                <w:rFonts w:hint="eastAsia" w:ascii="宋体" w:hAnsi="宋体" w:cs="宋体"/>
                <w:b/>
                <w:bCs/>
                <w:color w:val="auto"/>
                <w:highlight w:val="none"/>
                <w:lang w:val="en-US" w:eastAsia="zh-CN"/>
              </w:rPr>
              <w:t>施工企业</w:t>
            </w:r>
            <w:r>
              <w:rPr>
                <w:rFonts w:hint="eastAsia" w:ascii="宋体" w:hAnsi="宋体" w:cs="宋体"/>
                <w:color w:val="auto"/>
                <w:highlight w:val="none"/>
                <w:lang w:val="zh-CN"/>
              </w:rPr>
              <w:t>，且具有独立法人资格和独立承担民事责任能力的企业，</w:t>
            </w:r>
            <w:r>
              <w:rPr>
                <w:rFonts w:hint="eastAsia" w:ascii="宋体" w:hAnsi="宋体" w:cs="宋体"/>
                <w:color w:val="auto"/>
                <w:highlight w:val="none"/>
              </w:rPr>
              <w:t>具有履行合同所必需的设备</w:t>
            </w:r>
            <w:r>
              <w:rPr>
                <w:rFonts w:hint="eastAsia" w:ascii="宋体" w:hAnsi="宋体" w:cs="宋体"/>
                <w:color w:val="auto"/>
                <w:highlight w:val="none"/>
                <w:lang w:eastAsia="zh-CN"/>
              </w:rPr>
              <w:t>、资金</w:t>
            </w:r>
            <w:r>
              <w:rPr>
                <w:rFonts w:hint="eastAsia" w:ascii="宋体" w:hAnsi="宋体" w:cs="宋体"/>
                <w:color w:val="auto"/>
                <w:highlight w:val="none"/>
              </w:rPr>
              <w:t>和专业技术能力</w:t>
            </w:r>
            <w:r>
              <w:rPr>
                <w:rFonts w:hint="eastAsia" w:ascii="宋体" w:hAnsi="宋体" w:cs="宋体"/>
                <w:color w:val="auto"/>
                <w:highlight w:val="none"/>
                <w:lang w:eastAsia="zh-CN"/>
              </w:rPr>
              <w:t>）</w:t>
            </w:r>
            <w:r>
              <w:rPr>
                <w:rFonts w:hint="eastAsia" w:ascii="宋体" w:hAnsi="宋体" w:cs="宋体"/>
                <w:color w:val="auto"/>
                <w:highlight w:val="none"/>
              </w:rPr>
              <w:t>，并满足以下要求：</w:t>
            </w:r>
          </w:p>
          <w:p w14:paraId="0178053D">
            <w:pPr>
              <w:snapToGrid w:val="0"/>
              <w:spacing w:line="360" w:lineRule="auto"/>
              <w:rPr>
                <w:rFonts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联合体各方应签订联合体协议书，明确约定各方拟承担的工作和责任，并将联合体协议书随投标文件一并提交招标人。</w:t>
            </w:r>
          </w:p>
          <w:p w14:paraId="670CFF0B">
            <w:pPr>
              <w:snapToGrid w:val="0"/>
              <w:spacing w:line="360" w:lineRule="auto"/>
              <w:rPr>
                <w:rFonts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投标人的投标文件及中标后签署的合同协议书对联合体各方均具有法律约束力。</w:t>
            </w:r>
          </w:p>
          <w:p w14:paraId="7F9815CD">
            <w:pPr>
              <w:snapToGrid w:val="0"/>
              <w:spacing w:line="360" w:lineRule="auto"/>
              <w:rPr>
                <w:rFonts w:ascii="宋体" w:hAnsi="宋体" w:cs="宋体"/>
                <w:color w:val="auto"/>
                <w:highlight w:val="none"/>
              </w:rPr>
            </w:pPr>
            <w:r>
              <w:rPr>
                <w:rFonts w:hint="eastAsia" w:ascii="宋体" w:hAnsi="宋体" w:cs="宋体"/>
                <w:color w:val="auto"/>
                <w:highlight w:val="none"/>
              </w:rPr>
              <w:t>3.联合体中标后，联合体按招标文件要求与招标人签订合同，联合体各方为履行合同向招标人承担连带责任。</w:t>
            </w:r>
          </w:p>
          <w:p w14:paraId="11DDF14B">
            <w:pPr>
              <w:snapToGrid w:val="0"/>
              <w:spacing w:line="360" w:lineRule="auto"/>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由同一专业的单位组成的联合体，按照资质等级较低的单位确定资质等级。</w:t>
            </w:r>
          </w:p>
          <w:p w14:paraId="4B4B4F03">
            <w:pPr>
              <w:snapToGrid w:val="0"/>
              <w:spacing w:line="360" w:lineRule="auto"/>
              <w:rPr>
                <w:rFonts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val="en-US" w:eastAsia="zh-CN"/>
              </w:rPr>
              <w:t>.</w:t>
            </w:r>
            <w:r>
              <w:rPr>
                <w:rFonts w:hint="eastAsia" w:ascii="宋体" w:hAnsi="宋体" w:cs="宋体"/>
                <w:color w:val="auto"/>
                <w:highlight w:val="none"/>
              </w:rPr>
              <w:t>联合体投标的，应当以联合体各方或者联合体中牵头人的名义提交投标保证金。以联合体中牵头人名义提交的投标保证金，对联合体各成员具有约束力。</w:t>
            </w:r>
          </w:p>
          <w:p w14:paraId="49E067DF">
            <w:pPr>
              <w:snapToGrid w:val="0"/>
              <w:spacing w:line="360" w:lineRule="auto"/>
              <w:rPr>
                <w:rFonts w:ascii="宋体" w:hAnsi="宋体" w:cs="宋体"/>
                <w:color w:val="auto"/>
                <w:highlight w:val="none"/>
              </w:rPr>
            </w:pPr>
            <w:r>
              <w:rPr>
                <w:rFonts w:hint="eastAsia" w:ascii="宋体" w:hAnsi="宋体" w:cs="宋体"/>
                <w:color w:val="auto"/>
                <w:highlight w:val="none"/>
              </w:rPr>
              <w:t>6</w:t>
            </w:r>
            <w:r>
              <w:rPr>
                <w:rFonts w:hint="eastAsia" w:ascii="宋体" w:hAnsi="宋体" w:cs="宋体"/>
                <w:color w:val="auto"/>
                <w:highlight w:val="none"/>
                <w:lang w:val="en-US" w:eastAsia="zh-CN"/>
              </w:rPr>
              <w:t>.</w:t>
            </w:r>
            <w:r>
              <w:rPr>
                <w:rFonts w:hint="eastAsia" w:ascii="宋体" w:hAnsi="宋体" w:cs="宋体"/>
                <w:color w:val="auto"/>
                <w:highlight w:val="none"/>
              </w:rPr>
              <w:t>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10AA457F">
            <w:pPr>
              <w:snapToGrid w:val="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7.联合体资质应符合法律法规的规定，并按照联合体协议约定的</w:t>
            </w:r>
            <w:r>
              <w:rPr>
                <w:rFonts w:hint="eastAsia" w:ascii="宋体" w:hAnsi="宋体" w:cs="宋体"/>
                <w:color w:val="auto"/>
                <w:highlight w:val="none"/>
                <w:lang w:val="en-US" w:eastAsia="zh-CN"/>
              </w:rPr>
              <w:t>事项</w:t>
            </w:r>
            <w:r>
              <w:rPr>
                <w:rFonts w:hint="eastAsia" w:ascii="宋体" w:hAnsi="宋体" w:cs="宋体"/>
                <w:color w:val="auto"/>
                <w:highlight w:val="none"/>
              </w:rPr>
              <w:t>进行认定。</w:t>
            </w:r>
          </w:p>
        </w:tc>
      </w:tr>
      <w:tr w14:paraId="31EA4DCF">
        <w:tblPrEx>
          <w:tblCellMar>
            <w:top w:w="0" w:type="dxa"/>
            <w:left w:w="108" w:type="dxa"/>
            <w:bottom w:w="0" w:type="dxa"/>
            <w:right w:w="108" w:type="dxa"/>
          </w:tblCellMar>
        </w:tblPrEx>
        <w:trPr>
          <w:trHeight w:val="90"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64B6039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2208" w:type="dxa"/>
            <w:tcBorders>
              <w:top w:val="single" w:color="auto" w:sz="4" w:space="0"/>
              <w:left w:val="single" w:color="auto" w:sz="4" w:space="0"/>
              <w:bottom w:val="single" w:color="auto" w:sz="4" w:space="0"/>
              <w:right w:val="single" w:color="auto" w:sz="4" w:space="0"/>
            </w:tcBorders>
            <w:vAlign w:val="center"/>
          </w:tcPr>
          <w:p w14:paraId="30D35B4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费用承担和设计成果补偿</w:t>
            </w:r>
          </w:p>
        </w:tc>
        <w:tc>
          <w:tcPr>
            <w:tcW w:w="6476" w:type="dxa"/>
            <w:tcBorders>
              <w:top w:val="single" w:color="auto" w:sz="4" w:space="0"/>
              <w:left w:val="single" w:color="auto" w:sz="4" w:space="0"/>
              <w:bottom w:val="single" w:color="auto" w:sz="4" w:space="0"/>
              <w:right w:val="single" w:color="auto" w:sz="4" w:space="0"/>
            </w:tcBorders>
            <w:vAlign w:val="center"/>
          </w:tcPr>
          <w:p w14:paraId="4D755743">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■不补偿</w:t>
            </w:r>
          </w:p>
          <w:p w14:paraId="73AF3BC7">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□补偿，补偿标准：</w:t>
            </w:r>
          </w:p>
        </w:tc>
      </w:tr>
      <w:tr w14:paraId="6898DB1F">
        <w:tblPrEx>
          <w:tblCellMar>
            <w:top w:w="0" w:type="dxa"/>
            <w:left w:w="108" w:type="dxa"/>
            <w:bottom w:w="0" w:type="dxa"/>
            <w:right w:w="108" w:type="dxa"/>
          </w:tblCellMar>
        </w:tblPrEx>
        <w:trPr>
          <w:trHeight w:val="90"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12320BE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208" w:type="dxa"/>
            <w:tcBorders>
              <w:top w:val="single" w:color="auto" w:sz="4" w:space="0"/>
              <w:left w:val="single" w:color="auto" w:sz="4" w:space="0"/>
              <w:bottom w:val="single" w:color="auto" w:sz="4" w:space="0"/>
              <w:right w:val="single" w:color="auto" w:sz="4" w:space="0"/>
            </w:tcBorders>
            <w:vAlign w:val="center"/>
          </w:tcPr>
          <w:p w14:paraId="0968346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6476" w:type="dxa"/>
            <w:tcBorders>
              <w:top w:val="single" w:color="auto" w:sz="4" w:space="0"/>
              <w:left w:val="single" w:color="auto" w:sz="4" w:space="0"/>
              <w:bottom w:val="single" w:color="auto" w:sz="4" w:space="0"/>
              <w:right w:val="single" w:color="auto" w:sz="4" w:space="0"/>
            </w:tcBorders>
            <w:vAlign w:val="center"/>
          </w:tcPr>
          <w:p w14:paraId="7A5EAC1E">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□组织</w:t>
            </w:r>
          </w:p>
          <w:p w14:paraId="59C4A359">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■不统一组织。</w:t>
            </w:r>
          </w:p>
          <w:p w14:paraId="1EA67805">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投标人应自行踏勘；</w:t>
            </w:r>
          </w:p>
          <w:p w14:paraId="0439E487">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投标人踏勘现场发生的费用自理；</w:t>
            </w:r>
          </w:p>
          <w:p w14:paraId="5029AB8D">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3.投标人自行负责在踏勘现场中所发生的人员伤亡和财产损失。</w:t>
            </w:r>
          </w:p>
        </w:tc>
      </w:tr>
      <w:tr w14:paraId="10797ECE">
        <w:tblPrEx>
          <w:tblCellMar>
            <w:top w:w="0" w:type="dxa"/>
            <w:left w:w="108" w:type="dxa"/>
            <w:bottom w:w="0" w:type="dxa"/>
            <w:right w:w="108" w:type="dxa"/>
          </w:tblCellMar>
        </w:tblPrEx>
        <w:trPr>
          <w:trHeight w:val="341"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0100648C">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208" w:type="dxa"/>
            <w:tcBorders>
              <w:top w:val="single" w:color="auto" w:sz="4" w:space="0"/>
              <w:left w:val="single" w:color="auto" w:sz="4" w:space="0"/>
              <w:bottom w:val="single" w:color="auto" w:sz="4" w:space="0"/>
              <w:right w:val="single" w:color="auto" w:sz="4" w:space="0"/>
            </w:tcBorders>
            <w:vAlign w:val="center"/>
          </w:tcPr>
          <w:p w14:paraId="0EA99188">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6476" w:type="dxa"/>
            <w:tcBorders>
              <w:top w:val="single" w:color="auto" w:sz="4" w:space="0"/>
              <w:left w:val="single" w:color="auto" w:sz="4" w:space="0"/>
              <w:bottom w:val="single" w:color="auto" w:sz="4" w:space="0"/>
              <w:right w:val="single" w:color="auto" w:sz="4" w:space="0"/>
            </w:tcBorders>
            <w:vAlign w:val="center"/>
          </w:tcPr>
          <w:p w14:paraId="27770AC4">
            <w:pPr>
              <w:topLinePunc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279BD18D">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召开，召开时间：</w:t>
            </w:r>
          </w:p>
          <w:p w14:paraId="3920C5A0">
            <w:pPr>
              <w:spacing w:line="44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召开地点：</w:t>
            </w:r>
          </w:p>
        </w:tc>
      </w:tr>
      <w:tr w14:paraId="71D7EB91">
        <w:tblPrEx>
          <w:tblCellMar>
            <w:top w:w="0" w:type="dxa"/>
            <w:left w:w="108" w:type="dxa"/>
            <w:bottom w:w="0" w:type="dxa"/>
            <w:right w:w="108" w:type="dxa"/>
          </w:tblCellMar>
        </w:tblPrEx>
        <w:trPr>
          <w:trHeight w:val="361"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10A8DE7D">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208" w:type="dxa"/>
            <w:tcBorders>
              <w:top w:val="single" w:color="auto" w:sz="4" w:space="0"/>
              <w:left w:val="single" w:color="auto" w:sz="4" w:space="0"/>
              <w:bottom w:val="single" w:color="auto" w:sz="4" w:space="0"/>
              <w:right w:val="single" w:color="auto" w:sz="4" w:space="0"/>
            </w:tcBorders>
            <w:vAlign w:val="center"/>
          </w:tcPr>
          <w:p w14:paraId="1AEB857F">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w:t>
            </w:r>
          </w:p>
        </w:tc>
        <w:tc>
          <w:tcPr>
            <w:tcW w:w="6476" w:type="dxa"/>
            <w:tcBorders>
              <w:top w:val="single" w:color="auto" w:sz="4" w:space="0"/>
              <w:left w:val="single" w:color="auto" w:sz="4" w:space="0"/>
              <w:bottom w:val="single" w:color="auto" w:sz="4" w:space="0"/>
              <w:right w:val="single" w:color="auto" w:sz="4" w:space="0"/>
            </w:tcBorders>
            <w:vAlign w:val="center"/>
          </w:tcPr>
          <w:p w14:paraId="312C3FA8">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投标截止时间10日以前，所有获取了招标文件的潜在投标人凭企业数字证书（CA）登录云南省公共资源交易信息网</w:t>
            </w:r>
            <w:r>
              <w:rPr>
                <w:color w:val="auto"/>
                <w:highlight w:val="none"/>
              </w:rPr>
              <w:fldChar w:fldCharType="begin"/>
            </w:r>
            <w:r>
              <w:rPr>
                <w:color w:val="auto"/>
                <w:highlight w:val="none"/>
              </w:rPr>
              <w:instrText xml:space="preserve"> HYPERLINK "http://116.55.195.54:8001/#/homePage）选择" </w:instrText>
            </w:r>
            <w:r>
              <w:rPr>
                <w:color w:val="auto"/>
                <w:highlight w:val="none"/>
              </w:rPr>
              <w:fldChar w:fldCharType="separate"/>
            </w:r>
            <w:r>
              <w:rPr>
                <w:rFonts w:hint="eastAsia" w:ascii="宋体" w:hAnsi="宋体" w:eastAsia="宋体" w:cs="宋体"/>
                <w:color w:val="auto"/>
                <w:highlight w:val="none"/>
                <w:lang w:val="en-US" w:eastAsia="zh-CN"/>
              </w:rPr>
              <w:t>选择“</w:t>
            </w:r>
            <w:r>
              <w:rPr>
                <w:rFonts w:hint="eastAsia" w:ascii="宋体" w:hAnsi="宋体" w:cs="宋体"/>
                <w:color w:val="auto"/>
                <w:highlight w:val="none"/>
                <w:lang w:val="en-US" w:eastAsia="zh-CN"/>
              </w:rPr>
              <w:t>保山市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，通过网络在线方式向招标人或招标代理进行不署名提问。</w:t>
            </w:r>
          </w:p>
        </w:tc>
      </w:tr>
      <w:tr w14:paraId="47002587">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4FC8F2F8">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208" w:type="dxa"/>
            <w:tcBorders>
              <w:top w:val="single" w:color="auto" w:sz="4" w:space="0"/>
              <w:left w:val="single" w:color="auto" w:sz="4" w:space="0"/>
              <w:bottom w:val="single" w:color="auto" w:sz="4" w:space="0"/>
              <w:right w:val="single" w:color="auto" w:sz="4" w:space="0"/>
            </w:tcBorders>
            <w:vAlign w:val="center"/>
          </w:tcPr>
          <w:p w14:paraId="55EE0E31">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招标人澄清的时间</w:t>
            </w:r>
          </w:p>
        </w:tc>
        <w:tc>
          <w:tcPr>
            <w:tcW w:w="6476" w:type="dxa"/>
            <w:tcBorders>
              <w:top w:val="single" w:color="auto" w:sz="4" w:space="0"/>
              <w:left w:val="single" w:color="auto" w:sz="4" w:space="0"/>
              <w:bottom w:val="single" w:color="auto" w:sz="4" w:space="0"/>
              <w:right w:val="single" w:color="auto" w:sz="4" w:space="0"/>
            </w:tcBorders>
            <w:vAlign w:val="center"/>
          </w:tcPr>
          <w:p w14:paraId="59CC7782">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投标截止时间至少15日前，由招标人以补遗书方式按程序报有关主管部门备案后，提交公共资源交易中心统一通过网络向潜在投标人发布，所有获取了招标文件的潜在投标人登录云南省公共资源交易信息网</w:t>
            </w:r>
            <w:r>
              <w:rPr>
                <w:color w:val="auto"/>
                <w:highlight w:val="none"/>
              </w:rPr>
              <w:fldChar w:fldCharType="begin"/>
            </w:r>
            <w:r>
              <w:rPr>
                <w:color w:val="auto"/>
                <w:highlight w:val="none"/>
              </w:rPr>
              <w:instrText xml:space="preserve"> HYPERLINK "http://116.55.195.54:8001/#/homePage）选择" </w:instrText>
            </w:r>
            <w:r>
              <w:rPr>
                <w:color w:val="auto"/>
                <w:highlight w:val="none"/>
              </w:rPr>
              <w:fldChar w:fldCharType="separate"/>
            </w:r>
            <w:r>
              <w:rPr>
                <w:rFonts w:hint="eastAsia" w:ascii="宋体" w:hAnsi="宋体" w:eastAsia="宋体" w:cs="宋体"/>
                <w:color w:val="auto"/>
                <w:highlight w:val="none"/>
                <w:lang w:val="en-US" w:eastAsia="zh-CN"/>
              </w:rPr>
              <w:t>选择“</w:t>
            </w:r>
            <w:r>
              <w:rPr>
                <w:rFonts w:hint="eastAsia" w:ascii="宋体" w:hAnsi="宋体" w:cs="宋体"/>
                <w:color w:val="auto"/>
                <w:highlight w:val="none"/>
                <w:lang w:val="en-US" w:eastAsia="zh-CN"/>
              </w:rPr>
              <w:t>保山市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凭企业身份认证数字证书（CA）查看澄清内容。</w:t>
            </w:r>
          </w:p>
        </w:tc>
      </w:tr>
      <w:tr w14:paraId="7FE8C983">
        <w:tblPrEx>
          <w:tblCellMar>
            <w:top w:w="0" w:type="dxa"/>
            <w:left w:w="108" w:type="dxa"/>
            <w:bottom w:w="0" w:type="dxa"/>
            <w:right w:w="108" w:type="dxa"/>
          </w:tblCellMar>
        </w:tblPrEx>
        <w:trPr>
          <w:trHeight w:val="401"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7521DB1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1.11.1</w:t>
            </w:r>
          </w:p>
        </w:tc>
        <w:tc>
          <w:tcPr>
            <w:tcW w:w="2208" w:type="dxa"/>
            <w:tcBorders>
              <w:top w:val="single" w:color="auto" w:sz="4" w:space="0"/>
              <w:left w:val="single" w:color="auto" w:sz="4" w:space="0"/>
              <w:bottom w:val="single" w:color="auto" w:sz="4" w:space="0"/>
              <w:right w:val="single" w:color="auto" w:sz="4" w:space="0"/>
            </w:tcBorders>
            <w:vAlign w:val="center"/>
          </w:tcPr>
          <w:p w14:paraId="53D92FA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招标人规定由分包人承担的工作</w:t>
            </w:r>
          </w:p>
        </w:tc>
        <w:tc>
          <w:tcPr>
            <w:tcW w:w="6476" w:type="dxa"/>
            <w:tcBorders>
              <w:top w:val="single" w:color="auto" w:sz="4" w:space="0"/>
              <w:left w:val="single" w:color="auto" w:sz="4" w:space="0"/>
              <w:bottom w:val="single" w:color="auto" w:sz="4" w:space="0"/>
              <w:right w:val="single" w:color="auto" w:sz="4" w:space="0"/>
            </w:tcBorders>
            <w:vAlign w:val="center"/>
          </w:tcPr>
          <w:p w14:paraId="2413816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5F304E43">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1BC84E52">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1.11.2</w:t>
            </w:r>
          </w:p>
        </w:tc>
        <w:tc>
          <w:tcPr>
            <w:tcW w:w="2208" w:type="dxa"/>
            <w:tcBorders>
              <w:top w:val="single" w:color="auto" w:sz="4" w:space="0"/>
              <w:left w:val="single" w:color="auto" w:sz="4" w:space="0"/>
              <w:bottom w:val="single" w:color="auto" w:sz="4" w:space="0"/>
              <w:right w:val="single" w:color="auto" w:sz="4" w:space="0"/>
            </w:tcBorders>
            <w:vAlign w:val="center"/>
          </w:tcPr>
          <w:p w14:paraId="5307D6F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6476" w:type="dxa"/>
            <w:tcBorders>
              <w:top w:val="single" w:color="auto" w:sz="4" w:space="0"/>
              <w:left w:val="single" w:color="auto" w:sz="4" w:space="0"/>
              <w:bottom w:val="single" w:color="auto" w:sz="4" w:space="0"/>
              <w:right w:val="single" w:color="auto" w:sz="4" w:space="0"/>
            </w:tcBorders>
            <w:vAlign w:val="center"/>
          </w:tcPr>
          <w:p w14:paraId="6CA7B7C2">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□不允许</w:t>
            </w:r>
          </w:p>
          <w:p w14:paraId="23761B40">
            <w:pPr>
              <w:spacing w:line="360" w:lineRule="auto"/>
              <w:rPr>
                <w:rFonts w:hint="eastAsia" w:ascii="宋体" w:hAnsi="宋体" w:eastAsia="宋体" w:cs="宋体"/>
                <w:color w:val="auto"/>
                <w:highlight w:val="none"/>
                <w:lang w:val="en-US" w:eastAsia="zh-CN"/>
              </w:rPr>
            </w:pPr>
            <w:r>
              <w:rPr>
                <w:rFonts w:hint="default" w:ascii="Arial" w:hAnsi="Arial" w:eastAsia="宋体" w:cs="Arial"/>
                <w:color w:val="auto"/>
                <w:highlight w:val="none"/>
                <w:lang w:val="en-US" w:eastAsia="zh-CN"/>
              </w:rPr>
              <w:sym w:font="Wingdings" w:char="00FE"/>
            </w:r>
            <w:r>
              <w:rPr>
                <w:rFonts w:hint="eastAsia" w:ascii="宋体" w:hAnsi="宋体" w:eastAsia="宋体" w:cs="宋体"/>
                <w:color w:val="auto"/>
                <w:highlight w:val="none"/>
                <w:lang w:val="en-US" w:eastAsia="zh-CN"/>
              </w:rPr>
              <w:t>允许</w:t>
            </w:r>
          </w:p>
          <w:p w14:paraId="36E8B29F">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rPr>
              <w:t>除项目主体以外，允许合法专业分包</w:t>
            </w:r>
            <w:r>
              <w:rPr>
                <w:rFonts w:hint="eastAsia" w:ascii="宋体" w:hAnsi="宋体" w:eastAsia="宋体" w:cs="宋体"/>
                <w:color w:val="auto"/>
                <w:highlight w:val="none"/>
                <w:lang w:val="en-US" w:eastAsia="zh-CN"/>
              </w:rPr>
              <w:t>。</w:t>
            </w:r>
          </w:p>
          <w:p w14:paraId="09E4D849">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rPr>
              <w:t>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tc>
      </w:tr>
      <w:tr w14:paraId="3F8B7BDA">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53732AA7">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208" w:type="dxa"/>
            <w:tcBorders>
              <w:top w:val="single" w:color="auto" w:sz="4" w:space="0"/>
              <w:left w:val="single" w:color="auto" w:sz="4" w:space="0"/>
              <w:bottom w:val="single" w:color="auto" w:sz="4" w:space="0"/>
              <w:right w:val="single" w:color="auto" w:sz="4" w:space="0"/>
            </w:tcBorders>
            <w:vAlign w:val="center"/>
          </w:tcPr>
          <w:p w14:paraId="58D4A241">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6476" w:type="dxa"/>
            <w:tcBorders>
              <w:top w:val="single" w:color="auto" w:sz="4" w:space="0"/>
              <w:left w:val="single" w:color="auto" w:sz="4" w:space="0"/>
              <w:bottom w:val="single" w:color="auto" w:sz="4" w:space="0"/>
              <w:right w:val="single" w:color="auto" w:sz="4" w:space="0"/>
            </w:tcBorders>
            <w:vAlign w:val="center"/>
          </w:tcPr>
          <w:p w14:paraId="463DABB1">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□不允许</w:t>
            </w:r>
          </w:p>
          <w:p w14:paraId="72838370">
            <w:pPr>
              <w:spacing w:line="360" w:lineRule="auto"/>
              <w:rPr>
                <w:rFonts w:hint="eastAsia" w:ascii="宋体" w:hAnsi="宋体" w:eastAsia="宋体" w:cs="宋体"/>
                <w:color w:val="auto"/>
                <w:highlight w:val="none"/>
                <w:lang w:val="en-US" w:eastAsia="zh-CN"/>
              </w:rPr>
            </w:pPr>
            <w:r>
              <w:rPr>
                <w:rFonts w:hint="default" w:ascii="Arial" w:hAnsi="Arial" w:eastAsia="宋体" w:cs="Arial"/>
                <w:color w:val="auto"/>
                <w:highlight w:val="none"/>
                <w:lang w:val="en-US" w:eastAsia="zh-CN"/>
              </w:rPr>
              <w:sym w:font="Wingdings" w:char="00FE"/>
            </w:r>
            <w:r>
              <w:rPr>
                <w:rFonts w:hint="eastAsia" w:ascii="宋体" w:hAnsi="宋体" w:eastAsia="宋体" w:cs="宋体"/>
                <w:color w:val="auto"/>
                <w:highlight w:val="none"/>
                <w:lang w:val="en-US" w:eastAsia="zh-CN"/>
              </w:rPr>
              <w:t>投标人可在招标文件要求的条件上作出正偏离的承诺（如工期提前、质量标准提高、处罚额度增大等）。</w:t>
            </w:r>
          </w:p>
        </w:tc>
      </w:tr>
      <w:tr w14:paraId="4573BE17">
        <w:tblPrEx>
          <w:tblCellMar>
            <w:top w:w="0" w:type="dxa"/>
            <w:left w:w="108" w:type="dxa"/>
            <w:bottom w:w="0" w:type="dxa"/>
            <w:right w:w="108" w:type="dxa"/>
          </w:tblCellMar>
        </w:tblPrEx>
        <w:trPr>
          <w:trHeight w:val="424"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1308EB32">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208" w:type="dxa"/>
            <w:tcBorders>
              <w:top w:val="single" w:color="auto" w:sz="4" w:space="0"/>
              <w:left w:val="single" w:color="auto" w:sz="4" w:space="0"/>
              <w:bottom w:val="single" w:color="auto" w:sz="4" w:space="0"/>
              <w:right w:val="single" w:color="auto" w:sz="4" w:space="0"/>
            </w:tcBorders>
            <w:vAlign w:val="center"/>
          </w:tcPr>
          <w:p w14:paraId="69BB7078">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构成招标文件的其他资料</w:t>
            </w:r>
          </w:p>
        </w:tc>
        <w:tc>
          <w:tcPr>
            <w:tcW w:w="6476" w:type="dxa"/>
            <w:tcBorders>
              <w:top w:val="single" w:color="auto" w:sz="4" w:space="0"/>
              <w:left w:val="single" w:color="auto" w:sz="4" w:space="0"/>
              <w:bottom w:val="single" w:color="auto" w:sz="4" w:space="0"/>
              <w:right w:val="single" w:color="auto" w:sz="4" w:space="0"/>
            </w:tcBorders>
            <w:vAlign w:val="center"/>
          </w:tcPr>
          <w:p w14:paraId="36DDA01F">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招标文件答疑、补遗、修改（如有）等</w:t>
            </w:r>
          </w:p>
        </w:tc>
      </w:tr>
      <w:tr w14:paraId="67FA6EB7">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2520ADC9">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208" w:type="dxa"/>
            <w:tcBorders>
              <w:top w:val="single" w:color="auto" w:sz="4" w:space="0"/>
              <w:left w:val="single" w:color="auto" w:sz="4" w:space="0"/>
              <w:bottom w:val="single" w:color="auto" w:sz="4" w:space="0"/>
              <w:right w:val="single" w:color="auto" w:sz="4" w:space="0"/>
            </w:tcBorders>
            <w:vAlign w:val="center"/>
          </w:tcPr>
          <w:p w14:paraId="2FFE7B14">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6476" w:type="dxa"/>
            <w:tcBorders>
              <w:top w:val="single" w:color="auto" w:sz="4" w:space="0"/>
              <w:left w:val="single" w:color="auto" w:sz="4" w:space="0"/>
              <w:bottom w:val="single" w:color="auto" w:sz="4" w:space="0"/>
              <w:right w:val="single" w:color="auto" w:sz="4" w:space="0"/>
            </w:tcBorders>
            <w:vAlign w:val="center"/>
          </w:tcPr>
          <w:p w14:paraId="4B151332">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同1.10.2的时间要求</w:t>
            </w:r>
          </w:p>
          <w:p w14:paraId="6CC62607">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投标人应仔细阅读和检查招标文件的全部内容。如发现缺页或附件不全，应及时向招标人提出，以便补齐。如有疑问，应在投标人须知前附表规定的时间前以在线不署名提交方式登录云南省公共资源交易信息网</w:t>
            </w:r>
            <w:r>
              <w:rPr>
                <w:color w:val="auto"/>
                <w:highlight w:val="none"/>
              </w:rPr>
              <w:fldChar w:fldCharType="begin"/>
            </w:r>
            <w:r>
              <w:rPr>
                <w:color w:val="auto"/>
                <w:highlight w:val="none"/>
              </w:rPr>
              <w:instrText xml:space="preserve"> HYPERLINK "http://116.55.195.54:8001/#/homePage）选择" </w:instrText>
            </w:r>
            <w:r>
              <w:rPr>
                <w:color w:val="auto"/>
                <w:highlight w:val="none"/>
              </w:rPr>
              <w:fldChar w:fldCharType="separate"/>
            </w:r>
            <w:r>
              <w:rPr>
                <w:rFonts w:hint="eastAsia" w:ascii="宋体" w:hAnsi="宋体" w:eastAsia="宋体" w:cs="宋体"/>
                <w:color w:val="auto"/>
                <w:highlight w:val="none"/>
                <w:lang w:val="en-US" w:eastAsia="zh-CN"/>
              </w:rPr>
              <w:t>选择“</w:t>
            </w:r>
            <w:r>
              <w:rPr>
                <w:rFonts w:hint="eastAsia" w:ascii="宋体" w:hAnsi="宋体" w:cs="宋体"/>
                <w:color w:val="auto"/>
                <w:highlight w:val="none"/>
                <w:lang w:val="en-US" w:eastAsia="zh-CN"/>
              </w:rPr>
              <w:t>保山市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，要求招标人对招标文件予以澄清。</w:t>
            </w:r>
          </w:p>
        </w:tc>
      </w:tr>
      <w:tr w14:paraId="3732528B">
        <w:tblPrEx>
          <w:tblCellMar>
            <w:top w:w="0" w:type="dxa"/>
            <w:left w:w="108" w:type="dxa"/>
            <w:bottom w:w="0" w:type="dxa"/>
            <w:right w:w="108" w:type="dxa"/>
          </w:tblCellMar>
        </w:tblPrEx>
        <w:trPr>
          <w:trHeight w:val="398" w:hRule="atLeast"/>
        </w:trPr>
        <w:tc>
          <w:tcPr>
            <w:tcW w:w="954" w:type="dxa"/>
            <w:gridSpan w:val="2"/>
            <w:tcBorders>
              <w:top w:val="single" w:color="auto" w:sz="4" w:space="0"/>
              <w:left w:val="single" w:color="auto" w:sz="4" w:space="0"/>
              <w:bottom w:val="single" w:color="auto" w:sz="4" w:space="0"/>
              <w:right w:val="single" w:color="auto" w:sz="4" w:space="0"/>
            </w:tcBorders>
            <w:vAlign w:val="center"/>
          </w:tcPr>
          <w:p w14:paraId="579FBFD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208" w:type="dxa"/>
            <w:tcBorders>
              <w:top w:val="single" w:color="auto" w:sz="4" w:space="0"/>
              <w:left w:val="single" w:color="auto" w:sz="4" w:space="0"/>
              <w:bottom w:val="single" w:color="auto" w:sz="4" w:space="0"/>
              <w:right w:val="single" w:color="auto" w:sz="4" w:space="0"/>
            </w:tcBorders>
            <w:vAlign w:val="center"/>
          </w:tcPr>
          <w:p w14:paraId="12EEF8C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6476" w:type="dxa"/>
            <w:tcBorders>
              <w:top w:val="single" w:color="auto" w:sz="4" w:space="0"/>
              <w:left w:val="single" w:color="auto" w:sz="4" w:space="0"/>
              <w:bottom w:val="single" w:color="auto" w:sz="4" w:space="0"/>
              <w:right w:val="single" w:color="auto" w:sz="4" w:space="0"/>
            </w:tcBorders>
            <w:vAlign w:val="center"/>
          </w:tcPr>
          <w:p w14:paraId="3EE76A8D">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同招标公告投标文件递交截止时间。</w:t>
            </w:r>
          </w:p>
        </w:tc>
      </w:tr>
      <w:tr w14:paraId="089B1E0C">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5F7527E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208" w:type="dxa"/>
            <w:tcBorders>
              <w:top w:val="single" w:color="auto" w:sz="4" w:space="0"/>
              <w:left w:val="single" w:color="auto" w:sz="4" w:space="0"/>
              <w:bottom w:val="single" w:color="auto" w:sz="4" w:space="0"/>
              <w:right w:val="single" w:color="auto" w:sz="4" w:space="0"/>
            </w:tcBorders>
            <w:vAlign w:val="center"/>
          </w:tcPr>
          <w:p w14:paraId="1E82BAB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6476" w:type="dxa"/>
            <w:tcBorders>
              <w:top w:val="single" w:color="auto" w:sz="4" w:space="0"/>
              <w:left w:val="single" w:color="auto" w:sz="4" w:space="0"/>
              <w:bottom w:val="single" w:color="auto" w:sz="4" w:space="0"/>
              <w:right w:val="single" w:color="auto" w:sz="4" w:space="0"/>
            </w:tcBorders>
            <w:vAlign w:val="center"/>
          </w:tcPr>
          <w:p w14:paraId="32E3CFCA">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投标人自行登录云南省公共资源交易信息网</w:t>
            </w:r>
            <w:r>
              <w:rPr>
                <w:color w:val="auto"/>
                <w:highlight w:val="none"/>
              </w:rPr>
              <w:fldChar w:fldCharType="begin"/>
            </w:r>
            <w:r>
              <w:rPr>
                <w:color w:val="auto"/>
                <w:highlight w:val="none"/>
              </w:rPr>
              <w:instrText xml:space="preserve"> HYPERLINK "http://116.55.195.54:8001/#/homePage）选择" </w:instrText>
            </w:r>
            <w:r>
              <w:rPr>
                <w:color w:val="auto"/>
                <w:highlight w:val="none"/>
              </w:rPr>
              <w:fldChar w:fldCharType="separate"/>
            </w:r>
            <w:r>
              <w:rPr>
                <w:rFonts w:hint="eastAsia" w:ascii="宋体" w:hAnsi="宋体" w:eastAsia="宋体" w:cs="宋体"/>
                <w:color w:val="auto"/>
                <w:highlight w:val="none"/>
                <w:lang w:val="en-US" w:eastAsia="zh-CN"/>
              </w:rPr>
              <w:t>选择“</w:t>
            </w:r>
            <w:r>
              <w:rPr>
                <w:rFonts w:hint="eastAsia" w:ascii="宋体" w:hAnsi="宋体" w:cs="宋体"/>
                <w:color w:val="auto"/>
                <w:highlight w:val="none"/>
                <w:lang w:val="en-US" w:eastAsia="zh-CN"/>
              </w:rPr>
              <w:t>保山市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获取澄清，无须回复确认已收到该澄清。</w:t>
            </w:r>
          </w:p>
        </w:tc>
      </w:tr>
      <w:tr w14:paraId="46DE24E9">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0ED18E2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2.3.2</w:t>
            </w:r>
          </w:p>
        </w:tc>
        <w:tc>
          <w:tcPr>
            <w:tcW w:w="2208" w:type="dxa"/>
            <w:tcBorders>
              <w:top w:val="single" w:color="auto" w:sz="4" w:space="0"/>
              <w:left w:val="single" w:color="auto" w:sz="4" w:space="0"/>
              <w:bottom w:val="single" w:color="auto" w:sz="4" w:space="0"/>
              <w:right w:val="single" w:color="auto" w:sz="4" w:space="0"/>
            </w:tcBorders>
            <w:vAlign w:val="center"/>
          </w:tcPr>
          <w:p w14:paraId="5B80E60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投标人确认收到招标文件修改的时间</w:t>
            </w:r>
          </w:p>
        </w:tc>
        <w:tc>
          <w:tcPr>
            <w:tcW w:w="6476" w:type="dxa"/>
            <w:tcBorders>
              <w:top w:val="single" w:color="auto" w:sz="4" w:space="0"/>
              <w:left w:val="single" w:color="auto" w:sz="4" w:space="0"/>
              <w:bottom w:val="single" w:color="auto" w:sz="4" w:space="0"/>
              <w:right w:val="single" w:color="auto" w:sz="4" w:space="0"/>
            </w:tcBorders>
            <w:vAlign w:val="center"/>
          </w:tcPr>
          <w:p w14:paraId="2B33E774">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投标人自行登录云南省公共资源交易信息网</w:t>
            </w:r>
            <w:r>
              <w:rPr>
                <w:color w:val="auto"/>
                <w:highlight w:val="none"/>
              </w:rPr>
              <w:fldChar w:fldCharType="begin"/>
            </w:r>
            <w:r>
              <w:rPr>
                <w:color w:val="auto"/>
                <w:highlight w:val="none"/>
              </w:rPr>
              <w:instrText xml:space="preserve"> HYPERLINK "http://116.55.195.54:8001/#/homePage）选择" </w:instrText>
            </w:r>
            <w:r>
              <w:rPr>
                <w:color w:val="auto"/>
                <w:highlight w:val="none"/>
              </w:rPr>
              <w:fldChar w:fldCharType="separate"/>
            </w:r>
            <w:r>
              <w:rPr>
                <w:rFonts w:hint="eastAsia" w:ascii="宋体" w:hAnsi="宋体" w:eastAsia="宋体" w:cs="宋体"/>
                <w:color w:val="auto"/>
                <w:highlight w:val="none"/>
                <w:lang w:val="en-US" w:eastAsia="zh-CN"/>
              </w:rPr>
              <w:t>选择“</w:t>
            </w:r>
            <w:r>
              <w:rPr>
                <w:rFonts w:hint="eastAsia" w:ascii="宋体" w:hAnsi="宋体" w:cs="宋体"/>
                <w:color w:val="auto"/>
                <w:highlight w:val="none"/>
                <w:lang w:val="en-US" w:eastAsia="zh-CN"/>
              </w:rPr>
              <w:t>保山市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收取修改内容，无须回复确认已收到该修改。</w:t>
            </w:r>
          </w:p>
        </w:tc>
      </w:tr>
      <w:tr w14:paraId="30C7C1F6">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2D0F4CA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3.1.1</w:t>
            </w:r>
          </w:p>
        </w:tc>
        <w:tc>
          <w:tcPr>
            <w:tcW w:w="2208" w:type="dxa"/>
            <w:tcBorders>
              <w:top w:val="single" w:color="auto" w:sz="4" w:space="0"/>
              <w:left w:val="single" w:color="auto" w:sz="4" w:space="0"/>
              <w:bottom w:val="single" w:color="auto" w:sz="4" w:space="0"/>
              <w:right w:val="single" w:color="auto" w:sz="4" w:space="0"/>
            </w:tcBorders>
            <w:vAlign w:val="center"/>
          </w:tcPr>
          <w:p w14:paraId="3D0643D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构成投标文件的其他资料</w:t>
            </w:r>
          </w:p>
        </w:tc>
        <w:tc>
          <w:tcPr>
            <w:tcW w:w="6476" w:type="dxa"/>
            <w:tcBorders>
              <w:top w:val="single" w:color="auto" w:sz="4" w:space="0"/>
              <w:left w:val="single" w:color="auto" w:sz="4" w:space="0"/>
              <w:bottom w:val="single" w:color="auto" w:sz="4" w:space="0"/>
              <w:right w:val="single" w:color="auto" w:sz="4" w:space="0"/>
            </w:tcBorders>
            <w:vAlign w:val="center"/>
          </w:tcPr>
          <w:p w14:paraId="0A0D3ADF">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TW" w:eastAsia="zh-CN"/>
              </w:rPr>
              <w:t>在投标文件递交截止时间前提交的补充、修改资料及</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AUTOTEXT  input137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zh-TW" w:eastAsia="zh-CN"/>
              </w:rPr>
              <w:t>承诺书和投标人认为能证明自身实力的材料等</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zh-TW" w:eastAsia="zh-CN"/>
              </w:rPr>
              <w:t>。</w:t>
            </w:r>
          </w:p>
        </w:tc>
      </w:tr>
      <w:tr w14:paraId="3E13BBF5">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2A31453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3.2.1</w:t>
            </w:r>
          </w:p>
        </w:tc>
        <w:tc>
          <w:tcPr>
            <w:tcW w:w="2208" w:type="dxa"/>
            <w:tcBorders>
              <w:top w:val="single" w:color="auto" w:sz="4" w:space="0"/>
              <w:left w:val="single" w:color="auto" w:sz="4" w:space="0"/>
              <w:bottom w:val="single" w:color="auto" w:sz="4" w:space="0"/>
              <w:right w:val="single" w:color="auto" w:sz="4" w:space="0"/>
            </w:tcBorders>
            <w:vAlign w:val="center"/>
          </w:tcPr>
          <w:p w14:paraId="43E1B3B7">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投标报价方式</w:t>
            </w:r>
          </w:p>
        </w:tc>
        <w:tc>
          <w:tcPr>
            <w:tcW w:w="6476" w:type="dxa"/>
            <w:tcBorders>
              <w:top w:val="single" w:color="auto" w:sz="4" w:space="0"/>
              <w:left w:val="single" w:color="auto" w:sz="4" w:space="0"/>
              <w:bottom w:val="single" w:color="auto" w:sz="4" w:space="0"/>
              <w:right w:val="single" w:color="auto" w:sz="4" w:space="0"/>
            </w:tcBorders>
            <w:vAlign w:val="center"/>
          </w:tcPr>
          <w:p w14:paraId="6078FC7F">
            <w:pPr>
              <w:numPr>
                <w:ilvl w:val="0"/>
                <w:numId w:val="0"/>
              </w:num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1.投资</w:t>
            </w:r>
            <w:r>
              <w:rPr>
                <w:rFonts w:hint="eastAsia" w:ascii="宋体" w:hAnsi="宋体" w:eastAsia="宋体" w:cs="宋体"/>
                <w:color w:val="auto"/>
                <w:highlight w:val="none"/>
                <w:lang w:val="en-US" w:eastAsia="zh-CN"/>
              </w:rPr>
              <w:t>收益</w:t>
            </w:r>
            <w:r>
              <w:rPr>
                <w:rFonts w:hint="eastAsia" w:ascii="宋体" w:hAnsi="宋体" w:cs="宋体"/>
                <w:color w:val="auto"/>
                <w:highlight w:val="none"/>
                <w:lang w:val="en-US" w:eastAsia="zh-CN"/>
              </w:rPr>
              <w:t>：投标人根据</w:t>
            </w:r>
            <w:r>
              <w:rPr>
                <w:rFonts w:hint="eastAsia" w:ascii="宋体" w:hAnsi="宋体" w:eastAsia="宋体" w:cs="宋体"/>
                <w:color w:val="auto"/>
                <w:highlight w:val="none"/>
                <w:lang w:val="en-US" w:eastAsia="zh-CN"/>
              </w:rPr>
              <w:t>国家相关规定结合市场</w:t>
            </w:r>
            <w:r>
              <w:rPr>
                <w:rFonts w:hint="eastAsia" w:ascii="宋体" w:hAnsi="宋体" w:cs="宋体"/>
                <w:color w:val="auto"/>
                <w:highlight w:val="none"/>
                <w:lang w:val="en-US" w:eastAsia="zh-CN"/>
              </w:rPr>
              <w:t>行情</w:t>
            </w:r>
            <w:r>
              <w:rPr>
                <w:rFonts w:hint="eastAsia" w:ascii="宋体" w:hAnsi="宋体" w:eastAsia="宋体" w:cs="宋体"/>
                <w:color w:val="auto"/>
                <w:highlight w:val="none"/>
                <w:lang w:val="en-US" w:eastAsia="zh-CN"/>
              </w:rPr>
              <w:t>及投标人自身情况采用费率报价。</w:t>
            </w:r>
          </w:p>
          <w:p w14:paraId="07A06C88">
            <w:pPr>
              <w:numPr>
                <w:ilvl w:val="0"/>
                <w:numId w:val="0"/>
              </w:num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收益金计算方式：按</w:t>
            </w:r>
            <w:r>
              <w:rPr>
                <w:rFonts w:hint="eastAsia" w:ascii="宋体" w:hAnsi="宋体" w:eastAsia="宋体" w:cs="宋体"/>
                <w:color w:val="auto"/>
                <w:highlight w:val="none"/>
                <w:lang w:val="en-US" w:eastAsia="zh-CN"/>
              </w:rPr>
              <w:t>最终</w:t>
            </w:r>
            <w:r>
              <w:rPr>
                <w:rFonts w:hint="eastAsia" w:ascii="宋体" w:hAnsi="宋体" w:cs="宋体"/>
                <w:color w:val="auto"/>
                <w:highlight w:val="none"/>
                <w:lang w:val="en-US" w:eastAsia="zh-CN"/>
              </w:rPr>
              <w:t>投入的资金</w:t>
            </w:r>
            <w:r>
              <w:rPr>
                <w:rFonts w:hint="eastAsia" w:ascii="宋体" w:hAnsi="宋体" w:eastAsia="宋体" w:cs="宋体"/>
                <w:color w:val="auto"/>
                <w:highlight w:val="none"/>
                <w:lang w:val="en-US" w:eastAsia="zh-CN"/>
              </w:rPr>
              <w:t>为计费基数，</w:t>
            </w:r>
            <w:r>
              <w:rPr>
                <w:rFonts w:hint="eastAsia" w:ascii="宋体" w:hAnsi="宋体" w:cs="宋体"/>
                <w:color w:val="auto"/>
                <w:highlight w:val="none"/>
                <w:lang w:val="en-US" w:eastAsia="zh-CN"/>
              </w:rPr>
              <w:t>以</w:t>
            </w:r>
            <w:r>
              <w:rPr>
                <w:rFonts w:hint="eastAsia" w:ascii="宋体" w:hAnsi="宋体" w:eastAsia="宋体" w:cs="宋体"/>
                <w:color w:val="auto"/>
                <w:highlight w:val="none"/>
                <w:lang w:val="en-US" w:eastAsia="zh-CN"/>
              </w:rPr>
              <w:t>投标人</w:t>
            </w:r>
            <w:r>
              <w:rPr>
                <w:rFonts w:hint="eastAsia" w:ascii="宋体" w:hAnsi="宋体" w:cs="宋体"/>
                <w:color w:val="auto"/>
                <w:highlight w:val="none"/>
                <w:lang w:val="en-US" w:eastAsia="zh-CN"/>
              </w:rPr>
              <w:t>所填报</w:t>
            </w:r>
            <w:r>
              <w:rPr>
                <w:rFonts w:hint="eastAsia" w:ascii="宋体" w:hAnsi="宋体" w:eastAsia="宋体" w:cs="宋体"/>
                <w:color w:val="auto"/>
                <w:highlight w:val="none"/>
                <w:lang w:val="en-US" w:eastAsia="zh-CN"/>
              </w:rPr>
              <w:t>的</w:t>
            </w:r>
            <w:r>
              <w:rPr>
                <w:rFonts w:hint="eastAsia" w:ascii="宋体" w:hAnsi="宋体" w:cs="宋体"/>
                <w:color w:val="auto"/>
                <w:highlight w:val="none"/>
                <w:lang w:val="en-US" w:eastAsia="zh-CN"/>
              </w:rPr>
              <w:t>收益</w:t>
            </w:r>
            <w:r>
              <w:rPr>
                <w:rFonts w:hint="eastAsia" w:ascii="宋体" w:hAnsi="宋体" w:eastAsia="宋体" w:cs="宋体"/>
                <w:color w:val="auto"/>
                <w:highlight w:val="none"/>
                <w:lang w:val="en-US" w:eastAsia="zh-CN"/>
              </w:rPr>
              <w:t>率（%）进行</w:t>
            </w:r>
            <w:r>
              <w:rPr>
                <w:rFonts w:hint="eastAsia" w:ascii="宋体" w:hAnsi="宋体" w:cs="宋体"/>
                <w:color w:val="auto"/>
                <w:highlight w:val="none"/>
                <w:lang w:val="en-US" w:eastAsia="zh-CN"/>
              </w:rPr>
              <w:t>计取收益金</w:t>
            </w:r>
            <w:r>
              <w:rPr>
                <w:rFonts w:hint="eastAsia" w:ascii="宋体" w:hAnsi="宋体" w:eastAsia="宋体" w:cs="宋体"/>
                <w:color w:val="auto"/>
                <w:highlight w:val="none"/>
                <w:lang w:val="en-US" w:eastAsia="zh-CN"/>
              </w:rPr>
              <w:t>。结算时以</w:t>
            </w:r>
            <w:r>
              <w:rPr>
                <w:rFonts w:hint="eastAsia" w:ascii="宋体" w:hAnsi="宋体" w:cs="宋体"/>
                <w:color w:val="auto"/>
                <w:highlight w:val="none"/>
                <w:lang w:val="en-US" w:eastAsia="zh-CN"/>
              </w:rPr>
              <w:t>投资金额</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收益</w:t>
            </w:r>
            <w:r>
              <w:rPr>
                <w:rFonts w:hint="eastAsia" w:ascii="宋体" w:hAnsi="宋体" w:eastAsia="宋体" w:cs="宋体"/>
                <w:color w:val="auto"/>
                <w:highlight w:val="none"/>
                <w:lang w:val="en-US" w:eastAsia="zh-CN"/>
              </w:rPr>
              <w:t>率（%）</w:t>
            </w:r>
            <w:r>
              <w:rPr>
                <w:rFonts w:hint="eastAsia" w:ascii="宋体" w:hAnsi="宋体" w:cs="宋体"/>
                <w:color w:val="auto"/>
                <w:highlight w:val="none"/>
                <w:lang w:val="en-US" w:eastAsia="zh-CN"/>
              </w:rPr>
              <w:t>计取收益金</w:t>
            </w:r>
            <w:r>
              <w:rPr>
                <w:rFonts w:hint="eastAsia" w:ascii="宋体" w:hAnsi="宋体" w:eastAsia="宋体" w:cs="宋体"/>
                <w:color w:val="auto"/>
                <w:highlight w:val="none"/>
                <w:lang w:val="en-US" w:eastAsia="zh-CN"/>
              </w:rPr>
              <w:t>。</w:t>
            </w:r>
          </w:p>
          <w:p w14:paraId="78DA9A85">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.设计费参考国家相关规定结合市场及投标人自身情况采用费率报价。</w:t>
            </w:r>
          </w:p>
          <w:p w14:paraId="7CB242F2">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结算方式：以最终审定的建安工程费总价为计费基数，投标人的设计费以费率（%）进行报价。结算时以审定的建安工程费总价×费率（%）作为设计费结算价。</w:t>
            </w:r>
          </w:p>
          <w:p w14:paraId="26070E9E">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建安工程施工费</w:t>
            </w:r>
            <w:r>
              <w:rPr>
                <w:rFonts w:hint="eastAsia" w:ascii="宋体" w:hAnsi="宋体" w:eastAsia="宋体" w:cs="宋体"/>
                <w:color w:val="auto"/>
                <w:highlight w:val="none"/>
                <w:lang w:val="en-US" w:eastAsia="zh-CN"/>
              </w:rPr>
              <w:t>（含设备购置费）投标报价采用下浮率进行报价。</w:t>
            </w:r>
          </w:p>
          <w:p w14:paraId="5D6BD1A9">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注：建安工程费最终结算价按下列原则采用清单计价模式计算建安工程费。</w:t>
            </w:r>
          </w:p>
          <w:p w14:paraId="39222066">
            <w:pPr>
              <w:spacing w:line="360" w:lineRule="auto"/>
              <w:rPr>
                <w:rFonts w:hint="default"/>
                <w:color w:val="auto"/>
                <w:highlight w:val="none"/>
                <w:lang w:val="en-US" w:eastAsia="zh-CN"/>
              </w:rPr>
            </w:pPr>
            <w:r>
              <w:rPr>
                <w:rFonts w:hint="eastAsia" w:ascii="宋体" w:hAnsi="宋体" w:eastAsia="宋体" w:cs="宋体"/>
                <w:color w:val="auto"/>
                <w:highlight w:val="none"/>
                <w:lang w:val="en-US" w:eastAsia="zh-CN"/>
              </w:rPr>
              <w:t>a、结算依据：</w:t>
            </w:r>
            <w:r>
              <w:rPr>
                <w:rFonts w:hint="eastAsia" w:ascii="宋体" w:hAnsi="宋体" w:eastAsia="宋体" w:cs="宋体"/>
                <w:color w:val="auto"/>
                <w:kern w:val="2"/>
                <w:sz w:val="21"/>
                <w:szCs w:val="21"/>
                <w:highlight w:val="none"/>
              </w:rPr>
              <w:t>计价文件按照</w:t>
            </w:r>
            <w:r>
              <w:rPr>
                <w:rFonts w:hint="eastAsia" w:ascii="宋体" w:hAnsi="宋体" w:cs="宋体"/>
                <w:color w:val="auto"/>
                <w:kern w:val="2"/>
                <w:sz w:val="21"/>
                <w:szCs w:val="21"/>
                <w:highlight w:val="none"/>
                <w:lang w:eastAsia="zh-CN"/>
              </w:rPr>
              <w:t>《建设工程工程量清单计价标准》GB/T 50500-2024</w:t>
            </w:r>
            <w:r>
              <w:rPr>
                <w:rFonts w:hint="eastAsia" w:ascii="宋体" w:hAnsi="宋体" w:eastAsia="宋体" w:cs="宋体"/>
                <w:color w:val="auto"/>
                <w:kern w:val="2"/>
                <w:sz w:val="21"/>
                <w:szCs w:val="21"/>
                <w:highlight w:val="none"/>
              </w:rPr>
              <w:t>并执行云南省住房和城乡建设厅关于《云南省建设工程造价计价标准（2020版）》发布实施的通知（云建科〔2021〕15号）及现行的人工费调整相关文件进行计价。</w:t>
            </w:r>
            <w:r>
              <w:rPr>
                <w:rFonts w:hint="eastAsia" w:ascii="宋体" w:hAnsi="宋体" w:eastAsia="宋体" w:cs="宋体"/>
                <w:bCs/>
                <w:color w:val="auto"/>
                <w:kern w:val="2"/>
                <w:sz w:val="21"/>
                <w:szCs w:val="21"/>
                <w:highlight w:val="none"/>
              </w:rPr>
              <w:t>施工材料价格参照开工当月《</w:t>
            </w:r>
            <w:r>
              <w:rPr>
                <w:rFonts w:hint="eastAsia" w:ascii="宋体" w:hAnsi="宋体" w:cs="宋体"/>
                <w:bCs/>
                <w:color w:val="auto"/>
                <w:kern w:val="2"/>
                <w:sz w:val="21"/>
                <w:szCs w:val="21"/>
                <w:highlight w:val="none"/>
                <w:lang w:val="en-US" w:eastAsia="zh-CN"/>
              </w:rPr>
              <w:t>保山市</w:t>
            </w:r>
            <w:r>
              <w:rPr>
                <w:rFonts w:hint="eastAsia" w:ascii="宋体" w:hAnsi="宋体" w:eastAsia="宋体" w:cs="宋体"/>
                <w:bCs/>
                <w:color w:val="auto"/>
                <w:kern w:val="2"/>
                <w:sz w:val="21"/>
                <w:szCs w:val="21"/>
                <w:highlight w:val="none"/>
              </w:rPr>
              <w:t>建设工程材料价格信息》</w:t>
            </w:r>
            <w:r>
              <w:rPr>
                <w:rFonts w:hint="eastAsia" w:ascii="宋体" w:hAnsi="宋体" w:cs="宋体"/>
                <w:bCs/>
                <w:color w:val="auto"/>
                <w:kern w:val="2"/>
                <w:sz w:val="21"/>
                <w:szCs w:val="21"/>
                <w:highlight w:val="none"/>
                <w:lang w:val="en-US" w:eastAsia="zh-CN"/>
              </w:rPr>
              <w:t>龙陵县</w:t>
            </w:r>
            <w:r>
              <w:rPr>
                <w:rFonts w:hint="eastAsia" w:ascii="宋体" w:hAnsi="宋体" w:eastAsia="宋体" w:cs="宋体"/>
                <w:bCs/>
                <w:color w:val="auto"/>
                <w:kern w:val="2"/>
                <w:sz w:val="21"/>
                <w:szCs w:val="21"/>
                <w:highlight w:val="none"/>
              </w:rPr>
              <w:t>基价平均价确定，</w:t>
            </w:r>
            <w:r>
              <w:rPr>
                <w:rFonts w:hint="eastAsia" w:ascii="宋体" w:hAnsi="宋体" w:cs="宋体"/>
                <w:bCs/>
                <w:color w:val="auto"/>
                <w:kern w:val="2"/>
                <w:sz w:val="21"/>
                <w:szCs w:val="21"/>
                <w:highlight w:val="none"/>
                <w:lang w:val="en-US" w:eastAsia="zh-CN"/>
              </w:rPr>
              <w:t>龙陵县</w:t>
            </w:r>
            <w:r>
              <w:rPr>
                <w:rFonts w:hint="eastAsia" w:ascii="宋体" w:hAnsi="宋体" w:eastAsia="宋体" w:cs="宋体"/>
                <w:bCs/>
                <w:color w:val="auto"/>
                <w:kern w:val="2"/>
                <w:sz w:val="21"/>
                <w:szCs w:val="21"/>
                <w:highlight w:val="none"/>
              </w:rPr>
              <w:t>基价没有的，参照</w:t>
            </w:r>
            <w:r>
              <w:rPr>
                <w:rFonts w:hint="eastAsia" w:ascii="宋体" w:hAnsi="宋体" w:eastAsia="宋体" w:cs="宋体"/>
                <w:bCs/>
                <w:color w:val="auto"/>
                <w:kern w:val="2"/>
                <w:sz w:val="21"/>
                <w:szCs w:val="21"/>
                <w:highlight w:val="none"/>
                <w:lang w:val="en-US" w:eastAsia="zh-CN"/>
              </w:rPr>
              <w:t>保山市</w:t>
            </w:r>
            <w:r>
              <w:rPr>
                <w:rFonts w:hint="eastAsia" w:ascii="宋体" w:hAnsi="宋体" w:eastAsia="宋体" w:cs="宋体"/>
                <w:bCs/>
                <w:color w:val="auto"/>
                <w:kern w:val="2"/>
                <w:sz w:val="21"/>
                <w:szCs w:val="21"/>
                <w:highlight w:val="none"/>
              </w:rPr>
              <w:t>基价执行，</w:t>
            </w:r>
            <w:r>
              <w:rPr>
                <w:rFonts w:hint="eastAsia" w:ascii="宋体" w:hAnsi="宋体" w:eastAsia="宋体" w:cs="宋体"/>
                <w:bCs/>
                <w:color w:val="auto"/>
                <w:kern w:val="2"/>
                <w:sz w:val="21"/>
                <w:szCs w:val="21"/>
                <w:highlight w:val="none"/>
                <w:lang w:val="en-US" w:eastAsia="zh-CN"/>
              </w:rPr>
              <w:t>保山市</w:t>
            </w:r>
            <w:r>
              <w:rPr>
                <w:rFonts w:hint="eastAsia" w:ascii="宋体" w:hAnsi="宋体" w:eastAsia="宋体" w:cs="宋体"/>
                <w:bCs/>
                <w:color w:val="auto"/>
                <w:kern w:val="2"/>
                <w:sz w:val="21"/>
                <w:szCs w:val="21"/>
                <w:highlight w:val="none"/>
              </w:rPr>
              <w:t>价格信息没有的，参照云南省价格信息执行，云南省价格信息没有的，经招标人、中标方及监理方三方共同询价确定。</w:t>
            </w:r>
          </w:p>
        </w:tc>
      </w:tr>
      <w:tr w14:paraId="52867104">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63E8C84C">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3.2.2</w:t>
            </w:r>
          </w:p>
        </w:tc>
        <w:tc>
          <w:tcPr>
            <w:tcW w:w="2208" w:type="dxa"/>
            <w:tcBorders>
              <w:top w:val="single" w:color="auto" w:sz="4" w:space="0"/>
              <w:left w:val="single" w:color="auto" w:sz="4" w:space="0"/>
              <w:bottom w:val="single" w:color="auto" w:sz="4" w:space="0"/>
              <w:right w:val="single" w:color="auto" w:sz="4" w:space="0"/>
            </w:tcBorders>
            <w:vAlign w:val="center"/>
          </w:tcPr>
          <w:p w14:paraId="62EC6452">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招标控制价</w:t>
            </w:r>
          </w:p>
        </w:tc>
        <w:tc>
          <w:tcPr>
            <w:tcW w:w="6476" w:type="dxa"/>
            <w:tcBorders>
              <w:top w:val="single" w:color="auto" w:sz="4" w:space="0"/>
              <w:left w:val="single" w:color="auto" w:sz="4" w:space="0"/>
              <w:bottom w:val="single" w:color="auto" w:sz="4" w:space="0"/>
              <w:right w:val="single" w:color="auto" w:sz="4" w:space="0"/>
            </w:tcBorders>
            <w:vAlign w:val="center"/>
          </w:tcPr>
          <w:p w14:paraId="66E1C871">
            <w:pPr>
              <w:spacing w:line="360" w:lineRule="auto"/>
              <w:rPr>
                <w:rFonts w:hint="eastAsia" w:ascii="宋体" w:hAnsi="宋体" w:eastAsia="宋体" w:cs="宋体"/>
                <w:color w:val="auto"/>
                <w:highlight w:val="none"/>
                <w:lang w:val="zh-TW" w:eastAsia="zh-CN"/>
              </w:rPr>
            </w:pPr>
            <w:r>
              <w:rPr>
                <w:rFonts w:hint="eastAsia" w:ascii="宋体" w:hAnsi="宋体" w:cs="宋体"/>
                <w:color w:val="auto"/>
                <w:highlight w:val="none"/>
                <w:lang w:val="zh-TW"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val="zh-TW" w:eastAsia="zh-CN"/>
              </w:rPr>
              <w:t>）投资收益招标控制价：</w:t>
            </w:r>
            <w:r>
              <w:rPr>
                <w:rFonts w:hint="eastAsia" w:ascii="宋体" w:hAnsi="宋体" w:cs="宋体"/>
                <w:color w:val="auto"/>
                <w:highlight w:val="none"/>
                <w:lang w:val="en-US" w:eastAsia="zh-CN"/>
              </w:rPr>
              <w:t>投资收益</w:t>
            </w:r>
            <w:r>
              <w:rPr>
                <w:rFonts w:hint="eastAsia" w:ascii="宋体" w:hAnsi="宋体" w:eastAsia="宋体" w:cs="宋体"/>
                <w:color w:val="auto"/>
                <w:highlight w:val="none"/>
                <w:lang w:val="en-US" w:eastAsia="zh-CN"/>
              </w:rPr>
              <w:t>率</w:t>
            </w: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.00%，投标人投标报价</w:t>
            </w:r>
            <w:r>
              <w:rPr>
                <w:rFonts w:hint="eastAsia" w:ascii="宋体" w:hAnsi="宋体" w:cs="宋体"/>
                <w:color w:val="auto"/>
                <w:highlight w:val="none"/>
                <w:lang w:val="en-US" w:eastAsia="zh-CN"/>
              </w:rPr>
              <w:t>收益</w:t>
            </w:r>
            <w:r>
              <w:rPr>
                <w:rFonts w:hint="eastAsia" w:ascii="宋体" w:hAnsi="宋体" w:eastAsia="宋体" w:cs="宋体"/>
                <w:color w:val="auto"/>
                <w:highlight w:val="none"/>
                <w:lang w:val="en-US" w:eastAsia="zh-CN"/>
              </w:rPr>
              <w:t>率应</w:t>
            </w: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.00%，否则按否决投标处理；</w:t>
            </w:r>
          </w:p>
          <w:p w14:paraId="1377C094">
            <w:pPr>
              <w:spacing w:line="360" w:lineRule="auto"/>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zh-TW"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val="zh-TW" w:eastAsia="zh-CN"/>
              </w:rPr>
              <w:t>）设计费招标控制价：费率</w:t>
            </w:r>
            <w:r>
              <w:rPr>
                <w:rFonts w:hint="eastAsia" w:ascii="宋体" w:hAnsi="宋体" w:cs="宋体"/>
                <w:color w:val="auto"/>
                <w:highlight w:val="none"/>
                <w:lang w:val="en-US" w:eastAsia="zh-CN"/>
              </w:rPr>
              <w:t>1.60</w:t>
            </w:r>
            <w:r>
              <w:rPr>
                <w:rFonts w:hint="eastAsia" w:ascii="宋体" w:hAnsi="宋体" w:eastAsia="宋体" w:cs="宋体"/>
                <w:color w:val="auto"/>
                <w:highlight w:val="none"/>
                <w:lang w:val="en-US" w:eastAsia="zh-CN"/>
              </w:rPr>
              <w:t>%，投标人投标报价费率应≤</w:t>
            </w:r>
            <w:r>
              <w:rPr>
                <w:rFonts w:hint="eastAsia" w:ascii="宋体" w:hAnsi="宋体" w:cs="宋体"/>
                <w:color w:val="auto"/>
                <w:highlight w:val="none"/>
                <w:lang w:val="en-US" w:eastAsia="zh-CN"/>
              </w:rPr>
              <w:t>1.60</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TW" w:eastAsia="zh-CN"/>
              </w:rPr>
              <w:t>否则按否决投标处理；</w:t>
            </w:r>
          </w:p>
          <w:p w14:paraId="517B4CC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TW"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val="zh-TW" w:eastAsia="zh-CN"/>
              </w:rPr>
              <w:t>）</w:t>
            </w:r>
            <w:r>
              <w:rPr>
                <w:rFonts w:hint="eastAsia" w:ascii="宋体" w:hAnsi="宋体" w:cs="宋体"/>
                <w:color w:val="auto"/>
                <w:highlight w:val="none"/>
                <w:lang w:val="zh-TW" w:eastAsia="zh-CN"/>
              </w:rPr>
              <w:t>建安工程施工费</w:t>
            </w:r>
            <w:r>
              <w:rPr>
                <w:rFonts w:hint="eastAsia" w:ascii="宋体" w:hAnsi="宋体" w:eastAsia="宋体" w:cs="宋体"/>
                <w:color w:val="auto"/>
                <w:highlight w:val="none"/>
                <w:lang w:val="zh-TW" w:eastAsia="zh-CN"/>
              </w:rPr>
              <w:t>（含设备购置费）</w:t>
            </w:r>
            <w:r>
              <w:rPr>
                <w:rFonts w:hint="eastAsia" w:ascii="宋体" w:hAnsi="宋体" w:cs="宋体"/>
                <w:color w:val="auto"/>
                <w:highlight w:val="none"/>
                <w:lang w:val="en-US" w:eastAsia="zh-CN"/>
              </w:rPr>
              <w:t>招标控制价</w:t>
            </w:r>
            <w:r>
              <w:rPr>
                <w:rFonts w:hint="eastAsia" w:ascii="宋体" w:hAnsi="宋体" w:eastAsia="宋体" w:cs="宋体"/>
                <w:color w:val="auto"/>
                <w:highlight w:val="none"/>
                <w:lang w:val="zh-TW" w:eastAsia="zh-CN"/>
              </w:rPr>
              <w:t>：</w:t>
            </w:r>
            <w:r>
              <w:rPr>
                <w:rFonts w:hint="eastAsia" w:ascii="宋体" w:hAnsi="宋体" w:eastAsia="宋体" w:cs="宋体"/>
                <w:color w:val="auto"/>
                <w:highlight w:val="none"/>
                <w:lang w:val="en-US" w:eastAsia="zh-CN"/>
              </w:rPr>
              <w:t>设置招标控制价</w:t>
            </w:r>
            <w:r>
              <w:rPr>
                <w:rFonts w:hint="eastAsia" w:ascii="宋体" w:hAnsi="宋体" w:cs="宋体"/>
                <w:color w:val="auto"/>
                <w:highlight w:val="none"/>
                <w:lang w:val="en-US" w:eastAsia="zh-CN"/>
              </w:rPr>
              <w:t>下浮率</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TW" w:eastAsia="zh-CN"/>
              </w:rPr>
              <w:t>投标人的</w:t>
            </w:r>
            <w:r>
              <w:rPr>
                <w:rFonts w:hint="eastAsia" w:ascii="宋体" w:hAnsi="宋体" w:cs="宋体"/>
                <w:color w:val="auto"/>
                <w:highlight w:val="none"/>
                <w:lang w:val="zh-TW" w:eastAsia="zh-CN"/>
              </w:rPr>
              <w:t>建安工程施工费</w:t>
            </w:r>
            <w:r>
              <w:rPr>
                <w:rFonts w:hint="eastAsia" w:ascii="宋体" w:hAnsi="宋体" w:eastAsia="宋体" w:cs="宋体"/>
                <w:color w:val="auto"/>
                <w:highlight w:val="none"/>
                <w:lang w:val="zh-TW" w:eastAsia="zh-CN"/>
              </w:rPr>
              <w:t>（含设备购置费）投标报价</w:t>
            </w:r>
            <w:r>
              <w:rPr>
                <w:rFonts w:hint="eastAsia" w:ascii="宋体" w:hAnsi="宋体" w:cs="宋体"/>
                <w:color w:val="auto"/>
                <w:highlight w:val="none"/>
                <w:lang w:val="zh-TW" w:eastAsia="zh-CN"/>
              </w:rPr>
              <w:t>下浮率</w:t>
            </w:r>
            <w:r>
              <w:rPr>
                <w:rFonts w:hint="eastAsia" w:ascii="宋体" w:hAnsi="宋体" w:eastAsia="宋体" w:cs="宋体"/>
                <w:color w:val="auto"/>
                <w:highlight w:val="none"/>
                <w:lang w:val="zh-TW" w:eastAsia="zh-CN"/>
              </w:rPr>
              <w:t>应</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lang w:val="zh-TW" w:eastAsia="zh-CN"/>
              </w:rPr>
              <w:t>，否则按否决投标处理。</w:t>
            </w:r>
          </w:p>
        </w:tc>
      </w:tr>
      <w:tr w14:paraId="12863B77">
        <w:tblPrEx>
          <w:tblCellMar>
            <w:top w:w="0" w:type="dxa"/>
            <w:left w:w="108" w:type="dxa"/>
            <w:bottom w:w="0" w:type="dxa"/>
            <w:right w:w="108" w:type="dxa"/>
          </w:tblCellMar>
        </w:tblPrEx>
        <w:tc>
          <w:tcPr>
            <w:tcW w:w="954" w:type="dxa"/>
            <w:gridSpan w:val="2"/>
            <w:tcBorders>
              <w:top w:val="single" w:color="auto" w:sz="4" w:space="0"/>
              <w:left w:val="single" w:color="auto" w:sz="4" w:space="0"/>
              <w:bottom w:val="single" w:color="auto" w:sz="4" w:space="0"/>
              <w:right w:val="single" w:color="auto" w:sz="4" w:space="0"/>
            </w:tcBorders>
            <w:vAlign w:val="center"/>
          </w:tcPr>
          <w:p w14:paraId="06ED4E2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3.3.3</w:t>
            </w:r>
          </w:p>
        </w:tc>
        <w:tc>
          <w:tcPr>
            <w:tcW w:w="2208" w:type="dxa"/>
            <w:tcBorders>
              <w:top w:val="single" w:color="auto" w:sz="4" w:space="0"/>
              <w:left w:val="single" w:color="auto" w:sz="4" w:space="0"/>
              <w:bottom w:val="single" w:color="auto" w:sz="4" w:space="0"/>
              <w:right w:val="single" w:color="auto" w:sz="4" w:space="0"/>
            </w:tcBorders>
            <w:vAlign w:val="center"/>
          </w:tcPr>
          <w:p w14:paraId="326A0739">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投标有效期</w:t>
            </w:r>
          </w:p>
        </w:tc>
        <w:tc>
          <w:tcPr>
            <w:tcW w:w="6476" w:type="dxa"/>
            <w:tcBorders>
              <w:top w:val="single" w:color="auto" w:sz="4" w:space="0"/>
              <w:left w:val="single" w:color="auto" w:sz="4" w:space="0"/>
              <w:bottom w:val="single" w:color="auto" w:sz="4" w:space="0"/>
              <w:right w:val="single" w:color="auto" w:sz="4" w:space="0"/>
            </w:tcBorders>
            <w:vAlign w:val="center"/>
          </w:tcPr>
          <w:p w14:paraId="2021B8DF">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投标截止时间止</w:t>
            </w:r>
            <w:r>
              <w:rPr>
                <w:rFonts w:hint="eastAsia" w:ascii="宋体" w:hAnsi="宋体" w:eastAsia="宋体" w:cs="宋体"/>
                <w:color w:val="auto"/>
                <w:highlight w:val="none"/>
                <w:lang w:val="en-US" w:eastAsia="zh-CN"/>
              </w:rPr>
              <w:t>90日历天</w:t>
            </w:r>
          </w:p>
        </w:tc>
      </w:tr>
      <w:tr w14:paraId="473C2031">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3D12AEE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3.4.1</w:t>
            </w:r>
          </w:p>
        </w:tc>
        <w:tc>
          <w:tcPr>
            <w:tcW w:w="2208" w:type="dxa"/>
            <w:tcBorders>
              <w:top w:val="single" w:color="auto" w:sz="4" w:space="0"/>
              <w:left w:val="single" w:color="auto" w:sz="4" w:space="0"/>
              <w:bottom w:val="single" w:color="auto" w:sz="4" w:space="0"/>
              <w:right w:val="single" w:color="auto" w:sz="4" w:space="0"/>
            </w:tcBorders>
            <w:vAlign w:val="center"/>
          </w:tcPr>
          <w:p w14:paraId="6DF9634A">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6476" w:type="dxa"/>
            <w:tcBorders>
              <w:top w:val="single" w:color="auto" w:sz="4" w:space="0"/>
              <w:left w:val="single" w:color="auto" w:sz="4" w:space="0"/>
              <w:bottom w:val="single" w:color="auto" w:sz="4" w:space="0"/>
              <w:right w:val="single" w:color="auto" w:sz="4" w:space="0"/>
            </w:tcBorders>
            <w:shd w:val="clear" w:color="auto" w:fill="auto"/>
            <w:vAlign w:val="center"/>
          </w:tcPr>
          <w:p w14:paraId="6CED0910">
            <w:pPr>
              <w:pageBreakBefore w:val="0"/>
              <w:kinsoku/>
              <w:overflowPunct/>
              <w:topLinePunct w:val="0"/>
              <w:bidi w:val="0"/>
              <w:adjustRightInd w:val="0"/>
              <w:snapToGrid w:val="0"/>
              <w:spacing w:line="360" w:lineRule="auto"/>
              <w:ind w:left="0"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AUTOTEXT  input142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不要求递交投标保证金</w:t>
            </w:r>
          </w:p>
          <w:p w14:paraId="236017D2">
            <w:pPr>
              <w:pageBreakBefore w:val="0"/>
              <w:kinsoku/>
              <w:overflowPunct/>
              <w:topLinePunct w:val="0"/>
              <w:bidi w:val="0"/>
              <w:adjustRightInd w:val="0"/>
              <w:snapToGrid w:val="0"/>
              <w:spacing w:line="360" w:lineRule="auto"/>
              <w:ind w:left="0" w:leftChars="0"/>
              <w:jc w:val="left"/>
              <w:textAlignment w:val="auto"/>
              <w:rPr>
                <w:rFonts w:hint="eastAsia" w:ascii="宋体" w:hAnsi="宋体" w:eastAsia="宋体"/>
                <w:b/>
                <w:color w:val="auto"/>
                <w:kern w:val="0"/>
                <w:szCs w:val="21"/>
                <w:highlight w:val="none"/>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AUTOTEXT  input142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要求递交投标保证金</w:t>
            </w:r>
          </w:p>
          <w:p w14:paraId="08B178A7">
            <w:pPr>
              <w:adjustRightInd w:val="0"/>
              <w:snapToGrid w:val="0"/>
              <w:spacing w:line="400" w:lineRule="exact"/>
              <w:rPr>
                <w:rFonts w:ascii="宋体" w:hAnsi="宋体" w:eastAsia="宋体"/>
                <w:b/>
                <w:color w:val="auto"/>
                <w:kern w:val="0"/>
                <w:szCs w:val="21"/>
                <w:highlight w:val="none"/>
              </w:rPr>
            </w:pPr>
            <w:r>
              <w:rPr>
                <w:rFonts w:hint="eastAsia" w:ascii="宋体" w:hAnsi="宋体" w:eastAsia="宋体"/>
                <w:b/>
                <w:color w:val="auto"/>
                <w:kern w:val="0"/>
                <w:szCs w:val="21"/>
                <w:highlight w:val="none"/>
              </w:rPr>
              <w:t>一、投标保证金提交方式</w:t>
            </w:r>
          </w:p>
          <w:p w14:paraId="6405D8E3">
            <w:pPr>
              <w:adjustRightInd w:val="0"/>
              <w:snapToGrid w:val="0"/>
              <w:spacing w:line="400" w:lineRule="exact"/>
              <w:ind w:firstLine="420" w:firstLineChars="200"/>
              <w:rPr>
                <w:rFonts w:ascii="宋体" w:hAnsi="宋体" w:eastAsia="宋体"/>
                <w:color w:val="auto"/>
                <w:kern w:val="0"/>
                <w:szCs w:val="21"/>
                <w:highlight w:val="none"/>
              </w:rPr>
            </w:pPr>
            <w:r>
              <w:rPr>
                <w:rFonts w:hint="eastAsia" w:ascii="宋体" w:hAnsi="宋体" w:eastAsia="宋体"/>
                <w:color w:val="auto"/>
                <w:kern w:val="0"/>
                <w:szCs w:val="21"/>
                <w:highlight w:val="none"/>
              </w:rPr>
              <w:t>保证金的提交方式有三种：银行转账、银行保函、投标保证保险。</w:t>
            </w:r>
          </w:p>
          <w:p w14:paraId="0B057F27">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（一）银行转账：投标（交易）保证金应以投标人自身的名义提交，并且必须从其基本账户转出，不得以分支机构其他名义提交（按照规定，投标人可以为自然人的项目除外）。</w:t>
            </w:r>
          </w:p>
          <w:p w14:paraId="61729200">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二）银行保函：保函申请人必须是投标人，受益人必须是招标人，保证人必须是投标人基本账号的开户银行；银行保函必须正确填写受益人和申请人的全称，并与招标文件规定的名称相一致，以免造成投标无效。</w:t>
            </w:r>
          </w:p>
          <w:p w14:paraId="03605D0C">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（三）投标保证保险：应符合《云南省建设工程招标投标管理办公室关于进一步优化营商环境 落实建设工程保证保险制度的通知》（云建招〔2020〕116号）和《云南省发展和改革委员会关于印发云南省公共资源交易平台接入电子保函服务指导意见的通知》（云发改平台建管〔2021〕1152号）的相关要求。</w:t>
            </w:r>
          </w:p>
          <w:p w14:paraId="4ADBE2AE">
            <w:pPr>
              <w:adjustRightInd w:val="0"/>
              <w:snapToGrid w:val="0"/>
              <w:spacing w:line="400" w:lineRule="exact"/>
              <w:rPr>
                <w:rFonts w:ascii="宋体" w:hAnsi="宋体" w:eastAsia="宋体"/>
                <w:b/>
                <w:color w:val="auto"/>
                <w:kern w:val="0"/>
                <w:szCs w:val="21"/>
                <w:highlight w:val="none"/>
              </w:rPr>
            </w:pPr>
            <w:r>
              <w:rPr>
                <w:rFonts w:hint="eastAsia" w:ascii="宋体" w:hAnsi="宋体" w:eastAsia="宋体"/>
                <w:b/>
                <w:color w:val="auto"/>
                <w:kern w:val="0"/>
                <w:szCs w:val="21"/>
                <w:highlight w:val="none"/>
              </w:rPr>
              <w:t>二、投标保证金的提交时间</w:t>
            </w:r>
          </w:p>
          <w:p w14:paraId="1E236915">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投标人需在投标截止时间前递交保证金，到账时间以实际到达专用账号时间为准，未在投标截止时间前到账的保证金视为未提交；银行保函必须在规定的投标截止时间前递交，在投标截止时间前，在交易系统中进行确认，未确认的保证金视为未提交；投保人应当在项目投标保证金缴纳截止时间前通过金融机构成功购买投标保证保险，未在投标保证金缴纳截止时间前成功购买的投标保证保险视为未提交。</w:t>
            </w:r>
          </w:p>
          <w:p w14:paraId="7544C19C">
            <w:pPr>
              <w:adjustRightInd w:val="0"/>
              <w:snapToGrid w:val="0"/>
              <w:spacing w:line="400" w:lineRule="exact"/>
              <w:rPr>
                <w:rFonts w:ascii="宋体" w:hAnsi="宋体" w:eastAsia="宋体"/>
                <w:b/>
                <w:color w:val="auto"/>
                <w:kern w:val="0"/>
                <w:szCs w:val="21"/>
                <w:highlight w:val="none"/>
              </w:rPr>
            </w:pPr>
            <w:r>
              <w:rPr>
                <w:rFonts w:hint="eastAsia" w:ascii="宋体" w:hAnsi="宋体" w:eastAsia="宋体"/>
                <w:b/>
                <w:color w:val="auto"/>
                <w:kern w:val="0"/>
                <w:szCs w:val="21"/>
                <w:highlight w:val="none"/>
              </w:rPr>
              <w:t>三、投标保证金的办理程序</w:t>
            </w:r>
          </w:p>
          <w:p w14:paraId="19652A84">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（一）采用银行转账方式：</w:t>
            </w:r>
          </w:p>
          <w:p w14:paraId="2FD87228">
            <w:pPr>
              <w:adjustRightInd w:val="0"/>
              <w:snapToGrid w:val="0"/>
              <w:spacing w:line="400" w:lineRule="exact"/>
              <w:rPr>
                <w:rFonts w:ascii="宋体" w:hAnsi="宋体" w:eastAsia="宋体"/>
                <w:b w:val="0"/>
                <w:bCs/>
                <w:color w:val="auto"/>
                <w:kern w:val="0"/>
                <w:szCs w:val="21"/>
                <w:highlight w:val="none"/>
              </w:rPr>
            </w:pPr>
            <w:r>
              <w:rPr>
                <w:rFonts w:hint="eastAsia" w:ascii="宋体" w:hAnsi="宋体" w:eastAsia="宋体"/>
                <w:b w:val="0"/>
                <w:bCs/>
                <w:color w:val="auto"/>
                <w:kern w:val="0"/>
                <w:szCs w:val="21"/>
                <w:highlight w:val="none"/>
              </w:rPr>
              <w:t>项目名称：</w:t>
            </w:r>
            <w:r>
              <w:rPr>
                <w:rFonts w:hint="eastAsia" w:ascii="宋体" w:hAnsi="宋体"/>
                <w:b w:val="0"/>
                <w:bCs/>
                <w:color w:val="auto"/>
                <w:szCs w:val="21"/>
                <w:highlight w:val="none"/>
                <w:u w:val="single"/>
                <w:lang w:eastAsia="zh-CN"/>
              </w:rPr>
              <w:t>2026年上海市对口帮扶龙陵县龙山镇横山村石斛鲜切花种植试验示范基地建设项目（EPC+O）</w:t>
            </w:r>
          </w:p>
          <w:p w14:paraId="6656EE49">
            <w:pPr>
              <w:adjustRightInd w:val="0"/>
              <w:snapToGrid w:val="0"/>
              <w:spacing w:line="400" w:lineRule="exact"/>
              <w:rPr>
                <w:rFonts w:hint="eastAsia" w:ascii="宋体" w:hAnsi="宋体" w:eastAsia="宋体"/>
                <w:b w:val="0"/>
                <w:bCs/>
                <w:color w:val="auto"/>
                <w:kern w:val="0"/>
                <w:szCs w:val="21"/>
                <w:highlight w:val="none"/>
                <w:u w:val="single"/>
                <w:lang w:val="en-US" w:eastAsia="zh-CN"/>
              </w:rPr>
            </w:pPr>
            <w:r>
              <w:rPr>
                <w:rFonts w:hint="eastAsia" w:ascii="宋体" w:hAnsi="宋体" w:eastAsia="宋体"/>
                <w:b w:val="0"/>
                <w:bCs/>
                <w:color w:val="auto"/>
                <w:kern w:val="0"/>
                <w:szCs w:val="21"/>
                <w:highlight w:val="none"/>
              </w:rPr>
              <w:t>户名：</w:t>
            </w:r>
            <w:r>
              <w:rPr>
                <w:rFonts w:hint="eastAsia" w:ascii="宋体" w:hAnsi="宋体"/>
                <w:b w:val="0"/>
                <w:bCs/>
                <w:color w:val="auto"/>
                <w:kern w:val="0"/>
                <w:szCs w:val="21"/>
                <w:highlight w:val="none"/>
                <w:lang w:val="en-US" w:eastAsia="zh-CN"/>
              </w:rPr>
              <w:t>/</w:t>
            </w:r>
          </w:p>
          <w:p w14:paraId="72307CD9">
            <w:pPr>
              <w:adjustRightInd w:val="0"/>
              <w:snapToGrid w:val="0"/>
              <w:spacing w:line="400" w:lineRule="exact"/>
              <w:rPr>
                <w:rFonts w:hint="eastAsia" w:ascii="宋体" w:hAnsi="宋体" w:eastAsia="宋体"/>
                <w:b w:val="0"/>
                <w:bCs/>
                <w:color w:val="auto"/>
                <w:kern w:val="0"/>
                <w:szCs w:val="21"/>
                <w:highlight w:val="none"/>
                <w:lang w:val="en-US" w:eastAsia="zh-CN"/>
              </w:rPr>
            </w:pPr>
            <w:r>
              <w:rPr>
                <w:rFonts w:hint="eastAsia" w:ascii="宋体" w:hAnsi="宋体" w:eastAsia="宋体"/>
                <w:b w:val="0"/>
                <w:bCs/>
                <w:color w:val="auto"/>
                <w:kern w:val="0"/>
                <w:szCs w:val="21"/>
                <w:highlight w:val="none"/>
              </w:rPr>
              <w:t>开户行：</w:t>
            </w:r>
            <w:r>
              <w:rPr>
                <w:rFonts w:hint="eastAsia" w:ascii="宋体" w:hAnsi="宋体"/>
                <w:b w:val="0"/>
                <w:bCs/>
                <w:color w:val="auto"/>
                <w:kern w:val="0"/>
                <w:szCs w:val="21"/>
                <w:highlight w:val="none"/>
                <w:lang w:val="en-US" w:eastAsia="zh-CN"/>
              </w:rPr>
              <w:t>/</w:t>
            </w:r>
          </w:p>
          <w:p w14:paraId="0554CADE">
            <w:pPr>
              <w:adjustRightInd w:val="0"/>
              <w:snapToGrid w:val="0"/>
              <w:spacing w:line="400" w:lineRule="exact"/>
              <w:rPr>
                <w:rFonts w:hint="eastAsia" w:ascii="宋体" w:hAnsi="宋体" w:eastAsia="宋体"/>
                <w:b w:val="0"/>
                <w:bCs/>
                <w:color w:val="auto"/>
                <w:kern w:val="0"/>
                <w:szCs w:val="21"/>
                <w:highlight w:val="none"/>
                <w:u w:val="single"/>
                <w:lang w:val="en-US" w:eastAsia="zh-CN"/>
              </w:rPr>
            </w:pPr>
            <w:r>
              <w:rPr>
                <w:rFonts w:hint="eastAsia" w:ascii="宋体" w:hAnsi="宋体" w:eastAsia="宋体"/>
                <w:b w:val="0"/>
                <w:bCs/>
                <w:color w:val="auto"/>
                <w:kern w:val="0"/>
                <w:szCs w:val="21"/>
                <w:highlight w:val="none"/>
              </w:rPr>
              <w:t>保证金提交账号：</w:t>
            </w:r>
            <w:r>
              <w:rPr>
                <w:rFonts w:hint="eastAsia" w:ascii="宋体" w:hAnsi="宋体"/>
                <w:b w:val="0"/>
                <w:bCs/>
                <w:color w:val="auto"/>
                <w:kern w:val="0"/>
                <w:szCs w:val="21"/>
                <w:highlight w:val="none"/>
                <w:lang w:val="en-US" w:eastAsia="zh-CN"/>
              </w:rPr>
              <w:t>/</w:t>
            </w:r>
          </w:p>
          <w:p w14:paraId="1AE45209">
            <w:pPr>
              <w:adjustRightInd w:val="0"/>
              <w:snapToGrid w:val="0"/>
              <w:spacing w:line="400" w:lineRule="exact"/>
              <w:rPr>
                <w:rFonts w:hint="eastAsia" w:ascii="宋体" w:hAnsi="宋体" w:eastAsia="宋体"/>
                <w:b w:val="0"/>
                <w:bCs/>
                <w:color w:val="auto"/>
                <w:kern w:val="0"/>
                <w:szCs w:val="21"/>
                <w:highlight w:val="none"/>
                <w:lang w:eastAsia="zh-CN"/>
              </w:rPr>
            </w:pPr>
            <w:r>
              <w:rPr>
                <w:rFonts w:hint="eastAsia" w:ascii="宋体" w:hAnsi="宋体" w:eastAsia="宋体"/>
                <w:b w:val="0"/>
                <w:bCs/>
                <w:color w:val="auto"/>
                <w:kern w:val="0"/>
                <w:szCs w:val="21"/>
                <w:highlight w:val="none"/>
              </w:rPr>
              <w:t>保证金金额（人民币）:</w:t>
            </w:r>
            <w:r>
              <w:rPr>
                <w:rFonts w:hint="eastAsia" w:ascii="宋体" w:hAnsi="宋体"/>
                <w:b w:val="0"/>
                <w:bCs w:val="0"/>
                <w:color w:val="auto"/>
                <w:kern w:val="0"/>
                <w:szCs w:val="21"/>
                <w:highlight w:val="none"/>
                <w:u w:val="single"/>
                <w:lang w:val="en-US" w:eastAsia="zh-CN"/>
              </w:rPr>
              <w:t xml:space="preserve"> </w:t>
            </w:r>
            <w:r>
              <w:rPr>
                <w:rFonts w:hint="eastAsia"/>
                <w:b w:val="0"/>
                <w:bCs w:val="0"/>
                <w:color w:val="auto"/>
                <w:highlight w:val="none"/>
                <w:u w:val="single"/>
                <w:lang w:val="en-US" w:eastAsia="zh-CN"/>
              </w:rPr>
              <w:t>/</w:t>
            </w:r>
            <w:r>
              <w:rPr>
                <w:rFonts w:hint="eastAsia" w:ascii="宋体" w:hAnsi="宋体" w:eastAsia="宋体"/>
                <w:b/>
                <w:bCs w:val="0"/>
                <w:color w:val="auto"/>
                <w:kern w:val="0"/>
                <w:szCs w:val="21"/>
                <w:highlight w:val="none"/>
                <w:u w:val="none"/>
                <w:lang w:val="en-US" w:eastAsia="zh-CN"/>
              </w:rPr>
              <w:t>万</w:t>
            </w:r>
            <w:r>
              <w:rPr>
                <w:rFonts w:hint="eastAsia" w:ascii="宋体" w:hAnsi="宋体" w:eastAsia="宋体"/>
                <w:b/>
                <w:bCs w:val="0"/>
                <w:color w:val="auto"/>
                <w:kern w:val="0"/>
                <w:szCs w:val="21"/>
                <w:highlight w:val="none"/>
              </w:rPr>
              <w:t>元</w:t>
            </w:r>
          </w:p>
          <w:p w14:paraId="7A840934">
            <w:pPr>
              <w:adjustRightInd w:val="0"/>
              <w:snapToGrid w:val="0"/>
              <w:spacing w:line="400" w:lineRule="exact"/>
              <w:rPr>
                <w:rFonts w:ascii="宋体" w:hAnsi="宋体" w:eastAsia="宋体"/>
                <w:b/>
                <w:color w:val="auto"/>
                <w:kern w:val="0"/>
                <w:szCs w:val="21"/>
                <w:highlight w:val="none"/>
              </w:rPr>
            </w:pPr>
            <w:r>
              <w:rPr>
                <w:rFonts w:hint="eastAsia" w:ascii="宋体" w:hAnsi="宋体" w:eastAsia="宋体"/>
                <w:b/>
                <w:color w:val="auto"/>
                <w:kern w:val="0"/>
                <w:szCs w:val="21"/>
                <w:highlight w:val="none"/>
              </w:rPr>
              <w:t>本项目投标保证金说明：</w:t>
            </w:r>
          </w:p>
          <w:p w14:paraId="0383055E">
            <w:pPr>
              <w:adjustRightInd w:val="0"/>
              <w:snapToGrid w:val="0"/>
              <w:spacing w:line="400" w:lineRule="exact"/>
              <w:rPr>
                <w:rFonts w:ascii="宋体" w:hAnsi="宋体" w:eastAsia="宋体"/>
                <w:b/>
                <w:color w:val="auto"/>
                <w:kern w:val="0"/>
                <w:szCs w:val="21"/>
                <w:highlight w:val="none"/>
              </w:rPr>
            </w:pPr>
            <w:r>
              <w:rPr>
                <w:rFonts w:hint="eastAsia" w:ascii="宋体" w:hAnsi="宋体" w:eastAsia="宋体"/>
                <w:b/>
                <w:color w:val="auto"/>
                <w:kern w:val="0"/>
                <w:szCs w:val="21"/>
                <w:highlight w:val="none"/>
              </w:rPr>
              <w:t>（1）</w:t>
            </w:r>
            <w:r>
              <w:rPr>
                <w:rFonts w:hint="eastAsia" w:ascii="宋体" w:hAnsi="宋体" w:cs="宋体"/>
                <w:b/>
                <w:bCs/>
                <w:color w:val="auto"/>
                <w:szCs w:val="21"/>
                <w:highlight w:val="none"/>
              </w:rPr>
              <w:t>本项目投标保证金收取数额应为人民币</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 xml:space="preserve"> / </w:t>
            </w:r>
            <w:r>
              <w:rPr>
                <w:rFonts w:hint="eastAsia" w:ascii="宋体" w:hAnsi="宋体" w:cs="宋体"/>
                <w:b/>
                <w:bCs/>
                <w:color w:val="auto"/>
                <w:szCs w:val="21"/>
                <w:highlight w:val="none"/>
              </w:rPr>
              <w:t>万元，根据《云南省发展和改革委员会等部门关于鼓励减免政府投资项目投标保证金的通知》（云发改交易管理〔2023〕397号）要求，本项目投标保证金减免为人民币</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 xml:space="preserve"> / </w:t>
            </w:r>
            <w:r>
              <w:rPr>
                <w:rFonts w:hint="eastAsia" w:ascii="宋体" w:hAnsi="宋体" w:cs="宋体"/>
                <w:b/>
                <w:bCs/>
                <w:color w:val="auto"/>
                <w:szCs w:val="21"/>
                <w:highlight w:val="none"/>
              </w:rPr>
              <w:t>万元（降幅为</w:t>
            </w:r>
            <w:r>
              <w:rPr>
                <w:rFonts w:hint="eastAsia" w:ascii="宋体" w:hAnsi="宋体" w:cs="宋体"/>
                <w:b/>
                <w:bCs/>
                <w:color w:val="auto"/>
                <w:szCs w:val="21"/>
                <w:highlight w:val="none"/>
                <w:lang w:val="en-US" w:eastAsia="zh-CN"/>
              </w:rPr>
              <w:t xml:space="preserve"> / </w:t>
            </w:r>
            <w:r>
              <w:rPr>
                <w:rFonts w:hint="eastAsia" w:ascii="宋体" w:hAnsi="宋体" w:cs="宋体"/>
                <w:b/>
                <w:bCs/>
                <w:color w:val="auto"/>
                <w:szCs w:val="21"/>
                <w:highlight w:val="none"/>
              </w:rPr>
              <w:t>％）。</w:t>
            </w:r>
          </w:p>
          <w:p w14:paraId="360753E3">
            <w:pPr>
              <w:adjustRightInd w:val="0"/>
              <w:snapToGrid w:val="0"/>
              <w:spacing w:line="400" w:lineRule="exact"/>
              <w:rPr>
                <w:rFonts w:ascii="宋体" w:hAnsi="宋体" w:eastAsia="宋体"/>
                <w:b/>
                <w:color w:val="auto"/>
                <w:kern w:val="0"/>
                <w:szCs w:val="21"/>
                <w:highlight w:val="none"/>
              </w:rPr>
            </w:pPr>
            <w:r>
              <w:rPr>
                <w:rFonts w:hint="eastAsia" w:ascii="宋体" w:hAnsi="宋体" w:eastAsia="宋体"/>
                <w:b/>
                <w:color w:val="auto"/>
                <w:kern w:val="0"/>
                <w:szCs w:val="21"/>
                <w:highlight w:val="none"/>
              </w:rPr>
              <w:t>（2）</w:t>
            </w:r>
            <w:r>
              <w:rPr>
                <w:rFonts w:hint="eastAsia" w:ascii="宋体" w:hAnsi="宋体" w:cs="宋体"/>
                <w:b/>
                <w:bCs/>
                <w:color w:val="auto"/>
                <w:szCs w:val="21"/>
                <w:highlight w:val="none"/>
              </w:rPr>
              <w:t>本项目根据《云南省人民政府关于印发2024年进一步推动经济稳进提质政策措施的通知》（</w:t>
            </w:r>
            <w:bookmarkStart w:id="64" w:name="OLE_LINK9"/>
            <w:r>
              <w:rPr>
                <w:rFonts w:hint="eastAsia" w:ascii="宋体" w:hAnsi="宋体" w:cs="宋体"/>
                <w:b/>
                <w:bCs/>
                <w:color w:val="auto"/>
                <w:szCs w:val="21"/>
                <w:highlight w:val="none"/>
              </w:rPr>
              <w:t>云政发〔2024〕7号</w:t>
            </w:r>
            <w:bookmarkEnd w:id="64"/>
            <w:r>
              <w:rPr>
                <w:rFonts w:hint="eastAsia" w:ascii="宋体" w:hAnsi="宋体" w:cs="宋体"/>
                <w:b/>
                <w:bCs/>
                <w:color w:val="auto"/>
                <w:szCs w:val="21"/>
                <w:highlight w:val="none"/>
              </w:rPr>
              <w:t>）等文件要求，免收取无失信记录企业投标保证金。无失信记录投标人需于投标截止前在缴纳保证金界面上传招标公告发布之日后“信用中国”出具的信用报告</w:t>
            </w:r>
            <w:r>
              <w:rPr>
                <w:rFonts w:hint="eastAsia" w:ascii="宋体" w:hAnsi="宋体" w:eastAsia="宋体"/>
                <w:b/>
                <w:color w:val="auto"/>
                <w:kern w:val="0"/>
                <w:szCs w:val="21"/>
                <w:highlight w:val="none"/>
              </w:rPr>
              <w:t>。</w:t>
            </w:r>
          </w:p>
          <w:p w14:paraId="55AA8B25">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办理程序：</w:t>
            </w:r>
          </w:p>
          <w:p w14:paraId="078B45F2">
            <w:pPr>
              <w:adjustRightInd w:val="0"/>
              <w:snapToGrid w:val="0"/>
              <w:spacing w:line="400" w:lineRule="exact"/>
              <w:ind w:firstLine="420" w:firstLineChars="200"/>
              <w:rPr>
                <w:rFonts w:ascii="宋体" w:hAnsi="宋体" w:eastAsia="宋体"/>
                <w:color w:val="auto"/>
                <w:kern w:val="0"/>
                <w:szCs w:val="21"/>
                <w:highlight w:val="none"/>
              </w:rPr>
            </w:pPr>
            <w:r>
              <w:rPr>
                <w:rFonts w:hint="eastAsia" w:ascii="宋体" w:hAnsi="宋体" w:eastAsia="宋体"/>
                <w:color w:val="auto"/>
                <w:kern w:val="0"/>
                <w:szCs w:val="21"/>
                <w:highlight w:val="none"/>
              </w:rPr>
              <w:t>潜在投标人转账到保证金专项银行账户后，潜在投标人需要使用数字证书（CA）登陆“</w:t>
            </w:r>
            <w:r>
              <w:rPr>
                <w:rFonts w:hint="eastAsia" w:ascii="宋体" w:hAnsi="宋体" w:eastAsia="宋体"/>
                <w:color w:val="auto"/>
                <w:highlight w:val="none"/>
              </w:rPr>
              <w:t>公共资源交易平台交易电子服务系统</w:t>
            </w:r>
            <w:r>
              <w:rPr>
                <w:rFonts w:hint="eastAsia" w:ascii="宋体" w:hAnsi="宋体" w:eastAsia="宋体"/>
                <w:color w:val="auto"/>
                <w:kern w:val="0"/>
                <w:szCs w:val="21"/>
                <w:highlight w:val="none"/>
              </w:rPr>
              <w:t>”</w:t>
            </w:r>
            <w:r>
              <w:rPr>
                <w:rFonts w:hint="eastAsia" w:ascii="宋体" w:hAnsi="宋体" w:eastAsia="宋体"/>
                <w:color w:val="auto"/>
                <w:highlight w:val="none"/>
              </w:rPr>
              <w:t xml:space="preserve"> </w:t>
            </w:r>
            <w:r>
              <w:rPr>
                <w:rFonts w:hint="eastAsia" w:ascii="宋体" w:hAnsi="宋体" w:eastAsia="宋体"/>
                <w:color w:val="auto"/>
                <w:kern w:val="0"/>
                <w:szCs w:val="21"/>
                <w:highlight w:val="none"/>
              </w:rPr>
              <w:t>在投标保证金模块找到对应项目进行确认并打印确认回执；若保证金出现未绑定导致无法确认的请及时联系</w:t>
            </w:r>
            <w:r>
              <w:rPr>
                <w:color w:val="auto"/>
                <w:highlight w:val="none"/>
              </w:rPr>
              <w:fldChar w:fldCharType="begin"/>
            </w:r>
            <w:r>
              <w:rPr>
                <w:color w:val="auto"/>
                <w:highlight w:val="none"/>
              </w:rPr>
              <w:instrText xml:space="preserve"> AUTOTEXT  input474 \* MERGEFORMAT </w:instrText>
            </w:r>
            <w:r>
              <w:rPr>
                <w:color w:val="auto"/>
                <w:highlight w:val="none"/>
              </w:rPr>
              <w:fldChar w:fldCharType="separate"/>
            </w:r>
            <w:r>
              <w:rPr>
                <w:rFonts w:hint="eastAsia" w:ascii="宋体" w:hAnsi="宋体" w:eastAsia="宋体"/>
                <w:color w:val="auto"/>
                <w:kern w:val="0"/>
                <w:szCs w:val="21"/>
                <w:highlight w:val="none"/>
                <w:u w:val="single"/>
              </w:rPr>
              <w:t xml:space="preserve"> 010-86483801（7x24小时开通）</w:t>
            </w:r>
            <w:r>
              <w:rPr>
                <w:rFonts w:hint="eastAsia" w:ascii="宋体" w:hAnsi="宋体" w:eastAsia="宋体"/>
                <w:color w:val="auto"/>
                <w:kern w:val="0"/>
                <w:szCs w:val="21"/>
                <w:highlight w:val="none"/>
                <w:u w:val="single"/>
              </w:rPr>
              <w:fldChar w:fldCharType="end"/>
            </w:r>
            <w:r>
              <w:rPr>
                <w:rFonts w:hint="eastAsia" w:ascii="宋体" w:hAnsi="宋体" w:eastAsia="宋体"/>
                <w:color w:val="auto"/>
                <w:kern w:val="0"/>
                <w:szCs w:val="21"/>
                <w:highlight w:val="none"/>
              </w:rPr>
              <w:t>。</w:t>
            </w:r>
          </w:p>
          <w:p w14:paraId="104D4B09">
            <w:pPr>
              <w:adjustRightInd w:val="0"/>
              <w:snapToGrid w:val="0"/>
              <w:spacing w:line="400" w:lineRule="exact"/>
              <w:rPr>
                <w:rFonts w:ascii="宋体" w:hAnsi="宋体" w:eastAsia="宋体"/>
                <w:color w:val="auto"/>
                <w:kern w:val="0"/>
                <w:szCs w:val="21"/>
                <w:highlight w:val="none"/>
              </w:rPr>
            </w:pPr>
            <w:r>
              <w:rPr>
                <w:rFonts w:hint="eastAsia" w:ascii="宋体" w:hAnsi="宋体" w:eastAsia="宋体"/>
                <w:color w:val="auto"/>
                <w:kern w:val="0"/>
                <w:szCs w:val="21"/>
                <w:highlight w:val="none"/>
              </w:rPr>
              <w:t>（二）采用银行保函方式：</w:t>
            </w:r>
          </w:p>
          <w:p w14:paraId="38986CFB">
            <w:pPr>
              <w:adjustRightInd w:val="0"/>
              <w:snapToGrid w:val="0"/>
              <w:spacing w:line="400" w:lineRule="exact"/>
              <w:rPr>
                <w:rFonts w:ascii="宋体" w:hAnsi="宋体" w:eastAsia="宋体"/>
                <w:b w:val="0"/>
                <w:bCs w:val="0"/>
                <w:color w:val="auto"/>
                <w:kern w:val="0"/>
                <w:szCs w:val="21"/>
                <w:highlight w:val="none"/>
              </w:rPr>
            </w:pPr>
            <w:r>
              <w:rPr>
                <w:rFonts w:hint="eastAsia" w:ascii="宋体" w:hAnsi="宋体" w:eastAsia="宋体"/>
                <w:color w:val="auto"/>
                <w:kern w:val="0"/>
                <w:szCs w:val="21"/>
                <w:highlight w:val="none"/>
              </w:rPr>
              <w:t>项目名称</w:t>
            </w:r>
            <w:r>
              <w:rPr>
                <w:rFonts w:hint="eastAsia" w:ascii="宋体" w:hAnsi="宋体" w:eastAsia="宋体"/>
                <w:b w:val="0"/>
                <w:bCs w:val="0"/>
                <w:color w:val="auto"/>
                <w:kern w:val="0"/>
                <w:szCs w:val="21"/>
                <w:highlight w:val="none"/>
              </w:rPr>
              <w:t>：</w:t>
            </w:r>
            <w:r>
              <w:rPr>
                <w:rFonts w:hint="eastAsia" w:ascii="宋体" w:hAnsi="宋体"/>
                <w:b w:val="0"/>
                <w:bCs w:val="0"/>
                <w:color w:val="auto"/>
                <w:szCs w:val="21"/>
                <w:highlight w:val="none"/>
                <w:u w:val="single"/>
                <w:lang w:eastAsia="zh-CN"/>
              </w:rPr>
              <w:t>2026年上海市对口帮扶龙陵县龙山镇横山村石斛鲜切花种植试验示范基地建设项目（EPC+O）</w:t>
            </w:r>
            <w:r>
              <w:rPr>
                <w:rFonts w:hint="eastAsia" w:ascii="宋体" w:hAnsi="宋体" w:eastAsia="宋体"/>
                <w:b w:val="0"/>
                <w:bCs w:val="0"/>
                <w:color w:val="auto"/>
                <w:kern w:val="0"/>
                <w:szCs w:val="21"/>
                <w:highlight w:val="none"/>
              </w:rPr>
              <w:t>，保证金金额（人民币）</w:t>
            </w:r>
            <w:r>
              <w:rPr>
                <w:rFonts w:hint="eastAsia" w:ascii="宋体" w:hAnsi="宋体"/>
                <w:b w:val="0"/>
                <w:bCs w:val="0"/>
                <w:color w:val="auto"/>
                <w:kern w:val="0"/>
                <w:szCs w:val="21"/>
                <w:highlight w:val="none"/>
                <w:u w:val="single"/>
                <w:lang w:val="en-US" w:eastAsia="zh-CN"/>
              </w:rPr>
              <w:t xml:space="preserve"> </w:t>
            </w:r>
            <w:r>
              <w:rPr>
                <w:rFonts w:hint="eastAsia"/>
                <w:b w:val="0"/>
                <w:bCs w:val="0"/>
                <w:color w:val="auto"/>
                <w:highlight w:val="none"/>
                <w:u w:val="single"/>
                <w:lang w:val="en-US" w:eastAsia="zh-CN"/>
              </w:rPr>
              <w:t xml:space="preserve">/ </w:t>
            </w:r>
            <w:r>
              <w:rPr>
                <w:rFonts w:hint="eastAsia" w:ascii="宋体" w:hAnsi="宋体" w:eastAsia="宋体"/>
                <w:b w:val="0"/>
                <w:bCs w:val="0"/>
                <w:color w:val="auto"/>
                <w:kern w:val="0"/>
                <w:szCs w:val="21"/>
                <w:highlight w:val="none"/>
                <w:u w:val="none"/>
                <w:lang w:val="en-US" w:eastAsia="zh-CN"/>
              </w:rPr>
              <w:t>万</w:t>
            </w:r>
            <w:r>
              <w:rPr>
                <w:rFonts w:hint="eastAsia" w:ascii="宋体" w:hAnsi="宋体" w:eastAsia="宋体"/>
                <w:b w:val="0"/>
                <w:bCs w:val="0"/>
                <w:color w:val="auto"/>
                <w:kern w:val="0"/>
                <w:szCs w:val="21"/>
                <w:highlight w:val="none"/>
              </w:rPr>
              <w:t>元。</w:t>
            </w:r>
          </w:p>
          <w:p w14:paraId="1CFC09CB">
            <w:pPr>
              <w:adjustRightInd w:val="0"/>
              <w:snapToGrid w:val="0"/>
              <w:spacing w:line="400" w:lineRule="exact"/>
              <w:rPr>
                <w:rFonts w:ascii="宋体" w:hAnsi="宋体" w:eastAsia="宋体"/>
                <w:b w:val="0"/>
                <w:bCs w:val="0"/>
                <w:color w:val="auto"/>
                <w:kern w:val="0"/>
                <w:szCs w:val="21"/>
                <w:highlight w:val="none"/>
              </w:rPr>
            </w:pPr>
            <w:r>
              <w:rPr>
                <w:rFonts w:hint="eastAsia" w:ascii="宋体" w:hAnsi="宋体" w:eastAsia="宋体"/>
                <w:b w:val="0"/>
                <w:bCs w:val="0"/>
                <w:color w:val="auto"/>
                <w:kern w:val="0"/>
                <w:szCs w:val="21"/>
                <w:highlight w:val="none"/>
              </w:rPr>
              <w:t>办理程序：</w:t>
            </w:r>
          </w:p>
          <w:p w14:paraId="0491D869">
            <w:pPr>
              <w:adjustRightInd w:val="0"/>
              <w:snapToGrid w:val="0"/>
              <w:spacing w:line="400" w:lineRule="exact"/>
              <w:rPr>
                <w:rFonts w:ascii="宋体" w:hAnsi="宋体" w:eastAsia="宋体"/>
                <w:b w:val="0"/>
                <w:bCs w:val="0"/>
                <w:color w:val="auto"/>
                <w:kern w:val="0"/>
                <w:szCs w:val="21"/>
                <w:highlight w:val="none"/>
              </w:rPr>
            </w:pPr>
            <w:r>
              <w:rPr>
                <w:rFonts w:hint="eastAsia" w:ascii="宋体" w:hAnsi="宋体" w:eastAsia="宋体"/>
                <w:b w:val="0"/>
                <w:bCs w:val="0"/>
                <w:color w:val="auto"/>
                <w:kern w:val="0"/>
                <w:szCs w:val="21"/>
                <w:highlight w:val="none"/>
              </w:rPr>
              <w:t>潜在投标人需要使用数字证书（CA）登陆“</w:t>
            </w:r>
            <w:r>
              <w:rPr>
                <w:rFonts w:hint="eastAsia" w:ascii="宋体" w:hAnsi="宋体" w:eastAsia="宋体"/>
                <w:b w:val="0"/>
                <w:bCs w:val="0"/>
                <w:color w:val="auto"/>
                <w:highlight w:val="none"/>
              </w:rPr>
              <w:t>公共资源交易平台交易电子服务系统</w:t>
            </w:r>
            <w:r>
              <w:rPr>
                <w:rFonts w:hint="eastAsia" w:ascii="宋体" w:hAnsi="宋体" w:eastAsia="宋体"/>
                <w:b w:val="0"/>
                <w:bCs w:val="0"/>
                <w:color w:val="auto"/>
                <w:kern w:val="0"/>
                <w:szCs w:val="21"/>
                <w:highlight w:val="none"/>
              </w:rPr>
              <w:t>”</w:t>
            </w:r>
            <w:r>
              <w:rPr>
                <w:rFonts w:hint="eastAsia" w:ascii="宋体" w:hAnsi="宋体" w:eastAsia="宋体"/>
                <w:b w:val="0"/>
                <w:bCs w:val="0"/>
                <w:color w:val="auto"/>
                <w:highlight w:val="none"/>
              </w:rPr>
              <w:t xml:space="preserve"> </w:t>
            </w:r>
            <w:r>
              <w:rPr>
                <w:rFonts w:hint="eastAsia" w:ascii="宋体" w:hAnsi="宋体" w:eastAsia="宋体"/>
                <w:b w:val="0"/>
                <w:bCs w:val="0"/>
                <w:color w:val="auto"/>
                <w:kern w:val="0"/>
                <w:szCs w:val="21"/>
                <w:highlight w:val="none"/>
              </w:rPr>
              <w:t>在投标保函模块找到对应项目进行保函信息的录入，录入完成确认后可在投标系统打印保证金缴纳回执。</w:t>
            </w:r>
          </w:p>
          <w:p w14:paraId="244BCE9E">
            <w:pPr>
              <w:adjustRightInd w:val="0"/>
              <w:snapToGrid w:val="0"/>
              <w:spacing w:line="400" w:lineRule="exact"/>
              <w:rPr>
                <w:rFonts w:ascii="宋体" w:hAnsi="宋体" w:eastAsia="宋体"/>
                <w:b w:val="0"/>
                <w:bCs w:val="0"/>
                <w:color w:val="auto"/>
                <w:kern w:val="0"/>
                <w:szCs w:val="21"/>
                <w:highlight w:val="none"/>
              </w:rPr>
            </w:pPr>
            <w:r>
              <w:rPr>
                <w:rFonts w:hint="eastAsia" w:ascii="宋体" w:hAnsi="宋体" w:eastAsia="宋体"/>
                <w:b w:val="0"/>
                <w:bCs w:val="0"/>
                <w:color w:val="auto"/>
                <w:kern w:val="0"/>
                <w:szCs w:val="21"/>
                <w:highlight w:val="none"/>
              </w:rPr>
              <w:t>（三）采用投标保证保险方式：</w:t>
            </w:r>
          </w:p>
          <w:p w14:paraId="1D3F2C86">
            <w:pPr>
              <w:spacing w:line="400" w:lineRule="exact"/>
              <w:rPr>
                <w:rFonts w:ascii="宋体" w:hAnsi="宋体" w:eastAsia="宋体"/>
                <w:color w:val="auto"/>
                <w:kern w:val="0"/>
                <w:szCs w:val="21"/>
                <w:highlight w:val="none"/>
              </w:rPr>
            </w:pPr>
            <w:r>
              <w:rPr>
                <w:rFonts w:hint="eastAsia" w:ascii="宋体" w:hAnsi="宋体" w:eastAsia="宋体"/>
                <w:b w:val="0"/>
                <w:bCs w:val="0"/>
                <w:color w:val="auto"/>
                <w:kern w:val="0"/>
                <w:szCs w:val="21"/>
                <w:highlight w:val="none"/>
              </w:rPr>
              <w:t>项目名称：</w:t>
            </w:r>
            <w:r>
              <w:rPr>
                <w:rFonts w:hint="eastAsia" w:ascii="宋体" w:hAnsi="宋体"/>
                <w:b w:val="0"/>
                <w:bCs w:val="0"/>
                <w:color w:val="auto"/>
                <w:szCs w:val="21"/>
                <w:highlight w:val="none"/>
                <w:u w:val="single"/>
                <w:lang w:eastAsia="zh-CN"/>
              </w:rPr>
              <w:t>2026年上海市对口帮扶龙陵县龙山镇横山村石斛鲜切花种植试验示范基地建设项目（EPC+O）</w:t>
            </w:r>
            <w:r>
              <w:rPr>
                <w:rFonts w:hint="eastAsia" w:ascii="宋体" w:hAnsi="宋体" w:eastAsia="宋体"/>
                <w:b w:val="0"/>
                <w:bCs w:val="0"/>
                <w:color w:val="auto"/>
                <w:kern w:val="0"/>
                <w:szCs w:val="21"/>
                <w:highlight w:val="none"/>
              </w:rPr>
              <w:t>，保证金金额（人民币）</w:t>
            </w:r>
            <w:r>
              <w:rPr>
                <w:rFonts w:hint="eastAsia" w:ascii="宋体" w:hAnsi="宋体" w:eastAsia="宋体"/>
                <w:b w:val="0"/>
                <w:bCs w:val="0"/>
                <w:color w:val="auto"/>
                <w:kern w:val="0"/>
                <w:szCs w:val="21"/>
                <w:highlight w:val="none"/>
              </w:rPr>
              <w:t>：</w:t>
            </w:r>
            <w:r>
              <w:rPr>
                <w:rFonts w:hint="eastAsia" w:ascii="宋体" w:hAnsi="宋体"/>
                <w:b w:val="0"/>
                <w:bCs w:val="0"/>
                <w:color w:val="auto"/>
                <w:kern w:val="0"/>
                <w:szCs w:val="21"/>
                <w:highlight w:val="none"/>
                <w:u w:val="single"/>
                <w:lang w:val="en-US" w:eastAsia="zh-CN"/>
              </w:rPr>
              <w:t xml:space="preserve"> </w:t>
            </w:r>
            <w:r>
              <w:rPr>
                <w:rFonts w:hint="eastAsia"/>
                <w:b w:val="0"/>
                <w:bCs w:val="0"/>
                <w:color w:val="auto"/>
                <w:highlight w:val="none"/>
                <w:u w:val="single"/>
                <w:lang w:val="en-US" w:eastAsia="zh-CN"/>
              </w:rPr>
              <w:t xml:space="preserve">/ </w:t>
            </w:r>
            <w:r>
              <w:rPr>
                <w:rFonts w:hint="eastAsia" w:ascii="宋体" w:hAnsi="宋体" w:eastAsia="宋体"/>
                <w:b w:val="0"/>
                <w:bCs w:val="0"/>
                <w:color w:val="auto"/>
                <w:kern w:val="0"/>
                <w:szCs w:val="21"/>
                <w:highlight w:val="none"/>
                <w:u w:val="none"/>
                <w:lang w:val="en-US" w:eastAsia="zh-CN"/>
              </w:rPr>
              <w:t>万</w:t>
            </w:r>
            <w:r>
              <w:rPr>
                <w:rFonts w:hint="eastAsia" w:ascii="宋体" w:hAnsi="宋体" w:eastAsia="宋体"/>
                <w:b w:val="0"/>
                <w:bCs w:val="0"/>
                <w:color w:val="auto"/>
                <w:kern w:val="0"/>
                <w:szCs w:val="21"/>
                <w:highlight w:val="none"/>
              </w:rPr>
              <w:t>元</w:t>
            </w:r>
            <w:r>
              <w:rPr>
                <w:rFonts w:hint="eastAsia" w:ascii="宋体" w:hAnsi="宋体" w:eastAsia="宋体"/>
                <w:color w:val="auto"/>
                <w:kern w:val="0"/>
                <w:szCs w:val="21"/>
                <w:highlight w:val="none"/>
              </w:rPr>
              <w:t>。流程：第一步：投标人登录云南省公共资源交易中心（https://www.ynggzy.com/），点击【新交易系统（工程建设类）】，选择【投标方】，登录云南省公共资源交易系统， 使用投标人 CA 登录，完成项目投标报名及下载招标文件。第二步：选择保证金缴纳方式登录后，首先需要在【我要投标】菜单，选择对应的项目，点击【我要投标】，在【我确认投标的项目】菜单中找到确认投标的项目，点击【进入项目】，进入项目详情，点击【缴纳保证金】图标后，选择【确认投标保证金】。第三步：用户进入保证金缴纳页面，在【保险保函】-【电子保险保函】模块下点击【去购买】或【购买保险保函】，用户选择金融机构，选择【工程保证保险网】选择【出函机构】。</w:t>
            </w:r>
          </w:p>
          <w:p w14:paraId="4EEA59D7">
            <w:pPr>
              <w:spacing w:line="400" w:lineRule="exact"/>
              <w:rPr>
                <w:rFonts w:ascii="宋体" w:hAnsi="宋体" w:eastAsia="宋体" w:cs="宋体"/>
                <w:color w:val="auto"/>
                <w:highlight w:val="none"/>
              </w:rPr>
            </w:pPr>
            <w:r>
              <w:rPr>
                <w:rFonts w:hint="eastAsia" w:ascii="宋体" w:hAnsi="宋体" w:eastAsia="宋体" w:cs="宋体"/>
                <w:color w:val="auto"/>
                <w:highlight w:val="none"/>
              </w:rPr>
              <w:t>1.当投标人未能按照招标文件要求履行投标义务而导致招标人受到损失时，由保险公司按照保险合同对招标人的损失承担代偿责任；</w:t>
            </w:r>
          </w:p>
          <w:p w14:paraId="7A4324FB">
            <w:pPr>
              <w:spacing w:line="400" w:lineRule="exact"/>
              <w:rPr>
                <w:rFonts w:ascii="宋体" w:hAnsi="宋体" w:eastAsia="宋体" w:cs="宋体"/>
                <w:color w:val="auto"/>
                <w:highlight w:val="none"/>
              </w:rPr>
            </w:pPr>
            <w:r>
              <w:rPr>
                <w:rFonts w:hint="eastAsia" w:ascii="宋体" w:hAnsi="宋体" w:eastAsia="宋体" w:cs="宋体"/>
                <w:color w:val="auto"/>
                <w:highlight w:val="none"/>
              </w:rPr>
              <w:t>2.投标人在支付投标保证金保险费时，必须使用基本账户资金支付购买。为从基本账户转出支付保费造成经济纠纷的应由企业自行承担；</w:t>
            </w:r>
          </w:p>
          <w:p w14:paraId="7E1EBD3B">
            <w:pPr>
              <w:spacing w:line="400" w:lineRule="exact"/>
              <w:rPr>
                <w:rFonts w:ascii="宋体" w:hAnsi="宋体" w:eastAsia="宋体" w:cs="宋体"/>
                <w:color w:val="auto"/>
                <w:highlight w:val="none"/>
              </w:rPr>
            </w:pPr>
            <w:r>
              <w:rPr>
                <w:rFonts w:hint="eastAsia" w:ascii="宋体" w:hAnsi="宋体" w:eastAsia="宋体" w:cs="宋体"/>
                <w:color w:val="auto"/>
                <w:highlight w:val="none"/>
              </w:rPr>
              <w:t>3.在投标保证保险中，投标人为投保人，招标人为被保险人。</w:t>
            </w:r>
          </w:p>
          <w:p w14:paraId="21BB2F32">
            <w:pPr>
              <w:spacing w:line="400" w:lineRule="exact"/>
              <w:rPr>
                <w:rFonts w:ascii="宋体" w:hAnsi="宋体" w:eastAsia="宋体" w:cs="宋体"/>
                <w:color w:val="auto"/>
                <w:highlight w:val="none"/>
              </w:rPr>
            </w:pPr>
            <w:r>
              <w:rPr>
                <w:rFonts w:hint="eastAsia" w:ascii="宋体" w:hAnsi="宋体" w:eastAsia="宋体" w:cs="宋体"/>
                <w:color w:val="auto"/>
                <w:highlight w:val="none"/>
              </w:rPr>
              <w:t>4.投标人投标成功，视同缴交投标保证金，保险期限开始。中标公示及中标通知书发放后，未中标人保险期限自动终止，中标人保险期限延至合同签订，中标人签订承发合同后，则保险期限自动终止。</w:t>
            </w:r>
          </w:p>
          <w:p w14:paraId="2121DE0E">
            <w:pPr>
              <w:spacing w:line="400" w:lineRule="exact"/>
              <w:rPr>
                <w:rFonts w:ascii="宋体" w:hAnsi="宋体" w:eastAsia="宋体" w:cs="宋体"/>
                <w:color w:val="auto"/>
                <w:highlight w:val="none"/>
              </w:rPr>
            </w:pPr>
            <w:r>
              <w:rPr>
                <w:rFonts w:hint="eastAsia" w:ascii="宋体" w:hAnsi="宋体" w:eastAsia="宋体" w:cs="宋体"/>
                <w:color w:val="auto"/>
                <w:highlight w:val="none"/>
              </w:rPr>
              <w:t>5.同一项目发生多次流标、多次开标，工程投标保证保险只购买一次。</w:t>
            </w:r>
          </w:p>
          <w:p w14:paraId="4CBB54B2">
            <w:pPr>
              <w:spacing w:line="400" w:lineRule="exact"/>
              <w:rPr>
                <w:rFonts w:ascii="宋体" w:hAnsi="宋体" w:eastAsia="宋体" w:cs="宋体"/>
                <w:b/>
                <w:color w:val="auto"/>
                <w:highlight w:val="none"/>
              </w:rPr>
            </w:pPr>
            <w:r>
              <w:rPr>
                <w:rFonts w:hint="eastAsia" w:ascii="宋体" w:hAnsi="宋体" w:eastAsia="宋体" w:cs="宋体"/>
                <w:b/>
                <w:color w:val="auto"/>
                <w:highlight w:val="none"/>
              </w:rPr>
              <w:t>四.如投标人发生下列情况之一时，投标保证金将被没收：</w:t>
            </w:r>
          </w:p>
          <w:p w14:paraId="512A8F95">
            <w:pPr>
              <w:spacing w:line="400" w:lineRule="exact"/>
              <w:rPr>
                <w:rFonts w:ascii="宋体" w:hAnsi="宋体" w:eastAsia="宋体" w:cs="宋体"/>
                <w:color w:val="auto"/>
                <w:highlight w:val="none"/>
              </w:rPr>
            </w:pPr>
            <w:r>
              <w:rPr>
                <w:rFonts w:hint="eastAsia" w:ascii="宋体" w:hAnsi="宋体" w:eastAsia="宋体" w:cs="宋体"/>
                <w:color w:val="auto"/>
                <w:highlight w:val="none"/>
              </w:rPr>
              <w:t>1.投标人在规定的投标有效期内撤销或修改其投标文件的。</w:t>
            </w:r>
          </w:p>
          <w:p w14:paraId="2A81AD41">
            <w:pPr>
              <w:spacing w:line="400" w:lineRule="exact"/>
              <w:rPr>
                <w:rFonts w:ascii="宋体" w:hAnsi="宋体" w:eastAsia="宋体" w:cs="宋体"/>
                <w:color w:val="auto"/>
                <w:highlight w:val="none"/>
              </w:rPr>
            </w:pPr>
            <w:r>
              <w:rPr>
                <w:rFonts w:hint="eastAsia" w:ascii="宋体" w:hAnsi="宋体" w:eastAsia="宋体" w:cs="宋体"/>
                <w:color w:val="auto"/>
                <w:highlight w:val="none"/>
              </w:rPr>
              <w:t>2.投标人中标后，非因不可抗力原因放弃中标、无正当理由不与招标人订立合同、在签订合同时向招标人提出附加条件、或者不按照招标文件要求提交履约保证金的。</w:t>
            </w:r>
          </w:p>
          <w:p w14:paraId="43350D59">
            <w:pPr>
              <w:spacing w:line="400" w:lineRule="exact"/>
              <w:rPr>
                <w:rFonts w:ascii="宋体" w:hAnsi="宋体" w:eastAsia="宋体" w:cs="宋体"/>
                <w:color w:val="auto"/>
                <w:highlight w:val="none"/>
              </w:rPr>
            </w:pPr>
            <w:r>
              <w:rPr>
                <w:rFonts w:hint="eastAsia" w:ascii="宋体" w:hAnsi="宋体" w:eastAsia="宋体" w:cs="宋体"/>
                <w:color w:val="auto"/>
                <w:highlight w:val="none"/>
              </w:rPr>
              <w:t>3.投标人中标后，因违法行为导致中标被依法确认无效的。</w:t>
            </w:r>
          </w:p>
          <w:p w14:paraId="0EED938D">
            <w:p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2"/>
                <w:highlight w:val="none"/>
              </w:rPr>
              <w:t>4.法律、法规规定的其他没收投标保证金情形。</w:t>
            </w:r>
          </w:p>
        </w:tc>
      </w:tr>
      <w:tr w14:paraId="330B2A07">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12255A0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208" w:type="dxa"/>
            <w:tcBorders>
              <w:top w:val="single" w:color="auto" w:sz="4" w:space="0"/>
              <w:left w:val="single" w:color="auto" w:sz="4" w:space="0"/>
              <w:bottom w:val="single" w:color="auto" w:sz="4" w:space="0"/>
              <w:right w:val="single" w:color="auto" w:sz="4" w:space="0"/>
            </w:tcBorders>
            <w:vAlign w:val="center"/>
          </w:tcPr>
          <w:p w14:paraId="07792E8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近年财务状况</w:t>
            </w:r>
          </w:p>
        </w:tc>
        <w:tc>
          <w:tcPr>
            <w:tcW w:w="6476" w:type="dxa"/>
            <w:tcBorders>
              <w:top w:val="single" w:color="auto" w:sz="4" w:space="0"/>
              <w:left w:val="single" w:color="auto" w:sz="4" w:space="0"/>
              <w:bottom w:val="single" w:color="auto" w:sz="4" w:space="0"/>
              <w:right w:val="single" w:color="auto" w:sz="4" w:space="0"/>
            </w:tcBorders>
            <w:shd w:val="clear" w:color="auto" w:fill="auto"/>
            <w:vAlign w:val="center"/>
          </w:tcPr>
          <w:p w14:paraId="0B941006">
            <w:pPr>
              <w:snapToGri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财务状况良好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未处于财产被接管、冻结和破产状态。</w:t>
            </w:r>
            <w:r>
              <w:rPr>
                <w:rFonts w:hint="eastAsia" w:ascii="宋体" w:hAnsi="宋体" w:eastAsia="宋体" w:cs="宋体"/>
                <w:color w:val="auto"/>
                <w:kern w:val="2"/>
                <w:sz w:val="21"/>
                <w:szCs w:val="21"/>
                <w:highlight w:val="none"/>
                <w:lang w:val="zh-CN" w:eastAsia="zh-CN"/>
              </w:rPr>
              <w:t>（若为联合体投标的，</w:t>
            </w:r>
            <w:r>
              <w:rPr>
                <w:rFonts w:hint="eastAsia" w:ascii="宋体" w:hAnsi="宋体" w:eastAsia="宋体" w:cs="宋体"/>
                <w:color w:val="auto"/>
                <w:kern w:val="2"/>
                <w:sz w:val="21"/>
                <w:szCs w:val="21"/>
                <w:highlight w:val="none"/>
                <w:lang w:val="en-US" w:eastAsia="zh-CN"/>
              </w:rPr>
              <w:t>由联合体牵头人</w:t>
            </w:r>
            <w:r>
              <w:rPr>
                <w:rFonts w:hint="eastAsia" w:ascii="宋体" w:hAnsi="宋体" w:eastAsia="宋体" w:cs="宋体"/>
                <w:color w:val="auto"/>
                <w:kern w:val="2"/>
                <w:sz w:val="21"/>
                <w:szCs w:val="21"/>
                <w:highlight w:val="none"/>
                <w:lang w:val="zh-CN" w:eastAsia="zh-CN"/>
              </w:rPr>
              <w:t>提供）</w:t>
            </w:r>
            <w:r>
              <w:rPr>
                <w:rFonts w:hint="eastAsia" w:ascii="宋体" w:hAnsi="宋体" w:cs="宋体"/>
                <w:color w:val="auto"/>
                <w:kern w:val="2"/>
                <w:sz w:val="21"/>
                <w:szCs w:val="21"/>
                <w:highlight w:val="none"/>
                <w:lang w:val="en-US" w:eastAsia="zh-CN"/>
              </w:rPr>
              <w:t>投标人</w:t>
            </w:r>
            <w:r>
              <w:rPr>
                <w:rFonts w:hint="eastAsia" w:ascii="宋体" w:hAnsi="宋体" w:cs="宋体"/>
                <w:color w:val="auto"/>
                <w:highlight w:val="none"/>
                <w:lang w:val="zh-CN"/>
              </w:rPr>
              <w:t>须提供</w:t>
            </w:r>
            <w:r>
              <w:rPr>
                <w:rFonts w:hint="eastAsia" w:ascii="宋体" w:hAnsi="宋体" w:cs="宋体"/>
                <w:color w:val="auto"/>
                <w:highlight w:val="none"/>
                <w:lang w:eastAsia="zh-CN"/>
              </w:rPr>
              <w:t>2024年度或2025年度</w:t>
            </w:r>
            <w:r>
              <w:rPr>
                <w:rFonts w:hint="eastAsia" w:ascii="宋体" w:hAnsi="宋体" w:cs="宋体"/>
                <w:color w:val="auto"/>
                <w:highlight w:val="none"/>
                <w:lang w:val="en-US" w:eastAsia="zh-CN"/>
              </w:rPr>
              <w:t>财务报表</w:t>
            </w:r>
            <w:r>
              <w:rPr>
                <w:rFonts w:hint="eastAsia" w:ascii="宋体" w:hAnsi="宋体" w:cs="宋体"/>
                <w:color w:val="auto"/>
                <w:highlight w:val="none"/>
                <w:lang w:val="zh-CN"/>
              </w:rPr>
              <w:t>（包括资产负债表、利润表、现金流量表）；若成立时间不足一年或基本银行账户</w:t>
            </w:r>
            <w:r>
              <w:rPr>
                <w:rFonts w:hint="eastAsia" w:ascii="宋体" w:hAnsi="宋体" w:cs="宋体"/>
                <w:color w:val="auto"/>
                <w:highlight w:val="none"/>
              </w:rPr>
              <w:t>开户时间不足一年或</w:t>
            </w:r>
            <w:r>
              <w:rPr>
                <w:rFonts w:hint="eastAsia" w:ascii="宋体" w:hAnsi="宋体" w:cs="宋体"/>
                <w:color w:val="auto"/>
                <w:highlight w:val="none"/>
                <w:lang w:val="zh-CN"/>
              </w:rPr>
              <w:t>本项目公告发布之日前一年期间内首次取得资质证书（时间以安全许可证发证日期为准）的，可提供目前现已有的财务报表或基本开户银行出具的资信证明。</w:t>
            </w:r>
          </w:p>
        </w:tc>
      </w:tr>
      <w:tr w14:paraId="2DEEE91D">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04E4C83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208" w:type="dxa"/>
            <w:tcBorders>
              <w:top w:val="single" w:color="auto" w:sz="4" w:space="0"/>
              <w:left w:val="single" w:color="auto" w:sz="4" w:space="0"/>
              <w:bottom w:val="single" w:color="auto" w:sz="4" w:space="0"/>
              <w:right w:val="single" w:color="auto" w:sz="4" w:space="0"/>
            </w:tcBorders>
            <w:vAlign w:val="center"/>
          </w:tcPr>
          <w:p w14:paraId="348CCB78">
            <w:pPr>
              <w:spacing w:line="360" w:lineRule="auto"/>
              <w:ind w:firstLine="42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近年完成的类似项目</w:t>
            </w:r>
          </w:p>
        </w:tc>
        <w:tc>
          <w:tcPr>
            <w:tcW w:w="6476" w:type="dxa"/>
            <w:tcBorders>
              <w:top w:val="single" w:color="auto" w:sz="4" w:space="0"/>
              <w:left w:val="single" w:color="auto" w:sz="4" w:space="0"/>
              <w:bottom w:val="single" w:color="auto" w:sz="4" w:space="0"/>
              <w:right w:val="single" w:color="auto" w:sz="4" w:space="0"/>
            </w:tcBorders>
            <w:vAlign w:val="center"/>
          </w:tcPr>
          <w:p w14:paraId="21A39F9E">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此项不予考核，投标人根据自身情况提供。</w:t>
            </w:r>
          </w:p>
        </w:tc>
      </w:tr>
      <w:tr w14:paraId="48DE7C0E">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34E2865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208" w:type="dxa"/>
            <w:tcBorders>
              <w:top w:val="single" w:color="auto" w:sz="4" w:space="0"/>
              <w:left w:val="single" w:color="auto" w:sz="4" w:space="0"/>
              <w:bottom w:val="single" w:color="auto" w:sz="4" w:space="0"/>
              <w:right w:val="single" w:color="auto" w:sz="4" w:space="0"/>
            </w:tcBorders>
            <w:vAlign w:val="center"/>
          </w:tcPr>
          <w:p w14:paraId="09CD7D9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w:t>
            </w:r>
          </w:p>
        </w:tc>
        <w:tc>
          <w:tcPr>
            <w:tcW w:w="6476" w:type="dxa"/>
            <w:tcBorders>
              <w:top w:val="single" w:color="auto" w:sz="4" w:space="0"/>
              <w:left w:val="single" w:color="auto" w:sz="4" w:space="0"/>
              <w:bottom w:val="single" w:color="auto" w:sz="4" w:space="0"/>
              <w:right w:val="single" w:color="auto" w:sz="4" w:space="0"/>
            </w:tcBorders>
            <w:vAlign w:val="center"/>
          </w:tcPr>
          <w:p w14:paraId="43D66894">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近3年（</w:t>
            </w:r>
            <w:r>
              <w:rPr>
                <w:rFonts w:hint="eastAsia" w:ascii="宋体" w:hAnsi="宋体" w:eastAsia="宋体" w:cs="宋体"/>
                <w:color w:val="auto"/>
                <w:highlight w:val="none"/>
                <w:lang w:val="en-US" w:eastAsia="zh-CN"/>
              </w:rPr>
              <w:t>20</w:t>
            </w:r>
            <w:r>
              <w:rPr>
                <w:rFonts w:hint="eastAsia" w:ascii="宋体" w:hAnsi="宋体" w:cs="宋体"/>
                <w:color w:val="auto"/>
                <w:highlight w:val="none"/>
                <w:lang w:val="en-US" w:eastAsia="zh-CN"/>
              </w:rPr>
              <w:t>23</w:t>
            </w:r>
            <w:r>
              <w:rPr>
                <w:rFonts w:hint="eastAsia" w:ascii="宋体" w:hAnsi="宋体" w:eastAsia="宋体" w:cs="宋体"/>
                <w:color w:val="auto"/>
                <w:highlight w:val="none"/>
                <w:lang w:val="en-US" w:eastAsia="zh-CN"/>
              </w:rPr>
              <w:t>年</w:t>
            </w:r>
            <w:r>
              <w:rPr>
                <w:rFonts w:hint="eastAsia" w:ascii="宋体" w:hAnsi="宋体" w:cs="宋体"/>
                <w:color w:val="auto"/>
                <w:highlight w:val="none"/>
                <w:lang w:val="en-US" w:eastAsia="zh-CN"/>
              </w:rPr>
              <w:t>05</w:t>
            </w:r>
            <w:r>
              <w:rPr>
                <w:rFonts w:hint="eastAsia" w:ascii="宋体" w:hAnsi="宋体" w:eastAsia="宋体" w:cs="宋体"/>
                <w:color w:val="auto"/>
                <w:highlight w:val="none"/>
                <w:lang w:val="en-US" w:eastAsia="zh-CN"/>
              </w:rPr>
              <w:t>月01日至今</w:t>
            </w:r>
            <w:r>
              <w:rPr>
                <w:rFonts w:hint="eastAsia" w:ascii="宋体" w:hAnsi="宋体" w:cs="宋体"/>
                <w:color w:val="auto"/>
                <w:highlight w:val="none"/>
                <w:lang w:val="en-US" w:eastAsia="zh-CN"/>
              </w:rPr>
              <w:t>）</w:t>
            </w:r>
          </w:p>
        </w:tc>
      </w:tr>
      <w:tr w14:paraId="5BAF294B">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2B8233F7">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208" w:type="dxa"/>
            <w:tcBorders>
              <w:top w:val="single" w:color="auto" w:sz="4" w:space="0"/>
              <w:left w:val="single" w:color="auto" w:sz="4" w:space="0"/>
              <w:bottom w:val="single" w:color="auto" w:sz="4" w:space="0"/>
              <w:right w:val="single" w:color="auto" w:sz="4" w:space="0"/>
            </w:tcBorders>
            <w:vAlign w:val="center"/>
          </w:tcPr>
          <w:p w14:paraId="35BC1F6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是否允许递交备选投标方案</w:t>
            </w:r>
          </w:p>
        </w:tc>
        <w:tc>
          <w:tcPr>
            <w:tcW w:w="6476" w:type="dxa"/>
            <w:tcBorders>
              <w:top w:val="single" w:color="auto" w:sz="4" w:space="0"/>
              <w:left w:val="single" w:color="auto" w:sz="4" w:space="0"/>
              <w:bottom w:val="single" w:color="auto" w:sz="4" w:space="0"/>
              <w:right w:val="single" w:color="auto" w:sz="4" w:space="0"/>
            </w:tcBorders>
            <w:vAlign w:val="center"/>
          </w:tcPr>
          <w:p w14:paraId="312DCC7D">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■不允许</w:t>
            </w:r>
          </w:p>
          <w:p w14:paraId="1953A463">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□允许</w:t>
            </w:r>
          </w:p>
        </w:tc>
      </w:tr>
      <w:tr w14:paraId="3A09F2FE">
        <w:tblPrEx>
          <w:tblCellMar>
            <w:top w:w="0" w:type="dxa"/>
            <w:left w:w="108" w:type="dxa"/>
            <w:bottom w:w="0" w:type="dxa"/>
            <w:right w:w="108" w:type="dxa"/>
          </w:tblCellMar>
        </w:tblPrEx>
        <w:trPr>
          <w:gridBefore w:val="1"/>
          <w:wBefore w:w="6" w:type="dxa"/>
          <w:trHeight w:val="90" w:hRule="atLeast"/>
        </w:trPr>
        <w:tc>
          <w:tcPr>
            <w:tcW w:w="948" w:type="dxa"/>
            <w:tcBorders>
              <w:top w:val="single" w:color="auto" w:sz="4" w:space="0"/>
              <w:left w:val="single" w:color="auto" w:sz="4" w:space="0"/>
              <w:bottom w:val="single" w:color="auto" w:sz="4" w:space="0"/>
              <w:right w:val="single" w:color="auto" w:sz="4" w:space="0"/>
            </w:tcBorders>
            <w:vAlign w:val="center"/>
          </w:tcPr>
          <w:p w14:paraId="5C518BE5">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3.7.1</w:t>
            </w:r>
          </w:p>
        </w:tc>
        <w:tc>
          <w:tcPr>
            <w:tcW w:w="2208" w:type="dxa"/>
            <w:tcBorders>
              <w:top w:val="single" w:color="auto" w:sz="4" w:space="0"/>
              <w:left w:val="single" w:color="auto" w:sz="4" w:space="0"/>
              <w:bottom w:val="single" w:color="auto" w:sz="4" w:space="0"/>
              <w:right w:val="single" w:color="auto" w:sz="4" w:space="0"/>
            </w:tcBorders>
            <w:vAlign w:val="center"/>
          </w:tcPr>
          <w:p w14:paraId="30F48AD4">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电子投标文件格式</w:t>
            </w:r>
          </w:p>
        </w:tc>
        <w:tc>
          <w:tcPr>
            <w:tcW w:w="6476" w:type="dxa"/>
            <w:tcBorders>
              <w:top w:val="single" w:color="auto" w:sz="4" w:space="0"/>
              <w:left w:val="single" w:color="auto" w:sz="4" w:space="0"/>
              <w:bottom w:val="single" w:color="auto" w:sz="4" w:space="0"/>
              <w:right w:val="single" w:color="auto" w:sz="4" w:space="0"/>
            </w:tcBorders>
            <w:vAlign w:val="center"/>
          </w:tcPr>
          <w:p w14:paraId="6CC5D8AD">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投标文件全部采用电子文档，格式为*.BTBJ，应使用《云南省工程建设模块化投标文件编制系统》制作，并进行电子签名（或签字）及加密。</w:t>
            </w:r>
          </w:p>
          <w:p w14:paraId="2DA459F7">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在编制标投标文件时，粘贴图片建议使用JPG格式的文件，并且每张图片的分辩率应小于100dpi。</w:t>
            </w:r>
          </w:p>
          <w:p w14:paraId="7D28A963">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编制要求见附件《电子投标文件编制及报送要求》。</w:t>
            </w:r>
          </w:p>
        </w:tc>
      </w:tr>
      <w:tr w14:paraId="62D1BBAF">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6F021D62">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3.7.3</w:t>
            </w:r>
          </w:p>
        </w:tc>
        <w:tc>
          <w:tcPr>
            <w:tcW w:w="2208" w:type="dxa"/>
            <w:tcBorders>
              <w:top w:val="single" w:color="auto" w:sz="4" w:space="0"/>
              <w:left w:val="single" w:color="auto" w:sz="4" w:space="0"/>
              <w:bottom w:val="single" w:color="auto" w:sz="4" w:space="0"/>
              <w:right w:val="single" w:color="auto" w:sz="4" w:space="0"/>
            </w:tcBorders>
            <w:vAlign w:val="center"/>
          </w:tcPr>
          <w:p w14:paraId="0ADE8405">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签字或盖章要求</w:t>
            </w:r>
          </w:p>
        </w:tc>
        <w:tc>
          <w:tcPr>
            <w:tcW w:w="6476" w:type="dxa"/>
            <w:tcBorders>
              <w:top w:val="single" w:color="auto" w:sz="4" w:space="0"/>
              <w:left w:val="single" w:color="auto" w:sz="4" w:space="0"/>
              <w:bottom w:val="single" w:color="auto" w:sz="4" w:space="0"/>
              <w:right w:val="single" w:color="auto" w:sz="4" w:space="0"/>
            </w:tcBorders>
            <w:vAlign w:val="center"/>
          </w:tcPr>
          <w:p w14:paraId="5095B96D">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1.按照投标文件格式，采用单位和个人数字证书电子签章（或盖章）及电子签名（或签字）。</w:t>
            </w:r>
          </w:p>
          <w:p w14:paraId="0FD4DC71">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2.投标文件在需要电子签章（或盖章）的地方进行电子签章（或盖章），无需逐页电子签章（或盖章）。</w:t>
            </w:r>
          </w:p>
          <w:p w14:paraId="610A3F90">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联合体投标的，投标文件所有要求签字或盖章的地方由联合体牵头人单位根据投标文件格式盖章或签字即可(即投标文件中除法定代表人身份证明、联合体协议书等其格式中有明确要求由各联合体成员单位分别盖章或签字的部分以外，其余要求盖章或签字处可以只由联合体牵头人盖章或签字，与联合体中各成员的行为具有同等法律效力)。</w:t>
            </w:r>
          </w:p>
        </w:tc>
      </w:tr>
      <w:tr w14:paraId="7BDA3761">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26790D6D">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208" w:type="dxa"/>
            <w:tcBorders>
              <w:top w:val="single" w:color="auto" w:sz="4" w:space="0"/>
              <w:left w:val="single" w:color="auto" w:sz="4" w:space="0"/>
              <w:bottom w:val="single" w:color="auto" w:sz="4" w:space="0"/>
              <w:right w:val="single" w:color="auto" w:sz="4" w:space="0"/>
            </w:tcBorders>
            <w:vAlign w:val="center"/>
          </w:tcPr>
          <w:p w14:paraId="2C8479AE">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纸质投标文件份数</w:t>
            </w:r>
          </w:p>
        </w:tc>
        <w:tc>
          <w:tcPr>
            <w:tcW w:w="6476" w:type="dxa"/>
            <w:tcBorders>
              <w:top w:val="single" w:color="auto" w:sz="4" w:space="0"/>
              <w:left w:val="single" w:color="auto" w:sz="4" w:space="0"/>
              <w:bottom w:val="single" w:color="auto" w:sz="4" w:space="0"/>
              <w:right w:val="single" w:color="auto" w:sz="4" w:space="0"/>
            </w:tcBorders>
            <w:vAlign w:val="center"/>
          </w:tcPr>
          <w:p w14:paraId="4E80604D">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投标现场不递交。</w:t>
            </w:r>
          </w:p>
          <w:p w14:paraId="34426AAD">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b/>
                <w:bCs/>
                <w:color w:val="auto"/>
                <w:highlight w:val="none"/>
                <w:lang w:val="en-US" w:eastAsia="zh-CN"/>
              </w:rPr>
              <w:t>投标人中标后须提交</w:t>
            </w:r>
            <w:r>
              <w:rPr>
                <w:rFonts w:hint="eastAsia" w:ascii="宋体" w:hAnsi="宋体" w:cs="宋体"/>
                <w:b/>
                <w:bCs/>
                <w:color w:val="auto"/>
                <w:highlight w:val="none"/>
                <w:lang w:val="en-US" w:eastAsia="zh-CN"/>
              </w:rPr>
              <w:t>2</w:t>
            </w:r>
            <w:r>
              <w:rPr>
                <w:rFonts w:hint="eastAsia" w:ascii="宋体" w:hAnsi="宋体" w:eastAsia="宋体" w:cs="宋体"/>
                <w:b/>
                <w:bCs/>
                <w:color w:val="auto"/>
                <w:highlight w:val="none"/>
                <w:lang w:val="en-US" w:eastAsia="zh-CN"/>
              </w:rPr>
              <w:t>份</w:t>
            </w:r>
            <w:r>
              <w:rPr>
                <w:rFonts w:hint="eastAsia" w:ascii="宋体" w:hAnsi="宋体" w:cs="宋体"/>
                <w:b/>
                <w:bCs/>
                <w:color w:val="auto"/>
                <w:highlight w:val="none"/>
                <w:lang w:val="en-US" w:eastAsia="zh-CN"/>
              </w:rPr>
              <w:t>（彩色打印）</w:t>
            </w:r>
            <w:r>
              <w:rPr>
                <w:rFonts w:hint="eastAsia" w:ascii="宋体" w:hAnsi="宋体" w:eastAsia="宋体" w:cs="宋体"/>
                <w:b/>
                <w:bCs/>
                <w:color w:val="auto"/>
                <w:highlight w:val="none"/>
                <w:lang w:val="en-US" w:eastAsia="zh-CN"/>
              </w:rPr>
              <w:t>与网上上传的电子投标文件完全一致的纸质标书给招标人。</w:t>
            </w:r>
          </w:p>
          <w:p w14:paraId="47D10EA6">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中标后提交的纸质投标文件应按要求装订成册，不得采用活页夹，并编制目录和连续页码。</w:t>
            </w:r>
          </w:p>
        </w:tc>
      </w:tr>
      <w:tr w14:paraId="1DD47CFC">
        <w:tblPrEx>
          <w:tblCellMar>
            <w:top w:w="0" w:type="dxa"/>
            <w:left w:w="108" w:type="dxa"/>
            <w:bottom w:w="0" w:type="dxa"/>
            <w:right w:w="108" w:type="dxa"/>
          </w:tblCellMar>
        </w:tblPrEx>
        <w:trPr>
          <w:gridBefore w:val="1"/>
          <w:wBefore w:w="6" w:type="dxa"/>
          <w:trHeight w:val="590" w:hRule="atLeast"/>
        </w:trPr>
        <w:tc>
          <w:tcPr>
            <w:tcW w:w="948" w:type="dxa"/>
            <w:tcBorders>
              <w:top w:val="single" w:color="auto" w:sz="4" w:space="0"/>
              <w:left w:val="single" w:color="auto" w:sz="4" w:space="0"/>
              <w:right w:val="single" w:color="auto" w:sz="4" w:space="0"/>
            </w:tcBorders>
            <w:vAlign w:val="center"/>
          </w:tcPr>
          <w:p w14:paraId="60E25B65">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208" w:type="dxa"/>
            <w:tcBorders>
              <w:top w:val="single" w:color="auto" w:sz="4" w:space="0"/>
              <w:left w:val="single" w:color="auto" w:sz="4" w:space="0"/>
              <w:bottom w:val="single" w:color="auto" w:sz="4" w:space="0"/>
              <w:right w:val="single" w:color="auto" w:sz="4" w:space="0"/>
            </w:tcBorders>
            <w:vAlign w:val="center"/>
          </w:tcPr>
          <w:p w14:paraId="25CF7AD4">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投标文件的上传要求</w:t>
            </w:r>
          </w:p>
        </w:tc>
        <w:tc>
          <w:tcPr>
            <w:tcW w:w="6476" w:type="dxa"/>
            <w:tcBorders>
              <w:top w:val="single" w:color="auto" w:sz="4" w:space="0"/>
              <w:left w:val="single" w:color="auto" w:sz="4" w:space="0"/>
              <w:bottom w:val="single" w:color="auto" w:sz="4" w:space="0"/>
              <w:right w:val="single" w:color="auto" w:sz="4" w:space="0"/>
            </w:tcBorders>
            <w:vAlign w:val="center"/>
          </w:tcPr>
          <w:p w14:paraId="1482877F">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或上传的电子投标文件未能成功解密的，视为撤回投标文件。</w:t>
            </w:r>
          </w:p>
        </w:tc>
      </w:tr>
      <w:tr w14:paraId="4960D3BF">
        <w:tblPrEx>
          <w:tblCellMar>
            <w:top w:w="0" w:type="dxa"/>
            <w:left w:w="108" w:type="dxa"/>
            <w:bottom w:w="0" w:type="dxa"/>
            <w:right w:w="108" w:type="dxa"/>
          </w:tblCellMar>
        </w:tblPrEx>
        <w:trPr>
          <w:gridBefore w:val="1"/>
          <w:wBefore w:w="6" w:type="dxa"/>
          <w:trHeight w:val="461" w:hRule="atLeast"/>
        </w:trPr>
        <w:tc>
          <w:tcPr>
            <w:tcW w:w="948" w:type="dxa"/>
            <w:tcBorders>
              <w:top w:val="single" w:color="auto" w:sz="4" w:space="0"/>
              <w:left w:val="single" w:color="auto" w:sz="4" w:space="0"/>
              <w:right w:val="single" w:color="auto" w:sz="4" w:space="0"/>
            </w:tcBorders>
            <w:vAlign w:val="center"/>
          </w:tcPr>
          <w:p w14:paraId="77B8593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208" w:type="dxa"/>
            <w:tcBorders>
              <w:top w:val="single" w:color="auto" w:sz="4" w:space="0"/>
              <w:left w:val="single" w:color="auto" w:sz="4" w:space="0"/>
              <w:bottom w:val="single" w:color="auto" w:sz="4" w:space="0"/>
              <w:right w:val="single" w:color="auto" w:sz="4" w:space="0"/>
            </w:tcBorders>
            <w:vAlign w:val="center"/>
          </w:tcPr>
          <w:p w14:paraId="1C84B9B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投标文件的密封 </w:t>
            </w:r>
          </w:p>
        </w:tc>
        <w:tc>
          <w:tcPr>
            <w:tcW w:w="6476" w:type="dxa"/>
            <w:tcBorders>
              <w:top w:val="single" w:color="auto" w:sz="4" w:space="0"/>
              <w:left w:val="single" w:color="auto" w:sz="4" w:space="0"/>
              <w:bottom w:val="single" w:color="auto" w:sz="4" w:space="0"/>
              <w:right w:val="single" w:color="auto" w:sz="4" w:space="0"/>
            </w:tcBorders>
            <w:vAlign w:val="center"/>
          </w:tcPr>
          <w:p w14:paraId="288C82B5">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网上递交的投标文件应使用数字证书进行加密。</w:t>
            </w:r>
          </w:p>
        </w:tc>
      </w:tr>
      <w:tr w14:paraId="009267BC">
        <w:tblPrEx>
          <w:tblCellMar>
            <w:top w:w="0" w:type="dxa"/>
            <w:left w:w="108" w:type="dxa"/>
            <w:bottom w:w="0" w:type="dxa"/>
            <w:right w:w="108" w:type="dxa"/>
          </w:tblCellMar>
        </w:tblPrEx>
        <w:trPr>
          <w:gridBefore w:val="1"/>
          <w:wBefore w:w="6" w:type="dxa"/>
          <w:trHeight w:val="880" w:hRule="atLeast"/>
        </w:trPr>
        <w:tc>
          <w:tcPr>
            <w:tcW w:w="948" w:type="dxa"/>
            <w:tcBorders>
              <w:top w:val="single" w:color="auto" w:sz="4" w:space="0"/>
              <w:left w:val="single" w:color="auto" w:sz="4" w:space="0"/>
              <w:bottom w:val="nil"/>
              <w:right w:val="single" w:color="auto" w:sz="4" w:space="0"/>
            </w:tcBorders>
            <w:vAlign w:val="center"/>
          </w:tcPr>
          <w:p w14:paraId="7250AAF1">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208" w:type="dxa"/>
            <w:tcBorders>
              <w:top w:val="single" w:color="auto" w:sz="4" w:space="0"/>
              <w:left w:val="single" w:color="auto" w:sz="4" w:space="0"/>
              <w:bottom w:val="nil"/>
              <w:right w:val="single" w:color="auto" w:sz="4" w:space="0"/>
            </w:tcBorders>
            <w:vAlign w:val="center"/>
          </w:tcPr>
          <w:p w14:paraId="3134FAEB">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开标时间和地点</w:t>
            </w:r>
          </w:p>
        </w:tc>
        <w:tc>
          <w:tcPr>
            <w:tcW w:w="6476" w:type="dxa"/>
            <w:tcBorders>
              <w:top w:val="single" w:color="auto" w:sz="4" w:space="0"/>
              <w:left w:val="single" w:color="auto" w:sz="4" w:space="0"/>
              <w:bottom w:val="nil"/>
              <w:right w:val="single" w:color="auto" w:sz="4" w:space="0"/>
            </w:tcBorders>
            <w:vAlign w:val="center"/>
          </w:tcPr>
          <w:p w14:paraId="0B11EBE2">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开标时间：同投标截止时间</w:t>
            </w:r>
          </w:p>
          <w:p w14:paraId="0A553D2B">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开标地点：</w:t>
            </w:r>
            <w:r>
              <w:rPr>
                <w:rFonts w:hint="eastAsia" w:ascii="宋体" w:hAnsi="宋体" w:cs="宋体"/>
                <w:color w:val="auto"/>
                <w:highlight w:val="none"/>
                <w:lang w:val="en-US" w:eastAsia="zh-CN"/>
              </w:rPr>
              <w:t>龙陵县公共资源交易中心</w:t>
            </w:r>
          </w:p>
        </w:tc>
      </w:tr>
      <w:tr w14:paraId="18C9E64A">
        <w:tblPrEx>
          <w:tblCellMar>
            <w:top w:w="0" w:type="dxa"/>
            <w:left w:w="108" w:type="dxa"/>
            <w:bottom w:w="0" w:type="dxa"/>
            <w:right w:w="108" w:type="dxa"/>
          </w:tblCellMar>
        </w:tblPrEx>
        <w:trPr>
          <w:gridBefore w:val="1"/>
          <w:wBefore w:w="6" w:type="dxa"/>
          <w:trHeight w:val="5516" w:hRule="atLeast"/>
        </w:trPr>
        <w:tc>
          <w:tcPr>
            <w:tcW w:w="948" w:type="dxa"/>
            <w:tcBorders>
              <w:top w:val="single" w:color="auto" w:sz="4" w:space="0"/>
              <w:left w:val="single" w:color="auto" w:sz="4" w:space="0"/>
              <w:bottom w:val="nil"/>
              <w:right w:val="single" w:color="auto" w:sz="4" w:space="0"/>
            </w:tcBorders>
            <w:vAlign w:val="center"/>
          </w:tcPr>
          <w:p w14:paraId="5D95E1D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5.2</w:t>
            </w:r>
          </w:p>
        </w:tc>
        <w:tc>
          <w:tcPr>
            <w:tcW w:w="2208" w:type="dxa"/>
            <w:tcBorders>
              <w:top w:val="single" w:color="auto" w:sz="4" w:space="0"/>
              <w:left w:val="single" w:color="auto" w:sz="4" w:space="0"/>
              <w:bottom w:val="nil"/>
              <w:right w:val="single" w:color="auto" w:sz="4" w:space="0"/>
            </w:tcBorders>
            <w:vAlign w:val="center"/>
          </w:tcPr>
          <w:p w14:paraId="7A66886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开标程序及要求</w:t>
            </w:r>
          </w:p>
        </w:tc>
        <w:tc>
          <w:tcPr>
            <w:tcW w:w="6476" w:type="dxa"/>
            <w:tcBorders>
              <w:top w:val="single" w:color="auto" w:sz="4" w:space="0"/>
              <w:left w:val="single" w:color="auto" w:sz="4" w:space="0"/>
              <w:bottom w:val="nil"/>
              <w:right w:val="single" w:color="auto" w:sz="4" w:space="0"/>
            </w:tcBorders>
            <w:vAlign w:val="center"/>
          </w:tcPr>
          <w:p w14:paraId="07A8003D">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主持人按下列程序进行开标：</w:t>
            </w:r>
          </w:p>
          <w:p w14:paraId="7507BFB2">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(1)宣布开标纪律；</w:t>
            </w:r>
          </w:p>
          <w:p w14:paraId="2CD36FB4">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(2)宣布开标人、唱标人、记录人、行政监督等有关人员姓名；</w:t>
            </w:r>
          </w:p>
          <w:p w14:paraId="5AAA3F3F">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公共资源交易平台提取所有已成功上传的投标文件，由投标人对网上上传已加密的投标文件进行现场解密，解密完成后导入有效投标人的电子投标文件（格式为：*.ZCTBJ）。所有有效投标文件导入完成后进行唱标公布投标人名称、项目名称、投标报价、质量目标、工期、投标保证金及其他内容，并记录在案。因投标人原因造成投标文件未解密的，视为撤销其投标文件；</w:t>
            </w:r>
          </w:p>
          <w:p w14:paraId="6FA3AD81">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(4)招标人、投标人、行政监管人员、招标代理机构、交易中心有关人员在开标记录上签字确认；</w:t>
            </w:r>
          </w:p>
          <w:p w14:paraId="6C6F7A2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(5)开标结束。</w:t>
            </w:r>
          </w:p>
        </w:tc>
      </w:tr>
      <w:tr w14:paraId="0A8C8E69">
        <w:tblPrEx>
          <w:tblCellMar>
            <w:top w:w="0" w:type="dxa"/>
            <w:left w:w="108" w:type="dxa"/>
            <w:bottom w:w="0" w:type="dxa"/>
            <w:right w:w="108" w:type="dxa"/>
          </w:tblCellMar>
        </w:tblPrEx>
        <w:trPr>
          <w:gridBefore w:val="1"/>
          <w:wBefore w:w="6" w:type="dxa"/>
          <w:trHeight w:val="880" w:hRule="atLeast"/>
        </w:trPr>
        <w:tc>
          <w:tcPr>
            <w:tcW w:w="948" w:type="dxa"/>
            <w:tcBorders>
              <w:top w:val="single" w:color="auto" w:sz="4" w:space="0"/>
              <w:left w:val="single" w:color="auto" w:sz="4" w:space="0"/>
              <w:bottom w:val="single" w:color="auto" w:sz="4" w:space="0"/>
              <w:right w:val="single" w:color="auto" w:sz="4" w:space="0"/>
            </w:tcBorders>
            <w:vAlign w:val="center"/>
          </w:tcPr>
          <w:p w14:paraId="1DB0E339">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208" w:type="dxa"/>
            <w:tcBorders>
              <w:top w:val="single" w:color="auto" w:sz="4" w:space="0"/>
              <w:left w:val="single" w:color="auto" w:sz="4" w:space="0"/>
              <w:bottom w:val="single" w:color="auto" w:sz="4" w:space="0"/>
              <w:right w:val="single" w:color="auto" w:sz="4" w:space="0"/>
            </w:tcBorders>
            <w:vAlign w:val="center"/>
          </w:tcPr>
          <w:p w14:paraId="34A6182D">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6476" w:type="dxa"/>
            <w:tcBorders>
              <w:top w:val="single" w:color="auto" w:sz="4" w:space="0"/>
              <w:left w:val="single" w:color="auto" w:sz="4" w:space="0"/>
              <w:bottom w:val="single" w:color="auto" w:sz="4" w:space="0"/>
              <w:right w:val="single" w:color="auto" w:sz="4" w:space="0"/>
            </w:tcBorders>
            <w:vAlign w:val="center"/>
          </w:tcPr>
          <w:p w14:paraId="65B9FCAD">
            <w:pPr>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highlight w:val="none"/>
              </w:rPr>
              <w:t>评标委员会构成：</w:t>
            </w:r>
            <w:r>
              <w:rPr>
                <w:rFonts w:hint="eastAsia" w:ascii="宋体" w:hAnsi="宋体" w:eastAsia="宋体" w:cs="宋体"/>
                <w:color w:val="auto"/>
                <w:kern w:val="0"/>
                <w:highlight w:val="none"/>
              </w:rPr>
              <w:t>评标委员会</w:t>
            </w:r>
            <w:r>
              <w:rPr>
                <w:rFonts w:hint="eastAsia" w:ascii="宋体" w:hAnsi="宋体" w:cs="宋体"/>
                <w:color w:val="auto"/>
                <w:kern w:val="0"/>
                <w:highlight w:val="none"/>
                <w:lang w:eastAsia="zh-CN"/>
              </w:rPr>
              <w:t>由招标人或其委托的招标代理机构熟悉相关业务的代表，以及有关技术、经济等方面的专家组成，成员人数</w:t>
            </w:r>
            <w:r>
              <w:rPr>
                <w:rFonts w:hint="eastAsia" w:ascii="宋体" w:hAnsi="宋体" w:eastAsia="宋体" w:cs="宋体"/>
                <w:color w:val="auto"/>
                <w:kern w:val="0"/>
                <w:highlight w:val="none"/>
              </w:rPr>
              <w:t>为</w:t>
            </w:r>
            <w:r>
              <w:rPr>
                <w:rFonts w:hint="eastAsia" w:ascii="宋体" w:hAnsi="宋体" w:cs="宋体"/>
                <w:color w:val="auto"/>
                <w:kern w:val="0"/>
                <w:highlight w:val="none"/>
                <w:lang w:val="en-US" w:eastAsia="zh-CN"/>
              </w:rPr>
              <w:t>5</w:t>
            </w:r>
            <w:r>
              <w:rPr>
                <w:rFonts w:hint="eastAsia" w:ascii="宋体" w:hAnsi="宋体" w:eastAsia="宋体" w:cs="宋体"/>
                <w:color w:val="auto"/>
                <w:kern w:val="0"/>
                <w:highlight w:val="none"/>
              </w:rPr>
              <w:t>人</w:t>
            </w:r>
            <w:r>
              <w:rPr>
                <w:rFonts w:hint="eastAsia" w:ascii="宋体" w:hAnsi="宋体" w:eastAsia="宋体" w:cs="宋体"/>
                <w:color w:val="auto"/>
                <w:highlight w:val="none"/>
              </w:rPr>
              <w:t>以上单数</w:t>
            </w:r>
            <w:r>
              <w:rPr>
                <w:rFonts w:hint="eastAsia" w:ascii="宋体" w:hAnsi="宋体" w:eastAsia="宋体" w:cs="宋体"/>
                <w:color w:val="auto"/>
                <w:kern w:val="0"/>
                <w:highlight w:val="none"/>
              </w:rPr>
              <w:t>，</w:t>
            </w:r>
            <w:r>
              <w:rPr>
                <w:rFonts w:hint="eastAsia" w:ascii="宋体" w:hAnsi="宋体" w:eastAsia="宋体" w:cs="宋体"/>
                <w:color w:val="auto"/>
                <w:highlight w:val="none"/>
              </w:rPr>
              <w:t>其中</w:t>
            </w:r>
            <w:r>
              <w:rPr>
                <w:rFonts w:hint="eastAsia" w:ascii="宋体" w:hAnsi="宋体" w:eastAsia="宋体" w:cs="宋体"/>
                <w:color w:val="auto"/>
                <w:highlight w:val="none"/>
                <w:lang w:eastAsia="zh-CN"/>
              </w:rPr>
              <w:t>技术、</w:t>
            </w:r>
            <w:r>
              <w:rPr>
                <w:rFonts w:hint="eastAsia" w:ascii="宋体" w:hAnsi="宋体" w:eastAsia="宋体" w:cs="宋体"/>
                <w:color w:val="auto"/>
                <w:highlight w:val="none"/>
              </w:rPr>
              <w:t>经济方面的专家不得少于</w:t>
            </w:r>
            <w:r>
              <w:rPr>
                <w:rFonts w:hint="eastAsia" w:ascii="宋体" w:hAnsi="宋体" w:eastAsia="宋体" w:cs="宋体"/>
                <w:color w:val="auto"/>
                <w:kern w:val="0"/>
                <w:highlight w:val="none"/>
              </w:rPr>
              <w:t>成员总数的三分之二</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rPr>
              <w:t>代表不得超过</w:t>
            </w:r>
            <w:r>
              <w:rPr>
                <w:rFonts w:hint="eastAsia" w:ascii="宋体" w:hAnsi="宋体" w:cs="宋体"/>
                <w:color w:val="auto"/>
                <w:sz w:val="21"/>
                <w:szCs w:val="21"/>
                <w:highlight w:val="none"/>
                <w:lang w:val="en-US" w:eastAsia="zh-CN"/>
              </w:rPr>
              <w:t>成员人</w:t>
            </w:r>
            <w:r>
              <w:rPr>
                <w:rFonts w:hint="eastAsia" w:ascii="宋体" w:hAnsi="宋体" w:eastAsia="宋体" w:cs="宋体"/>
                <w:color w:val="auto"/>
                <w:sz w:val="21"/>
                <w:szCs w:val="21"/>
                <w:highlight w:val="none"/>
              </w:rPr>
              <w:t>数的三分之一。</w:t>
            </w:r>
          </w:p>
          <w:p w14:paraId="1AD466BB">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kern w:val="0"/>
                <w:highlight w:val="none"/>
              </w:rPr>
              <w:t>评标专家确定方式：</w:t>
            </w: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AUTOTEXT  input160 \* MERGEFORMAT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从</w:t>
            </w:r>
            <w:r>
              <w:rPr>
                <w:rFonts w:hint="eastAsia" w:ascii="宋体" w:hAnsi="宋体" w:eastAsia="宋体" w:cs="宋体"/>
                <w:color w:val="auto"/>
                <w:szCs w:val="21"/>
                <w:highlight w:val="none"/>
                <w:u w:val="single"/>
                <w:lang w:eastAsia="zh-CN"/>
              </w:rPr>
              <w:t>云南省</w:t>
            </w:r>
            <w:r>
              <w:rPr>
                <w:rFonts w:hint="eastAsia" w:ascii="宋体" w:hAnsi="宋体" w:eastAsia="宋体" w:cs="宋体"/>
                <w:color w:val="auto"/>
                <w:szCs w:val="21"/>
                <w:highlight w:val="none"/>
                <w:u w:val="single"/>
              </w:rPr>
              <w:t>综合评标专家库</w:t>
            </w:r>
            <w:r>
              <w:rPr>
                <w:rFonts w:hint="eastAsia" w:ascii="宋体" w:hAnsi="宋体" w:eastAsia="宋体" w:cs="宋体"/>
                <w:color w:val="auto"/>
                <w:kern w:val="0"/>
                <w:highlight w:val="none"/>
              </w:rPr>
              <w:t>中随机抽取</w:t>
            </w:r>
            <w:r>
              <w:rPr>
                <w:rFonts w:hint="eastAsia" w:ascii="宋体" w:hAnsi="宋体" w:eastAsia="宋体" w:cs="宋体"/>
                <w:color w:val="auto"/>
                <w:kern w:val="0"/>
                <w:highlight w:val="none"/>
              </w:rPr>
              <w:fldChar w:fldCharType="end"/>
            </w:r>
            <w:r>
              <w:rPr>
                <w:rFonts w:hint="eastAsia" w:ascii="宋体" w:hAnsi="宋体" w:cs="宋体"/>
                <w:color w:val="auto"/>
                <w:kern w:val="0"/>
                <w:highlight w:val="none"/>
                <w:lang w:eastAsia="zh-CN"/>
              </w:rPr>
              <w:t>。</w:t>
            </w:r>
          </w:p>
        </w:tc>
      </w:tr>
      <w:tr w14:paraId="0E505181">
        <w:tblPrEx>
          <w:tblCellMar>
            <w:top w:w="0" w:type="dxa"/>
            <w:left w:w="108" w:type="dxa"/>
            <w:bottom w:w="0" w:type="dxa"/>
            <w:right w:w="108" w:type="dxa"/>
          </w:tblCellMar>
        </w:tblPrEx>
        <w:trPr>
          <w:gridBefore w:val="1"/>
          <w:wBefore w:w="6" w:type="dxa"/>
          <w:trHeight w:val="362" w:hRule="atLeast"/>
        </w:trPr>
        <w:tc>
          <w:tcPr>
            <w:tcW w:w="948" w:type="dxa"/>
            <w:tcBorders>
              <w:top w:val="single" w:color="auto" w:sz="4" w:space="0"/>
              <w:left w:val="single" w:color="auto" w:sz="4" w:space="0"/>
              <w:bottom w:val="single" w:color="auto" w:sz="4" w:space="0"/>
              <w:right w:val="single" w:color="auto" w:sz="4" w:space="0"/>
            </w:tcBorders>
            <w:vAlign w:val="center"/>
          </w:tcPr>
          <w:p w14:paraId="076BCA9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208" w:type="dxa"/>
            <w:tcBorders>
              <w:top w:val="single" w:color="auto" w:sz="4" w:space="0"/>
              <w:left w:val="single" w:color="auto" w:sz="4" w:space="0"/>
              <w:bottom w:val="single" w:color="auto" w:sz="4" w:space="0"/>
              <w:right w:val="single" w:color="auto" w:sz="4" w:space="0"/>
            </w:tcBorders>
            <w:vAlign w:val="center"/>
          </w:tcPr>
          <w:p w14:paraId="7803A2A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评标方法及标准</w:t>
            </w:r>
          </w:p>
        </w:tc>
        <w:tc>
          <w:tcPr>
            <w:tcW w:w="6476" w:type="dxa"/>
            <w:tcBorders>
              <w:top w:val="single" w:color="auto" w:sz="4" w:space="0"/>
              <w:left w:val="single" w:color="auto" w:sz="4" w:space="0"/>
              <w:bottom w:val="single" w:color="auto" w:sz="4" w:space="0"/>
              <w:right w:val="single" w:color="auto" w:sz="4" w:space="0"/>
            </w:tcBorders>
            <w:vAlign w:val="center"/>
          </w:tcPr>
          <w:p w14:paraId="2B05033C">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综合评估法</w:t>
            </w:r>
            <w:r>
              <w:rPr>
                <w:rFonts w:hint="eastAsia" w:ascii="宋体" w:hAnsi="宋体" w:eastAsia="宋体" w:cs="宋体"/>
                <w:color w:val="auto"/>
                <w:highlight w:val="none"/>
              </w:rPr>
              <w:t>（详第三章）</w:t>
            </w:r>
          </w:p>
        </w:tc>
      </w:tr>
      <w:tr w14:paraId="1C1BF237">
        <w:tblPrEx>
          <w:tblCellMar>
            <w:top w:w="0" w:type="dxa"/>
            <w:left w:w="108" w:type="dxa"/>
            <w:bottom w:w="0" w:type="dxa"/>
            <w:right w:w="108" w:type="dxa"/>
          </w:tblCellMar>
        </w:tblPrEx>
        <w:trPr>
          <w:gridBefore w:val="1"/>
          <w:wBefore w:w="6" w:type="dxa"/>
          <w:trHeight w:val="813" w:hRule="atLeast"/>
        </w:trPr>
        <w:tc>
          <w:tcPr>
            <w:tcW w:w="948" w:type="dxa"/>
            <w:tcBorders>
              <w:top w:val="single" w:color="auto" w:sz="4" w:space="0"/>
              <w:left w:val="single" w:color="auto" w:sz="4" w:space="0"/>
              <w:bottom w:val="single" w:color="auto" w:sz="4" w:space="0"/>
              <w:right w:val="single" w:color="auto" w:sz="4" w:space="0"/>
            </w:tcBorders>
            <w:vAlign w:val="center"/>
          </w:tcPr>
          <w:p w14:paraId="37EB7B12">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208" w:type="dxa"/>
            <w:tcBorders>
              <w:top w:val="single" w:color="auto" w:sz="4" w:space="0"/>
              <w:left w:val="single" w:color="auto" w:sz="4" w:space="0"/>
              <w:bottom w:val="single" w:color="auto" w:sz="4" w:space="0"/>
              <w:right w:val="single" w:color="auto" w:sz="4" w:space="0"/>
            </w:tcBorders>
            <w:vAlign w:val="center"/>
          </w:tcPr>
          <w:p w14:paraId="3B3D1350">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是否授权评标委员会确定中标人</w:t>
            </w:r>
          </w:p>
        </w:tc>
        <w:tc>
          <w:tcPr>
            <w:tcW w:w="6476" w:type="dxa"/>
            <w:tcBorders>
              <w:top w:val="single" w:color="auto" w:sz="4" w:space="0"/>
              <w:left w:val="single" w:color="auto" w:sz="4" w:space="0"/>
              <w:bottom w:val="single" w:color="auto" w:sz="4" w:space="0"/>
              <w:right w:val="single" w:color="auto" w:sz="4" w:space="0"/>
            </w:tcBorders>
            <w:vAlign w:val="center"/>
          </w:tcPr>
          <w:p w14:paraId="7CD24B16">
            <w:pPr>
              <w:spacing w:line="3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是</w:t>
            </w:r>
          </w:p>
          <w:p w14:paraId="5E9B56BF">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■否，</w:t>
            </w:r>
            <w:r>
              <w:rPr>
                <w:rFonts w:hint="eastAsia" w:ascii="宋体" w:hAnsi="宋体" w:eastAsia="宋体" w:cs="宋体"/>
                <w:color w:val="auto"/>
                <w:kern w:val="0"/>
                <w:highlight w:val="none"/>
              </w:rPr>
              <w:t>推荐的中标候选人数：</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input165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kern w:val="0"/>
                <w:highlight w:val="none"/>
              </w:rPr>
              <w:t>人</w:t>
            </w:r>
          </w:p>
        </w:tc>
      </w:tr>
      <w:tr w14:paraId="025EFE1A">
        <w:tblPrEx>
          <w:tblCellMar>
            <w:top w:w="0" w:type="dxa"/>
            <w:left w:w="108" w:type="dxa"/>
            <w:bottom w:w="0" w:type="dxa"/>
            <w:right w:w="108" w:type="dxa"/>
          </w:tblCellMar>
        </w:tblPrEx>
        <w:trPr>
          <w:gridBefore w:val="1"/>
          <w:wBefore w:w="6" w:type="dxa"/>
          <w:trHeight w:val="394" w:hRule="atLeast"/>
        </w:trPr>
        <w:tc>
          <w:tcPr>
            <w:tcW w:w="948" w:type="dxa"/>
            <w:tcBorders>
              <w:top w:val="single" w:color="auto" w:sz="4" w:space="0"/>
              <w:left w:val="single" w:color="auto" w:sz="4" w:space="0"/>
              <w:bottom w:val="single" w:color="auto" w:sz="4" w:space="0"/>
              <w:right w:val="single" w:color="auto" w:sz="4" w:space="0"/>
            </w:tcBorders>
            <w:vAlign w:val="center"/>
          </w:tcPr>
          <w:p w14:paraId="5E935668">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7.2</w:t>
            </w:r>
          </w:p>
        </w:tc>
        <w:tc>
          <w:tcPr>
            <w:tcW w:w="2208" w:type="dxa"/>
            <w:tcBorders>
              <w:top w:val="single" w:color="auto" w:sz="4" w:space="0"/>
              <w:left w:val="single" w:color="auto" w:sz="4" w:space="0"/>
              <w:bottom w:val="single" w:color="auto" w:sz="4" w:space="0"/>
              <w:right w:val="single" w:color="auto" w:sz="4" w:space="0"/>
            </w:tcBorders>
            <w:vAlign w:val="center"/>
          </w:tcPr>
          <w:p w14:paraId="19D23C05">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中标候选人公示媒介</w:t>
            </w:r>
          </w:p>
        </w:tc>
        <w:tc>
          <w:tcPr>
            <w:tcW w:w="6476" w:type="dxa"/>
            <w:tcBorders>
              <w:top w:val="single" w:color="auto" w:sz="4" w:space="0"/>
              <w:left w:val="single" w:color="auto" w:sz="4" w:space="0"/>
              <w:bottom w:val="single" w:color="auto" w:sz="4" w:space="0"/>
              <w:right w:val="single" w:color="auto" w:sz="4" w:space="0"/>
            </w:tcBorders>
            <w:vAlign w:val="center"/>
          </w:tcPr>
          <w:p w14:paraId="10FF1D61">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与招标公告发布媒介一致，公示期不少于3日</w:t>
            </w:r>
            <w:r>
              <w:rPr>
                <w:rFonts w:hint="eastAsia" w:ascii="宋体" w:hAnsi="宋体" w:eastAsia="宋体" w:cs="宋体"/>
                <w:color w:val="auto"/>
                <w:highlight w:val="none"/>
                <w:lang w:val="zh-TW" w:eastAsia="zh-CN"/>
              </w:rPr>
              <w:t>。</w:t>
            </w:r>
          </w:p>
        </w:tc>
      </w:tr>
      <w:tr w14:paraId="615D51D0">
        <w:tblPrEx>
          <w:tblCellMar>
            <w:top w:w="0" w:type="dxa"/>
            <w:left w:w="108" w:type="dxa"/>
            <w:bottom w:w="0" w:type="dxa"/>
            <w:right w:w="108" w:type="dxa"/>
          </w:tblCellMar>
        </w:tblPrEx>
        <w:trPr>
          <w:gridBefore w:val="1"/>
          <w:wBefore w:w="6" w:type="dxa"/>
          <w:trHeight w:val="426" w:hRule="atLeast"/>
        </w:trPr>
        <w:tc>
          <w:tcPr>
            <w:tcW w:w="948" w:type="dxa"/>
            <w:tcBorders>
              <w:top w:val="single" w:color="auto" w:sz="4" w:space="0"/>
              <w:left w:val="single" w:color="auto" w:sz="4" w:space="0"/>
              <w:bottom w:val="single" w:color="auto" w:sz="4" w:space="0"/>
              <w:right w:val="single" w:color="auto" w:sz="4" w:space="0"/>
            </w:tcBorders>
            <w:vAlign w:val="center"/>
          </w:tcPr>
          <w:p w14:paraId="1E052EC6">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208" w:type="dxa"/>
            <w:tcBorders>
              <w:top w:val="single" w:color="auto" w:sz="4" w:space="0"/>
              <w:left w:val="single" w:color="auto" w:sz="4" w:space="0"/>
              <w:bottom w:val="single" w:color="auto" w:sz="4" w:space="0"/>
              <w:right w:val="single" w:color="auto" w:sz="4" w:space="0"/>
            </w:tcBorders>
            <w:vAlign w:val="center"/>
          </w:tcPr>
          <w:p w14:paraId="3244D6D2">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履约担保</w:t>
            </w:r>
          </w:p>
        </w:tc>
        <w:tc>
          <w:tcPr>
            <w:tcW w:w="6476" w:type="dxa"/>
            <w:tcBorders>
              <w:top w:val="single" w:color="auto" w:sz="4" w:space="0"/>
              <w:left w:val="single" w:color="auto" w:sz="4" w:space="0"/>
              <w:bottom w:val="single" w:color="auto" w:sz="4" w:space="0"/>
              <w:right w:val="single" w:color="auto" w:sz="4" w:space="0"/>
            </w:tcBorders>
            <w:vAlign w:val="center"/>
          </w:tcPr>
          <w:p w14:paraId="73B3B08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履约担保的形式：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input167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现金（转账或电汇）或银行保函</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、保险保函，履约担保形式由招标人与中标人签订合同时商定，招标人要求中标人提供履约担保的，招标人应当同时向中标人提供工程款支付担保。</w:t>
            </w:r>
          </w:p>
          <w:p w14:paraId="1E5E5C6C">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履约担保的金额：</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input168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按照中标合同金额的</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cs="宋体"/>
                <w:color w:val="auto"/>
                <w:highlight w:val="none"/>
                <w:lang w:eastAsia="zh-CN"/>
              </w:rPr>
              <w:t>。</w:t>
            </w:r>
          </w:p>
        </w:tc>
      </w:tr>
      <w:tr w14:paraId="2E194223">
        <w:tblPrEx>
          <w:tblCellMar>
            <w:top w:w="0" w:type="dxa"/>
            <w:left w:w="108" w:type="dxa"/>
            <w:bottom w:w="0" w:type="dxa"/>
            <w:right w:w="108" w:type="dxa"/>
          </w:tblCellMar>
        </w:tblPrEx>
        <w:trPr>
          <w:gridBefore w:val="1"/>
          <w:wBefore w:w="6" w:type="dxa"/>
          <w:trHeight w:val="90" w:hRule="atLeast"/>
        </w:trPr>
        <w:tc>
          <w:tcPr>
            <w:tcW w:w="948" w:type="dxa"/>
            <w:tcBorders>
              <w:top w:val="single" w:color="auto" w:sz="4" w:space="0"/>
              <w:left w:val="single" w:color="auto" w:sz="4" w:space="0"/>
              <w:bottom w:val="single" w:color="auto" w:sz="4" w:space="0"/>
              <w:right w:val="single" w:color="auto" w:sz="4" w:space="0"/>
            </w:tcBorders>
            <w:vAlign w:val="center"/>
          </w:tcPr>
          <w:p w14:paraId="617432E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8.1</w:t>
            </w:r>
          </w:p>
        </w:tc>
        <w:tc>
          <w:tcPr>
            <w:tcW w:w="2208" w:type="dxa"/>
            <w:tcBorders>
              <w:top w:val="single" w:color="auto" w:sz="4" w:space="0"/>
              <w:left w:val="single" w:color="auto" w:sz="4" w:space="0"/>
              <w:bottom w:val="single" w:color="auto" w:sz="4" w:space="0"/>
              <w:right w:val="single" w:color="auto" w:sz="4" w:space="0"/>
            </w:tcBorders>
            <w:vAlign w:val="center"/>
          </w:tcPr>
          <w:p w14:paraId="292C300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监督部门</w:t>
            </w:r>
          </w:p>
        </w:tc>
        <w:tc>
          <w:tcPr>
            <w:tcW w:w="6476" w:type="dxa"/>
            <w:tcBorders>
              <w:top w:val="single" w:color="auto" w:sz="4" w:space="0"/>
              <w:left w:val="single" w:color="auto" w:sz="4" w:space="0"/>
              <w:bottom w:val="single" w:color="auto" w:sz="4" w:space="0"/>
              <w:right w:val="single" w:color="auto" w:sz="4" w:space="0"/>
            </w:tcBorders>
            <w:vAlign w:val="center"/>
          </w:tcPr>
          <w:p w14:paraId="2E25191A">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龙陵县农业农村局</w:t>
            </w:r>
          </w:p>
          <w:p w14:paraId="444466C5">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监督电话：087</w:t>
            </w:r>
            <w:r>
              <w:rPr>
                <w:rFonts w:hint="eastAsia" w:ascii="宋体" w:hAnsi="宋体" w:cs="宋体"/>
                <w:color w:val="auto"/>
                <w:highlight w:val="none"/>
                <w:lang w:val="en-US" w:eastAsia="zh-CN"/>
              </w:rPr>
              <w:t>5-6121648</w:t>
            </w:r>
          </w:p>
        </w:tc>
      </w:tr>
      <w:tr w14:paraId="6D101128">
        <w:tblPrEx>
          <w:tblCellMar>
            <w:top w:w="0" w:type="dxa"/>
            <w:left w:w="108" w:type="dxa"/>
            <w:bottom w:w="0" w:type="dxa"/>
            <w:right w:w="108" w:type="dxa"/>
          </w:tblCellMar>
        </w:tblPrEx>
        <w:trPr>
          <w:gridBefore w:val="1"/>
          <w:wBefore w:w="6" w:type="dxa"/>
          <w:trHeight w:val="90" w:hRule="atLeast"/>
        </w:trPr>
        <w:tc>
          <w:tcPr>
            <w:tcW w:w="9632" w:type="dxa"/>
            <w:gridSpan w:val="3"/>
            <w:tcBorders>
              <w:top w:val="single" w:color="auto" w:sz="4" w:space="0"/>
              <w:left w:val="single" w:color="auto" w:sz="4" w:space="0"/>
              <w:bottom w:val="single" w:color="auto" w:sz="4" w:space="0"/>
              <w:right w:val="single" w:color="auto" w:sz="4" w:space="0"/>
            </w:tcBorders>
            <w:vAlign w:val="center"/>
          </w:tcPr>
          <w:p w14:paraId="48E14A67">
            <w:pPr>
              <w:spacing w:line="360" w:lineRule="auto"/>
              <w:rPr>
                <w:rFonts w:hint="eastAsia" w:ascii="宋体" w:hAnsi="宋体" w:eastAsia="宋体" w:cs="宋体"/>
                <w:b/>
                <w:bCs/>
                <w:color w:val="auto"/>
                <w:highlight w:val="none"/>
              </w:rPr>
            </w:pPr>
            <w:r>
              <w:rPr>
                <w:rFonts w:hint="eastAsia" w:ascii="宋体" w:hAnsi="宋体" w:eastAsia="宋体" w:cs="宋体"/>
                <w:color w:val="auto"/>
                <w:kern w:val="0"/>
                <w:highlight w:val="none"/>
              </w:rPr>
              <w:t>需要补充的其他内容：</w:t>
            </w:r>
          </w:p>
        </w:tc>
      </w:tr>
      <w:tr w14:paraId="25CDAAC8">
        <w:tblPrEx>
          <w:tblCellMar>
            <w:top w:w="0" w:type="dxa"/>
            <w:left w:w="108" w:type="dxa"/>
            <w:bottom w:w="0" w:type="dxa"/>
            <w:right w:w="108" w:type="dxa"/>
          </w:tblCellMar>
        </w:tblPrEx>
        <w:trPr>
          <w:gridBefore w:val="1"/>
          <w:wBefore w:w="6" w:type="dxa"/>
          <w:trHeight w:val="1787" w:hRule="atLeast"/>
        </w:trPr>
        <w:tc>
          <w:tcPr>
            <w:tcW w:w="948" w:type="dxa"/>
            <w:tcBorders>
              <w:top w:val="single" w:color="auto" w:sz="4" w:space="0"/>
              <w:left w:val="single" w:color="auto" w:sz="4" w:space="0"/>
              <w:bottom w:val="single" w:color="auto" w:sz="4" w:space="0"/>
              <w:right w:val="single" w:color="auto" w:sz="4" w:space="0"/>
            </w:tcBorders>
            <w:vAlign w:val="center"/>
          </w:tcPr>
          <w:p w14:paraId="62D467EA">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9.1</w:t>
            </w:r>
          </w:p>
        </w:tc>
        <w:tc>
          <w:tcPr>
            <w:tcW w:w="2208" w:type="dxa"/>
            <w:tcBorders>
              <w:top w:val="single" w:color="auto" w:sz="4" w:space="0"/>
              <w:left w:val="single" w:color="auto" w:sz="4" w:space="0"/>
              <w:bottom w:val="single" w:color="auto" w:sz="4" w:space="0"/>
              <w:right w:val="single" w:color="auto" w:sz="4" w:space="0"/>
            </w:tcBorders>
            <w:vAlign w:val="center"/>
          </w:tcPr>
          <w:p w14:paraId="559B37B6">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知识产权</w:t>
            </w:r>
          </w:p>
        </w:tc>
        <w:tc>
          <w:tcPr>
            <w:tcW w:w="6476" w:type="dxa"/>
            <w:tcBorders>
              <w:top w:val="single" w:color="auto" w:sz="4" w:space="0"/>
              <w:left w:val="single" w:color="auto" w:sz="4" w:space="0"/>
              <w:bottom w:val="single" w:color="auto" w:sz="4" w:space="0"/>
              <w:right w:val="single" w:color="auto" w:sz="4" w:space="0"/>
            </w:tcBorders>
            <w:vAlign w:val="center"/>
          </w:tcPr>
          <w:p w14:paraId="11CFBB9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构成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7C90EBDC">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29FF63E6">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9.2</w:t>
            </w:r>
          </w:p>
        </w:tc>
        <w:tc>
          <w:tcPr>
            <w:tcW w:w="2208" w:type="dxa"/>
            <w:tcBorders>
              <w:top w:val="single" w:color="auto" w:sz="4" w:space="0"/>
              <w:left w:val="single" w:color="auto" w:sz="4" w:space="0"/>
              <w:bottom w:val="single" w:color="auto" w:sz="4" w:space="0"/>
              <w:right w:val="single" w:color="auto" w:sz="4" w:space="0"/>
            </w:tcBorders>
            <w:vAlign w:val="center"/>
          </w:tcPr>
          <w:p w14:paraId="15A0F38C">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重新招标的其他情形</w:t>
            </w:r>
          </w:p>
        </w:tc>
        <w:tc>
          <w:tcPr>
            <w:tcW w:w="6476" w:type="dxa"/>
            <w:tcBorders>
              <w:top w:val="single" w:color="auto" w:sz="4" w:space="0"/>
              <w:left w:val="single" w:color="auto" w:sz="4" w:space="0"/>
              <w:bottom w:val="single" w:color="auto" w:sz="4" w:space="0"/>
              <w:right w:val="single" w:color="auto" w:sz="4" w:space="0"/>
            </w:tcBorders>
            <w:vAlign w:val="center"/>
          </w:tcPr>
          <w:p w14:paraId="0D571C5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除投标人须知正文第8条规定的情形外，除非已经产生中标候选人，在投标有效期内同意延长投标有效期的投标人少于三个的，招标人应当依法重新招标。</w:t>
            </w:r>
          </w:p>
        </w:tc>
      </w:tr>
      <w:tr w14:paraId="296246E6">
        <w:tblPrEx>
          <w:tblCellMar>
            <w:top w:w="0" w:type="dxa"/>
            <w:left w:w="108" w:type="dxa"/>
            <w:bottom w:w="0" w:type="dxa"/>
            <w:right w:w="108" w:type="dxa"/>
          </w:tblCellMar>
        </w:tblPrEx>
        <w:trPr>
          <w:gridBefore w:val="1"/>
          <w:wBefore w:w="6" w:type="dxa"/>
          <w:trHeight w:val="1774" w:hRule="atLeast"/>
        </w:trPr>
        <w:tc>
          <w:tcPr>
            <w:tcW w:w="948" w:type="dxa"/>
            <w:tcBorders>
              <w:top w:val="single" w:color="auto" w:sz="4" w:space="0"/>
              <w:left w:val="single" w:color="auto" w:sz="4" w:space="0"/>
              <w:bottom w:val="single" w:color="auto" w:sz="4" w:space="0"/>
              <w:right w:val="single" w:color="auto" w:sz="4" w:space="0"/>
            </w:tcBorders>
            <w:vAlign w:val="center"/>
          </w:tcPr>
          <w:p w14:paraId="46DA79F1">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9.3</w:t>
            </w:r>
          </w:p>
        </w:tc>
        <w:tc>
          <w:tcPr>
            <w:tcW w:w="2208" w:type="dxa"/>
            <w:tcBorders>
              <w:top w:val="single" w:color="auto" w:sz="4" w:space="0"/>
              <w:left w:val="single" w:color="auto" w:sz="4" w:space="0"/>
              <w:bottom w:val="single" w:color="auto" w:sz="4" w:space="0"/>
              <w:right w:val="single" w:color="auto" w:sz="4" w:space="0"/>
            </w:tcBorders>
            <w:vAlign w:val="center"/>
          </w:tcPr>
          <w:p w14:paraId="3A59A50D">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同义词语</w:t>
            </w:r>
          </w:p>
        </w:tc>
        <w:tc>
          <w:tcPr>
            <w:tcW w:w="6476" w:type="dxa"/>
            <w:tcBorders>
              <w:top w:val="single" w:color="auto" w:sz="4" w:space="0"/>
              <w:left w:val="single" w:color="auto" w:sz="4" w:space="0"/>
              <w:bottom w:val="single" w:color="auto" w:sz="4" w:space="0"/>
              <w:right w:val="single" w:color="auto" w:sz="4" w:space="0"/>
            </w:tcBorders>
            <w:vAlign w:val="center"/>
          </w:tcPr>
          <w:p w14:paraId="4115215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构成招标文件组成部分的“通用合同条款”、“专用合同条款”、“技术标准和要求”等章节中出现的措辞“发包人”和“承包人”，在招标投标阶段应当分别按“招标人”和“投标人”进行理解。</w:t>
            </w:r>
          </w:p>
        </w:tc>
      </w:tr>
      <w:tr w14:paraId="6099BE81">
        <w:tblPrEx>
          <w:tblCellMar>
            <w:top w:w="0" w:type="dxa"/>
            <w:left w:w="108" w:type="dxa"/>
            <w:bottom w:w="0" w:type="dxa"/>
            <w:right w:w="108" w:type="dxa"/>
          </w:tblCellMar>
        </w:tblPrEx>
        <w:trPr>
          <w:gridBefore w:val="1"/>
          <w:wBefore w:w="6" w:type="dxa"/>
          <w:trHeight w:val="1294" w:hRule="atLeast"/>
        </w:trPr>
        <w:tc>
          <w:tcPr>
            <w:tcW w:w="948" w:type="dxa"/>
            <w:tcBorders>
              <w:top w:val="single" w:color="auto" w:sz="4" w:space="0"/>
              <w:left w:val="single" w:color="auto" w:sz="4" w:space="0"/>
              <w:bottom w:val="single" w:color="auto" w:sz="4" w:space="0"/>
              <w:right w:val="single" w:color="auto" w:sz="4" w:space="0"/>
            </w:tcBorders>
            <w:vAlign w:val="center"/>
          </w:tcPr>
          <w:p w14:paraId="0186B7B2">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9.4</w:t>
            </w:r>
          </w:p>
        </w:tc>
        <w:tc>
          <w:tcPr>
            <w:tcW w:w="2208" w:type="dxa"/>
            <w:tcBorders>
              <w:top w:val="single" w:color="auto" w:sz="4" w:space="0"/>
              <w:left w:val="single" w:color="auto" w:sz="4" w:space="0"/>
              <w:bottom w:val="single" w:color="auto" w:sz="4" w:space="0"/>
              <w:right w:val="single" w:color="auto" w:sz="4" w:space="0"/>
            </w:tcBorders>
            <w:vAlign w:val="center"/>
          </w:tcPr>
          <w:p w14:paraId="7EBDE074">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设计补偿</w:t>
            </w:r>
          </w:p>
        </w:tc>
        <w:tc>
          <w:tcPr>
            <w:tcW w:w="6476" w:type="dxa"/>
            <w:tcBorders>
              <w:top w:val="single" w:color="auto" w:sz="4" w:space="0"/>
              <w:left w:val="single" w:color="auto" w:sz="4" w:space="0"/>
              <w:bottom w:val="single" w:color="auto" w:sz="4" w:space="0"/>
              <w:right w:val="single" w:color="auto" w:sz="4" w:space="0"/>
            </w:tcBorders>
            <w:vAlign w:val="center"/>
          </w:tcPr>
          <w:p w14:paraId="2DAA9AF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本项目招标人对中标及未中标的投标人不给予经济补偿，但征得未中标单位同意后，招标人可以在中标单位设计方案优化过程中采纳其余未中标单位设计方案的优点。</w:t>
            </w:r>
          </w:p>
        </w:tc>
      </w:tr>
      <w:tr w14:paraId="143BCFE9">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3952A5B0">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208" w:type="dxa"/>
            <w:tcBorders>
              <w:top w:val="single" w:color="auto" w:sz="4" w:space="0"/>
              <w:left w:val="single" w:color="auto" w:sz="4" w:space="0"/>
              <w:bottom w:val="single" w:color="auto" w:sz="4" w:space="0"/>
              <w:right w:val="single" w:color="auto" w:sz="4" w:space="0"/>
            </w:tcBorders>
            <w:vAlign w:val="center"/>
          </w:tcPr>
          <w:p w14:paraId="63E5F878">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解释权</w:t>
            </w:r>
          </w:p>
        </w:tc>
        <w:tc>
          <w:tcPr>
            <w:tcW w:w="6476" w:type="dxa"/>
            <w:tcBorders>
              <w:top w:val="single" w:color="auto" w:sz="4" w:space="0"/>
              <w:left w:val="single" w:color="auto" w:sz="4" w:space="0"/>
              <w:bottom w:val="single" w:color="auto" w:sz="4" w:space="0"/>
              <w:right w:val="single" w:color="auto" w:sz="4" w:space="0"/>
            </w:tcBorders>
            <w:vAlign w:val="center"/>
          </w:tcPr>
          <w:p w14:paraId="07A56491">
            <w:pPr>
              <w:spacing w:line="360" w:lineRule="auto"/>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val="zh-CN" w:eastAsia="zh-CN" w:bidi="ar-SA"/>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按照有利于所有投标人进行解释。</w:t>
            </w:r>
          </w:p>
        </w:tc>
      </w:tr>
      <w:tr w14:paraId="28A9279C">
        <w:tblPrEx>
          <w:tblCellMar>
            <w:top w:w="0" w:type="dxa"/>
            <w:left w:w="108" w:type="dxa"/>
            <w:bottom w:w="0" w:type="dxa"/>
            <w:right w:w="108" w:type="dxa"/>
          </w:tblCellMar>
        </w:tblPrEx>
        <w:trPr>
          <w:gridBefore w:val="1"/>
          <w:wBefore w:w="6" w:type="dxa"/>
          <w:trHeight w:val="3206" w:hRule="atLeast"/>
        </w:trPr>
        <w:tc>
          <w:tcPr>
            <w:tcW w:w="948" w:type="dxa"/>
            <w:tcBorders>
              <w:top w:val="single" w:color="auto" w:sz="4" w:space="0"/>
              <w:left w:val="single" w:color="auto" w:sz="4" w:space="0"/>
              <w:bottom w:val="single" w:color="auto" w:sz="4" w:space="0"/>
              <w:right w:val="single" w:color="auto" w:sz="4" w:space="0"/>
            </w:tcBorders>
            <w:vAlign w:val="center"/>
          </w:tcPr>
          <w:p w14:paraId="5A618D19">
            <w:pPr>
              <w:spacing w:line="440" w:lineRule="exact"/>
              <w:jc w:val="center"/>
              <w:rPr>
                <w:rFonts w:ascii="宋体" w:cs="Times New Roman"/>
                <w:color w:val="auto"/>
                <w:highlight w:val="none"/>
              </w:rPr>
            </w:pPr>
            <w:r>
              <w:rPr>
                <w:rFonts w:ascii="宋体" w:hAnsi="宋体" w:cs="宋体"/>
                <w:color w:val="auto"/>
                <w:highlight w:val="none"/>
              </w:rPr>
              <w:t>9.6</w:t>
            </w:r>
          </w:p>
        </w:tc>
        <w:tc>
          <w:tcPr>
            <w:tcW w:w="2208" w:type="dxa"/>
            <w:tcBorders>
              <w:top w:val="single" w:color="auto" w:sz="4" w:space="0"/>
              <w:left w:val="single" w:color="auto" w:sz="4" w:space="0"/>
              <w:bottom w:val="single" w:color="auto" w:sz="4" w:space="0"/>
              <w:right w:val="single" w:color="auto" w:sz="4" w:space="0"/>
            </w:tcBorders>
            <w:vAlign w:val="center"/>
          </w:tcPr>
          <w:p w14:paraId="65A637CB">
            <w:pPr>
              <w:spacing w:line="440" w:lineRule="exact"/>
              <w:jc w:val="center"/>
              <w:rPr>
                <w:rFonts w:ascii="宋体" w:cs="Times New Roman"/>
                <w:color w:val="auto"/>
                <w:highlight w:val="none"/>
              </w:rPr>
            </w:pPr>
            <w:r>
              <w:rPr>
                <w:rFonts w:hint="eastAsia" w:ascii="宋体" w:hAnsi="宋体" w:cs="宋体"/>
                <w:color w:val="auto"/>
                <w:highlight w:val="none"/>
                <w:lang w:val="zh-TW"/>
              </w:rPr>
              <w:t>限额设计</w:t>
            </w:r>
          </w:p>
        </w:tc>
        <w:tc>
          <w:tcPr>
            <w:tcW w:w="6476" w:type="dxa"/>
            <w:tcBorders>
              <w:top w:val="single" w:color="auto" w:sz="4" w:space="0"/>
              <w:left w:val="single" w:color="auto" w:sz="4" w:space="0"/>
              <w:bottom w:val="single" w:color="auto" w:sz="4" w:space="0"/>
              <w:right w:val="single" w:color="auto" w:sz="4" w:space="0"/>
            </w:tcBorders>
            <w:vAlign w:val="center"/>
          </w:tcPr>
          <w:p w14:paraId="51A99360">
            <w:pPr>
              <w:pStyle w:val="81"/>
              <w:shd w:val="clear" w:color="auto" w:fill="FFFFFF"/>
              <w:spacing w:before="0" w:beforeAutospacing="0" w:after="0" w:afterAutospacing="0" w:line="348"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TW" w:eastAsia="zh-CN" w:bidi="ar-SA"/>
              </w:rPr>
              <w:t>本项目要求中标人进行限额设计：设计完成后，承包人提出建安工程费用部分的设计概算（设计概算不能超出经批复的估算金额），报发包人委托的全过程造价咨询人审核后，上报有关部门批复，经批复的设计概算中对应的建安费用作为本项目的限额使用。若超出工程设计限额，则承包人应在不降低标准和改变方案的前提下重新修改设计，否则，超出部分由承包人自行承担。</w:t>
            </w:r>
          </w:p>
        </w:tc>
      </w:tr>
      <w:tr w14:paraId="3DE90192">
        <w:tblPrEx>
          <w:tblCellMar>
            <w:top w:w="0" w:type="dxa"/>
            <w:left w:w="108" w:type="dxa"/>
            <w:bottom w:w="0" w:type="dxa"/>
            <w:right w:w="108" w:type="dxa"/>
          </w:tblCellMar>
        </w:tblPrEx>
        <w:trPr>
          <w:gridBefore w:val="1"/>
          <w:wBefore w:w="6" w:type="dxa"/>
          <w:trHeight w:val="863" w:hRule="atLeast"/>
        </w:trPr>
        <w:tc>
          <w:tcPr>
            <w:tcW w:w="948" w:type="dxa"/>
            <w:tcBorders>
              <w:top w:val="single" w:color="auto" w:sz="4" w:space="0"/>
              <w:left w:val="single" w:color="auto" w:sz="4" w:space="0"/>
              <w:bottom w:val="single" w:color="auto" w:sz="4" w:space="0"/>
              <w:right w:val="single" w:color="auto" w:sz="4" w:space="0"/>
            </w:tcBorders>
            <w:vAlign w:val="center"/>
          </w:tcPr>
          <w:p w14:paraId="325C55E8">
            <w:pPr>
              <w:spacing w:line="440" w:lineRule="exact"/>
              <w:jc w:val="center"/>
              <w:rPr>
                <w:rFonts w:ascii="宋体" w:hAnsi="宋体" w:cs="宋体"/>
                <w:color w:val="auto"/>
                <w:highlight w:val="none"/>
              </w:rPr>
            </w:pPr>
            <w:r>
              <w:rPr>
                <w:rFonts w:hint="eastAsia" w:ascii="宋体" w:hAnsi="宋体" w:cs="宋体"/>
                <w:color w:val="auto"/>
                <w:highlight w:val="none"/>
                <w:lang w:val="en-US" w:eastAsia="zh-CN"/>
              </w:rPr>
              <w:t>9.7</w:t>
            </w:r>
          </w:p>
        </w:tc>
        <w:tc>
          <w:tcPr>
            <w:tcW w:w="2208" w:type="dxa"/>
            <w:tcBorders>
              <w:top w:val="single" w:color="auto" w:sz="4" w:space="0"/>
              <w:left w:val="single" w:color="auto" w:sz="4" w:space="0"/>
              <w:bottom w:val="single" w:color="auto" w:sz="4" w:space="0"/>
              <w:right w:val="single" w:color="auto" w:sz="4" w:space="0"/>
            </w:tcBorders>
            <w:vAlign w:val="center"/>
          </w:tcPr>
          <w:p w14:paraId="082B4DF1">
            <w:pPr>
              <w:spacing w:line="440" w:lineRule="exact"/>
              <w:jc w:val="center"/>
              <w:rPr>
                <w:rFonts w:hint="eastAsia" w:ascii="宋体" w:hAnsi="宋体" w:cs="宋体"/>
                <w:color w:val="auto"/>
                <w:highlight w:val="none"/>
                <w:lang w:val="zh-TW"/>
              </w:rPr>
            </w:pPr>
            <w:r>
              <w:rPr>
                <w:rFonts w:hint="eastAsia" w:ascii="宋体" w:hAnsi="宋体" w:eastAsia="宋体" w:cs="宋体"/>
                <w:b w:val="0"/>
                <w:bCs/>
                <w:color w:val="auto"/>
                <w:sz w:val="21"/>
                <w:szCs w:val="21"/>
                <w:highlight w:val="none"/>
                <w:lang w:val="en-US" w:eastAsia="zh-CN"/>
              </w:rPr>
              <w:t>异议（质疑）及投诉</w:t>
            </w:r>
          </w:p>
        </w:tc>
        <w:tc>
          <w:tcPr>
            <w:tcW w:w="6476" w:type="dxa"/>
            <w:tcBorders>
              <w:top w:val="single" w:color="auto" w:sz="4" w:space="0"/>
              <w:left w:val="single" w:color="auto" w:sz="4" w:space="0"/>
              <w:bottom w:val="single" w:color="auto" w:sz="4" w:space="0"/>
              <w:right w:val="single" w:color="auto" w:sz="4" w:space="0"/>
            </w:tcBorders>
            <w:vAlign w:val="center"/>
          </w:tcPr>
          <w:p w14:paraId="0301BA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18DFB8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w:t>
            </w:r>
          </w:p>
          <w:p w14:paraId="2F5917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7559840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22DDC241">
            <w:pPr>
              <w:spacing w:line="360" w:lineRule="auto"/>
              <w:rPr>
                <w:rFonts w:hint="eastAsia" w:ascii="宋体" w:hAnsi="宋体" w:eastAsia="宋体" w:cs="宋体"/>
                <w:color w:val="auto"/>
                <w:kern w:val="2"/>
                <w:sz w:val="21"/>
                <w:szCs w:val="21"/>
                <w:highlight w:val="none"/>
                <w:lang w:val="zh-TW" w:eastAsia="zh-CN" w:bidi="ar-SA"/>
              </w:rPr>
            </w:pPr>
            <w:r>
              <w:rPr>
                <w:rFonts w:hint="eastAsia" w:ascii="宋体" w:hAnsi="宋体" w:eastAsia="宋体" w:cs="宋体"/>
                <w:color w:val="auto"/>
                <w:kern w:val="2"/>
                <w:sz w:val="21"/>
                <w:szCs w:val="21"/>
                <w:highlight w:val="none"/>
                <w:lang w:val="en-US" w:eastAsia="zh-CN" w:bidi="ar-SA"/>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6734A4F4">
        <w:tblPrEx>
          <w:tblCellMar>
            <w:top w:w="0" w:type="dxa"/>
            <w:left w:w="108" w:type="dxa"/>
            <w:bottom w:w="0" w:type="dxa"/>
            <w:right w:w="108" w:type="dxa"/>
          </w:tblCellMar>
        </w:tblPrEx>
        <w:trPr>
          <w:gridBefore w:val="1"/>
          <w:wBefore w:w="6" w:type="dxa"/>
        </w:trPr>
        <w:tc>
          <w:tcPr>
            <w:tcW w:w="948" w:type="dxa"/>
            <w:tcBorders>
              <w:top w:val="single" w:color="auto" w:sz="4" w:space="0"/>
              <w:left w:val="single" w:color="auto" w:sz="4" w:space="0"/>
              <w:bottom w:val="single" w:color="auto" w:sz="4" w:space="0"/>
              <w:right w:val="single" w:color="auto" w:sz="4" w:space="0"/>
            </w:tcBorders>
            <w:vAlign w:val="center"/>
          </w:tcPr>
          <w:p w14:paraId="29D556E6">
            <w:pPr>
              <w:spacing w:line="440" w:lineRule="exact"/>
              <w:jc w:val="center"/>
              <w:rPr>
                <w:rFonts w:cs="Times New Roman"/>
                <w:color w:val="auto"/>
                <w:highlight w:val="none"/>
              </w:rPr>
            </w:pPr>
            <w:r>
              <w:rPr>
                <w:rFonts w:ascii="宋体" w:hAnsi="宋体" w:cs="宋体"/>
                <w:color w:val="auto"/>
                <w:highlight w:val="none"/>
              </w:rPr>
              <w:t>9.7</w:t>
            </w:r>
          </w:p>
        </w:tc>
        <w:tc>
          <w:tcPr>
            <w:tcW w:w="2208" w:type="dxa"/>
            <w:tcBorders>
              <w:top w:val="single" w:color="auto" w:sz="4" w:space="0"/>
              <w:left w:val="single" w:color="auto" w:sz="4" w:space="0"/>
              <w:bottom w:val="single" w:color="auto" w:sz="4" w:space="0"/>
              <w:right w:val="single" w:color="auto" w:sz="4" w:space="0"/>
            </w:tcBorders>
            <w:vAlign w:val="center"/>
          </w:tcPr>
          <w:p w14:paraId="24DD4DCA">
            <w:pPr>
              <w:spacing w:line="440" w:lineRule="exact"/>
              <w:jc w:val="center"/>
              <w:rPr>
                <w:rFonts w:hint="eastAsia" w:ascii="宋体" w:eastAsia="宋体" w:cs="Times New Roman"/>
                <w:color w:val="auto"/>
                <w:highlight w:val="none"/>
                <w:lang w:eastAsia="zh-CN"/>
              </w:rPr>
            </w:pPr>
            <w:r>
              <w:rPr>
                <w:rFonts w:hint="eastAsia" w:ascii="宋体" w:hAnsi="宋体" w:cs="宋体"/>
                <w:b/>
                <w:bCs/>
                <w:color w:val="auto"/>
                <w:highlight w:val="none"/>
                <w:lang w:eastAsia="zh-CN"/>
              </w:rPr>
              <w:t>招标代理服务费</w:t>
            </w:r>
          </w:p>
        </w:tc>
        <w:tc>
          <w:tcPr>
            <w:tcW w:w="6476" w:type="dxa"/>
            <w:tcBorders>
              <w:top w:val="single" w:color="auto" w:sz="4" w:space="0"/>
              <w:left w:val="single" w:color="auto" w:sz="4" w:space="0"/>
              <w:bottom w:val="single" w:color="auto" w:sz="4" w:space="0"/>
              <w:right w:val="single" w:color="auto" w:sz="4" w:space="0"/>
            </w:tcBorders>
            <w:vAlign w:val="center"/>
          </w:tcPr>
          <w:p w14:paraId="2568862A">
            <w:pPr>
              <w:pStyle w:val="81"/>
              <w:shd w:val="clear" w:color="auto" w:fill="FFFFFF"/>
              <w:spacing w:before="0" w:beforeAutospacing="0" w:after="0" w:afterAutospacing="0" w:line="348" w:lineRule="auto"/>
              <w:rPr>
                <w:rFonts w:hint="eastAsia" w:ascii="仿宋" w:hAnsi="仿宋" w:eastAsia="仿宋" w:cs="仿宋"/>
                <w:color w:val="auto"/>
                <w:sz w:val="24"/>
                <w:szCs w:val="24"/>
                <w:highlight w:val="none"/>
                <w:lang w:val="zh-CN" w:eastAsia="zh-CN"/>
              </w:rPr>
            </w:pPr>
            <w:r>
              <w:rPr>
                <w:rFonts w:hint="eastAsia" w:ascii="宋体" w:hAnsi="宋体"/>
                <w:color w:val="auto"/>
                <w:sz w:val="21"/>
                <w:szCs w:val="21"/>
                <w:highlight w:val="none"/>
              </w:rPr>
              <w:t>招标代理</w:t>
            </w:r>
            <w:r>
              <w:rPr>
                <w:rFonts w:hint="eastAsia" w:ascii="宋体" w:hAnsi="宋体"/>
                <w:color w:val="auto"/>
                <w:sz w:val="21"/>
                <w:szCs w:val="21"/>
                <w:highlight w:val="none"/>
                <w:lang w:eastAsia="zh-CN"/>
              </w:rPr>
              <w:t>服务</w:t>
            </w:r>
            <w:r>
              <w:rPr>
                <w:rFonts w:hint="eastAsia" w:ascii="宋体" w:hAnsi="宋体"/>
                <w:color w:val="auto"/>
                <w:sz w:val="21"/>
                <w:szCs w:val="21"/>
                <w:highlight w:val="none"/>
              </w:rPr>
              <w:t>费：</w:t>
            </w:r>
            <w:r>
              <w:rPr>
                <w:rFonts w:hint="eastAsia"/>
                <w:color w:val="auto"/>
                <w:sz w:val="21"/>
                <w:szCs w:val="21"/>
                <w:highlight w:val="none"/>
                <w:lang w:val="en-US" w:eastAsia="zh-CN"/>
              </w:rPr>
              <w:t>参照</w:t>
            </w:r>
            <w:r>
              <w:rPr>
                <w:rFonts w:hint="eastAsia"/>
                <w:color w:val="auto"/>
                <w:sz w:val="21"/>
                <w:szCs w:val="21"/>
                <w:highlight w:val="none"/>
                <w:lang w:eastAsia="zh-CN"/>
              </w:rPr>
              <w:t>《云南省建设工程及政府采购代理服务收费参考意见》的通知（云建招协〔2026〕11号）文件中工程类标准正常计算收取，由中标人在领取中标通知书时一次性支付给招标代理机构。</w:t>
            </w:r>
          </w:p>
        </w:tc>
      </w:tr>
    </w:tbl>
    <w:p w14:paraId="22A97A5B">
      <w:pPr>
        <w:adjustRightInd w:val="0"/>
        <w:snapToGrid w:val="0"/>
        <w:spacing w:line="360" w:lineRule="auto"/>
        <w:jc w:val="left"/>
        <w:outlineLvl w:val="1"/>
        <w:rPr>
          <w:rFonts w:hint="eastAsia" w:ascii="黑体" w:hAnsi="黑体" w:eastAsia="黑体" w:cs="黑体"/>
          <w:b/>
          <w:bCs/>
          <w:color w:val="auto"/>
          <w:sz w:val="32"/>
          <w:szCs w:val="32"/>
          <w:highlight w:val="none"/>
        </w:rPr>
      </w:pPr>
      <w:bookmarkStart w:id="65" w:name="_Toc5982"/>
      <w:bookmarkStart w:id="66" w:name="_Toc45896615"/>
      <w:bookmarkStart w:id="67" w:name="_Toc45896911"/>
    </w:p>
    <w:p w14:paraId="0EFB5405">
      <w:pPr>
        <w:adjustRightInd w:val="0"/>
        <w:snapToGrid w:val="0"/>
        <w:spacing w:line="360" w:lineRule="auto"/>
        <w:ind w:firstLine="3534" w:firstLineChars="1100"/>
        <w:jc w:val="left"/>
        <w:outlineLvl w:val="1"/>
        <w:rPr>
          <w:rFonts w:cs="Times New Roman"/>
          <w:color w:val="auto"/>
          <w:highlight w:val="none"/>
        </w:rPr>
      </w:pPr>
      <w:r>
        <w:rPr>
          <w:rFonts w:hint="eastAsia" w:ascii="黑体" w:hAnsi="黑体" w:eastAsia="黑体" w:cs="黑体"/>
          <w:b/>
          <w:bCs/>
          <w:color w:val="auto"/>
          <w:sz w:val="32"/>
          <w:szCs w:val="32"/>
          <w:highlight w:val="none"/>
        </w:rPr>
        <w:t>投标人须知正文部分</w:t>
      </w:r>
      <w:bookmarkEnd w:id="27"/>
      <w:bookmarkEnd w:id="28"/>
      <w:bookmarkEnd w:id="65"/>
      <w:bookmarkEnd w:id="66"/>
      <w:bookmarkEnd w:id="67"/>
    </w:p>
    <w:p w14:paraId="6FEF9733">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68" w:name="_Toc19934_WPSOffice_Level2"/>
      <w:bookmarkStart w:id="69" w:name="_Toc45896912"/>
      <w:bookmarkStart w:id="70" w:name="_Toc25402_WPSOffice_Level2"/>
      <w:bookmarkStart w:id="71" w:name="_Toc11560"/>
      <w:bookmarkStart w:id="72" w:name="_Toc45896616"/>
      <w:r>
        <w:rPr>
          <w:rFonts w:hint="eastAsia" w:ascii="宋体" w:hAnsi="宋体" w:eastAsia="宋体" w:cs="宋体"/>
          <w:color w:val="auto"/>
          <w:sz w:val="21"/>
          <w:szCs w:val="21"/>
          <w:highlight w:val="none"/>
        </w:rPr>
        <w:t>1.总则</w:t>
      </w:r>
      <w:bookmarkEnd w:id="29"/>
      <w:bookmarkEnd w:id="30"/>
      <w:bookmarkEnd w:id="31"/>
      <w:bookmarkEnd w:id="32"/>
      <w:bookmarkEnd w:id="33"/>
      <w:bookmarkEnd w:id="34"/>
      <w:bookmarkEnd w:id="68"/>
      <w:bookmarkEnd w:id="69"/>
      <w:bookmarkEnd w:id="70"/>
      <w:bookmarkEnd w:id="71"/>
      <w:bookmarkEnd w:id="72"/>
    </w:p>
    <w:p w14:paraId="4BD1227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73" w:name="_Toc152042306"/>
      <w:bookmarkStart w:id="74" w:name="_Toc247527554"/>
      <w:bookmarkStart w:id="75" w:name="_Toc144974498"/>
      <w:bookmarkStart w:id="76" w:name="_Toc45896617"/>
      <w:bookmarkStart w:id="77" w:name="_Toc152045530"/>
      <w:bookmarkStart w:id="78" w:name="_Toc5737"/>
      <w:bookmarkStart w:id="79" w:name="_Toc45896913"/>
      <w:bookmarkStart w:id="80" w:name="_Toc11187"/>
      <w:bookmarkStart w:id="81" w:name="_Toc247513953"/>
      <w:r>
        <w:rPr>
          <w:rFonts w:hint="eastAsia" w:ascii="宋体" w:hAnsi="宋体" w:eastAsia="宋体" w:cs="宋体"/>
          <w:color w:val="auto"/>
          <w:sz w:val="21"/>
          <w:szCs w:val="21"/>
          <w:highlight w:val="none"/>
        </w:rPr>
        <w:t>1.1 项目概况</w:t>
      </w:r>
      <w:bookmarkEnd w:id="73"/>
      <w:bookmarkEnd w:id="74"/>
      <w:bookmarkEnd w:id="75"/>
      <w:bookmarkEnd w:id="76"/>
      <w:bookmarkEnd w:id="77"/>
      <w:bookmarkEnd w:id="78"/>
      <w:bookmarkEnd w:id="79"/>
      <w:bookmarkEnd w:id="80"/>
      <w:bookmarkEnd w:id="81"/>
    </w:p>
    <w:p w14:paraId="5380CA6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1.1.1根据《中华人民共和国招标投标法》等有关法律、法规和规章的规定，本招标项目已具备招标条件，现对该项目设计、施工进行总承包招标。</w:t>
      </w:r>
    </w:p>
    <w:p w14:paraId="6C3FDC4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4F84C34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30674494">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招标项目名称：见投标人须知前附表。</w:t>
      </w:r>
    </w:p>
    <w:p w14:paraId="5ED6335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建设地点及内容：见投标人须知前附表。</w:t>
      </w:r>
    </w:p>
    <w:p w14:paraId="02EFCD81">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82" w:name="_Toc247513954"/>
      <w:bookmarkStart w:id="83" w:name="_Toc25212"/>
      <w:bookmarkStart w:id="84" w:name="_Toc152042307"/>
      <w:bookmarkStart w:id="85" w:name="_Toc144974499"/>
      <w:bookmarkStart w:id="86" w:name="_Toc152045531"/>
      <w:bookmarkStart w:id="87" w:name="_Toc45896618"/>
      <w:bookmarkStart w:id="88" w:name="_Toc247527555"/>
      <w:bookmarkStart w:id="89" w:name="_Toc6485"/>
      <w:bookmarkStart w:id="90" w:name="_Toc45896914"/>
      <w:r>
        <w:rPr>
          <w:rFonts w:hint="eastAsia" w:ascii="宋体" w:hAnsi="宋体" w:eastAsia="宋体" w:cs="宋体"/>
          <w:color w:val="auto"/>
          <w:sz w:val="21"/>
          <w:szCs w:val="21"/>
          <w:highlight w:val="none"/>
        </w:rPr>
        <w:t>1.2 项目的资金来源和落实情况</w:t>
      </w:r>
      <w:bookmarkEnd w:id="82"/>
      <w:bookmarkEnd w:id="83"/>
      <w:bookmarkEnd w:id="84"/>
      <w:bookmarkEnd w:id="85"/>
      <w:bookmarkEnd w:id="86"/>
      <w:bookmarkEnd w:id="87"/>
      <w:bookmarkEnd w:id="88"/>
      <w:bookmarkEnd w:id="89"/>
      <w:bookmarkEnd w:id="90"/>
    </w:p>
    <w:p w14:paraId="65E8568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资金来源：见投标人须知前附表。</w:t>
      </w:r>
    </w:p>
    <w:p w14:paraId="3434A9B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2C7CD5A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91" w:name="_Toc152045532"/>
      <w:bookmarkStart w:id="92" w:name="_Toc144974500"/>
      <w:bookmarkStart w:id="93" w:name="_Toc247527556"/>
      <w:bookmarkStart w:id="94" w:name="_Toc247513955"/>
      <w:bookmarkStart w:id="95" w:name="_Toc152042308"/>
      <w:bookmarkStart w:id="96" w:name="_Toc4017"/>
      <w:bookmarkStart w:id="97" w:name="_Toc7632"/>
      <w:bookmarkStart w:id="98" w:name="_Toc45896915"/>
      <w:bookmarkStart w:id="99" w:name="_Toc45896619"/>
      <w:r>
        <w:rPr>
          <w:rFonts w:hint="eastAsia" w:ascii="宋体" w:hAnsi="宋体" w:eastAsia="宋体" w:cs="宋体"/>
          <w:color w:val="auto"/>
          <w:sz w:val="21"/>
          <w:szCs w:val="21"/>
          <w:highlight w:val="none"/>
        </w:rPr>
        <w:t>1.3 招标范围、工期</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和</w:t>
      </w:r>
      <w:bookmarkEnd w:id="91"/>
      <w:bookmarkEnd w:id="92"/>
      <w:bookmarkEnd w:id="93"/>
      <w:bookmarkEnd w:id="94"/>
      <w:bookmarkEnd w:id="95"/>
      <w:r>
        <w:rPr>
          <w:rFonts w:hint="eastAsia" w:ascii="宋体" w:hAnsi="宋体" w:eastAsia="宋体" w:cs="宋体"/>
          <w:color w:val="auto"/>
          <w:sz w:val="21"/>
          <w:szCs w:val="21"/>
          <w:highlight w:val="none"/>
        </w:rPr>
        <w:t>质量标准</w:t>
      </w:r>
      <w:bookmarkEnd w:id="96"/>
      <w:bookmarkEnd w:id="97"/>
      <w:bookmarkEnd w:id="98"/>
      <w:bookmarkEnd w:id="99"/>
    </w:p>
    <w:p w14:paraId="5EACC0B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342B027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工期</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：见投标人须知前附表。</w:t>
      </w:r>
    </w:p>
    <w:p w14:paraId="7F13DA0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质量标准：见投标人须知前附表。</w:t>
      </w:r>
    </w:p>
    <w:p w14:paraId="1392D30B">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00" w:name="_Toc6388"/>
      <w:bookmarkStart w:id="101" w:name="_Toc152045534"/>
      <w:bookmarkStart w:id="102" w:name="_Toc45896916"/>
      <w:bookmarkStart w:id="103" w:name="_Toc247513957"/>
      <w:bookmarkStart w:id="104" w:name="_Toc247527558"/>
      <w:bookmarkStart w:id="105" w:name="_Toc152042310"/>
      <w:bookmarkStart w:id="106" w:name="_Toc144974502"/>
      <w:bookmarkStart w:id="107" w:name="_Toc21033"/>
      <w:bookmarkStart w:id="108" w:name="_Toc45896620"/>
      <w:r>
        <w:rPr>
          <w:rFonts w:hint="eastAsia" w:ascii="宋体" w:hAnsi="宋体" w:eastAsia="宋体" w:cs="宋体"/>
          <w:color w:val="auto"/>
          <w:sz w:val="21"/>
          <w:szCs w:val="21"/>
          <w:highlight w:val="none"/>
        </w:rPr>
        <w:t>1.4 投标人资格要求</w:t>
      </w:r>
      <w:bookmarkEnd w:id="100"/>
      <w:bookmarkEnd w:id="101"/>
      <w:bookmarkEnd w:id="102"/>
      <w:bookmarkEnd w:id="103"/>
      <w:bookmarkEnd w:id="104"/>
      <w:bookmarkEnd w:id="105"/>
      <w:bookmarkEnd w:id="106"/>
      <w:bookmarkEnd w:id="107"/>
      <w:bookmarkEnd w:id="108"/>
    </w:p>
    <w:p w14:paraId="0CE991A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投标人应具备承担本招标项目资质条件、能力和信誉。</w:t>
      </w:r>
    </w:p>
    <w:p w14:paraId="371AD7F7">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（1）资质要求：见投标人须知前附表；</w:t>
      </w:r>
    </w:p>
    <w:p w14:paraId="3CD11FD8">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（2）财务要求：见投标人须知前附表；</w:t>
      </w:r>
    </w:p>
    <w:p w14:paraId="1242A826">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（3）业绩要求：见投标人须知前附表；</w:t>
      </w:r>
    </w:p>
    <w:p w14:paraId="10A7C91C">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（4）信誉要求：见投标人须知前附表；</w:t>
      </w:r>
    </w:p>
    <w:p w14:paraId="6560B8F7">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（5）项目负责人的资格要求：具体要求见投标人须知前附表；</w:t>
      </w:r>
    </w:p>
    <w:p w14:paraId="0EAE14E8">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（6）设计负责人的资格要求：具体要求见投标人须知前附表；</w:t>
      </w:r>
    </w:p>
    <w:p w14:paraId="6FE0167E">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（7）施工负责人（项目经理）的资格要求：具体要求见投标人须知前附表；</w:t>
      </w:r>
    </w:p>
    <w:p w14:paraId="520CDF61">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（8）项目管理机构及人员：见施工现场专业（管理）人员配备表及投标人须知前附表；</w:t>
      </w:r>
    </w:p>
    <w:p w14:paraId="676A109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投标人须知前附表规定接受联合体投标的，除应符合本章第1.4.1项和投标人须知前附表的要求外，还应遵守以下规定： </w:t>
      </w:r>
    </w:p>
    <w:p w14:paraId="40EFE4C8">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w:t>
      </w:r>
    </w:p>
    <w:p w14:paraId="465BE1FD">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3FFF9624">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w:t>
      </w:r>
    </w:p>
    <w:p w14:paraId="1B48180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47FAFE1B">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（1）为招标人不具有独立法人资格的附属机构（单位）； </w:t>
      </w:r>
    </w:p>
    <w:p w14:paraId="6B6C3B55">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（2）为本招标项目的监理人；</w:t>
      </w:r>
    </w:p>
    <w:p w14:paraId="22BEC05F">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（3）为本招标项目的代建人； </w:t>
      </w:r>
    </w:p>
    <w:p w14:paraId="39B833C3">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（4）为本招标项目提供招标代理服务的； </w:t>
      </w:r>
    </w:p>
    <w:p w14:paraId="02F55F2E">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（5）被责令停业的； </w:t>
      </w:r>
    </w:p>
    <w:p w14:paraId="641D6569">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（6）被暂停或取消投标资格的； </w:t>
      </w:r>
    </w:p>
    <w:p w14:paraId="25837048">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（7）财产被接管或冻结的；</w:t>
      </w:r>
    </w:p>
    <w:p w14:paraId="4B6C8D46">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（8）在最近</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年内有骗取中标或严重违约或重大工程质量问题的；</w:t>
      </w:r>
    </w:p>
    <w:p w14:paraId="27F0E7A6">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（9）与本招标项目的监理人或代建人或招标代理机构同为一个法定代表人的；</w:t>
      </w:r>
    </w:p>
    <w:p w14:paraId="5825D16D">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（10）与本招标项目的监理人或代建人或招标代理机构相互控股或参股的；</w:t>
      </w:r>
    </w:p>
    <w:p w14:paraId="0AA08AFA">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（11）与本招标项目的监理人或代建人或招标代理机构相互任职或工作的。</w:t>
      </w:r>
    </w:p>
    <w:p w14:paraId="0BEFD088">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（12）不得是工程总承包项目的代建单位或与代建单位存在隶属关系和管理关系的；</w:t>
      </w:r>
    </w:p>
    <w:p w14:paraId="4E539350">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不得是工程总承包项目项目建议书编制单位、可行性研究报告编制单位、初步设计文件编制单位及其评估单位，但招标人公开已完成的该总承包项目项目建议书、可行性研究报告、初步设计文件的上述单位可以参与该工程总承包项目的投标。</w:t>
      </w:r>
    </w:p>
    <w:p w14:paraId="3D1C666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单位负责人为同一人或者存在控股、管理关系的不同单位，不得同时参加本招标项目投标。</w:t>
      </w:r>
    </w:p>
    <w:p w14:paraId="313A417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09" w:name="_Toc247513958"/>
      <w:bookmarkStart w:id="110" w:name="_Toc247527559"/>
      <w:bookmarkStart w:id="111" w:name="_Toc152045535"/>
      <w:bookmarkStart w:id="112" w:name="_Toc152042311"/>
      <w:bookmarkStart w:id="113" w:name="_Toc144974503"/>
      <w:bookmarkStart w:id="114" w:name="_Toc45896917"/>
      <w:bookmarkStart w:id="115" w:name="_Toc12783"/>
      <w:bookmarkStart w:id="116" w:name="_Toc2620"/>
      <w:bookmarkStart w:id="117" w:name="_Toc45896621"/>
      <w:r>
        <w:rPr>
          <w:rFonts w:hint="eastAsia" w:ascii="宋体" w:hAnsi="宋体" w:eastAsia="宋体" w:cs="宋体"/>
          <w:color w:val="auto"/>
          <w:sz w:val="21"/>
          <w:szCs w:val="21"/>
          <w:highlight w:val="none"/>
        </w:rPr>
        <w:t>1.5 费用承担</w:t>
      </w:r>
      <w:bookmarkEnd w:id="109"/>
      <w:bookmarkEnd w:id="110"/>
      <w:bookmarkEnd w:id="111"/>
      <w:bookmarkEnd w:id="112"/>
      <w:bookmarkEnd w:id="113"/>
      <w:r>
        <w:rPr>
          <w:rFonts w:hint="eastAsia" w:ascii="宋体" w:hAnsi="宋体" w:eastAsia="宋体" w:cs="宋体"/>
          <w:color w:val="auto"/>
          <w:sz w:val="21"/>
          <w:szCs w:val="21"/>
          <w:highlight w:val="none"/>
        </w:rPr>
        <w:t>和设计成果补偿</w:t>
      </w:r>
      <w:bookmarkEnd w:id="114"/>
      <w:bookmarkEnd w:id="115"/>
      <w:bookmarkEnd w:id="116"/>
      <w:bookmarkEnd w:id="117"/>
    </w:p>
    <w:p w14:paraId="699F771A">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投标人准备和参加投标活动发生的费用自理。</w:t>
      </w:r>
    </w:p>
    <w:p w14:paraId="368DC33E">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招标人对符合招标文件规定的未中标人的</w:t>
      </w:r>
      <w:r>
        <w:rPr>
          <w:rFonts w:hint="eastAsia" w:ascii="宋体" w:hAnsi="宋体" w:eastAsia="宋体" w:cs="宋体"/>
          <w:color w:val="auto"/>
          <w:sz w:val="21"/>
          <w:szCs w:val="21"/>
          <w:highlight w:val="none"/>
          <w:lang w:val="en-US" w:eastAsia="zh-CN"/>
        </w:rPr>
        <w:t>勘察、</w:t>
      </w:r>
      <w:r>
        <w:rPr>
          <w:rFonts w:hint="eastAsia" w:ascii="宋体" w:hAnsi="宋体" w:eastAsia="宋体" w:cs="宋体"/>
          <w:color w:val="auto"/>
          <w:sz w:val="21"/>
          <w:szCs w:val="21"/>
          <w:highlight w:val="none"/>
        </w:rPr>
        <w:t>设计成果进行补偿的，按投标人须知前附表规定给予补偿，并有权免费使用未中标人</w:t>
      </w:r>
      <w:r>
        <w:rPr>
          <w:rFonts w:hint="eastAsia" w:ascii="宋体" w:hAnsi="宋体" w:eastAsia="宋体" w:cs="宋体"/>
          <w:color w:val="auto"/>
          <w:sz w:val="21"/>
          <w:szCs w:val="21"/>
          <w:highlight w:val="none"/>
          <w:lang w:val="en-US" w:eastAsia="zh-CN"/>
        </w:rPr>
        <w:t>勘察、</w:t>
      </w:r>
      <w:r>
        <w:rPr>
          <w:rFonts w:hint="eastAsia" w:ascii="宋体" w:hAnsi="宋体" w:eastAsia="宋体" w:cs="宋体"/>
          <w:color w:val="auto"/>
          <w:sz w:val="21"/>
          <w:szCs w:val="21"/>
          <w:highlight w:val="none"/>
        </w:rPr>
        <w:t>设计成果。</w:t>
      </w:r>
    </w:p>
    <w:p w14:paraId="3262FB5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18" w:name="_Toc45896918"/>
      <w:bookmarkStart w:id="119" w:name="_Toc144974504"/>
      <w:bookmarkStart w:id="120" w:name="_Toc247527560"/>
      <w:bookmarkStart w:id="121" w:name="_Toc5533"/>
      <w:bookmarkStart w:id="122" w:name="_Toc28789"/>
      <w:bookmarkStart w:id="123" w:name="_Toc152042312"/>
      <w:bookmarkStart w:id="124" w:name="_Toc45896622"/>
      <w:bookmarkStart w:id="125" w:name="_Toc152045536"/>
      <w:bookmarkStart w:id="126" w:name="_Toc247513959"/>
      <w:r>
        <w:rPr>
          <w:rFonts w:hint="eastAsia" w:ascii="宋体" w:hAnsi="宋体" w:eastAsia="宋体" w:cs="宋体"/>
          <w:color w:val="auto"/>
          <w:sz w:val="21"/>
          <w:szCs w:val="21"/>
          <w:highlight w:val="none"/>
        </w:rPr>
        <w:t>1.6 保密</w:t>
      </w:r>
      <w:bookmarkEnd w:id="118"/>
      <w:bookmarkEnd w:id="119"/>
      <w:bookmarkEnd w:id="120"/>
      <w:bookmarkEnd w:id="121"/>
      <w:bookmarkEnd w:id="122"/>
      <w:bookmarkEnd w:id="123"/>
      <w:bookmarkEnd w:id="124"/>
      <w:bookmarkEnd w:id="125"/>
      <w:bookmarkEnd w:id="126"/>
    </w:p>
    <w:p w14:paraId="191BF7B4">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4357B06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27" w:name="_Toc144974505"/>
      <w:bookmarkStart w:id="128" w:name="_Toc45896919"/>
      <w:bookmarkStart w:id="129" w:name="_Toc45896623"/>
      <w:bookmarkStart w:id="130" w:name="_Toc247527561"/>
      <w:bookmarkStart w:id="131" w:name="_Toc247513960"/>
      <w:bookmarkStart w:id="132" w:name="_Toc9688"/>
      <w:bookmarkStart w:id="133" w:name="_Toc152045537"/>
      <w:bookmarkStart w:id="134" w:name="_Toc13633"/>
      <w:bookmarkStart w:id="135" w:name="_Toc152042313"/>
      <w:r>
        <w:rPr>
          <w:rFonts w:hint="eastAsia" w:ascii="宋体" w:hAnsi="宋体" w:eastAsia="宋体" w:cs="宋体"/>
          <w:color w:val="auto"/>
          <w:sz w:val="21"/>
          <w:szCs w:val="21"/>
          <w:highlight w:val="none"/>
        </w:rPr>
        <w:t>1.7 语言</w:t>
      </w:r>
      <w:bookmarkEnd w:id="127"/>
      <w:r>
        <w:rPr>
          <w:rFonts w:hint="eastAsia" w:ascii="宋体" w:hAnsi="宋体" w:eastAsia="宋体" w:cs="宋体"/>
          <w:color w:val="auto"/>
          <w:sz w:val="21"/>
          <w:szCs w:val="21"/>
          <w:highlight w:val="none"/>
        </w:rPr>
        <w:t>文字</w:t>
      </w:r>
      <w:bookmarkEnd w:id="128"/>
      <w:bookmarkEnd w:id="129"/>
      <w:bookmarkEnd w:id="130"/>
      <w:bookmarkEnd w:id="131"/>
      <w:bookmarkEnd w:id="132"/>
      <w:bookmarkEnd w:id="133"/>
      <w:bookmarkEnd w:id="134"/>
      <w:bookmarkEnd w:id="135"/>
    </w:p>
    <w:p w14:paraId="4F58DF42">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招标投标文件使用的语言文字为中文。专用术语使用外文的，应附有中文注释，未附有中文注释的不予采纳。</w:t>
      </w:r>
    </w:p>
    <w:p w14:paraId="07A523C0">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36" w:name="_Toc45896624"/>
      <w:bookmarkStart w:id="137" w:name="_Toc247513961"/>
      <w:bookmarkStart w:id="138" w:name="_Toc247527562"/>
      <w:bookmarkStart w:id="139" w:name="_Toc152042314"/>
      <w:bookmarkStart w:id="140" w:name="_Toc152045538"/>
      <w:bookmarkStart w:id="141" w:name="_Toc45896920"/>
      <w:bookmarkStart w:id="142" w:name="_Toc144974506"/>
      <w:bookmarkStart w:id="143" w:name="_Toc15167"/>
      <w:bookmarkStart w:id="144" w:name="_Toc24821"/>
      <w:r>
        <w:rPr>
          <w:rFonts w:hint="eastAsia" w:ascii="宋体" w:hAnsi="宋体" w:eastAsia="宋体" w:cs="宋体"/>
          <w:color w:val="auto"/>
          <w:sz w:val="21"/>
          <w:szCs w:val="21"/>
          <w:highlight w:val="none"/>
        </w:rPr>
        <w:t>1.8 计量单位</w:t>
      </w:r>
      <w:bookmarkEnd w:id="136"/>
      <w:bookmarkEnd w:id="137"/>
      <w:bookmarkEnd w:id="138"/>
      <w:bookmarkEnd w:id="139"/>
      <w:bookmarkEnd w:id="140"/>
      <w:bookmarkEnd w:id="141"/>
      <w:bookmarkEnd w:id="142"/>
      <w:bookmarkEnd w:id="143"/>
      <w:bookmarkEnd w:id="144"/>
    </w:p>
    <w:p w14:paraId="56BEF69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43E80ECF">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45" w:name="_Toc247527563"/>
      <w:bookmarkStart w:id="146" w:name="_Toc247513962"/>
      <w:bookmarkStart w:id="147" w:name="_Toc45896625"/>
      <w:bookmarkStart w:id="148" w:name="_Toc144974507"/>
      <w:bookmarkStart w:id="149" w:name="_Toc27574"/>
      <w:bookmarkStart w:id="150" w:name="_Toc152042315"/>
      <w:bookmarkStart w:id="151" w:name="_Toc45896921"/>
      <w:bookmarkStart w:id="152" w:name="_Toc152045539"/>
      <w:bookmarkStart w:id="153" w:name="_Toc9085"/>
      <w:r>
        <w:rPr>
          <w:rFonts w:hint="eastAsia" w:ascii="宋体" w:hAnsi="宋体" w:eastAsia="宋体" w:cs="宋体"/>
          <w:color w:val="auto"/>
          <w:sz w:val="21"/>
          <w:szCs w:val="21"/>
          <w:highlight w:val="none"/>
        </w:rPr>
        <w:t>1.9 踏勘现场</w:t>
      </w:r>
      <w:bookmarkEnd w:id="145"/>
      <w:bookmarkEnd w:id="146"/>
      <w:bookmarkEnd w:id="147"/>
      <w:bookmarkEnd w:id="148"/>
      <w:bookmarkEnd w:id="149"/>
      <w:bookmarkEnd w:id="150"/>
      <w:bookmarkEnd w:id="151"/>
      <w:bookmarkEnd w:id="152"/>
      <w:bookmarkEnd w:id="153"/>
    </w:p>
    <w:p w14:paraId="2F7D5C9E">
      <w:pPr>
        <w:spacing w:line="400" w:lineRule="exact"/>
        <w:ind w:firstLine="420" w:firstLineChars="200"/>
        <w:rPr>
          <w:rFonts w:hint="eastAsia" w:ascii="宋体" w:hAnsi="宋体" w:eastAsia="宋体" w:cs="宋体"/>
          <w:color w:val="auto"/>
          <w:sz w:val="21"/>
          <w:szCs w:val="21"/>
          <w:highlight w:val="none"/>
        </w:rPr>
      </w:pPr>
      <w:bookmarkStart w:id="154" w:name="_Toc144974508"/>
      <w:bookmarkStart w:id="155" w:name="_Toc32624"/>
      <w:bookmarkStart w:id="156" w:name="_Toc45896626"/>
      <w:bookmarkStart w:id="157" w:name="_Toc152042316"/>
      <w:bookmarkStart w:id="158" w:name="_Toc247513963"/>
      <w:bookmarkStart w:id="159" w:name="_Toc152045540"/>
      <w:bookmarkStart w:id="160" w:name="_Toc45896922"/>
      <w:bookmarkStart w:id="161" w:name="_Toc247527564"/>
      <w:bookmarkStart w:id="162" w:name="_Toc12089"/>
      <w:r>
        <w:rPr>
          <w:rFonts w:hint="eastAsia" w:ascii="宋体" w:hAnsi="宋体" w:eastAsia="宋体" w:cs="宋体"/>
          <w:color w:val="auto"/>
          <w:sz w:val="21"/>
          <w:szCs w:val="21"/>
          <w:highlight w:val="none"/>
        </w:rPr>
        <w:t xml:space="preserve">1.9.1 投标人须知前附表规定组织踏勘现场的，招标人按投标人须知前附表规定的时间、地点组织投标人踏勘项目现场。 </w:t>
      </w:r>
    </w:p>
    <w:p w14:paraId="78EB1F03">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投标人踏勘现场发生的费用自理。</w:t>
      </w:r>
    </w:p>
    <w:p w14:paraId="06D2AA4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除招标人的原因外，投标人自行负责在踏勘现场中所发生的人员伤亡和财产损失。</w:t>
      </w:r>
    </w:p>
    <w:p w14:paraId="48952EC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 招标人在踏勘现场中介绍的工程场地和相关的周边环境情况，供投标人在编制投标文件时参考，招标人不对投标人据此作出的判断和决策负责。</w:t>
      </w:r>
    </w:p>
    <w:p w14:paraId="6697279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投标预备会</w:t>
      </w:r>
      <w:bookmarkEnd w:id="154"/>
      <w:bookmarkEnd w:id="155"/>
      <w:bookmarkEnd w:id="156"/>
      <w:bookmarkEnd w:id="157"/>
      <w:bookmarkEnd w:id="158"/>
      <w:bookmarkEnd w:id="159"/>
      <w:bookmarkEnd w:id="160"/>
      <w:bookmarkEnd w:id="161"/>
      <w:bookmarkEnd w:id="162"/>
    </w:p>
    <w:p w14:paraId="4FAC821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投标人须知前附表规定召开投标预备会的，招标人按投标人须知前附表规定的时间和地点召开投标预备会，澄清投标人提出的问题。</w:t>
      </w:r>
    </w:p>
    <w:p w14:paraId="5F1AEB3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投标人应在投标人须知前附表规定的时间前，以书面形式将提出的问题送达招标人，以便招标人在会议期间澄清。</w:t>
      </w:r>
    </w:p>
    <w:p w14:paraId="5315B4B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 投标预备会后，招标人在投标人须知前附表规定的时间内，将对投标人所提问题的澄清，以书面形式通知所有购买招标文件的投标人。该澄清内容为招标文件的组成部分。</w:t>
      </w:r>
    </w:p>
    <w:p w14:paraId="48F65C81">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63" w:name="_Toc247527565"/>
      <w:bookmarkStart w:id="164" w:name="_Toc45896923"/>
      <w:bookmarkStart w:id="165" w:name="_Toc152042317"/>
      <w:bookmarkStart w:id="166" w:name="_Toc144974509"/>
      <w:bookmarkStart w:id="167" w:name="_Toc247513964"/>
      <w:bookmarkStart w:id="168" w:name="_Toc152045541"/>
      <w:bookmarkStart w:id="169" w:name="_Toc17724"/>
      <w:bookmarkStart w:id="170" w:name="_Toc45896627"/>
      <w:bookmarkStart w:id="171" w:name="_Toc20373"/>
      <w:bookmarkStart w:id="172" w:name="_Toc300834962"/>
      <w:bookmarkStart w:id="173" w:name="_Toc45896924"/>
      <w:bookmarkStart w:id="174" w:name="_Toc247513965"/>
      <w:bookmarkStart w:id="175" w:name="_Toc45896628"/>
      <w:bookmarkStart w:id="176" w:name="_Toc32253"/>
      <w:bookmarkStart w:id="177" w:name="_Toc247527566"/>
      <w:r>
        <w:rPr>
          <w:rFonts w:hint="eastAsia" w:ascii="宋体" w:hAnsi="宋体" w:eastAsia="宋体" w:cs="宋体"/>
          <w:color w:val="auto"/>
          <w:sz w:val="21"/>
          <w:szCs w:val="21"/>
          <w:highlight w:val="none"/>
        </w:rPr>
        <w:t>1.11 分包</w:t>
      </w:r>
      <w:bookmarkEnd w:id="163"/>
      <w:bookmarkEnd w:id="164"/>
      <w:bookmarkEnd w:id="165"/>
      <w:bookmarkEnd w:id="166"/>
      <w:bookmarkEnd w:id="167"/>
      <w:bookmarkEnd w:id="168"/>
      <w:bookmarkEnd w:id="169"/>
      <w:bookmarkEnd w:id="170"/>
      <w:bookmarkEnd w:id="171"/>
    </w:p>
    <w:p w14:paraId="04AEC65F">
      <w:pPr>
        <w:spacing w:line="400" w:lineRule="exact"/>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投标人须知前附表规定应当由分包人实施的工作，投标人应当提供分包人候选名单及相应资料。</w:t>
      </w:r>
    </w:p>
    <w:p w14:paraId="48211039">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投标人拟在中标后将中标部分项目进行分包的，应符合投标人须知前附表规定的分包内容、分包金额和资质要求等限制性条件。</w:t>
      </w:r>
    </w:p>
    <w:p w14:paraId="1FBCF231">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偏离</w:t>
      </w:r>
      <w:bookmarkEnd w:id="172"/>
      <w:bookmarkEnd w:id="173"/>
      <w:bookmarkEnd w:id="174"/>
      <w:bookmarkEnd w:id="175"/>
      <w:bookmarkEnd w:id="176"/>
      <w:bookmarkEnd w:id="177"/>
    </w:p>
    <w:p w14:paraId="2BE013C2">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投标人须知前附表允许投标文件偏离招标文件某些要求的，偏离应当符合招标文件规定的偏离范围和幅度。</w:t>
      </w:r>
    </w:p>
    <w:p w14:paraId="6F934418">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178" w:name="_Toc13367_WPSOffice_Level2"/>
      <w:bookmarkStart w:id="179" w:name="_Toc247513966"/>
      <w:bookmarkStart w:id="180" w:name="_Toc12296"/>
      <w:bookmarkStart w:id="181" w:name="_Toc144974510"/>
      <w:bookmarkStart w:id="182" w:name="_Toc45896925"/>
      <w:bookmarkStart w:id="183" w:name="_Toc45896629"/>
      <w:bookmarkStart w:id="184" w:name="_Toc12080_WPSOffice_Level2"/>
      <w:bookmarkStart w:id="185" w:name="_Toc247527567"/>
      <w:bookmarkStart w:id="186" w:name="_Toc152045542"/>
      <w:bookmarkStart w:id="187" w:name="_Toc3355"/>
      <w:bookmarkStart w:id="188" w:name="_Toc152042318"/>
      <w:r>
        <w:rPr>
          <w:rFonts w:hint="eastAsia" w:ascii="宋体" w:hAnsi="宋体" w:eastAsia="宋体" w:cs="宋体"/>
          <w:color w:val="auto"/>
          <w:sz w:val="21"/>
          <w:szCs w:val="21"/>
          <w:highlight w:val="none"/>
        </w:rPr>
        <w:t>2.招标文件</w:t>
      </w:r>
      <w:bookmarkEnd w:id="178"/>
      <w:bookmarkEnd w:id="179"/>
      <w:bookmarkEnd w:id="180"/>
      <w:bookmarkEnd w:id="181"/>
      <w:bookmarkEnd w:id="182"/>
      <w:bookmarkEnd w:id="183"/>
      <w:bookmarkEnd w:id="184"/>
      <w:bookmarkEnd w:id="185"/>
      <w:bookmarkEnd w:id="186"/>
      <w:bookmarkEnd w:id="187"/>
      <w:bookmarkEnd w:id="188"/>
    </w:p>
    <w:p w14:paraId="531F5807">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89" w:name="_Toc152045543"/>
      <w:bookmarkStart w:id="190" w:name="_Toc6871"/>
      <w:bookmarkStart w:id="191" w:name="_Toc247527568"/>
      <w:bookmarkStart w:id="192" w:name="_Toc24302"/>
      <w:bookmarkStart w:id="193" w:name="_Toc45896630"/>
      <w:bookmarkStart w:id="194" w:name="_Toc152042319"/>
      <w:bookmarkStart w:id="195" w:name="_Toc247513967"/>
      <w:bookmarkStart w:id="196" w:name="_Toc45896926"/>
      <w:bookmarkStart w:id="197" w:name="_Toc144974511"/>
      <w:r>
        <w:rPr>
          <w:rFonts w:hint="eastAsia" w:ascii="宋体" w:hAnsi="宋体" w:eastAsia="宋体" w:cs="宋体"/>
          <w:color w:val="auto"/>
          <w:sz w:val="21"/>
          <w:szCs w:val="21"/>
          <w:highlight w:val="none"/>
        </w:rPr>
        <w:t>2.1 招标文件的组成</w:t>
      </w:r>
      <w:bookmarkEnd w:id="189"/>
      <w:bookmarkEnd w:id="190"/>
      <w:bookmarkEnd w:id="191"/>
      <w:bookmarkEnd w:id="192"/>
      <w:bookmarkEnd w:id="193"/>
      <w:bookmarkEnd w:id="194"/>
      <w:bookmarkEnd w:id="195"/>
      <w:bookmarkEnd w:id="196"/>
      <w:bookmarkEnd w:id="197"/>
    </w:p>
    <w:p w14:paraId="59AD9D65">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2.1.1本招标文件包括：</w:t>
      </w:r>
    </w:p>
    <w:p w14:paraId="55783FBA">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（1）招标公告；</w:t>
      </w:r>
    </w:p>
    <w:p w14:paraId="79755815">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（2）投标人须知；</w:t>
      </w:r>
    </w:p>
    <w:p w14:paraId="2C5C8C3E">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（3）评标办法；</w:t>
      </w:r>
    </w:p>
    <w:p w14:paraId="2374B814">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（4）合同条款及格式；</w:t>
      </w:r>
    </w:p>
    <w:p w14:paraId="33BA405A">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（5）发包人要求；</w:t>
      </w:r>
    </w:p>
    <w:p w14:paraId="53260CC1">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（6）发包人提供的资料和条件；</w:t>
      </w:r>
    </w:p>
    <w:p w14:paraId="195AF144">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（7）投标文件格式；</w:t>
      </w:r>
    </w:p>
    <w:p w14:paraId="3DB6C319">
      <w:pPr>
        <w:spacing w:line="400" w:lineRule="exact"/>
        <w:ind w:firstLine="569" w:firstLineChars="271"/>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（8）投标人须知前附表规定的其他资料。</w:t>
      </w:r>
    </w:p>
    <w:p w14:paraId="5E35DFED">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招标文件格式为*.BZBJ，包含招标公告、投标人须知、评标办法、合同条款及格式、技术标准和要求、投标文件格式、投标人须知前附表规定的其他材料。</w:t>
      </w:r>
    </w:p>
    <w:p w14:paraId="66CC2F07">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2.2.2根据本章第1.10款、第2.2款和第2.3款对招标文件所作的澄清、修改，构成招标文件的组成部分。</w:t>
      </w:r>
    </w:p>
    <w:p w14:paraId="5C1B0119">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198" w:name="_Toc13657"/>
      <w:bookmarkStart w:id="199" w:name="_Toc152042320"/>
      <w:bookmarkStart w:id="200" w:name="_Toc247513968"/>
      <w:bookmarkStart w:id="201" w:name="_Toc144974512"/>
      <w:bookmarkStart w:id="202" w:name="_Toc45896631"/>
      <w:bookmarkStart w:id="203" w:name="_Toc45896927"/>
      <w:bookmarkStart w:id="204" w:name="_Toc247527569"/>
      <w:bookmarkStart w:id="205" w:name="_Toc28203"/>
      <w:bookmarkStart w:id="206" w:name="_Toc152045544"/>
      <w:r>
        <w:rPr>
          <w:rFonts w:hint="eastAsia" w:ascii="宋体" w:hAnsi="宋体" w:eastAsia="宋体" w:cs="宋体"/>
          <w:color w:val="auto"/>
          <w:sz w:val="21"/>
          <w:szCs w:val="21"/>
          <w:highlight w:val="none"/>
        </w:rPr>
        <w:t>2.2 招标文件的澄清</w:t>
      </w:r>
      <w:bookmarkEnd w:id="198"/>
      <w:bookmarkEnd w:id="199"/>
      <w:bookmarkEnd w:id="200"/>
      <w:bookmarkEnd w:id="201"/>
      <w:bookmarkEnd w:id="202"/>
      <w:bookmarkEnd w:id="203"/>
      <w:bookmarkEnd w:id="204"/>
      <w:bookmarkEnd w:id="205"/>
      <w:bookmarkEnd w:id="206"/>
    </w:p>
    <w:p w14:paraId="7C27B99E">
      <w:pPr>
        <w:spacing w:line="400" w:lineRule="exact"/>
        <w:ind w:firstLine="525" w:firstLineChars="250"/>
        <w:rPr>
          <w:rFonts w:hint="eastAsia" w:ascii="宋体" w:hAnsi="宋体" w:eastAsia="宋体" w:cs="宋体"/>
          <w:color w:val="auto"/>
          <w:sz w:val="21"/>
          <w:szCs w:val="21"/>
          <w:highlight w:val="none"/>
        </w:rPr>
      </w:pPr>
      <w:bookmarkStart w:id="207" w:name="_Toc152042321"/>
      <w:bookmarkStart w:id="208" w:name="_Toc144974513"/>
      <w:bookmarkStart w:id="209" w:name="_Toc247513969"/>
      <w:bookmarkStart w:id="210" w:name="_Toc152045545"/>
      <w:bookmarkStart w:id="211" w:name="_Toc247527570"/>
      <w:bookmarkStart w:id="212" w:name="_Toc20550"/>
      <w:r>
        <w:rPr>
          <w:rFonts w:hint="eastAsia" w:ascii="宋体" w:hAnsi="宋体" w:eastAsia="宋体" w:cs="宋体"/>
          <w:color w:val="auto"/>
          <w:sz w:val="21"/>
          <w:szCs w:val="21"/>
          <w:highlight w:val="none"/>
        </w:rPr>
        <w:t>2.2.1 同1.10.2的时间要求。投标人应仔细阅读和检查招标文件的全部内容。如发现缺页或附件不全，应及时向招标人提出，以便补齐。如有疑问，应在投标人电子服务平台规定的时间前以在线署名提交方式登录</w:t>
      </w:r>
      <w:r>
        <w:rPr>
          <w:rFonts w:hint="eastAsia" w:ascii="宋体" w:hAnsi="宋体" w:cs="宋体"/>
          <w:color w:val="auto"/>
          <w:sz w:val="21"/>
          <w:szCs w:val="21"/>
          <w:highlight w:val="none"/>
          <w:lang w:eastAsia="zh-CN"/>
        </w:rPr>
        <w:t>全国公共资源交易平台（云南省）(http://ggzy.yn.gov.cn/)选择“保山市”</w:t>
      </w:r>
      <w:r>
        <w:rPr>
          <w:rFonts w:hint="eastAsia" w:ascii="宋体" w:hAnsi="宋体" w:eastAsia="宋体" w:cs="宋体"/>
          <w:color w:val="auto"/>
          <w:sz w:val="21"/>
          <w:szCs w:val="21"/>
          <w:highlight w:val="none"/>
        </w:rPr>
        <w:t>，要求招标人对招标文件予以澄清，此为提出疑问的唯一方式。</w:t>
      </w:r>
    </w:p>
    <w:p w14:paraId="1CBE421D">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招标文件的澄清以网上答疑的方式进行澄清，但不指明澄清问题的来源。澄清发出的时间距投标人须知前附表规定的投标截止时间不足15天的，并且澄清内容影响投标文件编制的，将相应延长投标截止时间。</w:t>
      </w:r>
    </w:p>
    <w:p w14:paraId="6E8B5067">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招标人发布澄清后，投标人自行登录</w:t>
      </w:r>
      <w:r>
        <w:rPr>
          <w:rFonts w:hint="eastAsia" w:ascii="宋体" w:hAnsi="宋体" w:cs="宋体"/>
          <w:color w:val="auto"/>
          <w:sz w:val="21"/>
          <w:szCs w:val="21"/>
          <w:highlight w:val="none"/>
          <w:lang w:eastAsia="zh-CN"/>
        </w:rPr>
        <w:t>全国公共资源交易平台（云南省）(http://ggzy.yn.gov.cn/)选择“保山市”</w:t>
      </w:r>
      <w:r>
        <w:rPr>
          <w:rFonts w:hint="eastAsia" w:ascii="宋体" w:hAnsi="宋体" w:eastAsia="宋体" w:cs="宋体"/>
          <w:color w:val="auto"/>
          <w:sz w:val="21"/>
          <w:szCs w:val="21"/>
          <w:highlight w:val="none"/>
        </w:rPr>
        <w:t>收取澄清内容，无须回复确认已收到该澄清，若错过澄清信息，由此带来的后果由投标人自行承担。</w:t>
      </w:r>
    </w:p>
    <w:p w14:paraId="234FB84D">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13" w:name="_Toc12853"/>
      <w:bookmarkStart w:id="214" w:name="_Toc45896928"/>
      <w:bookmarkStart w:id="215" w:name="_Toc45896632"/>
      <w:r>
        <w:rPr>
          <w:rFonts w:hint="eastAsia" w:ascii="宋体" w:hAnsi="宋体" w:eastAsia="宋体" w:cs="宋体"/>
          <w:color w:val="auto"/>
          <w:sz w:val="21"/>
          <w:szCs w:val="21"/>
          <w:highlight w:val="none"/>
        </w:rPr>
        <w:t>2.3 招标文件的修改</w:t>
      </w:r>
      <w:bookmarkEnd w:id="207"/>
      <w:bookmarkEnd w:id="208"/>
      <w:bookmarkEnd w:id="209"/>
      <w:bookmarkEnd w:id="210"/>
      <w:bookmarkEnd w:id="211"/>
      <w:bookmarkEnd w:id="212"/>
      <w:bookmarkEnd w:id="213"/>
      <w:bookmarkEnd w:id="214"/>
      <w:bookmarkEnd w:id="215"/>
    </w:p>
    <w:p w14:paraId="513BB190">
      <w:pPr>
        <w:spacing w:line="400" w:lineRule="exact"/>
        <w:ind w:firstLine="525" w:firstLineChars="250"/>
        <w:rPr>
          <w:rFonts w:hint="eastAsia" w:ascii="宋体" w:hAnsi="宋体" w:eastAsia="宋体" w:cs="宋体"/>
          <w:color w:val="auto"/>
          <w:sz w:val="21"/>
          <w:szCs w:val="21"/>
          <w:highlight w:val="none"/>
        </w:rPr>
      </w:pPr>
      <w:bookmarkStart w:id="216" w:name="_Toc24739"/>
      <w:bookmarkStart w:id="217" w:name="_Toc247513970"/>
      <w:bookmarkStart w:id="218" w:name="_Toc152042322"/>
      <w:bookmarkStart w:id="219" w:name="_Toc144974514"/>
      <w:bookmarkStart w:id="220" w:name="_Toc152045546"/>
      <w:bookmarkStart w:id="221" w:name="_Toc247527571"/>
      <w:r>
        <w:rPr>
          <w:rFonts w:hint="eastAsia" w:ascii="宋体" w:hAnsi="宋体" w:eastAsia="宋体" w:cs="宋体"/>
          <w:color w:val="auto"/>
          <w:sz w:val="21"/>
          <w:szCs w:val="21"/>
          <w:highlight w:val="none"/>
        </w:rPr>
        <w:t>2.3.1在投标截止时间15天前，确需要变更招标文件内容的，招标人可主动或在解答投标人提出的澄清问题时对招标文件进行修改，并同时报主管部门备案。</w:t>
      </w:r>
    </w:p>
    <w:p w14:paraId="45F3EFF5">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招标人评标办法做出变更的，需要重新制作电子招标文件，并重新备案，同时发布补遗文件进行说明，以保证各投标人都能重新下载最新的电子招标文件用于编制电子投标文件。</w:t>
      </w:r>
    </w:p>
    <w:p w14:paraId="2C89B8FD">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招标文件的修改将在</w:t>
      </w:r>
      <w:r>
        <w:rPr>
          <w:rFonts w:hint="eastAsia" w:ascii="宋体" w:hAnsi="宋体" w:cs="宋体"/>
          <w:color w:val="auto"/>
          <w:sz w:val="21"/>
          <w:szCs w:val="21"/>
          <w:highlight w:val="none"/>
          <w:lang w:eastAsia="zh-CN"/>
        </w:rPr>
        <w:t>全国公共资源交易平台（云南省）(http://ggzy.yn.gov.cn/)选择“保山市”</w:t>
      </w:r>
      <w:r>
        <w:rPr>
          <w:rFonts w:hint="eastAsia" w:ascii="宋体" w:hAnsi="宋体" w:eastAsia="宋体" w:cs="宋体"/>
          <w:color w:val="auto"/>
          <w:sz w:val="21"/>
          <w:szCs w:val="21"/>
          <w:highlight w:val="none"/>
        </w:rPr>
        <w:t>发布，招标文件的修改作为招标文件的组成部分，并具有约束力。但如果修改招标文件的时间距投标截止时间不足15天，并且修改内容影响投标文件编制的，应相应延长投标截止时间。</w:t>
      </w:r>
    </w:p>
    <w:p w14:paraId="48438ACE">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2.3.2投标人自行登录</w:t>
      </w:r>
      <w:r>
        <w:rPr>
          <w:rFonts w:hint="eastAsia" w:ascii="宋体" w:hAnsi="宋体" w:cs="宋体"/>
          <w:color w:val="auto"/>
          <w:sz w:val="21"/>
          <w:szCs w:val="21"/>
          <w:highlight w:val="none"/>
          <w:lang w:eastAsia="zh-CN"/>
        </w:rPr>
        <w:t>全国公共资源交易平台（云南省）(http://ggzy.yn.gov.cn/)选择“保山市”</w:t>
      </w:r>
      <w:r>
        <w:rPr>
          <w:rFonts w:hint="eastAsia" w:ascii="宋体" w:hAnsi="宋体" w:eastAsia="宋体" w:cs="宋体"/>
          <w:color w:val="auto"/>
          <w:sz w:val="21"/>
          <w:szCs w:val="21"/>
          <w:highlight w:val="none"/>
        </w:rPr>
        <w:t>收取修改内容。投标人应在投标截止时间前自行查看</w:t>
      </w:r>
      <w:r>
        <w:rPr>
          <w:rFonts w:hint="eastAsia" w:ascii="宋体" w:hAnsi="宋体" w:cs="宋体"/>
          <w:color w:val="auto"/>
          <w:sz w:val="21"/>
          <w:szCs w:val="21"/>
          <w:highlight w:val="none"/>
          <w:lang w:eastAsia="zh-CN"/>
        </w:rPr>
        <w:t>全国公共资源交易平台（云南省）(http://ggzy.yn.gov.cn/)选择“保山市”</w:t>
      </w:r>
      <w:r>
        <w:rPr>
          <w:rFonts w:hint="eastAsia" w:ascii="宋体" w:hAnsi="宋体" w:eastAsia="宋体" w:cs="宋体"/>
          <w:color w:val="auto"/>
          <w:sz w:val="21"/>
          <w:szCs w:val="21"/>
          <w:highlight w:val="none"/>
        </w:rPr>
        <w:t>中有关该工程招标文件的答疑、补遗内容，无须回复确认已收到该修改，若错过修改信息，由此带来的后果由投标人自行承担。</w:t>
      </w:r>
    </w:p>
    <w:p w14:paraId="1CD46287">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2.3.3潜在投标人或者其他利害关系人对招标文件有异议的，应当在投标截止时间10日前提出。招标人应当自收到异议之日起3日内作出答复；作出答复前，应当暂停招标投标活动。</w:t>
      </w:r>
    </w:p>
    <w:p w14:paraId="19D35516">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2.3.4招标文件、招标文件澄清、招标文件修改文件内容均以网上发布的为准，当招标文件、招标文件澄清、招标文件修改文件内容相互矛盾时，以最后发出的为准。</w:t>
      </w:r>
    </w:p>
    <w:p w14:paraId="490A5228">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222" w:name="_Toc45896633"/>
      <w:bookmarkStart w:id="223" w:name="_Toc32506"/>
      <w:bookmarkStart w:id="224" w:name="_Toc45896929"/>
      <w:bookmarkStart w:id="225" w:name="_Toc26160_WPSOffice_Level2"/>
      <w:bookmarkStart w:id="226" w:name="_Toc25647_WPSOffice_Level2"/>
      <w:r>
        <w:rPr>
          <w:rFonts w:hint="eastAsia" w:ascii="宋体" w:hAnsi="宋体" w:eastAsia="宋体" w:cs="宋体"/>
          <w:color w:val="auto"/>
          <w:sz w:val="21"/>
          <w:szCs w:val="21"/>
          <w:highlight w:val="none"/>
        </w:rPr>
        <w:t>3.投标文件</w:t>
      </w:r>
      <w:bookmarkEnd w:id="216"/>
      <w:bookmarkEnd w:id="217"/>
      <w:bookmarkEnd w:id="218"/>
      <w:bookmarkEnd w:id="219"/>
      <w:bookmarkEnd w:id="220"/>
      <w:bookmarkEnd w:id="221"/>
      <w:bookmarkEnd w:id="222"/>
      <w:bookmarkEnd w:id="223"/>
      <w:bookmarkEnd w:id="224"/>
      <w:bookmarkEnd w:id="225"/>
      <w:bookmarkEnd w:id="226"/>
    </w:p>
    <w:p w14:paraId="4BFA5EB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27" w:name="_Toc152045547"/>
      <w:bookmarkStart w:id="228" w:name="_Toc17296"/>
      <w:bookmarkStart w:id="229" w:name="_Toc45896930"/>
      <w:bookmarkStart w:id="230" w:name="_Toc247527572"/>
      <w:bookmarkStart w:id="231" w:name="_Toc247513971"/>
      <w:bookmarkStart w:id="232" w:name="_Toc152042323"/>
      <w:bookmarkStart w:id="233" w:name="_Toc45896634"/>
      <w:bookmarkStart w:id="234" w:name="_Toc27313"/>
      <w:bookmarkStart w:id="235" w:name="_Toc144974515"/>
      <w:r>
        <w:rPr>
          <w:rFonts w:hint="eastAsia" w:ascii="宋体" w:hAnsi="宋体" w:eastAsia="宋体" w:cs="宋体"/>
          <w:color w:val="auto"/>
          <w:sz w:val="21"/>
          <w:szCs w:val="21"/>
          <w:highlight w:val="none"/>
        </w:rPr>
        <w:t>3.1 投标文件的组成</w:t>
      </w:r>
      <w:bookmarkEnd w:id="227"/>
      <w:bookmarkEnd w:id="228"/>
      <w:bookmarkEnd w:id="229"/>
      <w:bookmarkEnd w:id="230"/>
      <w:bookmarkEnd w:id="231"/>
      <w:bookmarkEnd w:id="232"/>
      <w:bookmarkEnd w:id="233"/>
      <w:bookmarkEnd w:id="234"/>
      <w:bookmarkEnd w:id="235"/>
    </w:p>
    <w:p w14:paraId="018F4ED4">
      <w:pPr>
        <w:spacing w:line="400" w:lineRule="exact"/>
        <w:ind w:firstLine="525" w:firstLineChars="250"/>
        <w:rPr>
          <w:rFonts w:hint="eastAsia" w:ascii="宋体" w:hAnsi="宋体" w:eastAsia="宋体" w:cs="宋体"/>
          <w:color w:val="auto"/>
          <w:sz w:val="21"/>
          <w:szCs w:val="21"/>
          <w:highlight w:val="none"/>
        </w:rPr>
      </w:pPr>
      <w:bookmarkStart w:id="236" w:name="_Toc152045548"/>
      <w:bookmarkStart w:id="237" w:name="_Toc152042324"/>
      <w:bookmarkStart w:id="238" w:name="_Toc144974516"/>
      <w:bookmarkStart w:id="239" w:name="_Toc247527573"/>
      <w:bookmarkStart w:id="240" w:name="_Toc247513972"/>
      <w:r>
        <w:rPr>
          <w:rFonts w:hint="eastAsia" w:ascii="宋体" w:hAnsi="宋体" w:eastAsia="宋体" w:cs="宋体"/>
          <w:color w:val="auto"/>
          <w:sz w:val="21"/>
          <w:szCs w:val="21"/>
          <w:highlight w:val="none"/>
        </w:rPr>
        <w:t>3.1.1 投标文件应包括下列内容：</w:t>
      </w:r>
    </w:p>
    <w:p w14:paraId="3E48E10B">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）商务部分</w:t>
      </w:r>
    </w:p>
    <w:p w14:paraId="1475BEE7">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）资格审查部分</w:t>
      </w:r>
    </w:p>
    <w:p w14:paraId="2939675C">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）技术部分；</w:t>
      </w:r>
    </w:p>
    <w:p w14:paraId="373CC05F">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）投标人须知前附表规定的其他资料。</w:t>
      </w:r>
    </w:p>
    <w:p w14:paraId="6CBC5131">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以上投标文件全部采用电子文档。</w:t>
      </w:r>
    </w:p>
    <w:p w14:paraId="7C086DE2">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3.1.2对技术标部分的要求</w:t>
      </w:r>
    </w:p>
    <w:p w14:paraId="5E88820E">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在编制技术标投标文件时，粘贴图片使用JPG格式的文件，并且每张图片的分辩率建议小于100dpi，最终的每份标书文件所占用的磁盘空间应小于100M，否则无法生成投标文件。</w:t>
      </w:r>
    </w:p>
    <w:p w14:paraId="1BC56FAD">
      <w:pPr>
        <w:spacing w:line="40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3.1.3投标人须知前附表规定不接受联合体投标的，或投标人没有组成联合体的，投标文件不包括本章所指的联合体协议书。</w:t>
      </w:r>
    </w:p>
    <w:p w14:paraId="0CCA5F79">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41" w:name="_Toc45896931"/>
      <w:bookmarkStart w:id="242" w:name="_Toc22091"/>
      <w:bookmarkStart w:id="243" w:name="_Toc45896635"/>
      <w:bookmarkStart w:id="244" w:name="_Toc15751"/>
      <w:r>
        <w:rPr>
          <w:rFonts w:hint="eastAsia" w:ascii="宋体" w:hAnsi="宋体" w:eastAsia="宋体" w:cs="宋体"/>
          <w:color w:val="auto"/>
          <w:sz w:val="21"/>
          <w:szCs w:val="21"/>
          <w:highlight w:val="none"/>
        </w:rPr>
        <w:t xml:space="preserve">3.2 </w:t>
      </w:r>
      <w:r>
        <w:rPr>
          <w:rFonts w:hint="eastAsia" w:ascii="宋体" w:hAnsi="宋体" w:eastAsia="宋体" w:cs="宋体"/>
          <w:color w:val="auto"/>
          <w:sz w:val="21"/>
          <w:szCs w:val="21"/>
          <w:highlight w:val="none"/>
        </w:rPr>
        <w:t>投标报价</w:t>
      </w:r>
      <w:bookmarkEnd w:id="236"/>
      <w:bookmarkEnd w:id="237"/>
      <w:bookmarkEnd w:id="238"/>
      <w:bookmarkEnd w:id="239"/>
      <w:bookmarkEnd w:id="240"/>
      <w:bookmarkEnd w:id="241"/>
      <w:bookmarkEnd w:id="242"/>
      <w:bookmarkEnd w:id="243"/>
      <w:bookmarkEnd w:id="244"/>
      <w:r>
        <w:rPr>
          <w:rFonts w:hint="eastAsia" w:ascii="宋体" w:hAnsi="宋体" w:eastAsia="宋体" w:cs="宋体"/>
          <w:color w:val="auto"/>
          <w:sz w:val="21"/>
          <w:szCs w:val="21"/>
          <w:highlight w:val="none"/>
        </w:rPr>
        <w:t xml:space="preserve"> </w:t>
      </w:r>
    </w:p>
    <w:p w14:paraId="31B992A5">
      <w:pPr>
        <w:spacing w:line="400" w:lineRule="exact"/>
        <w:ind w:firstLine="525" w:firstLineChars="250"/>
        <w:rPr>
          <w:rFonts w:hint="eastAsia" w:ascii="宋体" w:hAnsi="宋体" w:eastAsia="宋体" w:cs="宋体"/>
          <w:color w:val="auto"/>
          <w:sz w:val="21"/>
          <w:szCs w:val="21"/>
          <w:highlight w:val="none"/>
        </w:rPr>
      </w:pPr>
      <w:bookmarkStart w:id="245" w:name="_Toc247527574"/>
      <w:bookmarkStart w:id="246" w:name="_Toc144974517"/>
      <w:bookmarkStart w:id="247" w:name="_Toc247513973"/>
      <w:bookmarkStart w:id="248" w:name="_Toc152045549"/>
      <w:bookmarkStart w:id="249" w:name="_Toc152042325"/>
      <w:r>
        <w:rPr>
          <w:rFonts w:hint="eastAsia" w:ascii="宋体" w:hAnsi="宋体" w:eastAsia="宋体" w:cs="宋体"/>
          <w:color w:val="auto"/>
          <w:sz w:val="21"/>
          <w:szCs w:val="21"/>
          <w:highlight w:val="none"/>
        </w:rPr>
        <w:t>3.2.1 投标报价方式</w:t>
      </w:r>
    </w:p>
    <w:p w14:paraId="3E979604">
      <w:pPr>
        <w:spacing w:line="400" w:lineRule="exact"/>
        <w:ind w:firstLine="525" w:firstLineChars="2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（1）投资收益：投标人根据国家相关规定结合市场行情及投标人自身情况采用费率报价。</w:t>
      </w:r>
    </w:p>
    <w:p w14:paraId="433EAB57">
      <w:pPr>
        <w:spacing w:line="400" w:lineRule="exact"/>
        <w:ind w:firstLine="525" w:firstLineChars="2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收益金计算方式：按最终投入的资金为计费基数，以投标人所填报的收益率（%）进行计取收益金。结算时以投资金额×收益率（%）计取收益金。</w:t>
      </w:r>
    </w:p>
    <w:p w14:paraId="620FA314">
      <w:pPr>
        <w:spacing w:line="400" w:lineRule="exact"/>
        <w:ind w:firstLine="525" w:firstLineChars="2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（2）设计费参考国家相关规定结合市场及投标人自身情况采用费率报价。</w:t>
      </w:r>
    </w:p>
    <w:p w14:paraId="2885D158">
      <w:pPr>
        <w:spacing w:line="400" w:lineRule="exact"/>
        <w:ind w:firstLine="525" w:firstLineChars="2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注：结算方式：以最终审定的建安工程费总价为计费基数，投标人的设计费以费率（%）进行报价。结算时以审定的建安工程费总价×费率（%）作为设计费结算价。</w:t>
      </w:r>
    </w:p>
    <w:p w14:paraId="14740ACF">
      <w:pPr>
        <w:spacing w:line="400" w:lineRule="exact"/>
        <w:ind w:firstLine="525" w:firstLineChars="2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（3）建安工程施工费（含设备购置费）投标报价采用下浮率进行报价。</w:t>
      </w:r>
    </w:p>
    <w:p w14:paraId="01658695">
      <w:pPr>
        <w:spacing w:line="400" w:lineRule="exact"/>
        <w:ind w:firstLine="525" w:firstLineChars="2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注：建安工程费最终结算价按下列原则采用清单计价模式计算建安工程费。</w:t>
      </w:r>
    </w:p>
    <w:p w14:paraId="7AF0958F">
      <w:pPr>
        <w:spacing w:line="400" w:lineRule="exact"/>
        <w:ind w:firstLine="525" w:firstLineChars="250"/>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a、结算依据：</w:t>
      </w:r>
      <w:r>
        <w:rPr>
          <w:rFonts w:hint="eastAsia" w:ascii="宋体" w:hAnsi="宋体" w:eastAsia="宋体" w:cs="宋体"/>
          <w:color w:val="auto"/>
          <w:kern w:val="2"/>
          <w:sz w:val="21"/>
          <w:szCs w:val="21"/>
          <w:highlight w:val="none"/>
        </w:rPr>
        <w:t>计价文件按照</w:t>
      </w:r>
      <w:r>
        <w:rPr>
          <w:rFonts w:hint="eastAsia" w:ascii="宋体" w:hAnsi="宋体" w:cs="宋体"/>
          <w:color w:val="auto"/>
          <w:kern w:val="2"/>
          <w:sz w:val="21"/>
          <w:szCs w:val="21"/>
          <w:highlight w:val="none"/>
          <w:lang w:eastAsia="zh-CN"/>
        </w:rPr>
        <w:t>《建设工程工程量清单计价标准》GB/T 50500-2024</w:t>
      </w:r>
      <w:r>
        <w:rPr>
          <w:rFonts w:hint="eastAsia" w:ascii="宋体" w:hAnsi="宋体" w:eastAsia="宋体" w:cs="宋体"/>
          <w:color w:val="auto"/>
          <w:kern w:val="2"/>
          <w:sz w:val="21"/>
          <w:szCs w:val="21"/>
          <w:highlight w:val="none"/>
        </w:rPr>
        <w:t>并执行云南省住房和城乡建设厅关于《云南省建设工程造价计价标准（2020版）》发布实施的通知（云建科〔2021〕15号）及现行的人工费调整相关文件进行计价。</w:t>
      </w:r>
      <w:r>
        <w:rPr>
          <w:rFonts w:hint="eastAsia" w:ascii="宋体" w:hAnsi="宋体" w:eastAsia="宋体" w:cs="宋体"/>
          <w:bCs/>
          <w:color w:val="auto"/>
          <w:kern w:val="2"/>
          <w:sz w:val="21"/>
          <w:szCs w:val="21"/>
          <w:highlight w:val="none"/>
        </w:rPr>
        <w:t>施工材料价格参照开工当月《</w:t>
      </w:r>
      <w:r>
        <w:rPr>
          <w:rFonts w:hint="eastAsia" w:ascii="宋体" w:hAnsi="宋体" w:cs="宋体"/>
          <w:bCs/>
          <w:color w:val="auto"/>
          <w:kern w:val="2"/>
          <w:sz w:val="21"/>
          <w:szCs w:val="21"/>
          <w:highlight w:val="none"/>
          <w:lang w:val="en-US" w:eastAsia="zh-CN"/>
        </w:rPr>
        <w:t>保山市</w:t>
      </w:r>
      <w:r>
        <w:rPr>
          <w:rFonts w:hint="eastAsia" w:ascii="宋体" w:hAnsi="宋体" w:eastAsia="宋体" w:cs="宋体"/>
          <w:bCs/>
          <w:color w:val="auto"/>
          <w:kern w:val="2"/>
          <w:sz w:val="21"/>
          <w:szCs w:val="21"/>
          <w:highlight w:val="none"/>
        </w:rPr>
        <w:t>建设工程材料价格信息》</w:t>
      </w:r>
      <w:r>
        <w:rPr>
          <w:rFonts w:hint="eastAsia" w:ascii="宋体" w:hAnsi="宋体" w:cs="宋体"/>
          <w:bCs/>
          <w:color w:val="auto"/>
          <w:kern w:val="2"/>
          <w:sz w:val="21"/>
          <w:szCs w:val="21"/>
          <w:highlight w:val="none"/>
          <w:lang w:val="en-US" w:eastAsia="zh-CN"/>
        </w:rPr>
        <w:t>龙陵县</w:t>
      </w:r>
      <w:r>
        <w:rPr>
          <w:rFonts w:hint="eastAsia" w:ascii="宋体" w:hAnsi="宋体" w:eastAsia="宋体" w:cs="宋体"/>
          <w:bCs/>
          <w:color w:val="auto"/>
          <w:kern w:val="2"/>
          <w:sz w:val="21"/>
          <w:szCs w:val="21"/>
          <w:highlight w:val="none"/>
        </w:rPr>
        <w:t>基价平均价确定，</w:t>
      </w:r>
      <w:r>
        <w:rPr>
          <w:rFonts w:hint="eastAsia" w:ascii="宋体" w:hAnsi="宋体" w:cs="宋体"/>
          <w:bCs/>
          <w:color w:val="auto"/>
          <w:kern w:val="2"/>
          <w:sz w:val="21"/>
          <w:szCs w:val="21"/>
          <w:highlight w:val="none"/>
          <w:lang w:val="en-US" w:eastAsia="zh-CN"/>
        </w:rPr>
        <w:t>龙陵县</w:t>
      </w:r>
      <w:r>
        <w:rPr>
          <w:rFonts w:hint="eastAsia" w:ascii="宋体" w:hAnsi="宋体" w:eastAsia="宋体" w:cs="宋体"/>
          <w:bCs/>
          <w:color w:val="auto"/>
          <w:kern w:val="2"/>
          <w:sz w:val="21"/>
          <w:szCs w:val="21"/>
          <w:highlight w:val="none"/>
        </w:rPr>
        <w:t>基价没有的，参照</w:t>
      </w:r>
      <w:r>
        <w:rPr>
          <w:rFonts w:hint="eastAsia" w:ascii="宋体" w:hAnsi="宋体" w:eastAsia="宋体" w:cs="宋体"/>
          <w:bCs/>
          <w:color w:val="auto"/>
          <w:kern w:val="2"/>
          <w:sz w:val="21"/>
          <w:szCs w:val="21"/>
          <w:highlight w:val="none"/>
          <w:lang w:val="en-US" w:eastAsia="zh-CN"/>
        </w:rPr>
        <w:t>保山市</w:t>
      </w:r>
      <w:r>
        <w:rPr>
          <w:rFonts w:hint="eastAsia" w:ascii="宋体" w:hAnsi="宋体" w:eastAsia="宋体" w:cs="宋体"/>
          <w:bCs/>
          <w:color w:val="auto"/>
          <w:kern w:val="2"/>
          <w:sz w:val="21"/>
          <w:szCs w:val="21"/>
          <w:highlight w:val="none"/>
        </w:rPr>
        <w:t>基价执行，</w:t>
      </w:r>
      <w:r>
        <w:rPr>
          <w:rFonts w:hint="eastAsia" w:ascii="宋体" w:hAnsi="宋体" w:eastAsia="宋体" w:cs="宋体"/>
          <w:bCs/>
          <w:color w:val="auto"/>
          <w:kern w:val="2"/>
          <w:sz w:val="21"/>
          <w:szCs w:val="21"/>
          <w:highlight w:val="none"/>
          <w:lang w:val="en-US" w:eastAsia="zh-CN"/>
        </w:rPr>
        <w:t>保山市</w:t>
      </w:r>
      <w:r>
        <w:rPr>
          <w:rFonts w:hint="eastAsia" w:ascii="宋体" w:hAnsi="宋体" w:eastAsia="宋体" w:cs="宋体"/>
          <w:bCs/>
          <w:color w:val="auto"/>
          <w:kern w:val="2"/>
          <w:sz w:val="21"/>
          <w:szCs w:val="21"/>
          <w:highlight w:val="none"/>
        </w:rPr>
        <w:t>价格信息没有的，参照云南省价格信息执行，云南省价格信息没有的，经招标人、中标方及监理方三方共同询价确定。</w:t>
      </w:r>
    </w:p>
    <w:p w14:paraId="67FC8070">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3.2.2</w:t>
      </w:r>
      <w:r>
        <w:rPr>
          <w:rFonts w:hint="eastAsia" w:ascii="宋体" w:hAnsi="宋体" w:eastAsia="宋体" w:cs="宋体"/>
          <w:color w:val="auto"/>
          <w:sz w:val="21"/>
          <w:szCs w:val="21"/>
          <w:highlight w:val="none"/>
          <w:lang w:val="en-US" w:eastAsia="zh-CN"/>
        </w:rPr>
        <w:t>投标报价说明</w:t>
      </w:r>
    </w:p>
    <w:p w14:paraId="422451C6">
      <w:pPr>
        <w:spacing w:line="440" w:lineRule="exact"/>
        <w:ind w:firstLine="424" w:firstLineChars="202"/>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（1）运营：</w:t>
      </w:r>
      <w:r>
        <w:rPr>
          <w:rFonts w:hint="eastAsia" w:ascii="宋体" w:hAnsi="宋体" w:eastAsia="宋体" w:cs="宋体"/>
          <w:color w:val="auto"/>
          <w:sz w:val="21"/>
          <w:szCs w:val="21"/>
          <w:highlight w:val="none"/>
          <w:lang w:val="zh-CN"/>
        </w:rPr>
        <w:t>项目竣工验收并具备运营条件后，提供运营托管服务，包括但不限于</w:t>
      </w:r>
      <w:r>
        <w:rPr>
          <w:rFonts w:hint="eastAsia" w:ascii="宋体" w:hAnsi="宋体" w:eastAsia="宋体" w:cs="宋体"/>
          <w:color w:val="auto"/>
          <w:highlight w:val="none"/>
          <w:lang w:val="zh-CN" w:eastAsia="zh-CN"/>
        </w:rPr>
        <w:t>①</w:t>
      </w:r>
      <w:r>
        <w:rPr>
          <w:rFonts w:hint="eastAsia" w:ascii="宋体" w:hAnsi="宋体" w:eastAsia="宋体" w:cs="宋体"/>
          <w:color w:val="auto"/>
          <w:highlight w:val="none"/>
          <w:lang w:val="zh-CN"/>
        </w:rPr>
        <w:t>为本项目提供以运营的需求为导向组织设计方、施工方的设计、建设时序和内容</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zh-CN"/>
        </w:rPr>
        <w:t>②运营方负责统筹项目资金计划、开发时序；③组织实施项目建设范围内运营服务、经营性项目及活动策划</w:t>
      </w:r>
      <w:r>
        <w:rPr>
          <w:rFonts w:hint="eastAsia" w:ascii="宋体" w:hAnsi="宋体" w:eastAsia="宋体" w:cs="宋体"/>
          <w:color w:val="auto"/>
          <w:highlight w:val="none"/>
          <w:lang w:val="en-US" w:eastAsia="zh-CN"/>
        </w:rPr>
        <w:t>等</w:t>
      </w:r>
      <w:r>
        <w:rPr>
          <w:rFonts w:hint="eastAsia" w:ascii="宋体" w:hAnsi="宋体" w:cs="宋体"/>
          <w:color w:val="auto"/>
          <w:highlight w:val="none"/>
          <w:lang w:val="zh-CN" w:eastAsia="zh-CN"/>
        </w:rPr>
        <w:t>；</w:t>
      </w:r>
      <w:r>
        <w:rPr>
          <w:rFonts w:hint="eastAsia" w:ascii="宋体" w:hAnsi="宋体" w:eastAsia="宋体" w:cs="宋体"/>
          <w:color w:val="auto"/>
          <w:highlight w:val="none"/>
          <w:lang w:val="zh-CN"/>
        </w:rPr>
        <w:t>④负责与招标人签订代运营协议，按时缴纳</w:t>
      </w:r>
      <w:r>
        <w:rPr>
          <w:rFonts w:hint="eastAsia" w:ascii="宋体" w:hAnsi="宋体" w:cs="宋体"/>
          <w:color w:val="auto"/>
          <w:highlight w:val="none"/>
          <w:lang w:val="zh-CN"/>
        </w:rPr>
        <w:t>招标人的投资收益</w:t>
      </w:r>
      <w:r>
        <w:rPr>
          <w:rFonts w:hint="eastAsia" w:ascii="宋体" w:hAnsi="宋体" w:eastAsia="宋体" w:cs="宋体"/>
          <w:color w:val="auto"/>
          <w:highlight w:val="none"/>
          <w:lang w:val="zh-CN"/>
        </w:rPr>
        <w:t>。</w:t>
      </w:r>
    </w:p>
    <w:p w14:paraId="46B02D55">
      <w:pPr>
        <w:spacing w:line="440" w:lineRule="exact"/>
        <w:ind w:firstLine="424" w:firstLineChars="20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本项目合作期限不低</w:t>
      </w:r>
      <w:r>
        <w:rPr>
          <w:rFonts w:hint="eastAsia" w:ascii="宋体" w:hAnsi="宋体" w:eastAsia="宋体" w:cs="宋体"/>
          <w:color w:val="auto"/>
          <w:highlight w:val="none"/>
          <w:lang w:val="zh-CN" w:eastAsia="zh-CN"/>
        </w:rPr>
        <w:t>于</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年</w:t>
      </w:r>
      <w:r>
        <w:rPr>
          <w:rFonts w:hint="eastAsia" w:ascii="宋体" w:hAnsi="宋体" w:eastAsia="宋体" w:cs="宋体"/>
          <w:color w:val="auto"/>
          <w:highlight w:val="none"/>
          <w:lang w:val="zh-CN" w:eastAsia="zh-CN"/>
        </w:rPr>
        <w:t>，自项目竣工验收交付使用之日起算。项目建成后，产权归横山村集体所有，支持发展石斛鲜切花及石斛产业，建立联农带农机制，通过租赁方式产生收益，带动村集体经济发展，收益主要用于常态化帮扶下支持带动群众就业增收，壮大村集体经济等。中标方作为本项目资产的运营主体；招标人不参与日常运营管理，除</w:t>
      </w:r>
      <w:r>
        <w:rPr>
          <w:rFonts w:hint="eastAsia" w:ascii="宋体" w:hAnsi="宋体" w:eastAsia="宋体" w:cs="宋体"/>
          <w:color w:val="auto"/>
          <w:highlight w:val="none"/>
          <w:lang w:val="en-US" w:eastAsia="zh-CN"/>
        </w:rPr>
        <w:t>800万元</w:t>
      </w:r>
      <w:r>
        <w:rPr>
          <w:rFonts w:hint="eastAsia" w:ascii="宋体" w:hAnsi="宋体" w:eastAsia="宋体" w:cs="宋体"/>
          <w:color w:val="auto"/>
          <w:highlight w:val="none"/>
          <w:lang w:val="zh-CN" w:eastAsia="zh-CN"/>
        </w:rPr>
        <w:t>之外不再投入其他资金，不承担项目运营亏损</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CN" w:eastAsia="zh-CN"/>
        </w:rPr>
        <w:t>项目投产运营后，招标人按每年不低于租赁产权的投入资金的</w:t>
      </w:r>
      <w:r>
        <w:rPr>
          <w:rFonts w:hint="eastAsia" w:ascii="宋体" w:hAnsi="宋体" w:cs="宋体"/>
          <w:color w:val="auto"/>
          <w:highlight w:val="none"/>
          <w:lang w:val="en-US" w:eastAsia="zh-CN"/>
        </w:rPr>
        <w:t>5</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zh-CN" w:eastAsia="zh-CN"/>
        </w:rPr>
        <w:t>进行收益，</w:t>
      </w:r>
      <w:r>
        <w:rPr>
          <w:rFonts w:hint="eastAsia" w:ascii="宋体" w:hAnsi="宋体" w:eastAsia="宋体" w:cs="宋体"/>
          <w:color w:val="auto"/>
          <w:highlight w:val="none"/>
          <w:lang w:val="en-US" w:eastAsia="zh-CN"/>
        </w:rPr>
        <w:t>项目的收益留在村集体合作社。</w:t>
      </w:r>
    </w:p>
    <w:p w14:paraId="3DE656AF">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）设计：</w:t>
      </w:r>
    </w:p>
    <w:p w14:paraId="24C83C44">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投标人设计费投标报价包括投标人完成本项目的所有设计工作（方案设计及优化、规划设计、施工图设计、完成各阶段设计成果、全部基础资料、设计文件优化调整修改费用、专家咨询费、方案评审费、施工图审查费及全过程管理移交、施工现场的配合及后续服务等）及通过评审、向政府相关部门报批及审批完成后的后续服务的全部费用，并按招标人要求提供资料、文件及报告的一切费用；在招标文件规定的设计、施工阶段范围及内容内，因自身设计图纸不全（深度不够、遗漏）的没有覆盖部分、发包人将不再另行支付费用。</w:t>
      </w:r>
    </w:p>
    <w:p w14:paraId="4C3D9BB7">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投标人的设计报价不得以任何理由予以重复计算，应作为投标人计算单价或总价的依据。除非招标人对招标文件予以修改，投标人应按本招标文件及招标人提供的技术资料进行报价。任何有选择的报价将不予接受。报价时应考虑成本、税收、保险、利润和服务等一切因素。</w:t>
      </w:r>
    </w:p>
    <w:p w14:paraId="6EE0E63C">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因实际工作与实际情况有出入，或过程阶段性资料经招标人审定后要求进行必要的完善和修正而产生的费用增加，投标人必须在投标报价中充分考虑。一旦中标，无论是否出现上述情况，中标价格一律不作调整。</w:t>
      </w:r>
    </w:p>
    <w:p w14:paraId="1930DBFA">
      <w:pPr>
        <w:spacing w:line="400" w:lineRule="exact"/>
        <w:ind w:left="0" w:leftChars="0" w:firstLine="420" w:firstLineChars="200"/>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D、</w:t>
      </w:r>
      <w:r>
        <w:rPr>
          <w:rFonts w:hint="eastAsia" w:ascii="宋体" w:hAnsi="宋体" w:eastAsia="宋体" w:cs="宋体"/>
          <w:color w:val="auto"/>
          <w:sz w:val="21"/>
          <w:szCs w:val="21"/>
          <w:highlight w:val="none"/>
          <w:lang w:val="zh-TW" w:eastAsia="zh-CN"/>
        </w:rPr>
        <w:t>中标人所编制的报告（或图纸）须通过政府相关部门的评审，费用由中标人承担；若不能通过评审，所产生的所有费用（如文件编制、印刷、装订费用，二次或多次送审所涉及的所有费用）将由中标人自行承担。</w:t>
      </w:r>
    </w:p>
    <w:p w14:paraId="665B1466">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E、中标人免费向发包人提供完整的一套本工程所用的规范、标准、图集，以备招标人查阅。其费用已经包含在投标报价中。</w:t>
      </w:r>
    </w:p>
    <w:p w14:paraId="2865442B">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F、中标人向招标人提供相应各阶段的设计成果（蓝图）及其技术资料纸质版8份（不包含报建、报备用的图纸份数，报建、报备的图纸数量，由承包人根据行业主管部门要求提供），同时提供全部设计成果、技术资料的DVD数据光盘3份（内容格式要求：图纸CAD、文稿WORD、图片JPG、演示PPT、PDF）；上述工作的所有费用已经包含在投标报价中。</w:t>
      </w:r>
    </w:p>
    <w:p w14:paraId="32C3C45A">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G、中标人必须在招标人规定的设计周期内完成所签订的合同内容。</w:t>
      </w:r>
    </w:p>
    <w:p w14:paraId="04285C61">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H、投标人的投标报价应是完成本项目设计相关成果编制、深化、修正、报批和审批工作及后续服务的全部费用，都应包括在投标人提交的投标文件报价之内，中标后，招标人不在支付与本项目有关的其他任何费用（包括附加工作、额外工作、工程延期等）。投标报价还应包括按合同规定应提供的设计文件费用、施工服务费和变更设计的费用。</w:t>
      </w:r>
    </w:p>
    <w:p w14:paraId="76DAA83F">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）施工：</w:t>
      </w:r>
    </w:p>
    <w:p w14:paraId="23F1B5F8">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A、投标人所报的下浮率为投标人按期完成本招标文件和合同条款上所列招标范围内所有工程内容的一个统一的优惠比例，该下浮率在整个合同签订及履行中固定不变，中标人不得以任何理由更改中标下浮率。</w:t>
      </w:r>
    </w:p>
    <w:p w14:paraId="5AF8B1C1">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施工图经审查合格后，由招标人委托全过程跟踪造价单位按照设计图纸和按照云南省现行相关行业预算定额文件编制施工图预算及工程量清单计价文件。</w:t>
      </w:r>
    </w:p>
    <w:p w14:paraId="2712BEE3">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施工图预算及工程量清单计价文件编制完成后，并经招标人委托的造价咨询单位审核后，按中标人投标时的下浮率下浮后作为计量支付的依据。</w:t>
      </w:r>
    </w:p>
    <w:p w14:paraId="39D7A72E">
      <w:pPr>
        <w:spacing w:line="40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注：施工图预算及工程量清单计价文件的税率不下浮，以及项目实施过程中由四方主体（发包人、承包人、监理、造价咨询机构）共同确定的单价及材料价格不下浮。</w:t>
      </w:r>
    </w:p>
    <w:p w14:paraId="76406589">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B、经招标人确认的可计量的设计变更单价，下浮率不变。新增单价按本项目总承包合同相关规定执行。</w:t>
      </w:r>
    </w:p>
    <w:p w14:paraId="77FE48DF">
      <w:pPr>
        <w:spacing w:line="400" w:lineRule="exact"/>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3.2.3本项目中</w:t>
      </w:r>
      <w:r>
        <w:rPr>
          <w:rFonts w:hint="eastAsia" w:ascii="宋体" w:hAnsi="宋体" w:cs="宋体"/>
          <w:b/>
          <w:bCs/>
          <w:color w:val="auto"/>
          <w:sz w:val="21"/>
          <w:szCs w:val="21"/>
          <w:highlight w:val="none"/>
          <w:lang w:val="en-US" w:eastAsia="zh-CN"/>
        </w:rPr>
        <w:t>投资收益、</w:t>
      </w:r>
      <w:r>
        <w:rPr>
          <w:rFonts w:hint="eastAsia" w:ascii="宋体" w:hAnsi="宋体" w:eastAsia="宋体" w:cs="宋体"/>
          <w:b/>
          <w:bCs/>
          <w:color w:val="auto"/>
          <w:sz w:val="21"/>
          <w:szCs w:val="21"/>
          <w:highlight w:val="none"/>
          <w:lang w:val="en-US" w:eastAsia="zh-CN"/>
        </w:rPr>
        <w:t>设计</w:t>
      </w:r>
      <w:r>
        <w:rPr>
          <w:rFonts w:hint="eastAsia" w:ascii="宋体" w:hAnsi="宋体" w:cs="宋体"/>
          <w:b/>
          <w:bCs/>
          <w:color w:val="auto"/>
          <w:sz w:val="21"/>
          <w:szCs w:val="21"/>
          <w:highlight w:val="none"/>
          <w:lang w:val="en-US" w:eastAsia="zh-CN"/>
        </w:rPr>
        <w:t>费率</w:t>
      </w:r>
      <w:r>
        <w:rPr>
          <w:rFonts w:hint="eastAsia" w:ascii="宋体" w:hAnsi="宋体" w:eastAsia="宋体" w:cs="宋体"/>
          <w:b/>
          <w:bCs/>
          <w:color w:val="auto"/>
          <w:sz w:val="21"/>
          <w:szCs w:val="21"/>
          <w:highlight w:val="none"/>
          <w:lang w:val="en-US" w:eastAsia="zh-CN"/>
        </w:rPr>
        <w:t>和</w:t>
      </w:r>
      <w:r>
        <w:rPr>
          <w:rFonts w:hint="eastAsia" w:ascii="宋体" w:hAnsi="宋体" w:cs="宋体"/>
          <w:b/>
          <w:bCs/>
          <w:color w:val="auto"/>
          <w:sz w:val="21"/>
          <w:szCs w:val="21"/>
          <w:highlight w:val="none"/>
          <w:lang w:val="en-US" w:eastAsia="zh-CN"/>
        </w:rPr>
        <w:t>建安工程</w:t>
      </w:r>
      <w:r>
        <w:rPr>
          <w:rFonts w:hint="eastAsia" w:ascii="宋体" w:hAnsi="宋体" w:eastAsia="宋体" w:cs="宋体"/>
          <w:b/>
          <w:bCs/>
          <w:color w:val="auto"/>
          <w:sz w:val="21"/>
          <w:szCs w:val="21"/>
          <w:highlight w:val="none"/>
          <w:lang w:val="en-US" w:eastAsia="zh-CN"/>
        </w:rPr>
        <w:t>施工</w:t>
      </w:r>
      <w:r>
        <w:rPr>
          <w:rFonts w:hint="eastAsia" w:ascii="宋体" w:hAnsi="宋体" w:cs="宋体"/>
          <w:b/>
          <w:bCs/>
          <w:color w:val="auto"/>
          <w:sz w:val="21"/>
          <w:szCs w:val="21"/>
          <w:highlight w:val="none"/>
          <w:lang w:val="en-US" w:eastAsia="zh-CN"/>
        </w:rPr>
        <w:t>费</w:t>
      </w:r>
      <w:r>
        <w:rPr>
          <w:rFonts w:hint="eastAsia" w:ascii="宋体" w:hAnsi="宋体" w:eastAsia="宋体" w:cs="宋体"/>
          <w:b/>
          <w:bCs/>
          <w:color w:val="auto"/>
          <w:sz w:val="21"/>
          <w:szCs w:val="21"/>
          <w:highlight w:val="none"/>
          <w:lang w:val="en-US" w:eastAsia="zh-CN"/>
        </w:rPr>
        <w:t>报价均设定招标控制价，投标人的各项报价不得高于或低于对应项目的招标控制价，否则作否决投标处理。</w:t>
      </w:r>
    </w:p>
    <w:p w14:paraId="53BBCACA">
      <w:pPr>
        <w:spacing w:line="400" w:lineRule="exact"/>
        <w:ind w:firstLine="420" w:firstLineChars="200"/>
        <w:rPr>
          <w:rFonts w:hint="eastAsia" w:ascii="宋体" w:hAnsi="宋体" w:eastAsia="宋体" w:cs="宋体"/>
          <w:color w:val="auto"/>
          <w:sz w:val="21"/>
          <w:szCs w:val="21"/>
          <w:highlight w:val="none"/>
        </w:rPr>
      </w:pPr>
      <w:bookmarkStart w:id="250" w:name="_Toc6421"/>
      <w:bookmarkStart w:id="251" w:name="_Toc19129"/>
      <w:bookmarkStart w:id="252" w:name="_Toc45896636"/>
      <w:bookmarkStart w:id="253" w:name="_Toc45896932"/>
      <w:r>
        <w:rPr>
          <w:rFonts w:hint="eastAsia" w:ascii="宋体" w:hAnsi="宋体" w:eastAsia="宋体" w:cs="宋体"/>
          <w:color w:val="auto"/>
          <w:sz w:val="21"/>
          <w:szCs w:val="21"/>
          <w:highlight w:val="none"/>
        </w:rPr>
        <w:t>3.3 投标有效期</w:t>
      </w:r>
      <w:bookmarkEnd w:id="245"/>
      <w:bookmarkEnd w:id="246"/>
      <w:bookmarkEnd w:id="247"/>
      <w:bookmarkEnd w:id="248"/>
      <w:bookmarkEnd w:id="249"/>
      <w:bookmarkEnd w:id="250"/>
      <w:bookmarkEnd w:id="251"/>
      <w:bookmarkEnd w:id="252"/>
      <w:bookmarkEnd w:id="253"/>
    </w:p>
    <w:p w14:paraId="1CBAB4C9">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3.3.1见投标人须知前附表。</w:t>
      </w:r>
    </w:p>
    <w:p w14:paraId="55F2BC8B">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3.3.2 在投标有效期内，投标人撤销或修改其投标文件的，应承担招标文件和法律规定的责任。</w:t>
      </w:r>
    </w:p>
    <w:p w14:paraId="3627B0B3">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A932B52">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54" w:name="_Toc18419"/>
      <w:bookmarkStart w:id="255" w:name="_Toc247527575"/>
      <w:bookmarkStart w:id="256" w:name="_Toc247513974"/>
      <w:bookmarkStart w:id="257" w:name="_Toc152042326"/>
      <w:bookmarkStart w:id="258" w:name="_Toc45896637"/>
      <w:bookmarkStart w:id="259" w:name="_Toc19061"/>
      <w:bookmarkStart w:id="260" w:name="_Toc152045550"/>
      <w:bookmarkStart w:id="261" w:name="_Toc45896933"/>
      <w:bookmarkStart w:id="262" w:name="_Toc144974518"/>
      <w:r>
        <w:rPr>
          <w:rFonts w:hint="eastAsia" w:ascii="宋体" w:hAnsi="宋体" w:eastAsia="宋体" w:cs="宋体"/>
          <w:color w:val="auto"/>
          <w:sz w:val="21"/>
          <w:szCs w:val="21"/>
          <w:highlight w:val="none"/>
        </w:rPr>
        <w:t>3.4 投标保证金</w:t>
      </w:r>
      <w:bookmarkEnd w:id="254"/>
      <w:bookmarkEnd w:id="255"/>
      <w:bookmarkEnd w:id="256"/>
      <w:bookmarkEnd w:id="257"/>
      <w:bookmarkEnd w:id="258"/>
      <w:bookmarkEnd w:id="259"/>
      <w:bookmarkEnd w:id="260"/>
      <w:bookmarkEnd w:id="261"/>
      <w:bookmarkEnd w:id="262"/>
    </w:p>
    <w:p w14:paraId="39492382">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3.4.1 投标人在递交投标文件的同时，应按投标人须知前附表规定的金额、担保形式和第七章“投标文件格式”规定的投标保证金格式递交投标保证金，并作为其投标文件的组成部分。联合体投标的，其投标保证金由牵头人递交，并应符合投标人须知前附表的规定。</w:t>
      </w:r>
    </w:p>
    <w:p w14:paraId="4CB0B071">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3.4.2 投标人不按本章第3.4.1项要求提交投标保证金的，评标委员会将否决其投标。</w:t>
      </w:r>
    </w:p>
    <w:p w14:paraId="6671FF06">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3.4.3 招标人在中标公示期满后，向委托收取投标保证金的交易中心提出申请，向未中标的投标人退还投标保证金及同期银行存款利息；在招标人与中标人签订合同后5日内，向中标人退还投标保证金及同期银行存款利息。该条款仅限于现金缴纳投标保证金的情形。</w:t>
      </w:r>
    </w:p>
    <w:p w14:paraId="244B4E4F">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3.4.4 有下列情形之一的，投标保证金将不予退还： </w:t>
      </w:r>
    </w:p>
    <w:p w14:paraId="39775DA4">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（1）投标人在规定的投标有效期内撤销或修改其投标文件；</w:t>
      </w:r>
    </w:p>
    <w:p w14:paraId="688C8D3E">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（2）中标人在收到中标通知书后，无正当理由拒签合同或未按招标文件规定提交履约担保。</w:t>
      </w:r>
    </w:p>
    <w:p w14:paraId="0596231B">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63" w:name="_Toc247527576"/>
      <w:bookmarkStart w:id="264" w:name="_Toc45896934"/>
      <w:bookmarkStart w:id="265" w:name="_Toc144974519"/>
      <w:bookmarkStart w:id="266" w:name="_Toc0"/>
      <w:bookmarkStart w:id="267" w:name="_Toc247513975"/>
      <w:bookmarkStart w:id="268" w:name="_Toc152045551"/>
      <w:bookmarkStart w:id="269" w:name="_Toc152042327"/>
      <w:bookmarkStart w:id="270" w:name="_Toc45896638"/>
      <w:bookmarkStart w:id="271" w:name="_Toc18697"/>
      <w:r>
        <w:rPr>
          <w:rFonts w:hint="eastAsia" w:ascii="宋体" w:hAnsi="宋体" w:eastAsia="宋体" w:cs="宋体"/>
          <w:color w:val="auto"/>
          <w:sz w:val="21"/>
          <w:szCs w:val="21"/>
          <w:highlight w:val="none"/>
        </w:rPr>
        <w:t>3.5 资格审查资料</w:t>
      </w:r>
      <w:bookmarkEnd w:id="263"/>
      <w:bookmarkEnd w:id="264"/>
      <w:bookmarkEnd w:id="265"/>
      <w:bookmarkEnd w:id="266"/>
      <w:bookmarkEnd w:id="267"/>
      <w:bookmarkEnd w:id="268"/>
      <w:bookmarkEnd w:id="269"/>
      <w:bookmarkEnd w:id="270"/>
      <w:bookmarkEnd w:id="271"/>
    </w:p>
    <w:p w14:paraId="398A6FFC">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“投标人基本情况表”应附投标人营业执照及其年检合格的证明材料、资质证书副本等材料的原件扫描件。</w:t>
      </w:r>
    </w:p>
    <w:p w14:paraId="48F1709D">
      <w:pPr>
        <w:tabs>
          <w:tab w:val="left" w:pos="2730"/>
        </w:tabs>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“近年财务状况表”应附财务报表，包括资产负债表、现金流量表、利润表等原件扫描件，具体年份要求见投标人须知前附表。</w:t>
      </w:r>
    </w:p>
    <w:p w14:paraId="26DF8DF4">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“近年完成的类似项目情况表”应附合同协议书原件扫描件；或“近年完成的类似工程设计项目情况表”应附合同协议书原件扫描件。具体年份要求见投标人须知前附表，每张表格只填写一个项目，并标明序号。</w:t>
      </w:r>
    </w:p>
    <w:p w14:paraId="0859507F">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“正在实施和新承接的项目情况表”应附中标通知书或合同协议书原件扫描件。每张表格只填写一个项目，并标明序号。</w:t>
      </w:r>
    </w:p>
    <w:p w14:paraId="11B598A7">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“近年发生的重大诉讼及仲裁情况”应说明相关情况，并附法院或仲裁机构作出的判决、裁决等有关法律文书原件扫描件，具体年份要求见投标人须知前附表。</w:t>
      </w:r>
    </w:p>
    <w:p w14:paraId="7D4EFEC4">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投标人须知前附表规定接受联合体投标的，本章第3.5.1项至第3.5.5项规定的表格和资料应包括联合体各方相关情况。</w:t>
      </w:r>
    </w:p>
    <w:p w14:paraId="4DD38F0C">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72" w:name="_Toc144974521"/>
      <w:bookmarkStart w:id="273" w:name="_Toc152045553"/>
      <w:bookmarkStart w:id="274" w:name="_Toc21863"/>
      <w:bookmarkStart w:id="275" w:name="_Toc11803"/>
      <w:bookmarkStart w:id="276" w:name="_Toc45896935"/>
      <w:bookmarkStart w:id="277" w:name="_Toc247527578"/>
      <w:bookmarkStart w:id="278" w:name="_Toc247513977"/>
      <w:bookmarkStart w:id="279" w:name="_Toc152042329"/>
      <w:bookmarkStart w:id="280" w:name="_Toc45896639"/>
      <w:r>
        <w:rPr>
          <w:rFonts w:hint="eastAsia" w:ascii="宋体" w:hAnsi="宋体" w:eastAsia="宋体" w:cs="宋体"/>
          <w:color w:val="auto"/>
          <w:sz w:val="21"/>
          <w:szCs w:val="21"/>
          <w:highlight w:val="none"/>
        </w:rPr>
        <w:t>3.6 备选投标方案</w:t>
      </w:r>
      <w:bookmarkEnd w:id="272"/>
      <w:bookmarkEnd w:id="273"/>
      <w:bookmarkEnd w:id="274"/>
      <w:bookmarkEnd w:id="275"/>
      <w:bookmarkEnd w:id="276"/>
      <w:bookmarkEnd w:id="277"/>
      <w:bookmarkEnd w:id="278"/>
      <w:bookmarkEnd w:id="279"/>
      <w:bookmarkEnd w:id="280"/>
    </w:p>
    <w:p w14:paraId="280B0A00">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7FFADB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281" w:name="_Toc152042330"/>
      <w:bookmarkStart w:id="282" w:name="_Toc152045554"/>
      <w:bookmarkStart w:id="283" w:name="_Toc6001"/>
      <w:bookmarkStart w:id="284" w:name="_Toc45896936"/>
      <w:bookmarkStart w:id="285" w:name="_Toc247527579"/>
      <w:bookmarkStart w:id="286" w:name="_Toc247513978"/>
      <w:bookmarkStart w:id="287" w:name="_Toc144974522"/>
      <w:bookmarkStart w:id="288" w:name="_Toc45896640"/>
      <w:bookmarkStart w:id="289" w:name="_Toc12473"/>
      <w:r>
        <w:rPr>
          <w:rFonts w:hint="eastAsia" w:ascii="宋体" w:hAnsi="宋体" w:eastAsia="宋体" w:cs="宋体"/>
          <w:color w:val="auto"/>
          <w:sz w:val="21"/>
          <w:szCs w:val="21"/>
          <w:highlight w:val="none"/>
        </w:rPr>
        <w:t>3.7 投标文件的编制</w:t>
      </w:r>
      <w:bookmarkEnd w:id="281"/>
      <w:bookmarkEnd w:id="282"/>
      <w:bookmarkEnd w:id="283"/>
      <w:bookmarkEnd w:id="284"/>
      <w:bookmarkEnd w:id="285"/>
      <w:bookmarkEnd w:id="286"/>
      <w:bookmarkEnd w:id="287"/>
      <w:bookmarkEnd w:id="288"/>
      <w:bookmarkEnd w:id="289"/>
    </w:p>
    <w:p w14:paraId="1586E83F">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3.7.1 投标文件应按第七章“投标文件格式”进行编写，如有必要，可以增加附页，作为投标文件的组成部分。其中，投标函附录在满足招标文件实质性要求的基础上，可以提出比招标文件要求更有利于招标人的承诺。</w:t>
      </w:r>
    </w:p>
    <w:p w14:paraId="3C9040B4">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3.7.2 投标文件应当对招标文件有关招标范围、投标有效期、工期、质量标准、发包人要求等实质性内容作出响应。</w:t>
      </w:r>
    </w:p>
    <w:p w14:paraId="2E74D75C">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3.7.3 投标文件签字或盖章的具体要求见投标人须知前附表3.7.3。 </w:t>
      </w:r>
    </w:p>
    <w:p w14:paraId="2FC5B5C7">
      <w:pPr>
        <w:spacing w:line="4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3.7.4 投标文件份数见投标人须知前附表3.7.4。</w:t>
      </w:r>
    </w:p>
    <w:p w14:paraId="014829F7">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290" w:name="_Toc45896937"/>
      <w:bookmarkStart w:id="291" w:name="_Toc28739_WPSOffice_Level2"/>
      <w:bookmarkStart w:id="292" w:name="_Toc4864"/>
      <w:bookmarkStart w:id="293" w:name="_Toc45896641"/>
      <w:bookmarkStart w:id="294" w:name="_Toc152042331"/>
      <w:bookmarkStart w:id="295" w:name="_Toc21929_WPSOffice_Level2"/>
      <w:bookmarkStart w:id="296" w:name="_Toc23957"/>
      <w:bookmarkStart w:id="297" w:name="_Toc152045555"/>
      <w:bookmarkStart w:id="298" w:name="_Toc144974523"/>
      <w:bookmarkStart w:id="299" w:name="_Toc247513979"/>
      <w:bookmarkStart w:id="300" w:name="_Toc247527580"/>
      <w:r>
        <w:rPr>
          <w:rFonts w:hint="eastAsia" w:ascii="宋体" w:hAnsi="宋体" w:eastAsia="宋体" w:cs="宋体"/>
          <w:color w:val="auto"/>
          <w:sz w:val="21"/>
          <w:szCs w:val="21"/>
          <w:highlight w:val="none"/>
        </w:rPr>
        <w:t>4.投标</w:t>
      </w:r>
      <w:bookmarkEnd w:id="290"/>
      <w:bookmarkEnd w:id="291"/>
      <w:bookmarkEnd w:id="292"/>
      <w:bookmarkEnd w:id="293"/>
      <w:bookmarkEnd w:id="294"/>
      <w:bookmarkEnd w:id="295"/>
      <w:bookmarkEnd w:id="296"/>
      <w:bookmarkEnd w:id="297"/>
      <w:bookmarkEnd w:id="298"/>
      <w:bookmarkEnd w:id="299"/>
      <w:bookmarkEnd w:id="300"/>
    </w:p>
    <w:p w14:paraId="01A38A00">
      <w:pPr>
        <w:pStyle w:val="5"/>
        <w:keepNext/>
        <w:keepLines/>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01" w:name="_Toc24914"/>
      <w:bookmarkStart w:id="302" w:name="_Toc144974524"/>
      <w:bookmarkStart w:id="303" w:name="_Toc15094"/>
      <w:bookmarkStart w:id="304" w:name="_Toc247527581"/>
      <w:bookmarkStart w:id="305" w:name="_Toc152042332"/>
      <w:bookmarkStart w:id="306" w:name="_Toc152045556"/>
      <w:bookmarkStart w:id="307" w:name="_Toc247513980"/>
      <w:bookmarkStart w:id="308" w:name="_Toc45896938"/>
      <w:bookmarkStart w:id="309" w:name="_Toc45896642"/>
      <w:bookmarkStart w:id="310" w:name="_Toc247527582"/>
      <w:bookmarkStart w:id="311" w:name="_Toc152042333"/>
      <w:bookmarkStart w:id="312" w:name="_Toc152045557"/>
      <w:bookmarkStart w:id="313" w:name="_Toc45896939"/>
      <w:bookmarkStart w:id="314" w:name="_Toc247513981"/>
      <w:bookmarkStart w:id="315" w:name="_Toc28450"/>
      <w:bookmarkStart w:id="316" w:name="_Toc144974525"/>
      <w:bookmarkStart w:id="317" w:name="_Toc45896643"/>
      <w:r>
        <w:rPr>
          <w:rFonts w:hint="eastAsia" w:ascii="宋体" w:hAnsi="宋体" w:eastAsia="宋体" w:cs="宋体"/>
          <w:color w:val="auto"/>
          <w:sz w:val="21"/>
          <w:szCs w:val="21"/>
          <w:highlight w:val="none"/>
        </w:rPr>
        <w:t>4.1投标文件的上传要求</w:t>
      </w:r>
      <w:bookmarkEnd w:id="301"/>
      <w:bookmarkEnd w:id="302"/>
      <w:bookmarkEnd w:id="303"/>
      <w:bookmarkEnd w:id="304"/>
      <w:bookmarkEnd w:id="305"/>
      <w:bookmarkEnd w:id="306"/>
      <w:bookmarkEnd w:id="307"/>
    </w:p>
    <w:p w14:paraId="5A3172A3">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具体要求见投标人须知前附表</w:t>
      </w:r>
      <w:bookmarkEnd w:id="308"/>
      <w:bookmarkEnd w:id="309"/>
      <w:r>
        <w:rPr>
          <w:rFonts w:hint="eastAsia" w:ascii="宋体" w:hAnsi="宋体" w:eastAsia="宋体" w:cs="宋体"/>
          <w:color w:val="auto"/>
          <w:sz w:val="21"/>
          <w:szCs w:val="21"/>
          <w:highlight w:val="none"/>
        </w:rPr>
        <w:t>。</w:t>
      </w:r>
    </w:p>
    <w:p w14:paraId="417C08B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18" w:name="_Toc8910"/>
      <w:r>
        <w:rPr>
          <w:rFonts w:hint="eastAsia" w:ascii="宋体" w:hAnsi="宋体" w:eastAsia="宋体" w:cs="宋体"/>
          <w:color w:val="auto"/>
          <w:sz w:val="21"/>
          <w:szCs w:val="21"/>
          <w:highlight w:val="none"/>
        </w:rPr>
        <w:t>4.2 投标文件的</w:t>
      </w:r>
      <w:bookmarkEnd w:id="310"/>
      <w:bookmarkEnd w:id="311"/>
      <w:bookmarkEnd w:id="312"/>
      <w:bookmarkEnd w:id="313"/>
      <w:bookmarkEnd w:id="314"/>
      <w:bookmarkEnd w:id="315"/>
      <w:bookmarkEnd w:id="316"/>
      <w:bookmarkEnd w:id="317"/>
      <w:r>
        <w:rPr>
          <w:rFonts w:hint="eastAsia" w:ascii="宋体" w:hAnsi="宋体" w:eastAsia="宋体" w:cs="宋体"/>
          <w:color w:val="auto"/>
          <w:sz w:val="21"/>
          <w:szCs w:val="21"/>
          <w:highlight w:val="none"/>
        </w:rPr>
        <w:t>密封</w:t>
      </w:r>
      <w:bookmarkEnd w:id="318"/>
    </w:p>
    <w:p w14:paraId="25C77C70">
      <w:pPr>
        <w:spacing w:line="400" w:lineRule="exact"/>
        <w:ind w:firstLine="420" w:firstLineChars="200"/>
        <w:rPr>
          <w:rFonts w:hint="eastAsia" w:ascii="宋体" w:hAnsi="宋体" w:eastAsia="宋体" w:cs="宋体"/>
          <w:color w:val="auto"/>
          <w:sz w:val="21"/>
          <w:szCs w:val="21"/>
          <w:highlight w:val="none"/>
        </w:rPr>
      </w:pPr>
      <w:bookmarkStart w:id="319" w:name="_Toc152045558"/>
      <w:bookmarkStart w:id="320" w:name="_Toc247513982"/>
      <w:bookmarkStart w:id="321" w:name="_Toc45896940"/>
      <w:bookmarkStart w:id="322" w:name="_Toc17700"/>
      <w:bookmarkStart w:id="323" w:name="_Toc144974526"/>
      <w:bookmarkStart w:id="324" w:name="_Toc152042334"/>
      <w:bookmarkStart w:id="325" w:name="_Toc247527583"/>
      <w:bookmarkStart w:id="326" w:name="_Toc45896644"/>
      <w:r>
        <w:rPr>
          <w:rFonts w:hint="eastAsia" w:ascii="宋体" w:hAnsi="宋体" w:eastAsia="宋体" w:cs="宋体"/>
          <w:color w:val="auto"/>
          <w:sz w:val="21"/>
          <w:szCs w:val="21"/>
          <w:highlight w:val="none"/>
        </w:rPr>
        <w:t>具体要求见投标人须知前附表。</w:t>
      </w:r>
    </w:p>
    <w:p w14:paraId="5A343E70">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27" w:name="_Toc19123"/>
      <w:r>
        <w:rPr>
          <w:rFonts w:hint="eastAsia" w:ascii="宋体" w:hAnsi="宋体" w:eastAsia="宋体" w:cs="宋体"/>
          <w:color w:val="auto"/>
          <w:sz w:val="21"/>
          <w:szCs w:val="21"/>
          <w:highlight w:val="none"/>
        </w:rPr>
        <w:t>4.3 投标文件的修改与撤回</w:t>
      </w:r>
      <w:bookmarkEnd w:id="319"/>
      <w:bookmarkEnd w:id="320"/>
      <w:bookmarkEnd w:id="321"/>
      <w:bookmarkEnd w:id="322"/>
      <w:bookmarkEnd w:id="323"/>
      <w:bookmarkEnd w:id="324"/>
      <w:bookmarkEnd w:id="325"/>
      <w:bookmarkEnd w:id="326"/>
      <w:bookmarkEnd w:id="327"/>
    </w:p>
    <w:p w14:paraId="4B388FDE">
      <w:pPr>
        <w:spacing w:line="400" w:lineRule="exact"/>
        <w:ind w:firstLine="420" w:firstLineChars="200"/>
        <w:rPr>
          <w:rFonts w:hint="eastAsia" w:ascii="宋体" w:hAnsi="宋体" w:eastAsia="宋体" w:cs="宋体"/>
          <w:color w:val="auto"/>
          <w:sz w:val="21"/>
          <w:szCs w:val="21"/>
          <w:highlight w:val="none"/>
          <w:lang w:val="en-US" w:eastAsia="zh-CN"/>
        </w:rPr>
      </w:pPr>
      <w:bookmarkStart w:id="328" w:name="_Toc152045559"/>
      <w:bookmarkStart w:id="329" w:name="_Toc18299"/>
      <w:bookmarkStart w:id="330" w:name="_Toc247513983"/>
      <w:bookmarkStart w:id="331" w:name="_Toc152042335"/>
      <w:bookmarkStart w:id="332" w:name="_Toc247527584"/>
      <w:bookmarkStart w:id="333" w:name="_Toc144974527"/>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在本章第2.2.2项规定的投标截止时间前，投标人可以修改或撤回已在网上递交的投标文件，无须书面形式通知招标人。</w:t>
      </w:r>
    </w:p>
    <w:p w14:paraId="11431440">
      <w:pPr>
        <w:pStyle w:val="4"/>
        <w:keepNext/>
        <w:keepLines/>
        <w:pageBreakBefore w:val="0"/>
        <w:widowControl w:val="0"/>
        <w:kinsoku/>
        <w:wordWrap/>
        <w:overflowPunct/>
        <w:topLinePunct w:val="0"/>
        <w:autoSpaceDE/>
        <w:autoSpaceDN/>
        <w:bidi w:val="0"/>
        <w:adjustRightInd/>
        <w:snapToGrid/>
        <w:spacing w:before="0" w:after="0"/>
        <w:textAlignment w:val="auto"/>
        <w:rPr>
          <w:rFonts w:hint="eastAsia" w:ascii="宋体" w:hAnsi="宋体" w:eastAsia="宋体" w:cs="宋体"/>
          <w:color w:val="auto"/>
          <w:sz w:val="21"/>
          <w:szCs w:val="21"/>
          <w:highlight w:val="none"/>
        </w:rPr>
      </w:pPr>
      <w:bookmarkStart w:id="334" w:name="_Toc26881_WPSOffice_Level2"/>
      <w:bookmarkStart w:id="335" w:name="_Toc45896941"/>
      <w:bookmarkStart w:id="336" w:name="_Toc45896645"/>
      <w:bookmarkStart w:id="337" w:name="_Toc23175_WPSOffice_Level2"/>
      <w:bookmarkStart w:id="338" w:name="_Toc22182"/>
      <w:r>
        <w:rPr>
          <w:rFonts w:hint="eastAsia" w:ascii="宋体" w:hAnsi="宋体" w:eastAsia="宋体" w:cs="宋体"/>
          <w:color w:val="auto"/>
          <w:sz w:val="21"/>
          <w:szCs w:val="21"/>
          <w:highlight w:val="none"/>
        </w:rPr>
        <w:t>5.开标</w:t>
      </w:r>
      <w:bookmarkEnd w:id="328"/>
      <w:bookmarkEnd w:id="329"/>
      <w:bookmarkEnd w:id="330"/>
      <w:bookmarkEnd w:id="331"/>
      <w:bookmarkEnd w:id="332"/>
      <w:bookmarkEnd w:id="333"/>
      <w:bookmarkEnd w:id="334"/>
      <w:bookmarkEnd w:id="335"/>
      <w:bookmarkEnd w:id="336"/>
      <w:bookmarkEnd w:id="337"/>
      <w:bookmarkEnd w:id="338"/>
    </w:p>
    <w:p w14:paraId="2B13C52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39" w:name="_Toc152045560"/>
      <w:bookmarkStart w:id="340" w:name="_Toc247513984"/>
      <w:bookmarkStart w:id="341" w:name="_Toc144974528"/>
      <w:bookmarkStart w:id="342" w:name="_Toc152042336"/>
      <w:bookmarkStart w:id="343" w:name="_Toc45896646"/>
      <w:bookmarkStart w:id="344" w:name="_Toc247527585"/>
      <w:bookmarkStart w:id="345" w:name="_Toc24462"/>
      <w:bookmarkStart w:id="346" w:name="_Toc45896942"/>
      <w:bookmarkStart w:id="347" w:name="_Toc3547"/>
      <w:r>
        <w:rPr>
          <w:rFonts w:hint="eastAsia" w:ascii="宋体" w:hAnsi="宋体" w:eastAsia="宋体" w:cs="宋体"/>
          <w:color w:val="auto"/>
          <w:sz w:val="21"/>
          <w:szCs w:val="21"/>
          <w:highlight w:val="none"/>
        </w:rPr>
        <w:t>5.1 开标时间和地点</w:t>
      </w:r>
      <w:bookmarkEnd w:id="339"/>
      <w:bookmarkEnd w:id="340"/>
      <w:bookmarkEnd w:id="341"/>
      <w:bookmarkEnd w:id="342"/>
      <w:bookmarkEnd w:id="343"/>
      <w:bookmarkEnd w:id="344"/>
      <w:bookmarkEnd w:id="345"/>
      <w:bookmarkEnd w:id="346"/>
      <w:bookmarkEnd w:id="347"/>
    </w:p>
    <w:p w14:paraId="3B01BD17">
      <w:pPr>
        <w:spacing w:line="400" w:lineRule="exact"/>
        <w:ind w:firstLine="420" w:firstLineChars="200"/>
        <w:rPr>
          <w:rFonts w:hint="eastAsia" w:ascii="宋体" w:hAnsi="宋体" w:eastAsia="宋体" w:cs="宋体"/>
          <w:color w:val="auto"/>
          <w:sz w:val="21"/>
          <w:szCs w:val="21"/>
          <w:highlight w:val="none"/>
        </w:rPr>
      </w:pPr>
      <w:bookmarkStart w:id="348" w:name="_Toc152045561"/>
      <w:bookmarkStart w:id="349" w:name="_Toc152042337"/>
      <w:bookmarkStart w:id="350" w:name="_Toc144974529"/>
      <w:bookmarkStart w:id="351" w:name="_Toc247513985"/>
      <w:bookmarkStart w:id="352" w:name="_Toc247527586"/>
      <w:r>
        <w:rPr>
          <w:rFonts w:hint="eastAsia" w:ascii="宋体" w:hAnsi="宋体" w:eastAsia="宋体" w:cs="宋体"/>
          <w:color w:val="auto"/>
          <w:sz w:val="21"/>
          <w:szCs w:val="21"/>
          <w:highlight w:val="none"/>
        </w:rPr>
        <w:t>招标人在本章第2.2.2项规定的投标截止时间（开标时间）和投标人须知前附表规定的地点公开开标，所有投标人的法定代表人或其委托代理人准时参加。</w:t>
      </w:r>
    </w:p>
    <w:p w14:paraId="4A11929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53" w:name="_Toc30079"/>
      <w:bookmarkStart w:id="354" w:name="_Toc45896943"/>
      <w:bookmarkStart w:id="355" w:name="_Toc45896647"/>
      <w:bookmarkStart w:id="356" w:name="_Toc25922"/>
      <w:r>
        <w:rPr>
          <w:rFonts w:hint="eastAsia" w:ascii="宋体" w:hAnsi="宋体" w:eastAsia="宋体" w:cs="宋体"/>
          <w:color w:val="auto"/>
          <w:sz w:val="21"/>
          <w:szCs w:val="21"/>
          <w:highlight w:val="none"/>
        </w:rPr>
        <w:t>5.2 开标程序</w:t>
      </w:r>
      <w:bookmarkEnd w:id="348"/>
      <w:bookmarkEnd w:id="349"/>
      <w:bookmarkEnd w:id="350"/>
      <w:bookmarkEnd w:id="351"/>
      <w:bookmarkEnd w:id="352"/>
      <w:bookmarkEnd w:id="353"/>
      <w:r>
        <w:rPr>
          <w:rFonts w:hint="eastAsia" w:ascii="宋体" w:hAnsi="宋体" w:eastAsia="宋体" w:cs="宋体"/>
          <w:color w:val="auto"/>
          <w:sz w:val="21"/>
          <w:szCs w:val="21"/>
          <w:highlight w:val="none"/>
        </w:rPr>
        <w:t>及要求</w:t>
      </w:r>
      <w:bookmarkEnd w:id="354"/>
      <w:bookmarkEnd w:id="355"/>
      <w:bookmarkEnd w:id="356"/>
    </w:p>
    <w:p w14:paraId="2F8FE91C">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主持人按下列程序进行开标：</w:t>
      </w:r>
    </w:p>
    <w:p w14:paraId="7EEA77B6">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(1)宣布开标纪律；</w:t>
      </w:r>
    </w:p>
    <w:p w14:paraId="5A201B19">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(2)宣布开标人、唱标人、记录人、行政监督等有关人员姓名；</w:t>
      </w:r>
    </w:p>
    <w:p w14:paraId="27B537BB">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公共资源交易平台提取所有已成功上传的投标文件，由投标人对网上上传已加密的投标文件进行现场解密，解密完成后导入有效投标人的电子投标文件（格式为：*.ZCTBJ）。所有有效投标文件导入完成后进行唱标公布投标人名称、项目名称、投标报价、质量目标、工期、投标保证金及其他内容，并记录在案。因投标人原因造成投标文件未解密的，视为撤销其投标文件；</w:t>
      </w:r>
    </w:p>
    <w:p w14:paraId="20968245">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(4)招标人、投标人、行政监管人员、招标代理机构、交易中心有关人员在开标记录上签字确认；</w:t>
      </w:r>
    </w:p>
    <w:p w14:paraId="4C1B5184">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(5)开标结束。</w:t>
      </w:r>
    </w:p>
    <w:p w14:paraId="3F7B9E05">
      <w:pPr>
        <w:pStyle w:val="5"/>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357" w:name="_Toc300834983"/>
      <w:bookmarkStart w:id="358" w:name="_Toc45896944"/>
      <w:bookmarkStart w:id="359" w:name="_Toc32104"/>
      <w:bookmarkStart w:id="360" w:name="_Toc45896648"/>
      <w:bookmarkStart w:id="361" w:name="_Toc9956"/>
      <w:r>
        <w:rPr>
          <w:rFonts w:hint="eastAsia" w:ascii="宋体" w:hAnsi="宋体" w:eastAsia="宋体" w:cs="宋体"/>
          <w:color w:val="auto"/>
          <w:sz w:val="21"/>
          <w:szCs w:val="21"/>
          <w:highlight w:val="none"/>
        </w:rPr>
        <w:t>5.3开标异议</w:t>
      </w:r>
      <w:bookmarkEnd w:id="357"/>
      <w:bookmarkEnd w:id="358"/>
      <w:bookmarkEnd w:id="359"/>
      <w:bookmarkEnd w:id="360"/>
    </w:p>
    <w:p w14:paraId="5F2E6289">
      <w:pPr>
        <w:spacing w:line="4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投标人对开标有异议的，应当在开标现场提出，招标人当场作出答复，并制作记录。</w:t>
      </w:r>
    </w:p>
    <w:p w14:paraId="3E02EBDB">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62" w:name="_Toc45896945"/>
      <w:bookmarkStart w:id="363" w:name="_Toc22932"/>
      <w:bookmarkStart w:id="364" w:name="_Toc45896649"/>
      <w:r>
        <w:rPr>
          <w:rFonts w:hint="eastAsia" w:ascii="宋体" w:hAnsi="宋体" w:eastAsia="宋体" w:cs="宋体"/>
          <w:color w:val="auto"/>
          <w:sz w:val="21"/>
          <w:szCs w:val="21"/>
          <w:highlight w:val="none"/>
        </w:rPr>
        <w:t xml:space="preserve">5.4 </w:t>
      </w:r>
      <w:bookmarkEnd w:id="361"/>
      <w:r>
        <w:rPr>
          <w:rFonts w:hint="eastAsia" w:ascii="宋体" w:hAnsi="宋体" w:eastAsia="宋体" w:cs="宋体"/>
          <w:color w:val="auto"/>
          <w:sz w:val="21"/>
          <w:szCs w:val="21"/>
          <w:highlight w:val="none"/>
        </w:rPr>
        <w:t>投标文件不予受理情形</w:t>
      </w:r>
      <w:bookmarkEnd w:id="362"/>
      <w:bookmarkEnd w:id="363"/>
      <w:bookmarkEnd w:id="364"/>
    </w:p>
    <w:p w14:paraId="0108B8DD">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投标文件有下列情形之一的，招标人不予受理：</w:t>
      </w:r>
    </w:p>
    <w:p w14:paraId="3D58B461">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(1)在2.2.2项规定的“投标截止时间”以后逾期送达的；</w:t>
      </w:r>
    </w:p>
    <w:p w14:paraId="63BB500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(2)投标人提交的电子标书格式不符合3.7.1项要求或无法读取导入的。</w:t>
      </w:r>
    </w:p>
    <w:p w14:paraId="7217EA27">
      <w:pPr>
        <w:pStyle w:val="4"/>
        <w:keepNext/>
        <w:keepLines/>
        <w:pageBreakBefore w:val="0"/>
        <w:widowControl w:val="0"/>
        <w:kinsoku/>
        <w:wordWrap/>
        <w:overflowPunct/>
        <w:topLinePunct w:val="0"/>
        <w:autoSpaceDE/>
        <w:autoSpaceDN/>
        <w:bidi w:val="0"/>
        <w:adjustRightInd/>
        <w:snapToGrid/>
        <w:spacing w:before="0" w:after="0"/>
        <w:textAlignment w:val="auto"/>
        <w:rPr>
          <w:rFonts w:hint="eastAsia" w:ascii="宋体" w:hAnsi="宋体" w:eastAsia="宋体" w:cs="宋体"/>
          <w:color w:val="auto"/>
          <w:sz w:val="21"/>
          <w:szCs w:val="21"/>
          <w:highlight w:val="none"/>
        </w:rPr>
      </w:pPr>
      <w:bookmarkStart w:id="365" w:name="_Toc6189"/>
      <w:bookmarkStart w:id="366" w:name="_Toc247527587"/>
      <w:bookmarkStart w:id="367" w:name="_Toc45896650"/>
      <w:bookmarkStart w:id="368" w:name="_Toc3400_WPSOffice_Level2"/>
      <w:bookmarkStart w:id="369" w:name="_Toc152042338"/>
      <w:bookmarkStart w:id="370" w:name="_Toc20473"/>
      <w:bookmarkStart w:id="371" w:name="_Toc152045562"/>
      <w:bookmarkStart w:id="372" w:name="_Toc247513986"/>
      <w:bookmarkStart w:id="373" w:name="_Toc26559_WPSOffice_Level2"/>
      <w:bookmarkStart w:id="374" w:name="_Toc144974530"/>
      <w:bookmarkStart w:id="375" w:name="_Toc45896946"/>
      <w:r>
        <w:rPr>
          <w:rFonts w:hint="eastAsia" w:ascii="宋体" w:hAnsi="宋体" w:eastAsia="宋体" w:cs="宋体"/>
          <w:color w:val="auto"/>
          <w:sz w:val="21"/>
          <w:szCs w:val="21"/>
          <w:highlight w:val="none"/>
        </w:rPr>
        <w:t>6.评标</w:t>
      </w:r>
      <w:bookmarkEnd w:id="365"/>
      <w:bookmarkEnd w:id="366"/>
      <w:bookmarkEnd w:id="367"/>
      <w:bookmarkEnd w:id="368"/>
      <w:bookmarkEnd w:id="369"/>
      <w:bookmarkEnd w:id="370"/>
      <w:bookmarkEnd w:id="371"/>
      <w:bookmarkEnd w:id="372"/>
      <w:bookmarkEnd w:id="373"/>
      <w:bookmarkEnd w:id="374"/>
      <w:bookmarkEnd w:id="375"/>
    </w:p>
    <w:p w14:paraId="39D338FC">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76" w:name="_Toc45896947"/>
      <w:bookmarkStart w:id="377" w:name="_Toc247513987"/>
      <w:bookmarkStart w:id="378" w:name="_Toc45896651"/>
      <w:bookmarkStart w:id="379" w:name="_Toc152042339"/>
      <w:bookmarkStart w:id="380" w:name="_Toc144974531"/>
      <w:bookmarkStart w:id="381" w:name="_Toc152045563"/>
      <w:bookmarkStart w:id="382" w:name="_Toc24633"/>
      <w:bookmarkStart w:id="383" w:name="_Toc247527588"/>
      <w:bookmarkStart w:id="384" w:name="_Toc6173"/>
      <w:r>
        <w:rPr>
          <w:rFonts w:hint="eastAsia" w:ascii="宋体" w:hAnsi="宋体" w:eastAsia="宋体" w:cs="宋体"/>
          <w:color w:val="auto"/>
          <w:sz w:val="21"/>
          <w:szCs w:val="21"/>
          <w:highlight w:val="none"/>
        </w:rPr>
        <w:t>6.1 评标委员会</w:t>
      </w:r>
      <w:bookmarkEnd w:id="376"/>
      <w:bookmarkEnd w:id="377"/>
      <w:bookmarkEnd w:id="378"/>
      <w:bookmarkEnd w:id="379"/>
      <w:bookmarkEnd w:id="380"/>
      <w:bookmarkEnd w:id="381"/>
      <w:bookmarkEnd w:id="382"/>
      <w:bookmarkEnd w:id="383"/>
      <w:bookmarkEnd w:id="384"/>
    </w:p>
    <w:p w14:paraId="141ADE24">
      <w:pPr>
        <w:spacing w:line="400" w:lineRule="exact"/>
        <w:ind w:firstLine="420" w:firstLineChars="200"/>
        <w:rPr>
          <w:rFonts w:hint="eastAsia" w:ascii="宋体" w:hAnsi="宋体" w:eastAsia="宋体" w:cs="宋体"/>
          <w:color w:val="auto"/>
          <w:sz w:val="21"/>
          <w:szCs w:val="21"/>
          <w:highlight w:val="none"/>
          <w:lang w:eastAsia="zh-CN"/>
        </w:rPr>
      </w:pPr>
      <w:bookmarkStart w:id="385" w:name="_Toc247527589"/>
      <w:bookmarkStart w:id="386" w:name="_Toc247513988"/>
      <w:bookmarkStart w:id="387" w:name="_Toc152042340"/>
      <w:bookmarkStart w:id="388" w:name="_Toc144974532"/>
      <w:bookmarkStart w:id="389" w:name="_Toc152045564"/>
      <w:r>
        <w:rPr>
          <w:rFonts w:hint="eastAsia" w:ascii="宋体" w:hAnsi="宋体" w:eastAsia="宋体" w:cs="宋体"/>
          <w:color w:val="auto"/>
          <w:sz w:val="21"/>
          <w:szCs w:val="21"/>
          <w:highlight w:val="none"/>
          <w:lang w:eastAsia="zh-CN"/>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40F1D1D0">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6.1.2 评标委员会成员有下列情形之一的，应当回避：</w:t>
      </w:r>
    </w:p>
    <w:p w14:paraId="2DF53059">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（1）投标人或投标人主要负责人的近亲属；</w:t>
      </w:r>
    </w:p>
    <w:p w14:paraId="1CB2F36C">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（2）项目主管部门或者行政监督部门的人员；</w:t>
      </w:r>
    </w:p>
    <w:p w14:paraId="72D5F187">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（3）与投标人有经济利益关系，可能影响对投标公正评审的；</w:t>
      </w:r>
    </w:p>
    <w:p w14:paraId="0DF5B564">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（4）曾因在招标、评标以及其他与招标投标有关活动中从事违法行为而受过行政处罚或刑事处罚的；</w:t>
      </w:r>
    </w:p>
    <w:p w14:paraId="73686F36">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（5）与投标人有其他利害关系。</w:t>
      </w:r>
    </w:p>
    <w:p w14:paraId="74D950BB">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90" w:name="_Toc17406"/>
      <w:bookmarkStart w:id="391" w:name="_Toc17662"/>
      <w:bookmarkStart w:id="392" w:name="_Toc45896652"/>
      <w:bookmarkStart w:id="393" w:name="_Toc45896948"/>
      <w:r>
        <w:rPr>
          <w:rFonts w:hint="eastAsia" w:ascii="宋体" w:hAnsi="宋体" w:eastAsia="宋体" w:cs="宋体"/>
          <w:color w:val="auto"/>
          <w:sz w:val="21"/>
          <w:szCs w:val="21"/>
          <w:highlight w:val="none"/>
        </w:rPr>
        <w:t>6.2 评标原则</w:t>
      </w:r>
      <w:bookmarkEnd w:id="385"/>
      <w:bookmarkEnd w:id="386"/>
      <w:bookmarkEnd w:id="387"/>
      <w:bookmarkEnd w:id="388"/>
      <w:bookmarkEnd w:id="389"/>
      <w:bookmarkEnd w:id="390"/>
      <w:bookmarkEnd w:id="391"/>
      <w:bookmarkEnd w:id="392"/>
      <w:bookmarkEnd w:id="393"/>
      <w:r>
        <w:rPr>
          <w:rFonts w:hint="eastAsia" w:ascii="宋体" w:hAnsi="宋体" w:eastAsia="宋体" w:cs="宋体"/>
          <w:color w:val="auto"/>
          <w:sz w:val="21"/>
          <w:szCs w:val="21"/>
          <w:highlight w:val="none"/>
        </w:rPr>
        <w:tab/>
      </w:r>
    </w:p>
    <w:p w14:paraId="0A38EF33">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5C0C873D">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394" w:name="_Toc247527590"/>
      <w:bookmarkStart w:id="395" w:name="_Toc152042341"/>
      <w:bookmarkStart w:id="396" w:name="_Toc2081"/>
      <w:bookmarkStart w:id="397" w:name="_Toc144974533"/>
      <w:bookmarkStart w:id="398" w:name="_Toc152045565"/>
      <w:bookmarkStart w:id="399" w:name="_Toc45896653"/>
      <w:bookmarkStart w:id="400" w:name="_Toc45896949"/>
      <w:bookmarkStart w:id="401" w:name="_Toc247513989"/>
      <w:bookmarkStart w:id="402" w:name="_Toc18082"/>
      <w:r>
        <w:rPr>
          <w:rFonts w:hint="eastAsia" w:ascii="宋体" w:hAnsi="宋体" w:eastAsia="宋体" w:cs="宋体"/>
          <w:color w:val="auto"/>
          <w:sz w:val="21"/>
          <w:szCs w:val="21"/>
          <w:highlight w:val="none"/>
        </w:rPr>
        <w:t>6.3 评标</w:t>
      </w:r>
      <w:bookmarkEnd w:id="394"/>
      <w:bookmarkEnd w:id="395"/>
      <w:bookmarkEnd w:id="396"/>
      <w:bookmarkEnd w:id="397"/>
      <w:bookmarkEnd w:id="398"/>
      <w:bookmarkEnd w:id="399"/>
      <w:bookmarkEnd w:id="400"/>
      <w:bookmarkEnd w:id="401"/>
      <w:bookmarkEnd w:id="402"/>
    </w:p>
    <w:p w14:paraId="6A24BEA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评标委员会按照第三章“评标办法”规定的方法、评审因素、标准和程序对投标文件进行评审。第三章“评标办法”没有规定的方法、评审因素和标准，不作为评标依据。</w:t>
      </w:r>
    </w:p>
    <w:p w14:paraId="19C118BD">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403" w:name="_Toc45896950"/>
      <w:bookmarkStart w:id="404" w:name="_Toc247513990"/>
      <w:bookmarkStart w:id="405" w:name="_Toc247527591"/>
      <w:bookmarkStart w:id="406" w:name="_Toc9808"/>
      <w:bookmarkStart w:id="407" w:name="_Toc45896654"/>
      <w:bookmarkStart w:id="408" w:name="_Toc152045566"/>
      <w:bookmarkStart w:id="409" w:name="_Toc1184_WPSOffice_Level2"/>
      <w:bookmarkStart w:id="410" w:name="_Toc144974534"/>
      <w:bookmarkStart w:id="411" w:name="_Toc152042342"/>
      <w:bookmarkStart w:id="412" w:name="_Toc27535_WPSOffice_Level2"/>
      <w:bookmarkStart w:id="413" w:name="_Toc15822"/>
      <w:r>
        <w:rPr>
          <w:rFonts w:hint="eastAsia" w:ascii="宋体" w:hAnsi="宋体" w:eastAsia="宋体" w:cs="宋体"/>
          <w:color w:val="auto"/>
          <w:sz w:val="21"/>
          <w:szCs w:val="21"/>
          <w:highlight w:val="none"/>
        </w:rPr>
        <w:t>7.合同授予</w:t>
      </w:r>
      <w:bookmarkEnd w:id="403"/>
      <w:bookmarkEnd w:id="404"/>
      <w:bookmarkEnd w:id="405"/>
      <w:bookmarkEnd w:id="406"/>
      <w:bookmarkEnd w:id="407"/>
      <w:bookmarkEnd w:id="408"/>
      <w:bookmarkEnd w:id="409"/>
      <w:bookmarkEnd w:id="410"/>
      <w:bookmarkEnd w:id="411"/>
      <w:bookmarkEnd w:id="412"/>
      <w:bookmarkEnd w:id="413"/>
    </w:p>
    <w:p w14:paraId="04B35BF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14" w:name="_Toc45896655"/>
      <w:bookmarkStart w:id="415" w:name="_Toc1577"/>
      <w:bookmarkStart w:id="416" w:name="_Toc48"/>
      <w:bookmarkStart w:id="417" w:name="_Toc152045567"/>
      <w:bookmarkStart w:id="418" w:name="_Toc247513991"/>
      <w:bookmarkStart w:id="419" w:name="_Toc247527592"/>
      <w:bookmarkStart w:id="420" w:name="_Toc45896951"/>
      <w:bookmarkStart w:id="421" w:name="_Toc144974535"/>
      <w:bookmarkStart w:id="422" w:name="_Toc152042343"/>
      <w:r>
        <w:rPr>
          <w:rFonts w:hint="eastAsia" w:ascii="宋体" w:hAnsi="宋体" w:eastAsia="宋体" w:cs="宋体"/>
          <w:color w:val="auto"/>
          <w:sz w:val="21"/>
          <w:szCs w:val="21"/>
          <w:highlight w:val="none"/>
        </w:rPr>
        <w:t>7.1 定标方式</w:t>
      </w:r>
      <w:bookmarkEnd w:id="414"/>
      <w:bookmarkEnd w:id="415"/>
      <w:bookmarkEnd w:id="416"/>
      <w:bookmarkEnd w:id="417"/>
      <w:bookmarkEnd w:id="418"/>
      <w:bookmarkEnd w:id="419"/>
      <w:bookmarkEnd w:id="420"/>
      <w:bookmarkEnd w:id="421"/>
      <w:bookmarkEnd w:id="422"/>
    </w:p>
    <w:p w14:paraId="0AD47D9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除投标人须知前附表规定评标委员会直接确定中标人外，招标人依据评标委员会推荐的中标候选人确定中标人，评标委员会推荐中标候选人的人数见投标人须知前附表。</w:t>
      </w:r>
    </w:p>
    <w:p w14:paraId="2FD0055A">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23" w:name="_Toc300834990"/>
      <w:bookmarkStart w:id="424" w:name="_Toc45896656"/>
      <w:bookmarkStart w:id="425" w:name="_Toc45896952"/>
      <w:bookmarkStart w:id="426" w:name="_Toc11467"/>
      <w:bookmarkStart w:id="427" w:name="_Toc247527593"/>
      <w:bookmarkStart w:id="428" w:name="_Toc152045568"/>
      <w:bookmarkStart w:id="429" w:name="_Toc26037"/>
      <w:bookmarkStart w:id="430" w:name="_Toc144974536"/>
      <w:bookmarkStart w:id="431" w:name="_Toc152042344"/>
      <w:bookmarkStart w:id="432" w:name="_Toc247513992"/>
      <w:r>
        <w:rPr>
          <w:rFonts w:hint="eastAsia" w:ascii="宋体" w:hAnsi="宋体" w:eastAsia="宋体" w:cs="宋体"/>
          <w:color w:val="auto"/>
          <w:sz w:val="21"/>
          <w:szCs w:val="21"/>
          <w:highlight w:val="none"/>
        </w:rPr>
        <w:t>7.2 中标候选人公示</w:t>
      </w:r>
      <w:bookmarkEnd w:id="423"/>
      <w:bookmarkEnd w:id="424"/>
      <w:bookmarkEnd w:id="425"/>
      <w:bookmarkEnd w:id="426"/>
    </w:p>
    <w:p w14:paraId="2225ED7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招标人在投标人须知前附表规定的媒介公示中标候选人。</w:t>
      </w:r>
    </w:p>
    <w:p w14:paraId="4089D9AE">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33" w:name="_Toc45896953"/>
      <w:bookmarkStart w:id="434" w:name="_Toc45896657"/>
      <w:bookmarkStart w:id="435" w:name="_Toc18783"/>
      <w:r>
        <w:rPr>
          <w:rFonts w:hint="eastAsia" w:ascii="宋体" w:hAnsi="宋体" w:eastAsia="宋体" w:cs="宋体"/>
          <w:color w:val="auto"/>
          <w:sz w:val="21"/>
          <w:szCs w:val="21"/>
          <w:highlight w:val="none"/>
        </w:rPr>
        <w:t>7.3 中标通知</w:t>
      </w:r>
      <w:bookmarkEnd w:id="427"/>
      <w:bookmarkEnd w:id="428"/>
      <w:bookmarkEnd w:id="429"/>
      <w:bookmarkEnd w:id="430"/>
      <w:bookmarkEnd w:id="431"/>
      <w:bookmarkEnd w:id="432"/>
      <w:bookmarkEnd w:id="433"/>
      <w:bookmarkEnd w:id="434"/>
      <w:bookmarkEnd w:id="435"/>
    </w:p>
    <w:p w14:paraId="170955BE">
      <w:pPr>
        <w:spacing w:line="400" w:lineRule="exact"/>
        <w:ind w:firstLine="420" w:firstLineChars="200"/>
        <w:rPr>
          <w:rFonts w:hint="eastAsia" w:ascii="宋体" w:hAnsi="宋体" w:eastAsia="宋体" w:cs="宋体"/>
          <w:color w:val="auto"/>
          <w:sz w:val="21"/>
          <w:szCs w:val="21"/>
          <w:highlight w:val="none"/>
        </w:rPr>
      </w:pPr>
      <w:bookmarkStart w:id="436" w:name="_Toc247527594"/>
      <w:bookmarkStart w:id="437" w:name="_Toc247513993"/>
      <w:bookmarkStart w:id="438" w:name="_Toc152045569"/>
      <w:bookmarkStart w:id="439" w:name="_Toc152042345"/>
      <w:bookmarkStart w:id="440" w:name="_Toc144974537"/>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在本章第3.3款规定的投标有效期内，招标人以书面形式向中标人发出中标通知书，同时将中标结果通知未中标的投标人。中标通知书按本章附表格式填写。</w:t>
      </w:r>
    </w:p>
    <w:p w14:paraId="3BC92942">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41" w:name="_Toc45896658"/>
      <w:bookmarkStart w:id="442" w:name="_Toc21348"/>
      <w:bookmarkStart w:id="443" w:name="_Toc45896954"/>
      <w:r>
        <w:rPr>
          <w:rFonts w:hint="eastAsia" w:ascii="宋体" w:hAnsi="宋体" w:eastAsia="宋体" w:cs="宋体"/>
          <w:color w:val="auto"/>
          <w:sz w:val="21"/>
          <w:szCs w:val="21"/>
          <w:highlight w:val="none"/>
        </w:rPr>
        <w:t>7.4 履约担保</w:t>
      </w:r>
      <w:bookmarkEnd w:id="441"/>
      <w:bookmarkEnd w:id="442"/>
      <w:bookmarkEnd w:id="443"/>
    </w:p>
    <w:p w14:paraId="045A860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 在签订合同前，中标人应按投标人须知前附表规定的担保形式和招标文件第四章“合同条款及格式”规定的或者事先经过招标人书面认可的履约担保格式向招标人提交履约担保。招标人要求中标人提供履约担保的，招标人应当同时向中标人提供工程款支付担保。除投标人须知前附表另有规定外，履约担保金额为中标合同金额的</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%。联合体中标的，其履约担保由联合体各方或者联合体中牵头人的名义提交。</w:t>
      </w:r>
    </w:p>
    <w:p w14:paraId="643E59E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7.4.2 中标人不能按本章第7.4.1项要求提交履约担保的，视为放弃中标，其投标保证金不予退还，给招标人造成的损失超过投标保证金数额的，中标人还应当对超过部分予以赔偿。</w:t>
      </w:r>
    </w:p>
    <w:bookmarkEnd w:id="436"/>
    <w:bookmarkEnd w:id="437"/>
    <w:bookmarkEnd w:id="438"/>
    <w:bookmarkEnd w:id="439"/>
    <w:bookmarkEnd w:id="440"/>
    <w:p w14:paraId="57121F98">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44" w:name="_Toc21887"/>
      <w:bookmarkStart w:id="445" w:name="_Toc322"/>
      <w:bookmarkStart w:id="446" w:name="_Toc45896659"/>
      <w:bookmarkStart w:id="447" w:name="_Toc144974538"/>
      <w:bookmarkStart w:id="448" w:name="_Toc247527595"/>
      <w:bookmarkStart w:id="449" w:name="_Toc247513994"/>
      <w:bookmarkStart w:id="450" w:name="_Toc152042346"/>
      <w:bookmarkStart w:id="451" w:name="_Toc152045570"/>
      <w:bookmarkStart w:id="452" w:name="_Toc45896955"/>
      <w:r>
        <w:rPr>
          <w:rFonts w:hint="eastAsia" w:ascii="宋体" w:hAnsi="宋体" w:eastAsia="宋体" w:cs="宋体"/>
          <w:color w:val="auto"/>
          <w:sz w:val="21"/>
          <w:szCs w:val="21"/>
          <w:highlight w:val="none"/>
        </w:rPr>
        <w:t>7.5 签订合同</w:t>
      </w:r>
      <w:bookmarkEnd w:id="444"/>
      <w:bookmarkEnd w:id="445"/>
      <w:bookmarkEnd w:id="446"/>
      <w:bookmarkEnd w:id="447"/>
      <w:bookmarkEnd w:id="448"/>
      <w:bookmarkEnd w:id="449"/>
      <w:bookmarkEnd w:id="450"/>
      <w:bookmarkEnd w:id="451"/>
      <w:bookmarkEnd w:id="452"/>
    </w:p>
    <w:p w14:paraId="3A97378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656AF73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发出中标通知书后，招标人无正当理由拒签合同的，招标人向中标人退还投标保证金；给中标人造成损失的，还应当赔偿损失。 </w:t>
      </w:r>
    </w:p>
    <w:p w14:paraId="2D67076D">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453" w:name="_Toc144974539"/>
      <w:bookmarkStart w:id="454" w:name="_Toc152042347"/>
      <w:bookmarkStart w:id="455" w:name="_Toc152045571"/>
      <w:bookmarkStart w:id="456" w:name="_Toc13451"/>
      <w:bookmarkStart w:id="457" w:name="_Toc247527596"/>
      <w:bookmarkStart w:id="458" w:name="_Toc247513995"/>
      <w:bookmarkStart w:id="459" w:name="_Toc4690"/>
      <w:bookmarkStart w:id="460" w:name="_Toc8424_WPSOffice_Level2"/>
      <w:bookmarkStart w:id="461" w:name="_Toc763_WPSOffice_Level2"/>
      <w:bookmarkStart w:id="462" w:name="_Toc45896956"/>
      <w:bookmarkStart w:id="463" w:name="_Toc45896660"/>
      <w:r>
        <w:rPr>
          <w:rFonts w:hint="eastAsia" w:ascii="宋体" w:hAnsi="宋体" w:eastAsia="宋体" w:cs="宋体"/>
          <w:color w:val="auto"/>
          <w:sz w:val="21"/>
          <w:szCs w:val="21"/>
          <w:highlight w:val="none"/>
        </w:rPr>
        <w:t>8.</w:t>
      </w:r>
      <w:bookmarkEnd w:id="453"/>
      <w:bookmarkEnd w:id="454"/>
      <w:bookmarkEnd w:id="455"/>
      <w:bookmarkEnd w:id="456"/>
      <w:bookmarkEnd w:id="457"/>
      <w:bookmarkEnd w:id="458"/>
      <w:r>
        <w:rPr>
          <w:rFonts w:hint="eastAsia" w:ascii="宋体" w:hAnsi="宋体" w:eastAsia="宋体" w:cs="宋体"/>
          <w:color w:val="auto"/>
          <w:sz w:val="21"/>
          <w:szCs w:val="21"/>
          <w:highlight w:val="none"/>
        </w:rPr>
        <w:t>重新招标和不再招标</w:t>
      </w:r>
      <w:bookmarkEnd w:id="459"/>
      <w:bookmarkEnd w:id="460"/>
      <w:bookmarkEnd w:id="461"/>
      <w:bookmarkEnd w:id="462"/>
      <w:bookmarkEnd w:id="463"/>
    </w:p>
    <w:p w14:paraId="0684E4AF">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64" w:name="_Toc179632590"/>
      <w:bookmarkStart w:id="465" w:name="_Toc21463"/>
      <w:bookmarkStart w:id="466" w:name="_Toc152045572"/>
      <w:bookmarkStart w:id="467" w:name="_Toc144974540"/>
      <w:bookmarkStart w:id="468" w:name="_Toc152042348"/>
      <w:bookmarkStart w:id="469" w:name="_Toc45896661"/>
      <w:bookmarkStart w:id="470" w:name="_Toc45896957"/>
      <w:r>
        <w:rPr>
          <w:rFonts w:hint="eastAsia" w:ascii="宋体" w:hAnsi="宋体" w:eastAsia="宋体" w:cs="宋体"/>
          <w:color w:val="auto"/>
          <w:sz w:val="21"/>
          <w:szCs w:val="21"/>
          <w:highlight w:val="none"/>
        </w:rPr>
        <w:t>8.1 重新招标</w:t>
      </w:r>
      <w:bookmarkEnd w:id="464"/>
      <w:bookmarkEnd w:id="465"/>
      <w:bookmarkEnd w:id="466"/>
      <w:bookmarkEnd w:id="467"/>
      <w:bookmarkEnd w:id="468"/>
      <w:bookmarkEnd w:id="469"/>
      <w:bookmarkEnd w:id="470"/>
    </w:p>
    <w:p w14:paraId="5884F1EF">
      <w:pPr>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39EEAC36">
      <w:pPr>
        <w:spacing w:line="38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2125BA56">
      <w:pPr>
        <w:spacing w:line="38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68F5CBF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71" w:name="_Toc152045573"/>
      <w:bookmarkStart w:id="472" w:name="_Toc8990"/>
      <w:bookmarkStart w:id="473" w:name="_Toc45896958"/>
      <w:bookmarkStart w:id="474" w:name="_Toc179632591"/>
      <w:bookmarkStart w:id="475" w:name="_Toc45896662"/>
      <w:bookmarkStart w:id="476" w:name="_Toc152042349"/>
      <w:bookmarkStart w:id="477" w:name="_Toc144974541"/>
      <w:r>
        <w:rPr>
          <w:rFonts w:hint="eastAsia" w:ascii="宋体" w:hAnsi="宋体" w:eastAsia="宋体" w:cs="宋体"/>
          <w:color w:val="auto"/>
          <w:sz w:val="21"/>
          <w:szCs w:val="21"/>
          <w:highlight w:val="none"/>
        </w:rPr>
        <w:t>8.2 不再招标</w:t>
      </w:r>
      <w:bookmarkEnd w:id="471"/>
      <w:bookmarkEnd w:id="472"/>
      <w:bookmarkEnd w:id="473"/>
      <w:bookmarkEnd w:id="474"/>
      <w:bookmarkEnd w:id="475"/>
      <w:bookmarkEnd w:id="476"/>
      <w:bookmarkEnd w:id="477"/>
    </w:p>
    <w:p w14:paraId="49BF0432">
      <w:pPr>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重新招标后投标人仍少于3个或者所有投标被否决的，属于必须审批或核准的工程建设项目，经原审批或核准部门批准后不再进行招标。</w:t>
      </w:r>
    </w:p>
    <w:p w14:paraId="4D267ADA">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478" w:name="_Toc152042357"/>
      <w:bookmarkStart w:id="479" w:name="_Toc247514004"/>
      <w:bookmarkStart w:id="480" w:name="_Toc26925"/>
      <w:bookmarkStart w:id="481" w:name="_Toc144974547"/>
      <w:bookmarkStart w:id="482" w:name="_Toc247527605"/>
      <w:bookmarkStart w:id="483" w:name="_Toc152045580"/>
      <w:bookmarkStart w:id="484" w:name="_Toc45896959"/>
      <w:bookmarkStart w:id="485" w:name="_Toc13549_WPSOffice_Level2"/>
      <w:bookmarkStart w:id="486" w:name="_Toc45896663"/>
      <w:bookmarkStart w:id="487" w:name="_Toc25593"/>
      <w:bookmarkStart w:id="488" w:name="_Toc26615_WPSOffice_Level2"/>
      <w:r>
        <w:rPr>
          <w:rFonts w:hint="eastAsia" w:ascii="宋体" w:hAnsi="宋体" w:eastAsia="宋体" w:cs="宋体"/>
          <w:color w:val="auto"/>
          <w:sz w:val="21"/>
          <w:szCs w:val="21"/>
          <w:highlight w:val="none"/>
        </w:rPr>
        <w:t>9.</w:t>
      </w:r>
      <w:bookmarkEnd w:id="478"/>
      <w:bookmarkEnd w:id="479"/>
      <w:bookmarkEnd w:id="480"/>
      <w:bookmarkEnd w:id="481"/>
      <w:bookmarkEnd w:id="482"/>
      <w:bookmarkEnd w:id="483"/>
      <w:r>
        <w:rPr>
          <w:rFonts w:hint="eastAsia" w:ascii="宋体" w:hAnsi="宋体" w:eastAsia="宋体" w:cs="宋体"/>
          <w:color w:val="auto"/>
          <w:sz w:val="21"/>
          <w:szCs w:val="21"/>
          <w:highlight w:val="none"/>
        </w:rPr>
        <w:t>纪律和监督</w:t>
      </w:r>
      <w:bookmarkEnd w:id="484"/>
      <w:bookmarkEnd w:id="485"/>
      <w:bookmarkEnd w:id="486"/>
      <w:bookmarkEnd w:id="487"/>
      <w:bookmarkEnd w:id="488"/>
    </w:p>
    <w:p w14:paraId="6A76358B">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89" w:name="_Toc179632593"/>
      <w:bookmarkStart w:id="490" w:name="_Toc152042351"/>
      <w:bookmarkStart w:id="491" w:name="_Toc5826"/>
      <w:bookmarkStart w:id="492" w:name="_Toc152045575"/>
      <w:bookmarkStart w:id="493" w:name="_Toc45896960"/>
      <w:bookmarkStart w:id="494" w:name="_Toc144974543"/>
      <w:bookmarkStart w:id="495" w:name="_Toc45896664"/>
      <w:r>
        <w:rPr>
          <w:rFonts w:hint="eastAsia" w:ascii="宋体" w:hAnsi="宋体" w:eastAsia="宋体" w:cs="宋体"/>
          <w:color w:val="auto"/>
          <w:sz w:val="21"/>
          <w:szCs w:val="21"/>
          <w:highlight w:val="none"/>
        </w:rPr>
        <w:t>9.1 对招标人的纪律要求</w:t>
      </w:r>
      <w:bookmarkEnd w:id="489"/>
      <w:bookmarkEnd w:id="490"/>
      <w:bookmarkEnd w:id="491"/>
      <w:bookmarkEnd w:id="492"/>
      <w:bookmarkEnd w:id="493"/>
      <w:bookmarkEnd w:id="494"/>
      <w:bookmarkEnd w:id="495"/>
    </w:p>
    <w:p w14:paraId="26DC9933">
      <w:pPr>
        <w:pStyle w:val="81"/>
        <w:shd w:val="clear" w:color="auto" w:fill="FFFFFF"/>
        <w:spacing w:before="0" w:beforeAutospacing="0" w:after="0" w:afterAutospacing="0" w:line="40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招标人不得泄漏招标投标活动中应当保密的情况和资料，不得与投标人串通损害国家利益、社会公共利益或者他人合法权益。评标过程中招标人和招标代理机构均不得向评标委员会发表任何有倾向性意见。</w:t>
      </w:r>
    </w:p>
    <w:p w14:paraId="22BCD0C8">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496" w:name="_Toc23046"/>
      <w:bookmarkStart w:id="497" w:name="_Toc152045576"/>
      <w:bookmarkStart w:id="498" w:name="_Toc144974544"/>
      <w:bookmarkStart w:id="499" w:name="_Toc152042352"/>
      <w:bookmarkStart w:id="500" w:name="_Toc45896961"/>
      <w:bookmarkStart w:id="501" w:name="_Toc179632594"/>
      <w:bookmarkStart w:id="502" w:name="_Toc45896665"/>
      <w:r>
        <w:rPr>
          <w:rFonts w:hint="eastAsia" w:ascii="宋体" w:hAnsi="宋体" w:eastAsia="宋体" w:cs="宋体"/>
          <w:color w:val="auto"/>
          <w:sz w:val="21"/>
          <w:szCs w:val="21"/>
          <w:highlight w:val="none"/>
        </w:rPr>
        <w:t>9.2 对投标人的纪律要求</w:t>
      </w:r>
      <w:bookmarkEnd w:id="496"/>
      <w:bookmarkEnd w:id="497"/>
      <w:bookmarkEnd w:id="498"/>
      <w:bookmarkEnd w:id="499"/>
      <w:bookmarkEnd w:id="500"/>
      <w:bookmarkEnd w:id="501"/>
      <w:bookmarkEnd w:id="502"/>
    </w:p>
    <w:p w14:paraId="30A4FE64">
      <w:pPr>
        <w:spacing w:line="38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9.2.1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14:paraId="6F5A9621">
      <w:pPr>
        <w:spacing w:line="38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9.2.2根据《中华人民共和国刑法》第二百二十三条【串通投标罪】规定，投标人相互串通投标报价，损害招标人或者其他投标人利益，情节严重的，处三年以下有期徒刑或者拘役，并处或者单处罚金。投标人与招标人串通投标，损害国家、集体、公民的合法利益的，依照前款的规定处罚。</w:t>
      </w:r>
    </w:p>
    <w:p w14:paraId="7D270597">
      <w:pPr>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投标人的行为涉及触犯【串通投标罪】相关规定的，将移送司法机关处理。</w:t>
      </w:r>
    </w:p>
    <w:p w14:paraId="714C55FB">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503" w:name="_Toc179632595"/>
      <w:bookmarkStart w:id="504" w:name="_Toc45896666"/>
      <w:bookmarkStart w:id="505" w:name="_Toc144974545"/>
      <w:bookmarkStart w:id="506" w:name="_Toc152042353"/>
      <w:bookmarkStart w:id="507" w:name="_Toc45896962"/>
      <w:bookmarkStart w:id="508" w:name="_Toc2640"/>
      <w:bookmarkStart w:id="509" w:name="_Toc152045577"/>
      <w:r>
        <w:rPr>
          <w:rFonts w:hint="eastAsia" w:ascii="宋体" w:hAnsi="宋体" w:eastAsia="宋体" w:cs="宋体"/>
          <w:color w:val="auto"/>
          <w:sz w:val="21"/>
          <w:szCs w:val="21"/>
          <w:highlight w:val="none"/>
        </w:rPr>
        <w:t>9.3 对评标委员会成员的纪律要求</w:t>
      </w:r>
      <w:bookmarkEnd w:id="503"/>
      <w:bookmarkEnd w:id="504"/>
      <w:bookmarkEnd w:id="505"/>
      <w:bookmarkEnd w:id="506"/>
      <w:bookmarkEnd w:id="507"/>
      <w:bookmarkEnd w:id="508"/>
      <w:bookmarkEnd w:id="509"/>
    </w:p>
    <w:p w14:paraId="12810D6C">
      <w:pPr>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成员应严格遵守国家、省相关法律、法规和规章，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16F212A7">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510" w:name="_Toc179632596"/>
      <w:bookmarkStart w:id="511" w:name="_Toc152042354"/>
      <w:bookmarkStart w:id="512" w:name="_Toc152045578"/>
      <w:bookmarkStart w:id="513" w:name="_Toc45896667"/>
      <w:bookmarkStart w:id="514" w:name="_Toc9316"/>
      <w:bookmarkStart w:id="515" w:name="_Toc45896963"/>
      <w:bookmarkStart w:id="516" w:name="_Toc144974546"/>
      <w:r>
        <w:rPr>
          <w:rFonts w:hint="eastAsia" w:ascii="宋体" w:hAnsi="宋体" w:eastAsia="宋体" w:cs="宋体"/>
          <w:color w:val="auto"/>
          <w:sz w:val="21"/>
          <w:szCs w:val="21"/>
          <w:highlight w:val="none"/>
        </w:rPr>
        <w:t>9.4 对与评标活动有关的工作人员的纪律要求</w:t>
      </w:r>
      <w:bookmarkEnd w:id="510"/>
      <w:bookmarkEnd w:id="511"/>
      <w:bookmarkEnd w:id="512"/>
      <w:bookmarkEnd w:id="513"/>
      <w:bookmarkEnd w:id="514"/>
      <w:bookmarkEnd w:id="515"/>
    </w:p>
    <w:p w14:paraId="62A835E7">
      <w:pPr>
        <w:spacing w:line="380" w:lineRule="exact"/>
        <w:ind w:firstLine="420" w:firstLineChars="200"/>
        <w:rPr>
          <w:rFonts w:hint="eastAsia" w:ascii="宋体" w:hAnsi="宋体" w:eastAsia="宋体" w:cs="宋体"/>
          <w:color w:val="auto"/>
          <w:sz w:val="21"/>
          <w:szCs w:val="21"/>
          <w:highlight w:val="none"/>
        </w:rPr>
      </w:pPr>
      <w:bookmarkStart w:id="517" w:name="_Toc152042355"/>
      <w:r>
        <w:rPr>
          <w:rFonts w:hint="eastAsia" w:ascii="宋体" w:hAnsi="宋体" w:eastAsia="宋体" w:cs="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517"/>
    </w:p>
    <w:p w14:paraId="5AE0F606">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auto"/>
          <w:sz w:val="21"/>
          <w:szCs w:val="21"/>
          <w:highlight w:val="none"/>
        </w:rPr>
      </w:pPr>
      <w:bookmarkStart w:id="518" w:name="_Toc152045579"/>
      <w:bookmarkStart w:id="519" w:name="_Toc179632597"/>
      <w:bookmarkStart w:id="520" w:name="_Toc152042356"/>
      <w:r>
        <w:rPr>
          <w:rFonts w:hint="eastAsia" w:ascii="宋体" w:hAnsi="宋体" w:eastAsia="宋体" w:cs="宋体"/>
          <w:color w:val="auto"/>
          <w:sz w:val="21"/>
          <w:szCs w:val="21"/>
          <w:highlight w:val="none"/>
        </w:rPr>
        <w:t>9.5 投诉</w:t>
      </w:r>
      <w:bookmarkEnd w:id="516"/>
      <w:bookmarkEnd w:id="518"/>
      <w:bookmarkEnd w:id="519"/>
      <w:bookmarkEnd w:id="520"/>
    </w:p>
    <w:p w14:paraId="16FF684B">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9.5.1异议</w:t>
      </w:r>
    </w:p>
    <w:p w14:paraId="41ED9D8C">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9.5.1.1潜在投标人或者其他利害关系人对招标文件有异议的，应当在投标截止时间10日前提出。招标人应当自收到异议之日起3日内作出答复；作出答复前，应当暂停招标投标活动。</w:t>
      </w:r>
    </w:p>
    <w:p w14:paraId="6B17564F">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9.5.1.2投标人对开标有异议的，应当在开标现场提出，招标人应当当场作出答复，并制作记录。</w:t>
      </w:r>
    </w:p>
    <w:p w14:paraId="440FA7ED">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54C4FF7B">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9.5.2投诉</w:t>
      </w:r>
    </w:p>
    <w:p w14:paraId="3E2999B4">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7761888A">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9.5.2.2就本章9.5.1条规定事项投诉的，应当先向招标人提出异议，异议答复期间不计算在前款规定的期限内。</w:t>
      </w:r>
    </w:p>
    <w:p w14:paraId="4C65343F">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9.5.2.3投诉人投诉时，应当提交投诉书。投诉书应当包括下列内容：</w:t>
      </w:r>
    </w:p>
    <w:p w14:paraId="6D646E07">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（一）投诉人的名称、地址及有效联系方式；</w:t>
      </w:r>
    </w:p>
    <w:p w14:paraId="07F3D7A6">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（二）被投诉人的名称、地址及有效联系方式；</w:t>
      </w:r>
    </w:p>
    <w:p w14:paraId="4D1F9311">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（三）投诉事项的基本事实；</w:t>
      </w:r>
    </w:p>
    <w:p w14:paraId="6DCDAEAD">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（四）相关请求及主张；</w:t>
      </w:r>
    </w:p>
    <w:p w14:paraId="4D5BD5A6">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（五）有效线索和相关证明材料。</w:t>
      </w:r>
    </w:p>
    <w:p w14:paraId="1CDE15D0">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3F03F5D6">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9.5.2.4投诉人不得以投诉为名排挤竞争对手，不得进行虚假、恶意投诉，阻碍招标投标活动的正常进行。</w:t>
      </w:r>
    </w:p>
    <w:p w14:paraId="7B031C33">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44900BBA">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9.5.2.6有下列情形之一的投诉，不予受理；</w:t>
      </w:r>
    </w:p>
    <w:p w14:paraId="7ADDDF02">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（一）投诉人不是所投诉招标投标活动的参与者，或者与投诉项目无任何利害关系；</w:t>
      </w:r>
    </w:p>
    <w:p w14:paraId="7439BC0B">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（二）投诉事项不具体，且未提供有效线索，难以查证的；</w:t>
      </w:r>
    </w:p>
    <w:p w14:paraId="0B6D5A11">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（三）投诉书未署具投诉人真实姓名、签字和有效联系方式的；以法人名义投诉的，投诉书未经法定代表人签字并加盖公章的；</w:t>
      </w:r>
    </w:p>
    <w:p w14:paraId="15BC0A1C">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（四）超过投诉时效的；</w:t>
      </w:r>
    </w:p>
    <w:p w14:paraId="6E37EED2">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（五）已经作出处理决定，并且投诉人没有提出新的证据；</w:t>
      </w:r>
    </w:p>
    <w:p w14:paraId="4D328FBC">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（六）投诉事项已进入行政复议或者行政诉讼程序的。</w:t>
      </w:r>
    </w:p>
    <w:p w14:paraId="7A4EB65C">
      <w:pPr>
        <w:spacing w:line="44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9.5.2.7未尽事宜，按国家现行有关法律法规、七部委11号令《工程建设项目招标投标活动投诉处理办法》和《云南省招标投标活动投诉处理办法》的规定执行。</w:t>
      </w:r>
    </w:p>
    <w:p w14:paraId="2E4BE0D3">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521" w:name="_Toc45896964"/>
      <w:bookmarkStart w:id="522" w:name="_Toc14689_WPSOffice_Level2"/>
      <w:bookmarkStart w:id="523" w:name="_Toc18880"/>
      <w:bookmarkStart w:id="524" w:name="_Toc45896668"/>
      <w:bookmarkStart w:id="525" w:name="_Toc12624_WPSOffice_Level2"/>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知识产权</w:t>
      </w:r>
      <w:bookmarkEnd w:id="521"/>
      <w:bookmarkEnd w:id="522"/>
      <w:bookmarkEnd w:id="523"/>
      <w:bookmarkEnd w:id="524"/>
      <w:bookmarkEnd w:id="525"/>
    </w:p>
    <w:p w14:paraId="366D810D">
      <w:pPr>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14:paraId="3FA3B2F8">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526" w:name="_Toc45896669"/>
      <w:bookmarkStart w:id="527" w:name="_Toc45896965"/>
      <w:bookmarkStart w:id="528" w:name="_Toc24978"/>
      <w:bookmarkStart w:id="529" w:name="_Toc5230_WPSOffice_Level2"/>
      <w:bookmarkStart w:id="530" w:name="_Toc25353_WPSOffice_Level2"/>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同义词语</w:t>
      </w:r>
      <w:bookmarkEnd w:id="526"/>
      <w:bookmarkEnd w:id="527"/>
      <w:bookmarkEnd w:id="528"/>
      <w:bookmarkEnd w:id="529"/>
      <w:bookmarkEnd w:id="530"/>
    </w:p>
    <w:p w14:paraId="5C7DF3D7">
      <w:pPr>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招标文件组成部分的“通用合同条款”、“专用合同条款”、“技术标准和要求”和“工程量清单”等章节中出现的措辞“发包人”和“承包人”，在招标投标阶段应当分别按“招标人”和“投标人”进行理解。</w:t>
      </w:r>
    </w:p>
    <w:p w14:paraId="281603F9">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531" w:name="_Toc3127_WPSOffice_Level2"/>
      <w:bookmarkStart w:id="532" w:name="_Toc45896966"/>
      <w:bookmarkStart w:id="533" w:name="_Toc125_WPSOffice_Level2"/>
      <w:bookmarkStart w:id="534" w:name="_Toc6749"/>
      <w:bookmarkStart w:id="535" w:name="_Toc45896670"/>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监  督</w:t>
      </w:r>
      <w:bookmarkEnd w:id="531"/>
      <w:bookmarkEnd w:id="532"/>
      <w:bookmarkEnd w:id="533"/>
      <w:bookmarkEnd w:id="534"/>
      <w:bookmarkEnd w:id="535"/>
    </w:p>
    <w:p w14:paraId="5CBF22A7">
      <w:pPr>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本项目的招标投标活动及其相关当事人应当接受有管辖权的建设工程招标投标行政监督部门依法实施的监督。</w:t>
      </w:r>
    </w:p>
    <w:p w14:paraId="141AF657">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536" w:name="_Toc15482_WPSOffice_Level2"/>
      <w:bookmarkStart w:id="537" w:name="_Toc893_WPSOffice_Level2"/>
      <w:bookmarkStart w:id="538" w:name="_Toc45896671"/>
      <w:bookmarkStart w:id="539" w:name="_Toc26474"/>
      <w:bookmarkStart w:id="540" w:name="_Toc45896967"/>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解释权</w:t>
      </w:r>
      <w:bookmarkEnd w:id="536"/>
      <w:bookmarkEnd w:id="537"/>
      <w:bookmarkEnd w:id="538"/>
      <w:bookmarkEnd w:id="539"/>
      <w:bookmarkEnd w:id="540"/>
    </w:p>
    <w:p w14:paraId="16D4BE8B">
      <w:pPr>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51C2B8D8">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541" w:name="_Toc45896672"/>
      <w:bookmarkStart w:id="542" w:name="_Toc29030"/>
      <w:bookmarkStart w:id="543" w:name="_Toc45896968"/>
      <w:bookmarkStart w:id="544" w:name="_Toc21879_WPSOffice_Level2"/>
      <w:bookmarkStart w:id="545" w:name="_Toc1770_WPSOffice_Level2"/>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确定中标人</w:t>
      </w:r>
      <w:bookmarkEnd w:id="541"/>
      <w:bookmarkEnd w:id="542"/>
      <w:bookmarkEnd w:id="543"/>
      <w:bookmarkEnd w:id="544"/>
      <w:bookmarkEnd w:id="545"/>
    </w:p>
    <w:p w14:paraId="29F8D3DD">
      <w:pPr>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招标人（或招标人授权的评标委员会）按照评标委员会推荐中标候选人的顺序确定中标人。</w:t>
      </w:r>
    </w:p>
    <w:p w14:paraId="2A5E342E">
      <w:pPr>
        <w:pStyle w:val="4"/>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宋体" w:hAnsi="宋体" w:eastAsia="宋体" w:cs="宋体"/>
          <w:color w:val="auto"/>
          <w:sz w:val="21"/>
          <w:szCs w:val="21"/>
          <w:highlight w:val="none"/>
        </w:rPr>
      </w:pPr>
      <w:bookmarkStart w:id="546" w:name="_Toc14777"/>
      <w:bookmarkStart w:id="547" w:name="_Toc14867_WPSOffice_Level2"/>
      <w:bookmarkStart w:id="548" w:name="_Toc32020_WPSOffice_Level2"/>
      <w:bookmarkStart w:id="549" w:name="_Toc45896673"/>
      <w:bookmarkStart w:id="550" w:name="_Toc45896969"/>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需要补充的其他内容</w:t>
      </w:r>
      <w:bookmarkEnd w:id="546"/>
      <w:bookmarkEnd w:id="547"/>
      <w:bookmarkEnd w:id="548"/>
      <w:bookmarkEnd w:id="549"/>
      <w:bookmarkEnd w:id="550"/>
      <w:bookmarkStart w:id="551" w:name="_Toc45896970"/>
      <w:bookmarkStart w:id="552" w:name="_Toc152042358"/>
      <w:bookmarkStart w:id="553" w:name="_Toc152045581"/>
      <w:bookmarkStart w:id="554" w:name="_Toc247514005"/>
      <w:bookmarkStart w:id="555" w:name="_Toc300835002"/>
      <w:bookmarkStart w:id="556" w:name="_Toc247527606"/>
      <w:bookmarkStart w:id="557" w:name="_Toc45896674"/>
      <w:bookmarkStart w:id="558" w:name="_Toc16602"/>
      <w:bookmarkStart w:id="559" w:name="_Toc144974548"/>
      <w:bookmarkStart w:id="560" w:name="_Toc521453596"/>
      <w:bookmarkStart w:id="561" w:name="_Toc23740"/>
      <w:bookmarkStart w:id="562" w:name="_Toc247514006"/>
      <w:bookmarkStart w:id="563" w:name="_Toc152045582"/>
      <w:bookmarkStart w:id="564" w:name="_Toc152042359"/>
      <w:bookmarkStart w:id="565" w:name="_Toc144974549"/>
      <w:bookmarkStart w:id="566" w:name="_Toc247527607"/>
    </w:p>
    <w:p w14:paraId="48BB791F">
      <w:pPr>
        <w:rPr>
          <w:rFonts w:hint="eastAsia"/>
          <w:color w:val="auto"/>
          <w:highlight w:val="none"/>
        </w:rPr>
      </w:pPr>
      <w:r>
        <w:rPr>
          <w:rFonts w:hint="eastAsia"/>
          <w:color w:val="auto"/>
          <w:highlight w:val="none"/>
        </w:rPr>
        <w:br w:type="page"/>
      </w:r>
    </w:p>
    <w:p w14:paraId="601BEC03">
      <w:pPr>
        <w:pStyle w:val="5"/>
        <w:ind w:firstLine="0" w:firstLineChars="0"/>
        <w:rPr>
          <w:color w:val="auto"/>
          <w:highlight w:val="none"/>
        </w:rPr>
      </w:pPr>
      <w:r>
        <w:rPr>
          <w:rFonts w:hint="eastAsia"/>
          <w:color w:val="auto"/>
          <w:highlight w:val="none"/>
        </w:rPr>
        <w:t>附件一：开标记录表</w:t>
      </w:r>
      <w:bookmarkEnd w:id="551"/>
      <w:bookmarkEnd w:id="552"/>
      <w:bookmarkEnd w:id="553"/>
      <w:bookmarkEnd w:id="554"/>
      <w:bookmarkEnd w:id="555"/>
      <w:bookmarkEnd w:id="556"/>
      <w:bookmarkEnd w:id="557"/>
      <w:bookmarkEnd w:id="558"/>
      <w:bookmarkEnd w:id="559"/>
    </w:p>
    <w:p w14:paraId="28927619">
      <w:pPr>
        <w:spacing w:line="400" w:lineRule="exact"/>
        <w:jc w:val="center"/>
        <w:rPr>
          <w:rFonts w:ascii="黑体" w:eastAsia="黑体" w:cs="Times New Roman"/>
          <w:color w:val="auto"/>
          <w:sz w:val="28"/>
          <w:szCs w:val="28"/>
          <w:highlight w:val="none"/>
        </w:rPr>
      </w:pPr>
      <w:r>
        <w:rPr>
          <w:rFonts w:hint="eastAsia" w:ascii="黑体" w:eastAsia="黑体" w:cs="黑体"/>
          <w:color w:val="auto"/>
          <w:sz w:val="28"/>
          <w:szCs w:val="28"/>
          <w:highlight w:val="none"/>
        </w:rPr>
        <w:t>（项目名称）招标开标记录表</w:t>
      </w:r>
    </w:p>
    <w:p w14:paraId="17B03305">
      <w:pPr>
        <w:spacing w:line="400" w:lineRule="exact"/>
        <w:rPr>
          <w:rFonts w:cs="Times New Roman"/>
          <w:color w:val="auto"/>
          <w:highlight w:val="none"/>
        </w:rPr>
      </w:pPr>
    </w:p>
    <w:p w14:paraId="1FB3C00A">
      <w:pPr>
        <w:spacing w:line="400" w:lineRule="exact"/>
        <w:ind w:right="420"/>
        <w:rPr>
          <w:rFonts w:cs="Times New Roman"/>
          <w:color w:val="auto"/>
          <w:highlight w:val="none"/>
        </w:rPr>
      </w:pPr>
      <w:r>
        <w:rPr>
          <w:rFonts w:hint="eastAsia" w:ascii="宋体" w:hAnsi="宋体" w:cs="宋体"/>
          <w:color w:val="auto"/>
          <w:kern w:val="0"/>
          <w:highlight w:val="none"/>
        </w:rPr>
        <w:t>开标时间：</w:t>
      </w:r>
      <w:r>
        <w:rPr>
          <w:rFonts w:ascii="宋体" w:hAnsi="宋体" w:cs="宋体"/>
          <w:color w:val="auto"/>
          <w:kern w:val="0"/>
          <w:highlight w:val="none"/>
        </w:rPr>
        <w:t>____</w:t>
      </w:r>
      <w:r>
        <w:rPr>
          <w:rFonts w:hint="eastAsia" w:ascii="宋体" w:hAnsi="宋体" w:cs="宋体"/>
          <w:color w:val="auto"/>
          <w:kern w:val="0"/>
          <w:highlight w:val="none"/>
        </w:rPr>
        <w:t>年</w:t>
      </w:r>
      <w:r>
        <w:rPr>
          <w:rFonts w:ascii="宋体" w:hAnsi="宋体" w:cs="宋体"/>
          <w:color w:val="auto"/>
          <w:kern w:val="0"/>
          <w:highlight w:val="none"/>
        </w:rPr>
        <w:t>____</w:t>
      </w:r>
      <w:r>
        <w:rPr>
          <w:rFonts w:hint="eastAsia" w:ascii="宋体" w:hAnsi="宋体" w:cs="宋体"/>
          <w:color w:val="auto"/>
          <w:kern w:val="0"/>
          <w:highlight w:val="none"/>
        </w:rPr>
        <w:t>月</w:t>
      </w:r>
      <w:r>
        <w:rPr>
          <w:rFonts w:ascii="宋体" w:hAnsi="宋体" w:cs="宋体"/>
          <w:color w:val="auto"/>
          <w:kern w:val="0"/>
          <w:highlight w:val="none"/>
        </w:rPr>
        <w:t>____</w:t>
      </w:r>
      <w:r>
        <w:rPr>
          <w:rFonts w:hint="eastAsia" w:ascii="宋体" w:hAnsi="宋体" w:cs="宋体"/>
          <w:color w:val="auto"/>
          <w:kern w:val="0"/>
          <w:highlight w:val="none"/>
        </w:rPr>
        <w:t>日</w:t>
      </w:r>
      <w:r>
        <w:rPr>
          <w:rFonts w:ascii="宋体" w:hAnsi="宋体" w:cs="宋体"/>
          <w:color w:val="auto"/>
          <w:kern w:val="0"/>
          <w:highlight w:val="none"/>
        </w:rPr>
        <w:t>____</w:t>
      </w:r>
      <w:r>
        <w:rPr>
          <w:rFonts w:hint="eastAsia" w:ascii="宋体" w:hAnsi="宋体" w:cs="宋体"/>
          <w:color w:val="auto"/>
          <w:kern w:val="0"/>
          <w:highlight w:val="none"/>
        </w:rPr>
        <w:t>时</w:t>
      </w:r>
      <w:r>
        <w:rPr>
          <w:rFonts w:ascii="宋体" w:hAnsi="宋体" w:cs="宋体"/>
          <w:color w:val="auto"/>
          <w:kern w:val="0"/>
          <w:highlight w:val="none"/>
        </w:rPr>
        <w:t>____</w:t>
      </w:r>
      <w:r>
        <w:rPr>
          <w:rFonts w:hint="eastAsia" w:ascii="宋体" w:hAnsi="宋体" w:cs="宋体"/>
          <w:color w:val="auto"/>
          <w:kern w:val="0"/>
          <w:highlight w:val="none"/>
        </w:rPr>
        <w:t>分</w:t>
      </w:r>
      <w:r>
        <w:rPr>
          <w:rFonts w:ascii="宋体" w:hAnsi="宋体" w:cs="宋体"/>
          <w:color w:val="auto"/>
          <w:kern w:val="0"/>
          <w:highlight w:val="none"/>
        </w:rPr>
        <w:t xml:space="preserve">                    </w:t>
      </w:r>
      <w:r>
        <w:rPr>
          <w:rFonts w:hint="eastAsia" w:ascii="宋体" w:hAnsi="宋体" w:cs="宋体"/>
          <w:color w:val="auto"/>
          <w:kern w:val="0"/>
          <w:highlight w:val="none"/>
        </w:rPr>
        <w:t>开标地点：</w:t>
      </w:r>
      <w:r>
        <w:rPr>
          <w:rFonts w:ascii="宋体" w:hAnsi="宋体" w:cs="宋体"/>
          <w:color w:val="auto"/>
          <w:kern w:val="0"/>
          <w:highlight w:val="none"/>
        </w:rPr>
        <w:t xml:space="preserve">     </w:t>
      </w:r>
    </w:p>
    <w:tbl>
      <w:tblPr>
        <w:tblStyle w:val="88"/>
        <w:tblW w:w="9638" w:type="dxa"/>
        <w:tblInd w:w="108" w:type="dxa"/>
        <w:tblLayout w:type="fixed"/>
        <w:tblCellMar>
          <w:top w:w="0" w:type="dxa"/>
          <w:left w:w="108" w:type="dxa"/>
          <w:bottom w:w="0" w:type="dxa"/>
          <w:right w:w="108" w:type="dxa"/>
        </w:tblCellMar>
      </w:tblPr>
      <w:tblGrid>
        <w:gridCol w:w="420"/>
        <w:gridCol w:w="651"/>
        <w:gridCol w:w="687"/>
        <w:gridCol w:w="669"/>
        <w:gridCol w:w="828"/>
        <w:gridCol w:w="924"/>
        <w:gridCol w:w="625"/>
        <w:gridCol w:w="590"/>
        <w:gridCol w:w="678"/>
        <w:gridCol w:w="753"/>
        <w:gridCol w:w="578"/>
        <w:gridCol w:w="850"/>
        <w:gridCol w:w="469"/>
        <w:gridCol w:w="507"/>
        <w:gridCol w:w="409"/>
      </w:tblGrid>
      <w:tr w14:paraId="5483B54F">
        <w:tblPrEx>
          <w:tblCellMar>
            <w:top w:w="0" w:type="dxa"/>
            <w:left w:w="108" w:type="dxa"/>
            <w:bottom w:w="0" w:type="dxa"/>
            <w:right w:w="108" w:type="dxa"/>
          </w:tblCellMar>
        </w:tblPrEx>
        <w:trPr>
          <w:trHeight w:val="241" w:hRule="atLeast"/>
        </w:trPr>
        <w:tc>
          <w:tcPr>
            <w:tcW w:w="432" w:type="dxa"/>
            <w:vMerge w:val="restart"/>
            <w:tcBorders>
              <w:top w:val="single" w:color="auto" w:sz="4" w:space="0"/>
              <w:left w:val="single" w:color="auto" w:sz="4" w:space="0"/>
              <w:right w:val="single" w:color="auto" w:sz="4" w:space="0"/>
            </w:tcBorders>
            <w:vAlign w:val="center"/>
          </w:tcPr>
          <w:p w14:paraId="609D56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序号</w:t>
            </w:r>
          </w:p>
        </w:tc>
        <w:tc>
          <w:tcPr>
            <w:tcW w:w="677" w:type="dxa"/>
            <w:vMerge w:val="restart"/>
            <w:tcBorders>
              <w:top w:val="single" w:color="auto" w:sz="4" w:space="0"/>
              <w:left w:val="single" w:color="auto" w:sz="4" w:space="0"/>
              <w:right w:val="single" w:color="auto" w:sz="4" w:space="0"/>
            </w:tcBorders>
            <w:vAlign w:val="center"/>
          </w:tcPr>
          <w:p w14:paraId="79D25A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投标人</w:t>
            </w:r>
          </w:p>
        </w:tc>
        <w:tc>
          <w:tcPr>
            <w:tcW w:w="716" w:type="dxa"/>
            <w:vMerge w:val="restart"/>
            <w:tcBorders>
              <w:top w:val="single" w:color="auto" w:sz="4" w:space="0"/>
              <w:left w:val="single" w:color="auto" w:sz="4" w:space="0"/>
              <w:right w:val="single" w:color="auto" w:sz="4" w:space="0"/>
            </w:tcBorders>
            <w:vAlign w:val="center"/>
          </w:tcPr>
          <w:p w14:paraId="1F4CF9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投标保证金</w:t>
            </w:r>
          </w:p>
        </w:tc>
        <w:tc>
          <w:tcPr>
            <w:tcW w:w="2529" w:type="dxa"/>
            <w:gridSpan w:val="3"/>
            <w:tcBorders>
              <w:top w:val="single" w:color="auto" w:sz="4" w:space="0"/>
              <w:left w:val="single" w:color="auto" w:sz="4" w:space="0"/>
              <w:bottom w:val="single" w:color="auto" w:sz="4" w:space="0"/>
              <w:right w:val="single" w:color="auto" w:sz="4" w:space="0"/>
            </w:tcBorders>
            <w:vAlign w:val="center"/>
          </w:tcPr>
          <w:p w14:paraId="667433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投标报价</w:t>
            </w:r>
          </w:p>
        </w:tc>
        <w:tc>
          <w:tcPr>
            <w:tcW w:w="650" w:type="dxa"/>
            <w:vMerge w:val="restart"/>
            <w:tcBorders>
              <w:top w:val="single" w:color="auto" w:sz="4" w:space="0"/>
              <w:left w:val="single" w:color="auto" w:sz="4" w:space="0"/>
              <w:right w:val="single" w:color="auto" w:sz="4" w:space="0"/>
            </w:tcBorders>
            <w:vAlign w:val="center"/>
          </w:tcPr>
          <w:p w14:paraId="36E154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设计质量标准</w:t>
            </w:r>
          </w:p>
        </w:tc>
        <w:tc>
          <w:tcPr>
            <w:tcW w:w="613" w:type="dxa"/>
            <w:vMerge w:val="restart"/>
            <w:tcBorders>
              <w:top w:val="single" w:color="auto" w:sz="4" w:space="0"/>
              <w:left w:val="single" w:color="auto" w:sz="4" w:space="0"/>
              <w:right w:val="single" w:color="auto" w:sz="4" w:space="0"/>
            </w:tcBorders>
            <w:vAlign w:val="center"/>
          </w:tcPr>
          <w:p w14:paraId="2286CB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施工质量标准</w:t>
            </w:r>
          </w:p>
        </w:tc>
        <w:tc>
          <w:tcPr>
            <w:tcW w:w="706" w:type="dxa"/>
            <w:vMerge w:val="restart"/>
            <w:tcBorders>
              <w:top w:val="single" w:color="auto" w:sz="4" w:space="0"/>
              <w:left w:val="single" w:color="auto" w:sz="4" w:space="0"/>
              <w:right w:val="single" w:color="auto" w:sz="4" w:space="0"/>
            </w:tcBorders>
          </w:tcPr>
          <w:p w14:paraId="1260CB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总承包质量标准</w:t>
            </w:r>
          </w:p>
        </w:tc>
        <w:tc>
          <w:tcPr>
            <w:tcW w:w="786" w:type="dxa"/>
            <w:vMerge w:val="restart"/>
            <w:tcBorders>
              <w:top w:val="single" w:color="auto" w:sz="4" w:space="0"/>
              <w:left w:val="single" w:color="auto" w:sz="4" w:space="0"/>
              <w:right w:val="single" w:color="auto" w:sz="4" w:space="0"/>
            </w:tcBorders>
            <w:vAlign w:val="center"/>
          </w:tcPr>
          <w:p w14:paraId="312889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项目总负责人及证书编号</w:t>
            </w:r>
          </w:p>
        </w:tc>
        <w:tc>
          <w:tcPr>
            <w:tcW w:w="600" w:type="dxa"/>
            <w:vMerge w:val="restart"/>
            <w:tcBorders>
              <w:top w:val="single" w:color="auto" w:sz="4" w:space="0"/>
              <w:left w:val="single" w:color="auto" w:sz="4" w:space="0"/>
              <w:right w:val="single" w:color="auto" w:sz="4" w:space="0"/>
            </w:tcBorders>
            <w:vAlign w:val="center"/>
          </w:tcPr>
          <w:p w14:paraId="593FE8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设计负责人</w:t>
            </w:r>
          </w:p>
        </w:tc>
        <w:tc>
          <w:tcPr>
            <w:tcW w:w="889" w:type="dxa"/>
            <w:vMerge w:val="restart"/>
            <w:tcBorders>
              <w:top w:val="single" w:color="auto" w:sz="4" w:space="0"/>
              <w:left w:val="single" w:color="auto" w:sz="4" w:space="0"/>
              <w:right w:val="single" w:color="auto" w:sz="4" w:space="0"/>
            </w:tcBorders>
            <w:vAlign w:val="center"/>
          </w:tcPr>
          <w:p w14:paraId="3AD8EF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施工负责人（项目经理）</w:t>
            </w:r>
          </w:p>
        </w:tc>
        <w:tc>
          <w:tcPr>
            <w:tcW w:w="484" w:type="dxa"/>
            <w:vMerge w:val="restart"/>
            <w:tcBorders>
              <w:top w:val="single" w:color="auto" w:sz="4" w:space="0"/>
              <w:left w:val="single" w:color="auto" w:sz="4" w:space="0"/>
              <w:right w:val="single" w:color="auto" w:sz="4" w:space="0"/>
            </w:tcBorders>
            <w:vAlign w:val="center"/>
          </w:tcPr>
          <w:p w14:paraId="61D231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工期</w:t>
            </w:r>
          </w:p>
        </w:tc>
        <w:tc>
          <w:tcPr>
            <w:tcW w:w="525" w:type="dxa"/>
            <w:vMerge w:val="restart"/>
            <w:tcBorders>
              <w:top w:val="single" w:color="auto" w:sz="4" w:space="0"/>
              <w:left w:val="single" w:color="auto" w:sz="4" w:space="0"/>
              <w:right w:val="single" w:color="auto" w:sz="4" w:space="0"/>
            </w:tcBorders>
            <w:vAlign w:val="center"/>
          </w:tcPr>
          <w:p w14:paraId="138A8F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备注</w:t>
            </w:r>
          </w:p>
        </w:tc>
        <w:tc>
          <w:tcPr>
            <w:tcW w:w="419" w:type="dxa"/>
            <w:vMerge w:val="restart"/>
            <w:tcBorders>
              <w:top w:val="single" w:color="auto" w:sz="4" w:space="0"/>
              <w:left w:val="single" w:color="auto" w:sz="4" w:space="0"/>
              <w:right w:val="single" w:color="auto" w:sz="4" w:space="0"/>
            </w:tcBorders>
            <w:vAlign w:val="center"/>
          </w:tcPr>
          <w:p w14:paraId="745254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18"/>
                <w:szCs w:val="18"/>
                <w:highlight w:val="none"/>
              </w:rPr>
            </w:pPr>
            <w:r>
              <w:rPr>
                <w:rFonts w:hint="eastAsia" w:cs="宋体"/>
                <w:color w:val="auto"/>
                <w:sz w:val="18"/>
                <w:szCs w:val="18"/>
                <w:highlight w:val="none"/>
              </w:rPr>
              <w:t>签名</w:t>
            </w:r>
          </w:p>
        </w:tc>
      </w:tr>
      <w:tr w14:paraId="021E252F">
        <w:tblPrEx>
          <w:tblCellMar>
            <w:top w:w="0" w:type="dxa"/>
            <w:left w:w="108" w:type="dxa"/>
            <w:bottom w:w="0" w:type="dxa"/>
            <w:right w:w="108" w:type="dxa"/>
          </w:tblCellMar>
        </w:tblPrEx>
        <w:trPr>
          <w:trHeight w:val="241" w:hRule="atLeast"/>
        </w:trPr>
        <w:tc>
          <w:tcPr>
            <w:tcW w:w="432" w:type="dxa"/>
            <w:vMerge w:val="continue"/>
            <w:tcBorders>
              <w:left w:val="single" w:color="auto" w:sz="4" w:space="0"/>
              <w:bottom w:val="single" w:color="auto" w:sz="4" w:space="0"/>
              <w:right w:val="single" w:color="auto" w:sz="4" w:space="0"/>
            </w:tcBorders>
            <w:vAlign w:val="center"/>
          </w:tcPr>
          <w:p w14:paraId="6028A321">
            <w:pPr>
              <w:spacing w:line="500" w:lineRule="exact"/>
              <w:jc w:val="center"/>
              <w:rPr>
                <w:rFonts w:cs="Times New Roman"/>
                <w:color w:val="auto"/>
                <w:sz w:val="18"/>
                <w:szCs w:val="18"/>
                <w:highlight w:val="none"/>
              </w:rPr>
            </w:pPr>
          </w:p>
        </w:tc>
        <w:tc>
          <w:tcPr>
            <w:tcW w:w="677" w:type="dxa"/>
            <w:vMerge w:val="continue"/>
            <w:tcBorders>
              <w:left w:val="single" w:color="auto" w:sz="4" w:space="0"/>
              <w:bottom w:val="single" w:color="auto" w:sz="4" w:space="0"/>
              <w:right w:val="single" w:color="auto" w:sz="4" w:space="0"/>
            </w:tcBorders>
            <w:vAlign w:val="center"/>
          </w:tcPr>
          <w:p w14:paraId="7DB6715F">
            <w:pPr>
              <w:spacing w:line="500" w:lineRule="exact"/>
              <w:jc w:val="center"/>
              <w:rPr>
                <w:rFonts w:cs="Times New Roman"/>
                <w:color w:val="auto"/>
                <w:sz w:val="18"/>
                <w:szCs w:val="18"/>
                <w:highlight w:val="none"/>
              </w:rPr>
            </w:pPr>
          </w:p>
        </w:tc>
        <w:tc>
          <w:tcPr>
            <w:tcW w:w="716" w:type="dxa"/>
            <w:vMerge w:val="continue"/>
            <w:tcBorders>
              <w:left w:val="single" w:color="auto" w:sz="4" w:space="0"/>
              <w:bottom w:val="single" w:color="auto" w:sz="4" w:space="0"/>
              <w:right w:val="single" w:color="auto" w:sz="4" w:space="0"/>
            </w:tcBorders>
            <w:vAlign w:val="center"/>
          </w:tcPr>
          <w:p w14:paraId="2B89F56B">
            <w:pPr>
              <w:spacing w:line="400" w:lineRule="exact"/>
              <w:jc w:val="center"/>
              <w:rPr>
                <w:rFonts w:cs="Times New Roman"/>
                <w:color w:val="auto"/>
                <w:sz w:val="18"/>
                <w:szCs w:val="18"/>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7E7B7D0F">
            <w:pPr>
              <w:spacing w:line="4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投资收益率（</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lang w:eastAsia="zh-CN"/>
              </w:rPr>
              <w:t>）</w:t>
            </w:r>
          </w:p>
        </w:tc>
        <w:tc>
          <w:tcPr>
            <w:tcW w:w="865" w:type="dxa"/>
            <w:tcBorders>
              <w:top w:val="single" w:color="auto" w:sz="4" w:space="0"/>
              <w:left w:val="single" w:color="auto" w:sz="4" w:space="0"/>
              <w:bottom w:val="single" w:color="auto" w:sz="4" w:space="0"/>
              <w:right w:val="single" w:color="auto" w:sz="4" w:space="0"/>
            </w:tcBorders>
            <w:vAlign w:val="center"/>
          </w:tcPr>
          <w:p w14:paraId="2EE5D523">
            <w:pPr>
              <w:spacing w:line="4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工程设计费</w:t>
            </w:r>
            <w:r>
              <w:rPr>
                <w:rFonts w:hint="eastAsia" w:ascii="宋体" w:hAnsi="宋体" w:eastAsia="宋体" w:cs="宋体"/>
                <w:color w:val="auto"/>
                <w:sz w:val="18"/>
                <w:szCs w:val="18"/>
                <w:highlight w:val="none"/>
                <w:lang w:eastAsia="zh-CN"/>
              </w:rPr>
              <w:t>费率</w:t>
            </w:r>
            <w:r>
              <w:rPr>
                <w:rFonts w:hint="eastAsia" w:ascii="宋体" w:hAnsi="宋体" w:eastAsia="宋体" w:cs="宋体"/>
                <w:color w:val="auto"/>
                <w:sz w:val="18"/>
                <w:szCs w:val="18"/>
                <w:highlight w:val="none"/>
              </w:rPr>
              <w:t>（%）</w:t>
            </w:r>
          </w:p>
        </w:tc>
        <w:tc>
          <w:tcPr>
            <w:tcW w:w="967" w:type="dxa"/>
            <w:tcBorders>
              <w:top w:val="single" w:color="auto" w:sz="4" w:space="0"/>
              <w:left w:val="single" w:color="auto" w:sz="4" w:space="0"/>
              <w:bottom w:val="single" w:color="auto" w:sz="4" w:space="0"/>
              <w:right w:val="single" w:color="auto" w:sz="4" w:space="0"/>
            </w:tcBorders>
            <w:vAlign w:val="center"/>
          </w:tcPr>
          <w:p w14:paraId="20B894BD">
            <w:pPr>
              <w:spacing w:line="4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建安工程施工费</w:t>
            </w:r>
            <w:r>
              <w:rPr>
                <w:rFonts w:hint="eastAsia" w:ascii="宋体" w:hAnsi="宋体" w:eastAsia="宋体" w:cs="宋体"/>
                <w:color w:val="auto"/>
                <w:sz w:val="18"/>
                <w:szCs w:val="18"/>
                <w:highlight w:val="none"/>
              </w:rPr>
              <w:t>下浮率（%）</w:t>
            </w:r>
          </w:p>
        </w:tc>
        <w:tc>
          <w:tcPr>
            <w:tcW w:w="650" w:type="dxa"/>
            <w:vMerge w:val="continue"/>
            <w:tcBorders>
              <w:left w:val="single" w:color="auto" w:sz="4" w:space="0"/>
              <w:bottom w:val="single" w:color="auto" w:sz="4" w:space="0"/>
              <w:right w:val="single" w:color="auto" w:sz="4" w:space="0"/>
            </w:tcBorders>
            <w:vAlign w:val="center"/>
          </w:tcPr>
          <w:p w14:paraId="759DE86F">
            <w:pPr>
              <w:spacing w:line="400" w:lineRule="exact"/>
              <w:jc w:val="center"/>
              <w:rPr>
                <w:rFonts w:hint="eastAsia" w:ascii="宋体" w:hAnsi="宋体" w:eastAsia="宋体" w:cs="宋体"/>
                <w:color w:val="auto"/>
                <w:sz w:val="18"/>
                <w:szCs w:val="18"/>
                <w:highlight w:val="none"/>
              </w:rPr>
            </w:pPr>
          </w:p>
        </w:tc>
        <w:tc>
          <w:tcPr>
            <w:tcW w:w="613" w:type="dxa"/>
            <w:vMerge w:val="continue"/>
            <w:tcBorders>
              <w:left w:val="single" w:color="auto" w:sz="4" w:space="0"/>
              <w:bottom w:val="single" w:color="auto" w:sz="4" w:space="0"/>
              <w:right w:val="single" w:color="auto" w:sz="4" w:space="0"/>
            </w:tcBorders>
          </w:tcPr>
          <w:p w14:paraId="6FFEF98F">
            <w:pPr>
              <w:spacing w:line="400" w:lineRule="exact"/>
              <w:jc w:val="center"/>
              <w:rPr>
                <w:rFonts w:cs="Times New Roman"/>
                <w:color w:val="auto"/>
                <w:sz w:val="18"/>
                <w:szCs w:val="18"/>
                <w:highlight w:val="none"/>
              </w:rPr>
            </w:pPr>
          </w:p>
        </w:tc>
        <w:tc>
          <w:tcPr>
            <w:tcW w:w="706" w:type="dxa"/>
            <w:vMerge w:val="continue"/>
            <w:tcBorders>
              <w:left w:val="single" w:color="auto" w:sz="4" w:space="0"/>
              <w:bottom w:val="single" w:color="auto" w:sz="4" w:space="0"/>
              <w:right w:val="single" w:color="auto" w:sz="4" w:space="0"/>
            </w:tcBorders>
            <w:vAlign w:val="center"/>
          </w:tcPr>
          <w:p w14:paraId="235C1E40">
            <w:pPr>
              <w:spacing w:line="400" w:lineRule="exact"/>
              <w:jc w:val="center"/>
              <w:rPr>
                <w:rFonts w:cs="Times New Roman"/>
                <w:color w:val="auto"/>
                <w:sz w:val="18"/>
                <w:szCs w:val="18"/>
                <w:highlight w:val="none"/>
              </w:rPr>
            </w:pPr>
          </w:p>
        </w:tc>
        <w:tc>
          <w:tcPr>
            <w:tcW w:w="786" w:type="dxa"/>
            <w:vMerge w:val="continue"/>
            <w:tcBorders>
              <w:left w:val="single" w:color="auto" w:sz="4" w:space="0"/>
              <w:bottom w:val="single" w:color="auto" w:sz="4" w:space="0"/>
              <w:right w:val="single" w:color="auto" w:sz="4" w:space="0"/>
            </w:tcBorders>
            <w:vAlign w:val="center"/>
          </w:tcPr>
          <w:p w14:paraId="6FB555E8">
            <w:pPr>
              <w:spacing w:line="500" w:lineRule="exact"/>
              <w:jc w:val="center"/>
              <w:rPr>
                <w:rFonts w:cs="Times New Roman"/>
                <w:color w:val="auto"/>
                <w:sz w:val="18"/>
                <w:szCs w:val="18"/>
                <w:highlight w:val="none"/>
              </w:rPr>
            </w:pPr>
          </w:p>
        </w:tc>
        <w:tc>
          <w:tcPr>
            <w:tcW w:w="600" w:type="dxa"/>
            <w:vMerge w:val="continue"/>
            <w:tcBorders>
              <w:left w:val="single" w:color="auto" w:sz="4" w:space="0"/>
              <w:bottom w:val="single" w:color="auto" w:sz="4" w:space="0"/>
              <w:right w:val="single" w:color="auto" w:sz="4" w:space="0"/>
            </w:tcBorders>
            <w:vAlign w:val="center"/>
          </w:tcPr>
          <w:p w14:paraId="7FABA443">
            <w:pPr>
              <w:spacing w:line="500" w:lineRule="exact"/>
              <w:jc w:val="center"/>
              <w:rPr>
                <w:rFonts w:cs="Times New Roman"/>
                <w:color w:val="auto"/>
                <w:sz w:val="18"/>
                <w:szCs w:val="18"/>
                <w:highlight w:val="none"/>
              </w:rPr>
            </w:pPr>
          </w:p>
        </w:tc>
        <w:tc>
          <w:tcPr>
            <w:tcW w:w="889" w:type="dxa"/>
            <w:vMerge w:val="continue"/>
            <w:tcBorders>
              <w:left w:val="single" w:color="auto" w:sz="4" w:space="0"/>
              <w:bottom w:val="single" w:color="auto" w:sz="4" w:space="0"/>
              <w:right w:val="single" w:color="auto" w:sz="4" w:space="0"/>
            </w:tcBorders>
            <w:vAlign w:val="center"/>
          </w:tcPr>
          <w:p w14:paraId="0ACD07F8">
            <w:pPr>
              <w:spacing w:line="500" w:lineRule="exact"/>
              <w:jc w:val="center"/>
              <w:rPr>
                <w:rFonts w:cs="Times New Roman"/>
                <w:color w:val="auto"/>
                <w:sz w:val="18"/>
                <w:szCs w:val="18"/>
                <w:highlight w:val="none"/>
              </w:rPr>
            </w:pPr>
          </w:p>
        </w:tc>
        <w:tc>
          <w:tcPr>
            <w:tcW w:w="484" w:type="dxa"/>
            <w:vMerge w:val="continue"/>
            <w:tcBorders>
              <w:left w:val="single" w:color="auto" w:sz="4" w:space="0"/>
              <w:bottom w:val="single" w:color="auto" w:sz="4" w:space="0"/>
              <w:right w:val="single" w:color="auto" w:sz="4" w:space="0"/>
            </w:tcBorders>
            <w:vAlign w:val="center"/>
          </w:tcPr>
          <w:p w14:paraId="7A92D64D">
            <w:pPr>
              <w:spacing w:line="500" w:lineRule="exact"/>
              <w:jc w:val="center"/>
              <w:rPr>
                <w:rFonts w:cs="Times New Roman"/>
                <w:color w:val="auto"/>
                <w:sz w:val="18"/>
                <w:szCs w:val="18"/>
                <w:highlight w:val="none"/>
              </w:rPr>
            </w:pPr>
          </w:p>
        </w:tc>
        <w:tc>
          <w:tcPr>
            <w:tcW w:w="525" w:type="dxa"/>
            <w:vMerge w:val="continue"/>
            <w:tcBorders>
              <w:left w:val="single" w:color="auto" w:sz="4" w:space="0"/>
              <w:bottom w:val="single" w:color="auto" w:sz="4" w:space="0"/>
              <w:right w:val="single" w:color="auto" w:sz="4" w:space="0"/>
            </w:tcBorders>
            <w:vAlign w:val="center"/>
          </w:tcPr>
          <w:p w14:paraId="00BC5815">
            <w:pPr>
              <w:spacing w:line="500" w:lineRule="exact"/>
              <w:jc w:val="center"/>
              <w:rPr>
                <w:rFonts w:cs="Times New Roman"/>
                <w:color w:val="auto"/>
                <w:sz w:val="18"/>
                <w:szCs w:val="18"/>
                <w:highlight w:val="none"/>
              </w:rPr>
            </w:pPr>
          </w:p>
        </w:tc>
        <w:tc>
          <w:tcPr>
            <w:tcW w:w="419" w:type="dxa"/>
            <w:vMerge w:val="continue"/>
            <w:tcBorders>
              <w:left w:val="single" w:color="auto" w:sz="4" w:space="0"/>
              <w:bottom w:val="single" w:color="auto" w:sz="4" w:space="0"/>
              <w:right w:val="single" w:color="auto" w:sz="4" w:space="0"/>
            </w:tcBorders>
            <w:vAlign w:val="center"/>
          </w:tcPr>
          <w:p w14:paraId="1219A44D">
            <w:pPr>
              <w:spacing w:line="500" w:lineRule="exact"/>
              <w:jc w:val="center"/>
              <w:rPr>
                <w:rFonts w:cs="Times New Roman"/>
                <w:color w:val="auto"/>
                <w:sz w:val="18"/>
                <w:szCs w:val="18"/>
                <w:highlight w:val="none"/>
              </w:rPr>
            </w:pPr>
          </w:p>
        </w:tc>
      </w:tr>
      <w:tr w14:paraId="2FDCB124">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10985615">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1C15174A">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5E6A5F72">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28DED246">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77A55016">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46651EFD">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7207705B">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23EE3046">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20D68768">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003B90A8">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768EFA59">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684B683B">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7B6FC57C">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6C63E94D">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475CE71B">
            <w:pPr>
              <w:spacing w:line="500" w:lineRule="exact"/>
              <w:jc w:val="left"/>
              <w:rPr>
                <w:rFonts w:cs="Times New Roman"/>
                <w:b/>
                <w:bCs/>
                <w:color w:val="auto"/>
                <w:highlight w:val="none"/>
              </w:rPr>
            </w:pPr>
          </w:p>
        </w:tc>
      </w:tr>
      <w:tr w14:paraId="210BB256">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34CA11C2">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1D8D6974">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6D2AC619">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656A844E">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5260434E">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797AEB42">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6C4C5336">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6D447A06">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68DBD175">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20CE1B65">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3F2E2E21">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47917EBA">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6C809252">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540FA500">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3B176F9E">
            <w:pPr>
              <w:spacing w:line="500" w:lineRule="exact"/>
              <w:jc w:val="left"/>
              <w:rPr>
                <w:rFonts w:cs="Times New Roman"/>
                <w:b/>
                <w:bCs/>
                <w:color w:val="auto"/>
                <w:highlight w:val="none"/>
              </w:rPr>
            </w:pPr>
          </w:p>
        </w:tc>
      </w:tr>
      <w:tr w14:paraId="5DDC3BF0">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1BFBB8F1">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6BF912F3">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12DF9F28">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533C6CD5">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51F3243F">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4018A0F7">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01CA63B1">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124205DC">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2D66EA6D">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5E4AC425">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188610F5">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5DB6E90C">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25631B7F">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453EBA7D">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56FEED20">
            <w:pPr>
              <w:spacing w:line="500" w:lineRule="exact"/>
              <w:jc w:val="left"/>
              <w:rPr>
                <w:rFonts w:cs="Times New Roman"/>
                <w:b/>
                <w:bCs/>
                <w:color w:val="auto"/>
                <w:highlight w:val="none"/>
              </w:rPr>
            </w:pPr>
          </w:p>
        </w:tc>
      </w:tr>
      <w:tr w14:paraId="052C0ABD">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3EFBEF75">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46E00D88">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4D66C7FB">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763BAF0F">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32CC5260">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0382A52E">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24740CDA">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412F2369">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5E64D365">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7FD7A625">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219BEEC9">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50B2293F">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4A320F29">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12539839">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5A79BB5C">
            <w:pPr>
              <w:spacing w:line="500" w:lineRule="exact"/>
              <w:jc w:val="left"/>
              <w:rPr>
                <w:rFonts w:cs="Times New Roman"/>
                <w:b/>
                <w:bCs/>
                <w:color w:val="auto"/>
                <w:highlight w:val="none"/>
              </w:rPr>
            </w:pPr>
          </w:p>
        </w:tc>
      </w:tr>
      <w:tr w14:paraId="55E0A9A8">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043C5BF3">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39FB7799">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14414DF1">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53185762">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059A3AAE">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76081BD9">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034175C7">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2E8C5E51">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2A027347">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6A6B905F">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1629851B">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75A32DB6">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4A245EC3">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24DE18A9">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4A265D66">
            <w:pPr>
              <w:spacing w:line="500" w:lineRule="exact"/>
              <w:jc w:val="left"/>
              <w:rPr>
                <w:rFonts w:cs="Times New Roman"/>
                <w:b/>
                <w:bCs/>
                <w:color w:val="auto"/>
                <w:highlight w:val="none"/>
              </w:rPr>
            </w:pPr>
          </w:p>
        </w:tc>
      </w:tr>
      <w:tr w14:paraId="3668ADAB">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5713A769">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750B2FA2">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01D0EC62">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014C645A">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295CC55F">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6A8E4C83">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1EEB3EFD">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7ADCCFA4">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68899019">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68E7B441">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72117DBA">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45F69C66">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6D0D08E5">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112FF0DA">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2905810E">
            <w:pPr>
              <w:spacing w:line="500" w:lineRule="exact"/>
              <w:jc w:val="left"/>
              <w:rPr>
                <w:rFonts w:cs="Times New Roman"/>
                <w:b/>
                <w:bCs/>
                <w:color w:val="auto"/>
                <w:highlight w:val="none"/>
              </w:rPr>
            </w:pPr>
          </w:p>
        </w:tc>
      </w:tr>
      <w:tr w14:paraId="1D30A92E">
        <w:tc>
          <w:tcPr>
            <w:tcW w:w="432" w:type="dxa"/>
            <w:tcBorders>
              <w:top w:val="single" w:color="auto" w:sz="4" w:space="0"/>
              <w:left w:val="single" w:color="auto" w:sz="4" w:space="0"/>
              <w:bottom w:val="single" w:color="auto" w:sz="4" w:space="0"/>
              <w:right w:val="single" w:color="auto" w:sz="4" w:space="0"/>
            </w:tcBorders>
          </w:tcPr>
          <w:p w14:paraId="4AA01FDC">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23F131E7">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222F67FC">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5D080200">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551C0CA0">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424078BA">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42A5D917">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4DAD6A64">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7CE11DB6">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0E9BDD84">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46981D84">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5DA09571">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554C961D">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05309C90">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646E5D7D">
            <w:pPr>
              <w:spacing w:line="500" w:lineRule="exact"/>
              <w:jc w:val="left"/>
              <w:rPr>
                <w:rFonts w:cs="Times New Roman"/>
                <w:b/>
                <w:bCs/>
                <w:color w:val="auto"/>
                <w:highlight w:val="none"/>
              </w:rPr>
            </w:pPr>
          </w:p>
        </w:tc>
      </w:tr>
      <w:tr w14:paraId="2ADA05C0">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50721F83">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7F2ACFD1">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3E1B2EDF">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5B97DC66">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1A278AE0">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361A1546">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63A35212">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192B7EB9">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6FA98FC2">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22AADEE2">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17AD2C78">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3810E348">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20FB3249">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73C17F83">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0B74BC1B">
            <w:pPr>
              <w:spacing w:line="500" w:lineRule="exact"/>
              <w:jc w:val="left"/>
              <w:rPr>
                <w:rFonts w:cs="Times New Roman"/>
                <w:b/>
                <w:bCs/>
                <w:color w:val="auto"/>
                <w:highlight w:val="none"/>
              </w:rPr>
            </w:pPr>
          </w:p>
        </w:tc>
      </w:tr>
      <w:tr w14:paraId="4C43114B">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4EBA9D9F">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7A551D50">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17003513">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7964C23C">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407CBD0B">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51B7CCE1">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1EE5833C">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27D7BF50">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74962838">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5FAB66F1">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25B50FA7">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67DB42C2">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035D20D7">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5F91BB88">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1D140D5C">
            <w:pPr>
              <w:spacing w:line="500" w:lineRule="exact"/>
              <w:jc w:val="left"/>
              <w:rPr>
                <w:rFonts w:cs="Times New Roman"/>
                <w:b/>
                <w:bCs/>
                <w:color w:val="auto"/>
                <w:highlight w:val="none"/>
              </w:rPr>
            </w:pPr>
          </w:p>
        </w:tc>
      </w:tr>
      <w:tr w14:paraId="6EF0660E">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4093B7D2">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1D2178FC">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3BB0164B">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5B49B187">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45D5FDFE">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6D021C09">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14AEBEAA">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2F9150E1">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70773607">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37B89DF1">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35E5102A">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7D3289BD">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27F7074E">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1C30A62E">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525CCA69">
            <w:pPr>
              <w:spacing w:line="500" w:lineRule="exact"/>
              <w:jc w:val="left"/>
              <w:rPr>
                <w:rFonts w:cs="Times New Roman"/>
                <w:b/>
                <w:bCs/>
                <w:color w:val="auto"/>
                <w:highlight w:val="none"/>
              </w:rPr>
            </w:pPr>
          </w:p>
        </w:tc>
      </w:tr>
      <w:tr w14:paraId="171BA374">
        <w:tblPrEx>
          <w:tblCellMar>
            <w:top w:w="0" w:type="dxa"/>
            <w:left w:w="108" w:type="dxa"/>
            <w:bottom w:w="0" w:type="dxa"/>
            <w:right w:w="108" w:type="dxa"/>
          </w:tblCellMar>
        </w:tblPrEx>
        <w:tc>
          <w:tcPr>
            <w:tcW w:w="432" w:type="dxa"/>
            <w:tcBorders>
              <w:top w:val="single" w:color="auto" w:sz="4" w:space="0"/>
              <w:left w:val="single" w:color="auto" w:sz="4" w:space="0"/>
              <w:bottom w:val="single" w:color="auto" w:sz="4" w:space="0"/>
              <w:right w:val="single" w:color="auto" w:sz="4" w:space="0"/>
            </w:tcBorders>
          </w:tcPr>
          <w:p w14:paraId="3143E3BD">
            <w:pPr>
              <w:spacing w:line="500" w:lineRule="exact"/>
              <w:jc w:val="left"/>
              <w:rPr>
                <w:rFonts w:cs="Times New Roman"/>
                <w:color w:val="auto"/>
                <w:highlight w:val="none"/>
              </w:rPr>
            </w:pPr>
          </w:p>
        </w:tc>
        <w:tc>
          <w:tcPr>
            <w:tcW w:w="677" w:type="dxa"/>
            <w:tcBorders>
              <w:top w:val="single" w:color="auto" w:sz="4" w:space="0"/>
              <w:left w:val="single" w:color="auto" w:sz="4" w:space="0"/>
              <w:bottom w:val="single" w:color="auto" w:sz="4" w:space="0"/>
              <w:right w:val="single" w:color="auto" w:sz="4" w:space="0"/>
            </w:tcBorders>
          </w:tcPr>
          <w:p w14:paraId="239B7F50">
            <w:pPr>
              <w:spacing w:line="500" w:lineRule="exact"/>
              <w:jc w:val="left"/>
              <w:rPr>
                <w:rFonts w:cs="Times New Roman"/>
                <w:color w:val="auto"/>
                <w:highlight w:val="none"/>
              </w:rPr>
            </w:pPr>
          </w:p>
        </w:tc>
        <w:tc>
          <w:tcPr>
            <w:tcW w:w="716" w:type="dxa"/>
            <w:tcBorders>
              <w:top w:val="single" w:color="auto" w:sz="4" w:space="0"/>
              <w:left w:val="single" w:color="auto" w:sz="4" w:space="0"/>
              <w:bottom w:val="single" w:color="auto" w:sz="4" w:space="0"/>
              <w:right w:val="single" w:color="auto" w:sz="4" w:space="0"/>
            </w:tcBorders>
          </w:tcPr>
          <w:p w14:paraId="7A27708C">
            <w:pPr>
              <w:spacing w:line="500" w:lineRule="exact"/>
              <w:jc w:val="left"/>
              <w:rPr>
                <w:rFonts w:cs="Times New Roman"/>
                <w:color w:val="auto"/>
                <w:highlight w:val="none"/>
              </w:rPr>
            </w:pPr>
          </w:p>
        </w:tc>
        <w:tc>
          <w:tcPr>
            <w:tcW w:w="697" w:type="dxa"/>
            <w:tcBorders>
              <w:top w:val="single" w:color="auto" w:sz="4" w:space="0"/>
              <w:left w:val="single" w:color="auto" w:sz="4" w:space="0"/>
              <w:bottom w:val="single" w:color="auto" w:sz="4" w:space="0"/>
              <w:right w:val="single" w:color="auto" w:sz="4" w:space="0"/>
            </w:tcBorders>
          </w:tcPr>
          <w:p w14:paraId="582B0033">
            <w:pPr>
              <w:spacing w:line="500" w:lineRule="exact"/>
              <w:jc w:val="left"/>
              <w:rPr>
                <w:rFonts w:cs="Times New Roman"/>
                <w:b/>
                <w:bCs/>
                <w:color w:val="auto"/>
                <w:highlight w:val="none"/>
              </w:rPr>
            </w:pPr>
          </w:p>
        </w:tc>
        <w:tc>
          <w:tcPr>
            <w:tcW w:w="865" w:type="dxa"/>
            <w:tcBorders>
              <w:top w:val="single" w:color="auto" w:sz="4" w:space="0"/>
              <w:left w:val="single" w:color="auto" w:sz="4" w:space="0"/>
              <w:bottom w:val="single" w:color="auto" w:sz="4" w:space="0"/>
              <w:right w:val="single" w:color="auto" w:sz="4" w:space="0"/>
            </w:tcBorders>
          </w:tcPr>
          <w:p w14:paraId="79FBA237">
            <w:pPr>
              <w:spacing w:line="500" w:lineRule="exact"/>
              <w:jc w:val="left"/>
              <w:rPr>
                <w:rFonts w:cs="Times New Roman"/>
                <w:b/>
                <w:bCs/>
                <w:color w:val="auto"/>
                <w:highlight w:val="none"/>
              </w:rPr>
            </w:pPr>
          </w:p>
        </w:tc>
        <w:tc>
          <w:tcPr>
            <w:tcW w:w="967" w:type="dxa"/>
            <w:tcBorders>
              <w:top w:val="single" w:color="auto" w:sz="4" w:space="0"/>
              <w:left w:val="single" w:color="auto" w:sz="4" w:space="0"/>
              <w:bottom w:val="single" w:color="auto" w:sz="4" w:space="0"/>
              <w:right w:val="single" w:color="auto" w:sz="4" w:space="0"/>
            </w:tcBorders>
          </w:tcPr>
          <w:p w14:paraId="1B5BF89E">
            <w:pPr>
              <w:spacing w:line="500" w:lineRule="exact"/>
              <w:jc w:val="left"/>
              <w:rPr>
                <w:rFonts w:cs="Times New Roman"/>
                <w:b/>
                <w:bCs/>
                <w:color w:val="auto"/>
                <w:highlight w:val="none"/>
              </w:rPr>
            </w:pPr>
          </w:p>
        </w:tc>
        <w:tc>
          <w:tcPr>
            <w:tcW w:w="650" w:type="dxa"/>
            <w:tcBorders>
              <w:top w:val="single" w:color="auto" w:sz="4" w:space="0"/>
              <w:left w:val="single" w:color="auto" w:sz="4" w:space="0"/>
              <w:bottom w:val="single" w:color="auto" w:sz="4" w:space="0"/>
              <w:right w:val="single" w:color="auto" w:sz="4" w:space="0"/>
            </w:tcBorders>
          </w:tcPr>
          <w:p w14:paraId="65549BE2">
            <w:pPr>
              <w:spacing w:line="500" w:lineRule="exact"/>
              <w:jc w:val="left"/>
              <w:rPr>
                <w:rFonts w:cs="Times New Roman"/>
                <w:b/>
                <w:bCs/>
                <w:color w:val="auto"/>
                <w:highlight w:val="none"/>
              </w:rPr>
            </w:pPr>
          </w:p>
        </w:tc>
        <w:tc>
          <w:tcPr>
            <w:tcW w:w="613" w:type="dxa"/>
            <w:tcBorders>
              <w:top w:val="single" w:color="auto" w:sz="4" w:space="0"/>
              <w:left w:val="single" w:color="auto" w:sz="4" w:space="0"/>
              <w:bottom w:val="single" w:color="auto" w:sz="4" w:space="0"/>
              <w:right w:val="single" w:color="auto" w:sz="4" w:space="0"/>
            </w:tcBorders>
          </w:tcPr>
          <w:p w14:paraId="763C5E4C">
            <w:pPr>
              <w:spacing w:line="500" w:lineRule="exact"/>
              <w:jc w:val="left"/>
              <w:rPr>
                <w:rFonts w:cs="Times New Roman"/>
                <w:b/>
                <w:bCs/>
                <w:color w:val="auto"/>
                <w:highlight w:val="none"/>
              </w:rPr>
            </w:pPr>
          </w:p>
        </w:tc>
        <w:tc>
          <w:tcPr>
            <w:tcW w:w="706" w:type="dxa"/>
            <w:tcBorders>
              <w:top w:val="single" w:color="auto" w:sz="4" w:space="0"/>
              <w:left w:val="single" w:color="auto" w:sz="4" w:space="0"/>
              <w:bottom w:val="single" w:color="auto" w:sz="4" w:space="0"/>
              <w:right w:val="single" w:color="auto" w:sz="4" w:space="0"/>
            </w:tcBorders>
          </w:tcPr>
          <w:p w14:paraId="60C3E0B3">
            <w:pPr>
              <w:spacing w:line="500" w:lineRule="exact"/>
              <w:jc w:val="left"/>
              <w:rPr>
                <w:rFonts w:cs="Times New Roman"/>
                <w:b/>
                <w:bCs/>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14:paraId="524E6054">
            <w:pPr>
              <w:spacing w:line="500" w:lineRule="exact"/>
              <w:jc w:val="left"/>
              <w:rPr>
                <w:rFonts w:cs="Times New Roman"/>
                <w:b/>
                <w:bCs/>
                <w:color w:val="auto"/>
                <w:highlight w:val="none"/>
              </w:rPr>
            </w:pPr>
          </w:p>
        </w:tc>
        <w:tc>
          <w:tcPr>
            <w:tcW w:w="600" w:type="dxa"/>
            <w:tcBorders>
              <w:top w:val="single" w:color="auto" w:sz="4" w:space="0"/>
              <w:left w:val="single" w:color="auto" w:sz="4" w:space="0"/>
              <w:bottom w:val="single" w:color="auto" w:sz="4" w:space="0"/>
              <w:right w:val="single" w:color="auto" w:sz="4" w:space="0"/>
            </w:tcBorders>
          </w:tcPr>
          <w:p w14:paraId="721B74A4">
            <w:pPr>
              <w:spacing w:line="500" w:lineRule="exact"/>
              <w:jc w:val="left"/>
              <w:rPr>
                <w:rFonts w:cs="Times New Roman"/>
                <w:b/>
                <w:bCs/>
                <w:color w:val="auto"/>
                <w:highlight w:val="none"/>
              </w:rPr>
            </w:pPr>
          </w:p>
        </w:tc>
        <w:tc>
          <w:tcPr>
            <w:tcW w:w="889" w:type="dxa"/>
            <w:tcBorders>
              <w:top w:val="single" w:color="auto" w:sz="4" w:space="0"/>
              <w:left w:val="single" w:color="auto" w:sz="4" w:space="0"/>
              <w:bottom w:val="single" w:color="auto" w:sz="4" w:space="0"/>
              <w:right w:val="single" w:color="auto" w:sz="4" w:space="0"/>
            </w:tcBorders>
          </w:tcPr>
          <w:p w14:paraId="533ABC5D">
            <w:pPr>
              <w:spacing w:line="500" w:lineRule="exact"/>
              <w:jc w:val="left"/>
              <w:rPr>
                <w:rFonts w:cs="Times New Roman"/>
                <w:b/>
                <w:bCs/>
                <w:color w:val="auto"/>
                <w:highlight w:val="none"/>
              </w:rPr>
            </w:pPr>
          </w:p>
        </w:tc>
        <w:tc>
          <w:tcPr>
            <w:tcW w:w="484" w:type="dxa"/>
            <w:tcBorders>
              <w:top w:val="single" w:color="auto" w:sz="4" w:space="0"/>
              <w:left w:val="single" w:color="auto" w:sz="4" w:space="0"/>
              <w:bottom w:val="single" w:color="auto" w:sz="4" w:space="0"/>
              <w:right w:val="single" w:color="auto" w:sz="4" w:space="0"/>
            </w:tcBorders>
          </w:tcPr>
          <w:p w14:paraId="13D03E81">
            <w:pPr>
              <w:spacing w:line="500" w:lineRule="exact"/>
              <w:jc w:val="left"/>
              <w:rPr>
                <w:rFonts w:cs="Times New Roman"/>
                <w:b/>
                <w:bCs/>
                <w:color w:val="auto"/>
                <w:highlight w:val="none"/>
              </w:rPr>
            </w:pPr>
          </w:p>
        </w:tc>
        <w:tc>
          <w:tcPr>
            <w:tcW w:w="525" w:type="dxa"/>
            <w:tcBorders>
              <w:top w:val="single" w:color="auto" w:sz="4" w:space="0"/>
              <w:left w:val="single" w:color="auto" w:sz="4" w:space="0"/>
              <w:bottom w:val="single" w:color="auto" w:sz="4" w:space="0"/>
              <w:right w:val="single" w:color="auto" w:sz="4" w:space="0"/>
            </w:tcBorders>
          </w:tcPr>
          <w:p w14:paraId="690B40CA">
            <w:pPr>
              <w:spacing w:line="500" w:lineRule="exact"/>
              <w:jc w:val="left"/>
              <w:rPr>
                <w:rFonts w:cs="Times New Roman"/>
                <w:b/>
                <w:bCs/>
                <w:color w:val="auto"/>
                <w:highlight w:val="none"/>
              </w:rPr>
            </w:pPr>
          </w:p>
        </w:tc>
        <w:tc>
          <w:tcPr>
            <w:tcW w:w="419" w:type="dxa"/>
            <w:tcBorders>
              <w:top w:val="single" w:color="auto" w:sz="4" w:space="0"/>
              <w:left w:val="single" w:color="auto" w:sz="4" w:space="0"/>
              <w:bottom w:val="single" w:color="auto" w:sz="4" w:space="0"/>
              <w:right w:val="single" w:color="auto" w:sz="4" w:space="0"/>
            </w:tcBorders>
          </w:tcPr>
          <w:p w14:paraId="2134EF72">
            <w:pPr>
              <w:spacing w:line="500" w:lineRule="exact"/>
              <w:jc w:val="left"/>
              <w:rPr>
                <w:rFonts w:cs="Times New Roman"/>
                <w:b/>
                <w:bCs/>
                <w:color w:val="auto"/>
                <w:highlight w:val="none"/>
              </w:rPr>
            </w:pPr>
          </w:p>
        </w:tc>
      </w:tr>
    </w:tbl>
    <w:p w14:paraId="7250F6D6">
      <w:pPr>
        <w:spacing w:line="440" w:lineRule="exact"/>
        <w:rPr>
          <w:rFonts w:cs="Times New Roman"/>
          <w:color w:val="auto"/>
          <w:highlight w:val="none"/>
        </w:rPr>
      </w:pPr>
      <w:r>
        <w:rPr>
          <w:rFonts w:hint="eastAsia" w:cs="宋体"/>
          <w:color w:val="auto"/>
          <w:highlight w:val="none"/>
        </w:rPr>
        <w:t>　　　</w:t>
      </w:r>
    </w:p>
    <w:p w14:paraId="1D79E35E">
      <w:pPr>
        <w:adjustRightInd w:val="0"/>
        <w:snapToGrid w:val="0"/>
        <w:spacing w:line="360" w:lineRule="auto"/>
        <w:rPr>
          <w:color w:val="auto"/>
          <w:kern w:val="0"/>
          <w:highlight w:val="none"/>
        </w:rPr>
      </w:pPr>
      <w:r>
        <w:rPr>
          <w:rFonts w:hint="eastAsia" w:cs="宋体"/>
          <w:color w:val="auto"/>
          <w:kern w:val="0"/>
          <w:highlight w:val="none"/>
        </w:rPr>
        <w:t>招标人代表：</w:t>
      </w:r>
      <w:r>
        <w:rPr>
          <w:color w:val="auto"/>
          <w:kern w:val="0"/>
          <w:highlight w:val="none"/>
        </w:rPr>
        <w:t>__________</w:t>
      </w:r>
      <w:r>
        <w:rPr>
          <w:rFonts w:hint="eastAsia" w:cs="宋体"/>
          <w:color w:val="auto"/>
          <w:kern w:val="0"/>
          <w:highlight w:val="none"/>
        </w:rPr>
        <w:t>行政监管：</w:t>
      </w:r>
      <w:r>
        <w:rPr>
          <w:color w:val="auto"/>
          <w:kern w:val="0"/>
          <w:highlight w:val="none"/>
        </w:rPr>
        <w:t>_____________</w:t>
      </w:r>
      <w:r>
        <w:rPr>
          <w:rFonts w:hint="eastAsia" w:cs="宋体"/>
          <w:color w:val="auto"/>
          <w:kern w:val="0"/>
          <w:highlight w:val="none"/>
        </w:rPr>
        <w:t>招标代理：</w:t>
      </w:r>
      <w:r>
        <w:rPr>
          <w:color w:val="auto"/>
          <w:kern w:val="0"/>
          <w:highlight w:val="none"/>
        </w:rPr>
        <w:t>__________</w:t>
      </w:r>
      <w:r>
        <w:rPr>
          <w:rFonts w:hint="eastAsia" w:cs="宋体"/>
          <w:color w:val="auto"/>
          <w:kern w:val="0"/>
          <w:highlight w:val="none"/>
        </w:rPr>
        <w:t>交易中心：</w:t>
      </w:r>
      <w:r>
        <w:rPr>
          <w:color w:val="auto"/>
          <w:kern w:val="0"/>
          <w:highlight w:val="none"/>
        </w:rPr>
        <w:t>_____________</w:t>
      </w:r>
    </w:p>
    <w:p w14:paraId="5A70C817">
      <w:pPr>
        <w:spacing w:line="620" w:lineRule="exact"/>
        <w:rPr>
          <w:rFonts w:cs="Times New Roman"/>
          <w:color w:val="auto"/>
          <w:sz w:val="20"/>
          <w:szCs w:val="20"/>
          <w:highlight w:val="none"/>
        </w:rPr>
      </w:pPr>
      <w:r>
        <w:rPr>
          <w:color w:val="auto"/>
          <w:highlight w:val="none"/>
        </w:rPr>
        <w:t xml:space="preserve">                                               </w:t>
      </w:r>
      <w:r>
        <w:rPr>
          <w:rFonts w:hint="eastAsia"/>
          <w:color w:val="auto"/>
          <w:highlight w:val="none"/>
          <w:lang w:val="en-US" w:eastAsia="zh-CN"/>
        </w:rPr>
        <w:t xml:space="preserve">           </w:t>
      </w:r>
      <w:r>
        <w:rPr>
          <w:rFonts w:hint="eastAsia" w:cs="宋体"/>
          <w:color w:val="auto"/>
          <w:highlight w:val="none"/>
        </w:rPr>
        <w:t>年</w:t>
      </w:r>
      <w:r>
        <w:rPr>
          <w:color w:val="auto"/>
          <w:highlight w:val="none"/>
        </w:rPr>
        <w:t xml:space="preserve">      </w:t>
      </w:r>
      <w:r>
        <w:rPr>
          <w:rFonts w:hint="eastAsia" w:cs="宋体"/>
          <w:color w:val="auto"/>
          <w:highlight w:val="none"/>
        </w:rPr>
        <w:t>月</w:t>
      </w:r>
      <w:r>
        <w:rPr>
          <w:color w:val="auto"/>
          <w:highlight w:val="none"/>
        </w:rPr>
        <w:t xml:space="preserve">      </w:t>
      </w:r>
      <w:r>
        <w:rPr>
          <w:rFonts w:hint="eastAsia" w:cs="宋体"/>
          <w:color w:val="auto"/>
          <w:highlight w:val="none"/>
        </w:rPr>
        <w:t>日</w:t>
      </w:r>
    </w:p>
    <w:p w14:paraId="161ACF73">
      <w:pPr>
        <w:spacing w:line="440" w:lineRule="exact"/>
        <w:rPr>
          <w:rFonts w:cs="Times New Roman"/>
          <w:color w:val="auto"/>
          <w:highlight w:val="none"/>
        </w:rPr>
      </w:pPr>
      <w:r>
        <w:rPr>
          <w:rFonts w:cs="Times New Roman"/>
          <w:color w:val="auto"/>
          <w:highlight w:val="none"/>
        </w:rPr>
        <w:br w:type="page"/>
      </w:r>
    </w:p>
    <w:p w14:paraId="5BDD3001">
      <w:pPr>
        <w:adjustRightInd w:val="0"/>
        <w:snapToGrid w:val="0"/>
        <w:spacing w:line="360" w:lineRule="auto"/>
        <w:jc w:val="left"/>
        <w:outlineLvl w:val="1"/>
        <w:rPr>
          <w:rFonts w:ascii="黑体" w:hAnsi="黑体" w:eastAsia="黑体" w:cs="Times New Roman"/>
          <w:b/>
          <w:bCs/>
          <w:color w:val="auto"/>
          <w:sz w:val="32"/>
          <w:szCs w:val="32"/>
          <w:highlight w:val="none"/>
        </w:rPr>
      </w:pPr>
      <w:bookmarkStart w:id="567" w:name="_Toc45896675"/>
      <w:bookmarkStart w:id="568" w:name="_Toc45896971"/>
      <w:bookmarkStart w:id="569" w:name="_Toc4701"/>
      <w:r>
        <w:rPr>
          <w:rFonts w:hint="eastAsia" w:ascii="黑体" w:hAnsi="黑体" w:eastAsia="黑体" w:cs="黑体"/>
          <w:b/>
          <w:bCs/>
          <w:color w:val="auto"/>
          <w:sz w:val="32"/>
          <w:szCs w:val="32"/>
          <w:highlight w:val="none"/>
        </w:rPr>
        <w:t>附件二：问题澄清通知</w:t>
      </w:r>
      <w:bookmarkEnd w:id="567"/>
      <w:bookmarkEnd w:id="568"/>
      <w:bookmarkEnd w:id="569"/>
    </w:p>
    <w:p w14:paraId="0CB2CC09">
      <w:pPr>
        <w:adjustRightInd w:val="0"/>
        <w:snapToGrid w:val="0"/>
        <w:spacing w:line="360" w:lineRule="auto"/>
        <w:jc w:val="center"/>
        <w:rPr>
          <w:rFonts w:eastAsia="黑体" w:cs="Times New Roman"/>
          <w:color w:val="auto"/>
          <w:kern w:val="0"/>
          <w:sz w:val="28"/>
          <w:szCs w:val="28"/>
          <w:highlight w:val="none"/>
        </w:rPr>
      </w:pPr>
    </w:p>
    <w:p w14:paraId="3AB9E1A9">
      <w:pPr>
        <w:adjustRightInd w:val="0"/>
        <w:snapToGrid w:val="0"/>
        <w:spacing w:line="360" w:lineRule="auto"/>
        <w:jc w:val="center"/>
        <w:rPr>
          <w:rFonts w:eastAsia="黑体" w:cs="Times New Roman"/>
          <w:color w:val="auto"/>
          <w:kern w:val="0"/>
          <w:sz w:val="28"/>
          <w:szCs w:val="28"/>
          <w:highlight w:val="none"/>
        </w:rPr>
      </w:pPr>
      <w:r>
        <w:rPr>
          <w:rFonts w:hint="eastAsia" w:eastAsia="黑体" w:cs="黑体"/>
          <w:color w:val="auto"/>
          <w:kern w:val="0"/>
          <w:sz w:val="28"/>
          <w:szCs w:val="28"/>
          <w:highlight w:val="none"/>
        </w:rPr>
        <w:t>问题澄清通知</w:t>
      </w:r>
    </w:p>
    <w:p w14:paraId="77A68027">
      <w:pPr>
        <w:adjustRightInd w:val="0"/>
        <w:snapToGrid w:val="0"/>
        <w:spacing w:line="360" w:lineRule="auto"/>
        <w:ind w:firstLine="5250" w:firstLineChars="2500"/>
        <w:jc w:val="left"/>
        <w:rPr>
          <w:rFonts w:ascii="宋体" w:cs="Times New Roman"/>
          <w:color w:val="auto"/>
          <w:kern w:val="0"/>
          <w:highlight w:val="none"/>
        </w:rPr>
      </w:pPr>
      <w:r>
        <w:rPr>
          <w:rFonts w:hint="eastAsia" w:ascii="宋体" w:hAnsi="宋体" w:cs="宋体"/>
          <w:color w:val="auto"/>
          <w:kern w:val="0"/>
          <w:highlight w:val="none"/>
        </w:rPr>
        <w:t>编号：</w:t>
      </w:r>
    </w:p>
    <w:p w14:paraId="5D588658">
      <w:pPr>
        <w:adjustRightInd w:val="0"/>
        <w:snapToGrid w:val="0"/>
        <w:spacing w:line="360" w:lineRule="auto"/>
        <w:jc w:val="left"/>
        <w:rPr>
          <w:rFonts w:ascii="宋体" w:cs="Times New Roman"/>
          <w:color w:val="auto"/>
          <w:kern w:val="0"/>
          <w:highlight w:val="none"/>
        </w:rPr>
      </w:pPr>
      <w:r>
        <w:rPr>
          <w:rFonts w:ascii="宋体" w:hAnsi="宋体" w:cs="宋体"/>
          <w:color w:val="auto"/>
          <w:kern w:val="0"/>
          <w:highlight w:val="none"/>
        </w:rPr>
        <w:t>____________</w:t>
      </w:r>
      <w:r>
        <w:rPr>
          <w:rFonts w:hint="eastAsia" w:ascii="宋体" w:hAnsi="宋体" w:cs="宋体"/>
          <w:color w:val="auto"/>
          <w:kern w:val="0"/>
          <w:highlight w:val="none"/>
        </w:rPr>
        <w:t>（投标人名称）：</w:t>
      </w:r>
    </w:p>
    <w:p w14:paraId="4524BD85">
      <w:pPr>
        <w:adjustRightInd w:val="0"/>
        <w:snapToGrid w:val="0"/>
        <w:spacing w:line="360" w:lineRule="auto"/>
        <w:jc w:val="left"/>
        <w:rPr>
          <w:rFonts w:ascii="宋体" w:cs="Times New Roman"/>
          <w:color w:val="auto"/>
          <w:kern w:val="0"/>
          <w:highlight w:val="none"/>
        </w:rPr>
      </w:pPr>
    </w:p>
    <w:p w14:paraId="21B3A61A">
      <w:pPr>
        <w:adjustRightInd w:val="0"/>
        <w:snapToGrid w:val="0"/>
        <w:spacing w:line="360" w:lineRule="auto"/>
        <w:ind w:firstLine="420" w:firstLineChars="200"/>
        <w:jc w:val="left"/>
        <w:rPr>
          <w:rFonts w:ascii="宋体" w:cs="Times New Roman"/>
          <w:color w:val="auto"/>
          <w:kern w:val="0"/>
          <w:highlight w:val="none"/>
        </w:rPr>
      </w:pPr>
      <w:r>
        <w:rPr>
          <w:rFonts w:ascii="宋体" w:hAnsi="宋体" w:cs="宋体"/>
          <w:color w:val="auto"/>
          <w:kern w:val="0"/>
          <w:highlight w:val="none"/>
        </w:rPr>
        <w:t>_____________</w:t>
      </w:r>
      <w:r>
        <w:rPr>
          <w:rFonts w:hint="eastAsia" w:ascii="宋体" w:hAnsi="宋体" w:cs="宋体"/>
          <w:color w:val="auto"/>
          <w:kern w:val="0"/>
          <w:highlight w:val="none"/>
        </w:rPr>
        <w:t>（项目名称）</w:t>
      </w:r>
      <w:r>
        <w:rPr>
          <w:rFonts w:ascii="宋体" w:hAnsi="宋体" w:cs="宋体"/>
          <w:color w:val="auto"/>
          <w:kern w:val="0"/>
          <w:highlight w:val="none"/>
        </w:rPr>
        <w:t>_____________</w:t>
      </w:r>
      <w:r>
        <w:rPr>
          <w:rFonts w:hint="eastAsia" w:ascii="宋体" w:hAnsi="宋体" w:cs="宋体"/>
          <w:color w:val="auto"/>
          <w:kern w:val="0"/>
          <w:highlight w:val="none"/>
        </w:rPr>
        <w:t>招标的评标委员会，对你方的投标文件进行了仔细的审查，现需你方对下列问题以书面形式予以澄清：</w:t>
      </w:r>
    </w:p>
    <w:p w14:paraId="121758E6">
      <w:pPr>
        <w:adjustRightInd w:val="0"/>
        <w:snapToGrid w:val="0"/>
        <w:spacing w:line="360" w:lineRule="auto"/>
        <w:ind w:firstLine="420" w:firstLineChars="200"/>
        <w:jc w:val="left"/>
        <w:rPr>
          <w:rFonts w:ascii="宋体" w:cs="Times New Roman"/>
          <w:color w:val="auto"/>
          <w:kern w:val="0"/>
          <w:highlight w:val="none"/>
        </w:rPr>
      </w:pPr>
    </w:p>
    <w:p w14:paraId="5E97DA88">
      <w:pPr>
        <w:adjustRightInd w:val="0"/>
        <w:snapToGrid w:val="0"/>
        <w:spacing w:line="360" w:lineRule="auto"/>
        <w:ind w:firstLine="420" w:firstLineChars="200"/>
        <w:jc w:val="left"/>
        <w:rPr>
          <w:rFonts w:ascii="宋体" w:cs="Times New Roman"/>
          <w:color w:val="auto"/>
          <w:kern w:val="0"/>
          <w:highlight w:val="none"/>
        </w:rPr>
      </w:pPr>
      <w:r>
        <w:rPr>
          <w:rFonts w:ascii="宋体" w:hAnsi="宋体" w:cs="宋体"/>
          <w:color w:val="auto"/>
          <w:kern w:val="0"/>
          <w:highlight w:val="none"/>
        </w:rPr>
        <w:t>1.</w:t>
      </w:r>
    </w:p>
    <w:p w14:paraId="22EDADA8">
      <w:pPr>
        <w:adjustRightInd w:val="0"/>
        <w:snapToGrid w:val="0"/>
        <w:spacing w:line="360" w:lineRule="auto"/>
        <w:ind w:firstLine="420" w:firstLineChars="200"/>
        <w:jc w:val="left"/>
        <w:rPr>
          <w:rFonts w:ascii="宋体" w:cs="Times New Roman"/>
          <w:color w:val="auto"/>
          <w:kern w:val="0"/>
          <w:highlight w:val="none"/>
        </w:rPr>
      </w:pPr>
      <w:r>
        <w:rPr>
          <w:rFonts w:ascii="宋体" w:hAnsi="宋体" w:cs="宋体"/>
          <w:color w:val="auto"/>
          <w:kern w:val="0"/>
          <w:highlight w:val="none"/>
        </w:rPr>
        <w:t>2.</w:t>
      </w:r>
    </w:p>
    <w:p w14:paraId="0884FBFE">
      <w:pPr>
        <w:adjustRightInd w:val="0"/>
        <w:snapToGrid w:val="0"/>
        <w:spacing w:line="360" w:lineRule="auto"/>
        <w:ind w:firstLine="420" w:firstLineChars="200"/>
        <w:jc w:val="left"/>
        <w:rPr>
          <w:rFonts w:ascii="宋体" w:cs="宋体"/>
          <w:color w:val="auto"/>
          <w:kern w:val="0"/>
          <w:highlight w:val="none"/>
        </w:rPr>
      </w:pPr>
      <w:r>
        <w:rPr>
          <w:rFonts w:ascii="宋体" w:cs="宋体"/>
          <w:color w:val="auto"/>
          <w:kern w:val="0"/>
          <w:highlight w:val="none"/>
        </w:rPr>
        <w:t>......</w:t>
      </w:r>
    </w:p>
    <w:p w14:paraId="06F49EA3">
      <w:pPr>
        <w:adjustRightInd w:val="0"/>
        <w:snapToGrid w:val="0"/>
        <w:spacing w:line="360" w:lineRule="auto"/>
        <w:ind w:firstLine="420" w:firstLineChars="200"/>
        <w:jc w:val="left"/>
        <w:rPr>
          <w:rFonts w:ascii="宋体" w:cs="Times New Roman"/>
          <w:color w:val="auto"/>
          <w:kern w:val="0"/>
          <w:highlight w:val="none"/>
        </w:rPr>
      </w:pPr>
      <w:r>
        <w:rPr>
          <w:rFonts w:hint="eastAsia" w:ascii="宋体" w:hAnsi="宋体" w:cs="宋体"/>
          <w:color w:val="auto"/>
          <w:kern w:val="0"/>
          <w:highlight w:val="none"/>
        </w:rPr>
        <w:t>请将上述问题的澄清于</w:t>
      </w:r>
      <w:r>
        <w:rPr>
          <w:rFonts w:ascii="宋体" w:hAnsi="宋体" w:cs="宋体"/>
          <w:color w:val="auto"/>
          <w:kern w:val="0"/>
          <w:highlight w:val="none"/>
        </w:rPr>
        <w:t>______</w:t>
      </w:r>
      <w:r>
        <w:rPr>
          <w:rFonts w:hint="eastAsia" w:ascii="宋体" w:hAnsi="宋体" w:cs="宋体"/>
          <w:color w:val="auto"/>
          <w:kern w:val="0"/>
          <w:highlight w:val="none"/>
        </w:rPr>
        <w:t>年</w:t>
      </w:r>
      <w:r>
        <w:rPr>
          <w:rFonts w:ascii="宋体" w:hAnsi="宋体" w:cs="宋体"/>
          <w:color w:val="auto"/>
          <w:kern w:val="0"/>
          <w:highlight w:val="none"/>
        </w:rPr>
        <w:t>____</w:t>
      </w:r>
      <w:r>
        <w:rPr>
          <w:rFonts w:hint="eastAsia" w:ascii="宋体" w:hAnsi="宋体" w:cs="宋体"/>
          <w:color w:val="auto"/>
          <w:kern w:val="0"/>
          <w:highlight w:val="none"/>
        </w:rPr>
        <w:t>月</w:t>
      </w:r>
      <w:r>
        <w:rPr>
          <w:rFonts w:ascii="宋体" w:hAnsi="宋体" w:cs="宋体"/>
          <w:color w:val="auto"/>
          <w:kern w:val="0"/>
          <w:highlight w:val="none"/>
        </w:rPr>
        <w:t>____</w:t>
      </w:r>
      <w:r>
        <w:rPr>
          <w:rFonts w:hint="eastAsia" w:ascii="宋体" w:hAnsi="宋体" w:cs="宋体"/>
          <w:color w:val="auto"/>
          <w:kern w:val="0"/>
          <w:highlight w:val="none"/>
        </w:rPr>
        <w:t>日</w:t>
      </w:r>
      <w:r>
        <w:rPr>
          <w:rFonts w:ascii="宋体" w:hAnsi="宋体" w:cs="宋体"/>
          <w:color w:val="auto"/>
          <w:kern w:val="0"/>
          <w:highlight w:val="none"/>
        </w:rPr>
        <w:t>____</w:t>
      </w:r>
      <w:r>
        <w:rPr>
          <w:rFonts w:hint="eastAsia" w:ascii="宋体" w:hAnsi="宋体" w:cs="宋体"/>
          <w:color w:val="auto"/>
          <w:kern w:val="0"/>
          <w:highlight w:val="none"/>
        </w:rPr>
        <w:t>时前递交至</w:t>
      </w:r>
      <w:r>
        <w:rPr>
          <w:rFonts w:ascii="宋体" w:hAnsi="宋体" w:cs="宋体"/>
          <w:color w:val="auto"/>
          <w:kern w:val="0"/>
          <w:highlight w:val="none"/>
        </w:rPr>
        <w:t>_______________________</w:t>
      </w:r>
      <w:r>
        <w:rPr>
          <w:rFonts w:hint="eastAsia" w:ascii="宋体" w:hAnsi="宋体" w:cs="宋体"/>
          <w:color w:val="auto"/>
          <w:kern w:val="0"/>
          <w:highlight w:val="none"/>
        </w:rPr>
        <w:t>（详细地址）或传真至</w:t>
      </w:r>
      <w:r>
        <w:rPr>
          <w:rFonts w:ascii="宋体" w:hAnsi="宋体" w:cs="宋体"/>
          <w:color w:val="auto"/>
          <w:kern w:val="0"/>
          <w:highlight w:val="none"/>
        </w:rPr>
        <w:t>_________</w:t>
      </w:r>
      <w:r>
        <w:rPr>
          <w:rFonts w:hint="eastAsia" w:ascii="宋体" w:hAnsi="宋体" w:cs="宋体"/>
          <w:color w:val="auto"/>
          <w:kern w:val="0"/>
          <w:highlight w:val="none"/>
        </w:rPr>
        <w:t>（传真号码）。采用传真方式的，应在</w:t>
      </w:r>
      <w:r>
        <w:rPr>
          <w:rFonts w:ascii="宋体" w:hAnsi="宋体" w:cs="宋体"/>
          <w:color w:val="auto"/>
          <w:kern w:val="0"/>
          <w:highlight w:val="none"/>
        </w:rPr>
        <w:t>_______</w:t>
      </w:r>
      <w:r>
        <w:rPr>
          <w:rFonts w:hint="eastAsia" w:ascii="宋体" w:hAnsi="宋体" w:cs="宋体"/>
          <w:color w:val="auto"/>
          <w:kern w:val="0"/>
          <w:highlight w:val="none"/>
        </w:rPr>
        <w:t>年</w:t>
      </w:r>
      <w:r>
        <w:rPr>
          <w:rFonts w:ascii="宋体" w:hAnsi="宋体" w:cs="宋体"/>
          <w:color w:val="auto"/>
          <w:kern w:val="0"/>
          <w:highlight w:val="none"/>
        </w:rPr>
        <w:t>________</w:t>
      </w:r>
      <w:r>
        <w:rPr>
          <w:rFonts w:hint="eastAsia" w:ascii="宋体" w:hAnsi="宋体" w:cs="宋体"/>
          <w:color w:val="auto"/>
          <w:kern w:val="0"/>
          <w:highlight w:val="none"/>
        </w:rPr>
        <w:t>月</w:t>
      </w:r>
      <w:r>
        <w:rPr>
          <w:rFonts w:ascii="宋体" w:hAnsi="宋体" w:cs="宋体"/>
          <w:color w:val="auto"/>
          <w:kern w:val="0"/>
          <w:highlight w:val="none"/>
        </w:rPr>
        <w:t>________</w:t>
      </w:r>
      <w:r>
        <w:rPr>
          <w:rFonts w:hint="eastAsia" w:ascii="宋体" w:hAnsi="宋体" w:cs="宋体"/>
          <w:color w:val="auto"/>
          <w:kern w:val="0"/>
          <w:highlight w:val="none"/>
        </w:rPr>
        <w:t>日</w:t>
      </w:r>
      <w:r>
        <w:rPr>
          <w:rFonts w:ascii="宋体" w:hAnsi="宋体" w:cs="宋体"/>
          <w:color w:val="auto"/>
          <w:kern w:val="0"/>
          <w:highlight w:val="none"/>
        </w:rPr>
        <w:t>________</w:t>
      </w:r>
      <w:r>
        <w:rPr>
          <w:rFonts w:hint="eastAsia" w:ascii="宋体" w:hAnsi="宋体" w:cs="宋体"/>
          <w:color w:val="auto"/>
          <w:kern w:val="0"/>
          <w:highlight w:val="none"/>
        </w:rPr>
        <w:t>时前将原件扫描件递交至</w:t>
      </w:r>
    </w:p>
    <w:p w14:paraId="7C36A775">
      <w:pPr>
        <w:adjustRightInd w:val="0"/>
        <w:snapToGrid w:val="0"/>
        <w:spacing w:line="360" w:lineRule="auto"/>
        <w:ind w:firstLine="420" w:firstLineChars="200"/>
        <w:jc w:val="left"/>
        <w:rPr>
          <w:rFonts w:ascii="宋体" w:cs="Times New Roman"/>
          <w:color w:val="auto"/>
          <w:kern w:val="0"/>
          <w:highlight w:val="none"/>
        </w:rPr>
      </w:pPr>
      <w:r>
        <w:rPr>
          <w:rFonts w:ascii="宋体" w:hAnsi="宋体" w:cs="宋体"/>
          <w:color w:val="auto"/>
          <w:kern w:val="0"/>
          <w:highlight w:val="none"/>
        </w:rPr>
        <w:t>_____________________________</w:t>
      </w:r>
      <w:r>
        <w:rPr>
          <w:rFonts w:hint="eastAsia" w:ascii="宋体" w:hAnsi="宋体" w:cs="宋体"/>
          <w:color w:val="auto"/>
          <w:kern w:val="0"/>
          <w:highlight w:val="none"/>
        </w:rPr>
        <w:t>（详细地址）。</w:t>
      </w:r>
    </w:p>
    <w:p w14:paraId="38DF81CA">
      <w:pPr>
        <w:adjustRightInd w:val="0"/>
        <w:snapToGrid w:val="0"/>
        <w:spacing w:line="360" w:lineRule="auto"/>
        <w:ind w:firstLine="420" w:firstLineChars="200"/>
        <w:jc w:val="left"/>
        <w:rPr>
          <w:rFonts w:ascii="宋体" w:cs="Times New Roman"/>
          <w:color w:val="auto"/>
          <w:kern w:val="0"/>
          <w:highlight w:val="none"/>
        </w:rPr>
      </w:pPr>
    </w:p>
    <w:p w14:paraId="2B07E5E4">
      <w:pPr>
        <w:adjustRightInd w:val="0"/>
        <w:snapToGrid w:val="0"/>
        <w:spacing w:line="360" w:lineRule="auto"/>
        <w:ind w:firstLine="420" w:firstLineChars="200"/>
        <w:jc w:val="left"/>
        <w:rPr>
          <w:rFonts w:ascii="宋体" w:cs="Times New Roman"/>
          <w:color w:val="auto"/>
          <w:kern w:val="0"/>
          <w:highlight w:val="none"/>
        </w:rPr>
      </w:pPr>
    </w:p>
    <w:p w14:paraId="2F172764">
      <w:pPr>
        <w:adjustRightInd w:val="0"/>
        <w:snapToGrid w:val="0"/>
        <w:spacing w:line="480" w:lineRule="auto"/>
        <w:ind w:firstLine="4200" w:firstLineChars="2000"/>
        <w:jc w:val="left"/>
        <w:rPr>
          <w:rFonts w:ascii="宋体" w:cs="Times New Roman"/>
          <w:color w:val="auto"/>
          <w:kern w:val="0"/>
          <w:highlight w:val="none"/>
        </w:rPr>
      </w:pPr>
      <w:r>
        <w:rPr>
          <w:rFonts w:hint="eastAsia" w:ascii="宋体" w:hAnsi="宋体" w:cs="宋体"/>
          <w:color w:val="auto"/>
          <w:kern w:val="0"/>
          <w:highlight w:val="none"/>
        </w:rPr>
        <w:t>招标人或招标代理机构：</w:t>
      </w:r>
      <w:r>
        <w:rPr>
          <w:rFonts w:ascii="宋体" w:hAnsi="宋体" w:cs="宋体"/>
          <w:color w:val="auto"/>
          <w:kern w:val="0"/>
          <w:highlight w:val="none"/>
        </w:rPr>
        <w:t>_________</w:t>
      </w:r>
      <w:r>
        <w:rPr>
          <w:rFonts w:hint="eastAsia" w:ascii="宋体" w:hAnsi="宋体" w:cs="宋体"/>
          <w:color w:val="auto"/>
          <w:kern w:val="0"/>
          <w:highlight w:val="none"/>
        </w:rPr>
        <w:t>（签字或盖章）</w:t>
      </w:r>
    </w:p>
    <w:p w14:paraId="10EA8ED2">
      <w:pPr>
        <w:adjustRightInd w:val="0"/>
        <w:snapToGrid w:val="0"/>
        <w:spacing w:line="480" w:lineRule="auto"/>
        <w:ind w:firstLine="5250" w:firstLineChars="2500"/>
        <w:jc w:val="left"/>
        <w:rPr>
          <w:rFonts w:ascii="宋体" w:cs="Times New Roman"/>
          <w:color w:val="auto"/>
          <w:kern w:val="0"/>
          <w:highlight w:val="none"/>
        </w:rPr>
      </w:pPr>
      <w:r>
        <w:rPr>
          <w:rFonts w:ascii="宋体" w:hAnsi="宋体" w:cs="宋体"/>
          <w:color w:val="auto"/>
          <w:kern w:val="0"/>
          <w:highlight w:val="none"/>
        </w:rPr>
        <w:t>_________</w:t>
      </w:r>
      <w:r>
        <w:rPr>
          <w:rFonts w:hint="eastAsia" w:ascii="宋体" w:hAnsi="宋体" w:cs="宋体"/>
          <w:color w:val="auto"/>
          <w:kern w:val="0"/>
          <w:highlight w:val="none"/>
        </w:rPr>
        <w:t>年</w:t>
      </w:r>
      <w:r>
        <w:rPr>
          <w:rFonts w:ascii="宋体" w:hAnsi="宋体" w:cs="宋体"/>
          <w:color w:val="auto"/>
          <w:kern w:val="0"/>
          <w:highlight w:val="none"/>
        </w:rPr>
        <w:t>________</w:t>
      </w:r>
      <w:r>
        <w:rPr>
          <w:rFonts w:hint="eastAsia" w:ascii="宋体" w:hAnsi="宋体" w:cs="宋体"/>
          <w:color w:val="auto"/>
          <w:kern w:val="0"/>
          <w:highlight w:val="none"/>
        </w:rPr>
        <w:t>月</w:t>
      </w:r>
      <w:r>
        <w:rPr>
          <w:rFonts w:ascii="宋体" w:hAnsi="宋体" w:cs="宋体"/>
          <w:color w:val="auto"/>
          <w:kern w:val="0"/>
          <w:highlight w:val="none"/>
        </w:rPr>
        <w:t>________</w:t>
      </w:r>
      <w:r>
        <w:rPr>
          <w:rFonts w:hint="eastAsia" w:ascii="宋体" w:hAnsi="宋体" w:cs="宋体"/>
          <w:color w:val="auto"/>
          <w:kern w:val="0"/>
          <w:highlight w:val="none"/>
        </w:rPr>
        <w:t>日</w:t>
      </w:r>
    </w:p>
    <w:p w14:paraId="79567B6A">
      <w:pPr>
        <w:adjustRightInd w:val="0"/>
        <w:snapToGrid w:val="0"/>
        <w:jc w:val="left"/>
        <w:rPr>
          <w:rFonts w:cs="Times New Roman"/>
          <w:color w:val="auto"/>
          <w:highlight w:val="none"/>
        </w:rPr>
      </w:pPr>
      <w:r>
        <w:rPr>
          <w:rFonts w:cs="Times New Roman"/>
          <w:color w:val="auto"/>
          <w:highlight w:val="none"/>
        </w:rPr>
        <w:br w:type="page"/>
      </w:r>
    </w:p>
    <w:p w14:paraId="66DC63FB">
      <w:pPr>
        <w:adjustRightInd w:val="0"/>
        <w:snapToGrid w:val="0"/>
        <w:spacing w:line="360" w:lineRule="auto"/>
        <w:jc w:val="left"/>
        <w:outlineLvl w:val="1"/>
        <w:rPr>
          <w:rFonts w:ascii="黑体" w:hAnsi="黑体" w:eastAsia="黑体" w:cs="Times New Roman"/>
          <w:b/>
          <w:bCs/>
          <w:color w:val="auto"/>
          <w:sz w:val="32"/>
          <w:szCs w:val="32"/>
          <w:highlight w:val="none"/>
        </w:rPr>
      </w:pPr>
      <w:bookmarkStart w:id="570" w:name="_Toc45896676"/>
      <w:bookmarkStart w:id="571" w:name="_Toc45896972"/>
      <w:bookmarkStart w:id="572" w:name="_Toc5004"/>
      <w:r>
        <w:rPr>
          <w:rFonts w:hint="eastAsia" w:ascii="黑体" w:hAnsi="黑体" w:eastAsia="黑体" w:cs="黑体"/>
          <w:b/>
          <w:bCs/>
          <w:color w:val="auto"/>
          <w:sz w:val="32"/>
          <w:szCs w:val="32"/>
          <w:highlight w:val="none"/>
        </w:rPr>
        <w:t>附件三：问题的澄清</w:t>
      </w:r>
      <w:bookmarkEnd w:id="570"/>
      <w:bookmarkEnd w:id="571"/>
      <w:bookmarkEnd w:id="572"/>
    </w:p>
    <w:p w14:paraId="1ED12EA8">
      <w:pPr>
        <w:adjustRightInd w:val="0"/>
        <w:snapToGrid w:val="0"/>
        <w:spacing w:line="360" w:lineRule="auto"/>
        <w:jc w:val="center"/>
        <w:rPr>
          <w:rFonts w:ascii="黑体" w:eastAsia="黑体" w:cs="Times New Roman"/>
          <w:color w:val="auto"/>
          <w:kern w:val="0"/>
          <w:sz w:val="28"/>
          <w:szCs w:val="28"/>
          <w:highlight w:val="none"/>
        </w:rPr>
      </w:pPr>
    </w:p>
    <w:p w14:paraId="6136883F">
      <w:pPr>
        <w:adjustRightInd w:val="0"/>
        <w:snapToGrid w:val="0"/>
        <w:spacing w:line="360" w:lineRule="auto"/>
        <w:jc w:val="center"/>
        <w:rPr>
          <w:rFonts w:ascii="黑体" w:eastAsia="黑体" w:cs="Times New Roman"/>
          <w:color w:val="auto"/>
          <w:kern w:val="0"/>
          <w:sz w:val="28"/>
          <w:szCs w:val="28"/>
          <w:highlight w:val="none"/>
        </w:rPr>
      </w:pPr>
      <w:r>
        <w:rPr>
          <w:rFonts w:hint="eastAsia" w:ascii="黑体" w:eastAsia="黑体" w:cs="黑体"/>
          <w:color w:val="auto"/>
          <w:kern w:val="0"/>
          <w:sz w:val="28"/>
          <w:szCs w:val="28"/>
          <w:highlight w:val="none"/>
        </w:rPr>
        <w:t>问题的澄清</w:t>
      </w:r>
    </w:p>
    <w:p w14:paraId="7AEF7B28">
      <w:pPr>
        <w:adjustRightInd w:val="0"/>
        <w:snapToGrid w:val="0"/>
        <w:spacing w:line="360" w:lineRule="auto"/>
        <w:ind w:firstLine="5250" w:firstLineChars="2500"/>
        <w:jc w:val="left"/>
        <w:rPr>
          <w:rFonts w:ascii="宋体" w:cs="Times New Roman"/>
          <w:color w:val="auto"/>
          <w:kern w:val="0"/>
          <w:highlight w:val="none"/>
        </w:rPr>
      </w:pPr>
      <w:r>
        <w:rPr>
          <w:rFonts w:hint="eastAsia" w:ascii="宋体" w:hAnsi="宋体" w:cs="宋体"/>
          <w:color w:val="auto"/>
          <w:kern w:val="0"/>
          <w:highlight w:val="none"/>
        </w:rPr>
        <w:t>编号：</w:t>
      </w:r>
    </w:p>
    <w:p w14:paraId="195663BD">
      <w:pPr>
        <w:adjustRightInd w:val="0"/>
        <w:snapToGrid w:val="0"/>
        <w:spacing w:line="360" w:lineRule="auto"/>
        <w:jc w:val="left"/>
        <w:rPr>
          <w:rFonts w:ascii="宋体" w:cs="Times New Roman"/>
          <w:color w:val="auto"/>
          <w:kern w:val="0"/>
          <w:highlight w:val="none"/>
        </w:rPr>
      </w:pPr>
    </w:p>
    <w:p w14:paraId="7BB07BF2">
      <w:pPr>
        <w:adjustRightInd w:val="0"/>
        <w:snapToGrid w:val="0"/>
        <w:spacing w:line="360" w:lineRule="auto"/>
        <w:jc w:val="left"/>
        <w:rPr>
          <w:rFonts w:ascii="宋体" w:cs="Times New Roman"/>
          <w:color w:val="auto"/>
          <w:kern w:val="0"/>
          <w:highlight w:val="none"/>
        </w:rPr>
      </w:pPr>
      <w:r>
        <w:rPr>
          <w:rFonts w:hint="eastAsia" w:ascii="宋体" w:hAnsi="宋体" w:cs="宋体"/>
          <w:color w:val="auto"/>
          <w:kern w:val="0"/>
          <w:highlight w:val="none"/>
          <w:u w:val="single"/>
        </w:rPr>
        <w:t>（项目名称）</w:t>
      </w:r>
      <w:r>
        <w:rPr>
          <w:rFonts w:hint="eastAsia" w:ascii="宋体" w:hAnsi="宋体" w:cs="宋体"/>
          <w:color w:val="auto"/>
          <w:kern w:val="0"/>
          <w:highlight w:val="none"/>
          <w:u w:val="single"/>
          <w:lang w:val="en-US" w:eastAsia="zh-CN"/>
        </w:rPr>
        <w:t xml:space="preserve">    </w:t>
      </w:r>
      <w:r>
        <w:rPr>
          <w:rFonts w:hint="eastAsia" w:ascii="宋体" w:hAnsi="宋体" w:cs="宋体"/>
          <w:color w:val="auto"/>
          <w:kern w:val="0"/>
          <w:highlight w:val="none"/>
        </w:rPr>
        <w:t>招标评标委员会：</w:t>
      </w:r>
    </w:p>
    <w:p w14:paraId="39BB3026">
      <w:pPr>
        <w:adjustRightInd w:val="0"/>
        <w:snapToGrid w:val="0"/>
        <w:spacing w:line="360" w:lineRule="auto"/>
        <w:ind w:firstLine="420" w:firstLineChars="200"/>
        <w:jc w:val="left"/>
        <w:rPr>
          <w:rFonts w:ascii="宋体" w:cs="Times New Roman"/>
          <w:color w:val="auto"/>
          <w:kern w:val="0"/>
          <w:highlight w:val="none"/>
        </w:rPr>
      </w:pPr>
    </w:p>
    <w:p w14:paraId="3FD6C445">
      <w:pPr>
        <w:adjustRightInd w:val="0"/>
        <w:snapToGrid w:val="0"/>
        <w:spacing w:line="360" w:lineRule="auto"/>
        <w:ind w:firstLine="420" w:firstLineChars="200"/>
        <w:jc w:val="left"/>
        <w:rPr>
          <w:rFonts w:ascii="宋体" w:cs="Times New Roman"/>
          <w:color w:val="auto"/>
          <w:kern w:val="0"/>
          <w:highlight w:val="none"/>
        </w:rPr>
      </w:pPr>
      <w:r>
        <w:rPr>
          <w:rFonts w:hint="eastAsia" w:ascii="宋体" w:hAnsi="宋体" w:cs="宋体"/>
          <w:color w:val="auto"/>
          <w:kern w:val="0"/>
          <w:highlight w:val="none"/>
        </w:rPr>
        <w:t>问题澄清通知（编号：</w:t>
      </w:r>
      <w:r>
        <w:rPr>
          <w:rFonts w:ascii="宋体" w:hAnsi="宋体" w:cs="宋体"/>
          <w:color w:val="auto"/>
          <w:kern w:val="0"/>
          <w:highlight w:val="none"/>
        </w:rPr>
        <w:t>________</w:t>
      </w:r>
      <w:r>
        <w:rPr>
          <w:rFonts w:hint="eastAsia" w:ascii="宋体" w:hAnsi="宋体" w:cs="宋体"/>
          <w:color w:val="auto"/>
          <w:kern w:val="0"/>
          <w:highlight w:val="none"/>
        </w:rPr>
        <w:t>）已收悉，现澄清如下：</w:t>
      </w:r>
    </w:p>
    <w:p w14:paraId="0895A2BA">
      <w:pPr>
        <w:adjustRightInd w:val="0"/>
        <w:snapToGrid w:val="0"/>
        <w:spacing w:line="360" w:lineRule="auto"/>
        <w:ind w:firstLine="420" w:firstLineChars="200"/>
        <w:jc w:val="left"/>
        <w:rPr>
          <w:rFonts w:ascii="宋体" w:cs="Times New Roman"/>
          <w:color w:val="auto"/>
          <w:kern w:val="0"/>
          <w:highlight w:val="none"/>
        </w:rPr>
      </w:pPr>
      <w:r>
        <w:rPr>
          <w:rFonts w:ascii="宋体" w:hAnsi="宋体" w:cs="宋体"/>
          <w:color w:val="auto"/>
          <w:kern w:val="0"/>
          <w:highlight w:val="none"/>
        </w:rPr>
        <w:t>1.</w:t>
      </w:r>
    </w:p>
    <w:p w14:paraId="4F5A57E6">
      <w:pPr>
        <w:adjustRightInd w:val="0"/>
        <w:snapToGrid w:val="0"/>
        <w:spacing w:line="360" w:lineRule="auto"/>
        <w:ind w:firstLine="420" w:firstLineChars="200"/>
        <w:jc w:val="left"/>
        <w:rPr>
          <w:rFonts w:ascii="宋体" w:cs="Times New Roman"/>
          <w:color w:val="auto"/>
          <w:kern w:val="0"/>
          <w:highlight w:val="none"/>
        </w:rPr>
      </w:pPr>
      <w:r>
        <w:rPr>
          <w:rFonts w:ascii="宋体" w:hAnsi="宋体" w:cs="宋体"/>
          <w:color w:val="auto"/>
          <w:kern w:val="0"/>
          <w:highlight w:val="none"/>
        </w:rPr>
        <w:t>2.</w:t>
      </w:r>
    </w:p>
    <w:p w14:paraId="510A3512">
      <w:pPr>
        <w:adjustRightInd w:val="0"/>
        <w:snapToGrid w:val="0"/>
        <w:spacing w:line="360" w:lineRule="auto"/>
        <w:ind w:firstLine="420" w:firstLineChars="200"/>
        <w:jc w:val="left"/>
        <w:rPr>
          <w:rFonts w:ascii="宋体" w:cs="Times New Roman"/>
          <w:color w:val="auto"/>
          <w:kern w:val="0"/>
          <w:highlight w:val="none"/>
        </w:rPr>
      </w:pPr>
    </w:p>
    <w:p w14:paraId="21B7D966">
      <w:pPr>
        <w:adjustRightInd w:val="0"/>
        <w:snapToGrid w:val="0"/>
        <w:spacing w:line="360" w:lineRule="auto"/>
        <w:ind w:firstLine="420" w:firstLineChars="200"/>
        <w:jc w:val="left"/>
        <w:rPr>
          <w:rFonts w:ascii="宋体" w:cs="宋体"/>
          <w:color w:val="auto"/>
          <w:kern w:val="0"/>
          <w:highlight w:val="none"/>
        </w:rPr>
      </w:pPr>
      <w:r>
        <w:rPr>
          <w:rFonts w:ascii="宋体" w:cs="宋体"/>
          <w:color w:val="auto"/>
          <w:kern w:val="0"/>
          <w:highlight w:val="none"/>
        </w:rPr>
        <w:t>.....</w:t>
      </w:r>
    </w:p>
    <w:p w14:paraId="028F5D6F">
      <w:pPr>
        <w:adjustRightInd w:val="0"/>
        <w:snapToGrid w:val="0"/>
        <w:spacing w:line="360" w:lineRule="auto"/>
        <w:ind w:firstLine="420" w:firstLineChars="200"/>
        <w:jc w:val="left"/>
        <w:rPr>
          <w:rFonts w:ascii="宋体" w:cs="宋体"/>
          <w:color w:val="auto"/>
          <w:kern w:val="0"/>
          <w:highlight w:val="none"/>
        </w:rPr>
      </w:pPr>
    </w:p>
    <w:p w14:paraId="1106B563">
      <w:pPr>
        <w:adjustRightInd w:val="0"/>
        <w:snapToGrid w:val="0"/>
        <w:spacing w:line="360" w:lineRule="auto"/>
        <w:ind w:firstLine="420" w:firstLineChars="200"/>
        <w:jc w:val="left"/>
        <w:rPr>
          <w:rFonts w:ascii="宋体" w:cs="宋体"/>
          <w:color w:val="auto"/>
          <w:kern w:val="0"/>
          <w:highlight w:val="none"/>
        </w:rPr>
      </w:pPr>
    </w:p>
    <w:p w14:paraId="6B2B966F">
      <w:pPr>
        <w:adjustRightInd w:val="0"/>
        <w:snapToGrid w:val="0"/>
        <w:spacing w:line="480" w:lineRule="auto"/>
        <w:ind w:firstLine="4200" w:firstLineChars="2000"/>
        <w:jc w:val="left"/>
        <w:rPr>
          <w:rFonts w:ascii="宋体" w:cs="Times New Roman"/>
          <w:color w:val="auto"/>
          <w:kern w:val="0"/>
          <w:highlight w:val="none"/>
        </w:rPr>
      </w:pPr>
      <w:r>
        <w:rPr>
          <w:rFonts w:hint="eastAsia" w:ascii="宋体" w:hAnsi="宋体" w:cs="宋体"/>
          <w:color w:val="auto"/>
          <w:kern w:val="0"/>
          <w:highlight w:val="none"/>
        </w:rPr>
        <w:t>投标人：</w:t>
      </w:r>
      <w:r>
        <w:rPr>
          <w:rFonts w:ascii="宋体" w:hAnsi="宋体" w:cs="宋体"/>
          <w:color w:val="auto"/>
          <w:kern w:val="0"/>
          <w:highlight w:val="none"/>
        </w:rPr>
        <w:t>________________________</w:t>
      </w:r>
      <w:r>
        <w:rPr>
          <w:rFonts w:hint="eastAsia" w:ascii="宋体" w:hAnsi="宋体" w:cs="宋体"/>
          <w:color w:val="auto"/>
          <w:kern w:val="0"/>
          <w:highlight w:val="none"/>
        </w:rPr>
        <w:t>（单位盖章）</w:t>
      </w:r>
    </w:p>
    <w:p w14:paraId="49EB0C23">
      <w:pPr>
        <w:adjustRightInd w:val="0"/>
        <w:snapToGrid w:val="0"/>
        <w:spacing w:line="480" w:lineRule="auto"/>
        <w:ind w:firstLine="4200" w:firstLineChars="2000"/>
        <w:jc w:val="left"/>
        <w:rPr>
          <w:rFonts w:ascii="宋体" w:cs="Times New Roman"/>
          <w:color w:val="auto"/>
          <w:kern w:val="0"/>
          <w:highlight w:val="none"/>
        </w:rPr>
      </w:pPr>
      <w:r>
        <w:rPr>
          <w:rFonts w:hint="eastAsia" w:ascii="宋体" w:hAnsi="宋体" w:cs="宋体"/>
          <w:color w:val="auto"/>
          <w:kern w:val="0"/>
          <w:highlight w:val="none"/>
        </w:rPr>
        <w:t>法定代表人或其委托代理人：</w:t>
      </w:r>
      <w:r>
        <w:rPr>
          <w:rFonts w:ascii="宋体" w:hAnsi="宋体" w:cs="宋体"/>
          <w:color w:val="auto"/>
          <w:kern w:val="0"/>
          <w:highlight w:val="none"/>
        </w:rPr>
        <w:t>__________</w:t>
      </w:r>
      <w:r>
        <w:rPr>
          <w:rFonts w:hint="eastAsia" w:ascii="宋体" w:hAnsi="宋体" w:cs="宋体"/>
          <w:color w:val="auto"/>
          <w:kern w:val="0"/>
          <w:highlight w:val="none"/>
        </w:rPr>
        <w:t>（电子签章）</w:t>
      </w:r>
    </w:p>
    <w:p w14:paraId="5E97EC44">
      <w:pPr>
        <w:adjustRightInd w:val="0"/>
        <w:snapToGrid w:val="0"/>
        <w:spacing w:line="480" w:lineRule="auto"/>
        <w:ind w:firstLine="5250" w:firstLineChars="2500"/>
        <w:jc w:val="left"/>
        <w:rPr>
          <w:rFonts w:ascii="宋体" w:cs="Times New Roman"/>
          <w:color w:val="auto"/>
          <w:kern w:val="0"/>
          <w:highlight w:val="none"/>
        </w:rPr>
      </w:pPr>
      <w:r>
        <w:rPr>
          <w:rFonts w:ascii="宋体" w:hAnsi="宋体" w:cs="宋体"/>
          <w:color w:val="auto"/>
          <w:kern w:val="0"/>
          <w:highlight w:val="none"/>
        </w:rPr>
        <w:t>________</w:t>
      </w:r>
      <w:r>
        <w:rPr>
          <w:rFonts w:hint="eastAsia" w:ascii="宋体" w:hAnsi="宋体" w:cs="宋体"/>
          <w:color w:val="auto"/>
          <w:kern w:val="0"/>
          <w:highlight w:val="none"/>
        </w:rPr>
        <w:t>年</w:t>
      </w:r>
      <w:r>
        <w:rPr>
          <w:rFonts w:ascii="宋体" w:hAnsi="宋体" w:cs="宋体"/>
          <w:color w:val="auto"/>
          <w:kern w:val="0"/>
          <w:highlight w:val="none"/>
        </w:rPr>
        <w:t>________</w:t>
      </w:r>
      <w:r>
        <w:rPr>
          <w:rFonts w:hint="eastAsia" w:ascii="宋体" w:hAnsi="宋体" w:cs="宋体"/>
          <w:color w:val="auto"/>
          <w:kern w:val="0"/>
          <w:highlight w:val="none"/>
        </w:rPr>
        <w:t>月</w:t>
      </w:r>
      <w:r>
        <w:rPr>
          <w:rFonts w:ascii="宋体" w:hAnsi="宋体" w:cs="宋体"/>
          <w:color w:val="auto"/>
          <w:kern w:val="0"/>
          <w:highlight w:val="none"/>
        </w:rPr>
        <w:t>________</w:t>
      </w:r>
      <w:r>
        <w:rPr>
          <w:rFonts w:hint="eastAsia" w:ascii="宋体" w:hAnsi="宋体" w:cs="宋体"/>
          <w:color w:val="auto"/>
          <w:kern w:val="0"/>
          <w:highlight w:val="none"/>
        </w:rPr>
        <w:t>日</w:t>
      </w:r>
    </w:p>
    <w:p w14:paraId="175D7F95">
      <w:pPr>
        <w:adjustRightInd w:val="0"/>
        <w:snapToGrid w:val="0"/>
        <w:jc w:val="left"/>
        <w:rPr>
          <w:rFonts w:cs="Times New Roman"/>
          <w:color w:val="auto"/>
          <w:highlight w:val="none"/>
        </w:rPr>
      </w:pPr>
      <w:r>
        <w:rPr>
          <w:rFonts w:cs="Times New Roman"/>
          <w:color w:val="auto"/>
          <w:highlight w:val="none"/>
        </w:rPr>
        <w:br w:type="page"/>
      </w:r>
    </w:p>
    <w:p w14:paraId="1016DF72">
      <w:pPr>
        <w:pStyle w:val="5"/>
        <w:rPr>
          <w:rFonts w:cs="Times New Roman"/>
          <w:color w:val="auto"/>
          <w:highlight w:val="none"/>
        </w:rPr>
      </w:pPr>
      <w:bookmarkStart w:id="573" w:name="_Toc247527609"/>
      <w:bookmarkStart w:id="574" w:name="_Toc45896973"/>
      <w:bookmarkStart w:id="575" w:name="_Toc152045584"/>
      <w:bookmarkStart w:id="576" w:name="_Toc45896677"/>
      <w:bookmarkStart w:id="577" w:name="_Toc144974551"/>
      <w:bookmarkStart w:id="578" w:name="_Toc28551"/>
      <w:bookmarkStart w:id="579" w:name="_Toc300835005"/>
      <w:bookmarkStart w:id="580" w:name="_Toc152042361"/>
      <w:bookmarkStart w:id="581" w:name="_Toc247514008"/>
      <w:r>
        <w:rPr>
          <w:rFonts w:hint="eastAsia"/>
          <w:color w:val="auto"/>
          <w:highlight w:val="none"/>
        </w:rPr>
        <w:t>附件四：中标通知书</w:t>
      </w:r>
      <w:bookmarkEnd w:id="573"/>
      <w:bookmarkEnd w:id="574"/>
      <w:bookmarkEnd w:id="575"/>
      <w:bookmarkEnd w:id="576"/>
      <w:bookmarkEnd w:id="577"/>
      <w:bookmarkEnd w:id="578"/>
      <w:bookmarkEnd w:id="579"/>
      <w:bookmarkEnd w:id="580"/>
      <w:bookmarkEnd w:id="581"/>
    </w:p>
    <w:p w14:paraId="6E27E731">
      <w:pPr>
        <w:spacing w:line="400" w:lineRule="exact"/>
        <w:rPr>
          <w:rFonts w:cs="Times New Roman"/>
          <w:color w:val="auto"/>
          <w:highlight w:val="none"/>
        </w:rPr>
      </w:pPr>
    </w:p>
    <w:p w14:paraId="6418E7D3">
      <w:pPr>
        <w:spacing w:line="400" w:lineRule="exact"/>
        <w:jc w:val="center"/>
        <w:rPr>
          <w:rFonts w:ascii="黑体" w:eastAsia="黑体" w:cs="Times New Roman"/>
          <w:color w:val="auto"/>
          <w:sz w:val="28"/>
          <w:szCs w:val="28"/>
          <w:highlight w:val="none"/>
        </w:rPr>
      </w:pPr>
      <w:r>
        <w:rPr>
          <w:rFonts w:hint="eastAsia" w:ascii="黑体" w:eastAsia="黑体" w:cs="黑体"/>
          <w:color w:val="auto"/>
          <w:sz w:val="28"/>
          <w:szCs w:val="28"/>
          <w:highlight w:val="none"/>
        </w:rPr>
        <w:t>中标通知书</w:t>
      </w:r>
    </w:p>
    <w:p w14:paraId="50C57F90">
      <w:pPr>
        <w:spacing w:line="400" w:lineRule="exact"/>
        <w:rPr>
          <w:color w:val="auto"/>
          <w:highlight w:val="none"/>
        </w:rPr>
      </w:pPr>
      <w:r>
        <w:rPr>
          <w:color w:val="auto"/>
          <w:highlight w:val="none"/>
        </w:rPr>
        <w:t xml:space="preserve">                              </w:t>
      </w:r>
    </w:p>
    <w:p w14:paraId="468B41E4">
      <w:pPr>
        <w:spacing w:line="440" w:lineRule="exact"/>
        <w:rPr>
          <w:rFonts w:cs="Times New Roman"/>
          <w:color w:val="auto"/>
          <w:highlight w:val="none"/>
        </w:rPr>
      </w:pPr>
      <w:r>
        <w:rPr>
          <w:color w:val="auto"/>
          <w:highlight w:val="none"/>
        </w:rPr>
        <w:t xml:space="preserve">     </w:t>
      </w:r>
      <w:r>
        <w:rPr>
          <w:color w:val="auto"/>
          <w:highlight w:val="none"/>
          <w:u w:val="single"/>
        </w:rPr>
        <w:t xml:space="preserve">              </w:t>
      </w:r>
      <w:r>
        <w:rPr>
          <w:rFonts w:hint="eastAsia" w:cs="宋体"/>
          <w:color w:val="auto"/>
          <w:highlight w:val="none"/>
          <w:u w:val="single"/>
        </w:rPr>
        <w:t>（中标人名称）</w:t>
      </w:r>
      <w:r>
        <w:rPr>
          <w:rFonts w:hint="eastAsia" w:cs="宋体"/>
          <w:color w:val="auto"/>
          <w:highlight w:val="none"/>
        </w:rPr>
        <w:t>：</w:t>
      </w:r>
    </w:p>
    <w:p w14:paraId="585181E2">
      <w:pPr>
        <w:spacing w:line="440" w:lineRule="exact"/>
        <w:rPr>
          <w:rFonts w:cs="Times New Roman"/>
          <w:color w:val="auto"/>
          <w:highlight w:val="none"/>
        </w:rPr>
      </w:pPr>
    </w:p>
    <w:p w14:paraId="3B5C40BD">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你方于</w:t>
      </w:r>
      <w:r>
        <w:rPr>
          <w:rFonts w:hint="eastAsia" w:ascii="宋体" w:hAnsi="宋体" w:eastAsia="宋体" w:cs="宋体"/>
          <w:color w:val="auto"/>
          <w:highlight w:val="none"/>
          <w:u w:val="single"/>
        </w:rPr>
        <w:t xml:space="preserve">         （投标日期）</w:t>
      </w:r>
      <w:r>
        <w:rPr>
          <w:rFonts w:hint="eastAsia" w:ascii="宋体" w:hAnsi="宋体" w:eastAsia="宋体" w:cs="宋体"/>
          <w:color w:val="auto"/>
          <w:highlight w:val="none"/>
        </w:rPr>
        <w:t>所递交的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招标的投标文件已被我方接受，被确定为中标人。</w:t>
      </w:r>
    </w:p>
    <w:p w14:paraId="178D81BB">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中标价：</w:t>
      </w:r>
      <w:r>
        <w:rPr>
          <w:rFonts w:hint="eastAsia" w:ascii="宋体" w:hAnsi="宋体" w:cs="宋体"/>
          <w:color w:val="auto"/>
          <w:highlight w:val="none"/>
          <w:lang w:eastAsia="zh-CN"/>
        </w:rPr>
        <w:t>投资收益率</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w:t>
      </w:r>
      <w:r>
        <w:rPr>
          <w:rFonts w:hint="eastAsia" w:ascii="宋体" w:hAnsi="宋体" w:eastAsia="宋体" w:cs="宋体"/>
          <w:color w:val="auto"/>
          <w:highlight w:val="none"/>
        </w:rPr>
        <w:t>工程设计费</w:t>
      </w:r>
      <w:r>
        <w:rPr>
          <w:rFonts w:hint="eastAsia" w:ascii="宋体" w:hAnsi="宋体" w:cs="宋体"/>
          <w:color w:val="auto"/>
          <w:highlight w:val="none"/>
          <w:lang w:eastAsia="zh-CN"/>
        </w:rPr>
        <w:t>费率</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w:t>
      </w:r>
      <w:r>
        <w:rPr>
          <w:rFonts w:hint="eastAsia" w:ascii="宋体" w:hAnsi="宋体" w:eastAsia="宋体" w:cs="宋体"/>
          <w:color w:val="auto"/>
          <w:highlight w:val="none"/>
        </w:rPr>
        <w:t>，建安工程</w:t>
      </w:r>
      <w:r>
        <w:rPr>
          <w:rFonts w:hint="eastAsia" w:ascii="宋体" w:hAnsi="宋体" w:cs="宋体"/>
          <w:color w:val="auto"/>
          <w:highlight w:val="none"/>
          <w:lang w:eastAsia="zh-CN"/>
        </w:rPr>
        <w:t>施工</w:t>
      </w:r>
      <w:r>
        <w:rPr>
          <w:rFonts w:hint="eastAsia" w:ascii="宋体" w:hAnsi="宋体" w:eastAsia="宋体" w:cs="宋体"/>
          <w:color w:val="auto"/>
          <w:highlight w:val="none"/>
        </w:rPr>
        <w:t>费下浮率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A3C3558">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日历天。</w:t>
      </w:r>
    </w:p>
    <w:p w14:paraId="67590EFD">
      <w:pPr>
        <w:spacing w:line="440" w:lineRule="exact"/>
        <w:ind w:firstLine="420" w:firstLineChars="200"/>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设计质量标准：</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none"/>
          <w:lang w:val="en-US" w:eastAsia="zh-CN"/>
        </w:rPr>
        <w:t>。</w:t>
      </w:r>
    </w:p>
    <w:p w14:paraId="0DD1F7A2">
      <w:pPr>
        <w:spacing w:line="440" w:lineRule="exact"/>
        <w:ind w:firstLine="420" w:firstLineChars="200"/>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施工质量标准：</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none"/>
          <w:lang w:val="en-US" w:eastAsia="zh-CN"/>
        </w:rPr>
        <w:t>。</w:t>
      </w:r>
    </w:p>
    <w:p w14:paraId="2D0408B1">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总承包质量标准：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268FF35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项目负责人：</w:t>
      </w:r>
      <w:r>
        <w:rPr>
          <w:rFonts w:hint="eastAsia" w:ascii="宋体" w:hAnsi="宋体" w:eastAsia="宋体" w:cs="宋体"/>
          <w:color w:val="auto"/>
          <w:highlight w:val="none"/>
          <w:u w:val="single"/>
        </w:rPr>
        <w:t xml:space="preserve">                   （姓名）</w:t>
      </w:r>
      <w:r>
        <w:rPr>
          <w:rFonts w:hint="eastAsia" w:ascii="宋体" w:hAnsi="宋体" w:eastAsia="宋体" w:cs="宋体"/>
          <w:color w:val="auto"/>
          <w:highlight w:val="none"/>
        </w:rPr>
        <w:t>。</w:t>
      </w:r>
    </w:p>
    <w:p w14:paraId="18A9C53D">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设计负责人：</w:t>
      </w:r>
      <w:r>
        <w:rPr>
          <w:rFonts w:hint="eastAsia" w:ascii="宋体" w:hAnsi="宋体" w:eastAsia="宋体" w:cs="宋体"/>
          <w:color w:val="auto"/>
          <w:highlight w:val="none"/>
          <w:u w:val="single"/>
        </w:rPr>
        <w:t xml:space="preserve">                 （姓名）</w:t>
      </w:r>
      <w:r>
        <w:rPr>
          <w:rFonts w:hint="eastAsia" w:ascii="宋体" w:hAnsi="宋体" w:eastAsia="宋体" w:cs="宋体"/>
          <w:color w:val="auto"/>
          <w:highlight w:val="none"/>
        </w:rPr>
        <w:t>。</w:t>
      </w:r>
    </w:p>
    <w:p w14:paraId="7539DB9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施工负责人（项目经理）：</w:t>
      </w:r>
      <w:r>
        <w:rPr>
          <w:rFonts w:hint="eastAsia" w:ascii="宋体" w:hAnsi="宋体" w:eastAsia="宋体" w:cs="宋体"/>
          <w:color w:val="auto"/>
          <w:highlight w:val="none"/>
          <w:u w:val="single"/>
        </w:rPr>
        <w:t xml:space="preserve">                 （姓名）</w:t>
      </w:r>
      <w:r>
        <w:rPr>
          <w:rFonts w:hint="eastAsia" w:ascii="宋体" w:hAnsi="宋体" w:eastAsia="宋体" w:cs="宋体"/>
          <w:color w:val="auto"/>
          <w:highlight w:val="none"/>
        </w:rPr>
        <w:t>。</w:t>
      </w:r>
    </w:p>
    <w:p w14:paraId="348BF59D">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请你方在接到本通知书后的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日内到</w:t>
      </w:r>
      <w:r>
        <w:rPr>
          <w:rFonts w:hint="eastAsia" w:ascii="宋体" w:hAnsi="宋体" w:eastAsia="宋体" w:cs="宋体"/>
          <w:color w:val="auto"/>
          <w:highlight w:val="none"/>
          <w:u w:val="single"/>
        </w:rPr>
        <w:t xml:space="preserve">                      （指定地点）</w:t>
      </w:r>
      <w:r>
        <w:rPr>
          <w:rFonts w:hint="eastAsia" w:ascii="宋体" w:hAnsi="宋体" w:eastAsia="宋体" w:cs="宋体"/>
          <w:color w:val="auto"/>
          <w:highlight w:val="none"/>
        </w:rPr>
        <w:t>与我方签订设计施工总承包合同，在此之前按招标文件第二章“投标人须知”第7.4.1款规定向我方提交履约担保。</w:t>
      </w:r>
    </w:p>
    <w:p w14:paraId="70928DE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随附的澄清、说明、补正事项纪要，是本中标通知书的组成部分。</w:t>
      </w:r>
    </w:p>
    <w:p w14:paraId="546269BA">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特此通知。</w:t>
      </w:r>
    </w:p>
    <w:p w14:paraId="34EE4591">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附：澄清、说明、补正事项纪要</w:t>
      </w:r>
    </w:p>
    <w:p w14:paraId="1ED0B287">
      <w:pPr>
        <w:spacing w:line="440" w:lineRule="exact"/>
        <w:rPr>
          <w:rFonts w:cs="Times New Roman"/>
          <w:color w:val="auto"/>
          <w:highlight w:val="none"/>
        </w:rPr>
      </w:pPr>
    </w:p>
    <w:p w14:paraId="2618556F">
      <w:pPr>
        <w:spacing w:line="440" w:lineRule="exact"/>
        <w:rPr>
          <w:rFonts w:cs="Times New Roman"/>
          <w:color w:val="auto"/>
          <w:highlight w:val="none"/>
        </w:rPr>
      </w:pPr>
    </w:p>
    <w:p w14:paraId="0AC120A0">
      <w:pPr>
        <w:spacing w:line="540" w:lineRule="exact"/>
        <w:ind w:firstLine="3238" w:firstLineChars="1542"/>
        <w:rPr>
          <w:color w:val="auto"/>
          <w:highlight w:val="none"/>
        </w:rPr>
      </w:pPr>
      <w:r>
        <w:rPr>
          <w:rFonts w:hint="eastAsia" w:cs="宋体"/>
          <w:color w:val="auto"/>
          <w:highlight w:val="none"/>
        </w:rPr>
        <w:t>招标人：</w:t>
      </w:r>
      <w:r>
        <w:rPr>
          <w:color w:val="auto"/>
          <w:highlight w:val="none"/>
        </w:rPr>
        <w:t xml:space="preserve">              </w:t>
      </w:r>
      <w:r>
        <w:rPr>
          <w:rFonts w:hint="eastAsia" w:cs="宋体"/>
          <w:color w:val="auto"/>
          <w:highlight w:val="none"/>
        </w:rPr>
        <w:t>（单位盖章）</w:t>
      </w:r>
      <w:r>
        <w:rPr>
          <w:color w:val="auto"/>
          <w:highlight w:val="none"/>
        </w:rPr>
        <w:t xml:space="preserve">            </w:t>
      </w:r>
    </w:p>
    <w:p w14:paraId="206A5359">
      <w:pPr>
        <w:spacing w:line="540" w:lineRule="exact"/>
        <w:ind w:firstLine="3238" w:firstLineChars="1542"/>
        <w:rPr>
          <w:rFonts w:cs="Times New Roman"/>
          <w:color w:val="auto"/>
          <w:highlight w:val="none"/>
        </w:rPr>
      </w:pPr>
      <w:r>
        <w:rPr>
          <w:rFonts w:hint="eastAsia" w:cs="宋体"/>
          <w:color w:val="auto"/>
          <w:highlight w:val="none"/>
        </w:rPr>
        <w:t>法定代表人：</w:t>
      </w:r>
      <w:r>
        <w:rPr>
          <w:color w:val="auto"/>
          <w:highlight w:val="none"/>
        </w:rPr>
        <w:t xml:space="preserve">            </w:t>
      </w:r>
      <w:r>
        <w:rPr>
          <w:rFonts w:hint="eastAsia" w:cs="宋体"/>
          <w:color w:val="auto"/>
          <w:highlight w:val="none"/>
        </w:rPr>
        <w:t>（签字）</w:t>
      </w:r>
    </w:p>
    <w:p w14:paraId="5953BEBA">
      <w:pPr>
        <w:spacing w:line="540" w:lineRule="exact"/>
        <w:ind w:firstLine="3863" w:firstLineChars="1840"/>
        <w:rPr>
          <w:rFonts w:cs="Times New Roman"/>
          <w:color w:val="auto"/>
          <w:highlight w:val="none"/>
        </w:rPr>
      </w:pPr>
      <w:r>
        <w:rPr>
          <w:color w:val="auto"/>
          <w:highlight w:val="none"/>
        </w:rPr>
        <w:t xml:space="preserve"> </w:t>
      </w:r>
      <w:r>
        <w:rPr>
          <w:rFonts w:ascii="宋体" w:hAnsi="宋体" w:cs="宋体"/>
          <w:color w:val="auto"/>
          <w:highlight w:val="none"/>
        </w:rPr>
        <w:t xml:space="preserve">     </w:t>
      </w:r>
      <w:r>
        <w:rPr>
          <w:rFonts w:hint="eastAsia" w:cs="宋体"/>
          <w:color w:val="auto"/>
          <w:highlight w:val="none"/>
        </w:rPr>
        <w:t>年</w:t>
      </w:r>
      <w:r>
        <w:rPr>
          <w:rFonts w:ascii="宋体" w:hAnsi="宋体" w:cs="宋体"/>
          <w:color w:val="auto"/>
          <w:highlight w:val="none"/>
        </w:rPr>
        <w:t xml:space="preserve">     </w:t>
      </w:r>
      <w:r>
        <w:rPr>
          <w:rFonts w:hint="eastAsia" w:cs="宋体"/>
          <w:color w:val="auto"/>
          <w:highlight w:val="none"/>
        </w:rPr>
        <w:t>月</w:t>
      </w:r>
      <w:r>
        <w:rPr>
          <w:rFonts w:ascii="宋体" w:hAnsi="宋体" w:cs="宋体"/>
          <w:color w:val="auto"/>
          <w:highlight w:val="none"/>
        </w:rPr>
        <w:t xml:space="preserve">     </w:t>
      </w:r>
      <w:r>
        <w:rPr>
          <w:rFonts w:hint="eastAsia" w:cs="宋体"/>
          <w:color w:val="auto"/>
          <w:highlight w:val="none"/>
        </w:rPr>
        <w:t>日</w:t>
      </w:r>
    </w:p>
    <w:p w14:paraId="7C1A4466">
      <w:pPr>
        <w:spacing w:line="400" w:lineRule="exact"/>
        <w:rPr>
          <w:rFonts w:cs="Times New Roman"/>
          <w:color w:val="auto"/>
          <w:highlight w:val="none"/>
        </w:rPr>
      </w:pPr>
    </w:p>
    <w:p w14:paraId="25EFAEB1">
      <w:pPr>
        <w:spacing w:line="400" w:lineRule="exact"/>
        <w:rPr>
          <w:rFonts w:cs="Times New Roman"/>
          <w:color w:val="auto"/>
          <w:highlight w:val="none"/>
        </w:rPr>
      </w:pPr>
      <w:r>
        <w:rPr>
          <w:rFonts w:cs="Times New Roman"/>
          <w:color w:val="auto"/>
          <w:highlight w:val="none"/>
        </w:rPr>
        <w:br w:type="page"/>
      </w:r>
    </w:p>
    <w:p w14:paraId="34210798">
      <w:pPr>
        <w:pStyle w:val="5"/>
        <w:rPr>
          <w:rFonts w:cs="Times New Roman"/>
          <w:color w:val="auto"/>
          <w:highlight w:val="none"/>
        </w:rPr>
      </w:pPr>
      <w:bookmarkStart w:id="582" w:name="_Toc45896678"/>
      <w:bookmarkStart w:id="583" w:name="_Toc144974552"/>
      <w:bookmarkStart w:id="584" w:name="_Toc300835006"/>
      <w:bookmarkStart w:id="585" w:name="_Toc247514009"/>
      <w:bookmarkStart w:id="586" w:name="_Toc15088"/>
      <w:bookmarkStart w:id="587" w:name="_Toc45896974"/>
      <w:bookmarkStart w:id="588" w:name="_Toc152045585"/>
      <w:bookmarkStart w:id="589" w:name="_Toc152042362"/>
      <w:bookmarkStart w:id="590" w:name="_Toc247527610"/>
      <w:r>
        <w:rPr>
          <w:rFonts w:hint="eastAsia"/>
          <w:color w:val="auto"/>
          <w:highlight w:val="none"/>
        </w:rPr>
        <w:t>附件五：中标结果通知书</w:t>
      </w:r>
      <w:bookmarkEnd w:id="582"/>
      <w:bookmarkEnd w:id="583"/>
      <w:bookmarkEnd w:id="584"/>
      <w:bookmarkEnd w:id="585"/>
      <w:bookmarkEnd w:id="586"/>
      <w:bookmarkEnd w:id="587"/>
      <w:bookmarkEnd w:id="588"/>
      <w:bookmarkEnd w:id="589"/>
      <w:bookmarkEnd w:id="590"/>
    </w:p>
    <w:p w14:paraId="1111792A">
      <w:pPr>
        <w:spacing w:line="400" w:lineRule="exact"/>
        <w:rPr>
          <w:rFonts w:cs="Times New Roman"/>
          <w:color w:val="auto"/>
          <w:highlight w:val="none"/>
        </w:rPr>
      </w:pPr>
    </w:p>
    <w:p w14:paraId="74422C69">
      <w:pPr>
        <w:spacing w:line="400" w:lineRule="exact"/>
        <w:jc w:val="center"/>
        <w:rPr>
          <w:rFonts w:ascii="黑体" w:eastAsia="黑体" w:cs="Times New Roman"/>
          <w:color w:val="auto"/>
          <w:sz w:val="28"/>
          <w:szCs w:val="28"/>
          <w:highlight w:val="none"/>
        </w:rPr>
      </w:pPr>
      <w:r>
        <w:rPr>
          <w:rFonts w:hint="eastAsia" w:ascii="黑体" w:eastAsia="黑体" w:cs="黑体"/>
          <w:color w:val="auto"/>
          <w:sz w:val="28"/>
          <w:szCs w:val="28"/>
          <w:highlight w:val="none"/>
        </w:rPr>
        <w:t>中标结果通知书</w:t>
      </w:r>
    </w:p>
    <w:p w14:paraId="697A3047">
      <w:pPr>
        <w:spacing w:line="400" w:lineRule="exact"/>
        <w:rPr>
          <w:rFonts w:cs="Times New Roman"/>
          <w:color w:val="auto"/>
          <w:highlight w:val="none"/>
        </w:rPr>
      </w:pPr>
    </w:p>
    <w:p w14:paraId="3F5F1A9D">
      <w:pPr>
        <w:spacing w:line="440" w:lineRule="exact"/>
        <w:rPr>
          <w:rFonts w:cs="Times New Roman"/>
          <w:color w:val="auto"/>
          <w:highlight w:val="none"/>
        </w:rPr>
      </w:pPr>
      <w:r>
        <w:rPr>
          <w:color w:val="auto"/>
          <w:highlight w:val="none"/>
        </w:rPr>
        <w:t xml:space="preserve">     </w:t>
      </w:r>
      <w:r>
        <w:rPr>
          <w:color w:val="auto"/>
          <w:highlight w:val="none"/>
          <w:u w:val="single"/>
        </w:rPr>
        <w:t xml:space="preserve">             </w:t>
      </w:r>
      <w:r>
        <w:rPr>
          <w:rFonts w:hint="eastAsia" w:cs="宋体"/>
          <w:color w:val="auto"/>
          <w:highlight w:val="none"/>
          <w:u w:val="single"/>
        </w:rPr>
        <w:t>（未中标人名称）</w:t>
      </w:r>
      <w:r>
        <w:rPr>
          <w:rFonts w:hint="eastAsia" w:cs="宋体"/>
          <w:color w:val="auto"/>
          <w:highlight w:val="none"/>
        </w:rPr>
        <w:t>：</w:t>
      </w:r>
    </w:p>
    <w:p w14:paraId="75A744FA">
      <w:pPr>
        <w:spacing w:line="440" w:lineRule="exact"/>
        <w:rPr>
          <w:color w:val="auto"/>
          <w:highlight w:val="none"/>
        </w:rPr>
      </w:pPr>
      <w:r>
        <w:rPr>
          <w:color w:val="auto"/>
          <w:highlight w:val="none"/>
        </w:rPr>
        <w:t xml:space="preserve">    </w:t>
      </w:r>
    </w:p>
    <w:p w14:paraId="73A796A5">
      <w:pPr>
        <w:spacing w:line="440" w:lineRule="exact"/>
        <w:ind w:firstLine="420"/>
        <w:rPr>
          <w:rFonts w:cs="Times New Roman"/>
          <w:color w:val="auto"/>
          <w:highlight w:val="none"/>
        </w:rPr>
      </w:pPr>
      <w:r>
        <w:rPr>
          <w:rFonts w:hint="eastAsia" w:cs="宋体"/>
          <w:color w:val="auto"/>
          <w:highlight w:val="none"/>
        </w:rPr>
        <w:t>我方已接受</w:t>
      </w:r>
      <w:r>
        <w:rPr>
          <w:color w:val="auto"/>
          <w:highlight w:val="none"/>
          <w:u w:val="single"/>
        </w:rPr>
        <w:t xml:space="preserve">                     </w:t>
      </w:r>
      <w:r>
        <w:rPr>
          <w:rFonts w:hint="eastAsia" w:cs="宋体"/>
          <w:color w:val="auto"/>
          <w:highlight w:val="none"/>
          <w:u w:val="single"/>
        </w:rPr>
        <w:t>（中标人名称）</w:t>
      </w:r>
      <w:r>
        <w:rPr>
          <w:rFonts w:hint="eastAsia" w:cs="宋体"/>
          <w:color w:val="auto"/>
          <w:highlight w:val="none"/>
        </w:rPr>
        <w:t>于</w:t>
      </w:r>
      <w:r>
        <w:rPr>
          <w:color w:val="auto"/>
          <w:highlight w:val="none"/>
          <w:u w:val="single"/>
        </w:rPr>
        <w:t xml:space="preserve">                      </w:t>
      </w:r>
      <w:r>
        <w:rPr>
          <w:rFonts w:hint="eastAsia" w:cs="宋体"/>
          <w:color w:val="auto"/>
          <w:highlight w:val="none"/>
          <w:u w:val="single"/>
        </w:rPr>
        <w:t>（投标日期）</w:t>
      </w:r>
      <w:r>
        <w:rPr>
          <w:rFonts w:hint="eastAsia" w:cs="宋体"/>
          <w:color w:val="auto"/>
          <w:highlight w:val="none"/>
        </w:rPr>
        <w:t>所递交的</w:t>
      </w:r>
      <w:r>
        <w:rPr>
          <w:color w:val="auto"/>
          <w:highlight w:val="none"/>
          <w:u w:val="single"/>
        </w:rPr>
        <w:t xml:space="preserve">               </w:t>
      </w:r>
      <w:r>
        <w:rPr>
          <w:rFonts w:hint="eastAsia" w:cs="宋体"/>
          <w:color w:val="auto"/>
          <w:highlight w:val="none"/>
          <w:u w:val="single"/>
        </w:rPr>
        <w:t>（项目名称）</w:t>
      </w:r>
      <w:r>
        <w:rPr>
          <w:rFonts w:hint="eastAsia" w:cs="宋体"/>
          <w:color w:val="auto"/>
          <w:highlight w:val="none"/>
        </w:rPr>
        <w:t>招标的投标文件，确定</w:t>
      </w:r>
      <w:r>
        <w:rPr>
          <w:color w:val="auto"/>
          <w:highlight w:val="none"/>
          <w:u w:val="single"/>
        </w:rPr>
        <w:t xml:space="preserve">            </w:t>
      </w:r>
      <w:r>
        <w:rPr>
          <w:rFonts w:hint="eastAsia" w:cs="宋体"/>
          <w:color w:val="auto"/>
          <w:highlight w:val="none"/>
          <w:u w:val="single"/>
        </w:rPr>
        <w:t>（中标人名称）</w:t>
      </w:r>
      <w:r>
        <w:rPr>
          <w:rFonts w:hint="eastAsia" w:cs="宋体"/>
          <w:color w:val="auto"/>
          <w:highlight w:val="none"/>
        </w:rPr>
        <w:t>为中标人。</w:t>
      </w:r>
    </w:p>
    <w:p w14:paraId="0BFBA5F3">
      <w:pPr>
        <w:spacing w:line="440" w:lineRule="exact"/>
        <w:rPr>
          <w:rFonts w:cs="Times New Roman"/>
          <w:color w:val="auto"/>
          <w:highlight w:val="none"/>
        </w:rPr>
      </w:pPr>
      <w:r>
        <w:rPr>
          <w:rFonts w:hint="eastAsia" w:cs="宋体"/>
          <w:color w:val="auto"/>
          <w:highlight w:val="none"/>
        </w:rPr>
        <w:t>　　感谢你单位对我们工作的大力支持！</w:t>
      </w:r>
    </w:p>
    <w:p w14:paraId="20CC2107">
      <w:pPr>
        <w:spacing w:line="440" w:lineRule="exact"/>
        <w:rPr>
          <w:rFonts w:cs="Times New Roman"/>
          <w:color w:val="auto"/>
          <w:highlight w:val="none"/>
        </w:rPr>
      </w:pPr>
    </w:p>
    <w:p w14:paraId="38DF56E6">
      <w:pPr>
        <w:spacing w:line="440" w:lineRule="exact"/>
        <w:rPr>
          <w:rFonts w:cs="Times New Roman"/>
          <w:color w:val="auto"/>
          <w:highlight w:val="none"/>
        </w:rPr>
      </w:pPr>
    </w:p>
    <w:p w14:paraId="468B9F0E">
      <w:pPr>
        <w:spacing w:line="440" w:lineRule="exact"/>
        <w:rPr>
          <w:rFonts w:cs="Times New Roman"/>
          <w:color w:val="auto"/>
          <w:highlight w:val="none"/>
        </w:rPr>
      </w:pPr>
    </w:p>
    <w:p w14:paraId="35FDACA8">
      <w:pPr>
        <w:spacing w:line="440" w:lineRule="exact"/>
        <w:rPr>
          <w:rFonts w:cs="Times New Roman"/>
          <w:color w:val="auto"/>
          <w:highlight w:val="none"/>
        </w:rPr>
      </w:pPr>
      <w:r>
        <w:rPr>
          <w:color w:val="auto"/>
          <w:highlight w:val="none"/>
        </w:rPr>
        <w:t xml:space="preserve">                                </w:t>
      </w:r>
      <w:r>
        <w:rPr>
          <w:rFonts w:hint="eastAsia" w:cs="宋体"/>
          <w:color w:val="auto"/>
          <w:highlight w:val="none"/>
        </w:rPr>
        <w:t>招标人：</w:t>
      </w:r>
      <w:r>
        <w:rPr>
          <w:color w:val="auto"/>
          <w:highlight w:val="none"/>
        </w:rPr>
        <w:t xml:space="preserve">                </w:t>
      </w:r>
      <w:r>
        <w:rPr>
          <w:rFonts w:hint="eastAsia" w:cs="宋体"/>
          <w:color w:val="auto"/>
          <w:highlight w:val="none"/>
        </w:rPr>
        <w:t>（单位盖章）</w:t>
      </w:r>
    </w:p>
    <w:p w14:paraId="4E2DA8E2">
      <w:pPr>
        <w:spacing w:line="440" w:lineRule="exact"/>
        <w:rPr>
          <w:rFonts w:cs="Times New Roman"/>
          <w:color w:val="auto"/>
          <w:highlight w:val="none"/>
        </w:rPr>
      </w:pPr>
    </w:p>
    <w:p w14:paraId="5F6B9654">
      <w:pPr>
        <w:spacing w:line="440" w:lineRule="exact"/>
        <w:rPr>
          <w:rFonts w:cs="Times New Roman"/>
          <w:color w:val="auto"/>
          <w:highlight w:val="none"/>
        </w:rPr>
      </w:pPr>
      <w:r>
        <w:rPr>
          <w:color w:val="auto"/>
          <w:highlight w:val="none"/>
        </w:rPr>
        <w:t xml:space="preserve">                                </w:t>
      </w:r>
      <w:r>
        <w:rPr>
          <w:rFonts w:hint="eastAsia" w:cs="宋体"/>
          <w:color w:val="auto"/>
          <w:highlight w:val="none"/>
        </w:rPr>
        <w:t>法定代表人：</w:t>
      </w:r>
      <w:r>
        <w:rPr>
          <w:color w:val="auto"/>
          <w:highlight w:val="none"/>
        </w:rPr>
        <w:t xml:space="preserve">                </w:t>
      </w:r>
      <w:r>
        <w:rPr>
          <w:rFonts w:hint="eastAsia" w:cs="宋体"/>
          <w:color w:val="auto"/>
          <w:highlight w:val="none"/>
        </w:rPr>
        <w:t>（签字）</w:t>
      </w:r>
    </w:p>
    <w:p w14:paraId="274F1F05">
      <w:pPr>
        <w:spacing w:line="440" w:lineRule="exact"/>
        <w:rPr>
          <w:rFonts w:cs="Times New Roman"/>
          <w:color w:val="auto"/>
          <w:highlight w:val="none"/>
        </w:rPr>
      </w:pPr>
    </w:p>
    <w:p w14:paraId="47C42090">
      <w:pPr>
        <w:spacing w:line="440" w:lineRule="exact"/>
        <w:rPr>
          <w:rFonts w:cs="Times New Roman"/>
          <w:color w:val="auto"/>
          <w:highlight w:val="none"/>
        </w:rPr>
      </w:pPr>
      <w:r>
        <w:rPr>
          <w:color w:val="auto"/>
          <w:highlight w:val="none"/>
        </w:rPr>
        <w:t xml:space="preserve">                                          </w:t>
      </w:r>
      <w:r>
        <w:rPr>
          <w:rFonts w:ascii="宋体" w:hAnsi="宋体" w:cs="宋体"/>
          <w:color w:val="auto"/>
          <w:highlight w:val="none"/>
        </w:rPr>
        <w:t xml:space="preserve">     </w:t>
      </w:r>
      <w:r>
        <w:rPr>
          <w:rFonts w:hint="eastAsia" w:cs="宋体"/>
          <w:color w:val="auto"/>
          <w:highlight w:val="none"/>
        </w:rPr>
        <w:t>年</w:t>
      </w:r>
      <w:r>
        <w:rPr>
          <w:rFonts w:ascii="宋体" w:hAnsi="宋体" w:cs="宋体"/>
          <w:color w:val="auto"/>
          <w:highlight w:val="none"/>
        </w:rPr>
        <w:t xml:space="preserve">     </w:t>
      </w:r>
      <w:r>
        <w:rPr>
          <w:rFonts w:hint="eastAsia" w:cs="宋体"/>
          <w:color w:val="auto"/>
          <w:highlight w:val="none"/>
        </w:rPr>
        <w:t>月</w:t>
      </w:r>
      <w:r>
        <w:rPr>
          <w:rFonts w:ascii="宋体" w:hAnsi="宋体" w:cs="宋体"/>
          <w:color w:val="auto"/>
          <w:highlight w:val="none"/>
        </w:rPr>
        <w:t xml:space="preserve">     </w:t>
      </w:r>
      <w:r>
        <w:rPr>
          <w:rFonts w:hint="eastAsia" w:cs="宋体"/>
          <w:color w:val="auto"/>
          <w:highlight w:val="none"/>
        </w:rPr>
        <w:t>日</w:t>
      </w:r>
    </w:p>
    <w:p w14:paraId="1CA87B32">
      <w:pPr>
        <w:spacing w:line="400" w:lineRule="exact"/>
        <w:rPr>
          <w:rFonts w:cs="Times New Roman"/>
          <w:color w:val="auto"/>
          <w:highlight w:val="none"/>
        </w:rPr>
      </w:pPr>
    </w:p>
    <w:p w14:paraId="338BAF89">
      <w:pPr>
        <w:spacing w:line="400" w:lineRule="exact"/>
        <w:rPr>
          <w:rFonts w:cs="Times New Roman"/>
          <w:color w:val="auto"/>
          <w:highlight w:val="none"/>
        </w:rPr>
      </w:pPr>
      <w:r>
        <w:rPr>
          <w:rFonts w:cs="Times New Roman"/>
          <w:color w:val="auto"/>
          <w:highlight w:val="none"/>
        </w:rPr>
        <w:br w:type="page"/>
      </w:r>
    </w:p>
    <w:p w14:paraId="563E95A7">
      <w:pPr>
        <w:pStyle w:val="5"/>
        <w:rPr>
          <w:rFonts w:cs="Times New Roman"/>
          <w:color w:val="auto"/>
          <w:highlight w:val="none"/>
        </w:rPr>
      </w:pPr>
      <w:bookmarkStart w:id="591" w:name="_Toc247527611"/>
      <w:bookmarkStart w:id="592" w:name="_Toc45896679"/>
      <w:bookmarkStart w:id="593" w:name="_Toc300835007"/>
      <w:bookmarkStart w:id="594" w:name="_Toc247514010"/>
      <w:bookmarkStart w:id="595" w:name="_Toc45896975"/>
      <w:bookmarkStart w:id="596" w:name="_Toc144974553"/>
      <w:bookmarkStart w:id="597" w:name="_Toc211"/>
      <w:bookmarkStart w:id="598" w:name="_Toc152042363"/>
      <w:bookmarkStart w:id="599" w:name="_Toc152045586"/>
      <w:r>
        <w:rPr>
          <w:rFonts w:hint="eastAsia"/>
          <w:color w:val="auto"/>
          <w:highlight w:val="none"/>
        </w:rPr>
        <w:t>附件六：确认通知</w:t>
      </w:r>
      <w:bookmarkEnd w:id="591"/>
      <w:bookmarkEnd w:id="592"/>
      <w:bookmarkEnd w:id="593"/>
      <w:bookmarkEnd w:id="594"/>
      <w:bookmarkEnd w:id="595"/>
      <w:bookmarkEnd w:id="596"/>
      <w:bookmarkEnd w:id="597"/>
      <w:bookmarkEnd w:id="598"/>
      <w:bookmarkEnd w:id="599"/>
    </w:p>
    <w:p w14:paraId="1EC791A4">
      <w:pPr>
        <w:spacing w:line="400" w:lineRule="exact"/>
        <w:rPr>
          <w:rFonts w:cs="Times New Roman"/>
          <w:color w:val="auto"/>
          <w:highlight w:val="none"/>
        </w:rPr>
      </w:pPr>
    </w:p>
    <w:p w14:paraId="10B8067E">
      <w:pPr>
        <w:spacing w:line="400" w:lineRule="exact"/>
        <w:jc w:val="center"/>
        <w:rPr>
          <w:rFonts w:ascii="黑体" w:eastAsia="黑体" w:cs="Times New Roman"/>
          <w:color w:val="auto"/>
          <w:sz w:val="28"/>
          <w:szCs w:val="28"/>
          <w:highlight w:val="none"/>
        </w:rPr>
      </w:pPr>
      <w:r>
        <w:rPr>
          <w:rFonts w:hint="eastAsia" w:ascii="黑体" w:eastAsia="黑体" w:cs="黑体"/>
          <w:color w:val="auto"/>
          <w:sz w:val="28"/>
          <w:szCs w:val="28"/>
          <w:highlight w:val="none"/>
        </w:rPr>
        <w:t>确认通知</w:t>
      </w:r>
    </w:p>
    <w:p w14:paraId="0139C060">
      <w:pPr>
        <w:spacing w:line="400" w:lineRule="exact"/>
        <w:rPr>
          <w:rFonts w:cs="Times New Roman"/>
          <w:color w:val="auto"/>
          <w:highlight w:val="none"/>
        </w:rPr>
      </w:pPr>
    </w:p>
    <w:p w14:paraId="3A08BBF0">
      <w:pPr>
        <w:spacing w:line="440" w:lineRule="exact"/>
        <w:ind w:firstLine="420" w:firstLineChars="200"/>
        <w:rPr>
          <w:rFonts w:cs="Times New Roman"/>
          <w:color w:val="auto"/>
          <w:highlight w:val="none"/>
        </w:rPr>
      </w:pPr>
      <w:r>
        <w:rPr>
          <w:color w:val="auto"/>
          <w:highlight w:val="none"/>
        </w:rPr>
        <w:t xml:space="preserve">  </w:t>
      </w:r>
      <w:r>
        <w:rPr>
          <w:color w:val="auto"/>
          <w:highlight w:val="none"/>
          <w:u w:val="single"/>
        </w:rPr>
        <w:t xml:space="preserve">          </w:t>
      </w:r>
      <w:r>
        <w:rPr>
          <w:rFonts w:hint="eastAsia" w:cs="宋体"/>
          <w:color w:val="auto"/>
          <w:highlight w:val="none"/>
          <w:u w:val="single"/>
        </w:rPr>
        <w:t>（招标人名称）</w:t>
      </w:r>
      <w:r>
        <w:rPr>
          <w:rFonts w:hint="eastAsia" w:cs="宋体"/>
          <w:color w:val="auto"/>
          <w:highlight w:val="none"/>
        </w:rPr>
        <w:t>：</w:t>
      </w:r>
    </w:p>
    <w:p w14:paraId="17BA820F">
      <w:pPr>
        <w:spacing w:line="440" w:lineRule="exact"/>
        <w:rPr>
          <w:rFonts w:cs="Times New Roman"/>
          <w:color w:val="auto"/>
          <w:highlight w:val="none"/>
        </w:rPr>
      </w:pPr>
      <w:r>
        <w:rPr>
          <w:rFonts w:hint="eastAsia" w:cs="宋体"/>
          <w:color w:val="auto"/>
          <w:highlight w:val="none"/>
        </w:rPr>
        <w:t>　　</w:t>
      </w:r>
    </w:p>
    <w:p w14:paraId="6C0FD9FA">
      <w:pPr>
        <w:spacing w:line="440" w:lineRule="exact"/>
        <w:ind w:firstLine="840" w:firstLineChars="400"/>
        <w:rPr>
          <w:rFonts w:cs="Times New Roman"/>
          <w:color w:val="auto"/>
          <w:highlight w:val="none"/>
        </w:rPr>
      </w:pPr>
      <w:r>
        <w:rPr>
          <w:rFonts w:hint="eastAsia" w:cs="宋体"/>
          <w:color w:val="auto"/>
          <w:highlight w:val="none"/>
        </w:rPr>
        <w:t>你方于</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s="宋体"/>
          <w:color w:val="auto"/>
          <w:highlight w:val="none"/>
        </w:rPr>
        <w:t>年</w:t>
      </w:r>
      <w:r>
        <w:rPr>
          <w:color w:val="auto"/>
          <w:highlight w:val="none"/>
          <w:u w:val="single"/>
        </w:rPr>
        <w:t xml:space="preserve">      </w:t>
      </w:r>
      <w:r>
        <w:rPr>
          <w:rFonts w:hint="eastAsia" w:cs="宋体"/>
          <w:color w:val="auto"/>
          <w:highlight w:val="none"/>
        </w:rPr>
        <w:t>月</w:t>
      </w:r>
      <w:r>
        <w:rPr>
          <w:color w:val="auto"/>
          <w:highlight w:val="none"/>
          <w:u w:val="single"/>
        </w:rPr>
        <w:t xml:space="preserve">     </w:t>
      </w:r>
      <w:r>
        <w:rPr>
          <w:rFonts w:hint="eastAsia" w:cs="宋体"/>
          <w:color w:val="auto"/>
          <w:highlight w:val="none"/>
        </w:rPr>
        <w:t>日发出的</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s="宋体"/>
          <w:color w:val="auto"/>
          <w:highlight w:val="none"/>
          <w:u w:val="single"/>
        </w:rPr>
        <w:t>（项目名称）</w:t>
      </w:r>
      <w:r>
        <w:rPr>
          <w:rFonts w:hint="eastAsia" w:cs="宋体"/>
          <w:color w:val="auto"/>
          <w:highlight w:val="none"/>
        </w:rPr>
        <w:t>关于</w:t>
      </w:r>
      <w:r>
        <w:rPr>
          <w:color w:val="auto"/>
          <w:highlight w:val="none"/>
        </w:rPr>
        <w:t xml:space="preserve"> </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s="宋体"/>
          <w:color w:val="auto"/>
          <w:highlight w:val="none"/>
        </w:rPr>
        <w:t>的通知，我方已于</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s="宋体"/>
          <w:color w:val="auto"/>
          <w:highlight w:val="none"/>
        </w:rPr>
        <w:t>年</w:t>
      </w:r>
      <w:r>
        <w:rPr>
          <w:color w:val="auto"/>
          <w:highlight w:val="none"/>
          <w:u w:val="single"/>
        </w:rPr>
        <w:t xml:space="preserve">    </w:t>
      </w:r>
      <w:r>
        <w:rPr>
          <w:rFonts w:hint="eastAsia" w:cs="宋体"/>
          <w:color w:val="auto"/>
          <w:highlight w:val="none"/>
        </w:rPr>
        <w:t>月</w:t>
      </w:r>
      <w:r>
        <w:rPr>
          <w:color w:val="auto"/>
          <w:highlight w:val="none"/>
          <w:u w:val="single"/>
        </w:rPr>
        <w:t xml:space="preserve">    </w:t>
      </w:r>
      <w:r>
        <w:rPr>
          <w:rFonts w:hint="eastAsia" w:cs="宋体"/>
          <w:color w:val="auto"/>
          <w:highlight w:val="none"/>
        </w:rPr>
        <w:t>日收到。</w:t>
      </w:r>
    </w:p>
    <w:p w14:paraId="723FB393">
      <w:pPr>
        <w:spacing w:line="440" w:lineRule="exact"/>
        <w:rPr>
          <w:rFonts w:cs="Times New Roman"/>
          <w:color w:val="auto"/>
          <w:highlight w:val="none"/>
        </w:rPr>
      </w:pPr>
      <w:r>
        <w:rPr>
          <w:rFonts w:hint="eastAsia" w:cs="宋体"/>
          <w:color w:val="auto"/>
          <w:highlight w:val="none"/>
        </w:rPr>
        <w:t>　　</w:t>
      </w:r>
      <w:r>
        <w:rPr>
          <w:color w:val="auto"/>
          <w:highlight w:val="none"/>
        </w:rPr>
        <w:t xml:space="preserve">    </w:t>
      </w:r>
      <w:r>
        <w:rPr>
          <w:rFonts w:hint="eastAsia" w:cs="宋体"/>
          <w:color w:val="auto"/>
          <w:highlight w:val="none"/>
        </w:rPr>
        <w:t>特此确认。</w:t>
      </w:r>
    </w:p>
    <w:p w14:paraId="08585AFD">
      <w:pPr>
        <w:spacing w:line="440" w:lineRule="exact"/>
        <w:rPr>
          <w:rFonts w:cs="Times New Roman"/>
          <w:color w:val="auto"/>
          <w:highlight w:val="none"/>
        </w:rPr>
      </w:pPr>
    </w:p>
    <w:p w14:paraId="18FF46FA">
      <w:pPr>
        <w:spacing w:line="440" w:lineRule="exact"/>
        <w:rPr>
          <w:rFonts w:cs="Times New Roman"/>
          <w:color w:val="auto"/>
          <w:highlight w:val="none"/>
        </w:rPr>
      </w:pPr>
    </w:p>
    <w:p w14:paraId="47CD207D">
      <w:pPr>
        <w:spacing w:line="440" w:lineRule="exact"/>
        <w:rPr>
          <w:rFonts w:cs="Times New Roman"/>
          <w:color w:val="auto"/>
          <w:highlight w:val="none"/>
        </w:rPr>
      </w:pPr>
      <w:r>
        <w:rPr>
          <w:color w:val="auto"/>
          <w:highlight w:val="none"/>
        </w:rPr>
        <w:t xml:space="preserve">                              </w:t>
      </w:r>
      <w:r>
        <w:rPr>
          <w:rFonts w:hint="eastAsia" w:cs="宋体"/>
          <w:color w:val="auto"/>
          <w:highlight w:val="none"/>
        </w:rPr>
        <w:t>投标人：</w:t>
      </w:r>
      <w:r>
        <w:rPr>
          <w:color w:val="auto"/>
          <w:highlight w:val="none"/>
        </w:rPr>
        <w:t xml:space="preserve">              </w:t>
      </w:r>
      <w:r>
        <w:rPr>
          <w:rFonts w:hint="eastAsia" w:cs="宋体"/>
          <w:color w:val="auto"/>
          <w:highlight w:val="none"/>
        </w:rPr>
        <w:t>（单位盖章）</w:t>
      </w:r>
    </w:p>
    <w:p w14:paraId="32DDD816">
      <w:pPr>
        <w:spacing w:line="440" w:lineRule="exact"/>
        <w:rPr>
          <w:rFonts w:cs="Times New Roman"/>
          <w:color w:val="auto"/>
          <w:highlight w:val="none"/>
        </w:rPr>
      </w:pPr>
    </w:p>
    <w:p w14:paraId="2ACC25E8">
      <w:pPr>
        <w:spacing w:line="440" w:lineRule="exact"/>
        <w:rPr>
          <w:color w:val="auto"/>
          <w:highlight w:val="none"/>
        </w:rPr>
      </w:pPr>
      <w:r>
        <w:rPr>
          <w:color w:val="auto"/>
          <w:highlight w:val="none"/>
        </w:rPr>
        <w:t xml:space="preserve">                                  </w:t>
      </w:r>
      <w:r>
        <w:rPr>
          <w:rFonts w:ascii="宋体" w:hAnsi="宋体" w:cs="宋体"/>
          <w:color w:val="auto"/>
          <w:highlight w:val="none"/>
        </w:rPr>
        <w:t xml:space="preserve">     </w:t>
      </w:r>
      <w:r>
        <w:rPr>
          <w:rFonts w:hint="eastAsia" w:cs="宋体"/>
          <w:color w:val="auto"/>
          <w:highlight w:val="none"/>
        </w:rPr>
        <w:t>年</w:t>
      </w:r>
      <w:r>
        <w:rPr>
          <w:rFonts w:ascii="宋体" w:hAnsi="宋体" w:cs="宋体"/>
          <w:color w:val="auto"/>
          <w:highlight w:val="none"/>
        </w:rPr>
        <w:t xml:space="preserve">     </w:t>
      </w:r>
      <w:r>
        <w:rPr>
          <w:rFonts w:hint="eastAsia" w:cs="宋体"/>
          <w:color w:val="auto"/>
          <w:highlight w:val="none"/>
        </w:rPr>
        <w:t>月</w:t>
      </w:r>
      <w:r>
        <w:rPr>
          <w:rFonts w:ascii="宋体" w:hAnsi="宋体" w:cs="宋体"/>
          <w:color w:val="auto"/>
          <w:highlight w:val="none"/>
        </w:rPr>
        <w:t xml:space="preserve">     </w:t>
      </w:r>
      <w:r>
        <w:rPr>
          <w:rFonts w:hint="eastAsia" w:cs="宋体"/>
          <w:color w:val="auto"/>
          <w:highlight w:val="none"/>
        </w:rPr>
        <w:t>日</w:t>
      </w:r>
      <w:r>
        <w:rPr>
          <w:color w:val="auto"/>
          <w:highlight w:val="none"/>
        </w:rPr>
        <w:t xml:space="preserve"> </w:t>
      </w:r>
    </w:p>
    <w:p w14:paraId="0DF35BA4">
      <w:pPr>
        <w:pStyle w:val="5"/>
        <w:keepNext/>
        <w:keepLines/>
        <w:pageBreakBefore w:val="0"/>
        <w:widowControl w:val="0"/>
        <w:kinsoku/>
        <w:wordWrap/>
        <w:overflowPunct/>
        <w:topLinePunct w:val="0"/>
        <w:autoSpaceDE/>
        <w:autoSpaceDN/>
        <w:bidi w:val="0"/>
        <w:adjustRightInd/>
        <w:snapToGrid/>
        <w:spacing w:before="0" w:after="0" w:line="240" w:lineRule="auto"/>
        <w:textAlignment w:val="auto"/>
        <w:rPr>
          <w:rFonts w:cs="Times New Roman"/>
          <w:color w:val="auto"/>
          <w:highlight w:val="none"/>
        </w:rPr>
      </w:pPr>
      <w:r>
        <w:rPr>
          <w:rFonts w:cs="Times New Roman"/>
          <w:color w:val="auto"/>
          <w:highlight w:val="none"/>
        </w:rPr>
        <w:br w:type="page"/>
      </w:r>
      <w:bookmarkStart w:id="600" w:name="_Toc45896976"/>
      <w:bookmarkStart w:id="601" w:name="_Toc9286"/>
      <w:bookmarkStart w:id="602" w:name="_Toc45896680"/>
      <w:r>
        <w:rPr>
          <w:rFonts w:hint="eastAsia"/>
          <w:color w:val="auto"/>
          <w:highlight w:val="none"/>
        </w:rPr>
        <w:t>附件七：</w:t>
      </w:r>
      <w:bookmarkEnd w:id="560"/>
      <w:bookmarkEnd w:id="561"/>
      <w:r>
        <w:rPr>
          <w:rFonts w:hint="eastAsia"/>
          <w:color w:val="auto"/>
          <w:highlight w:val="none"/>
        </w:rPr>
        <w:t>电子投标文件编制及上传要求</w:t>
      </w:r>
      <w:bookmarkEnd w:id="600"/>
      <w:bookmarkEnd w:id="601"/>
      <w:bookmarkEnd w:id="602"/>
    </w:p>
    <w:p w14:paraId="2D7D9EA5">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color w:val="auto"/>
          <w:highlight w:val="none"/>
        </w:rPr>
        <w:t>1</w:t>
      </w:r>
      <w:r>
        <w:rPr>
          <w:rFonts w:hint="eastAsia"/>
          <w:color w:val="auto"/>
          <w:highlight w:val="none"/>
        </w:rPr>
        <w:t>、电子投标文件的制作应使用《云南省工程建设模块化投标文件编制系统》，生成电子签名（或签名）的投标文件，格式为</w:t>
      </w:r>
      <w:r>
        <w:rPr>
          <w:color w:val="auto"/>
          <w:highlight w:val="none"/>
        </w:rPr>
        <w:t>*.BTBJ</w:t>
      </w:r>
      <w:r>
        <w:rPr>
          <w:rFonts w:hint="eastAsia"/>
          <w:color w:val="auto"/>
          <w:highlight w:val="none"/>
        </w:rPr>
        <w:t>。如果要求提供电子效果图纸文件</w:t>
      </w:r>
      <w:r>
        <w:rPr>
          <w:color w:val="auto"/>
          <w:highlight w:val="none"/>
        </w:rPr>
        <w:t>/</w:t>
      </w:r>
      <w:r>
        <w:rPr>
          <w:rFonts w:hint="eastAsia"/>
          <w:color w:val="auto"/>
          <w:highlight w:val="none"/>
        </w:rPr>
        <w:t>电子视频演示文件，也必须使用《云南省工程建设模块化投标文件编制系统》制作生成电子签名的效果图纸文件（格式为</w:t>
      </w:r>
      <w:r>
        <w:rPr>
          <w:color w:val="auto"/>
          <w:highlight w:val="none"/>
        </w:rPr>
        <w:t>*.BTBT</w:t>
      </w:r>
      <w:r>
        <w:rPr>
          <w:rFonts w:hint="eastAsia"/>
          <w:color w:val="auto"/>
          <w:highlight w:val="none"/>
        </w:rPr>
        <w:t>）</w:t>
      </w:r>
      <w:r>
        <w:rPr>
          <w:color w:val="auto"/>
          <w:highlight w:val="none"/>
        </w:rPr>
        <w:t>/</w:t>
      </w:r>
      <w:r>
        <w:rPr>
          <w:rFonts w:hint="eastAsia"/>
          <w:color w:val="auto"/>
          <w:highlight w:val="none"/>
        </w:rPr>
        <w:t>视频演示文件（格式为</w:t>
      </w:r>
      <w:r>
        <w:rPr>
          <w:color w:val="auto"/>
          <w:highlight w:val="none"/>
        </w:rPr>
        <w:t>*.BTBY</w:t>
      </w:r>
      <w:r>
        <w:rPr>
          <w:rFonts w:hint="eastAsia"/>
          <w:color w:val="auto"/>
          <w:highlight w:val="none"/>
        </w:rPr>
        <w:t>），电子投标文件须在网上递交上传。</w:t>
      </w:r>
    </w:p>
    <w:p w14:paraId="4CC22B76">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color w:val="auto"/>
          <w:highlight w:val="none"/>
        </w:rPr>
        <w:t>2</w:t>
      </w:r>
      <w:r>
        <w:rPr>
          <w:rFonts w:hint="eastAsia"/>
          <w:color w:val="auto"/>
          <w:highlight w:val="none"/>
        </w:rPr>
        <w:t>、《云南省工程建设模块化投标文件编制系统》提供数字证书（</w:t>
      </w:r>
      <w:r>
        <w:rPr>
          <w:color w:val="auto"/>
          <w:highlight w:val="none"/>
        </w:rPr>
        <w:t>CA</w:t>
      </w:r>
      <w:r>
        <w:rPr>
          <w:rFonts w:hint="eastAsia"/>
          <w:color w:val="auto"/>
          <w:highlight w:val="none"/>
        </w:rPr>
        <w:t>）对投标文件进行加密功能。投标人对网上递交的投标文件应加密。如果投标人使用某个数字证书（</w:t>
      </w:r>
      <w:r>
        <w:rPr>
          <w:color w:val="auto"/>
          <w:highlight w:val="none"/>
        </w:rPr>
        <w:t>CA</w:t>
      </w:r>
      <w:r>
        <w:rPr>
          <w:rFonts w:hint="eastAsia"/>
          <w:color w:val="auto"/>
          <w:highlight w:val="none"/>
        </w:rPr>
        <w:t>）对投标文件进行了数字证书（</w:t>
      </w:r>
      <w:r>
        <w:rPr>
          <w:color w:val="auto"/>
          <w:highlight w:val="none"/>
        </w:rPr>
        <w:t>CA</w:t>
      </w:r>
      <w:r>
        <w:rPr>
          <w:rFonts w:hint="eastAsia"/>
          <w:color w:val="auto"/>
          <w:highlight w:val="none"/>
        </w:rPr>
        <w:t>）加密，需要在开标会上使用该数字证书（</w:t>
      </w:r>
      <w:r>
        <w:rPr>
          <w:color w:val="auto"/>
          <w:highlight w:val="none"/>
        </w:rPr>
        <w:t>CA</w:t>
      </w:r>
      <w:r>
        <w:rPr>
          <w:rFonts w:hint="eastAsia"/>
          <w:color w:val="auto"/>
          <w:highlight w:val="none"/>
        </w:rPr>
        <w:t>）进行现场解密，才能读取或导入投标文件，因投标人原因造成投标文件未解密的，视为撤回其投标文件。</w:t>
      </w:r>
    </w:p>
    <w:p w14:paraId="7E8F647F">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color w:val="auto"/>
          <w:highlight w:val="none"/>
        </w:rPr>
        <w:t>3</w:t>
      </w:r>
      <w:r>
        <w:rPr>
          <w:rFonts w:hint="eastAsia"/>
          <w:color w:val="auto"/>
          <w:highlight w:val="none"/>
        </w:rPr>
        <w:t>、网上递交投标文件应根据招标文件要求，在投标截止时间前将电子投标文件上传至指定的开标项目，并打印“上传投标文件回执”，以表明上传成功。同时，应自行核验下载上传成功的投标文件，并进行查看和解密以确保上传投标文件的正确性。</w:t>
      </w:r>
    </w:p>
    <w:p w14:paraId="75B09C6C">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仿宋"/>
          <w:color w:val="auto"/>
          <w:highlight w:val="none"/>
        </w:rPr>
      </w:pPr>
      <w:r>
        <w:rPr>
          <w:color w:val="auto"/>
          <w:highlight w:val="none"/>
        </w:rPr>
        <w:t>4</w:t>
      </w:r>
      <w:r>
        <w:rPr>
          <w:rFonts w:hint="eastAsia"/>
          <w:color w:val="auto"/>
          <w:highlight w:val="none"/>
        </w:rPr>
        <w:t>、</w:t>
      </w:r>
      <w:r>
        <w:rPr>
          <w:rFonts w:hint="eastAsia" w:cs="仿宋"/>
          <w:color w:val="auto"/>
          <w:highlight w:val="none"/>
        </w:rPr>
        <w:t>投标人投标时，须按本附件 “电子投标文件编制及报送要求”规定编制及网上递交电子投标文件，按规定和相应的操作程序对上传的投标文件解密。</w:t>
      </w:r>
    </w:p>
    <w:p w14:paraId="6B7A156E">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olor w:val="auto"/>
          <w:highlight w:val="none"/>
        </w:rPr>
      </w:pPr>
      <w:r>
        <w:rPr>
          <w:color w:val="auto"/>
          <w:highlight w:val="none"/>
        </w:rPr>
        <w:t>5</w:t>
      </w:r>
      <w:r>
        <w:rPr>
          <w:rFonts w:hint="eastAsia"/>
          <w:color w:val="auto"/>
          <w:highlight w:val="none"/>
        </w:rPr>
        <w:t>、该投标文件制作及报送要求如果与招标文件规定不一致，以此投标文件制作及报送要求为准。</w:t>
      </w:r>
    </w:p>
    <w:p w14:paraId="187280C3">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仿宋"/>
          <w:color w:val="auto"/>
          <w:highlight w:val="none"/>
        </w:rPr>
      </w:pPr>
      <w:r>
        <w:rPr>
          <w:rFonts w:hint="eastAsia" w:cs="仿宋"/>
          <w:color w:val="auto"/>
          <w:highlight w:val="none"/>
        </w:rPr>
        <w:t>6、本项目为远程解密，投标人无需到现场解密。</w:t>
      </w:r>
    </w:p>
    <w:p w14:paraId="2D72CA34">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rFonts w:hint="eastAsia"/>
          <w:color w:val="auto"/>
          <w:highlight w:val="none"/>
          <w:lang w:val="en-US" w:eastAsia="zh-CN"/>
        </w:rPr>
        <w:t>7</w:t>
      </w:r>
      <w:r>
        <w:rPr>
          <w:rFonts w:hint="eastAsia"/>
          <w:color w:val="auto"/>
          <w:highlight w:val="none"/>
        </w:rPr>
        <w:t>、在编制技术标投标文件时，</w:t>
      </w:r>
      <w:r>
        <w:rPr>
          <w:rFonts w:hint="eastAsia"/>
          <w:b/>
          <w:bCs/>
          <w:color w:val="auto"/>
          <w:highlight w:val="none"/>
        </w:rPr>
        <w:t>粘贴图片使用</w:t>
      </w:r>
      <w:r>
        <w:rPr>
          <w:b/>
          <w:bCs/>
          <w:color w:val="auto"/>
          <w:highlight w:val="none"/>
        </w:rPr>
        <w:t>JPG</w:t>
      </w:r>
      <w:r>
        <w:rPr>
          <w:rFonts w:hint="eastAsia"/>
          <w:b/>
          <w:bCs/>
          <w:color w:val="auto"/>
          <w:highlight w:val="none"/>
        </w:rPr>
        <w:t>格式的文件，并且每张图片的分辩率应小于</w:t>
      </w:r>
      <w:r>
        <w:rPr>
          <w:b/>
          <w:bCs/>
          <w:color w:val="auto"/>
          <w:highlight w:val="none"/>
        </w:rPr>
        <w:t>100dpi</w:t>
      </w:r>
      <w:r>
        <w:rPr>
          <w:rFonts w:hint="eastAsia"/>
          <w:b/>
          <w:bCs/>
          <w:color w:val="auto"/>
          <w:highlight w:val="none"/>
        </w:rPr>
        <w:t>，最终的每份标书文件所占用的磁盘空间必须小于</w:t>
      </w:r>
      <w:r>
        <w:rPr>
          <w:rFonts w:hint="eastAsia"/>
          <w:b/>
          <w:bCs/>
          <w:color w:val="auto"/>
          <w:highlight w:val="none"/>
          <w:lang w:val="en-US" w:eastAsia="zh-CN"/>
        </w:rPr>
        <w:t>100</w:t>
      </w:r>
      <w:r>
        <w:rPr>
          <w:rFonts w:hint="eastAsia"/>
          <w:b/>
          <w:bCs/>
          <w:color w:val="auto"/>
          <w:highlight w:val="none"/>
        </w:rPr>
        <w:t>。</w:t>
      </w:r>
    </w:p>
    <w:p w14:paraId="1A0CE51D">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b/>
          <w:bCs/>
          <w:color w:val="auto"/>
          <w:highlight w:val="none"/>
        </w:rPr>
      </w:pPr>
      <w:bookmarkStart w:id="603" w:name="_Toc516230809"/>
      <w:bookmarkStart w:id="604" w:name="_Toc9368"/>
      <w:bookmarkStart w:id="605" w:name="_Toc524363213"/>
      <w:bookmarkStart w:id="606" w:name="_Toc516609419"/>
      <w:bookmarkStart w:id="607" w:name="_Toc497754411"/>
      <w:r>
        <w:rPr>
          <w:rFonts w:hint="eastAsia"/>
          <w:b/>
          <w:bCs/>
          <w:color w:val="auto"/>
          <w:highlight w:val="none"/>
        </w:rPr>
        <w:t>注：不同单位的投标文件若芯片序列号、硬盘序列号、网卡序列号一致，视为由同一台电脑编制！</w:t>
      </w:r>
      <w:bookmarkEnd w:id="603"/>
      <w:bookmarkEnd w:id="604"/>
      <w:bookmarkEnd w:id="605"/>
      <w:bookmarkEnd w:id="606"/>
      <w:bookmarkEnd w:id="607"/>
    </w:p>
    <w:p w14:paraId="318D27B2">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rFonts w:hint="eastAsia"/>
          <w:color w:val="auto"/>
          <w:highlight w:val="none"/>
          <w:lang w:val="en-US" w:eastAsia="zh-CN"/>
        </w:rPr>
        <w:t>8</w:t>
      </w:r>
      <w:r>
        <w:rPr>
          <w:rFonts w:hint="eastAsia"/>
          <w:color w:val="auto"/>
          <w:highlight w:val="none"/>
        </w:rPr>
        <w:t>、技术支持</w:t>
      </w:r>
    </w:p>
    <w:p w14:paraId="31B8E4BD">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rFonts w:hint="eastAsia"/>
          <w:color w:val="auto"/>
          <w:highlight w:val="none"/>
        </w:rPr>
        <w:t>技术支持：北京筑龙信息技术有限责任公司</w:t>
      </w:r>
    </w:p>
    <w:p w14:paraId="4A1B1C60">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highlight w:val="none"/>
        </w:rPr>
        <w:t>服务电话：</w:t>
      </w:r>
      <w:r>
        <w:rPr>
          <w:color w:val="auto"/>
          <w:highlight w:val="none"/>
        </w:rPr>
        <w:t>400-961-8998</w:t>
      </w:r>
      <w:r>
        <w:rPr>
          <w:rFonts w:hint="eastAsia"/>
          <w:color w:val="auto"/>
          <w:highlight w:val="none"/>
        </w:rPr>
        <w:t>，在线服务</w:t>
      </w:r>
      <w:r>
        <w:rPr>
          <w:color w:val="auto"/>
          <w:highlight w:val="none"/>
        </w:rPr>
        <w:t>QQ</w:t>
      </w:r>
      <w:r>
        <w:rPr>
          <w:rFonts w:hint="eastAsia"/>
          <w:color w:val="auto"/>
          <w:highlight w:val="none"/>
        </w:rPr>
        <w:t>：</w:t>
      </w:r>
      <w:r>
        <w:rPr>
          <w:color w:val="auto"/>
          <w:highlight w:val="none"/>
        </w:rPr>
        <w:t>4009618998</w:t>
      </w:r>
    </w:p>
    <w:p w14:paraId="3A26070F">
      <w:pPr>
        <w:pStyle w:val="856"/>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cs="Times New Roman"/>
          <w:color w:val="auto"/>
          <w:highlight w:val="none"/>
        </w:rPr>
      </w:pPr>
      <w:r>
        <w:rPr>
          <w:rFonts w:hint="eastAsia"/>
          <w:color w:val="auto"/>
          <w:highlight w:val="none"/>
        </w:rPr>
        <w:t>云南</w:t>
      </w:r>
      <w:r>
        <w:rPr>
          <w:color w:val="auto"/>
          <w:highlight w:val="none"/>
        </w:rPr>
        <w:t>CA</w:t>
      </w:r>
      <w:r>
        <w:rPr>
          <w:rFonts w:hint="eastAsia"/>
          <w:color w:val="auto"/>
          <w:highlight w:val="none"/>
        </w:rPr>
        <w:t>技术支持（数字证书办理）联系电话：</w:t>
      </w:r>
      <w:r>
        <w:rPr>
          <w:color w:val="auto"/>
          <w:highlight w:val="none"/>
        </w:rPr>
        <w:t>15758595225</w:t>
      </w:r>
      <w:bookmarkEnd w:id="562"/>
      <w:bookmarkEnd w:id="563"/>
      <w:bookmarkEnd w:id="564"/>
      <w:bookmarkEnd w:id="565"/>
      <w:bookmarkEnd w:id="566"/>
      <w:bookmarkStart w:id="608" w:name="_Toc152042375"/>
      <w:bookmarkStart w:id="609" w:name="_Toc144974565"/>
      <w:bookmarkStart w:id="610" w:name="_Toc247514022"/>
      <w:bookmarkStart w:id="611" w:name="_Toc1331"/>
      <w:bookmarkStart w:id="612" w:name="_Toc152045598"/>
      <w:bookmarkStart w:id="613" w:name="_Toc247527623"/>
    </w:p>
    <w:p w14:paraId="1C68A87A">
      <w:pPr>
        <w:pStyle w:val="3"/>
        <w:spacing w:line="240" w:lineRule="auto"/>
        <w:rPr>
          <w:rFonts w:cs="Times New Roman"/>
          <w:color w:val="auto"/>
          <w:highlight w:val="none"/>
        </w:rPr>
      </w:pPr>
    </w:p>
    <w:p w14:paraId="105E673D">
      <w:pPr>
        <w:rPr>
          <w:rFonts w:cs="Times New Roman"/>
          <w:color w:val="auto"/>
          <w:highlight w:val="none"/>
        </w:rPr>
      </w:pPr>
    </w:p>
    <w:bookmarkEnd w:id="608"/>
    <w:bookmarkEnd w:id="609"/>
    <w:bookmarkEnd w:id="610"/>
    <w:bookmarkEnd w:id="611"/>
    <w:bookmarkEnd w:id="612"/>
    <w:bookmarkEnd w:id="613"/>
    <w:p w14:paraId="7BFF1737">
      <w:pPr>
        <w:pStyle w:val="3"/>
        <w:keepNext/>
        <w:pageBreakBefore w:val="0"/>
        <w:kinsoku/>
        <w:wordWrap/>
        <w:overflowPunct/>
        <w:topLinePunct w:val="0"/>
        <w:autoSpaceDE/>
        <w:autoSpaceDN/>
        <w:bidi w:val="0"/>
        <w:adjustRightInd/>
        <w:snapToGrid/>
        <w:spacing w:before="0" w:after="0" w:line="360" w:lineRule="auto"/>
        <w:ind w:left="0"/>
        <w:jc w:val="center"/>
        <w:textAlignment w:val="auto"/>
        <w:rPr>
          <w:rFonts w:cs="Times New Roman"/>
          <w:color w:val="auto"/>
          <w:kern w:val="32"/>
          <w:sz w:val="36"/>
          <w:szCs w:val="36"/>
          <w:highlight w:val="none"/>
        </w:rPr>
      </w:pPr>
      <w:bookmarkStart w:id="614" w:name="_Toc15145_WPSOffice_Level1"/>
      <w:bookmarkStart w:id="615" w:name="_Toc21069"/>
      <w:bookmarkStart w:id="616" w:name="_Toc24945_WPSOffice_Level1"/>
      <w:bookmarkStart w:id="617" w:name="_Toc144974567"/>
      <w:bookmarkStart w:id="618" w:name="_Toc15413"/>
      <w:bookmarkStart w:id="619" w:name="_Toc152042377"/>
      <w:bookmarkStart w:id="620" w:name="_Toc247514024"/>
      <w:bookmarkStart w:id="621" w:name="_Toc152045600"/>
      <w:bookmarkStart w:id="622" w:name="_Toc300835010"/>
      <w:bookmarkStart w:id="623" w:name="_Toc247527625"/>
      <w:bookmarkStart w:id="624" w:name="_Toc9057"/>
      <w:r>
        <w:rPr>
          <w:rFonts w:hint="eastAsia" w:cs="宋体"/>
          <w:color w:val="auto"/>
          <w:kern w:val="32"/>
          <w:sz w:val="36"/>
          <w:szCs w:val="36"/>
          <w:highlight w:val="none"/>
        </w:rPr>
        <w:t>第三章</w:t>
      </w:r>
      <w:r>
        <w:rPr>
          <w:color w:val="auto"/>
          <w:kern w:val="32"/>
          <w:sz w:val="36"/>
          <w:szCs w:val="36"/>
          <w:highlight w:val="none"/>
        </w:rPr>
        <w:t xml:space="preserve">  </w:t>
      </w:r>
      <w:r>
        <w:rPr>
          <w:rFonts w:hint="eastAsia" w:cs="宋体"/>
          <w:color w:val="auto"/>
          <w:kern w:val="32"/>
          <w:sz w:val="36"/>
          <w:szCs w:val="36"/>
          <w:highlight w:val="none"/>
        </w:rPr>
        <w:t>评标办法</w:t>
      </w:r>
      <w:bookmarkEnd w:id="614"/>
      <w:bookmarkEnd w:id="615"/>
      <w:bookmarkEnd w:id="616"/>
    </w:p>
    <w:p w14:paraId="20BFDDDC">
      <w:pPr>
        <w:pStyle w:val="4"/>
        <w:keepNext/>
        <w:keepLines w:val="0"/>
        <w:pageBreakBefore w:val="0"/>
        <w:widowControl/>
        <w:kinsoku/>
        <w:wordWrap/>
        <w:overflowPunct/>
        <w:topLinePunct w:val="0"/>
        <w:autoSpaceDE/>
        <w:autoSpaceDN/>
        <w:bidi w:val="0"/>
        <w:adjustRightInd/>
        <w:snapToGrid/>
        <w:spacing w:before="0" w:after="0" w:line="360" w:lineRule="auto"/>
        <w:ind w:left="478" w:hanging="479" w:hangingChars="199"/>
        <w:jc w:val="center"/>
        <w:textAlignment w:val="auto"/>
        <w:rPr>
          <w:rFonts w:ascii="Times New Roman" w:hAnsi="Times New Roman" w:eastAsia="宋体" w:cs="Times New Roman"/>
          <w:color w:val="auto"/>
          <w:kern w:val="0"/>
          <w:sz w:val="24"/>
          <w:szCs w:val="24"/>
          <w:highlight w:val="none"/>
        </w:rPr>
      </w:pPr>
      <w:bookmarkStart w:id="625" w:name="_Toc45896681"/>
      <w:bookmarkStart w:id="626" w:name="_Toc7886_WPSOffice_Level2"/>
      <w:bookmarkStart w:id="627" w:name="_Toc29_WPSOffice_Level2"/>
      <w:bookmarkStart w:id="628" w:name="_Toc26239"/>
      <w:bookmarkStart w:id="629" w:name="_Toc435016849"/>
      <w:bookmarkStart w:id="630" w:name="_Toc45896978"/>
      <w:bookmarkStart w:id="631" w:name="_Toc22530"/>
      <w:bookmarkStart w:id="632" w:name="_Toc395965055"/>
      <w:r>
        <w:rPr>
          <w:rFonts w:hint="eastAsia" w:ascii="Times New Roman" w:hAnsi="Times New Roman" w:eastAsia="宋体" w:cs="宋体"/>
          <w:color w:val="auto"/>
          <w:kern w:val="0"/>
          <w:sz w:val="24"/>
          <w:szCs w:val="24"/>
          <w:highlight w:val="none"/>
        </w:rPr>
        <w:t>一．评标办法前附表</w:t>
      </w:r>
      <w:bookmarkEnd w:id="625"/>
      <w:bookmarkEnd w:id="626"/>
      <w:bookmarkEnd w:id="627"/>
      <w:bookmarkEnd w:id="628"/>
      <w:bookmarkEnd w:id="629"/>
      <w:bookmarkEnd w:id="630"/>
      <w:bookmarkEnd w:id="631"/>
      <w:bookmarkEnd w:id="632"/>
    </w:p>
    <w:tbl>
      <w:tblPr>
        <w:tblStyle w:val="88"/>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7"/>
        <w:gridCol w:w="943"/>
        <w:gridCol w:w="1979"/>
        <w:gridCol w:w="5822"/>
      </w:tblGrid>
      <w:tr w14:paraId="2D65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7" w:hRule="atLeast"/>
          <w:tblHeader/>
          <w:jc w:val="center"/>
        </w:trPr>
        <w:tc>
          <w:tcPr>
            <w:tcW w:w="787" w:type="dxa"/>
            <w:tcMar>
              <w:top w:w="28" w:type="dxa"/>
              <w:left w:w="28" w:type="dxa"/>
              <w:bottom w:w="28" w:type="dxa"/>
              <w:right w:w="28" w:type="dxa"/>
            </w:tcMar>
            <w:vAlign w:val="center"/>
          </w:tcPr>
          <w:p w14:paraId="23D73AE4">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2.1</w:t>
            </w:r>
          </w:p>
        </w:tc>
        <w:tc>
          <w:tcPr>
            <w:tcW w:w="943" w:type="dxa"/>
            <w:tcMar>
              <w:top w:w="28" w:type="dxa"/>
              <w:left w:w="28" w:type="dxa"/>
              <w:bottom w:w="28" w:type="dxa"/>
              <w:right w:w="28" w:type="dxa"/>
            </w:tcMar>
            <w:vAlign w:val="center"/>
          </w:tcPr>
          <w:p w14:paraId="1B508800">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r>
              <w:rPr>
                <w:rFonts w:hint="eastAsia" w:ascii="Times New Roman" w:hAnsi="Times New Roman" w:eastAsia="宋体" w:cs="宋体"/>
                <w:b/>
                <w:bCs/>
                <w:color w:val="auto"/>
                <w:sz w:val="21"/>
                <w:szCs w:val="21"/>
                <w:highlight w:val="none"/>
                <w:lang w:val="en-US"/>
              </w:rPr>
              <w:t>初步评审</w:t>
            </w:r>
          </w:p>
        </w:tc>
        <w:tc>
          <w:tcPr>
            <w:tcW w:w="7801" w:type="dxa"/>
            <w:gridSpan w:val="2"/>
            <w:tcMar>
              <w:top w:w="28" w:type="dxa"/>
              <w:left w:w="28" w:type="dxa"/>
              <w:bottom w:w="28" w:type="dxa"/>
              <w:right w:w="28" w:type="dxa"/>
            </w:tcMar>
            <w:vAlign w:val="center"/>
          </w:tcPr>
          <w:p w14:paraId="1BE67541">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p>
        </w:tc>
      </w:tr>
      <w:tr w14:paraId="2A128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blHeader/>
          <w:jc w:val="center"/>
        </w:trPr>
        <w:tc>
          <w:tcPr>
            <w:tcW w:w="787" w:type="dxa"/>
            <w:tcMar>
              <w:top w:w="28" w:type="dxa"/>
              <w:left w:w="28" w:type="dxa"/>
              <w:bottom w:w="28" w:type="dxa"/>
              <w:right w:w="28" w:type="dxa"/>
            </w:tcMar>
            <w:vAlign w:val="center"/>
          </w:tcPr>
          <w:p w14:paraId="51D29963">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r>
              <w:rPr>
                <w:rFonts w:hint="eastAsia" w:ascii="Times New Roman" w:hAnsi="Times New Roman" w:eastAsia="宋体" w:cs="宋体"/>
                <w:b/>
                <w:bCs/>
                <w:color w:val="auto"/>
                <w:sz w:val="21"/>
                <w:szCs w:val="21"/>
                <w:highlight w:val="none"/>
                <w:lang w:val="en-US"/>
              </w:rPr>
              <w:t>条款号</w:t>
            </w:r>
          </w:p>
        </w:tc>
        <w:tc>
          <w:tcPr>
            <w:tcW w:w="943" w:type="dxa"/>
            <w:tcMar>
              <w:top w:w="28" w:type="dxa"/>
              <w:left w:w="28" w:type="dxa"/>
              <w:bottom w:w="28" w:type="dxa"/>
              <w:right w:w="28" w:type="dxa"/>
            </w:tcMar>
            <w:vAlign w:val="center"/>
          </w:tcPr>
          <w:p w14:paraId="3680F775">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r>
              <w:rPr>
                <w:rFonts w:hint="eastAsia" w:ascii="Times New Roman" w:hAnsi="Times New Roman" w:eastAsia="宋体" w:cs="宋体"/>
                <w:b/>
                <w:bCs/>
                <w:color w:val="auto"/>
                <w:sz w:val="21"/>
                <w:szCs w:val="21"/>
                <w:highlight w:val="none"/>
                <w:lang w:val="en-US"/>
              </w:rPr>
              <w:t>评审条款</w:t>
            </w:r>
          </w:p>
        </w:tc>
        <w:tc>
          <w:tcPr>
            <w:tcW w:w="1979" w:type="dxa"/>
            <w:tcMar>
              <w:top w:w="28" w:type="dxa"/>
              <w:left w:w="28" w:type="dxa"/>
              <w:bottom w:w="28" w:type="dxa"/>
              <w:right w:w="28" w:type="dxa"/>
            </w:tcMar>
            <w:vAlign w:val="center"/>
          </w:tcPr>
          <w:p w14:paraId="39B30508">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r>
              <w:rPr>
                <w:rFonts w:hint="eastAsia" w:ascii="Times New Roman" w:hAnsi="Times New Roman" w:eastAsia="宋体" w:cs="宋体"/>
                <w:b/>
                <w:bCs/>
                <w:color w:val="auto"/>
                <w:sz w:val="21"/>
                <w:szCs w:val="21"/>
                <w:highlight w:val="none"/>
                <w:lang w:val="en-US"/>
              </w:rPr>
              <w:t>评审因素</w:t>
            </w:r>
          </w:p>
        </w:tc>
        <w:tc>
          <w:tcPr>
            <w:tcW w:w="5822" w:type="dxa"/>
            <w:tcMar>
              <w:top w:w="28" w:type="dxa"/>
              <w:left w:w="28" w:type="dxa"/>
              <w:bottom w:w="28" w:type="dxa"/>
              <w:right w:w="28" w:type="dxa"/>
            </w:tcMar>
            <w:vAlign w:val="center"/>
          </w:tcPr>
          <w:p w14:paraId="4A6EA167">
            <w:pPr>
              <w:pStyle w:val="740"/>
              <w:keepNext w:val="0"/>
              <w:keepLines w:val="0"/>
              <w:pageBreakBefore w:val="0"/>
              <w:kinsoku/>
              <w:wordWrap/>
              <w:overflowPunct/>
              <w:topLinePunct w:val="0"/>
              <w:autoSpaceDE/>
              <w:autoSpaceDN/>
              <w:bidi w:val="0"/>
              <w:adjustRightInd/>
              <w:spacing w:line="360" w:lineRule="auto"/>
              <w:jc w:val="center"/>
              <w:textAlignment w:val="auto"/>
              <w:rPr>
                <w:rFonts w:ascii="Times New Roman" w:hAnsi="Times New Roman" w:eastAsia="宋体" w:cs="Times New Roman"/>
                <w:b/>
                <w:bCs/>
                <w:color w:val="auto"/>
                <w:sz w:val="21"/>
                <w:szCs w:val="21"/>
                <w:highlight w:val="none"/>
                <w:lang w:val="en-US"/>
              </w:rPr>
            </w:pPr>
            <w:r>
              <w:rPr>
                <w:rFonts w:hint="eastAsia" w:ascii="Times New Roman" w:hAnsi="Times New Roman" w:eastAsia="宋体" w:cs="宋体"/>
                <w:b/>
                <w:bCs/>
                <w:color w:val="auto"/>
                <w:sz w:val="21"/>
                <w:szCs w:val="21"/>
                <w:highlight w:val="none"/>
                <w:lang w:val="en-US"/>
              </w:rPr>
              <w:t>评审标准</w:t>
            </w:r>
          </w:p>
        </w:tc>
      </w:tr>
      <w:tr w14:paraId="5E29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jc w:val="center"/>
        </w:trPr>
        <w:tc>
          <w:tcPr>
            <w:tcW w:w="787" w:type="dxa"/>
            <w:vMerge w:val="restart"/>
            <w:tcMar>
              <w:top w:w="28" w:type="dxa"/>
              <w:left w:w="28" w:type="dxa"/>
              <w:bottom w:w="28" w:type="dxa"/>
              <w:right w:w="28" w:type="dxa"/>
            </w:tcMar>
            <w:vAlign w:val="center"/>
          </w:tcPr>
          <w:p w14:paraId="7DFED56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2.1.1</w:t>
            </w:r>
          </w:p>
        </w:tc>
        <w:tc>
          <w:tcPr>
            <w:tcW w:w="943" w:type="dxa"/>
            <w:vMerge w:val="restart"/>
            <w:tcMar>
              <w:top w:w="28" w:type="dxa"/>
              <w:left w:w="28" w:type="dxa"/>
              <w:bottom w:w="28" w:type="dxa"/>
              <w:right w:w="28" w:type="dxa"/>
            </w:tcMar>
            <w:vAlign w:val="center"/>
          </w:tcPr>
          <w:p w14:paraId="6C6899AF">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形式</w:t>
            </w:r>
          </w:p>
          <w:p w14:paraId="39F065F8">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评审标准</w:t>
            </w:r>
          </w:p>
        </w:tc>
        <w:tc>
          <w:tcPr>
            <w:tcW w:w="1979" w:type="dxa"/>
            <w:tcMar>
              <w:top w:w="28" w:type="dxa"/>
              <w:left w:w="28" w:type="dxa"/>
              <w:bottom w:w="28" w:type="dxa"/>
              <w:right w:w="28" w:type="dxa"/>
            </w:tcMar>
            <w:vAlign w:val="center"/>
          </w:tcPr>
          <w:p w14:paraId="633BB5A9">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投标人名称</w:t>
            </w:r>
          </w:p>
        </w:tc>
        <w:tc>
          <w:tcPr>
            <w:tcW w:w="5822" w:type="dxa"/>
            <w:tcMar>
              <w:top w:w="28" w:type="dxa"/>
              <w:left w:w="28" w:type="dxa"/>
              <w:bottom w:w="28" w:type="dxa"/>
              <w:right w:w="28" w:type="dxa"/>
            </w:tcMar>
            <w:vAlign w:val="center"/>
          </w:tcPr>
          <w:p w14:paraId="1B3D92F2">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与营业执照、资质证书一致。</w:t>
            </w:r>
          </w:p>
        </w:tc>
      </w:tr>
      <w:tr w14:paraId="7ECB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787" w:type="dxa"/>
            <w:vMerge w:val="continue"/>
            <w:tcMar>
              <w:top w:w="28" w:type="dxa"/>
              <w:left w:w="28" w:type="dxa"/>
              <w:bottom w:w="28" w:type="dxa"/>
              <w:right w:w="28" w:type="dxa"/>
            </w:tcMar>
            <w:vAlign w:val="center"/>
          </w:tcPr>
          <w:p w14:paraId="534B0A78">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66FC80F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127AB68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投标文件签署</w:t>
            </w:r>
          </w:p>
        </w:tc>
        <w:tc>
          <w:tcPr>
            <w:tcW w:w="5822" w:type="dxa"/>
            <w:tcMar>
              <w:top w:w="28" w:type="dxa"/>
              <w:left w:w="28" w:type="dxa"/>
              <w:bottom w:w="28" w:type="dxa"/>
              <w:right w:w="28" w:type="dxa"/>
            </w:tcMar>
            <w:vAlign w:val="center"/>
          </w:tcPr>
          <w:p w14:paraId="09AD7996">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符合第二章“投标人须知”第3.7.3项要求。</w:t>
            </w:r>
          </w:p>
        </w:tc>
      </w:tr>
      <w:tr w14:paraId="6173F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3" w:hRule="atLeast"/>
          <w:jc w:val="center"/>
        </w:trPr>
        <w:tc>
          <w:tcPr>
            <w:tcW w:w="787" w:type="dxa"/>
            <w:vMerge w:val="continue"/>
            <w:tcMar>
              <w:top w:w="28" w:type="dxa"/>
              <w:left w:w="28" w:type="dxa"/>
              <w:bottom w:w="28" w:type="dxa"/>
              <w:right w:w="28" w:type="dxa"/>
            </w:tcMar>
            <w:vAlign w:val="center"/>
          </w:tcPr>
          <w:p w14:paraId="642AACA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30327E7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7BD4FB71">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投标文件格式</w:t>
            </w:r>
          </w:p>
        </w:tc>
        <w:tc>
          <w:tcPr>
            <w:tcW w:w="5822" w:type="dxa"/>
            <w:tcMar>
              <w:top w:w="28" w:type="dxa"/>
              <w:left w:w="28" w:type="dxa"/>
              <w:bottom w:w="28" w:type="dxa"/>
              <w:right w:w="28" w:type="dxa"/>
            </w:tcMar>
            <w:vAlign w:val="center"/>
          </w:tcPr>
          <w:p w14:paraId="5C2F5D75">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符合第二章附</w:t>
            </w:r>
            <w:r>
              <w:rPr>
                <w:rFonts w:hint="eastAsia" w:ascii="宋体" w:hAnsi="宋体" w:eastAsia="宋体" w:cs="宋体"/>
                <w:color w:val="auto"/>
                <w:sz w:val="21"/>
                <w:szCs w:val="21"/>
                <w:highlight w:val="none"/>
                <w:lang w:val="en-US" w:eastAsia="zh-CN"/>
              </w:rPr>
              <w:t>件</w:t>
            </w:r>
            <w:r>
              <w:rPr>
                <w:rFonts w:hint="eastAsia" w:ascii="宋体" w:hAnsi="宋体" w:eastAsia="宋体" w:cs="宋体"/>
                <w:color w:val="auto"/>
                <w:sz w:val="21"/>
                <w:szCs w:val="21"/>
                <w:highlight w:val="none"/>
                <w:lang w:val="en-US"/>
              </w:rPr>
              <w:t>七电子投标文件编制及报送要求和“投标人须知”第3.7.1项要求。</w:t>
            </w:r>
          </w:p>
        </w:tc>
      </w:tr>
      <w:tr w14:paraId="438E5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787" w:type="dxa"/>
            <w:vMerge w:val="continue"/>
            <w:tcMar>
              <w:top w:w="28" w:type="dxa"/>
              <w:left w:w="28" w:type="dxa"/>
              <w:bottom w:w="28" w:type="dxa"/>
              <w:right w:w="28" w:type="dxa"/>
            </w:tcMar>
            <w:vAlign w:val="center"/>
          </w:tcPr>
          <w:p w14:paraId="370A16AD">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2DE5458D">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524FC59B">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联合体投标人</w:t>
            </w:r>
          </w:p>
        </w:tc>
        <w:tc>
          <w:tcPr>
            <w:tcW w:w="5822" w:type="dxa"/>
            <w:tcMar>
              <w:top w:w="28" w:type="dxa"/>
              <w:left w:w="28" w:type="dxa"/>
              <w:bottom w:w="28" w:type="dxa"/>
              <w:right w:w="28" w:type="dxa"/>
            </w:tcMar>
            <w:vAlign w:val="center"/>
          </w:tcPr>
          <w:p w14:paraId="3870A987">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提交联合体协议书，并明确联合体牵头人。</w:t>
            </w:r>
          </w:p>
        </w:tc>
      </w:tr>
      <w:tr w14:paraId="013B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87" w:type="dxa"/>
            <w:vMerge w:val="restart"/>
            <w:tcMar>
              <w:top w:w="28" w:type="dxa"/>
              <w:left w:w="28" w:type="dxa"/>
              <w:bottom w:w="28" w:type="dxa"/>
              <w:right w:w="28" w:type="dxa"/>
            </w:tcMar>
            <w:vAlign w:val="center"/>
          </w:tcPr>
          <w:p w14:paraId="2CC4546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2.1.2</w:t>
            </w:r>
          </w:p>
        </w:tc>
        <w:tc>
          <w:tcPr>
            <w:tcW w:w="943" w:type="dxa"/>
            <w:vMerge w:val="restart"/>
            <w:tcMar>
              <w:top w:w="28" w:type="dxa"/>
              <w:left w:w="28" w:type="dxa"/>
              <w:bottom w:w="28" w:type="dxa"/>
              <w:right w:w="28" w:type="dxa"/>
            </w:tcMar>
            <w:vAlign w:val="center"/>
          </w:tcPr>
          <w:p w14:paraId="691B5310">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资格审查</w:t>
            </w:r>
          </w:p>
          <w:p w14:paraId="4A456ACB">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评审标准</w:t>
            </w:r>
          </w:p>
        </w:tc>
        <w:tc>
          <w:tcPr>
            <w:tcW w:w="1979" w:type="dxa"/>
            <w:tcMar>
              <w:top w:w="28" w:type="dxa"/>
              <w:left w:w="28" w:type="dxa"/>
              <w:bottom w:w="28" w:type="dxa"/>
              <w:right w:w="28" w:type="dxa"/>
            </w:tcMar>
            <w:vAlign w:val="center"/>
          </w:tcPr>
          <w:p w14:paraId="1B7BA400">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营业执照</w:t>
            </w:r>
          </w:p>
        </w:tc>
        <w:tc>
          <w:tcPr>
            <w:tcW w:w="5822" w:type="dxa"/>
            <w:tcMar>
              <w:top w:w="28" w:type="dxa"/>
              <w:left w:w="28" w:type="dxa"/>
              <w:bottom w:w="28" w:type="dxa"/>
              <w:right w:w="28" w:type="dxa"/>
            </w:tcMar>
            <w:vAlign w:val="center"/>
          </w:tcPr>
          <w:p w14:paraId="7B8358FF">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具备有效的营业执照。</w:t>
            </w:r>
          </w:p>
        </w:tc>
      </w:tr>
      <w:tr w14:paraId="39B7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787" w:type="dxa"/>
            <w:vMerge w:val="continue"/>
            <w:tcMar>
              <w:top w:w="28" w:type="dxa"/>
              <w:left w:w="28" w:type="dxa"/>
              <w:bottom w:w="28" w:type="dxa"/>
              <w:right w:w="28" w:type="dxa"/>
            </w:tcMar>
            <w:vAlign w:val="center"/>
          </w:tcPr>
          <w:p w14:paraId="2917683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06F9895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3CD44F7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资质要求</w:t>
            </w:r>
          </w:p>
        </w:tc>
        <w:tc>
          <w:tcPr>
            <w:tcW w:w="5822" w:type="dxa"/>
            <w:tcMar>
              <w:top w:w="28" w:type="dxa"/>
              <w:left w:w="28" w:type="dxa"/>
              <w:bottom w:w="28" w:type="dxa"/>
              <w:right w:w="28" w:type="dxa"/>
            </w:tcMar>
            <w:vAlign w:val="center"/>
          </w:tcPr>
          <w:p w14:paraId="706D5417">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符合第二章“投标人须知”第1.4.1项规定。</w:t>
            </w:r>
          </w:p>
        </w:tc>
      </w:tr>
      <w:tr w14:paraId="1D0E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787" w:type="dxa"/>
            <w:vMerge w:val="continue"/>
            <w:tcMar>
              <w:top w:w="28" w:type="dxa"/>
              <w:left w:w="28" w:type="dxa"/>
              <w:bottom w:w="28" w:type="dxa"/>
              <w:right w:w="28" w:type="dxa"/>
            </w:tcMar>
            <w:vAlign w:val="center"/>
          </w:tcPr>
          <w:p w14:paraId="494C95D2">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2770B1A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35DBA4D9">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运营能力</w:t>
            </w:r>
          </w:p>
        </w:tc>
        <w:tc>
          <w:tcPr>
            <w:tcW w:w="5822" w:type="dxa"/>
            <w:tcMar>
              <w:top w:w="28" w:type="dxa"/>
              <w:left w:w="28" w:type="dxa"/>
              <w:bottom w:w="28" w:type="dxa"/>
              <w:right w:w="28" w:type="dxa"/>
            </w:tcMar>
            <w:vAlign w:val="center"/>
          </w:tcPr>
          <w:p w14:paraId="35FF28A3">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符合第二章“投标人须知”第1.4.1项规定。</w:t>
            </w:r>
          </w:p>
        </w:tc>
      </w:tr>
      <w:tr w14:paraId="0FED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787" w:type="dxa"/>
            <w:vMerge w:val="continue"/>
            <w:tcMar>
              <w:top w:w="28" w:type="dxa"/>
              <w:left w:w="28" w:type="dxa"/>
              <w:bottom w:w="28" w:type="dxa"/>
              <w:right w:w="28" w:type="dxa"/>
            </w:tcMar>
            <w:vAlign w:val="center"/>
          </w:tcPr>
          <w:p w14:paraId="648EAFA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77BA4DD2">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32A81979">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安全生产许可证</w:t>
            </w:r>
          </w:p>
        </w:tc>
        <w:tc>
          <w:tcPr>
            <w:tcW w:w="5822" w:type="dxa"/>
            <w:tcMar>
              <w:top w:w="28" w:type="dxa"/>
              <w:left w:w="28" w:type="dxa"/>
              <w:bottom w:w="28" w:type="dxa"/>
              <w:right w:w="28" w:type="dxa"/>
            </w:tcMar>
            <w:vAlign w:val="center"/>
          </w:tcPr>
          <w:p w14:paraId="6A6E3A0C">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7535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787" w:type="dxa"/>
            <w:vMerge w:val="continue"/>
            <w:tcMar>
              <w:top w:w="28" w:type="dxa"/>
              <w:left w:w="28" w:type="dxa"/>
              <w:bottom w:w="28" w:type="dxa"/>
              <w:right w:w="28" w:type="dxa"/>
            </w:tcMar>
            <w:vAlign w:val="center"/>
          </w:tcPr>
          <w:p w14:paraId="1D1C94F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241E3DEE">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6F52D0EB">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财务状况</w:t>
            </w:r>
          </w:p>
        </w:tc>
        <w:tc>
          <w:tcPr>
            <w:tcW w:w="5822" w:type="dxa"/>
            <w:tcMar>
              <w:top w:w="28" w:type="dxa"/>
              <w:left w:w="28" w:type="dxa"/>
              <w:bottom w:w="28" w:type="dxa"/>
              <w:right w:w="28" w:type="dxa"/>
            </w:tcMar>
            <w:vAlign w:val="center"/>
          </w:tcPr>
          <w:p w14:paraId="3F41CCD0">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5E10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787" w:type="dxa"/>
            <w:vMerge w:val="continue"/>
            <w:tcMar>
              <w:top w:w="28" w:type="dxa"/>
              <w:left w:w="28" w:type="dxa"/>
              <w:bottom w:w="28" w:type="dxa"/>
              <w:right w:w="28" w:type="dxa"/>
            </w:tcMar>
            <w:vAlign w:val="center"/>
          </w:tcPr>
          <w:p w14:paraId="43EE88A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6B36A5AD">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374F6AF1">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信誉</w:t>
            </w:r>
          </w:p>
        </w:tc>
        <w:tc>
          <w:tcPr>
            <w:tcW w:w="5822" w:type="dxa"/>
            <w:tcMar>
              <w:top w:w="28" w:type="dxa"/>
              <w:left w:w="28" w:type="dxa"/>
              <w:bottom w:w="28" w:type="dxa"/>
              <w:right w:w="28" w:type="dxa"/>
            </w:tcMar>
            <w:vAlign w:val="top"/>
          </w:tcPr>
          <w:p w14:paraId="2B7BD54C">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39614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787" w:type="dxa"/>
            <w:vMerge w:val="continue"/>
            <w:tcMar>
              <w:top w:w="28" w:type="dxa"/>
              <w:left w:w="28" w:type="dxa"/>
              <w:bottom w:w="28" w:type="dxa"/>
              <w:right w:w="28" w:type="dxa"/>
            </w:tcMar>
            <w:vAlign w:val="center"/>
          </w:tcPr>
          <w:p w14:paraId="1C1EE9D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1125C2BE">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51F59F17">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eastAsia="zh-CN"/>
              </w:rPr>
              <w:t>总承包</w:t>
            </w:r>
            <w:r>
              <w:rPr>
                <w:rFonts w:hint="eastAsia" w:ascii="宋体" w:hAnsi="宋体" w:eastAsia="宋体" w:cs="宋体"/>
                <w:color w:val="auto"/>
                <w:sz w:val="21"/>
                <w:szCs w:val="21"/>
                <w:highlight w:val="none"/>
                <w:lang w:val="en-US" w:eastAsia="zh-CN"/>
              </w:rPr>
              <w:t>负责人</w:t>
            </w:r>
          </w:p>
        </w:tc>
        <w:tc>
          <w:tcPr>
            <w:tcW w:w="5822" w:type="dxa"/>
            <w:tcMar>
              <w:top w:w="28" w:type="dxa"/>
              <w:left w:w="28" w:type="dxa"/>
              <w:bottom w:w="28" w:type="dxa"/>
              <w:right w:w="28" w:type="dxa"/>
            </w:tcMar>
            <w:vAlign w:val="center"/>
          </w:tcPr>
          <w:p w14:paraId="5A64D2F9">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220A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787" w:type="dxa"/>
            <w:vMerge w:val="continue"/>
            <w:tcMar>
              <w:top w:w="28" w:type="dxa"/>
              <w:left w:w="28" w:type="dxa"/>
              <w:bottom w:w="28" w:type="dxa"/>
              <w:right w:w="28" w:type="dxa"/>
            </w:tcMar>
            <w:vAlign w:val="center"/>
          </w:tcPr>
          <w:p w14:paraId="17557229">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4943DD7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7C8B8C1D">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设计负责人</w:t>
            </w:r>
          </w:p>
        </w:tc>
        <w:tc>
          <w:tcPr>
            <w:tcW w:w="5822" w:type="dxa"/>
            <w:tcMar>
              <w:top w:w="28" w:type="dxa"/>
              <w:left w:w="28" w:type="dxa"/>
              <w:bottom w:w="28" w:type="dxa"/>
              <w:right w:w="28" w:type="dxa"/>
            </w:tcMar>
            <w:vAlign w:val="center"/>
          </w:tcPr>
          <w:p w14:paraId="42F55EDD">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6970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787" w:type="dxa"/>
            <w:vMerge w:val="continue"/>
            <w:tcMar>
              <w:top w:w="28" w:type="dxa"/>
              <w:left w:w="28" w:type="dxa"/>
              <w:bottom w:w="28" w:type="dxa"/>
              <w:right w:w="28" w:type="dxa"/>
            </w:tcMar>
            <w:vAlign w:val="center"/>
          </w:tcPr>
          <w:p w14:paraId="27AB782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3E98CCD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5AA358C2">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施工负责人</w:t>
            </w:r>
          </w:p>
        </w:tc>
        <w:tc>
          <w:tcPr>
            <w:tcW w:w="5822" w:type="dxa"/>
            <w:tcMar>
              <w:top w:w="28" w:type="dxa"/>
              <w:left w:w="28" w:type="dxa"/>
              <w:bottom w:w="28" w:type="dxa"/>
              <w:right w:w="28" w:type="dxa"/>
            </w:tcMar>
            <w:vAlign w:val="center"/>
          </w:tcPr>
          <w:p w14:paraId="0D37D5DA">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524C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787" w:type="dxa"/>
            <w:vMerge w:val="continue"/>
            <w:tcMar>
              <w:top w:w="28" w:type="dxa"/>
              <w:left w:w="28" w:type="dxa"/>
              <w:bottom w:w="28" w:type="dxa"/>
              <w:right w:w="28" w:type="dxa"/>
            </w:tcMar>
            <w:vAlign w:val="center"/>
          </w:tcPr>
          <w:p w14:paraId="38397BF9">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157A56A2">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2B92B923">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施工技术负责人</w:t>
            </w:r>
          </w:p>
        </w:tc>
        <w:tc>
          <w:tcPr>
            <w:tcW w:w="5822" w:type="dxa"/>
            <w:tcMar>
              <w:top w:w="28" w:type="dxa"/>
              <w:left w:w="28" w:type="dxa"/>
              <w:bottom w:w="28" w:type="dxa"/>
              <w:right w:w="28" w:type="dxa"/>
            </w:tcMar>
            <w:vAlign w:val="center"/>
          </w:tcPr>
          <w:p w14:paraId="6353E17F">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7D71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787" w:type="dxa"/>
            <w:vMerge w:val="continue"/>
            <w:tcMar>
              <w:top w:w="28" w:type="dxa"/>
              <w:left w:w="28" w:type="dxa"/>
              <w:bottom w:w="28" w:type="dxa"/>
              <w:right w:w="28" w:type="dxa"/>
            </w:tcMar>
            <w:vAlign w:val="center"/>
          </w:tcPr>
          <w:p w14:paraId="7A0FE575">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102F9F7B">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352029C7">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项目管理机构及人员</w:t>
            </w:r>
          </w:p>
        </w:tc>
        <w:tc>
          <w:tcPr>
            <w:tcW w:w="5822" w:type="dxa"/>
            <w:tcMar>
              <w:top w:w="28" w:type="dxa"/>
              <w:left w:w="28" w:type="dxa"/>
              <w:bottom w:w="28" w:type="dxa"/>
              <w:right w:w="28" w:type="dxa"/>
            </w:tcMar>
            <w:vAlign w:val="center"/>
          </w:tcPr>
          <w:p w14:paraId="760ABF46">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6EB50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9" w:hRule="atLeast"/>
          <w:jc w:val="center"/>
        </w:trPr>
        <w:tc>
          <w:tcPr>
            <w:tcW w:w="787" w:type="dxa"/>
            <w:vMerge w:val="continue"/>
            <w:tcMar>
              <w:top w:w="28" w:type="dxa"/>
              <w:left w:w="28" w:type="dxa"/>
              <w:bottom w:w="28" w:type="dxa"/>
              <w:right w:w="28" w:type="dxa"/>
            </w:tcMar>
            <w:vAlign w:val="center"/>
          </w:tcPr>
          <w:p w14:paraId="766DA3B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6743E0F4">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13E0BFE2">
            <w:pPr>
              <w:keepNext w:val="0"/>
              <w:keepLines w:val="0"/>
              <w:pageBreakBefore w:val="0"/>
              <w:kinsoku/>
              <w:wordWrap/>
              <w:overflowPunct/>
              <w:topLinePunct w:val="0"/>
              <w:autoSpaceDE/>
              <w:autoSpaceDN/>
              <w:bidi w:val="0"/>
              <w:adjustRightInd/>
              <w:snapToGrid w:val="0"/>
              <w:spacing w:after="0" w:line="360"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其他要求</w:t>
            </w:r>
          </w:p>
        </w:tc>
        <w:tc>
          <w:tcPr>
            <w:tcW w:w="5822" w:type="dxa"/>
            <w:tcMar>
              <w:top w:w="28" w:type="dxa"/>
              <w:left w:w="28" w:type="dxa"/>
              <w:bottom w:w="28" w:type="dxa"/>
              <w:right w:w="28" w:type="dxa"/>
            </w:tcMar>
            <w:vAlign w:val="center"/>
          </w:tcPr>
          <w:p w14:paraId="3EDF42E6">
            <w:pPr>
              <w:pStyle w:val="740"/>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符合第二章“投标人须知”第1.4.1项规定</w:t>
            </w:r>
            <w:r>
              <w:rPr>
                <w:rFonts w:hint="eastAsia" w:ascii="宋体" w:eastAsia="宋体" w:cs="宋体"/>
                <w:color w:val="auto"/>
                <w:sz w:val="21"/>
                <w:szCs w:val="21"/>
                <w:highlight w:val="none"/>
                <w:lang w:val="en-US" w:eastAsia="zh-CN"/>
              </w:rPr>
              <w:t>。</w:t>
            </w:r>
          </w:p>
        </w:tc>
      </w:tr>
      <w:tr w14:paraId="1830E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7" w:hRule="atLeast"/>
          <w:jc w:val="center"/>
        </w:trPr>
        <w:tc>
          <w:tcPr>
            <w:tcW w:w="787" w:type="dxa"/>
            <w:vMerge w:val="restart"/>
            <w:tcMar>
              <w:top w:w="28" w:type="dxa"/>
              <w:left w:w="28" w:type="dxa"/>
              <w:bottom w:w="28" w:type="dxa"/>
              <w:right w:w="28" w:type="dxa"/>
            </w:tcMar>
            <w:vAlign w:val="center"/>
          </w:tcPr>
          <w:p w14:paraId="36687595">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2.1.3</w:t>
            </w:r>
          </w:p>
        </w:tc>
        <w:tc>
          <w:tcPr>
            <w:tcW w:w="943" w:type="dxa"/>
            <w:vMerge w:val="restart"/>
            <w:tcMar>
              <w:top w:w="28" w:type="dxa"/>
              <w:left w:w="28" w:type="dxa"/>
              <w:bottom w:w="28" w:type="dxa"/>
              <w:right w:w="28" w:type="dxa"/>
            </w:tcMar>
            <w:vAlign w:val="center"/>
          </w:tcPr>
          <w:p w14:paraId="7979359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响应性</w:t>
            </w:r>
          </w:p>
          <w:p w14:paraId="4B917BB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评审标准</w:t>
            </w:r>
          </w:p>
        </w:tc>
        <w:tc>
          <w:tcPr>
            <w:tcW w:w="1979" w:type="dxa"/>
            <w:tcMar>
              <w:top w:w="28" w:type="dxa"/>
              <w:left w:w="28" w:type="dxa"/>
              <w:bottom w:w="28" w:type="dxa"/>
              <w:right w:w="28" w:type="dxa"/>
            </w:tcMar>
            <w:vAlign w:val="center"/>
          </w:tcPr>
          <w:p w14:paraId="74E6617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投标报价</w:t>
            </w:r>
          </w:p>
        </w:tc>
        <w:tc>
          <w:tcPr>
            <w:tcW w:w="5822" w:type="dxa"/>
            <w:tcMar>
              <w:top w:w="28" w:type="dxa"/>
              <w:left w:w="28" w:type="dxa"/>
              <w:bottom w:w="28" w:type="dxa"/>
              <w:right w:w="28" w:type="dxa"/>
            </w:tcMar>
            <w:vAlign w:val="center"/>
          </w:tcPr>
          <w:p w14:paraId="7F542EEF">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符合招标文件规定。</w:t>
            </w:r>
          </w:p>
        </w:tc>
      </w:tr>
      <w:tr w14:paraId="2149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7" w:hRule="atLeast"/>
          <w:jc w:val="center"/>
        </w:trPr>
        <w:tc>
          <w:tcPr>
            <w:tcW w:w="787" w:type="dxa"/>
            <w:vMerge w:val="continue"/>
            <w:tcMar>
              <w:top w:w="28" w:type="dxa"/>
              <w:left w:w="28" w:type="dxa"/>
              <w:bottom w:w="28" w:type="dxa"/>
              <w:right w:w="28" w:type="dxa"/>
            </w:tcMar>
            <w:vAlign w:val="center"/>
          </w:tcPr>
          <w:p w14:paraId="7FAD6985">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7939E83E">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26C6AD5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投标内容</w:t>
            </w:r>
          </w:p>
        </w:tc>
        <w:tc>
          <w:tcPr>
            <w:tcW w:w="5822" w:type="dxa"/>
            <w:tcMar>
              <w:top w:w="28" w:type="dxa"/>
              <w:left w:w="28" w:type="dxa"/>
              <w:bottom w:w="28" w:type="dxa"/>
              <w:right w:w="28" w:type="dxa"/>
            </w:tcMar>
            <w:vAlign w:val="center"/>
          </w:tcPr>
          <w:p w14:paraId="212B8A85">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符合第二章“投标人须知”第1.3.1项规定。</w:t>
            </w:r>
          </w:p>
        </w:tc>
      </w:tr>
      <w:tr w14:paraId="7D59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787" w:type="dxa"/>
            <w:vMerge w:val="continue"/>
            <w:tcMar>
              <w:top w:w="28" w:type="dxa"/>
              <w:left w:w="28" w:type="dxa"/>
              <w:bottom w:w="28" w:type="dxa"/>
              <w:right w:w="28" w:type="dxa"/>
            </w:tcMar>
            <w:vAlign w:val="center"/>
          </w:tcPr>
          <w:p w14:paraId="34E45738">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4237BCB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2181F364">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工期</w:t>
            </w:r>
          </w:p>
        </w:tc>
        <w:tc>
          <w:tcPr>
            <w:tcW w:w="5822" w:type="dxa"/>
            <w:tcMar>
              <w:top w:w="28" w:type="dxa"/>
              <w:left w:w="28" w:type="dxa"/>
              <w:bottom w:w="28" w:type="dxa"/>
              <w:right w:w="28" w:type="dxa"/>
            </w:tcMar>
            <w:vAlign w:val="center"/>
          </w:tcPr>
          <w:p w14:paraId="30D5766F">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符合第二章“投标人须知”第1.3.2项规定。</w:t>
            </w:r>
          </w:p>
        </w:tc>
      </w:tr>
      <w:tr w14:paraId="30C3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787" w:type="dxa"/>
            <w:vMerge w:val="continue"/>
            <w:tcMar>
              <w:top w:w="28" w:type="dxa"/>
              <w:left w:w="28" w:type="dxa"/>
              <w:bottom w:w="28" w:type="dxa"/>
              <w:right w:w="28" w:type="dxa"/>
            </w:tcMar>
            <w:vAlign w:val="center"/>
          </w:tcPr>
          <w:p w14:paraId="7FCFD480">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4F03CB3D">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0A705BF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工程质量</w:t>
            </w:r>
          </w:p>
        </w:tc>
        <w:tc>
          <w:tcPr>
            <w:tcW w:w="5822" w:type="dxa"/>
            <w:tcMar>
              <w:top w:w="28" w:type="dxa"/>
              <w:left w:w="28" w:type="dxa"/>
              <w:bottom w:w="28" w:type="dxa"/>
              <w:right w:w="28" w:type="dxa"/>
            </w:tcMar>
            <w:vAlign w:val="center"/>
          </w:tcPr>
          <w:p w14:paraId="5C9F2B06">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符合第二章“投标人须知”第1.3.3项规定。</w:t>
            </w:r>
          </w:p>
        </w:tc>
      </w:tr>
      <w:tr w14:paraId="1104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787" w:type="dxa"/>
            <w:vMerge w:val="continue"/>
            <w:tcMar>
              <w:top w:w="28" w:type="dxa"/>
              <w:left w:w="28" w:type="dxa"/>
              <w:bottom w:w="28" w:type="dxa"/>
              <w:right w:w="28" w:type="dxa"/>
            </w:tcMar>
            <w:vAlign w:val="center"/>
          </w:tcPr>
          <w:p w14:paraId="13CED43F">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2A4D0233">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2B1325CA">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投标有效期</w:t>
            </w:r>
          </w:p>
        </w:tc>
        <w:tc>
          <w:tcPr>
            <w:tcW w:w="5822" w:type="dxa"/>
            <w:tcMar>
              <w:top w:w="28" w:type="dxa"/>
              <w:left w:w="28" w:type="dxa"/>
              <w:bottom w:w="28" w:type="dxa"/>
              <w:right w:w="28" w:type="dxa"/>
            </w:tcMar>
            <w:vAlign w:val="center"/>
          </w:tcPr>
          <w:p w14:paraId="7B1A3588">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符合第二章“投标人须知”第3.3.3项规定。</w:t>
            </w:r>
          </w:p>
        </w:tc>
      </w:tr>
      <w:tr w14:paraId="554D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jc w:val="center"/>
        </w:trPr>
        <w:tc>
          <w:tcPr>
            <w:tcW w:w="787" w:type="dxa"/>
            <w:vMerge w:val="continue"/>
            <w:tcMar>
              <w:top w:w="28" w:type="dxa"/>
              <w:left w:w="28" w:type="dxa"/>
              <w:bottom w:w="28" w:type="dxa"/>
              <w:right w:w="28" w:type="dxa"/>
            </w:tcMar>
            <w:vAlign w:val="center"/>
          </w:tcPr>
          <w:p w14:paraId="5E043D5D">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157974B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16F22749">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投标保证金</w:t>
            </w:r>
          </w:p>
        </w:tc>
        <w:tc>
          <w:tcPr>
            <w:tcW w:w="5822" w:type="dxa"/>
            <w:tcMar>
              <w:top w:w="28" w:type="dxa"/>
              <w:left w:w="28" w:type="dxa"/>
              <w:bottom w:w="28" w:type="dxa"/>
              <w:right w:w="28" w:type="dxa"/>
            </w:tcMar>
            <w:vAlign w:val="center"/>
          </w:tcPr>
          <w:p w14:paraId="30B48422">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符合第二章“投标人须知”第3.4.1项规定。</w:t>
            </w:r>
          </w:p>
        </w:tc>
      </w:tr>
      <w:tr w14:paraId="7083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jc w:val="center"/>
        </w:trPr>
        <w:tc>
          <w:tcPr>
            <w:tcW w:w="787" w:type="dxa"/>
            <w:vMerge w:val="continue"/>
            <w:tcMar>
              <w:top w:w="28" w:type="dxa"/>
              <w:left w:w="28" w:type="dxa"/>
              <w:bottom w:w="28" w:type="dxa"/>
              <w:right w:w="28" w:type="dxa"/>
            </w:tcMar>
            <w:vAlign w:val="center"/>
          </w:tcPr>
          <w:p w14:paraId="18E84318">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55D53716">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6B2B549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权利义务</w:t>
            </w:r>
          </w:p>
        </w:tc>
        <w:tc>
          <w:tcPr>
            <w:tcW w:w="5822" w:type="dxa"/>
            <w:tcMar>
              <w:top w:w="28" w:type="dxa"/>
              <w:left w:w="28" w:type="dxa"/>
              <w:bottom w:w="28" w:type="dxa"/>
              <w:right w:w="28" w:type="dxa"/>
            </w:tcMar>
            <w:vAlign w:val="center"/>
          </w:tcPr>
          <w:p w14:paraId="5E7B3F94">
            <w:pPr>
              <w:pStyle w:val="740"/>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符合第四章“合同条款及格式”规定。</w:t>
            </w:r>
          </w:p>
        </w:tc>
      </w:tr>
      <w:tr w14:paraId="45FF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jc w:val="center"/>
        </w:trPr>
        <w:tc>
          <w:tcPr>
            <w:tcW w:w="787" w:type="dxa"/>
            <w:vMerge w:val="continue"/>
            <w:tcMar>
              <w:top w:w="28" w:type="dxa"/>
              <w:left w:w="28" w:type="dxa"/>
              <w:bottom w:w="28" w:type="dxa"/>
              <w:right w:w="28" w:type="dxa"/>
            </w:tcMar>
            <w:vAlign w:val="center"/>
          </w:tcPr>
          <w:p w14:paraId="5F8C736E">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943" w:type="dxa"/>
            <w:vMerge w:val="continue"/>
            <w:tcMar>
              <w:top w:w="28" w:type="dxa"/>
              <w:left w:w="28" w:type="dxa"/>
              <w:bottom w:w="28" w:type="dxa"/>
              <w:right w:w="28" w:type="dxa"/>
            </w:tcMar>
            <w:vAlign w:val="center"/>
          </w:tcPr>
          <w:p w14:paraId="3C3C562C">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p>
        </w:tc>
        <w:tc>
          <w:tcPr>
            <w:tcW w:w="1979" w:type="dxa"/>
            <w:tcMar>
              <w:top w:w="28" w:type="dxa"/>
              <w:left w:w="28" w:type="dxa"/>
              <w:bottom w:w="28" w:type="dxa"/>
              <w:right w:w="28" w:type="dxa"/>
            </w:tcMar>
            <w:vAlign w:val="center"/>
          </w:tcPr>
          <w:p w14:paraId="43D7DF59">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eastAsia="宋体" w:cs="宋体"/>
                <w:color w:val="auto"/>
                <w:sz w:val="21"/>
                <w:szCs w:val="21"/>
                <w:highlight w:val="none"/>
                <w:lang w:val="en-US" w:eastAsia="zh-CN"/>
              </w:rPr>
              <w:t>其他实质性条款</w:t>
            </w:r>
          </w:p>
        </w:tc>
        <w:tc>
          <w:tcPr>
            <w:tcW w:w="5822" w:type="dxa"/>
            <w:tcMar>
              <w:top w:w="28" w:type="dxa"/>
              <w:left w:w="28" w:type="dxa"/>
              <w:bottom w:w="28" w:type="dxa"/>
              <w:right w:w="28" w:type="dxa"/>
            </w:tcMar>
            <w:vAlign w:val="center"/>
          </w:tcPr>
          <w:p w14:paraId="2ACEBC81">
            <w:pPr>
              <w:pStyle w:val="740"/>
              <w:keepNext w:val="0"/>
              <w:keepLines w:val="0"/>
              <w:pageBreakBefore w:val="0"/>
              <w:kinsoku/>
              <w:wordWrap/>
              <w:overflowPunct/>
              <w:topLinePunct w:val="0"/>
              <w:autoSpaceDE/>
              <w:autoSpaceDN/>
              <w:bidi w:val="0"/>
              <w:adjustRightInd/>
              <w:spacing w:line="360" w:lineRule="auto"/>
              <w:ind w:right="-113" w:rightChars="-54"/>
              <w:textAlignment w:val="auto"/>
              <w:rPr>
                <w:rFonts w:hint="eastAsia" w:ascii="宋体" w:hAnsi="宋体" w:eastAsia="宋体" w:cs="宋体"/>
                <w:color w:val="auto"/>
                <w:sz w:val="21"/>
                <w:szCs w:val="21"/>
                <w:highlight w:val="none"/>
                <w:lang w:val="en-US" w:eastAsia="zh-CN"/>
              </w:rPr>
            </w:pPr>
            <w:r>
              <w:rPr>
                <w:rFonts w:hint="eastAsia" w:ascii="宋体" w:eastAsia="宋体" w:cs="宋体"/>
                <w:color w:val="auto"/>
                <w:sz w:val="21"/>
                <w:szCs w:val="21"/>
                <w:highlight w:val="none"/>
                <w:lang w:val="en-US" w:eastAsia="zh-CN"/>
              </w:rPr>
              <w:t>符合招标文件规定的其他实质性要求及未出现</w:t>
            </w:r>
            <w:r>
              <w:rPr>
                <w:rFonts w:hint="eastAsia" w:ascii="宋体" w:hAnsi="宋体" w:eastAsia="宋体" w:cs="宋体"/>
                <w:color w:val="auto"/>
                <w:kern w:val="0"/>
                <w:sz w:val="21"/>
                <w:szCs w:val="21"/>
                <w:highlight w:val="none"/>
              </w:rPr>
              <w:t>投标被否决条</w:t>
            </w:r>
            <w:r>
              <w:rPr>
                <w:rFonts w:hint="eastAsia" w:ascii="宋体" w:eastAsia="宋体" w:cs="宋体"/>
                <w:color w:val="auto"/>
                <w:kern w:val="0"/>
                <w:sz w:val="21"/>
                <w:szCs w:val="21"/>
                <w:highlight w:val="none"/>
                <w:lang w:eastAsia="zh-CN"/>
              </w:rPr>
              <w:t>件。</w:t>
            </w:r>
          </w:p>
        </w:tc>
      </w:tr>
      <w:tr w14:paraId="2E57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87" w:type="dxa"/>
            <w:tcMar>
              <w:top w:w="28" w:type="dxa"/>
              <w:left w:w="28" w:type="dxa"/>
              <w:bottom w:w="28" w:type="dxa"/>
              <w:right w:w="28" w:type="dxa"/>
            </w:tcMar>
            <w:vAlign w:val="center"/>
          </w:tcPr>
          <w:p w14:paraId="1FF07878">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2.2</w:t>
            </w:r>
          </w:p>
        </w:tc>
        <w:tc>
          <w:tcPr>
            <w:tcW w:w="943" w:type="dxa"/>
            <w:tcMar>
              <w:top w:w="28" w:type="dxa"/>
              <w:left w:w="28" w:type="dxa"/>
              <w:bottom w:w="28" w:type="dxa"/>
              <w:right w:w="28" w:type="dxa"/>
            </w:tcMar>
            <w:vAlign w:val="center"/>
          </w:tcPr>
          <w:p w14:paraId="6B9665B1">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详细评审</w:t>
            </w:r>
          </w:p>
        </w:tc>
        <w:tc>
          <w:tcPr>
            <w:tcW w:w="1979" w:type="dxa"/>
            <w:tcMar>
              <w:top w:w="28" w:type="dxa"/>
              <w:left w:w="28" w:type="dxa"/>
              <w:bottom w:w="28" w:type="dxa"/>
              <w:right w:w="28" w:type="dxa"/>
            </w:tcMar>
            <w:vAlign w:val="center"/>
          </w:tcPr>
          <w:p w14:paraId="0BB51509">
            <w:pPr>
              <w:pStyle w:val="740"/>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评审办法说明</w:t>
            </w:r>
          </w:p>
        </w:tc>
        <w:tc>
          <w:tcPr>
            <w:tcW w:w="5822" w:type="dxa"/>
            <w:tcMar>
              <w:top w:w="28" w:type="dxa"/>
              <w:left w:w="28" w:type="dxa"/>
              <w:bottom w:w="28" w:type="dxa"/>
              <w:right w:w="28" w:type="dxa"/>
            </w:tcMar>
            <w:vAlign w:val="center"/>
          </w:tcPr>
          <w:p w14:paraId="71C287A7">
            <w:pPr>
              <w:pStyle w:val="7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本项目详细评审办法为采用综合评估法。第一阶段评标委员会对通过初步评审的投标文件进行详细评审。第二阶段评标委员会按最后得分由高到低推荐三家中标候选人。若投标人最后得分相同时，推荐中标候选人的顺序按商务部分得分由高到低的顺序推荐中标候选人，若商务部分得分也相同时，则不记名投票确定。</w:t>
            </w:r>
          </w:p>
        </w:tc>
      </w:tr>
    </w:tbl>
    <w:p w14:paraId="217EF3BE">
      <w:pPr>
        <w:widowControl/>
        <w:jc w:val="left"/>
        <w:rPr>
          <w:rFonts w:cs="Times New Roman"/>
          <w:color w:val="auto"/>
          <w:kern w:val="0"/>
          <w:sz w:val="24"/>
          <w:szCs w:val="24"/>
          <w:highlight w:val="none"/>
        </w:rPr>
        <w:sectPr>
          <w:footerReference r:id="rId6" w:type="default"/>
          <w:pgSz w:w="11906" w:h="16838"/>
          <w:pgMar w:top="1440" w:right="1440" w:bottom="1440" w:left="1440" w:header="851" w:footer="992" w:gutter="0"/>
          <w:pgNumType w:fmt="decimal"/>
          <w:cols w:space="720" w:num="1"/>
          <w:docGrid w:type="lines" w:linePitch="312" w:charSpace="0"/>
        </w:sectPr>
      </w:pPr>
      <w:bookmarkStart w:id="633" w:name="_Toc435016850"/>
      <w:bookmarkStart w:id="634" w:name="_Toc395965056"/>
    </w:p>
    <w:tbl>
      <w:tblPr>
        <w:tblStyle w:val="88"/>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009"/>
        <w:gridCol w:w="1958"/>
        <w:gridCol w:w="5754"/>
      </w:tblGrid>
      <w:tr w14:paraId="43021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tcMar>
              <w:top w:w="28" w:type="dxa"/>
              <w:left w:w="28" w:type="dxa"/>
              <w:bottom w:w="28" w:type="dxa"/>
              <w:right w:w="28" w:type="dxa"/>
            </w:tcMar>
            <w:vAlign w:val="center"/>
          </w:tcPr>
          <w:p w14:paraId="02F3595C">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条款号</w:t>
            </w:r>
          </w:p>
        </w:tc>
        <w:tc>
          <w:tcPr>
            <w:tcW w:w="1009" w:type="dxa"/>
            <w:tcMar>
              <w:top w:w="28" w:type="dxa"/>
              <w:left w:w="28" w:type="dxa"/>
              <w:bottom w:w="28" w:type="dxa"/>
              <w:right w:w="28" w:type="dxa"/>
            </w:tcMar>
            <w:vAlign w:val="center"/>
          </w:tcPr>
          <w:p w14:paraId="2FE96BA4">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评审条款</w:t>
            </w:r>
          </w:p>
        </w:tc>
        <w:tc>
          <w:tcPr>
            <w:tcW w:w="1958" w:type="dxa"/>
            <w:tcMar>
              <w:top w:w="28" w:type="dxa"/>
              <w:left w:w="28" w:type="dxa"/>
              <w:bottom w:w="28" w:type="dxa"/>
              <w:right w:w="28" w:type="dxa"/>
            </w:tcMar>
            <w:vAlign w:val="center"/>
          </w:tcPr>
          <w:p w14:paraId="03339EAC">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评审因素</w:t>
            </w:r>
          </w:p>
        </w:tc>
        <w:tc>
          <w:tcPr>
            <w:tcW w:w="5754" w:type="dxa"/>
            <w:tcMar>
              <w:top w:w="28" w:type="dxa"/>
              <w:left w:w="28" w:type="dxa"/>
              <w:bottom w:w="28" w:type="dxa"/>
              <w:right w:w="28" w:type="dxa"/>
            </w:tcMar>
            <w:vAlign w:val="center"/>
          </w:tcPr>
          <w:p w14:paraId="605E6207">
            <w:pPr>
              <w:pStyle w:val="740"/>
              <w:keepNext w:val="0"/>
              <w:keepLines w:val="0"/>
              <w:pageBreakBefore w:val="0"/>
              <w:kinsoku/>
              <w:wordWrap/>
              <w:overflowPunct/>
              <w:topLinePunct w:val="0"/>
              <w:autoSpaceDE/>
              <w:autoSpaceDN/>
              <w:bidi w:val="0"/>
              <w:adjustRightInd/>
              <w:snapToGrid/>
              <w:spacing w:line="360" w:lineRule="auto"/>
              <w:ind w:firstLine="2530" w:firstLineChars="1200"/>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评审标准</w:t>
            </w:r>
          </w:p>
        </w:tc>
      </w:tr>
      <w:tr w14:paraId="6D2C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vMerge w:val="restart"/>
            <w:tcMar>
              <w:top w:w="28" w:type="dxa"/>
              <w:left w:w="28" w:type="dxa"/>
              <w:bottom w:w="28" w:type="dxa"/>
              <w:right w:w="28" w:type="dxa"/>
            </w:tcMar>
            <w:vAlign w:val="center"/>
          </w:tcPr>
          <w:p w14:paraId="69594E2D">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2.2.1</w:t>
            </w:r>
          </w:p>
        </w:tc>
        <w:tc>
          <w:tcPr>
            <w:tcW w:w="1009" w:type="dxa"/>
            <w:vMerge w:val="restart"/>
            <w:tcMar>
              <w:top w:w="28" w:type="dxa"/>
              <w:left w:w="28" w:type="dxa"/>
              <w:bottom w:w="28" w:type="dxa"/>
              <w:right w:w="28" w:type="dxa"/>
            </w:tcMar>
            <w:vAlign w:val="center"/>
          </w:tcPr>
          <w:p w14:paraId="26154BAD">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商务部分</w:t>
            </w:r>
          </w:p>
          <w:p w14:paraId="7B45E5D5">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评审标准</w:t>
            </w:r>
          </w:p>
          <w:p w14:paraId="74F00AFA">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en-US"/>
              </w:rPr>
              <w:t>分）</w:t>
            </w:r>
          </w:p>
        </w:tc>
        <w:tc>
          <w:tcPr>
            <w:tcW w:w="1958" w:type="dxa"/>
            <w:tcMar>
              <w:top w:w="28" w:type="dxa"/>
              <w:left w:w="28" w:type="dxa"/>
              <w:bottom w:w="28" w:type="dxa"/>
              <w:right w:w="28" w:type="dxa"/>
            </w:tcMar>
            <w:vAlign w:val="center"/>
          </w:tcPr>
          <w:p w14:paraId="2230E820">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eastAsia="宋体" w:cs="宋体"/>
                <w:color w:val="auto"/>
                <w:sz w:val="21"/>
                <w:szCs w:val="21"/>
                <w:highlight w:val="none"/>
                <w:lang w:val="en-US" w:eastAsia="zh-CN"/>
              </w:rPr>
              <w:t>投资收益</w:t>
            </w:r>
            <w:r>
              <w:rPr>
                <w:rFonts w:hint="eastAsia" w:ascii="宋体" w:hAnsi="宋体" w:eastAsia="宋体" w:cs="宋体"/>
                <w:color w:val="auto"/>
                <w:sz w:val="21"/>
                <w:szCs w:val="21"/>
                <w:highlight w:val="none"/>
                <w:lang w:val="en-US"/>
              </w:rPr>
              <w:t>报价评审</w:t>
            </w:r>
          </w:p>
        </w:tc>
        <w:tc>
          <w:tcPr>
            <w:tcW w:w="5754" w:type="dxa"/>
            <w:tcMar>
              <w:top w:w="28" w:type="dxa"/>
              <w:left w:w="28" w:type="dxa"/>
              <w:bottom w:w="28" w:type="dxa"/>
              <w:right w:w="28" w:type="dxa"/>
            </w:tcMar>
            <w:vAlign w:val="center"/>
          </w:tcPr>
          <w:p w14:paraId="36A1F32E">
            <w:pPr>
              <w:pStyle w:val="740"/>
              <w:keepNext w:val="0"/>
              <w:keepLines w:val="0"/>
              <w:pageBreakBefore w:val="0"/>
              <w:kinsoku/>
              <w:wordWrap/>
              <w:overflowPunct/>
              <w:topLinePunct w:val="0"/>
              <w:autoSpaceDE/>
              <w:autoSpaceDN/>
              <w:bidi w:val="0"/>
              <w:adjustRightInd/>
              <w:snapToGrid/>
              <w:spacing w:after="0" w:line="360" w:lineRule="auto"/>
              <w:jc w:val="both"/>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rPr>
              <w:t>分</w:t>
            </w:r>
          </w:p>
        </w:tc>
      </w:tr>
      <w:tr w14:paraId="3E21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vMerge w:val="continue"/>
            <w:tcMar>
              <w:top w:w="28" w:type="dxa"/>
              <w:left w:w="28" w:type="dxa"/>
              <w:bottom w:w="28" w:type="dxa"/>
              <w:right w:w="28" w:type="dxa"/>
            </w:tcMar>
            <w:vAlign w:val="center"/>
          </w:tcPr>
          <w:p w14:paraId="559E408E">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77E04EC9">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540425B6">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设计费报价评审</w:t>
            </w:r>
          </w:p>
        </w:tc>
        <w:tc>
          <w:tcPr>
            <w:tcW w:w="5754" w:type="dxa"/>
            <w:tcMar>
              <w:top w:w="28" w:type="dxa"/>
              <w:left w:w="28" w:type="dxa"/>
              <w:bottom w:w="28" w:type="dxa"/>
              <w:right w:w="28" w:type="dxa"/>
            </w:tcMar>
            <w:vAlign w:val="center"/>
          </w:tcPr>
          <w:p w14:paraId="74F484D4">
            <w:pPr>
              <w:pStyle w:val="740"/>
              <w:keepNext w:val="0"/>
              <w:keepLines w:val="0"/>
              <w:pageBreakBefore w:val="0"/>
              <w:kinsoku/>
              <w:wordWrap/>
              <w:overflowPunct/>
              <w:topLinePunct w:val="0"/>
              <w:autoSpaceDE/>
              <w:autoSpaceDN/>
              <w:bidi w:val="0"/>
              <w:adjustRightInd/>
              <w:snapToGrid/>
              <w:spacing w:after="0" w:line="360" w:lineRule="auto"/>
              <w:jc w:val="both"/>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rPr>
              <w:t>分</w:t>
            </w:r>
          </w:p>
        </w:tc>
      </w:tr>
      <w:tr w14:paraId="22AB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721" w:type="dxa"/>
            <w:vMerge w:val="continue"/>
            <w:tcMar>
              <w:top w:w="28" w:type="dxa"/>
              <w:left w:w="28" w:type="dxa"/>
              <w:bottom w:w="28" w:type="dxa"/>
              <w:right w:w="28" w:type="dxa"/>
            </w:tcMar>
            <w:vAlign w:val="center"/>
          </w:tcPr>
          <w:p w14:paraId="4B7BBCF0">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7778621D">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1BF1EBE1">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eastAsia="宋体" w:cs="宋体"/>
                <w:color w:val="auto"/>
                <w:sz w:val="21"/>
                <w:szCs w:val="21"/>
                <w:highlight w:val="none"/>
                <w:lang w:val="en-US" w:eastAsia="zh-CN"/>
              </w:rPr>
              <w:t>建安工程施工费</w:t>
            </w:r>
            <w:r>
              <w:rPr>
                <w:rFonts w:hint="eastAsia" w:ascii="宋体" w:hAnsi="宋体" w:eastAsia="宋体" w:cs="宋体"/>
                <w:color w:val="auto"/>
                <w:sz w:val="21"/>
                <w:szCs w:val="21"/>
                <w:highlight w:val="none"/>
                <w:lang w:val="en-US"/>
              </w:rPr>
              <w:t>（含设备购置费）报价评审</w:t>
            </w:r>
          </w:p>
        </w:tc>
        <w:tc>
          <w:tcPr>
            <w:tcW w:w="5754" w:type="dxa"/>
            <w:tcMar>
              <w:top w:w="28" w:type="dxa"/>
              <w:left w:w="28" w:type="dxa"/>
              <w:bottom w:w="28" w:type="dxa"/>
              <w:right w:w="28" w:type="dxa"/>
            </w:tcMar>
            <w:vAlign w:val="center"/>
          </w:tcPr>
          <w:p w14:paraId="434963C3">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满分10分。</w:t>
            </w:r>
          </w:p>
        </w:tc>
      </w:tr>
      <w:tr w14:paraId="7EF2A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3" w:hRule="atLeast"/>
          <w:jc w:val="center"/>
        </w:trPr>
        <w:tc>
          <w:tcPr>
            <w:tcW w:w="721" w:type="dxa"/>
            <w:vMerge w:val="restart"/>
            <w:tcMar>
              <w:top w:w="28" w:type="dxa"/>
              <w:left w:w="28" w:type="dxa"/>
              <w:bottom w:w="28" w:type="dxa"/>
              <w:right w:w="28" w:type="dxa"/>
            </w:tcMar>
            <w:vAlign w:val="center"/>
          </w:tcPr>
          <w:p w14:paraId="2093254C">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2.2.2</w:t>
            </w:r>
          </w:p>
        </w:tc>
        <w:tc>
          <w:tcPr>
            <w:tcW w:w="1009" w:type="dxa"/>
            <w:vMerge w:val="restart"/>
            <w:tcMar>
              <w:top w:w="28" w:type="dxa"/>
              <w:left w:w="28" w:type="dxa"/>
              <w:bottom w:w="28" w:type="dxa"/>
              <w:right w:w="28" w:type="dxa"/>
            </w:tcMar>
            <w:vAlign w:val="center"/>
          </w:tcPr>
          <w:p w14:paraId="54B053DC">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技术部分</w:t>
            </w:r>
          </w:p>
          <w:p w14:paraId="50FD3AB0">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评审标准</w:t>
            </w:r>
          </w:p>
          <w:p w14:paraId="45E6B72B">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80</w:t>
            </w:r>
            <w:r>
              <w:rPr>
                <w:rFonts w:hint="eastAsia" w:ascii="宋体" w:hAnsi="宋体" w:eastAsia="宋体" w:cs="宋体"/>
                <w:color w:val="auto"/>
                <w:sz w:val="21"/>
                <w:szCs w:val="21"/>
                <w:highlight w:val="none"/>
                <w:lang w:val="en-US"/>
              </w:rPr>
              <w:t>分）</w:t>
            </w:r>
          </w:p>
        </w:tc>
        <w:tc>
          <w:tcPr>
            <w:tcW w:w="1958" w:type="dxa"/>
            <w:tcMar>
              <w:top w:w="28" w:type="dxa"/>
              <w:left w:w="28" w:type="dxa"/>
              <w:bottom w:w="28" w:type="dxa"/>
              <w:right w:w="28" w:type="dxa"/>
            </w:tcMar>
            <w:vAlign w:val="center"/>
          </w:tcPr>
          <w:p w14:paraId="1BEB6CCB">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总承包方案</w:t>
            </w:r>
          </w:p>
        </w:tc>
        <w:tc>
          <w:tcPr>
            <w:tcW w:w="5754" w:type="dxa"/>
            <w:tcMar>
              <w:top w:w="28" w:type="dxa"/>
              <w:left w:w="28" w:type="dxa"/>
              <w:bottom w:w="28" w:type="dxa"/>
              <w:right w:w="28" w:type="dxa"/>
            </w:tcMar>
            <w:vAlign w:val="center"/>
          </w:tcPr>
          <w:p w14:paraId="6586CF46">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en-US"/>
              </w:rPr>
              <w:t>分。</w:t>
            </w:r>
          </w:p>
        </w:tc>
      </w:tr>
      <w:tr w14:paraId="13F9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jc w:val="center"/>
        </w:trPr>
        <w:tc>
          <w:tcPr>
            <w:tcW w:w="721" w:type="dxa"/>
            <w:vMerge w:val="continue"/>
            <w:tcMar>
              <w:top w:w="28" w:type="dxa"/>
              <w:left w:w="28" w:type="dxa"/>
              <w:bottom w:w="28" w:type="dxa"/>
              <w:right w:w="28" w:type="dxa"/>
            </w:tcMar>
            <w:vAlign w:val="center"/>
          </w:tcPr>
          <w:p w14:paraId="366ABE09">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08741E2B">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1A260DB4">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设计工作大纲（设计构思）</w:t>
            </w:r>
          </w:p>
        </w:tc>
        <w:tc>
          <w:tcPr>
            <w:tcW w:w="5754" w:type="dxa"/>
            <w:tcMar>
              <w:top w:w="28" w:type="dxa"/>
              <w:left w:w="28" w:type="dxa"/>
              <w:bottom w:w="28" w:type="dxa"/>
              <w:right w:w="28" w:type="dxa"/>
            </w:tcMar>
            <w:vAlign w:val="center"/>
          </w:tcPr>
          <w:p w14:paraId="480F0683">
            <w:pPr>
              <w:pStyle w:val="740"/>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en-US"/>
              </w:rPr>
              <w:t>分。</w:t>
            </w:r>
          </w:p>
        </w:tc>
      </w:tr>
      <w:tr w14:paraId="7D6C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721" w:type="dxa"/>
            <w:vMerge w:val="continue"/>
            <w:tcMar>
              <w:top w:w="28" w:type="dxa"/>
              <w:left w:w="28" w:type="dxa"/>
              <w:bottom w:w="28" w:type="dxa"/>
              <w:right w:w="28" w:type="dxa"/>
            </w:tcMar>
            <w:vAlign w:val="center"/>
          </w:tcPr>
          <w:p w14:paraId="63E4A370">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1F084957">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23E3F3C5">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施工方案</w:t>
            </w:r>
          </w:p>
        </w:tc>
        <w:tc>
          <w:tcPr>
            <w:tcW w:w="5754" w:type="dxa"/>
            <w:tcMar>
              <w:top w:w="28" w:type="dxa"/>
              <w:left w:w="28" w:type="dxa"/>
              <w:bottom w:w="28" w:type="dxa"/>
              <w:right w:w="28" w:type="dxa"/>
            </w:tcMar>
            <w:vAlign w:val="center"/>
          </w:tcPr>
          <w:p w14:paraId="009460F2">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en-US"/>
              </w:rPr>
              <w:t>分。</w:t>
            </w:r>
          </w:p>
        </w:tc>
      </w:tr>
      <w:tr w14:paraId="69DA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vMerge w:val="continue"/>
            <w:tcMar>
              <w:top w:w="28" w:type="dxa"/>
              <w:left w:w="28" w:type="dxa"/>
              <w:bottom w:w="28" w:type="dxa"/>
              <w:right w:w="28" w:type="dxa"/>
            </w:tcMar>
            <w:vAlign w:val="center"/>
          </w:tcPr>
          <w:p w14:paraId="0269F65D">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2B314330">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35E4D2A9">
            <w:pPr>
              <w:keepNext w:val="0"/>
              <w:keepLines w:val="0"/>
              <w:pageBreakBefore w:val="0"/>
              <w:kinsoku/>
              <w:wordWrap/>
              <w:overflowPunct/>
              <w:topLinePunct w:val="0"/>
              <w:autoSpaceDE/>
              <w:autoSpaceDN/>
              <w:bidi w:val="0"/>
              <w:adjustRightInd/>
              <w:snapToGrid/>
              <w:spacing w:line="360" w:lineRule="auto"/>
              <w:ind w:right="31"/>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项目运营方案</w:t>
            </w:r>
          </w:p>
        </w:tc>
        <w:tc>
          <w:tcPr>
            <w:tcW w:w="5754" w:type="dxa"/>
            <w:tcMar>
              <w:top w:w="28" w:type="dxa"/>
              <w:left w:w="28" w:type="dxa"/>
              <w:bottom w:w="28" w:type="dxa"/>
              <w:right w:w="28" w:type="dxa"/>
            </w:tcMar>
            <w:vAlign w:val="center"/>
          </w:tcPr>
          <w:p w14:paraId="5FC5BEE5">
            <w:pPr>
              <w:pStyle w:val="740"/>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eastAsia="宋体" w:cs="宋体"/>
                <w:color w:val="auto"/>
                <w:sz w:val="21"/>
                <w:szCs w:val="21"/>
                <w:highlight w:val="none"/>
                <w:lang w:val="en-US" w:eastAsia="zh-CN"/>
              </w:rPr>
              <w:t>满分10分。</w:t>
            </w:r>
          </w:p>
        </w:tc>
      </w:tr>
      <w:tr w14:paraId="42FD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vMerge w:val="continue"/>
            <w:tcMar>
              <w:top w:w="28" w:type="dxa"/>
              <w:left w:w="28" w:type="dxa"/>
              <w:bottom w:w="28" w:type="dxa"/>
              <w:right w:w="28" w:type="dxa"/>
            </w:tcMar>
            <w:vAlign w:val="center"/>
          </w:tcPr>
          <w:p w14:paraId="40D655E2">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391F0A3F">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4D048266">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工程造价控制措施评审</w:t>
            </w:r>
          </w:p>
        </w:tc>
        <w:tc>
          <w:tcPr>
            <w:tcW w:w="5754" w:type="dxa"/>
            <w:tcMar>
              <w:top w:w="28" w:type="dxa"/>
              <w:left w:w="28" w:type="dxa"/>
              <w:bottom w:w="28" w:type="dxa"/>
              <w:right w:w="28" w:type="dxa"/>
            </w:tcMar>
            <w:vAlign w:val="center"/>
          </w:tcPr>
          <w:p w14:paraId="1684FE12">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en-US"/>
              </w:rPr>
              <w:t>分。</w:t>
            </w:r>
          </w:p>
        </w:tc>
      </w:tr>
      <w:tr w14:paraId="6AA79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vMerge w:val="continue"/>
            <w:tcMar>
              <w:top w:w="28" w:type="dxa"/>
              <w:left w:w="28" w:type="dxa"/>
              <w:bottom w:w="28" w:type="dxa"/>
              <w:right w:w="28" w:type="dxa"/>
            </w:tcMar>
            <w:vAlign w:val="center"/>
          </w:tcPr>
          <w:p w14:paraId="2CB63498">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p>
        </w:tc>
        <w:tc>
          <w:tcPr>
            <w:tcW w:w="1009" w:type="dxa"/>
            <w:vMerge w:val="continue"/>
            <w:tcMar>
              <w:top w:w="28" w:type="dxa"/>
              <w:left w:w="28" w:type="dxa"/>
              <w:bottom w:w="28" w:type="dxa"/>
              <w:right w:w="28" w:type="dxa"/>
            </w:tcMar>
            <w:vAlign w:val="center"/>
          </w:tcPr>
          <w:p w14:paraId="397D2C80">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p>
        </w:tc>
        <w:tc>
          <w:tcPr>
            <w:tcW w:w="1958" w:type="dxa"/>
            <w:tcMar>
              <w:top w:w="28" w:type="dxa"/>
              <w:left w:w="28" w:type="dxa"/>
              <w:bottom w:w="28" w:type="dxa"/>
              <w:right w:w="28" w:type="dxa"/>
            </w:tcMar>
            <w:vAlign w:val="center"/>
          </w:tcPr>
          <w:p w14:paraId="6BA0574B">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项目团队评分标准</w:t>
            </w:r>
          </w:p>
        </w:tc>
        <w:tc>
          <w:tcPr>
            <w:tcW w:w="5754" w:type="dxa"/>
            <w:tcMar>
              <w:top w:w="28" w:type="dxa"/>
              <w:left w:w="28" w:type="dxa"/>
              <w:bottom w:w="28" w:type="dxa"/>
              <w:right w:w="28" w:type="dxa"/>
            </w:tcMar>
            <w:vAlign w:val="center"/>
          </w:tcPr>
          <w:p w14:paraId="2FD44B32">
            <w:pPr>
              <w:pStyle w:val="74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满分</w:t>
            </w:r>
            <w:r>
              <w:rPr>
                <w:rFonts w:hint="eastAsia" w:asci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en-US"/>
              </w:rPr>
              <w:t>分。</w:t>
            </w:r>
          </w:p>
        </w:tc>
      </w:tr>
      <w:tr w14:paraId="4436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jc w:val="center"/>
        </w:trPr>
        <w:tc>
          <w:tcPr>
            <w:tcW w:w="721" w:type="dxa"/>
            <w:tcMar>
              <w:top w:w="28" w:type="dxa"/>
              <w:left w:w="28" w:type="dxa"/>
              <w:bottom w:w="28" w:type="dxa"/>
              <w:right w:w="28" w:type="dxa"/>
            </w:tcMar>
            <w:vAlign w:val="center"/>
          </w:tcPr>
          <w:p w14:paraId="7F26E0A4">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2.2.3</w:t>
            </w:r>
          </w:p>
        </w:tc>
        <w:tc>
          <w:tcPr>
            <w:tcW w:w="1009" w:type="dxa"/>
            <w:tcMar>
              <w:top w:w="28" w:type="dxa"/>
              <w:left w:w="28" w:type="dxa"/>
              <w:bottom w:w="28" w:type="dxa"/>
              <w:right w:w="28" w:type="dxa"/>
            </w:tcMar>
            <w:vAlign w:val="center"/>
          </w:tcPr>
          <w:p w14:paraId="02A4668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其他因素</w:t>
            </w:r>
          </w:p>
          <w:p w14:paraId="0BA2D11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评审标准</w:t>
            </w:r>
          </w:p>
        </w:tc>
        <w:tc>
          <w:tcPr>
            <w:tcW w:w="1958" w:type="dxa"/>
            <w:tcMar>
              <w:top w:w="28" w:type="dxa"/>
              <w:left w:w="28" w:type="dxa"/>
              <w:bottom w:w="28" w:type="dxa"/>
              <w:right w:w="28" w:type="dxa"/>
            </w:tcMar>
            <w:vAlign w:val="center"/>
          </w:tcPr>
          <w:p w14:paraId="5DE851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有以下情形的应在</w:t>
            </w:r>
          </w:p>
          <w:p w14:paraId="21AEA34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总分中扣分</w:t>
            </w:r>
          </w:p>
        </w:tc>
        <w:tc>
          <w:tcPr>
            <w:tcW w:w="5754" w:type="dxa"/>
            <w:tcMar>
              <w:top w:w="28" w:type="dxa"/>
              <w:left w:w="28" w:type="dxa"/>
              <w:bottom w:w="28" w:type="dxa"/>
              <w:right w:w="28" w:type="dxa"/>
            </w:tcMar>
            <w:vAlign w:val="center"/>
          </w:tcPr>
          <w:p w14:paraId="3B0D7A04">
            <w:pPr>
              <w:keepNext w:val="0"/>
              <w:keepLines w:val="0"/>
              <w:pageBreakBefore w:val="0"/>
              <w:kinsoku/>
              <w:wordWrap/>
              <w:overflowPunct/>
              <w:topLinePunct w:val="0"/>
              <w:autoSpaceDE/>
              <w:autoSpaceDN/>
              <w:bidi w:val="0"/>
              <w:adjustRightInd/>
              <w:snapToGrid/>
              <w:spacing w:after="0" w:line="360" w:lineRule="auto"/>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投标人有下列情形之一的应在最后得分中扣分，扣分后的分值为投标人参加中标候选人排序的最终分值</w:t>
            </w:r>
            <w:r>
              <w:rPr>
                <w:rFonts w:hint="eastAsia" w:ascii="宋体" w:hAnsi="宋体" w:eastAsia="宋体" w:cs="宋体"/>
                <w:color w:val="auto"/>
                <w:kern w:val="0"/>
                <w:sz w:val="21"/>
                <w:szCs w:val="21"/>
                <w:highlight w:val="none"/>
                <w:lang w:eastAsia="zh-CN"/>
              </w:rPr>
              <w:t>。</w:t>
            </w:r>
          </w:p>
        </w:tc>
      </w:tr>
      <w:tr w14:paraId="2A6D0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4" w:hRule="atLeast"/>
          <w:jc w:val="center"/>
        </w:trPr>
        <w:tc>
          <w:tcPr>
            <w:tcW w:w="721" w:type="dxa"/>
            <w:tcMar>
              <w:top w:w="28" w:type="dxa"/>
              <w:left w:w="28" w:type="dxa"/>
              <w:bottom w:w="28" w:type="dxa"/>
              <w:right w:w="28" w:type="dxa"/>
            </w:tcMar>
            <w:vAlign w:val="center"/>
          </w:tcPr>
          <w:p w14:paraId="23608A60">
            <w:pPr>
              <w:pStyle w:val="740"/>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2.2.4</w:t>
            </w:r>
          </w:p>
        </w:tc>
        <w:tc>
          <w:tcPr>
            <w:tcW w:w="1009" w:type="dxa"/>
            <w:tcMar>
              <w:top w:w="28" w:type="dxa"/>
              <w:left w:w="28" w:type="dxa"/>
              <w:bottom w:w="28" w:type="dxa"/>
              <w:right w:w="28" w:type="dxa"/>
            </w:tcMar>
            <w:vAlign w:val="center"/>
          </w:tcPr>
          <w:p w14:paraId="4222B45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最终得分</w:t>
            </w:r>
          </w:p>
        </w:tc>
        <w:tc>
          <w:tcPr>
            <w:tcW w:w="1958" w:type="dxa"/>
            <w:tcMar>
              <w:top w:w="28" w:type="dxa"/>
              <w:left w:w="28" w:type="dxa"/>
              <w:bottom w:w="28" w:type="dxa"/>
              <w:right w:w="28" w:type="dxa"/>
            </w:tcMar>
            <w:vAlign w:val="center"/>
          </w:tcPr>
          <w:p w14:paraId="6EA0AB8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投标人最终得分计算</w:t>
            </w:r>
          </w:p>
        </w:tc>
        <w:tc>
          <w:tcPr>
            <w:tcW w:w="5754" w:type="dxa"/>
            <w:tcMar>
              <w:top w:w="28" w:type="dxa"/>
              <w:left w:w="28" w:type="dxa"/>
              <w:bottom w:w="28" w:type="dxa"/>
              <w:right w:w="28" w:type="dxa"/>
            </w:tcMar>
            <w:vAlign w:val="center"/>
          </w:tcPr>
          <w:p w14:paraId="715FD254">
            <w:pPr>
              <w:keepNext w:val="0"/>
              <w:keepLines w:val="0"/>
              <w:pageBreakBefore w:val="0"/>
              <w:kinsoku/>
              <w:wordWrap/>
              <w:overflowPunct/>
              <w:topLinePunct w:val="0"/>
              <w:autoSpaceDE/>
              <w:autoSpaceDN/>
              <w:bidi w:val="0"/>
              <w:adjustRightInd/>
              <w:snapToGrid/>
              <w:spacing w:before="78" w:beforeLines="25"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最终得分＝商务部分评审评分＋技术部分评审评分</w:t>
            </w:r>
            <w:r>
              <w:rPr>
                <w:rFonts w:hint="eastAsia" w:ascii="宋体" w:hAnsi="宋体" w:cs="宋体"/>
                <w:color w:val="auto"/>
                <w:kern w:val="0"/>
                <w:sz w:val="21"/>
                <w:szCs w:val="21"/>
                <w:highlight w:val="none"/>
                <w:lang w:val="en-US" w:eastAsia="zh-CN"/>
              </w:rPr>
              <w:t>-扣分</w:t>
            </w:r>
            <w:r>
              <w:rPr>
                <w:rFonts w:hint="eastAsia" w:ascii="宋体" w:hAnsi="宋体" w:eastAsia="宋体" w:cs="宋体"/>
                <w:color w:val="auto"/>
                <w:kern w:val="0"/>
                <w:sz w:val="21"/>
                <w:szCs w:val="21"/>
                <w:highlight w:val="none"/>
              </w:rPr>
              <w:t>。</w:t>
            </w:r>
          </w:p>
        </w:tc>
      </w:tr>
      <w:tr w14:paraId="5B00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721" w:type="dxa"/>
            <w:tcMar>
              <w:top w:w="28" w:type="dxa"/>
              <w:left w:w="28" w:type="dxa"/>
              <w:bottom w:w="28" w:type="dxa"/>
              <w:right w:w="28" w:type="dxa"/>
            </w:tcMar>
            <w:vAlign w:val="center"/>
          </w:tcPr>
          <w:p w14:paraId="1630EC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2967" w:type="dxa"/>
            <w:gridSpan w:val="2"/>
            <w:tcMar>
              <w:top w:w="28" w:type="dxa"/>
              <w:left w:w="28" w:type="dxa"/>
              <w:bottom w:w="28" w:type="dxa"/>
              <w:right w:w="28" w:type="dxa"/>
            </w:tcMar>
            <w:vAlign w:val="center"/>
          </w:tcPr>
          <w:p w14:paraId="6C66E72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评标程序</w:t>
            </w:r>
          </w:p>
        </w:tc>
        <w:tc>
          <w:tcPr>
            <w:tcW w:w="5754" w:type="dxa"/>
            <w:tcMar>
              <w:top w:w="28" w:type="dxa"/>
              <w:left w:w="28" w:type="dxa"/>
              <w:bottom w:w="28" w:type="dxa"/>
              <w:right w:w="28" w:type="dxa"/>
            </w:tcMar>
            <w:vAlign w:val="center"/>
          </w:tcPr>
          <w:p w14:paraId="29BBED5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详见本章附件A：评标详细程序。</w:t>
            </w:r>
          </w:p>
        </w:tc>
      </w:tr>
      <w:tr w14:paraId="221C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jc w:val="center"/>
        </w:trPr>
        <w:tc>
          <w:tcPr>
            <w:tcW w:w="721" w:type="dxa"/>
            <w:tcMar>
              <w:top w:w="28" w:type="dxa"/>
              <w:left w:w="28" w:type="dxa"/>
              <w:bottom w:w="28" w:type="dxa"/>
              <w:right w:w="28" w:type="dxa"/>
            </w:tcMar>
            <w:vAlign w:val="center"/>
          </w:tcPr>
          <w:p w14:paraId="55C1062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3.1.2</w:t>
            </w:r>
          </w:p>
        </w:tc>
        <w:tc>
          <w:tcPr>
            <w:tcW w:w="2967" w:type="dxa"/>
            <w:gridSpan w:val="2"/>
            <w:tcMar>
              <w:top w:w="28" w:type="dxa"/>
              <w:left w:w="28" w:type="dxa"/>
              <w:bottom w:w="28" w:type="dxa"/>
              <w:right w:w="28" w:type="dxa"/>
            </w:tcMar>
            <w:vAlign w:val="center"/>
          </w:tcPr>
          <w:p w14:paraId="5015094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投标被否决条件</w:t>
            </w:r>
          </w:p>
        </w:tc>
        <w:tc>
          <w:tcPr>
            <w:tcW w:w="5754" w:type="dxa"/>
            <w:tcMar>
              <w:top w:w="28" w:type="dxa"/>
              <w:left w:w="28" w:type="dxa"/>
              <w:bottom w:w="28" w:type="dxa"/>
              <w:right w:w="28" w:type="dxa"/>
            </w:tcMar>
            <w:vAlign w:val="center"/>
          </w:tcPr>
          <w:p w14:paraId="6017051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详见本章附件B：投标被否决条件。</w:t>
            </w:r>
          </w:p>
        </w:tc>
      </w:tr>
    </w:tbl>
    <w:p w14:paraId="057C9EA7">
      <w:pPr>
        <w:widowControl/>
        <w:jc w:val="left"/>
        <w:rPr>
          <w:rFonts w:cs="Times New Roman"/>
          <w:color w:val="auto"/>
          <w:kern w:val="0"/>
          <w:sz w:val="24"/>
          <w:szCs w:val="24"/>
          <w:highlight w:val="none"/>
        </w:rPr>
        <w:sectPr>
          <w:pgSz w:w="11906" w:h="16838"/>
          <w:pgMar w:top="1418" w:right="1134" w:bottom="1418" w:left="1134" w:header="851" w:footer="992" w:gutter="0"/>
          <w:pgNumType w:fmt="decimal"/>
          <w:cols w:space="720" w:num="1"/>
          <w:docGrid w:type="lines" w:linePitch="312" w:charSpace="0"/>
        </w:sectPr>
      </w:pPr>
    </w:p>
    <w:bookmarkEnd w:id="633"/>
    <w:bookmarkEnd w:id="634"/>
    <w:p w14:paraId="7875C4F8">
      <w:pPr>
        <w:pStyle w:val="6"/>
        <w:spacing w:before="0" w:after="0"/>
        <w:ind w:firstLine="424" w:firstLineChars="201"/>
        <w:rPr>
          <w:rFonts w:ascii="Times New Roman" w:hAnsi="Times New Roman" w:eastAsia="宋体" w:cs="Times New Roman"/>
          <w:color w:val="auto"/>
          <w:sz w:val="21"/>
          <w:szCs w:val="21"/>
          <w:highlight w:val="none"/>
        </w:rPr>
      </w:pPr>
      <w:bookmarkStart w:id="635" w:name="_Toc395965060"/>
      <w:bookmarkStart w:id="636" w:name="_Toc435016854"/>
      <w:bookmarkStart w:id="637" w:name="_Toc27588"/>
      <w:r>
        <w:rPr>
          <w:rFonts w:ascii="Times New Roman" w:hAnsi="Times New Roman" w:eastAsia="宋体" w:cs="Times New Roman"/>
          <w:color w:val="auto"/>
          <w:sz w:val="21"/>
          <w:szCs w:val="21"/>
          <w:highlight w:val="none"/>
        </w:rPr>
        <w:t xml:space="preserve">2.2 </w:t>
      </w:r>
      <w:r>
        <w:rPr>
          <w:rFonts w:hint="eastAsia" w:ascii="Times New Roman" w:hAnsi="Times New Roman" w:eastAsia="宋体" w:cs="宋体"/>
          <w:color w:val="auto"/>
          <w:sz w:val="21"/>
          <w:szCs w:val="21"/>
          <w:highlight w:val="none"/>
        </w:rPr>
        <w:t>详细评审</w:t>
      </w:r>
      <w:bookmarkEnd w:id="635"/>
      <w:bookmarkEnd w:id="636"/>
      <w:bookmarkEnd w:id="637"/>
    </w:p>
    <w:p w14:paraId="4E22D9FA">
      <w:pPr>
        <w:spacing w:line="360" w:lineRule="auto"/>
        <w:ind w:firstLine="426" w:firstLineChars="202"/>
        <w:rPr>
          <w:rFonts w:hint="eastAsia" w:cs="宋体"/>
          <w:b/>
          <w:bCs/>
          <w:color w:val="auto"/>
          <w:highlight w:val="none"/>
        </w:rPr>
      </w:pPr>
      <w:bookmarkStart w:id="638" w:name="_Toc19633"/>
      <w:bookmarkStart w:id="639" w:name="_Toc532397657"/>
      <w:bookmarkStart w:id="640" w:name="_Toc45896682"/>
      <w:bookmarkStart w:id="641" w:name="_Toc8781"/>
      <w:bookmarkStart w:id="642" w:name="_Toc45896979"/>
      <w:r>
        <w:rPr>
          <w:b/>
          <w:bCs/>
          <w:color w:val="auto"/>
          <w:highlight w:val="none"/>
        </w:rPr>
        <w:t xml:space="preserve">2.2.1 </w:t>
      </w:r>
      <w:r>
        <w:rPr>
          <w:rFonts w:hint="eastAsia" w:cs="宋体"/>
          <w:b/>
          <w:bCs/>
          <w:color w:val="auto"/>
          <w:highlight w:val="none"/>
        </w:rPr>
        <w:t>商务部分评审标准</w:t>
      </w:r>
      <w:bookmarkEnd w:id="638"/>
      <w:bookmarkEnd w:id="639"/>
      <w:bookmarkEnd w:id="640"/>
      <w:bookmarkEnd w:id="641"/>
      <w:bookmarkEnd w:id="642"/>
    </w:p>
    <w:tbl>
      <w:tblPr>
        <w:tblStyle w:val="8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8"/>
        <w:gridCol w:w="1691"/>
        <w:gridCol w:w="6159"/>
      </w:tblGrid>
      <w:tr w14:paraId="7F5C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28" w:type="dxa"/>
            <w:tcBorders>
              <w:tl2br w:val="nil"/>
              <w:tr2bl w:val="nil"/>
            </w:tcBorders>
            <w:vAlign w:val="center"/>
          </w:tcPr>
          <w:p w14:paraId="43D5FB93">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条款号</w:t>
            </w:r>
          </w:p>
        </w:tc>
        <w:tc>
          <w:tcPr>
            <w:tcW w:w="1691" w:type="dxa"/>
            <w:tcBorders>
              <w:tl2br w:val="nil"/>
              <w:tr2bl w:val="nil"/>
            </w:tcBorders>
            <w:vAlign w:val="center"/>
          </w:tcPr>
          <w:p w14:paraId="61E0D937">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p w14:paraId="5731BAB8">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（偏差率）</w:t>
            </w:r>
          </w:p>
        </w:tc>
        <w:tc>
          <w:tcPr>
            <w:tcW w:w="6159" w:type="dxa"/>
            <w:tcBorders>
              <w:tl2br w:val="nil"/>
              <w:tr2bl w:val="nil"/>
            </w:tcBorders>
            <w:vAlign w:val="center"/>
          </w:tcPr>
          <w:p w14:paraId="0D810AF8">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评分标准</w:t>
            </w:r>
          </w:p>
        </w:tc>
      </w:tr>
      <w:tr w14:paraId="272A2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28" w:type="dxa"/>
            <w:vMerge w:val="restart"/>
            <w:tcBorders>
              <w:tl2br w:val="nil"/>
              <w:tr2bl w:val="nil"/>
            </w:tcBorders>
            <w:vAlign w:val="center"/>
          </w:tcPr>
          <w:p w14:paraId="6BB1F806">
            <w:pPr>
              <w:pStyle w:val="740"/>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2.2.</w:t>
            </w:r>
            <w:r>
              <w:rPr>
                <w:rFonts w:hint="eastAsia" w:ascii="宋体" w:eastAsia="宋体" w:cs="宋体"/>
                <w:color w:val="auto"/>
                <w:sz w:val="21"/>
                <w:szCs w:val="21"/>
                <w:highlight w:val="none"/>
                <w:lang w:val="en-US" w:eastAsia="zh-CN"/>
              </w:rPr>
              <w:t>1</w:t>
            </w:r>
          </w:p>
          <w:p w14:paraId="31959C7B">
            <w:pPr>
              <w:pStyle w:val="740"/>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商务部分</w:t>
            </w:r>
          </w:p>
          <w:p w14:paraId="0E261766">
            <w:pPr>
              <w:pStyle w:val="740"/>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评审标准</w:t>
            </w:r>
          </w:p>
          <w:p w14:paraId="75A81312">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rPr>
              <w:t>（满分</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rPr>
              <w:t>分）</w:t>
            </w:r>
          </w:p>
        </w:tc>
        <w:tc>
          <w:tcPr>
            <w:tcW w:w="1691" w:type="dxa"/>
            <w:tcBorders>
              <w:tl2br w:val="nil"/>
              <w:tr2bl w:val="nil"/>
            </w:tcBorders>
            <w:vAlign w:val="center"/>
          </w:tcPr>
          <w:p w14:paraId="53AAA390">
            <w:pPr>
              <w:keepNext w:val="0"/>
              <w:keepLines w:val="0"/>
              <w:pageBreakBefore w:val="0"/>
              <w:kinsoku/>
              <w:wordWrap/>
              <w:overflowPunct/>
              <w:topLinePunct w:val="0"/>
              <w:autoSpaceDE/>
              <w:autoSpaceDN/>
              <w:bidi w:val="0"/>
              <w:adjustRightInd w:val="0"/>
              <w:snapToGrid w:val="0"/>
              <w:spacing w:after="0" w:line="312" w:lineRule="auto"/>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投资收益</w:t>
            </w:r>
            <w:r>
              <w:rPr>
                <w:rFonts w:hint="eastAsia" w:ascii="宋体" w:hAnsi="宋体" w:eastAsia="宋体" w:cs="宋体"/>
                <w:color w:val="auto"/>
                <w:sz w:val="21"/>
                <w:szCs w:val="21"/>
                <w:highlight w:val="none"/>
                <w:lang w:eastAsia="zh-CN"/>
              </w:rPr>
              <w:t>费率</w:t>
            </w:r>
            <w:r>
              <w:rPr>
                <w:rFonts w:hint="eastAsia" w:ascii="宋体" w:hAnsi="宋体" w:cs="宋体"/>
                <w:color w:val="auto"/>
                <w:sz w:val="21"/>
                <w:szCs w:val="21"/>
                <w:highlight w:val="none"/>
                <w:lang w:eastAsia="zh-CN"/>
              </w:rPr>
              <w:t>投</w:t>
            </w:r>
            <w:r>
              <w:rPr>
                <w:rFonts w:hint="eastAsia" w:ascii="宋体" w:hAnsi="宋体" w:eastAsia="宋体" w:cs="宋体"/>
                <w:color w:val="auto"/>
                <w:sz w:val="21"/>
                <w:szCs w:val="21"/>
                <w:highlight w:val="none"/>
                <w:lang w:eastAsia="zh-CN"/>
              </w:rPr>
              <w:t>标</w:t>
            </w:r>
            <w:r>
              <w:rPr>
                <w:rFonts w:hint="eastAsia" w:ascii="宋体" w:hAnsi="宋体" w:eastAsia="宋体" w:cs="宋体"/>
                <w:color w:val="auto"/>
                <w:sz w:val="21"/>
                <w:szCs w:val="21"/>
                <w:highlight w:val="none"/>
              </w:rPr>
              <w:t>报价（</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6159" w:type="dxa"/>
            <w:tcBorders>
              <w:tl2br w:val="nil"/>
              <w:tr2bl w:val="nil"/>
            </w:tcBorders>
            <w:vAlign w:val="center"/>
          </w:tcPr>
          <w:p w14:paraId="3D969228">
            <w:pPr>
              <w:keepNext w:val="0"/>
              <w:keepLines w:val="0"/>
              <w:pageBreakBefore w:val="0"/>
              <w:kinsoku/>
              <w:wordWrap/>
              <w:overflowPunct/>
              <w:topLinePunct w:val="0"/>
              <w:autoSpaceDE/>
              <w:autoSpaceDN/>
              <w:bidi w:val="0"/>
              <w:adjustRightInd w:val="0"/>
              <w:snapToGrid w:val="0"/>
              <w:spacing w:after="0" w:line="312" w:lineRule="auto"/>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以有效投标报价（</w:t>
            </w:r>
            <w:r>
              <w:rPr>
                <w:rFonts w:hint="eastAsia" w:ascii="宋体" w:hAnsi="宋体" w:cs="宋体"/>
                <w:color w:val="auto"/>
                <w:highlight w:val="none"/>
                <w:lang w:eastAsia="zh-CN"/>
              </w:rPr>
              <w:t>投资收益</w:t>
            </w:r>
            <w:r>
              <w:rPr>
                <w:rFonts w:hint="eastAsia" w:ascii="宋体" w:hAnsi="宋体" w:eastAsia="宋体" w:cs="宋体"/>
                <w:color w:val="auto"/>
                <w:highlight w:val="none"/>
                <w:lang w:eastAsia="zh-CN"/>
              </w:rPr>
              <w:t>费率投标报价</w:t>
            </w:r>
            <w:r>
              <w:rPr>
                <w:rFonts w:hint="eastAsia" w:ascii="宋体" w:hAnsi="宋体" w:eastAsia="宋体" w:cs="宋体"/>
                <w:color w:val="auto"/>
                <w:highlight w:val="none"/>
              </w:rPr>
              <w:t>）的平均</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作为评标基准</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，投标人投标报价等于评标基准</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时得满分</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分；投标人投标报价</w:t>
            </w:r>
            <w:r>
              <w:rPr>
                <w:rFonts w:hint="eastAsia" w:ascii="宋体" w:hAnsi="宋体" w:eastAsia="宋体" w:cs="宋体"/>
                <w:color w:val="auto"/>
                <w:highlight w:val="none"/>
                <w:lang w:val="en-US" w:eastAsia="zh-CN"/>
              </w:rPr>
              <w:t>与</w:t>
            </w:r>
            <w:r>
              <w:rPr>
                <w:rFonts w:hint="eastAsia" w:ascii="宋体" w:hAnsi="宋体" w:eastAsia="宋体" w:cs="宋体"/>
                <w:color w:val="auto"/>
                <w:highlight w:val="none"/>
              </w:rPr>
              <w:t>评标基准</w:t>
            </w:r>
            <w:r>
              <w:rPr>
                <w:rFonts w:hint="eastAsia" w:ascii="宋体" w:hAnsi="宋体" w:eastAsia="宋体" w:cs="宋体"/>
                <w:color w:val="auto"/>
                <w:highlight w:val="none"/>
                <w:lang w:val="en-US" w:eastAsia="zh-CN"/>
              </w:rPr>
              <w:t>价每相差1%（差值的绝对值），</w:t>
            </w:r>
            <w:r>
              <w:rPr>
                <w:rFonts w:hint="eastAsia" w:ascii="宋体" w:hAnsi="宋体" w:eastAsia="宋体" w:cs="宋体"/>
                <w:color w:val="auto"/>
                <w:highlight w:val="none"/>
              </w:rPr>
              <w:t>扣</w:t>
            </w:r>
            <w:r>
              <w:rPr>
                <w:rFonts w:hint="eastAsia" w:ascii="宋体" w:hAnsi="宋体" w:eastAsia="宋体" w:cs="宋体"/>
                <w:color w:val="auto"/>
                <w:highlight w:val="none"/>
                <w:lang w:val="en-US" w:eastAsia="zh-CN"/>
              </w:rPr>
              <w:t>0.25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6C45242F">
            <w:pPr>
              <w:pStyle w:val="34"/>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color w:val="auto"/>
                <w:sz w:val="21"/>
                <w:szCs w:val="21"/>
                <w:highlight w:val="none"/>
              </w:rPr>
            </w:pPr>
            <w:r>
              <w:rPr>
                <w:rFonts w:hint="eastAsia" w:ascii="宋体" w:hAnsi="宋体" w:cs="宋体"/>
                <w:b/>
                <w:bCs w:val="0"/>
                <w:color w:val="auto"/>
                <w:sz w:val="21"/>
                <w:szCs w:val="21"/>
                <w:highlight w:val="none"/>
                <w:lang w:val="en-US" w:eastAsia="zh-CN"/>
              </w:rPr>
              <w:t>投资收益</w:t>
            </w:r>
            <w:r>
              <w:rPr>
                <w:rFonts w:hint="eastAsia" w:ascii="宋体" w:hAnsi="宋体" w:eastAsia="宋体" w:cs="宋体"/>
                <w:b/>
                <w:bCs w:val="0"/>
                <w:color w:val="auto"/>
                <w:sz w:val="21"/>
                <w:szCs w:val="21"/>
                <w:highlight w:val="none"/>
                <w:lang w:val="en-US" w:eastAsia="zh-CN"/>
              </w:rPr>
              <w:t>费率投标报价得分</w:t>
            </w:r>
            <w:r>
              <w:rPr>
                <w:rFonts w:hint="eastAsia" w:ascii="宋体" w:hAnsi="宋体" w:eastAsia="宋体" w:cs="宋体"/>
                <w:b/>
                <w:bCs w:val="0"/>
                <w:color w:val="auto"/>
                <w:kern w:val="2"/>
                <w:sz w:val="21"/>
                <w:szCs w:val="24"/>
                <w:highlight w:val="none"/>
                <w:lang w:val="zh-CN" w:eastAsia="zh-CN" w:bidi="ar-SA"/>
              </w:rPr>
              <w:t>F=</w:t>
            </w:r>
            <w:r>
              <w:rPr>
                <w:rFonts w:hint="eastAsia" w:ascii="宋体" w:hAnsi="宋体" w:eastAsia="宋体" w:cs="宋体"/>
                <w:b/>
                <w:bCs w:val="0"/>
                <w:color w:val="auto"/>
                <w:kern w:val="2"/>
                <w:sz w:val="21"/>
                <w:szCs w:val="24"/>
                <w:highlight w:val="none"/>
                <w:lang w:val="en-US" w:eastAsia="zh-CN" w:bidi="ar-SA"/>
              </w:rPr>
              <w:t>5</w:t>
            </w:r>
            <w:r>
              <w:rPr>
                <w:rFonts w:hint="eastAsia" w:ascii="宋体" w:hAnsi="宋体" w:eastAsia="宋体" w:cs="宋体"/>
                <w:b/>
                <w:bCs w:val="0"/>
                <w:color w:val="auto"/>
                <w:kern w:val="2"/>
                <w:sz w:val="21"/>
                <w:szCs w:val="24"/>
                <w:highlight w:val="none"/>
                <w:lang w:val="zh-CN" w:eastAsia="zh-CN" w:bidi="ar-SA"/>
              </w:rPr>
              <w:t>－</w:t>
            </w:r>
            <w:r>
              <w:rPr>
                <w:rFonts w:hint="eastAsia" w:ascii="宋体" w:hAnsi="宋体" w:eastAsia="宋体" w:cs="宋体"/>
                <w:b/>
                <w:bCs w:val="0"/>
                <w:i w:val="0"/>
                <w:iCs w:val="0"/>
                <w:caps w:val="0"/>
                <w:color w:val="auto"/>
                <w:spacing w:val="0"/>
                <w:sz w:val="18"/>
                <w:szCs w:val="18"/>
                <w:highlight w:val="none"/>
                <w:shd w:val="clear" w:color="auto" w:fill="FFFFFF"/>
              </w:rPr>
              <w:t>|</w:t>
            </w:r>
            <w:r>
              <w:rPr>
                <w:rFonts w:hint="eastAsia" w:ascii="宋体" w:hAnsi="宋体" w:eastAsia="宋体" w:cs="宋体"/>
                <w:b/>
                <w:bCs w:val="0"/>
                <w:color w:val="auto"/>
                <w:kern w:val="2"/>
                <w:sz w:val="21"/>
                <w:szCs w:val="24"/>
                <w:highlight w:val="none"/>
                <w:lang w:val="zh-CN" w:eastAsia="zh-CN" w:bidi="ar-SA"/>
              </w:rPr>
              <w:t>（投标报价－</w:t>
            </w:r>
            <w:r>
              <w:rPr>
                <w:rFonts w:hint="eastAsia" w:ascii="宋体" w:hAnsi="宋体" w:eastAsia="宋体" w:cs="宋体"/>
                <w:b/>
                <w:bCs/>
                <w:color w:val="auto"/>
                <w:kern w:val="2"/>
                <w:sz w:val="21"/>
                <w:szCs w:val="24"/>
                <w:highlight w:val="none"/>
                <w:lang w:val="zh-CN" w:eastAsia="zh-CN" w:bidi="ar-SA"/>
              </w:rPr>
              <w:t>评标基准价</w:t>
            </w:r>
            <w:r>
              <w:rPr>
                <w:rFonts w:hint="eastAsia" w:ascii="宋体" w:hAnsi="宋体" w:eastAsia="宋体" w:cs="宋体"/>
                <w:b/>
                <w:bCs w:val="0"/>
                <w:color w:val="auto"/>
                <w:kern w:val="2"/>
                <w:sz w:val="21"/>
                <w:szCs w:val="24"/>
                <w:highlight w:val="none"/>
                <w:lang w:val="zh-CN" w:eastAsia="zh-CN" w:bidi="ar-SA"/>
              </w:rPr>
              <w:t>）×</w:t>
            </w:r>
            <w:r>
              <w:rPr>
                <w:rFonts w:hint="eastAsia" w:ascii="宋体" w:hAnsi="宋体" w:eastAsia="宋体" w:cs="宋体"/>
                <w:b/>
                <w:bCs w:val="0"/>
                <w:color w:val="auto"/>
                <w:kern w:val="2"/>
                <w:sz w:val="21"/>
                <w:szCs w:val="24"/>
                <w:highlight w:val="none"/>
                <w:lang w:val="en-US" w:eastAsia="zh-CN" w:bidi="ar-SA"/>
              </w:rPr>
              <w:t>0.25</w:t>
            </w:r>
            <w:r>
              <w:rPr>
                <w:rFonts w:hint="eastAsia" w:ascii="宋体" w:hAnsi="宋体" w:eastAsia="宋体" w:cs="宋体"/>
                <w:b/>
                <w:bCs w:val="0"/>
                <w:color w:val="auto"/>
                <w:kern w:val="2"/>
                <w:sz w:val="21"/>
                <w:szCs w:val="24"/>
                <w:highlight w:val="none"/>
                <w:lang w:val="zh-CN" w:eastAsia="zh-CN" w:bidi="ar-SA"/>
              </w:rPr>
              <w:t>×1</w:t>
            </w:r>
            <w:r>
              <w:rPr>
                <w:rFonts w:hint="eastAsia" w:ascii="宋体" w:hAnsi="宋体" w:eastAsia="宋体" w:cs="宋体"/>
                <w:b/>
                <w:bCs w:val="0"/>
                <w:color w:val="auto"/>
                <w:kern w:val="2"/>
                <w:sz w:val="21"/>
                <w:szCs w:val="24"/>
                <w:highlight w:val="none"/>
                <w:lang w:val="en-US" w:eastAsia="zh-CN" w:bidi="ar-SA"/>
              </w:rPr>
              <w:t>00</w:t>
            </w:r>
            <w:r>
              <w:rPr>
                <w:rFonts w:hint="eastAsia" w:ascii="宋体" w:hAnsi="宋体" w:eastAsia="宋体" w:cs="宋体"/>
                <w:b/>
                <w:bCs w:val="0"/>
                <w:i w:val="0"/>
                <w:iCs w:val="0"/>
                <w:caps w:val="0"/>
                <w:color w:val="auto"/>
                <w:spacing w:val="0"/>
                <w:sz w:val="18"/>
                <w:szCs w:val="18"/>
                <w:highlight w:val="none"/>
                <w:shd w:val="clear" w:color="auto" w:fill="FFFFFF"/>
              </w:rPr>
              <w:t>|</w:t>
            </w:r>
            <w:r>
              <w:rPr>
                <w:rFonts w:hint="eastAsia" w:ascii="宋体" w:hAnsi="宋体" w:eastAsia="宋体" w:cs="宋体"/>
                <w:b/>
                <w:bCs w:val="0"/>
                <w:color w:val="auto"/>
                <w:kern w:val="2"/>
                <w:sz w:val="21"/>
                <w:szCs w:val="24"/>
                <w:highlight w:val="none"/>
                <w:lang w:val="zh-CN" w:eastAsia="zh-CN" w:bidi="ar-SA"/>
              </w:rPr>
              <w:t>，分数扣完为止。</w:t>
            </w:r>
          </w:p>
        </w:tc>
      </w:tr>
      <w:tr w14:paraId="3EBA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28" w:type="dxa"/>
            <w:vMerge w:val="continue"/>
            <w:tcBorders>
              <w:tl2br w:val="nil"/>
              <w:tr2bl w:val="nil"/>
            </w:tcBorders>
            <w:vAlign w:val="center"/>
          </w:tcPr>
          <w:p w14:paraId="5BA12011">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color w:val="auto"/>
                <w:sz w:val="21"/>
                <w:szCs w:val="21"/>
                <w:highlight w:val="none"/>
                <w:lang w:val="en-US"/>
              </w:rPr>
            </w:pPr>
          </w:p>
        </w:tc>
        <w:tc>
          <w:tcPr>
            <w:tcW w:w="1691" w:type="dxa"/>
            <w:tcBorders>
              <w:tl2br w:val="nil"/>
              <w:tr2bl w:val="nil"/>
            </w:tcBorders>
            <w:vAlign w:val="center"/>
          </w:tcPr>
          <w:p w14:paraId="12CD27DF">
            <w:pPr>
              <w:keepNext w:val="0"/>
              <w:keepLines w:val="0"/>
              <w:pageBreakBefore w:val="0"/>
              <w:kinsoku/>
              <w:wordWrap/>
              <w:overflowPunct/>
              <w:topLinePunct w:val="0"/>
              <w:autoSpaceDE/>
              <w:autoSpaceDN/>
              <w:bidi w:val="0"/>
              <w:adjustRightInd w:val="0"/>
              <w:snapToGrid w:val="0"/>
              <w:spacing w:after="0" w:line="312"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w:t>
            </w:r>
            <w:r>
              <w:rPr>
                <w:rFonts w:hint="eastAsia" w:ascii="宋体" w:hAnsi="宋体" w:eastAsia="宋体" w:cs="宋体"/>
                <w:color w:val="auto"/>
                <w:sz w:val="21"/>
                <w:szCs w:val="21"/>
                <w:highlight w:val="none"/>
                <w:lang w:eastAsia="zh-CN"/>
              </w:rPr>
              <w:t>费费率</w:t>
            </w:r>
            <w:r>
              <w:rPr>
                <w:rFonts w:hint="eastAsia" w:ascii="宋体" w:hAnsi="宋体" w:cs="宋体"/>
                <w:color w:val="auto"/>
                <w:sz w:val="21"/>
                <w:szCs w:val="21"/>
                <w:highlight w:val="none"/>
                <w:lang w:eastAsia="zh-CN"/>
              </w:rPr>
              <w:t>投</w:t>
            </w:r>
            <w:r>
              <w:rPr>
                <w:rFonts w:hint="eastAsia" w:ascii="宋体" w:hAnsi="宋体" w:eastAsia="宋体" w:cs="宋体"/>
                <w:color w:val="auto"/>
                <w:sz w:val="21"/>
                <w:szCs w:val="21"/>
                <w:highlight w:val="none"/>
                <w:lang w:eastAsia="zh-CN"/>
              </w:rPr>
              <w:t>标</w:t>
            </w:r>
            <w:r>
              <w:rPr>
                <w:rFonts w:hint="eastAsia" w:ascii="宋体" w:hAnsi="宋体" w:eastAsia="宋体" w:cs="宋体"/>
                <w:color w:val="auto"/>
                <w:sz w:val="21"/>
                <w:szCs w:val="21"/>
                <w:highlight w:val="none"/>
              </w:rPr>
              <w:t>报价（</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6159" w:type="dxa"/>
            <w:tcBorders>
              <w:tl2br w:val="nil"/>
              <w:tr2bl w:val="nil"/>
            </w:tcBorders>
            <w:vAlign w:val="center"/>
          </w:tcPr>
          <w:p w14:paraId="77859421">
            <w:pPr>
              <w:keepNext w:val="0"/>
              <w:keepLines w:val="0"/>
              <w:pageBreakBefore w:val="0"/>
              <w:kinsoku/>
              <w:wordWrap/>
              <w:overflowPunct/>
              <w:topLinePunct w:val="0"/>
              <w:autoSpaceDE/>
              <w:autoSpaceDN/>
              <w:bidi w:val="0"/>
              <w:adjustRightInd w:val="0"/>
              <w:snapToGrid w:val="0"/>
              <w:spacing w:after="0" w:line="312" w:lineRule="auto"/>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以有效投标报价（设计</w:t>
            </w:r>
            <w:r>
              <w:rPr>
                <w:rFonts w:hint="eastAsia" w:ascii="宋体" w:hAnsi="宋体" w:eastAsia="宋体" w:cs="宋体"/>
                <w:color w:val="auto"/>
                <w:highlight w:val="none"/>
                <w:lang w:eastAsia="zh-CN"/>
              </w:rPr>
              <w:t>费费率投标报价</w:t>
            </w:r>
            <w:r>
              <w:rPr>
                <w:rFonts w:hint="eastAsia" w:ascii="宋体" w:hAnsi="宋体" w:eastAsia="宋体" w:cs="宋体"/>
                <w:color w:val="auto"/>
                <w:highlight w:val="none"/>
              </w:rPr>
              <w:t>）的平均</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作为评标基准</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，投标人投标报价等于评标基准</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时得满分</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分；投标人投标报价</w:t>
            </w:r>
            <w:r>
              <w:rPr>
                <w:rFonts w:hint="eastAsia" w:ascii="宋体" w:hAnsi="宋体" w:eastAsia="宋体" w:cs="宋体"/>
                <w:color w:val="auto"/>
                <w:highlight w:val="none"/>
                <w:lang w:val="en-US" w:eastAsia="zh-CN"/>
              </w:rPr>
              <w:t>与</w:t>
            </w:r>
            <w:r>
              <w:rPr>
                <w:rFonts w:hint="eastAsia" w:ascii="宋体" w:hAnsi="宋体" w:eastAsia="宋体" w:cs="宋体"/>
                <w:color w:val="auto"/>
                <w:highlight w:val="none"/>
              </w:rPr>
              <w:t>评标基准</w:t>
            </w:r>
            <w:r>
              <w:rPr>
                <w:rFonts w:hint="eastAsia" w:ascii="宋体" w:hAnsi="宋体" w:eastAsia="宋体" w:cs="宋体"/>
                <w:color w:val="auto"/>
                <w:highlight w:val="none"/>
                <w:lang w:val="en-US" w:eastAsia="zh-CN"/>
              </w:rPr>
              <w:t>价每相差1%（差值的绝对值），</w:t>
            </w:r>
            <w:r>
              <w:rPr>
                <w:rFonts w:hint="eastAsia" w:ascii="宋体" w:hAnsi="宋体" w:eastAsia="宋体" w:cs="宋体"/>
                <w:color w:val="auto"/>
                <w:highlight w:val="none"/>
              </w:rPr>
              <w:t>扣</w:t>
            </w:r>
            <w:r>
              <w:rPr>
                <w:rFonts w:hint="eastAsia" w:ascii="宋体" w:hAnsi="宋体" w:eastAsia="宋体" w:cs="宋体"/>
                <w:color w:val="auto"/>
                <w:highlight w:val="none"/>
                <w:lang w:val="en-US" w:eastAsia="zh-CN"/>
              </w:rPr>
              <w:t>0.25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42A57EAF">
            <w:pPr>
              <w:pStyle w:val="34"/>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设计费费率投标报价得分</w:t>
            </w:r>
            <w:r>
              <w:rPr>
                <w:rFonts w:hint="eastAsia" w:ascii="宋体" w:hAnsi="宋体" w:eastAsia="宋体" w:cs="宋体"/>
                <w:b/>
                <w:bCs w:val="0"/>
                <w:color w:val="auto"/>
                <w:kern w:val="2"/>
                <w:sz w:val="21"/>
                <w:szCs w:val="24"/>
                <w:highlight w:val="none"/>
                <w:lang w:val="zh-CN" w:eastAsia="zh-CN" w:bidi="ar-SA"/>
              </w:rPr>
              <w:t>F=</w:t>
            </w:r>
            <w:r>
              <w:rPr>
                <w:rFonts w:hint="eastAsia" w:ascii="宋体" w:hAnsi="宋体" w:eastAsia="宋体" w:cs="宋体"/>
                <w:b/>
                <w:bCs w:val="0"/>
                <w:color w:val="auto"/>
                <w:kern w:val="2"/>
                <w:sz w:val="21"/>
                <w:szCs w:val="24"/>
                <w:highlight w:val="none"/>
                <w:lang w:val="en-US" w:eastAsia="zh-CN" w:bidi="ar-SA"/>
              </w:rPr>
              <w:t>5</w:t>
            </w:r>
            <w:r>
              <w:rPr>
                <w:rFonts w:hint="eastAsia" w:ascii="宋体" w:hAnsi="宋体" w:eastAsia="宋体" w:cs="宋体"/>
                <w:b/>
                <w:bCs w:val="0"/>
                <w:color w:val="auto"/>
                <w:kern w:val="2"/>
                <w:sz w:val="21"/>
                <w:szCs w:val="24"/>
                <w:highlight w:val="none"/>
                <w:lang w:val="zh-CN" w:eastAsia="zh-CN" w:bidi="ar-SA"/>
              </w:rPr>
              <w:t>－</w:t>
            </w:r>
            <w:r>
              <w:rPr>
                <w:rFonts w:hint="eastAsia" w:ascii="宋体" w:hAnsi="宋体" w:eastAsia="宋体" w:cs="宋体"/>
                <w:b/>
                <w:bCs w:val="0"/>
                <w:i w:val="0"/>
                <w:iCs w:val="0"/>
                <w:caps w:val="0"/>
                <w:color w:val="auto"/>
                <w:spacing w:val="0"/>
                <w:sz w:val="18"/>
                <w:szCs w:val="18"/>
                <w:highlight w:val="none"/>
                <w:shd w:val="clear" w:color="auto" w:fill="FFFFFF"/>
              </w:rPr>
              <w:t>|</w:t>
            </w:r>
            <w:r>
              <w:rPr>
                <w:rFonts w:hint="eastAsia" w:ascii="宋体" w:hAnsi="宋体" w:eastAsia="宋体" w:cs="宋体"/>
                <w:b/>
                <w:bCs w:val="0"/>
                <w:color w:val="auto"/>
                <w:kern w:val="2"/>
                <w:sz w:val="21"/>
                <w:szCs w:val="24"/>
                <w:highlight w:val="none"/>
                <w:lang w:val="zh-CN" w:eastAsia="zh-CN" w:bidi="ar-SA"/>
              </w:rPr>
              <w:t>（投标报价－</w:t>
            </w:r>
            <w:r>
              <w:rPr>
                <w:rFonts w:hint="eastAsia" w:ascii="宋体" w:hAnsi="宋体" w:eastAsia="宋体" w:cs="宋体"/>
                <w:b/>
                <w:bCs/>
                <w:color w:val="auto"/>
                <w:kern w:val="2"/>
                <w:sz w:val="21"/>
                <w:szCs w:val="24"/>
                <w:highlight w:val="none"/>
                <w:lang w:val="zh-CN" w:eastAsia="zh-CN" w:bidi="ar-SA"/>
              </w:rPr>
              <w:t>评标基准价</w:t>
            </w:r>
            <w:r>
              <w:rPr>
                <w:rFonts w:hint="eastAsia" w:ascii="宋体" w:hAnsi="宋体" w:eastAsia="宋体" w:cs="宋体"/>
                <w:b/>
                <w:bCs w:val="0"/>
                <w:color w:val="auto"/>
                <w:kern w:val="2"/>
                <w:sz w:val="21"/>
                <w:szCs w:val="24"/>
                <w:highlight w:val="none"/>
                <w:lang w:val="zh-CN" w:eastAsia="zh-CN" w:bidi="ar-SA"/>
              </w:rPr>
              <w:t>）×</w:t>
            </w:r>
            <w:r>
              <w:rPr>
                <w:rFonts w:hint="eastAsia" w:ascii="宋体" w:hAnsi="宋体" w:eastAsia="宋体" w:cs="宋体"/>
                <w:b/>
                <w:bCs w:val="0"/>
                <w:color w:val="auto"/>
                <w:kern w:val="2"/>
                <w:sz w:val="21"/>
                <w:szCs w:val="24"/>
                <w:highlight w:val="none"/>
                <w:lang w:val="en-US" w:eastAsia="zh-CN" w:bidi="ar-SA"/>
              </w:rPr>
              <w:t>0.25</w:t>
            </w:r>
            <w:r>
              <w:rPr>
                <w:rFonts w:hint="eastAsia" w:ascii="宋体" w:hAnsi="宋体" w:eastAsia="宋体" w:cs="宋体"/>
                <w:b/>
                <w:bCs w:val="0"/>
                <w:color w:val="auto"/>
                <w:kern w:val="2"/>
                <w:sz w:val="21"/>
                <w:szCs w:val="24"/>
                <w:highlight w:val="none"/>
                <w:lang w:val="zh-CN" w:eastAsia="zh-CN" w:bidi="ar-SA"/>
              </w:rPr>
              <w:t>×1</w:t>
            </w:r>
            <w:r>
              <w:rPr>
                <w:rFonts w:hint="eastAsia" w:ascii="宋体" w:hAnsi="宋体" w:eastAsia="宋体" w:cs="宋体"/>
                <w:b/>
                <w:bCs w:val="0"/>
                <w:color w:val="auto"/>
                <w:kern w:val="2"/>
                <w:sz w:val="21"/>
                <w:szCs w:val="24"/>
                <w:highlight w:val="none"/>
                <w:lang w:val="en-US" w:eastAsia="zh-CN" w:bidi="ar-SA"/>
              </w:rPr>
              <w:t>00</w:t>
            </w:r>
            <w:r>
              <w:rPr>
                <w:rFonts w:hint="eastAsia" w:ascii="宋体" w:hAnsi="宋体" w:eastAsia="宋体" w:cs="宋体"/>
                <w:b/>
                <w:bCs w:val="0"/>
                <w:i w:val="0"/>
                <w:iCs w:val="0"/>
                <w:caps w:val="0"/>
                <w:color w:val="auto"/>
                <w:spacing w:val="0"/>
                <w:sz w:val="18"/>
                <w:szCs w:val="18"/>
                <w:highlight w:val="none"/>
                <w:shd w:val="clear" w:color="auto" w:fill="FFFFFF"/>
              </w:rPr>
              <w:t>|</w:t>
            </w:r>
            <w:r>
              <w:rPr>
                <w:rFonts w:hint="eastAsia" w:ascii="宋体" w:hAnsi="宋体" w:eastAsia="宋体" w:cs="宋体"/>
                <w:b/>
                <w:bCs w:val="0"/>
                <w:color w:val="auto"/>
                <w:kern w:val="2"/>
                <w:sz w:val="21"/>
                <w:szCs w:val="24"/>
                <w:highlight w:val="none"/>
                <w:lang w:val="zh-CN" w:eastAsia="zh-CN" w:bidi="ar-SA"/>
              </w:rPr>
              <w:t>，分数扣完为止。</w:t>
            </w:r>
          </w:p>
        </w:tc>
      </w:tr>
      <w:tr w14:paraId="3C07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1928" w:type="dxa"/>
            <w:vMerge w:val="continue"/>
            <w:tcBorders>
              <w:tl2br w:val="nil"/>
              <w:tr2bl w:val="nil"/>
            </w:tcBorders>
            <w:vAlign w:val="center"/>
          </w:tcPr>
          <w:p w14:paraId="31BF9E24">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b/>
                <w:color w:val="auto"/>
                <w:sz w:val="21"/>
                <w:szCs w:val="21"/>
                <w:highlight w:val="none"/>
              </w:rPr>
            </w:pPr>
          </w:p>
        </w:tc>
        <w:tc>
          <w:tcPr>
            <w:tcW w:w="1691" w:type="dxa"/>
            <w:tcBorders>
              <w:tl2br w:val="nil"/>
              <w:tr2bl w:val="nil"/>
            </w:tcBorders>
            <w:vAlign w:val="center"/>
          </w:tcPr>
          <w:p w14:paraId="789EAC23">
            <w:pPr>
              <w:keepNext w:val="0"/>
              <w:keepLines w:val="0"/>
              <w:pageBreakBefore w:val="0"/>
              <w:kinsoku/>
              <w:wordWrap/>
              <w:overflowPunct/>
              <w:topLinePunct w:val="0"/>
              <w:autoSpaceDE/>
              <w:autoSpaceDN/>
              <w:bidi w:val="0"/>
              <w:adjustRightInd w:val="0"/>
              <w:snapToGrid w:val="0"/>
              <w:spacing w:after="0" w:line="312" w:lineRule="auto"/>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建安工程施工费</w:t>
            </w:r>
            <w:r>
              <w:rPr>
                <w:rFonts w:hint="eastAsia" w:ascii="宋体" w:hAnsi="宋体" w:eastAsia="宋体" w:cs="宋体"/>
                <w:color w:val="auto"/>
                <w:sz w:val="21"/>
                <w:szCs w:val="21"/>
                <w:highlight w:val="none"/>
                <w:lang w:eastAsia="zh-CN"/>
              </w:rPr>
              <w:t>下浮率</w:t>
            </w:r>
            <w:r>
              <w:rPr>
                <w:rFonts w:hint="eastAsia" w:ascii="宋体" w:hAnsi="宋体" w:eastAsia="宋体" w:cs="宋体"/>
                <w:color w:val="auto"/>
                <w:sz w:val="21"/>
                <w:szCs w:val="21"/>
                <w:highlight w:val="none"/>
              </w:rPr>
              <w:t>（含设备购置费）</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报价（</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159" w:type="dxa"/>
            <w:tcBorders>
              <w:tl2br w:val="nil"/>
              <w:tr2bl w:val="nil"/>
            </w:tcBorders>
            <w:vAlign w:val="center"/>
          </w:tcPr>
          <w:p w14:paraId="0B592F6A">
            <w:pPr>
              <w:keepNext w:val="0"/>
              <w:keepLines w:val="0"/>
              <w:pageBreakBefore w:val="0"/>
              <w:kinsoku/>
              <w:wordWrap/>
              <w:overflowPunct/>
              <w:topLinePunct w:val="0"/>
              <w:autoSpaceDE/>
              <w:autoSpaceDN/>
              <w:bidi w:val="0"/>
              <w:snapToGrid w:val="0"/>
              <w:spacing w:after="0" w:line="312" w:lineRule="auto"/>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以有效投标报价（</w:t>
            </w:r>
            <w:r>
              <w:rPr>
                <w:rFonts w:hint="eastAsia" w:ascii="宋体" w:hAnsi="宋体" w:cs="宋体"/>
                <w:color w:val="auto"/>
                <w:highlight w:val="none"/>
                <w:lang w:eastAsia="zh-CN"/>
              </w:rPr>
              <w:t>建安工程施工费</w:t>
            </w:r>
            <w:r>
              <w:rPr>
                <w:rFonts w:hint="eastAsia" w:ascii="宋体" w:hAnsi="宋体" w:eastAsia="宋体" w:cs="宋体"/>
                <w:color w:val="auto"/>
                <w:highlight w:val="none"/>
              </w:rPr>
              <w:t>下浮率）的平均</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作为评标基准</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，投标人投标报价等于评标基准</w:t>
            </w:r>
            <w:r>
              <w:rPr>
                <w:rFonts w:hint="eastAsia" w:ascii="宋体" w:hAnsi="宋体" w:eastAsia="宋体" w:cs="宋体"/>
                <w:color w:val="auto"/>
                <w:highlight w:val="none"/>
                <w:lang w:val="en-US" w:eastAsia="zh-CN"/>
              </w:rPr>
              <w:t>价</w:t>
            </w:r>
            <w:r>
              <w:rPr>
                <w:rFonts w:hint="eastAsia" w:ascii="宋体" w:hAnsi="宋体" w:eastAsia="宋体" w:cs="宋体"/>
                <w:color w:val="auto"/>
                <w:highlight w:val="none"/>
              </w:rPr>
              <w:t>时得满分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分；投标人投标报价</w:t>
            </w:r>
            <w:r>
              <w:rPr>
                <w:rFonts w:hint="eastAsia" w:ascii="宋体" w:hAnsi="宋体" w:eastAsia="宋体" w:cs="宋体"/>
                <w:color w:val="auto"/>
                <w:highlight w:val="none"/>
                <w:lang w:val="en-US" w:eastAsia="zh-CN"/>
              </w:rPr>
              <w:t>与</w:t>
            </w:r>
            <w:r>
              <w:rPr>
                <w:rFonts w:hint="eastAsia" w:ascii="宋体" w:hAnsi="宋体" w:eastAsia="宋体" w:cs="宋体"/>
                <w:color w:val="auto"/>
                <w:highlight w:val="none"/>
              </w:rPr>
              <w:t>评标基准</w:t>
            </w:r>
            <w:r>
              <w:rPr>
                <w:rFonts w:hint="eastAsia" w:ascii="宋体" w:hAnsi="宋体" w:eastAsia="宋体" w:cs="宋体"/>
                <w:color w:val="auto"/>
                <w:highlight w:val="none"/>
                <w:lang w:val="en-US" w:eastAsia="zh-CN"/>
              </w:rPr>
              <w:t>价每相差1%（差值的绝对值），</w:t>
            </w:r>
            <w:r>
              <w:rPr>
                <w:rFonts w:hint="eastAsia" w:ascii="宋体" w:hAnsi="宋体" w:eastAsia="宋体" w:cs="宋体"/>
                <w:color w:val="auto"/>
                <w:highlight w:val="none"/>
              </w:rPr>
              <w:t>扣</w:t>
            </w:r>
            <w:r>
              <w:rPr>
                <w:rFonts w:hint="eastAsia" w:ascii="宋体" w:hAnsi="宋体" w:eastAsia="宋体" w:cs="宋体"/>
                <w:color w:val="auto"/>
                <w:highlight w:val="none"/>
                <w:lang w:val="en-US" w:eastAsia="zh-CN"/>
              </w:rPr>
              <w:t>0.25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7EDE377C">
            <w:pPr>
              <w:pStyle w:val="34"/>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color w:val="auto"/>
                <w:sz w:val="21"/>
                <w:szCs w:val="21"/>
                <w:highlight w:val="none"/>
              </w:rPr>
            </w:pPr>
            <w:r>
              <w:rPr>
                <w:rFonts w:hint="eastAsia" w:ascii="宋体" w:hAnsi="宋体" w:cs="宋体"/>
                <w:b/>
                <w:bCs w:val="0"/>
                <w:color w:val="auto"/>
                <w:sz w:val="21"/>
                <w:szCs w:val="21"/>
                <w:highlight w:val="none"/>
                <w:lang w:val="en-US" w:eastAsia="zh-CN"/>
              </w:rPr>
              <w:t>建安工程施工费</w:t>
            </w:r>
            <w:r>
              <w:rPr>
                <w:rFonts w:hint="eastAsia" w:ascii="宋体" w:hAnsi="宋体" w:eastAsia="宋体" w:cs="宋体"/>
                <w:b/>
                <w:bCs w:val="0"/>
                <w:color w:val="auto"/>
                <w:sz w:val="21"/>
                <w:szCs w:val="21"/>
                <w:highlight w:val="none"/>
                <w:lang w:val="en-US"/>
              </w:rPr>
              <w:t>下浮率投标报价</w:t>
            </w:r>
            <w:r>
              <w:rPr>
                <w:rFonts w:hint="eastAsia" w:ascii="宋体" w:hAnsi="宋体" w:eastAsia="宋体" w:cs="宋体"/>
                <w:b/>
                <w:bCs w:val="0"/>
                <w:color w:val="auto"/>
                <w:sz w:val="21"/>
                <w:szCs w:val="21"/>
                <w:highlight w:val="none"/>
                <w:lang w:val="en-US" w:eastAsia="zh-CN"/>
              </w:rPr>
              <w:t>得分</w:t>
            </w:r>
            <w:r>
              <w:rPr>
                <w:rFonts w:hint="eastAsia" w:ascii="宋体" w:hAnsi="宋体" w:eastAsia="宋体" w:cs="宋体"/>
                <w:b/>
                <w:bCs w:val="0"/>
                <w:color w:val="auto"/>
                <w:kern w:val="2"/>
                <w:sz w:val="21"/>
                <w:szCs w:val="24"/>
                <w:highlight w:val="none"/>
                <w:lang w:val="zh-CN" w:eastAsia="zh-CN" w:bidi="ar-SA"/>
              </w:rPr>
              <w:t>F=</w:t>
            </w:r>
            <w:r>
              <w:rPr>
                <w:rFonts w:hint="eastAsia" w:ascii="宋体" w:hAnsi="宋体" w:eastAsia="宋体" w:cs="宋体"/>
                <w:b/>
                <w:bCs w:val="0"/>
                <w:color w:val="auto"/>
                <w:kern w:val="2"/>
                <w:sz w:val="21"/>
                <w:szCs w:val="24"/>
                <w:highlight w:val="none"/>
                <w:lang w:val="en-US" w:eastAsia="zh-CN" w:bidi="ar-SA"/>
              </w:rPr>
              <w:t>10</w:t>
            </w:r>
            <w:r>
              <w:rPr>
                <w:rFonts w:hint="eastAsia" w:ascii="宋体" w:hAnsi="宋体" w:eastAsia="宋体" w:cs="宋体"/>
                <w:b/>
                <w:bCs w:val="0"/>
                <w:color w:val="auto"/>
                <w:kern w:val="2"/>
                <w:sz w:val="21"/>
                <w:szCs w:val="24"/>
                <w:highlight w:val="none"/>
                <w:lang w:val="zh-CN" w:eastAsia="zh-CN" w:bidi="ar-SA"/>
              </w:rPr>
              <w:t>－</w:t>
            </w:r>
            <w:r>
              <w:rPr>
                <w:rFonts w:hint="eastAsia" w:ascii="宋体" w:hAnsi="宋体" w:eastAsia="宋体" w:cs="宋体"/>
                <w:b/>
                <w:bCs w:val="0"/>
                <w:i w:val="0"/>
                <w:iCs w:val="0"/>
                <w:caps w:val="0"/>
                <w:color w:val="auto"/>
                <w:spacing w:val="0"/>
                <w:sz w:val="18"/>
                <w:szCs w:val="18"/>
                <w:highlight w:val="none"/>
                <w:shd w:val="clear" w:color="auto" w:fill="FFFFFF"/>
              </w:rPr>
              <w:t>|</w:t>
            </w:r>
            <w:r>
              <w:rPr>
                <w:rFonts w:hint="eastAsia" w:ascii="宋体" w:hAnsi="宋体" w:eastAsia="宋体" w:cs="宋体"/>
                <w:b/>
                <w:bCs w:val="0"/>
                <w:color w:val="auto"/>
                <w:kern w:val="2"/>
                <w:sz w:val="21"/>
                <w:szCs w:val="24"/>
                <w:highlight w:val="none"/>
                <w:lang w:val="zh-CN" w:eastAsia="zh-CN" w:bidi="ar-SA"/>
              </w:rPr>
              <w:t>（投标报价－</w:t>
            </w:r>
            <w:r>
              <w:rPr>
                <w:rFonts w:hint="eastAsia" w:ascii="宋体" w:hAnsi="宋体" w:eastAsia="宋体" w:cs="宋体"/>
                <w:b/>
                <w:bCs/>
                <w:color w:val="auto"/>
                <w:kern w:val="2"/>
                <w:sz w:val="21"/>
                <w:szCs w:val="24"/>
                <w:highlight w:val="none"/>
                <w:lang w:val="zh-CN" w:eastAsia="zh-CN" w:bidi="ar-SA"/>
              </w:rPr>
              <w:t>评标基准价</w:t>
            </w:r>
            <w:r>
              <w:rPr>
                <w:rFonts w:hint="eastAsia" w:ascii="宋体" w:hAnsi="宋体" w:eastAsia="宋体" w:cs="宋体"/>
                <w:b/>
                <w:bCs w:val="0"/>
                <w:color w:val="auto"/>
                <w:kern w:val="2"/>
                <w:sz w:val="21"/>
                <w:szCs w:val="24"/>
                <w:highlight w:val="none"/>
                <w:lang w:val="zh-CN" w:eastAsia="zh-CN" w:bidi="ar-SA"/>
              </w:rPr>
              <w:t>）×</w:t>
            </w:r>
            <w:r>
              <w:rPr>
                <w:rFonts w:hint="eastAsia" w:ascii="宋体" w:hAnsi="宋体" w:eastAsia="宋体" w:cs="宋体"/>
                <w:b/>
                <w:bCs w:val="0"/>
                <w:color w:val="auto"/>
                <w:kern w:val="2"/>
                <w:sz w:val="21"/>
                <w:szCs w:val="24"/>
                <w:highlight w:val="none"/>
                <w:lang w:val="en-US" w:eastAsia="zh-CN" w:bidi="ar-SA"/>
              </w:rPr>
              <w:t>0.25</w:t>
            </w:r>
            <w:r>
              <w:rPr>
                <w:rFonts w:hint="eastAsia" w:ascii="宋体" w:hAnsi="宋体" w:eastAsia="宋体" w:cs="宋体"/>
                <w:b/>
                <w:bCs w:val="0"/>
                <w:color w:val="auto"/>
                <w:kern w:val="2"/>
                <w:sz w:val="21"/>
                <w:szCs w:val="24"/>
                <w:highlight w:val="none"/>
                <w:lang w:val="zh-CN" w:eastAsia="zh-CN" w:bidi="ar-SA"/>
              </w:rPr>
              <w:t>×1</w:t>
            </w:r>
            <w:r>
              <w:rPr>
                <w:rFonts w:hint="eastAsia" w:ascii="宋体" w:hAnsi="宋体" w:eastAsia="宋体" w:cs="宋体"/>
                <w:b/>
                <w:bCs w:val="0"/>
                <w:color w:val="auto"/>
                <w:kern w:val="2"/>
                <w:sz w:val="21"/>
                <w:szCs w:val="24"/>
                <w:highlight w:val="none"/>
                <w:lang w:val="en-US" w:eastAsia="zh-CN" w:bidi="ar-SA"/>
              </w:rPr>
              <w:t>00</w:t>
            </w:r>
            <w:r>
              <w:rPr>
                <w:rFonts w:hint="eastAsia" w:ascii="宋体" w:hAnsi="宋体" w:eastAsia="宋体" w:cs="宋体"/>
                <w:b/>
                <w:bCs w:val="0"/>
                <w:i w:val="0"/>
                <w:iCs w:val="0"/>
                <w:caps w:val="0"/>
                <w:color w:val="auto"/>
                <w:spacing w:val="0"/>
                <w:sz w:val="18"/>
                <w:szCs w:val="18"/>
                <w:highlight w:val="none"/>
                <w:shd w:val="clear" w:color="auto" w:fill="FFFFFF"/>
              </w:rPr>
              <w:t>|</w:t>
            </w:r>
            <w:r>
              <w:rPr>
                <w:rFonts w:hint="eastAsia" w:ascii="宋体" w:hAnsi="宋体" w:eastAsia="宋体" w:cs="宋体"/>
                <w:b/>
                <w:bCs w:val="0"/>
                <w:color w:val="auto"/>
                <w:kern w:val="2"/>
                <w:sz w:val="21"/>
                <w:szCs w:val="24"/>
                <w:highlight w:val="none"/>
                <w:lang w:val="zh-CN" w:eastAsia="zh-CN" w:bidi="ar-SA"/>
              </w:rPr>
              <w:t>，分数扣完为止。</w:t>
            </w:r>
          </w:p>
        </w:tc>
      </w:tr>
      <w:tr w14:paraId="5223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28" w:type="dxa"/>
            <w:vMerge w:val="continue"/>
            <w:tcBorders>
              <w:tl2br w:val="nil"/>
              <w:tr2bl w:val="nil"/>
            </w:tcBorders>
            <w:vAlign w:val="center"/>
          </w:tcPr>
          <w:p w14:paraId="786A20FC">
            <w:pPr>
              <w:keepNext w:val="0"/>
              <w:keepLines w:val="0"/>
              <w:pageBreakBefore w:val="0"/>
              <w:kinsoku/>
              <w:wordWrap/>
              <w:overflowPunct/>
              <w:topLinePunct w:val="0"/>
              <w:autoSpaceDE/>
              <w:autoSpaceDN/>
              <w:bidi w:val="0"/>
              <w:snapToGrid w:val="0"/>
              <w:spacing w:after="0" w:line="312" w:lineRule="auto"/>
              <w:jc w:val="center"/>
              <w:textAlignment w:val="auto"/>
              <w:outlineLvl w:val="9"/>
              <w:rPr>
                <w:rFonts w:hint="eastAsia" w:ascii="宋体" w:hAnsi="宋体" w:eastAsia="宋体" w:cs="宋体"/>
                <w:b/>
                <w:color w:val="auto"/>
                <w:sz w:val="21"/>
                <w:szCs w:val="21"/>
                <w:highlight w:val="none"/>
              </w:rPr>
            </w:pPr>
          </w:p>
        </w:tc>
        <w:tc>
          <w:tcPr>
            <w:tcW w:w="7850" w:type="dxa"/>
            <w:gridSpan w:val="2"/>
            <w:tcBorders>
              <w:tl2br w:val="nil"/>
              <w:tr2bl w:val="nil"/>
            </w:tcBorders>
            <w:vAlign w:val="center"/>
          </w:tcPr>
          <w:p w14:paraId="242D43FD">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szCs w:val="21"/>
                <w:highlight w:val="none"/>
              </w:rPr>
              <w:t>评标基准价</w:t>
            </w:r>
            <w:r>
              <w:rPr>
                <w:rFonts w:hint="eastAsia" w:ascii="宋体" w:hAnsi="宋体" w:eastAsia="宋体" w:cs="宋体"/>
                <w:color w:val="auto"/>
                <w:kern w:val="2"/>
                <w:sz w:val="21"/>
                <w:szCs w:val="24"/>
                <w:highlight w:val="none"/>
                <w:lang w:val="zh-CN" w:eastAsia="zh-CN" w:bidi="ar-SA"/>
              </w:rPr>
              <w:t>计算</w:t>
            </w:r>
          </w:p>
          <w:p w14:paraId="2F0200F9">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公式一：（适用于当投标报价个数n≥7时）</w:t>
            </w:r>
          </w:p>
          <w:p w14:paraId="2616582B">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P=[(tmax－1×0.5＋tmin＋1×0.5)＋t1＋t2＋…tn－4]÷(n－3)</w:t>
            </w:r>
          </w:p>
          <w:p w14:paraId="30E1964F">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其中：</w:t>
            </w:r>
          </w:p>
          <w:p w14:paraId="11A6AEF8">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（1）P为平均价；</w:t>
            </w:r>
          </w:p>
          <w:p w14:paraId="54F22543">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（2）t为投标报价；tmax－1指投标报价中第二高值；tmin＋1指投标报价中第二低值；t1、t2、…、tn－4指分别去掉一个第一、第二高值和一个第一、第二低值后的投标报价；</w:t>
            </w:r>
          </w:p>
          <w:p w14:paraId="268E8210">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（3）n指投标报价个数</w:t>
            </w:r>
          </w:p>
          <w:p w14:paraId="02271F70">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公式二：（适用于当投标报价个数n在7＞n≥5范围时）</w:t>
            </w:r>
          </w:p>
          <w:p w14:paraId="5DD6BCD5">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P=(t1＋t2＋…tn－2)÷(n－2)</w:t>
            </w:r>
          </w:p>
          <w:p w14:paraId="63023AEA">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其中：t1、t2、…、tn－2指去掉一个最高值和一个最低值后的投标报价；</w:t>
            </w:r>
          </w:p>
          <w:p w14:paraId="570729FC">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color w:val="auto"/>
                <w:kern w:val="2"/>
                <w:sz w:val="21"/>
                <w:szCs w:val="24"/>
                <w:highlight w:val="none"/>
                <w:lang w:val="zh-CN" w:eastAsia="zh-CN" w:bidi="ar-SA"/>
              </w:rPr>
            </w:pPr>
            <w:r>
              <w:rPr>
                <w:rFonts w:hint="eastAsia" w:ascii="宋体" w:hAnsi="宋体" w:eastAsia="宋体" w:cs="宋体"/>
                <w:color w:val="auto"/>
                <w:kern w:val="2"/>
                <w:sz w:val="21"/>
                <w:szCs w:val="24"/>
                <w:highlight w:val="none"/>
                <w:lang w:val="zh-CN" w:eastAsia="zh-CN" w:bidi="ar-SA"/>
              </w:rPr>
              <w:t>公式三：（适用于当投标报价个数n在5＞n≥3范围时）</w:t>
            </w:r>
          </w:p>
          <w:p w14:paraId="40402BBE">
            <w:pPr>
              <w:keepNext w:val="0"/>
              <w:keepLines w:val="0"/>
              <w:pageBreakBefore w:val="0"/>
              <w:widowControl/>
              <w:kinsoku/>
              <w:wordWrap/>
              <w:overflowPunct/>
              <w:topLinePunct w:val="0"/>
              <w:autoSpaceDE/>
              <w:autoSpaceDN/>
              <w:bidi w:val="0"/>
              <w:snapToGrid w:val="0"/>
              <w:spacing w:line="312" w:lineRule="auto"/>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4"/>
                <w:highlight w:val="none"/>
                <w:lang w:val="zh-CN" w:eastAsia="zh-CN" w:bidi="ar-SA"/>
              </w:rPr>
              <w:t>P=(t1＋t2＋…tn）÷n</w:t>
            </w:r>
          </w:p>
        </w:tc>
      </w:tr>
    </w:tbl>
    <w:p w14:paraId="2F553833">
      <w:pPr>
        <w:pStyle w:val="21"/>
        <w:rPr>
          <w:rFonts w:hint="eastAsia" w:cs="宋体"/>
          <w:b/>
          <w:bCs/>
          <w:color w:val="auto"/>
          <w:highlight w:val="none"/>
        </w:rPr>
      </w:pPr>
    </w:p>
    <w:p w14:paraId="06DCE411">
      <w:pPr>
        <w:rPr>
          <w:rFonts w:hint="eastAsia"/>
          <w:color w:val="auto"/>
          <w:highlight w:val="none"/>
        </w:rPr>
      </w:pPr>
    </w:p>
    <w:p w14:paraId="6BD6CAC0">
      <w:pPr>
        <w:pStyle w:val="21"/>
        <w:rPr>
          <w:rFonts w:hint="eastAsia"/>
          <w:color w:val="auto"/>
          <w:highlight w:val="none"/>
        </w:rPr>
      </w:pPr>
    </w:p>
    <w:p w14:paraId="70C9518E">
      <w:pPr>
        <w:rPr>
          <w:rFonts w:hint="eastAsia"/>
          <w:color w:val="auto"/>
          <w:highlight w:val="none"/>
        </w:rPr>
      </w:pPr>
    </w:p>
    <w:p w14:paraId="13C20033">
      <w:pPr>
        <w:spacing w:line="360" w:lineRule="auto"/>
        <w:ind w:firstLine="527" w:firstLineChars="250"/>
        <w:outlineLvl w:val="0"/>
        <w:rPr>
          <w:rFonts w:cs="Times New Roman"/>
          <w:b/>
          <w:bCs/>
          <w:color w:val="auto"/>
          <w:highlight w:val="none"/>
        </w:rPr>
      </w:pPr>
      <w:bookmarkStart w:id="643" w:name="_Toc14841"/>
      <w:bookmarkStart w:id="644" w:name="_Toc23688"/>
      <w:bookmarkStart w:id="645" w:name="_Toc13855_WPSOffice_Level2"/>
      <w:bookmarkStart w:id="646" w:name="_Toc45896984"/>
      <w:bookmarkStart w:id="647" w:name="_Toc45896687"/>
      <w:bookmarkStart w:id="648" w:name="_Toc9122_WPSOffice_Level2"/>
      <w:r>
        <w:rPr>
          <w:b/>
          <w:bCs/>
          <w:color w:val="auto"/>
          <w:highlight w:val="none"/>
        </w:rPr>
        <w:t xml:space="preserve">2.2.2 </w:t>
      </w:r>
      <w:r>
        <w:rPr>
          <w:rFonts w:hint="eastAsia" w:cs="宋体"/>
          <w:b/>
          <w:bCs/>
          <w:color w:val="auto"/>
          <w:highlight w:val="none"/>
        </w:rPr>
        <w:t>技术部分评审</w:t>
      </w:r>
      <w:r>
        <w:rPr>
          <w:rFonts w:hint="eastAsia" w:ascii="宋体" w:hAnsi="宋体" w:eastAsia="宋体" w:cs="宋体"/>
          <w:b/>
          <w:bCs/>
          <w:color w:val="auto"/>
          <w:highlight w:val="none"/>
        </w:rPr>
        <w:t>标准（满分</w:t>
      </w:r>
      <w:r>
        <w:rPr>
          <w:rFonts w:hint="eastAsia" w:ascii="宋体" w:hAnsi="宋体" w:cs="宋体"/>
          <w:b/>
          <w:bCs/>
          <w:color w:val="auto"/>
          <w:highlight w:val="none"/>
          <w:lang w:val="en-US" w:eastAsia="zh-CN"/>
        </w:rPr>
        <w:t>80</w:t>
      </w:r>
      <w:r>
        <w:rPr>
          <w:rFonts w:hint="eastAsia" w:ascii="宋体" w:hAnsi="宋体" w:eastAsia="宋体" w:cs="宋体"/>
          <w:b/>
          <w:bCs/>
          <w:color w:val="auto"/>
          <w:highlight w:val="none"/>
        </w:rPr>
        <w:t>分）</w:t>
      </w:r>
      <w:bookmarkEnd w:id="643"/>
      <w:bookmarkEnd w:id="644"/>
      <w:bookmarkEnd w:id="645"/>
      <w:bookmarkEnd w:id="646"/>
      <w:bookmarkEnd w:id="647"/>
      <w:bookmarkEnd w:id="648"/>
    </w:p>
    <w:tbl>
      <w:tblPr>
        <w:tblStyle w:val="88"/>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062"/>
        <w:gridCol w:w="7023"/>
      </w:tblGrid>
      <w:tr w14:paraId="1B8A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486" w:type="dxa"/>
            <w:tcMar>
              <w:top w:w="28" w:type="dxa"/>
              <w:left w:w="28" w:type="dxa"/>
              <w:bottom w:w="28" w:type="dxa"/>
              <w:right w:w="28" w:type="dxa"/>
            </w:tcMar>
            <w:vAlign w:val="center"/>
          </w:tcPr>
          <w:p w14:paraId="6594E710">
            <w:pPr>
              <w:spacing w:line="360" w:lineRule="auto"/>
              <w:ind w:firstLine="365"/>
              <w:jc w:val="both"/>
              <w:rPr>
                <w:rFonts w:ascii="宋体" w:cs="Times New Roman"/>
                <w:b/>
                <w:bCs/>
                <w:color w:val="auto"/>
                <w:kern w:val="0"/>
                <w:sz w:val="21"/>
                <w:szCs w:val="21"/>
                <w:highlight w:val="none"/>
              </w:rPr>
            </w:pPr>
            <w:r>
              <w:rPr>
                <w:rFonts w:hint="eastAsia" w:ascii="宋体" w:hAnsi="宋体" w:cs="宋体"/>
                <w:b/>
                <w:bCs/>
                <w:color w:val="auto"/>
                <w:kern w:val="0"/>
                <w:sz w:val="21"/>
                <w:szCs w:val="21"/>
                <w:highlight w:val="none"/>
              </w:rPr>
              <w:t>评分因素</w:t>
            </w:r>
          </w:p>
        </w:tc>
        <w:tc>
          <w:tcPr>
            <w:tcW w:w="8085" w:type="dxa"/>
            <w:gridSpan w:val="2"/>
            <w:tcMar>
              <w:top w:w="28" w:type="dxa"/>
              <w:left w:w="28" w:type="dxa"/>
              <w:bottom w:w="28" w:type="dxa"/>
              <w:right w:w="28" w:type="dxa"/>
            </w:tcMar>
            <w:vAlign w:val="center"/>
          </w:tcPr>
          <w:p w14:paraId="6A0E8A00">
            <w:pPr>
              <w:spacing w:line="360" w:lineRule="auto"/>
              <w:ind w:firstLine="3375" w:firstLineChars="1601"/>
              <w:jc w:val="both"/>
              <w:rPr>
                <w:rFonts w:ascii="宋体" w:cs="Times New Roman"/>
                <w:b/>
                <w:bCs/>
                <w:color w:val="auto"/>
                <w:kern w:val="0"/>
                <w:sz w:val="21"/>
                <w:szCs w:val="21"/>
                <w:highlight w:val="none"/>
              </w:rPr>
            </w:pPr>
            <w:r>
              <w:rPr>
                <w:rFonts w:hint="eastAsia" w:ascii="宋体" w:hAnsi="宋体" w:cs="宋体"/>
                <w:b/>
                <w:bCs/>
                <w:color w:val="auto"/>
                <w:kern w:val="0"/>
                <w:sz w:val="21"/>
                <w:szCs w:val="21"/>
                <w:highlight w:val="none"/>
              </w:rPr>
              <w:t>评分标准</w:t>
            </w:r>
          </w:p>
        </w:tc>
      </w:tr>
      <w:tr w14:paraId="4479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tblHeader/>
          <w:jc w:val="center"/>
        </w:trPr>
        <w:tc>
          <w:tcPr>
            <w:tcW w:w="1486" w:type="dxa"/>
            <w:tcMar>
              <w:top w:w="28" w:type="dxa"/>
              <w:left w:w="28" w:type="dxa"/>
              <w:bottom w:w="28" w:type="dxa"/>
              <w:right w:w="28" w:type="dxa"/>
            </w:tcMar>
            <w:vAlign w:val="center"/>
          </w:tcPr>
          <w:p w14:paraId="5B3F5DE9">
            <w:pPr>
              <w:spacing w:line="360" w:lineRule="auto"/>
              <w:jc w:val="center"/>
              <w:rPr>
                <w:rFonts w:ascii="宋体" w:cs="Times New Roman"/>
                <w:b/>
                <w:bCs/>
                <w:color w:val="auto"/>
                <w:kern w:val="0"/>
                <w:sz w:val="21"/>
                <w:szCs w:val="21"/>
                <w:highlight w:val="none"/>
              </w:rPr>
            </w:pPr>
            <w:r>
              <w:rPr>
                <w:rFonts w:hint="eastAsia" w:ascii="宋体" w:hAnsi="宋体" w:cs="宋体"/>
                <w:color w:val="auto"/>
                <w:sz w:val="21"/>
                <w:szCs w:val="21"/>
                <w:highlight w:val="none"/>
              </w:rPr>
              <w:t>总承包方案（</w:t>
            </w: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rPr>
              <w:t>分）</w:t>
            </w:r>
          </w:p>
        </w:tc>
        <w:tc>
          <w:tcPr>
            <w:tcW w:w="8085" w:type="dxa"/>
            <w:gridSpan w:val="2"/>
            <w:tcMar>
              <w:top w:w="28" w:type="dxa"/>
              <w:left w:w="28" w:type="dxa"/>
              <w:bottom w:w="28" w:type="dxa"/>
              <w:right w:w="28" w:type="dxa"/>
            </w:tcMar>
            <w:vAlign w:val="center"/>
          </w:tcPr>
          <w:p w14:paraId="374A25E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根据投标人投标文件中项目投资管理控制、项目组织设计管理控制、项目设计管理控制、项目进度管理控制、项目质量管理控制等内容进行评审：</w:t>
            </w:r>
          </w:p>
          <w:p w14:paraId="0C5F0E5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（1）以上管理计划详尽、目标明确，系统性强且具有较强的针对性，有好的控制措施，实施性强，组织机构明确等的</w:t>
            </w:r>
            <w:r>
              <w:rPr>
                <w:rFonts w:hint="eastAsia" w:ascii="宋体" w:hAnsi="宋体" w:cs="宋体"/>
                <w:color w:val="auto"/>
                <w:sz w:val="21"/>
                <w:szCs w:val="21"/>
                <w:highlight w:val="none"/>
                <w:lang w:eastAsia="zh-CN"/>
              </w:rPr>
              <w:t>在</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rPr>
              <w:t>；</w:t>
            </w:r>
          </w:p>
          <w:p w14:paraId="2BB8CB5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（2）以上管理计划齐全、目标基本明确，系统性较强且具有针对性，有较好的控制措施，实施性较强，组织机构基本明确等的</w:t>
            </w:r>
            <w:r>
              <w:rPr>
                <w:rFonts w:hint="eastAsia" w:ascii="宋体" w:hAnsi="宋体" w:cs="宋体"/>
                <w:color w:val="auto"/>
                <w:sz w:val="21"/>
                <w:szCs w:val="21"/>
                <w:highlight w:val="none"/>
                <w:lang w:eastAsia="zh-CN"/>
              </w:rPr>
              <w:t>在</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rPr>
              <w:t>；</w:t>
            </w:r>
          </w:p>
          <w:p w14:paraId="62B5004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（3）以上管理计划齐全但有部分不足、目标基本明确，系统性一般、针对性一般，有控制措施有部分缺陷，实施性一般，组织机构基本明确等的</w:t>
            </w:r>
            <w:r>
              <w:rPr>
                <w:rFonts w:hint="eastAsia" w:ascii="宋体" w:hAnsi="宋体" w:cs="宋体"/>
                <w:color w:val="auto"/>
                <w:sz w:val="21"/>
                <w:szCs w:val="21"/>
                <w:highlight w:val="none"/>
                <w:lang w:eastAsia="zh-CN"/>
              </w:rPr>
              <w:t>在</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之间赋分；</w:t>
            </w:r>
          </w:p>
          <w:p w14:paraId="0AF9628B">
            <w:pPr>
              <w:spacing w:line="360" w:lineRule="auto"/>
              <w:rPr>
                <w:rFonts w:ascii="宋体"/>
                <w:b/>
                <w:bCs/>
                <w:color w:val="auto"/>
                <w:sz w:val="21"/>
                <w:szCs w:val="21"/>
                <w:highlight w:val="none"/>
              </w:rPr>
            </w:pPr>
            <w:r>
              <w:rPr>
                <w:rFonts w:hint="eastAsia" w:ascii="宋体" w:hAnsi="宋体" w:eastAsia="宋体" w:cs="宋体"/>
                <w:color w:val="auto"/>
                <w:sz w:val="21"/>
                <w:szCs w:val="21"/>
                <w:highlight w:val="none"/>
              </w:rPr>
              <w:t>（4）以上管理计划不足、目标不明确等的得0分。</w:t>
            </w:r>
          </w:p>
        </w:tc>
      </w:tr>
      <w:tr w14:paraId="44AB4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tblHeader/>
          <w:jc w:val="center"/>
        </w:trPr>
        <w:tc>
          <w:tcPr>
            <w:tcW w:w="1486" w:type="dxa"/>
            <w:tcMar>
              <w:top w:w="28" w:type="dxa"/>
              <w:left w:w="28" w:type="dxa"/>
              <w:bottom w:w="28" w:type="dxa"/>
              <w:right w:w="28" w:type="dxa"/>
            </w:tcMar>
            <w:vAlign w:val="center"/>
          </w:tcPr>
          <w:p w14:paraId="6DE91E49">
            <w:pPr>
              <w:spacing w:line="340" w:lineRule="exact"/>
              <w:jc w:val="center"/>
              <w:rPr>
                <w:rFonts w:ascii="宋体" w:cs="Times New Roman"/>
                <w:color w:val="auto"/>
                <w:sz w:val="21"/>
                <w:szCs w:val="21"/>
                <w:highlight w:val="none"/>
              </w:rPr>
            </w:pPr>
            <w:r>
              <w:rPr>
                <w:rFonts w:hint="eastAsia" w:ascii="宋体" w:hAnsi="宋体" w:cs="宋体"/>
                <w:color w:val="auto"/>
                <w:sz w:val="21"/>
                <w:szCs w:val="21"/>
                <w:highlight w:val="none"/>
              </w:rPr>
              <w:t>设计工作大纲</w:t>
            </w:r>
          </w:p>
          <w:p w14:paraId="1C95D734">
            <w:pPr>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rPr>
              <w:t>分）</w:t>
            </w:r>
          </w:p>
        </w:tc>
        <w:tc>
          <w:tcPr>
            <w:tcW w:w="8085" w:type="dxa"/>
            <w:gridSpan w:val="2"/>
            <w:tcMar>
              <w:top w:w="28" w:type="dxa"/>
              <w:left w:w="28" w:type="dxa"/>
              <w:bottom w:w="28" w:type="dxa"/>
              <w:right w:w="28" w:type="dxa"/>
            </w:tcMar>
            <w:vAlign w:val="center"/>
          </w:tcPr>
          <w:p w14:paraId="2AB9506C">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招标项目理解正确，项目设计构思描述清晰、合理；满足项目建设使用功能；符合国家、行业及地方现行的相关标准及强制性规范；设计时间和设计质量完全满足招标文件要求，对重点、难点、关键性技术问题总结完整、准确，有切实可行的对策措施且有较强的针对性和可实施性，设计进度计划安排合理可行、设计周期承诺满足项目建设要求及保证措施的内容和操作性合理可行，措施有力，具有较强的针对性和可实施性的</w:t>
            </w:r>
            <w:r>
              <w:rPr>
                <w:rFonts w:hint="eastAsia" w:ascii="宋体" w:hAnsi="宋体" w:cs="宋体"/>
                <w:color w:val="auto"/>
                <w:sz w:val="21"/>
                <w:szCs w:val="21"/>
                <w:highlight w:val="none"/>
                <w:lang w:eastAsia="zh-CN"/>
              </w:rPr>
              <w:t>在</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之间赋分；</w:t>
            </w:r>
          </w:p>
          <w:p w14:paraId="7D908CE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对招标项目理解基本正确，项目设计构思描述基本清晰、合理工程设计工作大纲思路一般；设计时间和设计质量满足招标文件要求，对重点、难点、关键性技术问题和设计进度计划安排基本可行、设计周期承诺基本满足项目建设要求及保证措施的内容和操作性基本可行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之间赋分；</w:t>
            </w:r>
          </w:p>
          <w:p w14:paraId="12F6B884">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（3）工程设计工作大纲思路不清晰，对项目解读及设计构思相关内容均有相应表述，但针对性可实施性较差，进度计划、质量体系及保障措施编制较差的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之间赋分；</w:t>
            </w:r>
          </w:p>
          <w:p w14:paraId="35A02DC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）无设计大纲得</w:t>
            </w:r>
            <w:r>
              <w:rPr>
                <w:rFonts w:hint="eastAsia" w:ascii="宋体" w:hAnsi="宋体" w:eastAsia="宋体" w:cs="宋体"/>
                <w:color w:val="auto"/>
                <w:sz w:val="21"/>
                <w:szCs w:val="21"/>
                <w:highlight w:val="none"/>
                <w:lang w:val="en-US" w:eastAsia="zh-CN"/>
              </w:rPr>
              <w:t>0分。</w:t>
            </w:r>
          </w:p>
        </w:tc>
      </w:tr>
      <w:tr w14:paraId="6825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0" w:hRule="atLeast"/>
          <w:tblHeader/>
          <w:jc w:val="center"/>
        </w:trPr>
        <w:tc>
          <w:tcPr>
            <w:tcW w:w="1486" w:type="dxa"/>
            <w:tcMar>
              <w:top w:w="28" w:type="dxa"/>
              <w:left w:w="28" w:type="dxa"/>
              <w:bottom w:w="28" w:type="dxa"/>
              <w:right w:w="28" w:type="dxa"/>
            </w:tcMar>
            <w:vAlign w:val="center"/>
          </w:tcPr>
          <w:p w14:paraId="26AD443B">
            <w:pPr>
              <w:spacing w:line="360" w:lineRule="auto"/>
              <w:jc w:val="center"/>
              <w:rPr>
                <w:rFonts w:ascii="宋体" w:cs="Times New Roman"/>
                <w:color w:val="auto"/>
                <w:kern w:val="0"/>
                <w:sz w:val="21"/>
                <w:szCs w:val="21"/>
                <w:highlight w:val="none"/>
              </w:rPr>
            </w:pPr>
            <w:r>
              <w:rPr>
                <w:rFonts w:hint="eastAsia" w:ascii="宋体" w:hAnsi="宋体" w:cs="宋体"/>
                <w:color w:val="auto"/>
                <w:sz w:val="21"/>
                <w:szCs w:val="21"/>
                <w:highlight w:val="none"/>
              </w:rPr>
              <w:t>施工方案评审（</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分）</w:t>
            </w:r>
          </w:p>
        </w:tc>
        <w:tc>
          <w:tcPr>
            <w:tcW w:w="8085" w:type="dxa"/>
            <w:gridSpan w:val="2"/>
            <w:tcMar>
              <w:top w:w="28" w:type="dxa"/>
              <w:left w:w="28" w:type="dxa"/>
              <w:bottom w:w="28" w:type="dxa"/>
              <w:right w:w="28" w:type="dxa"/>
            </w:tcMar>
            <w:vAlign w:val="center"/>
          </w:tcPr>
          <w:p w14:paraId="4D3E5E5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）施工方案阐述清楚、完整、逻辑思维性强、符合本工程实际（包含项目目标（质量、工期、成本控制）、项目实施组织形式、项目阶段划分、项目工作结构分解、项目各阶段工作针对性与可行性强的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lang w:eastAsia="zh-CN"/>
              </w:rPr>
              <w:t>；</w:t>
            </w:r>
          </w:p>
          <w:p w14:paraId="2AA684A4">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（2）施工方案基本阐述清楚、完整、逻辑思维性强、符合本工程实际（包含项目目标（质量、工期、成本控制）、项目实施组织形式、项目阶段划分、项目工作结构分解、项目各阶段工作针对性与可行性强的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lang w:eastAsia="zh-CN"/>
              </w:rPr>
              <w:t>；</w:t>
            </w:r>
          </w:p>
          <w:p w14:paraId="5056E803">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（3）施工方案阐述不够清楚、完整性差、逻辑思维性差的，不能详细指导施工的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lang w:eastAsia="zh-CN"/>
              </w:rPr>
              <w:t>。</w:t>
            </w:r>
          </w:p>
          <w:p w14:paraId="2F0D4DFB">
            <w:pPr>
              <w:spacing w:line="360" w:lineRule="auto"/>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）无施工方案得</w:t>
            </w:r>
            <w:r>
              <w:rPr>
                <w:rFonts w:hint="eastAsia" w:ascii="宋体" w:hAnsi="宋体" w:eastAsia="宋体" w:cs="宋体"/>
                <w:color w:val="auto"/>
                <w:sz w:val="21"/>
                <w:szCs w:val="21"/>
                <w:highlight w:val="none"/>
                <w:lang w:val="en-US" w:eastAsia="zh-CN"/>
              </w:rPr>
              <w:t>0分。</w:t>
            </w:r>
          </w:p>
        </w:tc>
      </w:tr>
      <w:tr w14:paraId="3187B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2" w:hRule="atLeast"/>
          <w:tblHeader/>
          <w:jc w:val="center"/>
        </w:trPr>
        <w:tc>
          <w:tcPr>
            <w:tcW w:w="1486" w:type="dxa"/>
            <w:tcMar>
              <w:top w:w="28" w:type="dxa"/>
              <w:left w:w="28" w:type="dxa"/>
              <w:bottom w:w="28" w:type="dxa"/>
              <w:right w:w="28" w:type="dxa"/>
            </w:tcMar>
            <w:vAlign w:val="center"/>
          </w:tcPr>
          <w:p w14:paraId="28369A1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项目运营方案</w:t>
            </w:r>
          </w:p>
          <w:p w14:paraId="4247C3DB">
            <w:pPr>
              <w:spacing w:line="360" w:lineRule="auto"/>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8085" w:type="dxa"/>
            <w:gridSpan w:val="2"/>
            <w:tcMar>
              <w:top w:w="28" w:type="dxa"/>
              <w:left w:w="28" w:type="dxa"/>
              <w:bottom w:w="28" w:type="dxa"/>
              <w:right w:w="28" w:type="dxa"/>
            </w:tcMar>
            <w:vAlign w:val="center"/>
          </w:tcPr>
          <w:p w14:paraId="052DE10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（1）项目运营基本原则、管理机制、以项目运营为导向的规划、资金统筹、建设模式和运营模式等内容科学合理、针对性强的在</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分之间赋分。</w:t>
            </w:r>
          </w:p>
          <w:p w14:paraId="4FDE203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（2）项目运营基本原则、管理机制、以项目运营为导向的规划、资金统筹、建设模式和运营模式等内容一般的在</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 xml:space="preserve">分之间赋分。 </w:t>
            </w:r>
          </w:p>
          <w:p w14:paraId="04FB7F1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（3）项目运营基本原则、管理机制不完整，以项目运营为导向的规划、资金统筹、建设模式和运营模式存在缺陷的在1-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分之间赋分。</w:t>
            </w:r>
          </w:p>
          <w:p w14:paraId="44474160">
            <w:pPr>
              <w:spacing w:line="360" w:lineRule="auto"/>
              <w:rPr>
                <w:rFonts w:hint="default" w:eastAsia="仿宋"/>
                <w:color w:val="auto"/>
                <w:highlight w:val="none"/>
                <w:lang w:val="en-US" w:eastAsia="zh-CN"/>
              </w:rPr>
            </w:pPr>
            <w:r>
              <w:rPr>
                <w:rFonts w:hint="eastAsia" w:ascii="宋体" w:hAnsi="宋体" w:eastAsia="宋体" w:cs="宋体"/>
                <w:color w:val="auto"/>
                <w:sz w:val="21"/>
                <w:szCs w:val="21"/>
                <w:highlight w:val="none"/>
                <w:lang w:val="en-US" w:eastAsia="zh-CN"/>
              </w:rPr>
              <w:t>（4）无项目运营方案的得0分。</w:t>
            </w:r>
          </w:p>
        </w:tc>
      </w:tr>
      <w:tr w14:paraId="2D159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486" w:type="dxa"/>
            <w:tcMar>
              <w:top w:w="28" w:type="dxa"/>
              <w:left w:w="28" w:type="dxa"/>
              <w:bottom w:w="28" w:type="dxa"/>
              <w:right w:w="28" w:type="dxa"/>
            </w:tcMar>
            <w:vAlign w:val="center"/>
          </w:tcPr>
          <w:p w14:paraId="6C7FDB26">
            <w:pPr>
              <w:spacing w:line="276" w:lineRule="auto"/>
              <w:jc w:val="center"/>
              <w:rPr>
                <w:rFonts w:ascii="宋体" w:cs="Times New Roman"/>
                <w:color w:val="auto"/>
                <w:kern w:val="0"/>
                <w:sz w:val="21"/>
                <w:szCs w:val="21"/>
                <w:highlight w:val="none"/>
              </w:rPr>
            </w:pPr>
            <w:r>
              <w:rPr>
                <w:rFonts w:hint="eastAsia" w:ascii="宋体" w:hAnsi="宋体" w:eastAsia="宋体" w:cs="宋体"/>
                <w:color w:val="auto"/>
                <w:sz w:val="21"/>
                <w:szCs w:val="21"/>
                <w:highlight w:val="none"/>
              </w:rPr>
              <w:t>工程造价控制措施评审评分（</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8085" w:type="dxa"/>
            <w:gridSpan w:val="2"/>
            <w:tcMar>
              <w:top w:w="28" w:type="dxa"/>
              <w:left w:w="28" w:type="dxa"/>
              <w:bottom w:w="28" w:type="dxa"/>
              <w:right w:w="28" w:type="dxa"/>
            </w:tcMar>
            <w:vAlign w:val="center"/>
          </w:tcPr>
          <w:p w14:paraId="6EAE726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（1）在确保设计成果质量的前提下，所提出的工程造价控制措施能达到节约工程造价的目的，措施合理可行，体现经济性，内容有针对性的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lang w:eastAsia="zh-CN"/>
              </w:rPr>
              <w:t>；</w:t>
            </w:r>
          </w:p>
          <w:p w14:paraId="1A5C6F2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（2）在确保设计成果质量的前提下，节约工程造价的措施一般，基本合理可行，经济性、针对性一般的</w:t>
            </w:r>
            <w:r>
              <w:rPr>
                <w:rFonts w:hint="eastAsia" w:ascii="宋体" w:hAnsi="宋体" w:cs="宋体"/>
                <w:color w:val="auto"/>
                <w:sz w:val="21"/>
                <w:szCs w:val="21"/>
                <w:highlight w:val="none"/>
                <w:lang w:eastAsia="zh-CN"/>
              </w:rPr>
              <w:t>在</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lang w:eastAsia="zh-CN"/>
              </w:rPr>
              <w:t>；</w:t>
            </w:r>
          </w:p>
          <w:p w14:paraId="694DA94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（3）在确保设计成果质量的前提下，节约工程造价的措施不合理、不可行或没有针对性的</w:t>
            </w:r>
            <w:r>
              <w:rPr>
                <w:rFonts w:hint="eastAsia" w:ascii="宋体" w:hAnsi="宋体" w:cs="宋体"/>
                <w:color w:val="auto"/>
                <w:sz w:val="21"/>
                <w:szCs w:val="21"/>
                <w:highlight w:val="none"/>
                <w:lang w:eastAsia="zh-CN"/>
              </w:rPr>
              <w:t>在</w:t>
            </w: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之间赋分</w:t>
            </w:r>
            <w:r>
              <w:rPr>
                <w:rFonts w:hint="eastAsia" w:ascii="宋体" w:hAnsi="宋体" w:eastAsia="宋体" w:cs="宋体"/>
                <w:color w:val="auto"/>
                <w:sz w:val="21"/>
                <w:szCs w:val="21"/>
                <w:highlight w:val="none"/>
                <w:lang w:eastAsia="zh-CN"/>
              </w:rPr>
              <w:t>；</w:t>
            </w:r>
          </w:p>
          <w:p w14:paraId="770E65A7">
            <w:pPr>
              <w:spacing w:line="360" w:lineRule="auto"/>
              <w:rPr>
                <w:rFonts w:hint="eastAsia" w:ascii="Times New Roman" w:hAnsi="Times New Roman"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（4）未提供工程造价控制措施的不得分。</w:t>
            </w:r>
          </w:p>
        </w:tc>
      </w:tr>
      <w:tr w14:paraId="296B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486" w:type="dxa"/>
            <w:vMerge w:val="restart"/>
            <w:tcMar>
              <w:top w:w="28" w:type="dxa"/>
              <w:left w:w="28" w:type="dxa"/>
              <w:bottom w:w="28" w:type="dxa"/>
              <w:right w:w="28" w:type="dxa"/>
            </w:tcMar>
            <w:vAlign w:val="center"/>
          </w:tcPr>
          <w:p w14:paraId="470D4C4E">
            <w:pPr>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项目团队</w:t>
            </w:r>
            <w:r>
              <w:rPr>
                <w:rFonts w:hint="eastAsia" w:ascii="宋体" w:hAnsi="宋体" w:cs="宋体"/>
                <w:color w:val="auto"/>
                <w:sz w:val="21"/>
                <w:szCs w:val="21"/>
                <w:highlight w:val="none"/>
                <w:lang w:eastAsia="zh-CN"/>
              </w:rPr>
              <w:t>评审</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w:t>
            </w:r>
          </w:p>
        </w:tc>
        <w:tc>
          <w:tcPr>
            <w:tcW w:w="1062" w:type="dxa"/>
            <w:tcMar>
              <w:top w:w="28" w:type="dxa"/>
              <w:left w:w="28" w:type="dxa"/>
              <w:bottom w:w="28" w:type="dxa"/>
              <w:right w:w="28" w:type="dxa"/>
            </w:tcMar>
            <w:vAlign w:val="center"/>
          </w:tcPr>
          <w:p w14:paraId="1B3803CC">
            <w:pPr>
              <w:spacing w:line="34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设计人员、项目负责人评审（</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c>
          <w:tcPr>
            <w:tcW w:w="7023" w:type="dxa"/>
            <w:tcMar>
              <w:top w:w="28" w:type="dxa"/>
              <w:left w:w="28" w:type="dxa"/>
              <w:bottom w:w="28" w:type="dxa"/>
              <w:right w:w="28" w:type="dxa"/>
            </w:tcMar>
            <w:vAlign w:val="center"/>
          </w:tcPr>
          <w:p w14:paraId="26E4CAB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）拟派本项目的</w:t>
            </w:r>
            <w:r>
              <w:rPr>
                <w:rFonts w:hint="eastAsia" w:ascii="宋体" w:hAnsi="宋体" w:cs="宋体"/>
                <w:color w:val="auto"/>
                <w:sz w:val="21"/>
                <w:szCs w:val="21"/>
                <w:highlight w:val="none"/>
                <w:lang w:eastAsia="zh-CN"/>
              </w:rPr>
              <w:t>设计</w:t>
            </w:r>
            <w:r>
              <w:rPr>
                <w:rFonts w:hint="eastAsia" w:ascii="宋体" w:hAnsi="宋体" w:eastAsia="宋体" w:cs="宋体"/>
                <w:color w:val="auto"/>
                <w:sz w:val="21"/>
                <w:szCs w:val="21"/>
                <w:highlight w:val="none"/>
                <w:lang w:eastAsia="zh-CN"/>
              </w:rPr>
              <w:t>团队人员须为注册在本单位的从业人员，设计团队组织机构合理，人员专业配置齐全，满足项目需求的得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14:paraId="7EE76F6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）拟派本项目的</w:t>
            </w:r>
            <w:r>
              <w:rPr>
                <w:rFonts w:hint="eastAsia" w:ascii="宋体" w:hAnsi="宋体" w:cs="宋体"/>
                <w:color w:val="auto"/>
                <w:sz w:val="21"/>
                <w:szCs w:val="21"/>
                <w:highlight w:val="none"/>
                <w:lang w:eastAsia="zh-CN"/>
              </w:rPr>
              <w:t>设计</w:t>
            </w:r>
            <w:r>
              <w:rPr>
                <w:rFonts w:hint="eastAsia" w:ascii="宋体" w:hAnsi="宋体" w:eastAsia="宋体" w:cs="宋体"/>
                <w:color w:val="auto"/>
                <w:sz w:val="21"/>
                <w:szCs w:val="21"/>
                <w:highlight w:val="none"/>
                <w:lang w:eastAsia="zh-CN"/>
              </w:rPr>
              <w:t>团队人员须为注册在本单位的从业人员，设计团队组织机构基本合理，人员专业配置基本齐全，基本满足项目需求的得2分。</w:t>
            </w:r>
          </w:p>
          <w:p w14:paraId="69B5F6D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（3）拟派本项目的</w:t>
            </w:r>
            <w:r>
              <w:rPr>
                <w:rFonts w:hint="eastAsia" w:ascii="宋体" w:hAnsi="宋体" w:cs="宋体"/>
                <w:color w:val="auto"/>
                <w:sz w:val="21"/>
                <w:szCs w:val="21"/>
                <w:highlight w:val="none"/>
                <w:lang w:eastAsia="zh-CN"/>
              </w:rPr>
              <w:t>设计</w:t>
            </w:r>
            <w:r>
              <w:rPr>
                <w:rFonts w:hint="eastAsia" w:ascii="宋体" w:hAnsi="宋体" w:eastAsia="宋体" w:cs="宋体"/>
                <w:color w:val="auto"/>
                <w:sz w:val="21"/>
                <w:szCs w:val="21"/>
                <w:highlight w:val="none"/>
                <w:lang w:eastAsia="zh-CN"/>
              </w:rPr>
              <w:t>团队人员须为注册在本单位的从业人员，设计团队组织机构不合理，人员专业配置不齐全，不满足项目需求的得0分。</w:t>
            </w:r>
          </w:p>
        </w:tc>
      </w:tr>
      <w:tr w14:paraId="76DF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tblHeader/>
          <w:jc w:val="center"/>
        </w:trPr>
        <w:tc>
          <w:tcPr>
            <w:tcW w:w="1486" w:type="dxa"/>
            <w:vMerge w:val="continue"/>
            <w:tcMar>
              <w:top w:w="28" w:type="dxa"/>
              <w:left w:w="28" w:type="dxa"/>
              <w:bottom w:w="28" w:type="dxa"/>
              <w:right w:w="28" w:type="dxa"/>
            </w:tcMar>
            <w:vAlign w:val="center"/>
          </w:tcPr>
          <w:p w14:paraId="2244A274">
            <w:pPr>
              <w:spacing w:line="360" w:lineRule="auto"/>
              <w:rPr>
                <w:rFonts w:hint="eastAsia" w:ascii="宋体" w:hAnsi="宋体" w:cs="宋体"/>
                <w:color w:val="auto"/>
                <w:sz w:val="21"/>
                <w:szCs w:val="21"/>
                <w:highlight w:val="none"/>
              </w:rPr>
            </w:pPr>
          </w:p>
        </w:tc>
        <w:tc>
          <w:tcPr>
            <w:tcW w:w="1062" w:type="dxa"/>
            <w:tcMar>
              <w:top w:w="28" w:type="dxa"/>
              <w:left w:w="28" w:type="dxa"/>
              <w:bottom w:w="28" w:type="dxa"/>
              <w:right w:w="28" w:type="dxa"/>
            </w:tcMar>
            <w:vAlign w:val="center"/>
          </w:tcPr>
          <w:p w14:paraId="401456CE">
            <w:pPr>
              <w:spacing w:line="34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施工人员、施工负责人（项目经理）评审（</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分）</w:t>
            </w:r>
          </w:p>
        </w:tc>
        <w:tc>
          <w:tcPr>
            <w:tcW w:w="7023" w:type="dxa"/>
            <w:tcMar>
              <w:top w:w="28" w:type="dxa"/>
              <w:left w:w="28" w:type="dxa"/>
              <w:bottom w:w="28" w:type="dxa"/>
              <w:right w:w="28" w:type="dxa"/>
            </w:tcMar>
            <w:vAlign w:val="center"/>
          </w:tcPr>
          <w:p w14:paraId="7B5F07D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1）拟派本项目的</w:t>
            </w:r>
            <w:r>
              <w:rPr>
                <w:rFonts w:hint="eastAsia" w:ascii="宋体" w:hAnsi="宋体" w:cs="宋体"/>
                <w:color w:val="auto"/>
                <w:sz w:val="21"/>
                <w:szCs w:val="21"/>
                <w:highlight w:val="none"/>
                <w:lang w:eastAsia="zh-CN"/>
              </w:rPr>
              <w:t>施工</w:t>
            </w:r>
            <w:r>
              <w:rPr>
                <w:rFonts w:hint="eastAsia" w:ascii="宋体" w:hAnsi="宋体" w:eastAsia="宋体" w:cs="宋体"/>
                <w:color w:val="auto"/>
                <w:sz w:val="21"/>
                <w:szCs w:val="21"/>
                <w:highlight w:val="none"/>
                <w:lang w:eastAsia="zh-CN"/>
              </w:rPr>
              <w:t>团队人员须为注册在本单位的从业人员，施工项目团队组织机构合理，人员专业配置齐全，满足项目施工需求的得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p>
          <w:p w14:paraId="726BA13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（2）拟派本项目的</w:t>
            </w:r>
            <w:r>
              <w:rPr>
                <w:rFonts w:hint="eastAsia" w:ascii="宋体" w:hAnsi="宋体" w:cs="宋体"/>
                <w:color w:val="auto"/>
                <w:sz w:val="21"/>
                <w:szCs w:val="21"/>
                <w:highlight w:val="none"/>
                <w:lang w:eastAsia="zh-CN"/>
              </w:rPr>
              <w:t>施工</w:t>
            </w:r>
            <w:r>
              <w:rPr>
                <w:rFonts w:hint="eastAsia" w:ascii="宋体" w:hAnsi="宋体" w:eastAsia="宋体" w:cs="宋体"/>
                <w:color w:val="auto"/>
                <w:sz w:val="21"/>
                <w:szCs w:val="21"/>
                <w:highlight w:val="none"/>
                <w:lang w:eastAsia="zh-CN"/>
              </w:rPr>
              <w:t>团队人员须为注册在本单位的从业人员，施工项目团队组织机构基本合理，人员专业配置基本齐全，基本满足项目施工需求的得2分。</w:t>
            </w:r>
          </w:p>
          <w:p w14:paraId="4F811051">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（3）拟派本项目的</w:t>
            </w:r>
            <w:r>
              <w:rPr>
                <w:rFonts w:hint="eastAsia" w:ascii="宋体" w:hAnsi="宋体" w:cs="宋体"/>
                <w:color w:val="auto"/>
                <w:sz w:val="21"/>
                <w:szCs w:val="21"/>
                <w:highlight w:val="none"/>
                <w:lang w:eastAsia="zh-CN"/>
              </w:rPr>
              <w:t>施工</w:t>
            </w:r>
            <w:r>
              <w:rPr>
                <w:rFonts w:hint="eastAsia" w:ascii="宋体" w:hAnsi="宋体" w:eastAsia="宋体" w:cs="宋体"/>
                <w:color w:val="auto"/>
                <w:sz w:val="21"/>
                <w:szCs w:val="21"/>
                <w:highlight w:val="none"/>
                <w:lang w:eastAsia="zh-CN"/>
              </w:rPr>
              <w:t>团队人员须为注册在本单位的从业人员，施工项目团队组织机构不合理，人员专业配置不齐全，不满足项目施工需求的得0分。</w:t>
            </w:r>
          </w:p>
        </w:tc>
      </w:tr>
    </w:tbl>
    <w:p w14:paraId="5644CD92">
      <w:pPr>
        <w:pStyle w:val="5"/>
        <w:spacing w:line="240" w:lineRule="atLeast"/>
        <w:ind w:firstLine="0" w:firstLineChars="0"/>
        <w:rPr>
          <w:rFonts w:ascii="Times New Roman" w:hAnsi="Times New Roman" w:cs="Times New Roman"/>
          <w:color w:val="auto"/>
          <w:highlight w:val="none"/>
        </w:rPr>
        <w:sectPr>
          <w:pgSz w:w="11906" w:h="16838"/>
          <w:pgMar w:top="1440" w:right="1440" w:bottom="1440" w:left="1440" w:header="851" w:footer="992" w:gutter="0"/>
          <w:pgNumType w:fmt="decimal"/>
          <w:cols w:space="720" w:num="1"/>
          <w:docGrid w:type="lines" w:linePitch="312" w:charSpace="0"/>
        </w:sectPr>
      </w:pPr>
    </w:p>
    <w:tbl>
      <w:tblPr>
        <w:tblStyle w:val="88"/>
        <w:tblpPr w:leftFromText="180" w:rightFromText="180" w:vertAnchor="text" w:tblpX="10880" w:tblpY="-7910"/>
        <w:tblOverlap w:val="never"/>
        <w:tblW w:w="1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tblGrid>
      <w:tr w14:paraId="7664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92" w:type="dxa"/>
          </w:tcPr>
          <w:p w14:paraId="3B113656">
            <w:pPr>
              <w:pStyle w:val="5"/>
              <w:spacing w:line="240" w:lineRule="atLeast"/>
              <w:rPr>
                <w:rFonts w:ascii="Times New Roman" w:hAnsi="Times New Roman" w:cs="Times New Roman"/>
                <w:color w:val="auto"/>
                <w:highlight w:val="none"/>
              </w:rPr>
            </w:pPr>
          </w:p>
        </w:tc>
      </w:tr>
    </w:tbl>
    <w:p w14:paraId="176D3CAF">
      <w:pPr>
        <w:keepNext w:val="0"/>
        <w:keepLines w:val="0"/>
        <w:pageBreakBefore w:val="0"/>
        <w:widowControl w:val="0"/>
        <w:kinsoku/>
        <w:wordWrap/>
        <w:overflowPunct/>
        <w:topLinePunct w:val="0"/>
        <w:bidi w:val="0"/>
        <w:snapToGrid/>
        <w:spacing w:line="360" w:lineRule="auto"/>
        <w:ind w:firstLine="426" w:firstLineChars="202"/>
        <w:textAlignment w:val="auto"/>
        <w:outlineLvl w:val="0"/>
        <w:rPr>
          <w:rFonts w:hint="eastAsia" w:eastAsia="宋体"/>
          <w:b/>
          <w:bCs/>
          <w:color w:val="auto"/>
          <w:sz w:val="21"/>
          <w:szCs w:val="21"/>
          <w:highlight w:val="none"/>
        </w:rPr>
      </w:pPr>
      <w:bookmarkStart w:id="649" w:name="_Toc45896688"/>
      <w:bookmarkStart w:id="650" w:name="_Toc934_WPSOffice_Level2"/>
      <w:bookmarkStart w:id="651" w:name="_Toc45896985"/>
      <w:bookmarkStart w:id="652" w:name="_Toc1251"/>
      <w:bookmarkStart w:id="653" w:name="_Toc532397665"/>
      <w:bookmarkStart w:id="654" w:name="_Toc16758_WPSOffice_Level2"/>
      <w:bookmarkStart w:id="655" w:name="_Toc1836"/>
      <w:bookmarkStart w:id="656" w:name="_Toc395965064"/>
      <w:r>
        <w:rPr>
          <w:rFonts w:hint="eastAsia" w:eastAsia="宋体"/>
          <w:b/>
          <w:bCs/>
          <w:color w:val="auto"/>
          <w:sz w:val="21"/>
          <w:szCs w:val="21"/>
          <w:highlight w:val="none"/>
          <w:lang w:val="en-US" w:eastAsia="zh-CN"/>
        </w:rPr>
        <w:t>2.2.3</w:t>
      </w:r>
      <w:r>
        <w:rPr>
          <w:rFonts w:hint="eastAsia" w:eastAsia="宋体"/>
          <w:b/>
          <w:bCs/>
          <w:color w:val="auto"/>
          <w:sz w:val="21"/>
          <w:szCs w:val="21"/>
          <w:highlight w:val="none"/>
        </w:rPr>
        <w:t>其他因素评审标准</w:t>
      </w:r>
    </w:p>
    <w:p w14:paraId="7AADC7FD">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投标人有下列情形之一的应在最后得分中扣分，扣分后的分值为投标人参加中标候选人排序的最终分值：</w:t>
      </w:r>
    </w:p>
    <w:p w14:paraId="7AD93965">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zh-CN"/>
        </w:rPr>
        <w:t>）投标人有违反建设法律、法规、规章行为，受</w:t>
      </w:r>
      <w:r>
        <w:rPr>
          <w:rFonts w:hint="eastAsia" w:ascii="宋体" w:hAnsi="宋体" w:cs="宋体"/>
          <w:color w:val="auto"/>
          <w:kern w:val="0"/>
          <w:sz w:val="21"/>
          <w:szCs w:val="21"/>
          <w:highlight w:val="none"/>
          <w:lang w:val="zh-CN"/>
        </w:rPr>
        <w:t>国家、省、市</w:t>
      </w:r>
      <w:r>
        <w:rPr>
          <w:rFonts w:hint="eastAsia" w:ascii="宋体" w:hAnsi="宋体" w:eastAsia="宋体" w:cs="宋体"/>
          <w:color w:val="auto"/>
          <w:kern w:val="0"/>
          <w:sz w:val="21"/>
          <w:szCs w:val="21"/>
          <w:highlight w:val="none"/>
          <w:lang w:val="zh-CN"/>
        </w:rPr>
        <w:t>（市）建设行政主管部门查处（包括：通报、停工整顿）的，在处罚有效期内一次投标扣3分；</w:t>
      </w:r>
    </w:p>
    <w:p w14:paraId="2FA5B02B">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）投标人有其他建筑市场不良记录的，从每次不良记录生效之日起一年内每次投标扣3分，按次数累计扣分；</w:t>
      </w:r>
    </w:p>
    <w:p w14:paraId="77345731">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）投标人拟定项目负责人有违反建设法律、法规、规章行为，受</w:t>
      </w:r>
      <w:r>
        <w:rPr>
          <w:rFonts w:hint="eastAsia" w:ascii="宋体" w:hAnsi="宋体" w:cs="宋体"/>
          <w:color w:val="auto"/>
          <w:kern w:val="0"/>
          <w:sz w:val="21"/>
          <w:szCs w:val="21"/>
          <w:highlight w:val="none"/>
          <w:lang w:val="zh-CN"/>
        </w:rPr>
        <w:t>国家、省、市</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eastAsia="zh-CN"/>
        </w:rPr>
        <w:t>市</w:t>
      </w:r>
      <w:r>
        <w:rPr>
          <w:rFonts w:hint="eastAsia" w:ascii="宋体" w:hAnsi="宋体" w:eastAsia="宋体" w:cs="宋体"/>
          <w:color w:val="auto"/>
          <w:kern w:val="0"/>
          <w:sz w:val="21"/>
          <w:szCs w:val="21"/>
          <w:highlight w:val="none"/>
          <w:lang w:val="zh-CN"/>
        </w:rPr>
        <w:t>）建设行政主管部门查处（包括：通报、停工整顿）的，在处罚有效期内每次投标扣3分；</w:t>
      </w:r>
    </w:p>
    <w:p w14:paraId="1AE92DB6">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zh-CN"/>
        </w:rPr>
        <w:t>）投标人拟定的项目负责人有其他建筑市场行为不良记录的，从每次不良记录生效之日起一年内每次投标扣2分，按次数累计扣分。</w:t>
      </w:r>
    </w:p>
    <w:p w14:paraId="54F777B1">
      <w:pPr>
        <w:keepNext w:val="0"/>
        <w:keepLines w:val="0"/>
        <w:pageBreakBefore w:val="0"/>
        <w:widowControl w:val="0"/>
        <w:kinsoku/>
        <w:wordWrap/>
        <w:overflowPunct/>
        <w:topLinePunct w:val="0"/>
        <w:bidi w:val="0"/>
        <w:snapToGrid/>
        <w:spacing w:line="360" w:lineRule="auto"/>
        <w:ind w:firstLine="426" w:firstLineChars="202"/>
        <w:textAlignment w:val="auto"/>
        <w:outlineLvl w:val="0"/>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2.2.4最终得分的计算</w:t>
      </w:r>
      <w:bookmarkEnd w:id="649"/>
      <w:bookmarkEnd w:id="650"/>
      <w:bookmarkEnd w:id="651"/>
      <w:bookmarkEnd w:id="652"/>
      <w:bookmarkEnd w:id="653"/>
      <w:bookmarkEnd w:id="654"/>
      <w:bookmarkEnd w:id="655"/>
      <w:bookmarkEnd w:id="656"/>
    </w:p>
    <w:p w14:paraId="7D22F58C">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cs="Times New Roman"/>
          <w:color w:val="auto"/>
          <w:sz w:val="21"/>
          <w:szCs w:val="21"/>
          <w:highlight w:val="none"/>
        </w:rPr>
      </w:pPr>
      <w:r>
        <w:rPr>
          <w:rFonts w:hint="eastAsia" w:ascii="宋体" w:hAnsi="宋体" w:cs="宋体"/>
          <w:color w:val="auto"/>
          <w:kern w:val="0"/>
          <w:sz w:val="21"/>
          <w:szCs w:val="21"/>
          <w:highlight w:val="none"/>
          <w:lang w:val="zh-CN"/>
        </w:rPr>
        <w:t>（</w:t>
      </w:r>
      <w:r>
        <w:rPr>
          <w:rFonts w:ascii="宋体" w:hAnsi="宋体" w:cs="宋体"/>
          <w:color w:val="auto"/>
          <w:kern w:val="0"/>
          <w:sz w:val="21"/>
          <w:szCs w:val="21"/>
          <w:highlight w:val="none"/>
        </w:rPr>
        <w:t>1</w:t>
      </w:r>
      <w:r>
        <w:rPr>
          <w:rFonts w:hint="eastAsia" w:ascii="宋体" w:hAnsi="宋体" w:cs="宋体"/>
          <w:color w:val="auto"/>
          <w:kern w:val="0"/>
          <w:sz w:val="21"/>
          <w:szCs w:val="21"/>
          <w:highlight w:val="none"/>
          <w:lang w:val="zh-CN"/>
        </w:rPr>
        <w:t>）评标委员会按本章第</w:t>
      </w:r>
      <w:r>
        <w:rPr>
          <w:rFonts w:ascii="宋体" w:hAnsi="宋体" w:cs="宋体"/>
          <w:color w:val="auto"/>
          <w:kern w:val="0"/>
          <w:sz w:val="21"/>
          <w:szCs w:val="21"/>
          <w:highlight w:val="none"/>
          <w:lang w:val="zh-CN"/>
        </w:rPr>
        <w:t>2.</w:t>
      </w:r>
      <w:r>
        <w:rPr>
          <w:rFonts w:ascii="宋体" w:hAnsi="宋体" w:cs="宋体"/>
          <w:color w:val="auto"/>
          <w:kern w:val="0"/>
          <w:sz w:val="21"/>
          <w:szCs w:val="21"/>
          <w:highlight w:val="none"/>
        </w:rPr>
        <w:t>1</w:t>
      </w:r>
      <w:r>
        <w:rPr>
          <w:rFonts w:hint="eastAsia" w:ascii="宋体" w:hAnsi="宋体" w:cs="宋体"/>
          <w:color w:val="auto"/>
          <w:kern w:val="0"/>
          <w:sz w:val="21"/>
          <w:szCs w:val="21"/>
          <w:highlight w:val="none"/>
          <w:lang w:val="zh-CN"/>
        </w:rPr>
        <w:t>款规定的评审因素进行评审，并得出通过评审的投标人名单。</w:t>
      </w:r>
    </w:p>
    <w:p w14:paraId="554C3F42">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ascii="宋体" w:cs="Times New Roman"/>
          <w:color w:val="auto"/>
          <w:kern w:val="0"/>
          <w:sz w:val="21"/>
          <w:szCs w:val="21"/>
          <w:highlight w:val="none"/>
          <w:lang w:val="zh-CN"/>
        </w:rPr>
      </w:pPr>
      <w:r>
        <w:rPr>
          <w:rFonts w:hint="eastAsia" w:ascii="宋体" w:hAnsi="宋体" w:cs="宋体"/>
          <w:color w:val="auto"/>
          <w:kern w:val="0"/>
          <w:sz w:val="21"/>
          <w:szCs w:val="21"/>
          <w:highlight w:val="none"/>
        </w:rPr>
        <w:t>（</w:t>
      </w:r>
      <w:r>
        <w:rPr>
          <w:rFonts w:ascii="宋体" w:hAnsi="宋体" w:cs="宋体"/>
          <w:color w:val="auto"/>
          <w:kern w:val="0"/>
          <w:sz w:val="21"/>
          <w:szCs w:val="21"/>
          <w:highlight w:val="none"/>
        </w:rPr>
        <w:t>2</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val="zh-CN"/>
        </w:rPr>
        <w:t>评标委员会按本章第</w:t>
      </w:r>
      <w:r>
        <w:rPr>
          <w:rFonts w:ascii="宋体" w:hAnsi="宋体" w:cs="宋体"/>
          <w:color w:val="auto"/>
          <w:kern w:val="0"/>
          <w:sz w:val="21"/>
          <w:szCs w:val="21"/>
          <w:highlight w:val="none"/>
          <w:lang w:val="zh-CN"/>
        </w:rPr>
        <w:t>2.</w:t>
      </w:r>
      <w:r>
        <w:rPr>
          <w:rFonts w:ascii="宋体" w:hAnsi="宋体" w:cs="宋体"/>
          <w:color w:val="auto"/>
          <w:kern w:val="0"/>
          <w:sz w:val="21"/>
          <w:szCs w:val="21"/>
          <w:highlight w:val="none"/>
        </w:rPr>
        <w:t>2</w:t>
      </w:r>
      <w:r>
        <w:rPr>
          <w:rFonts w:hint="eastAsia" w:ascii="宋体" w:hAnsi="宋体" w:cs="宋体"/>
          <w:color w:val="auto"/>
          <w:kern w:val="0"/>
          <w:sz w:val="21"/>
          <w:szCs w:val="21"/>
          <w:highlight w:val="none"/>
          <w:lang w:val="en-US" w:eastAsia="zh-CN"/>
        </w:rPr>
        <w:t>.</w:t>
      </w:r>
      <w:r>
        <w:rPr>
          <w:rFonts w:ascii="宋体" w:hAnsi="宋体" w:cs="宋体"/>
          <w:color w:val="auto"/>
          <w:kern w:val="0"/>
          <w:sz w:val="21"/>
          <w:szCs w:val="21"/>
          <w:highlight w:val="none"/>
        </w:rPr>
        <w:t>1</w:t>
      </w:r>
      <w:r>
        <w:rPr>
          <w:rFonts w:hint="eastAsia" w:ascii="宋体" w:hAnsi="宋体" w:cs="宋体"/>
          <w:color w:val="auto"/>
          <w:kern w:val="0"/>
          <w:sz w:val="21"/>
          <w:szCs w:val="21"/>
          <w:highlight w:val="none"/>
          <w:lang w:val="zh-CN"/>
        </w:rPr>
        <w:t>规定的评审因素和分值对投标报价计算出得分（</w:t>
      </w:r>
      <w:r>
        <w:rPr>
          <w:rFonts w:hint="eastAsia" w:cs="宋体"/>
          <w:color w:val="auto"/>
          <w:sz w:val="21"/>
          <w:szCs w:val="21"/>
          <w:highlight w:val="none"/>
        </w:rPr>
        <w:t>商务部分评审评分</w:t>
      </w:r>
      <w:r>
        <w:rPr>
          <w:rFonts w:hint="eastAsia" w:ascii="宋体" w:hAnsi="宋体" w:cs="宋体"/>
          <w:color w:val="auto"/>
          <w:kern w:val="0"/>
          <w:sz w:val="21"/>
          <w:szCs w:val="21"/>
          <w:highlight w:val="none"/>
          <w:lang w:val="zh-CN"/>
        </w:rPr>
        <w:t>）。</w:t>
      </w:r>
    </w:p>
    <w:p w14:paraId="6979F7DC">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ascii="宋体" w:cs="Times New Roman"/>
          <w:color w:val="auto"/>
          <w:kern w:val="0"/>
          <w:sz w:val="21"/>
          <w:szCs w:val="21"/>
          <w:highlight w:val="none"/>
          <w:lang w:val="zh-CN"/>
        </w:rPr>
      </w:pPr>
      <w:r>
        <w:rPr>
          <w:rFonts w:hint="eastAsia" w:ascii="宋体" w:hAnsi="宋体" w:cs="宋体"/>
          <w:color w:val="auto"/>
          <w:kern w:val="0"/>
          <w:sz w:val="21"/>
          <w:szCs w:val="21"/>
          <w:highlight w:val="none"/>
          <w:lang w:val="zh-CN"/>
        </w:rPr>
        <w:t>（</w:t>
      </w:r>
      <w:r>
        <w:rPr>
          <w:rFonts w:ascii="宋体" w:hAnsi="宋体" w:cs="宋体"/>
          <w:color w:val="auto"/>
          <w:kern w:val="0"/>
          <w:sz w:val="21"/>
          <w:szCs w:val="21"/>
          <w:highlight w:val="none"/>
        </w:rPr>
        <w:t>3</w:t>
      </w:r>
      <w:r>
        <w:rPr>
          <w:rFonts w:hint="eastAsia" w:ascii="宋体" w:hAnsi="宋体" w:cs="宋体"/>
          <w:color w:val="auto"/>
          <w:kern w:val="0"/>
          <w:sz w:val="21"/>
          <w:szCs w:val="21"/>
          <w:highlight w:val="none"/>
          <w:lang w:val="zh-CN"/>
        </w:rPr>
        <w:t>）评标委员会按本章第</w:t>
      </w:r>
      <w:r>
        <w:rPr>
          <w:rFonts w:ascii="宋体" w:hAnsi="宋体" w:cs="宋体"/>
          <w:color w:val="auto"/>
          <w:kern w:val="0"/>
          <w:sz w:val="21"/>
          <w:szCs w:val="21"/>
          <w:highlight w:val="none"/>
        </w:rPr>
        <w:t>2.2.2</w:t>
      </w:r>
      <w:r>
        <w:rPr>
          <w:rFonts w:hint="eastAsia" w:ascii="宋体" w:hAnsi="宋体" w:cs="宋体"/>
          <w:color w:val="auto"/>
          <w:kern w:val="0"/>
          <w:sz w:val="21"/>
          <w:szCs w:val="21"/>
          <w:highlight w:val="none"/>
          <w:lang w:val="zh-CN"/>
        </w:rPr>
        <w:t>规定的评审因素和分值对投标人技术标准计算出得分（</w:t>
      </w:r>
      <w:r>
        <w:rPr>
          <w:rFonts w:hint="eastAsia" w:cs="宋体"/>
          <w:color w:val="auto"/>
          <w:sz w:val="21"/>
          <w:szCs w:val="21"/>
          <w:highlight w:val="none"/>
        </w:rPr>
        <w:t>技术部分评审评分</w:t>
      </w:r>
      <w:r>
        <w:rPr>
          <w:rFonts w:hint="eastAsia" w:ascii="宋体" w:hAnsi="宋体" w:cs="宋体"/>
          <w:color w:val="auto"/>
          <w:kern w:val="0"/>
          <w:sz w:val="21"/>
          <w:szCs w:val="21"/>
          <w:highlight w:val="none"/>
          <w:lang w:val="zh-CN"/>
        </w:rPr>
        <w:t>）。</w:t>
      </w:r>
    </w:p>
    <w:p w14:paraId="06E292AD">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cs="Times New Roman"/>
          <w:color w:val="auto"/>
          <w:sz w:val="21"/>
          <w:szCs w:val="21"/>
          <w:highlight w:val="none"/>
        </w:rPr>
      </w:pPr>
      <w:r>
        <w:rPr>
          <w:rFonts w:hint="eastAsia" w:ascii="宋体" w:hAnsi="宋体" w:cs="宋体"/>
          <w:color w:val="auto"/>
          <w:kern w:val="0"/>
          <w:sz w:val="21"/>
          <w:szCs w:val="21"/>
          <w:highlight w:val="none"/>
          <w:lang w:val="zh-CN"/>
        </w:rPr>
        <w:t>（</w:t>
      </w:r>
      <w:r>
        <w:rPr>
          <w:rFonts w:ascii="宋体" w:hAnsi="宋体" w:cs="宋体"/>
          <w:color w:val="auto"/>
          <w:kern w:val="0"/>
          <w:sz w:val="21"/>
          <w:szCs w:val="21"/>
          <w:highlight w:val="none"/>
        </w:rPr>
        <w:t>4</w:t>
      </w:r>
      <w:r>
        <w:rPr>
          <w:rFonts w:hint="eastAsia" w:ascii="宋体" w:hAnsi="宋体" w:cs="宋体"/>
          <w:color w:val="auto"/>
          <w:kern w:val="0"/>
          <w:sz w:val="21"/>
          <w:szCs w:val="21"/>
          <w:highlight w:val="none"/>
          <w:lang w:val="zh-CN"/>
        </w:rPr>
        <w:t>）评分分值为所有评委评分的算术平均值，评分分值计算保留小数点后两位，小数点后第三位“四舍五入”。</w:t>
      </w:r>
    </w:p>
    <w:p w14:paraId="564FE487">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zh-CN"/>
        </w:rPr>
        <w:t>5）投标人最终得分计算：</w:t>
      </w:r>
    </w:p>
    <w:p w14:paraId="025D1BEF">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最终得分＝商务部分评审评分＋技术部分评审评分</w:t>
      </w:r>
    </w:p>
    <w:p w14:paraId="4B48C85D">
      <w:pPr>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（6）评标委员会并按详细评审得分由高至低的顺序推荐第一、二、三中标候选人。综合评分相等时，以商务部分评分高的优先；商务部分评分也相等时，以技术部分评分高的优先；技术部分评分也相等时，以</w:t>
      </w:r>
      <w:r>
        <w:rPr>
          <w:rFonts w:hint="eastAsia" w:ascii="宋体" w:hAnsi="宋体" w:cs="宋体"/>
          <w:color w:val="auto"/>
          <w:kern w:val="0"/>
          <w:sz w:val="21"/>
          <w:szCs w:val="21"/>
          <w:highlight w:val="none"/>
          <w:lang w:val="zh-CN" w:eastAsia="zh-CN"/>
        </w:rPr>
        <w:t>建安工程施工费</w:t>
      </w:r>
      <w:r>
        <w:rPr>
          <w:rFonts w:hint="eastAsia" w:ascii="宋体" w:hAnsi="宋体" w:eastAsia="宋体" w:cs="宋体"/>
          <w:color w:val="auto"/>
          <w:kern w:val="0"/>
          <w:sz w:val="21"/>
          <w:szCs w:val="21"/>
          <w:highlight w:val="none"/>
          <w:lang w:val="zh-CN" w:eastAsia="zh-CN"/>
        </w:rPr>
        <w:t>（含设备购置费）</w:t>
      </w:r>
      <w:r>
        <w:rPr>
          <w:rFonts w:hint="eastAsia" w:ascii="宋体" w:hAnsi="宋体" w:eastAsia="宋体" w:cs="宋体"/>
          <w:color w:val="auto"/>
          <w:kern w:val="0"/>
          <w:sz w:val="21"/>
          <w:szCs w:val="21"/>
          <w:highlight w:val="none"/>
          <w:lang w:val="zh-CN"/>
        </w:rPr>
        <w:t>投标下浮率高的优先；</w:t>
      </w:r>
      <w:r>
        <w:rPr>
          <w:rFonts w:hint="eastAsia" w:ascii="宋体" w:hAnsi="宋体" w:cs="宋体"/>
          <w:color w:val="auto"/>
          <w:kern w:val="0"/>
          <w:sz w:val="21"/>
          <w:szCs w:val="21"/>
          <w:highlight w:val="none"/>
          <w:lang w:val="zh-CN" w:eastAsia="zh-CN"/>
        </w:rPr>
        <w:t>建安工程施工费</w:t>
      </w:r>
      <w:r>
        <w:rPr>
          <w:rFonts w:hint="eastAsia" w:ascii="宋体" w:hAnsi="宋体" w:eastAsia="宋体" w:cs="宋体"/>
          <w:color w:val="auto"/>
          <w:kern w:val="0"/>
          <w:sz w:val="21"/>
          <w:szCs w:val="21"/>
          <w:highlight w:val="none"/>
          <w:lang w:val="zh-CN" w:eastAsia="zh-CN"/>
        </w:rPr>
        <w:t>（含设备购置费）</w:t>
      </w:r>
      <w:r>
        <w:rPr>
          <w:rFonts w:hint="eastAsia" w:ascii="宋体" w:hAnsi="宋体" w:eastAsia="宋体" w:cs="宋体"/>
          <w:color w:val="auto"/>
          <w:kern w:val="0"/>
          <w:sz w:val="21"/>
          <w:szCs w:val="21"/>
          <w:highlight w:val="none"/>
          <w:lang w:val="zh-CN"/>
        </w:rPr>
        <w:t>投标下浮率也相等的</w:t>
      </w:r>
      <w:r>
        <w:rPr>
          <w:rFonts w:hint="eastAsia" w:ascii="宋体" w:hAnsi="宋体" w:eastAsia="宋体" w:cs="宋体"/>
          <w:color w:val="auto"/>
          <w:kern w:val="0"/>
          <w:sz w:val="21"/>
          <w:szCs w:val="21"/>
          <w:highlight w:val="none"/>
          <w:lang w:val="zh-CN" w:eastAsia="zh-CN"/>
        </w:rPr>
        <w:t>，以</w:t>
      </w:r>
      <w:r>
        <w:rPr>
          <w:rFonts w:hint="eastAsia" w:ascii="宋体" w:hAnsi="宋体" w:cs="宋体"/>
          <w:color w:val="auto"/>
          <w:kern w:val="0"/>
          <w:sz w:val="21"/>
          <w:szCs w:val="21"/>
          <w:highlight w:val="none"/>
          <w:lang w:val="zh-CN"/>
        </w:rPr>
        <w:t>投资收益</w:t>
      </w:r>
      <w:r>
        <w:rPr>
          <w:rFonts w:hint="eastAsia" w:ascii="宋体" w:hAnsi="宋体" w:eastAsia="宋体" w:cs="宋体"/>
          <w:color w:val="auto"/>
          <w:kern w:val="0"/>
          <w:sz w:val="21"/>
          <w:szCs w:val="21"/>
          <w:highlight w:val="none"/>
          <w:lang w:val="en-US" w:eastAsia="zh-CN"/>
        </w:rPr>
        <w:t>率</w:t>
      </w:r>
      <w:r>
        <w:rPr>
          <w:rFonts w:hint="eastAsia" w:ascii="宋体" w:hAnsi="宋体" w:eastAsia="宋体" w:cs="宋体"/>
          <w:color w:val="auto"/>
          <w:kern w:val="0"/>
          <w:sz w:val="21"/>
          <w:szCs w:val="21"/>
          <w:highlight w:val="none"/>
          <w:lang w:val="zh-CN"/>
        </w:rPr>
        <w:t>最</w:t>
      </w:r>
      <w:r>
        <w:rPr>
          <w:rFonts w:hint="eastAsia" w:ascii="宋体" w:hAnsi="宋体" w:cs="宋体"/>
          <w:color w:val="auto"/>
          <w:kern w:val="0"/>
          <w:sz w:val="21"/>
          <w:szCs w:val="21"/>
          <w:highlight w:val="none"/>
          <w:lang w:val="zh-CN"/>
        </w:rPr>
        <w:t>高</w:t>
      </w:r>
      <w:r>
        <w:rPr>
          <w:rFonts w:hint="eastAsia" w:ascii="宋体" w:hAnsi="宋体" w:eastAsia="宋体" w:cs="宋体"/>
          <w:color w:val="auto"/>
          <w:kern w:val="0"/>
          <w:sz w:val="21"/>
          <w:szCs w:val="21"/>
          <w:highlight w:val="none"/>
          <w:lang w:val="zh-CN"/>
        </w:rPr>
        <w:t>的优先</w:t>
      </w:r>
      <w:r>
        <w:rPr>
          <w:rFonts w:hint="eastAsia" w:ascii="宋体" w:hAnsi="宋体" w:cs="宋体"/>
          <w:color w:val="auto"/>
          <w:kern w:val="0"/>
          <w:sz w:val="21"/>
          <w:szCs w:val="21"/>
          <w:highlight w:val="none"/>
          <w:lang w:val="zh-CN"/>
        </w:rPr>
        <w:t>，投资收益费率</w:t>
      </w:r>
      <w:r>
        <w:rPr>
          <w:rFonts w:hint="eastAsia" w:ascii="宋体" w:hAnsi="宋体" w:eastAsia="宋体" w:cs="宋体"/>
          <w:color w:val="auto"/>
          <w:kern w:val="0"/>
          <w:sz w:val="21"/>
          <w:szCs w:val="21"/>
          <w:highlight w:val="none"/>
          <w:lang w:val="zh-CN"/>
        </w:rPr>
        <w:t>也相等的</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zh-CN" w:eastAsia="zh-CN"/>
        </w:rPr>
        <w:t>以</w:t>
      </w:r>
      <w:r>
        <w:rPr>
          <w:rFonts w:hint="eastAsia" w:ascii="宋体" w:hAnsi="宋体" w:eastAsia="宋体" w:cs="宋体"/>
          <w:color w:val="auto"/>
          <w:kern w:val="0"/>
          <w:sz w:val="21"/>
          <w:szCs w:val="21"/>
          <w:highlight w:val="none"/>
          <w:lang w:val="zh-CN"/>
        </w:rPr>
        <w:t>设计费</w:t>
      </w:r>
      <w:r>
        <w:rPr>
          <w:rFonts w:hint="eastAsia" w:ascii="宋体" w:hAnsi="宋体" w:eastAsia="宋体" w:cs="宋体"/>
          <w:color w:val="auto"/>
          <w:kern w:val="0"/>
          <w:sz w:val="21"/>
          <w:szCs w:val="21"/>
          <w:highlight w:val="none"/>
          <w:lang w:val="en-US" w:eastAsia="zh-CN"/>
        </w:rPr>
        <w:t>费率</w:t>
      </w:r>
      <w:r>
        <w:rPr>
          <w:rFonts w:hint="eastAsia" w:ascii="宋体" w:hAnsi="宋体" w:eastAsia="宋体" w:cs="宋体"/>
          <w:color w:val="auto"/>
          <w:kern w:val="0"/>
          <w:sz w:val="21"/>
          <w:szCs w:val="21"/>
          <w:highlight w:val="none"/>
          <w:lang w:val="zh-CN"/>
        </w:rPr>
        <w:t>最低的优先，如果都相等时，由招标人或者经招标人授权评标委员会不记名投票确定。</w:t>
      </w:r>
      <w:bookmarkStart w:id="657" w:name="_Toc9331_WPSOffice_Level2"/>
      <w:bookmarkStart w:id="658" w:name="_Toc9694_WPSOffice_Level2"/>
    </w:p>
    <w:p w14:paraId="1AD5F54E">
      <w:pPr>
        <w:pStyle w:val="4"/>
        <w:spacing w:line="360" w:lineRule="auto"/>
        <w:jc w:val="center"/>
        <w:rPr>
          <w:rFonts w:cs="Times New Roman"/>
          <w:color w:val="auto"/>
          <w:highlight w:val="none"/>
        </w:rPr>
      </w:pPr>
    </w:p>
    <w:p w14:paraId="1F7F3F36">
      <w:pPr>
        <w:pStyle w:val="4"/>
        <w:spacing w:line="360" w:lineRule="auto"/>
        <w:jc w:val="center"/>
        <w:rPr>
          <w:rFonts w:cs="Times New Roman"/>
          <w:color w:val="auto"/>
          <w:highlight w:val="none"/>
        </w:rPr>
      </w:pPr>
    </w:p>
    <w:p w14:paraId="07D1AF7E">
      <w:pPr>
        <w:pStyle w:val="4"/>
        <w:spacing w:line="360" w:lineRule="auto"/>
        <w:jc w:val="center"/>
        <w:rPr>
          <w:rFonts w:cs="Times New Roman"/>
          <w:color w:val="auto"/>
          <w:highlight w:val="none"/>
        </w:rPr>
      </w:pPr>
    </w:p>
    <w:p w14:paraId="52CA2954">
      <w:pPr>
        <w:pStyle w:val="4"/>
        <w:tabs>
          <w:tab w:val="left" w:pos="1808"/>
        </w:tabs>
        <w:spacing w:line="360" w:lineRule="auto"/>
        <w:jc w:val="left"/>
        <w:rPr>
          <w:rFonts w:cs="Times New Roman"/>
          <w:color w:val="auto"/>
          <w:highlight w:val="none"/>
        </w:rPr>
      </w:pPr>
    </w:p>
    <w:p w14:paraId="73A3A9EA">
      <w:pPr>
        <w:rPr>
          <w:rFonts w:cs="Times New Roman"/>
          <w:color w:val="auto"/>
          <w:highlight w:val="none"/>
        </w:rPr>
      </w:pPr>
      <w:r>
        <w:rPr>
          <w:rFonts w:cs="Times New Roman"/>
          <w:color w:val="auto"/>
          <w:highlight w:val="none"/>
        </w:rPr>
        <w:br w:type="page"/>
      </w:r>
    </w:p>
    <w:p w14:paraId="62811A75">
      <w:pPr>
        <w:pStyle w:val="4"/>
        <w:spacing w:line="360" w:lineRule="auto"/>
        <w:jc w:val="center"/>
        <w:rPr>
          <w:rFonts w:cs="Times New Roman"/>
          <w:color w:val="auto"/>
          <w:highlight w:val="none"/>
        </w:rPr>
      </w:pPr>
      <w:bookmarkStart w:id="659" w:name="_Toc45896986"/>
      <w:bookmarkStart w:id="660" w:name="_Toc45896689"/>
      <w:bookmarkStart w:id="661" w:name="_Toc5054"/>
      <w:r>
        <w:rPr>
          <w:rFonts w:hint="eastAsia" w:cs="黑体"/>
          <w:color w:val="auto"/>
          <w:highlight w:val="none"/>
        </w:rPr>
        <w:t>评标办法正文</w:t>
      </w:r>
      <w:bookmarkEnd w:id="657"/>
      <w:bookmarkEnd w:id="658"/>
      <w:bookmarkEnd w:id="659"/>
      <w:bookmarkEnd w:id="660"/>
      <w:bookmarkEnd w:id="661"/>
    </w:p>
    <w:p w14:paraId="649E9888">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662" w:name="_Toc13519_WPSOffice_Level2"/>
      <w:bookmarkStart w:id="663" w:name="_Toc45896987"/>
      <w:bookmarkStart w:id="664" w:name="_Toc31153_WPSOffice_Level2"/>
      <w:bookmarkStart w:id="665" w:name="_Toc45896690"/>
      <w:bookmarkStart w:id="666" w:name="_Toc11868"/>
      <w:r>
        <w:rPr>
          <w:rFonts w:hint="eastAsia" w:ascii="宋体" w:hAnsi="宋体" w:eastAsia="宋体" w:cs="宋体"/>
          <w:color w:val="auto"/>
          <w:sz w:val="21"/>
          <w:szCs w:val="21"/>
          <w:highlight w:val="none"/>
        </w:rPr>
        <w:t>1.评标方法</w:t>
      </w:r>
      <w:bookmarkEnd w:id="617"/>
      <w:bookmarkEnd w:id="618"/>
      <w:bookmarkEnd w:id="619"/>
      <w:bookmarkEnd w:id="620"/>
      <w:bookmarkEnd w:id="621"/>
      <w:bookmarkEnd w:id="622"/>
      <w:bookmarkEnd w:id="623"/>
      <w:bookmarkEnd w:id="624"/>
      <w:bookmarkEnd w:id="662"/>
      <w:bookmarkEnd w:id="663"/>
      <w:bookmarkEnd w:id="664"/>
      <w:bookmarkEnd w:id="665"/>
      <w:bookmarkEnd w:id="666"/>
    </w:p>
    <w:p w14:paraId="4F0FE54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auto"/>
          <w:sz w:val="21"/>
          <w:szCs w:val="21"/>
          <w:highlight w:val="none"/>
          <w:lang w:eastAsia="zh-CN"/>
        </w:rPr>
      </w:pPr>
      <w:r>
        <w:rPr>
          <w:rFonts w:hint="eastAsia" w:cs="宋体"/>
          <w:color w:val="auto"/>
          <w:sz w:val="21"/>
          <w:szCs w:val="21"/>
          <w:highlight w:val="none"/>
        </w:rPr>
        <w:t>本次评标采用综合评估法，分为：初步评审、详细评审二个阶段，经初步评审合格的，才能进入详细评审。最终按照综合评分</w:t>
      </w:r>
      <w:r>
        <w:rPr>
          <w:color w:val="auto"/>
          <w:sz w:val="21"/>
          <w:szCs w:val="21"/>
          <w:highlight w:val="none"/>
        </w:rPr>
        <w:t>(</w:t>
      </w:r>
      <w:r>
        <w:rPr>
          <w:rFonts w:hint="eastAsia" w:cs="宋体"/>
          <w:color w:val="auto"/>
          <w:sz w:val="21"/>
          <w:szCs w:val="21"/>
          <w:highlight w:val="none"/>
        </w:rPr>
        <w:t>技术评分和商务评分之和</w:t>
      </w:r>
      <w:r>
        <w:rPr>
          <w:color w:val="auto"/>
          <w:sz w:val="21"/>
          <w:szCs w:val="21"/>
          <w:highlight w:val="none"/>
        </w:rPr>
        <w:t>)</w:t>
      </w:r>
      <w:r>
        <w:rPr>
          <w:rFonts w:hint="eastAsia" w:cs="宋体"/>
          <w:color w:val="auto"/>
          <w:sz w:val="21"/>
          <w:szCs w:val="21"/>
          <w:highlight w:val="none"/>
        </w:rPr>
        <w:t>由高到低的顺序推荐中标候选人经初步评审有效投标人少于三家时，因有效投标不足三个使得投标明显缺乏竞争的，评标委员会可以否决全部投标；评标委员会认为仍可以满足招标要求且具有竞争性，评标委员会可以对各投标文件进行综合评议后推荐中标候选人</w:t>
      </w:r>
      <w:r>
        <w:rPr>
          <w:rFonts w:hint="eastAsia" w:cs="宋体"/>
          <w:color w:val="auto"/>
          <w:sz w:val="21"/>
          <w:szCs w:val="21"/>
          <w:highlight w:val="none"/>
          <w:lang w:eastAsia="zh-CN"/>
        </w:rPr>
        <w:t>。</w:t>
      </w:r>
    </w:p>
    <w:p w14:paraId="5240E3CE">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667" w:name="_Toc300835011"/>
      <w:bookmarkStart w:id="668" w:name="_Toc152045601"/>
      <w:bookmarkStart w:id="669" w:name="_Toc144974568"/>
      <w:bookmarkStart w:id="670" w:name="_Toc152042378"/>
      <w:bookmarkStart w:id="671" w:name="_Toc21046"/>
      <w:bookmarkStart w:id="672" w:name="_Toc8442"/>
      <w:bookmarkStart w:id="673" w:name="_Toc247514025"/>
      <w:bookmarkStart w:id="674" w:name="_Toc247527626"/>
      <w:bookmarkStart w:id="675" w:name="_Toc9521_WPSOffice_Level2"/>
      <w:bookmarkStart w:id="676" w:name="_Toc11301"/>
      <w:bookmarkStart w:id="677" w:name="_Toc45896691"/>
      <w:bookmarkStart w:id="678" w:name="_Toc9333_WPSOffice_Level2"/>
      <w:bookmarkStart w:id="679" w:name="_Toc45896988"/>
      <w:r>
        <w:rPr>
          <w:rFonts w:hint="eastAsia" w:ascii="宋体" w:hAnsi="宋体" w:eastAsia="宋体" w:cs="宋体"/>
          <w:color w:val="auto"/>
          <w:sz w:val="21"/>
          <w:szCs w:val="21"/>
          <w:highlight w:val="none"/>
        </w:rPr>
        <w:t>2.</w:t>
      </w:r>
      <w:bookmarkEnd w:id="667"/>
      <w:bookmarkEnd w:id="668"/>
      <w:bookmarkEnd w:id="669"/>
      <w:bookmarkEnd w:id="670"/>
      <w:bookmarkEnd w:id="671"/>
      <w:bookmarkEnd w:id="672"/>
      <w:bookmarkEnd w:id="673"/>
      <w:bookmarkEnd w:id="674"/>
      <w:r>
        <w:rPr>
          <w:rFonts w:hint="eastAsia" w:ascii="宋体" w:hAnsi="宋体" w:eastAsia="宋体" w:cs="宋体"/>
          <w:color w:val="auto"/>
          <w:sz w:val="21"/>
          <w:szCs w:val="21"/>
          <w:highlight w:val="none"/>
        </w:rPr>
        <w:t>评标机构</w:t>
      </w:r>
      <w:bookmarkEnd w:id="675"/>
      <w:bookmarkEnd w:id="676"/>
      <w:bookmarkEnd w:id="677"/>
      <w:bookmarkEnd w:id="678"/>
      <w:bookmarkEnd w:id="679"/>
    </w:p>
    <w:p w14:paraId="6FB0A941">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bookmarkStart w:id="680" w:name="_Toc8273"/>
      <w:bookmarkStart w:id="681" w:name="_Toc45896692"/>
      <w:bookmarkStart w:id="682" w:name="_Toc45896989"/>
      <w:bookmarkStart w:id="683" w:name="_Toc247527629"/>
      <w:bookmarkStart w:id="684" w:name="_Toc300835014"/>
      <w:bookmarkStart w:id="685" w:name="_Toc25891"/>
      <w:bookmarkStart w:id="686" w:name="_Toc247514028"/>
      <w:bookmarkStart w:id="687" w:name="_Toc152042381"/>
      <w:bookmarkStart w:id="688" w:name="_Toc21943"/>
      <w:bookmarkStart w:id="689" w:name="_Toc144974571"/>
      <w:bookmarkStart w:id="690" w:name="_Toc152045604"/>
      <w:r>
        <w:rPr>
          <w:rFonts w:hint="eastAsia" w:ascii="宋体" w:hAnsi="宋体" w:cs="宋体"/>
          <w:color w:val="auto"/>
          <w:sz w:val="21"/>
          <w:szCs w:val="21"/>
          <w:highlight w:val="none"/>
          <w:lang w:val="en-US" w:eastAsia="zh-CN"/>
        </w:rPr>
        <w:t>评标活动由招标人依法组建的评标委员会负责，评标专家从专家库中随机抽取，业主评委由业主选派参加。</w:t>
      </w:r>
      <w:bookmarkEnd w:id="680"/>
      <w:bookmarkEnd w:id="681"/>
      <w:bookmarkEnd w:id="682"/>
    </w:p>
    <w:p w14:paraId="49DFC323">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691" w:name="_Toc45896693"/>
      <w:bookmarkStart w:id="692" w:name="_Toc28764_WPSOffice_Level2"/>
      <w:bookmarkStart w:id="693" w:name="_Toc14310"/>
      <w:bookmarkStart w:id="694" w:name="_Toc18266_WPSOffice_Level2"/>
      <w:bookmarkStart w:id="695" w:name="_Toc45896990"/>
      <w:r>
        <w:rPr>
          <w:rFonts w:hint="eastAsia" w:ascii="宋体" w:hAnsi="宋体" w:eastAsia="宋体" w:cs="宋体"/>
          <w:color w:val="auto"/>
          <w:sz w:val="21"/>
          <w:szCs w:val="21"/>
          <w:highlight w:val="none"/>
        </w:rPr>
        <w:t>3.</w:t>
      </w:r>
      <w:bookmarkEnd w:id="683"/>
      <w:bookmarkEnd w:id="684"/>
      <w:bookmarkEnd w:id="685"/>
      <w:bookmarkEnd w:id="686"/>
      <w:bookmarkEnd w:id="687"/>
      <w:bookmarkEnd w:id="688"/>
      <w:bookmarkEnd w:id="689"/>
      <w:bookmarkEnd w:id="690"/>
      <w:r>
        <w:rPr>
          <w:rFonts w:hint="eastAsia" w:ascii="宋体" w:hAnsi="宋体" w:eastAsia="宋体" w:cs="宋体"/>
          <w:color w:val="auto"/>
          <w:sz w:val="21"/>
          <w:szCs w:val="21"/>
          <w:highlight w:val="none"/>
        </w:rPr>
        <w:t>评标纪律</w:t>
      </w:r>
      <w:bookmarkEnd w:id="691"/>
      <w:bookmarkEnd w:id="692"/>
      <w:bookmarkEnd w:id="693"/>
      <w:bookmarkEnd w:id="694"/>
      <w:bookmarkEnd w:id="695"/>
    </w:p>
    <w:p w14:paraId="35EB157F">
      <w:pPr>
        <w:pageBreakBefore w:val="0"/>
        <w:widowControl w:val="0"/>
        <w:kinsoku/>
        <w:wordWrap/>
        <w:overflowPunct/>
        <w:topLinePunct w:val="0"/>
        <w:autoSpaceDE/>
        <w:autoSpaceDN/>
        <w:bidi w:val="0"/>
        <w:adjustRightInd/>
        <w:snapToGrid/>
        <w:spacing w:line="360" w:lineRule="auto"/>
        <w:ind w:firstLine="420" w:firstLineChars="200"/>
        <w:textAlignment w:val="auto"/>
        <w:rPr>
          <w:rFonts w:cs="Times New Roman"/>
          <w:color w:val="auto"/>
          <w:sz w:val="21"/>
          <w:szCs w:val="21"/>
          <w:highlight w:val="none"/>
        </w:rPr>
      </w:pPr>
      <w:r>
        <w:rPr>
          <w:rFonts w:hint="eastAsia" w:ascii="宋体" w:hAnsi="宋体" w:cs="宋体"/>
          <w:color w:val="auto"/>
          <w:sz w:val="21"/>
          <w:szCs w:val="21"/>
          <w:highlight w:val="none"/>
        </w:rPr>
        <w:t>评标活动应遵循“公平、公正、科学、择优”的原则，评标委员会应按照“分类评审（初步评审）→独立打分（技术评审）→商务评审”原则、评审流程和顺序，在上一评审步骤未结束之前不得进行下一步骤的评审。评标委员会成员应严格自律，自觉接受有关部门的监督。任何单位和个人不得非法干预或者影响评标过程和结果。评标委员会成员应当客观、公正地履行职责，遵守职业道德，对所提出的评标意见承担责任。评标过程中，不允许任何人把投标文件及其评标相关资料带出评标会场，评标结束后应如数交还。</w:t>
      </w:r>
    </w:p>
    <w:p w14:paraId="4C2C80D9">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696" w:name="_Toc1281_WPSOffice_Level2"/>
      <w:bookmarkStart w:id="697" w:name="_Toc45896991"/>
      <w:bookmarkStart w:id="698" w:name="_Toc7883"/>
      <w:bookmarkStart w:id="699" w:name="_Toc26148_WPSOffice_Level2"/>
      <w:bookmarkStart w:id="700" w:name="_Toc45896694"/>
      <w:r>
        <w:rPr>
          <w:rFonts w:hint="eastAsia" w:ascii="宋体" w:hAnsi="宋体" w:eastAsia="宋体" w:cs="宋体"/>
          <w:color w:val="auto"/>
          <w:sz w:val="21"/>
          <w:szCs w:val="21"/>
          <w:highlight w:val="none"/>
        </w:rPr>
        <w:t>4.评标程序</w:t>
      </w:r>
      <w:bookmarkEnd w:id="696"/>
      <w:bookmarkEnd w:id="697"/>
      <w:bookmarkEnd w:id="698"/>
      <w:bookmarkEnd w:id="699"/>
      <w:bookmarkEnd w:id="700"/>
    </w:p>
    <w:p w14:paraId="2022513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评标委员会应按照《评标委员会和评标方法暂行规定》（国家发展改革委等九部委令[2013]第23号）等规章、规范文件规定进行评标工作，评标的程序为：</w:t>
      </w:r>
    </w:p>
    <w:p w14:paraId="24F4161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（一）初步评审；</w:t>
      </w:r>
    </w:p>
    <w:p w14:paraId="2C0053C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（二）详细评审；</w:t>
      </w:r>
    </w:p>
    <w:p w14:paraId="02FE209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（三）提交评标报告。</w:t>
      </w:r>
    </w:p>
    <w:p w14:paraId="4DCE541E">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701" w:name="_Toc45896695"/>
      <w:bookmarkStart w:id="702" w:name="_Toc1172_WPSOffice_Level2"/>
      <w:bookmarkStart w:id="703" w:name="_Toc45896992"/>
      <w:bookmarkStart w:id="704" w:name="_Toc867"/>
      <w:bookmarkStart w:id="705" w:name="_Toc6772_WPSOffice_Level2"/>
      <w:bookmarkStart w:id="706" w:name="_Toc247527634"/>
      <w:bookmarkStart w:id="707" w:name="_Toc446574543"/>
      <w:bookmarkStart w:id="708" w:name="_Toc152045609"/>
      <w:bookmarkStart w:id="709" w:name="_Toc152042387"/>
      <w:bookmarkStart w:id="710" w:name="_Toc144974577"/>
      <w:bookmarkStart w:id="711" w:name="_Toc247514033"/>
      <w:r>
        <w:rPr>
          <w:rFonts w:hint="eastAsia" w:ascii="宋体" w:hAnsi="宋体" w:eastAsia="宋体" w:cs="宋体"/>
          <w:color w:val="auto"/>
          <w:sz w:val="21"/>
          <w:szCs w:val="21"/>
          <w:highlight w:val="none"/>
        </w:rPr>
        <w:t>5.初步评审</w:t>
      </w:r>
      <w:bookmarkEnd w:id="701"/>
      <w:bookmarkEnd w:id="702"/>
      <w:bookmarkEnd w:id="703"/>
      <w:bookmarkEnd w:id="704"/>
      <w:bookmarkEnd w:id="705"/>
    </w:p>
    <w:p w14:paraId="404B7E7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rPr>
      </w:pPr>
      <w:bookmarkStart w:id="712" w:name="_Toc45896696"/>
      <w:bookmarkStart w:id="713" w:name="_Toc45896993"/>
      <w:bookmarkStart w:id="714" w:name="_Toc25395"/>
      <w:r>
        <w:rPr>
          <w:rFonts w:hint="eastAsia" w:ascii="宋体" w:hAnsi="宋体" w:cs="宋体"/>
          <w:color w:val="auto"/>
          <w:sz w:val="21"/>
          <w:szCs w:val="21"/>
          <w:highlight w:val="none"/>
          <w:lang w:val="en-US" w:eastAsia="zh-CN"/>
        </w:rPr>
        <w:t>对所有投标人的投标文件进行初步评审。如出现下列任何一种情况，投标文件初步评审不通过，不进入详细评审：初步评审审因素及标准：详见评标办法前附表。</w:t>
      </w:r>
      <w:bookmarkEnd w:id="712"/>
      <w:bookmarkEnd w:id="713"/>
      <w:bookmarkEnd w:id="714"/>
    </w:p>
    <w:p w14:paraId="36528D9E">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715" w:name="_Toc29628_WPSOffice_Level2"/>
      <w:bookmarkStart w:id="716" w:name="_Toc29493_WPSOffice_Level2"/>
      <w:bookmarkStart w:id="717" w:name="_Toc45896994"/>
      <w:bookmarkStart w:id="718" w:name="_Toc45896697"/>
      <w:bookmarkStart w:id="719" w:name="_Toc20135"/>
      <w:r>
        <w:rPr>
          <w:rFonts w:hint="eastAsia" w:ascii="宋体" w:hAnsi="宋体" w:eastAsia="宋体" w:cs="宋体"/>
          <w:color w:val="auto"/>
          <w:sz w:val="21"/>
          <w:szCs w:val="21"/>
          <w:highlight w:val="none"/>
        </w:rPr>
        <w:t>6.详细评审</w:t>
      </w:r>
      <w:bookmarkEnd w:id="715"/>
      <w:bookmarkEnd w:id="716"/>
      <w:bookmarkEnd w:id="717"/>
      <w:bookmarkEnd w:id="718"/>
      <w:bookmarkEnd w:id="719"/>
    </w:p>
    <w:p w14:paraId="7A73CDB7">
      <w:pPr>
        <w:pageBreakBefore w:val="0"/>
        <w:widowControl w:val="0"/>
        <w:kinsoku/>
        <w:wordWrap/>
        <w:overflowPunct/>
        <w:topLinePunct w:val="0"/>
        <w:autoSpaceDE/>
        <w:autoSpaceDN/>
        <w:bidi w:val="0"/>
        <w:adjustRightInd/>
        <w:snapToGrid/>
        <w:spacing w:line="360" w:lineRule="auto"/>
        <w:ind w:firstLine="357" w:firstLineChars="170"/>
        <w:textAlignment w:val="auto"/>
        <w:rPr>
          <w:rFonts w:ascii="宋体" w:cs="Times New Roman"/>
          <w:color w:val="auto"/>
          <w:spacing w:val="-5"/>
          <w:sz w:val="21"/>
          <w:szCs w:val="21"/>
          <w:highlight w:val="none"/>
        </w:rPr>
      </w:pPr>
      <w:r>
        <w:rPr>
          <w:rFonts w:hint="eastAsia" w:ascii="宋体" w:hAnsi="宋体" w:cs="宋体"/>
          <w:color w:val="auto"/>
          <w:sz w:val="21"/>
          <w:szCs w:val="21"/>
          <w:highlight w:val="none"/>
        </w:rPr>
        <w:t>评标委员会对通过初步评审的投标文件进行详细评审并评分（先技术评审后商务评审）。</w:t>
      </w:r>
      <w:r>
        <w:rPr>
          <w:rFonts w:ascii="宋体" w:hAnsi="宋体" w:cs="宋体"/>
          <w:color w:val="auto"/>
          <w:spacing w:val="-5"/>
          <w:sz w:val="21"/>
          <w:szCs w:val="21"/>
          <w:highlight w:val="none"/>
        </w:rPr>
        <w:t xml:space="preserve"> </w:t>
      </w:r>
    </w:p>
    <w:p w14:paraId="6EB6DC6C">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21"/>
          <w:szCs w:val="21"/>
          <w:highlight w:val="none"/>
        </w:rPr>
      </w:pPr>
      <w:bookmarkStart w:id="720" w:name="_Toc3005_WPSOffice_Level2"/>
      <w:bookmarkStart w:id="721" w:name="_Toc4237"/>
      <w:bookmarkStart w:id="722" w:name="_Toc532937487"/>
      <w:bookmarkStart w:id="723" w:name="_Toc23319_WPSOffice_Level2"/>
      <w:bookmarkStart w:id="724" w:name="_Toc45896698"/>
      <w:bookmarkStart w:id="725" w:name="_Toc45896995"/>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评委评标细则</w:t>
      </w:r>
      <w:bookmarkEnd w:id="720"/>
      <w:bookmarkEnd w:id="721"/>
      <w:bookmarkEnd w:id="722"/>
      <w:bookmarkEnd w:id="723"/>
      <w:bookmarkEnd w:id="724"/>
      <w:bookmarkEnd w:id="725"/>
    </w:p>
    <w:p w14:paraId="335BD53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（一）评标委员会成员应按招标文件的要求，认真审查、评审各投标人的投标文件，并写出书面审查和评审意见。</w:t>
      </w:r>
    </w:p>
    <w:p w14:paraId="596B104E">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（二）评标委员会各成员应自主评分，并签字确认。</w:t>
      </w:r>
    </w:p>
    <w:p w14:paraId="0A96DAB1">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（三）评标中若遇特殊问题，由评标委员会根据有关法律、法规、规定研究决定。</w:t>
      </w:r>
    </w:p>
    <w:p w14:paraId="664B7F2A">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评标委员会完成评标后，应当向招标人提出书面评标报告，并抄送有关行政监督部门。评标委员会的评标报告应由评标委员会全体成员签字。对评标结论有异议的评标委员会成员可以书面方式阐述其不同意见和理由。评标委员会成员拒绝在评标报告上签字且不以书面阐述其不同意见和理由的，视为同意评标结论。评标委员会应当对此作出书面说明并记录在案。</w:t>
      </w:r>
    </w:p>
    <w:p w14:paraId="25E77FC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(五) 本次评标应先评技术标后评商务标，最终得分为技术部分得分与商务部分得分之和，按照最终得分由高到低的顺序推荐中标候选人，经初步评审有效投标人少于三家时，因有效投标不足三个使得投标明显缺乏竞争的，评标委员会可以否决全部投标；评标委员会认为仍可以满足招标要求且具有竞争性，评标委员会可以对各投标文件进行综合评议后推荐中标候选人。最终得分最高的投标人推荐为第一中标候选人，</w:t>
      </w:r>
      <w:r>
        <w:rPr>
          <w:rFonts w:hint="eastAsia" w:ascii="宋体" w:hAnsi="宋体" w:cs="宋体"/>
          <w:color w:val="auto"/>
          <w:sz w:val="21"/>
          <w:szCs w:val="21"/>
          <w:highlight w:val="none"/>
          <w:lang w:val="zh-CN" w:eastAsia="zh-CN"/>
        </w:rPr>
        <w:t>若详细评审得分相同时，推荐中标候选人的顺序按商务部分评审得分的高低进行排列；若商务部分评审得分也相同时，推荐中标候选人的顺序按技术部分评审得分的高低进行排列；若技术部分评审得分也相同时，推荐中标候选人的顺序由评标委员会不记名投票确定。</w:t>
      </w:r>
    </w:p>
    <w:p w14:paraId="1781153D">
      <w:pPr>
        <w:pageBreakBefore w:val="0"/>
        <w:widowControl w:val="0"/>
        <w:kinsoku/>
        <w:wordWrap/>
        <w:overflowPunct/>
        <w:topLinePunct w:val="0"/>
        <w:autoSpaceDE/>
        <w:autoSpaceDN/>
        <w:bidi w:val="0"/>
        <w:adjustRightInd/>
        <w:snapToGrid/>
        <w:spacing w:line="360" w:lineRule="auto"/>
        <w:textAlignment w:val="auto"/>
        <w:rPr>
          <w:rFonts w:hint="eastAsia" w:ascii="黑体" w:eastAsia="黑体" w:cs="黑体"/>
          <w:color w:val="auto"/>
          <w:kern w:val="0"/>
          <w:sz w:val="21"/>
          <w:szCs w:val="21"/>
          <w:highlight w:val="none"/>
        </w:rPr>
      </w:pPr>
      <w:bookmarkStart w:id="726" w:name="_Toc4179_WPSOffice_Level2"/>
      <w:bookmarkStart w:id="727" w:name="_Toc15771_WPSOffice_Level2"/>
      <w:bookmarkStart w:id="728" w:name="_Toc3908"/>
      <w:bookmarkStart w:id="729" w:name="_Toc45896699"/>
      <w:bookmarkStart w:id="730" w:name="_Toc45896996"/>
      <w:bookmarkStart w:id="731" w:name="_Toc12738"/>
      <w:r>
        <w:rPr>
          <w:rFonts w:hint="eastAsia" w:ascii="黑体" w:eastAsia="黑体" w:cs="黑体"/>
          <w:color w:val="auto"/>
          <w:kern w:val="0"/>
          <w:sz w:val="21"/>
          <w:szCs w:val="21"/>
          <w:highlight w:val="none"/>
        </w:rPr>
        <w:br w:type="page"/>
      </w:r>
    </w:p>
    <w:p w14:paraId="4FC18440">
      <w:pPr>
        <w:pStyle w:val="3"/>
        <w:spacing w:line="240" w:lineRule="auto"/>
        <w:jc w:val="center"/>
        <w:rPr>
          <w:rFonts w:ascii="黑体" w:eastAsia="黑体" w:cs="Times New Roman"/>
          <w:color w:val="auto"/>
          <w:kern w:val="0"/>
          <w:sz w:val="28"/>
          <w:szCs w:val="28"/>
          <w:highlight w:val="none"/>
        </w:rPr>
      </w:pPr>
      <w:r>
        <w:rPr>
          <w:rFonts w:hint="eastAsia" w:ascii="黑体" w:eastAsia="黑体" w:cs="黑体"/>
          <w:color w:val="auto"/>
          <w:kern w:val="0"/>
          <w:sz w:val="28"/>
          <w:szCs w:val="28"/>
          <w:highlight w:val="none"/>
        </w:rPr>
        <w:t>附件</w:t>
      </w:r>
      <w:r>
        <w:rPr>
          <w:rFonts w:ascii="黑体" w:eastAsia="黑体" w:cs="黑体"/>
          <w:color w:val="auto"/>
          <w:kern w:val="0"/>
          <w:sz w:val="28"/>
          <w:szCs w:val="28"/>
          <w:highlight w:val="none"/>
        </w:rPr>
        <w:t>A</w:t>
      </w:r>
      <w:r>
        <w:rPr>
          <w:rFonts w:hint="eastAsia" w:ascii="黑体" w:eastAsia="黑体" w:cs="黑体"/>
          <w:color w:val="auto"/>
          <w:kern w:val="0"/>
          <w:sz w:val="28"/>
          <w:szCs w:val="28"/>
          <w:highlight w:val="none"/>
        </w:rPr>
        <w:t>：评标详细程序</w:t>
      </w:r>
      <w:bookmarkEnd w:id="726"/>
      <w:bookmarkEnd w:id="727"/>
      <w:bookmarkEnd w:id="728"/>
      <w:bookmarkEnd w:id="729"/>
      <w:bookmarkEnd w:id="730"/>
    </w:p>
    <w:p w14:paraId="4B0FC5A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A0.</w:t>
      </w:r>
      <w:r>
        <w:rPr>
          <w:rFonts w:hint="eastAsia" w:ascii="黑体" w:eastAsia="黑体" w:cs="黑体"/>
          <w:color w:val="auto"/>
          <w:kern w:val="0"/>
          <w:sz w:val="21"/>
          <w:szCs w:val="21"/>
          <w:highlight w:val="none"/>
        </w:rPr>
        <w:t>总</w:t>
      </w:r>
      <w:r>
        <w:rPr>
          <w:rFonts w:ascii="黑体" w:eastAsia="黑体" w:cs="黑体"/>
          <w:color w:val="auto"/>
          <w:kern w:val="0"/>
          <w:sz w:val="21"/>
          <w:szCs w:val="21"/>
          <w:highlight w:val="none"/>
        </w:rPr>
        <w:t xml:space="preserve">  </w:t>
      </w:r>
      <w:r>
        <w:rPr>
          <w:rFonts w:hint="eastAsia" w:ascii="黑体" w:eastAsia="黑体" w:cs="黑体"/>
          <w:color w:val="auto"/>
          <w:kern w:val="0"/>
          <w:sz w:val="21"/>
          <w:szCs w:val="21"/>
          <w:highlight w:val="none"/>
        </w:rPr>
        <w:t>则</w:t>
      </w:r>
    </w:p>
    <w:p w14:paraId="7ED67E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本附件是本章“评标办法”的组成部分，评标委员会应当按照本附件所规定的详细程序开展并完成评标工作。</w:t>
      </w:r>
    </w:p>
    <w:p w14:paraId="4B114C2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A1.</w:t>
      </w:r>
      <w:r>
        <w:rPr>
          <w:rFonts w:hint="eastAsia" w:ascii="黑体" w:eastAsia="黑体" w:cs="黑体"/>
          <w:color w:val="auto"/>
          <w:kern w:val="0"/>
          <w:sz w:val="21"/>
          <w:szCs w:val="21"/>
          <w:highlight w:val="none"/>
        </w:rPr>
        <w:t>基本程序</w:t>
      </w:r>
    </w:p>
    <w:p w14:paraId="53B91A6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cs="宋体"/>
          <w:color w:val="auto"/>
          <w:kern w:val="0"/>
          <w:sz w:val="21"/>
          <w:szCs w:val="21"/>
          <w:highlight w:val="none"/>
        </w:rPr>
        <w:t>评标活动将按以下五个步骤进行：</w:t>
      </w:r>
    </w:p>
    <w:p w14:paraId="192392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评标准备；</w:t>
      </w:r>
    </w:p>
    <w:p w14:paraId="7323DCF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(2)</w:t>
      </w:r>
      <w:r>
        <w:rPr>
          <w:rFonts w:hint="eastAsia" w:ascii="宋体" w:hAnsi="宋体" w:cs="宋体"/>
          <w:color w:val="auto"/>
          <w:kern w:val="0"/>
          <w:sz w:val="21"/>
          <w:szCs w:val="21"/>
          <w:highlight w:val="none"/>
        </w:rPr>
        <w:t>初步评审；</w:t>
      </w:r>
    </w:p>
    <w:p w14:paraId="4791A87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(3)</w:t>
      </w:r>
      <w:r>
        <w:rPr>
          <w:rFonts w:hint="eastAsia" w:ascii="宋体" w:hAnsi="宋体" w:cs="宋体"/>
          <w:color w:val="auto"/>
          <w:kern w:val="0"/>
          <w:sz w:val="21"/>
          <w:szCs w:val="21"/>
          <w:highlight w:val="none"/>
        </w:rPr>
        <w:t>详细评审；</w:t>
      </w:r>
    </w:p>
    <w:p w14:paraId="263378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(4)</w:t>
      </w:r>
      <w:r>
        <w:rPr>
          <w:rFonts w:hint="eastAsia" w:ascii="宋体" w:hAnsi="宋体" w:cs="宋体"/>
          <w:color w:val="auto"/>
          <w:kern w:val="0"/>
          <w:sz w:val="21"/>
          <w:szCs w:val="21"/>
          <w:highlight w:val="none"/>
        </w:rPr>
        <w:t>澄清、说明或补正；</w:t>
      </w:r>
    </w:p>
    <w:p w14:paraId="6C761AC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(5)</w:t>
      </w:r>
      <w:r>
        <w:rPr>
          <w:rFonts w:hint="eastAsia" w:ascii="宋体" w:hAnsi="宋体" w:cs="宋体"/>
          <w:color w:val="auto"/>
          <w:kern w:val="0"/>
          <w:sz w:val="21"/>
          <w:szCs w:val="21"/>
          <w:highlight w:val="none"/>
        </w:rPr>
        <w:t>推荐中标候选人或者直接确定中标人及提交评标报告。</w:t>
      </w:r>
    </w:p>
    <w:p w14:paraId="755C878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A2.</w:t>
      </w:r>
      <w:r>
        <w:rPr>
          <w:rFonts w:hint="eastAsia" w:ascii="黑体" w:eastAsia="黑体" w:cs="黑体"/>
          <w:color w:val="auto"/>
          <w:kern w:val="0"/>
          <w:sz w:val="21"/>
          <w:szCs w:val="21"/>
          <w:highlight w:val="none"/>
        </w:rPr>
        <w:t>评标准备</w:t>
      </w:r>
    </w:p>
    <w:p w14:paraId="7C92330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A2.1</w:t>
      </w:r>
      <w:r>
        <w:rPr>
          <w:rFonts w:hint="eastAsia" w:ascii="黑体" w:hAnsi="黑体" w:eastAsia="黑体" w:cs="黑体"/>
          <w:color w:val="auto"/>
          <w:kern w:val="0"/>
          <w:sz w:val="21"/>
          <w:szCs w:val="21"/>
          <w:highlight w:val="none"/>
        </w:rPr>
        <w:t>评标委员会成员签到</w:t>
      </w:r>
    </w:p>
    <w:p w14:paraId="745ABB4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cs="宋体"/>
          <w:color w:val="auto"/>
          <w:kern w:val="0"/>
          <w:sz w:val="21"/>
          <w:szCs w:val="21"/>
          <w:highlight w:val="none"/>
        </w:rPr>
        <w:t>评标委员会成员到达评标现场签到并组建评标委员会。</w:t>
      </w:r>
    </w:p>
    <w:p w14:paraId="76BD025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A2.2</w:t>
      </w:r>
      <w:r>
        <w:rPr>
          <w:rFonts w:hint="eastAsia" w:ascii="黑体" w:hAnsi="黑体" w:eastAsia="黑体" w:cs="黑体"/>
          <w:color w:val="auto"/>
          <w:kern w:val="0"/>
          <w:sz w:val="21"/>
          <w:szCs w:val="21"/>
          <w:highlight w:val="none"/>
        </w:rPr>
        <w:t>评标委员会的分工</w:t>
      </w:r>
    </w:p>
    <w:p w14:paraId="5840CC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cs="宋体"/>
          <w:color w:val="auto"/>
          <w:kern w:val="0"/>
          <w:sz w:val="21"/>
          <w:szCs w:val="21"/>
          <w:highlight w:val="none"/>
        </w:rPr>
        <w:t>评标委员会成员推选一名评标委员会主任，负责评标活动的组织领导工作。评标委员会主任在与其他评标委员会成员协商的基础上，可以将评标委员会划分为技术组和商务组。</w:t>
      </w:r>
    </w:p>
    <w:p w14:paraId="07DB34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A2.3</w:t>
      </w:r>
      <w:r>
        <w:rPr>
          <w:rFonts w:hint="eastAsia" w:ascii="黑体" w:hAnsi="黑体" w:eastAsia="黑体" w:cs="黑体"/>
          <w:color w:val="auto"/>
          <w:kern w:val="0"/>
          <w:sz w:val="21"/>
          <w:szCs w:val="21"/>
          <w:highlight w:val="none"/>
        </w:rPr>
        <w:t>熟悉文件资料</w:t>
      </w:r>
    </w:p>
    <w:p w14:paraId="005F968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A2.3.1</w:t>
      </w:r>
      <w:r>
        <w:rPr>
          <w:rFonts w:hint="eastAsia" w:ascii="宋体" w:cs="宋体"/>
          <w:color w:val="auto"/>
          <w:kern w:val="0"/>
          <w:sz w:val="21"/>
          <w:szCs w:val="21"/>
          <w:highlight w:val="none"/>
        </w:rPr>
        <w:t>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5FEB4E5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A2.3.2</w:t>
      </w:r>
      <w:r>
        <w:rPr>
          <w:rFonts w:hint="eastAsia" w:ascii="宋体" w:hAnsi="宋体" w:cs="宋体"/>
          <w:color w:val="auto"/>
          <w:kern w:val="0"/>
          <w:sz w:val="21"/>
          <w:szCs w:val="21"/>
          <w:highlight w:val="none"/>
        </w:rPr>
        <w:t>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法律、法规、规章、国家标准以及招标人或评标委员会认为必要的其他信息和数据。</w:t>
      </w:r>
    </w:p>
    <w:p w14:paraId="1CD7AF9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A2.4</w:t>
      </w:r>
      <w:r>
        <w:rPr>
          <w:rFonts w:hint="eastAsia" w:ascii="黑体" w:hAnsi="黑体" w:eastAsia="黑体" w:cs="黑体"/>
          <w:color w:val="auto"/>
          <w:kern w:val="0"/>
          <w:sz w:val="21"/>
          <w:szCs w:val="21"/>
          <w:highlight w:val="none"/>
        </w:rPr>
        <w:t>对投标文件进行基础性数据分析和整理工作（清标）</w:t>
      </w:r>
    </w:p>
    <w:p w14:paraId="6F79705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在不改变投标人投标文件实质性内容的前提下，评标委员会应当对投标文件进行基础性数据分析和整理（简称为“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14:paraId="73DED2A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w:t>
      </w:r>
      <w:r>
        <w:rPr>
          <w:rFonts w:hint="eastAsia" w:ascii="黑体" w:hAnsi="黑体" w:eastAsia="黑体" w:cs="黑体"/>
          <w:color w:val="auto"/>
          <w:kern w:val="0"/>
          <w:sz w:val="21"/>
          <w:szCs w:val="21"/>
          <w:highlight w:val="none"/>
        </w:rPr>
        <w:t>初步评审</w:t>
      </w:r>
    </w:p>
    <w:p w14:paraId="3B661E3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sz w:val="21"/>
          <w:szCs w:val="21"/>
          <w:highlight w:val="none"/>
        </w:rPr>
      </w:pPr>
      <w:r>
        <w:rPr>
          <w:rFonts w:hint="eastAsia" w:ascii="宋体" w:hAnsi="宋体" w:cs="宋体"/>
          <w:color w:val="auto"/>
          <w:sz w:val="21"/>
          <w:szCs w:val="21"/>
          <w:highlight w:val="none"/>
        </w:rPr>
        <w:t>评标委员会依据本章第</w:t>
      </w:r>
      <w:r>
        <w:rPr>
          <w:rFonts w:ascii="宋体" w:hAnsi="宋体" w:cs="宋体"/>
          <w:color w:val="auto"/>
          <w:sz w:val="21"/>
          <w:szCs w:val="21"/>
          <w:highlight w:val="none"/>
        </w:rPr>
        <w:t xml:space="preserve">2.1.1 </w:t>
      </w:r>
      <w:r>
        <w:rPr>
          <w:rFonts w:hint="eastAsia" w:ascii="宋体" w:hAnsi="宋体" w:cs="宋体"/>
          <w:color w:val="auto"/>
          <w:sz w:val="21"/>
          <w:szCs w:val="21"/>
          <w:highlight w:val="none"/>
        </w:rPr>
        <w:t>项；第</w:t>
      </w:r>
      <w:r>
        <w:rPr>
          <w:rFonts w:ascii="宋体" w:hAnsi="宋体" w:cs="宋体"/>
          <w:color w:val="auto"/>
          <w:sz w:val="21"/>
          <w:szCs w:val="21"/>
          <w:highlight w:val="none"/>
        </w:rPr>
        <w:t>2.1.2</w:t>
      </w:r>
      <w:r>
        <w:rPr>
          <w:rFonts w:hint="eastAsia" w:ascii="宋体" w:hAnsi="宋体" w:cs="宋体"/>
          <w:color w:val="auto"/>
          <w:sz w:val="21"/>
          <w:szCs w:val="21"/>
          <w:highlight w:val="none"/>
        </w:rPr>
        <w:t>项；第</w:t>
      </w:r>
      <w:r>
        <w:rPr>
          <w:rFonts w:ascii="宋体" w:hAnsi="宋体" w:cs="宋体"/>
          <w:color w:val="auto"/>
          <w:sz w:val="21"/>
          <w:szCs w:val="21"/>
          <w:highlight w:val="none"/>
        </w:rPr>
        <w:t xml:space="preserve">2.1.3 </w:t>
      </w:r>
      <w:r>
        <w:rPr>
          <w:rFonts w:hint="eastAsia" w:ascii="宋体" w:hAnsi="宋体" w:cs="宋体"/>
          <w:color w:val="auto"/>
          <w:sz w:val="21"/>
          <w:szCs w:val="21"/>
          <w:highlight w:val="none"/>
        </w:rPr>
        <w:t>项规定的评审标准对投标文件进行初步评审。评标委员会按照先进行形式评审，再进行资格审查，</w:t>
      </w:r>
      <w:r>
        <w:rPr>
          <w:rFonts w:hint="eastAsia" w:ascii="宋体" w:hAnsi="宋体" w:cs="宋体"/>
          <w:color w:val="auto"/>
          <w:sz w:val="21"/>
          <w:szCs w:val="21"/>
          <w:highlight w:val="none"/>
          <w:lang w:eastAsia="zh-CN"/>
        </w:rPr>
        <w:t>最</w:t>
      </w:r>
      <w:r>
        <w:rPr>
          <w:rFonts w:hint="eastAsia" w:ascii="宋体" w:hAnsi="宋体" w:cs="宋体"/>
          <w:color w:val="auto"/>
          <w:sz w:val="21"/>
          <w:szCs w:val="21"/>
          <w:highlight w:val="none"/>
        </w:rPr>
        <w:t>后进行响应性评审，先后顺序对投标文件进行初步评审。形式评审不通过的投标文件不进入资格审查，资格审查不通过的投标文件不进入响应性评审，响应性评审不通过的投标文件不进入</w:t>
      </w:r>
      <w:r>
        <w:rPr>
          <w:rFonts w:hint="eastAsia" w:ascii="宋体" w:hAnsi="宋体" w:cs="宋体"/>
          <w:color w:val="auto"/>
          <w:sz w:val="21"/>
          <w:szCs w:val="21"/>
          <w:highlight w:val="none"/>
          <w:lang w:eastAsia="zh-CN"/>
        </w:rPr>
        <w:t>详细</w:t>
      </w:r>
      <w:r>
        <w:rPr>
          <w:rFonts w:hint="eastAsia" w:ascii="宋体" w:hAnsi="宋体" w:cs="宋体"/>
          <w:color w:val="auto"/>
          <w:sz w:val="21"/>
          <w:szCs w:val="21"/>
          <w:highlight w:val="none"/>
        </w:rPr>
        <w:t>评审。只有形式评审、资格审查、响应性评审均通过的投标人才能进入详细评审。</w:t>
      </w:r>
    </w:p>
    <w:p w14:paraId="76DC44C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A3.1</w:t>
      </w:r>
      <w:r>
        <w:rPr>
          <w:rFonts w:hint="eastAsia" w:ascii="黑体" w:hAnsi="黑体" w:eastAsia="黑体" w:cs="黑体"/>
          <w:color w:val="auto"/>
          <w:kern w:val="0"/>
          <w:sz w:val="21"/>
          <w:szCs w:val="21"/>
          <w:highlight w:val="none"/>
        </w:rPr>
        <w:t>形式评审</w:t>
      </w:r>
    </w:p>
    <w:p w14:paraId="61109F7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hint="eastAsia" w:ascii="宋体" w:hAnsi="宋体" w:cs="宋体"/>
          <w:color w:val="auto"/>
          <w:sz w:val="21"/>
          <w:szCs w:val="21"/>
          <w:highlight w:val="none"/>
        </w:rPr>
        <w:t>评标委员会根据评标办法前附表中规定的评审因素和评审标准，对投标人的投标文件进行形式评审，形式评审不通过的投标文件不进入资格审查。</w:t>
      </w:r>
    </w:p>
    <w:p w14:paraId="3168EE6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A3.2</w:t>
      </w:r>
      <w:r>
        <w:rPr>
          <w:rFonts w:hint="eastAsia" w:ascii="黑体" w:hAnsi="黑体" w:eastAsia="黑体" w:cs="黑体"/>
          <w:color w:val="auto"/>
          <w:kern w:val="0"/>
          <w:sz w:val="21"/>
          <w:szCs w:val="21"/>
          <w:highlight w:val="none"/>
        </w:rPr>
        <w:t>资格审查</w:t>
      </w:r>
    </w:p>
    <w:p w14:paraId="61E6DFF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hint="eastAsia" w:ascii="宋体" w:hAnsi="宋体" w:cs="宋体"/>
          <w:color w:val="auto"/>
          <w:sz w:val="21"/>
          <w:szCs w:val="21"/>
          <w:highlight w:val="none"/>
        </w:rPr>
        <w:t>评标委员会根据评标办法前附表中规定的评审因素和评审标准，对投标人的投标文件首先进行资格审查，资格审查不通过的投标文件不进入响应性评审。</w:t>
      </w:r>
    </w:p>
    <w:p w14:paraId="44821A3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A3.3</w:t>
      </w:r>
      <w:r>
        <w:rPr>
          <w:rFonts w:hint="eastAsia" w:ascii="黑体" w:hAnsi="黑体" w:eastAsia="黑体" w:cs="黑体"/>
          <w:color w:val="auto"/>
          <w:kern w:val="0"/>
          <w:sz w:val="21"/>
          <w:szCs w:val="21"/>
          <w:highlight w:val="none"/>
        </w:rPr>
        <w:t>响应性评审</w:t>
      </w:r>
    </w:p>
    <w:p w14:paraId="308A1B8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hint="eastAsia" w:ascii="宋体" w:hAnsi="宋体" w:cs="宋体"/>
          <w:color w:val="auto"/>
          <w:sz w:val="21"/>
          <w:szCs w:val="21"/>
          <w:highlight w:val="none"/>
        </w:rPr>
        <w:t>评标委员会根据评标办法前附表中规定的评审因素和评审标准，对投标人的投标文件进行响应性评审，响应性不通过的投标文件不进入</w:t>
      </w:r>
      <w:r>
        <w:rPr>
          <w:rFonts w:hint="eastAsia" w:ascii="宋体" w:hAnsi="宋体" w:cs="宋体"/>
          <w:color w:val="auto"/>
          <w:sz w:val="21"/>
          <w:szCs w:val="21"/>
          <w:highlight w:val="none"/>
          <w:lang w:eastAsia="zh-CN"/>
        </w:rPr>
        <w:t>详细</w:t>
      </w:r>
      <w:r>
        <w:rPr>
          <w:rFonts w:hint="eastAsia" w:ascii="宋体" w:hAnsi="宋体" w:cs="宋体"/>
          <w:color w:val="auto"/>
          <w:sz w:val="21"/>
          <w:szCs w:val="21"/>
          <w:highlight w:val="none"/>
        </w:rPr>
        <w:t>评审。</w:t>
      </w:r>
    </w:p>
    <w:p w14:paraId="26F72C4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A3.4</w:t>
      </w:r>
      <w:r>
        <w:rPr>
          <w:rFonts w:hint="eastAsia" w:ascii="黑体" w:hAnsi="黑体" w:eastAsia="黑体" w:cs="黑体"/>
          <w:color w:val="auto"/>
          <w:kern w:val="0"/>
          <w:sz w:val="21"/>
          <w:szCs w:val="21"/>
          <w:highlight w:val="none"/>
        </w:rPr>
        <w:t>判断投标是否被否决</w:t>
      </w:r>
    </w:p>
    <w:p w14:paraId="68F08F0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ascii="宋体" w:hAnsi="宋体" w:cs="宋体"/>
          <w:color w:val="auto"/>
          <w:sz w:val="21"/>
          <w:szCs w:val="21"/>
          <w:highlight w:val="none"/>
        </w:rPr>
        <w:t xml:space="preserve">A3.4.1 </w:t>
      </w:r>
      <w:r>
        <w:rPr>
          <w:rFonts w:hint="eastAsia" w:ascii="宋体" w:hAnsi="宋体" w:cs="宋体"/>
          <w:color w:val="auto"/>
          <w:sz w:val="21"/>
          <w:szCs w:val="21"/>
          <w:highlight w:val="none"/>
        </w:rPr>
        <w:t>判断投标人的投标是否为否决投标的全部条件在</w:t>
      </w:r>
      <w:r>
        <w:rPr>
          <w:rFonts w:hint="eastAsia" w:ascii="宋体" w:hAnsi="宋体" w:cs="宋体"/>
          <w:b/>
          <w:bCs/>
          <w:color w:val="auto"/>
          <w:sz w:val="21"/>
          <w:szCs w:val="21"/>
          <w:highlight w:val="none"/>
        </w:rPr>
        <w:t>本章附件</w:t>
      </w:r>
      <w:r>
        <w:rPr>
          <w:rFonts w:ascii="宋体" w:hAnsi="宋体" w:cs="宋体"/>
          <w:b/>
          <w:bCs/>
          <w:color w:val="auto"/>
          <w:sz w:val="21"/>
          <w:szCs w:val="21"/>
          <w:highlight w:val="none"/>
        </w:rPr>
        <w:t>B</w:t>
      </w:r>
      <w:r>
        <w:rPr>
          <w:rFonts w:hint="eastAsia" w:ascii="宋体" w:hAnsi="宋体" w:cs="宋体"/>
          <w:color w:val="auto"/>
          <w:sz w:val="21"/>
          <w:szCs w:val="21"/>
          <w:highlight w:val="none"/>
        </w:rPr>
        <w:t>中集中列示。</w:t>
      </w:r>
    </w:p>
    <w:p w14:paraId="43760B8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ascii="宋体" w:hAnsi="宋体" w:cs="宋体"/>
          <w:color w:val="auto"/>
          <w:sz w:val="21"/>
          <w:szCs w:val="21"/>
          <w:highlight w:val="none"/>
        </w:rPr>
        <w:t>A3.4.2</w:t>
      </w:r>
      <w:r>
        <w:rPr>
          <w:rFonts w:hint="eastAsia" w:ascii="宋体" w:hAnsi="宋体" w:cs="宋体"/>
          <w:color w:val="auto"/>
          <w:sz w:val="21"/>
          <w:szCs w:val="21"/>
          <w:highlight w:val="none"/>
        </w:rPr>
        <w:t>评标委员会在评标</w:t>
      </w:r>
      <w:r>
        <w:rPr>
          <w:rFonts w:ascii="宋体" w:hAnsi="宋体" w:cs="宋体"/>
          <w:color w:val="auto"/>
          <w:sz w:val="21"/>
          <w:szCs w:val="21"/>
          <w:highlight w:val="none"/>
        </w:rPr>
        <w:t>(</w:t>
      </w:r>
      <w:r>
        <w:rPr>
          <w:rFonts w:hint="eastAsia" w:ascii="宋体" w:hAnsi="宋体" w:cs="宋体"/>
          <w:color w:val="auto"/>
          <w:sz w:val="21"/>
          <w:szCs w:val="21"/>
          <w:highlight w:val="none"/>
        </w:rPr>
        <w:t>包括初步评审和详细评审</w:t>
      </w:r>
      <w:r>
        <w:rPr>
          <w:rFonts w:ascii="宋体" w:hAnsi="宋体" w:cs="宋体"/>
          <w:color w:val="auto"/>
          <w:sz w:val="21"/>
          <w:szCs w:val="21"/>
          <w:highlight w:val="none"/>
        </w:rPr>
        <w:t>)</w:t>
      </w:r>
      <w:r>
        <w:rPr>
          <w:rFonts w:hint="eastAsia" w:ascii="宋体" w:hAnsi="宋体" w:cs="宋体"/>
          <w:color w:val="auto"/>
          <w:sz w:val="21"/>
          <w:szCs w:val="21"/>
          <w:highlight w:val="none"/>
        </w:rPr>
        <w:t>过程中，依据本章</w:t>
      </w:r>
      <w:r>
        <w:rPr>
          <w:rFonts w:hint="eastAsia" w:ascii="宋体" w:hAnsi="宋体" w:cs="宋体"/>
          <w:b/>
          <w:bCs/>
          <w:color w:val="auto"/>
          <w:sz w:val="21"/>
          <w:szCs w:val="21"/>
          <w:highlight w:val="none"/>
        </w:rPr>
        <w:t>附件</w:t>
      </w:r>
      <w:r>
        <w:rPr>
          <w:rFonts w:ascii="宋体" w:hAnsi="宋体" w:cs="宋体"/>
          <w:b/>
          <w:bCs/>
          <w:color w:val="auto"/>
          <w:sz w:val="21"/>
          <w:szCs w:val="21"/>
          <w:highlight w:val="none"/>
        </w:rPr>
        <w:t>B</w:t>
      </w:r>
      <w:r>
        <w:rPr>
          <w:rFonts w:hint="eastAsia" w:ascii="宋体" w:hAnsi="宋体" w:cs="宋体"/>
          <w:color w:val="auto"/>
          <w:sz w:val="21"/>
          <w:szCs w:val="21"/>
          <w:highlight w:val="none"/>
        </w:rPr>
        <w:t>中规定的否决投标条件判断投标人的投标是否被否决。</w:t>
      </w:r>
    </w:p>
    <w:p w14:paraId="5709EA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ascii="宋体" w:hAnsi="宋体" w:cs="宋体"/>
          <w:color w:val="auto"/>
          <w:sz w:val="21"/>
          <w:szCs w:val="21"/>
          <w:highlight w:val="none"/>
        </w:rPr>
        <w:t>A3.4.3</w:t>
      </w:r>
      <w:r>
        <w:rPr>
          <w:rFonts w:hint="eastAsia" w:ascii="宋体" w:hAnsi="宋体" w:cs="宋体"/>
          <w:color w:val="auto"/>
          <w:sz w:val="21"/>
          <w:szCs w:val="21"/>
          <w:highlight w:val="none"/>
        </w:rPr>
        <w:t>对投标人未通过评审的原因，评标委员会应在相关的决议或在评标报告中说明。评标委员会经评审，有效投标文件不足</w:t>
      </w:r>
      <w:r>
        <w:rPr>
          <w:rFonts w:ascii="宋体" w:hAnsi="宋体" w:cs="宋体"/>
          <w:color w:val="auto"/>
          <w:sz w:val="21"/>
          <w:szCs w:val="21"/>
          <w:highlight w:val="none"/>
        </w:rPr>
        <w:t>3</w:t>
      </w:r>
      <w:r>
        <w:rPr>
          <w:rFonts w:hint="eastAsia" w:ascii="宋体" w:hAnsi="宋体" w:cs="宋体"/>
          <w:color w:val="auto"/>
          <w:sz w:val="21"/>
          <w:szCs w:val="21"/>
          <w:highlight w:val="none"/>
        </w:rPr>
        <w:t>家使得投标明显缺乏竞争的，评标委员会可以否决全部投标。所有投标被否决后，招标人应当依法重新招标。当有效投标文件不足</w:t>
      </w:r>
      <w:r>
        <w:rPr>
          <w:rFonts w:ascii="宋体" w:hAnsi="宋体" w:cs="宋体"/>
          <w:color w:val="auto"/>
          <w:sz w:val="21"/>
          <w:szCs w:val="21"/>
          <w:highlight w:val="none"/>
        </w:rPr>
        <w:t>3</w:t>
      </w:r>
      <w:r>
        <w:rPr>
          <w:rFonts w:hint="eastAsia" w:ascii="宋体" w:hAnsi="宋体" w:cs="宋体"/>
          <w:color w:val="auto"/>
          <w:sz w:val="21"/>
          <w:szCs w:val="21"/>
          <w:highlight w:val="none"/>
        </w:rPr>
        <w:t>家时，评标委员会认为仍能满足业主要求，并具有竞争性的，将按综合评估推荐法推荐中标候选人。</w:t>
      </w:r>
    </w:p>
    <w:p w14:paraId="60A419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A3.5</w:t>
      </w:r>
      <w:r>
        <w:rPr>
          <w:rFonts w:hint="eastAsia" w:ascii="黑体" w:hAnsi="黑体" w:eastAsia="黑体" w:cs="黑体"/>
          <w:color w:val="auto"/>
          <w:kern w:val="0"/>
          <w:sz w:val="21"/>
          <w:szCs w:val="21"/>
          <w:highlight w:val="none"/>
        </w:rPr>
        <w:t>算术错误修正</w:t>
      </w:r>
    </w:p>
    <w:p w14:paraId="2367F02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投标报价有算术错误的，评标委员会按以下原则对投标报价进行修正，修正的价格经投标人书面确认后具有约束力。投标人不接受修正价格的，其投标作否决投标处理。</w:t>
      </w:r>
    </w:p>
    <w:p w14:paraId="425BE1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bookmarkStart w:id="732" w:name="_Toc152042383"/>
      <w:r>
        <w:rPr>
          <w:rFonts w:hint="eastAsia" w:ascii="宋体" w:hAnsi="宋体" w:eastAsia="宋体" w:cs="宋体"/>
          <w:color w:val="auto"/>
          <w:sz w:val="21"/>
          <w:szCs w:val="21"/>
          <w:highlight w:val="none"/>
        </w:rPr>
        <w:t>（1）投标文件中的大写金额与小写金额不一致的，以大写金额为准；</w:t>
      </w:r>
      <w:bookmarkEnd w:id="732"/>
    </w:p>
    <w:p w14:paraId="528F09E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color w:val="auto"/>
          <w:sz w:val="21"/>
          <w:szCs w:val="21"/>
          <w:highlight w:val="none"/>
        </w:rPr>
      </w:pPr>
      <w:r>
        <w:rPr>
          <w:rFonts w:hint="eastAsia" w:ascii="宋体" w:hAnsi="宋体" w:eastAsia="宋体" w:cs="宋体"/>
          <w:color w:val="auto"/>
          <w:sz w:val="21"/>
          <w:szCs w:val="21"/>
          <w:highlight w:val="none"/>
        </w:rPr>
        <w:t>（2）总价金额与依据单价计算出的结果不一致的，以单价金额为准修正总价，但单价金额小数点有明显错误的除外。</w:t>
      </w:r>
    </w:p>
    <w:p w14:paraId="007D99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A3.6</w:t>
      </w:r>
      <w:r>
        <w:rPr>
          <w:rFonts w:hint="eastAsia" w:ascii="黑体" w:hAnsi="黑体" w:eastAsia="黑体" w:cs="黑体"/>
          <w:color w:val="auto"/>
          <w:kern w:val="0"/>
          <w:sz w:val="21"/>
          <w:szCs w:val="21"/>
          <w:highlight w:val="none"/>
        </w:rPr>
        <w:t>澄清、说明或补正</w:t>
      </w:r>
    </w:p>
    <w:p w14:paraId="636DF77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w:t>
      </w:r>
      <w:r>
        <w:rPr>
          <w:rFonts w:ascii="宋体" w:hAnsi="宋体" w:cs="宋体"/>
          <w:color w:val="auto"/>
          <w:kern w:val="0"/>
          <w:sz w:val="21"/>
          <w:szCs w:val="21"/>
          <w:highlight w:val="none"/>
        </w:rPr>
        <w:t>3.3</w:t>
      </w:r>
      <w:r>
        <w:rPr>
          <w:rFonts w:hint="eastAsia" w:ascii="宋体" w:hAnsi="宋体" w:cs="宋体"/>
          <w:color w:val="auto"/>
          <w:kern w:val="0"/>
          <w:sz w:val="21"/>
          <w:szCs w:val="21"/>
          <w:highlight w:val="none"/>
        </w:rPr>
        <w:t>款的规定进行。</w:t>
      </w:r>
    </w:p>
    <w:p w14:paraId="689AC84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A4.</w:t>
      </w:r>
      <w:r>
        <w:rPr>
          <w:rFonts w:hint="eastAsia" w:ascii="黑体" w:eastAsia="黑体" w:cs="黑体"/>
          <w:color w:val="auto"/>
          <w:kern w:val="0"/>
          <w:sz w:val="21"/>
          <w:szCs w:val="21"/>
          <w:highlight w:val="none"/>
        </w:rPr>
        <w:t>详细评审</w:t>
      </w:r>
    </w:p>
    <w:p w14:paraId="3C821D3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cs="宋体"/>
          <w:color w:val="auto"/>
          <w:kern w:val="0"/>
          <w:sz w:val="21"/>
          <w:szCs w:val="21"/>
          <w:highlight w:val="none"/>
        </w:rPr>
        <w:t>只有通过了初步评审、被判定为合格的投标人可进入详细评审，详细评审先评投标文件技术部分再评投标文件商务部分。</w:t>
      </w:r>
    </w:p>
    <w:p w14:paraId="7EB8708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黑体" w:hAnsi="黑体" w:eastAsia="黑体" w:cs="Times New Roman"/>
          <w:color w:val="auto"/>
          <w:sz w:val="21"/>
          <w:szCs w:val="21"/>
          <w:highlight w:val="none"/>
        </w:rPr>
      </w:pPr>
      <w:r>
        <w:rPr>
          <w:rFonts w:ascii="黑体" w:hAnsi="黑体" w:eastAsia="黑体" w:cs="黑体"/>
          <w:color w:val="auto"/>
          <w:sz w:val="21"/>
          <w:szCs w:val="21"/>
          <w:highlight w:val="none"/>
        </w:rPr>
        <w:t xml:space="preserve">A4.1 </w:t>
      </w:r>
      <w:r>
        <w:rPr>
          <w:rFonts w:hint="eastAsia" w:ascii="黑体" w:hAnsi="黑体" w:eastAsia="黑体" w:cs="黑体"/>
          <w:color w:val="auto"/>
          <w:sz w:val="21"/>
          <w:szCs w:val="21"/>
          <w:highlight w:val="none"/>
        </w:rPr>
        <w:t>商务部分评审</w:t>
      </w:r>
    </w:p>
    <w:p w14:paraId="44D576E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Times New Roman"/>
          <w:color w:val="auto"/>
          <w:sz w:val="21"/>
          <w:szCs w:val="21"/>
          <w:highlight w:val="none"/>
        </w:rPr>
      </w:pPr>
      <w:r>
        <w:rPr>
          <w:rFonts w:hint="eastAsia" w:ascii="宋体" w:hAnsi="宋体" w:cs="宋体"/>
          <w:color w:val="auto"/>
          <w:sz w:val="21"/>
          <w:szCs w:val="21"/>
          <w:highlight w:val="none"/>
        </w:rPr>
        <w:t>商务部分评标标准见评标办法前附表</w:t>
      </w:r>
    </w:p>
    <w:p w14:paraId="6B66C9A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A4.2</w:t>
      </w:r>
      <w:r>
        <w:rPr>
          <w:rFonts w:hint="eastAsia" w:ascii="黑体" w:hAnsi="黑体" w:eastAsia="黑体" w:cs="黑体"/>
          <w:color w:val="auto"/>
          <w:kern w:val="0"/>
          <w:sz w:val="21"/>
          <w:szCs w:val="21"/>
          <w:highlight w:val="none"/>
        </w:rPr>
        <w:t>澄清、说明或补正</w:t>
      </w:r>
    </w:p>
    <w:p w14:paraId="04A4B9B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在详细评审过程中，评标委员会应当就投标文件中不明确的内容要求投标人进行澄清、说明或者补正。投标人对此以书面形式予以澄清、说明或者补正。澄清、说明或补正根据本章第</w:t>
      </w:r>
      <w:r>
        <w:rPr>
          <w:rFonts w:ascii="宋体" w:hAnsi="宋体" w:cs="宋体"/>
          <w:color w:val="auto"/>
          <w:kern w:val="0"/>
          <w:sz w:val="21"/>
          <w:szCs w:val="21"/>
          <w:highlight w:val="none"/>
        </w:rPr>
        <w:t>3.3</w:t>
      </w:r>
      <w:r>
        <w:rPr>
          <w:rFonts w:hint="eastAsia" w:ascii="宋体" w:hAnsi="宋体" w:cs="宋体"/>
          <w:color w:val="auto"/>
          <w:kern w:val="0"/>
          <w:sz w:val="21"/>
          <w:szCs w:val="21"/>
          <w:highlight w:val="none"/>
        </w:rPr>
        <w:t>款的规定执行。</w:t>
      </w:r>
    </w:p>
    <w:p w14:paraId="03C41289">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ascii="宋体" w:cs="Times New Roman"/>
          <w:b/>
          <w:bCs/>
          <w:color w:val="auto"/>
          <w:sz w:val="21"/>
          <w:szCs w:val="21"/>
          <w:highlight w:val="none"/>
        </w:rPr>
      </w:pPr>
      <w:r>
        <w:rPr>
          <w:rFonts w:ascii="宋体" w:hAnsi="宋体" w:cs="宋体"/>
          <w:b/>
          <w:bCs/>
          <w:color w:val="auto"/>
          <w:sz w:val="21"/>
          <w:szCs w:val="21"/>
          <w:highlight w:val="none"/>
        </w:rPr>
        <w:t xml:space="preserve">A4.3 </w:t>
      </w:r>
      <w:r>
        <w:rPr>
          <w:rFonts w:hint="eastAsia" w:ascii="宋体" w:hAnsi="宋体" w:cs="宋体"/>
          <w:b/>
          <w:bCs/>
          <w:color w:val="auto"/>
          <w:sz w:val="21"/>
          <w:szCs w:val="21"/>
          <w:highlight w:val="none"/>
        </w:rPr>
        <w:t>汇总评分结果</w:t>
      </w:r>
    </w:p>
    <w:p w14:paraId="7A35F083">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ascii="宋体" w:cs="Times New Roman"/>
          <w:color w:val="auto"/>
          <w:sz w:val="21"/>
          <w:szCs w:val="21"/>
          <w:highlight w:val="none"/>
        </w:rPr>
      </w:pPr>
      <w:r>
        <w:rPr>
          <w:rFonts w:ascii="宋体" w:hAnsi="宋体" w:cs="宋体"/>
          <w:b/>
          <w:bCs/>
          <w:color w:val="auto"/>
          <w:sz w:val="21"/>
          <w:szCs w:val="21"/>
          <w:highlight w:val="none"/>
        </w:rPr>
        <w:t>A4.3.1</w:t>
      </w:r>
      <w:r>
        <w:rPr>
          <w:rFonts w:hint="eastAsia" w:ascii="宋体" w:hAnsi="宋体" w:cs="宋体"/>
          <w:color w:val="auto"/>
          <w:sz w:val="21"/>
          <w:szCs w:val="21"/>
          <w:highlight w:val="none"/>
        </w:rPr>
        <w:t>评标委员会成员应填写详细评审评分汇总表。</w:t>
      </w:r>
    </w:p>
    <w:p w14:paraId="65964E3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ascii="等线" w:hAnsi="等线" w:eastAsia="等线" w:cs="Times New Roman"/>
          <w:color w:val="auto"/>
          <w:spacing w:val="12"/>
          <w:sz w:val="21"/>
          <w:szCs w:val="21"/>
          <w:highlight w:val="none"/>
        </w:rPr>
      </w:pPr>
      <w:r>
        <w:rPr>
          <w:rFonts w:ascii="宋体" w:hAnsi="宋体" w:cs="宋体"/>
          <w:b/>
          <w:bCs/>
          <w:color w:val="auto"/>
          <w:sz w:val="21"/>
          <w:szCs w:val="21"/>
          <w:highlight w:val="none"/>
        </w:rPr>
        <w:t>A4.3.2</w:t>
      </w:r>
      <w:r>
        <w:rPr>
          <w:rFonts w:hint="eastAsia" w:ascii="宋体" w:hAnsi="宋体" w:cs="宋体"/>
          <w:color w:val="auto"/>
          <w:sz w:val="21"/>
          <w:szCs w:val="21"/>
          <w:highlight w:val="none"/>
        </w:rPr>
        <w:t>详细评审工作全部结束后，汇总各个评标委员会成员的详细评审评分结果，并按照详细评审最终得分由高至低的次序对投标人进行排序。</w:t>
      </w:r>
    </w:p>
    <w:p w14:paraId="0575EB8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A5.</w:t>
      </w:r>
      <w:r>
        <w:rPr>
          <w:rFonts w:hint="eastAsia" w:ascii="黑体" w:eastAsia="黑体" w:cs="黑体"/>
          <w:color w:val="auto"/>
          <w:kern w:val="0"/>
          <w:sz w:val="21"/>
          <w:szCs w:val="21"/>
          <w:highlight w:val="none"/>
        </w:rPr>
        <w:t>推荐中标候选人或者直接确定中标人</w:t>
      </w:r>
    </w:p>
    <w:p w14:paraId="119B316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A5.1</w:t>
      </w:r>
      <w:r>
        <w:rPr>
          <w:rFonts w:hint="eastAsia" w:ascii="黑体" w:hAnsi="黑体" w:eastAsia="黑体" w:cs="黑体"/>
          <w:color w:val="auto"/>
          <w:kern w:val="0"/>
          <w:sz w:val="21"/>
          <w:szCs w:val="21"/>
          <w:highlight w:val="none"/>
        </w:rPr>
        <w:t>推荐中标候选人</w:t>
      </w:r>
    </w:p>
    <w:p w14:paraId="2B0639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除第二章“投标人须知”前附表第</w:t>
      </w:r>
      <w:r>
        <w:rPr>
          <w:rFonts w:hint="eastAsia" w:ascii="宋体" w:hAnsi="宋体" w:cs="宋体"/>
          <w:color w:val="auto"/>
          <w:kern w:val="0"/>
          <w:sz w:val="21"/>
          <w:szCs w:val="21"/>
          <w:highlight w:val="none"/>
          <w:lang w:val="en-US" w:eastAsia="zh-CN"/>
        </w:rPr>
        <w:t>7.1</w:t>
      </w:r>
      <w:r>
        <w:rPr>
          <w:rFonts w:hint="eastAsia" w:ascii="宋体" w:hAnsi="宋体" w:cs="宋体"/>
          <w:color w:val="auto"/>
          <w:kern w:val="0"/>
          <w:sz w:val="21"/>
          <w:szCs w:val="21"/>
          <w:highlight w:val="none"/>
        </w:rPr>
        <w:t>款授权直接确定中标人外，评标委员会在推荐中标候选人时，应遵照以下原则：</w:t>
      </w:r>
    </w:p>
    <w:p w14:paraId="05B4AA0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评标委员会按照最终得分由高至低的次序排列，并根据第二章“投标人须知”前附表第</w:t>
      </w:r>
      <w:r>
        <w:rPr>
          <w:rFonts w:ascii="宋体" w:hAnsi="宋体" w:cs="宋体"/>
          <w:color w:val="auto"/>
          <w:kern w:val="0"/>
          <w:sz w:val="21"/>
          <w:szCs w:val="21"/>
          <w:highlight w:val="none"/>
        </w:rPr>
        <w:t>7.1</w:t>
      </w:r>
      <w:r>
        <w:rPr>
          <w:rFonts w:hint="eastAsia" w:ascii="宋体" w:hAnsi="宋体" w:cs="宋体"/>
          <w:color w:val="auto"/>
          <w:kern w:val="0"/>
          <w:sz w:val="21"/>
          <w:szCs w:val="21"/>
          <w:highlight w:val="none"/>
        </w:rPr>
        <w:t>款规定的中标候选人数量，将排序在前的投标人推荐为中标候选人。</w:t>
      </w:r>
    </w:p>
    <w:p w14:paraId="0DC91A1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(2)</w:t>
      </w:r>
      <w:r>
        <w:rPr>
          <w:rFonts w:hint="eastAsia" w:ascii="宋体" w:hAnsi="宋体" w:cs="宋体"/>
          <w:color w:val="auto"/>
          <w:kern w:val="0"/>
          <w:sz w:val="21"/>
          <w:szCs w:val="21"/>
          <w:highlight w:val="none"/>
        </w:rPr>
        <w:t>如果评标委员会根据本章的规定作废标处理后，有效投标不足三个，且少于第二章“投标人须知”前附表第</w:t>
      </w:r>
      <w:r>
        <w:rPr>
          <w:rFonts w:ascii="宋体" w:hAnsi="宋体" w:cs="宋体"/>
          <w:color w:val="auto"/>
          <w:kern w:val="0"/>
          <w:sz w:val="21"/>
          <w:szCs w:val="21"/>
          <w:highlight w:val="none"/>
        </w:rPr>
        <w:t>7.1</w:t>
      </w:r>
      <w:r>
        <w:rPr>
          <w:rFonts w:hint="eastAsia" w:ascii="宋体" w:hAnsi="宋体" w:cs="宋体"/>
          <w:color w:val="auto"/>
          <w:kern w:val="0"/>
          <w:sz w:val="21"/>
          <w:szCs w:val="21"/>
          <w:highlight w:val="none"/>
        </w:rPr>
        <w:t>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2EFF9AC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A5.2</w:t>
      </w:r>
      <w:r>
        <w:rPr>
          <w:rFonts w:hint="eastAsia" w:ascii="黑体" w:hAnsi="黑体" w:eastAsia="黑体" w:cs="黑体"/>
          <w:color w:val="auto"/>
          <w:kern w:val="0"/>
          <w:sz w:val="21"/>
          <w:szCs w:val="21"/>
          <w:highlight w:val="none"/>
        </w:rPr>
        <w:t>直接确定中标人</w:t>
      </w:r>
    </w:p>
    <w:p w14:paraId="38243B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第二章“投标人须知”前附表授权评标委员会直接确定中标人的，评标委员会按照最终得分由高至低的次序排列，并确定排名第一的投标人为中标人。</w:t>
      </w:r>
    </w:p>
    <w:p w14:paraId="68AF3E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A5.3</w:t>
      </w:r>
      <w:r>
        <w:rPr>
          <w:rFonts w:hint="eastAsia" w:ascii="黑体" w:hAnsi="黑体" w:eastAsia="黑体" w:cs="黑体"/>
          <w:color w:val="auto"/>
          <w:kern w:val="0"/>
          <w:sz w:val="21"/>
          <w:szCs w:val="21"/>
          <w:highlight w:val="none"/>
        </w:rPr>
        <w:t>编制评标报告</w:t>
      </w:r>
    </w:p>
    <w:p w14:paraId="25A442B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评标委员会根据本章评标办法的规定向招标人提交评标报告。评标报告应当由全体评标委员会成员签字，并于评标结束时抄送有关行政监督部门。</w:t>
      </w:r>
    </w:p>
    <w:p w14:paraId="712F5FE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A6</w:t>
      </w:r>
      <w:r>
        <w:rPr>
          <w:rFonts w:hint="eastAsia" w:ascii="黑体" w:eastAsia="黑体" w:cs="黑体"/>
          <w:color w:val="auto"/>
          <w:kern w:val="0"/>
          <w:sz w:val="21"/>
          <w:szCs w:val="21"/>
          <w:highlight w:val="none"/>
        </w:rPr>
        <w:t>．特殊情况的处置程序</w:t>
      </w:r>
    </w:p>
    <w:p w14:paraId="31A39EE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A6.1</w:t>
      </w:r>
      <w:r>
        <w:rPr>
          <w:rFonts w:hint="eastAsia" w:ascii="黑体" w:hAnsi="黑体" w:eastAsia="黑体" w:cs="黑体"/>
          <w:color w:val="auto"/>
          <w:kern w:val="0"/>
          <w:sz w:val="21"/>
          <w:szCs w:val="21"/>
          <w:highlight w:val="none"/>
        </w:rPr>
        <w:t>关于评标活动暂停</w:t>
      </w:r>
    </w:p>
    <w:p w14:paraId="21BF2DC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A6.1.1</w:t>
      </w:r>
      <w:r>
        <w:rPr>
          <w:rFonts w:hint="eastAsia" w:ascii="宋体" w:hAnsi="宋体" w:cs="宋体"/>
          <w:color w:val="auto"/>
          <w:kern w:val="0"/>
          <w:sz w:val="21"/>
          <w:szCs w:val="21"/>
          <w:highlight w:val="none"/>
        </w:rPr>
        <w:t>评标委员会应当执行连续评标的原则，按评标办法中规定的程序、内容、方法、标准完成全部评标工作。只有发生不可抗力导致评标工作无法继续时，评标活动方可暂停。</w:t>
      </w:r>
    </w:p>
    <w:p w14:paraId="55895E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A6.1.2</w:t>
      </w:r>
      <w:r>
        <w:rPr>
          <w:rFonts w:hint="eastAsia" w:ascii="宋体" w:hAnsi="宋体" w:cs="宋体"/>
          <w:color w:val="auto"/>
          <w:kern w:val="0"/>
          <w:sz w:val="21"/>
          <w:szCs w:val="21"/>
          <w:highlight w:val="none"/>
        </w:rPr>
        <w:t>发生评标暂停情况时，评标委员会应当封存全部投标文件和评标记录，待不可抗力的影响结束且具备继续评标的条件时，由原评标委员会继续评标。</w:t>
      </w:r>
    </w:p>
    <w:p w14:paraId="4C9D39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A6.2</w:t>
      </w:r>
      <w:r>
        <w:rPr>
          <w:rFonts w:hint="eastAsia" w:ascii="黑体" w:hAnsi="黑体" w:eastAsia="黑体" w:cs="黑体"/>
          <w:color w:val="auto"/>
          <w:kern w:val="0"/>
          <w:sz w:val="21"/>
          <w:szCs w:val="21"/>
          <w:highlight w:val="none"/>
        </w:rPr>
        <w:t>关于评标中途更换评委</w:t>
      </w:r>
    </w:p>
    <w:p w14:paraId="0DD86BA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A6.2.1</w:t>
      </w:r>
      <w:r>
        <w:rPr>
          <w:rFonts w:hint="eastAsia" w:ascii="宋体" w:hAnsi="宋体" w:cs="宋体"/>
          <w:color w:val="auto"/>
          <w:kern w:val="0"/>
          <w:sz w:val="21"/>
          <w:szCs w:val="21"/>
          <w:highlight w:val="none"/>
        </w:rPr>
        <w:t>除非发生下列情况之一，评标委员会成员不得在评标中途更换：</w:t>
      </w:r>
    </w:p>
    <w:p w14:paraId="16C7934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因不可抗拒的客观原因，不能到场或需在评标中途退出评标活动。</w:t>
      </w:r>
    </w:p>
    <w:p w14:paraId="2E42827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(2)</w:t>
      </w:r>
      <w:r>
        <w:rPr>
          <w:rFonts w:hint="eastAsia" w:ascii="宋体" w:hAnsi="宋体" w:cs="宋体"/>
          <w:color w:val="auto"/>
          <w:kern w:val="0"/>
          <w:sz w:val="21"/>
          <w:szCs w:val="21"/>
          <w:highlight w:val="none"/>
        </w:rPr>
        <w:t>根据法律法规规定，某个或某几个评标委员会成员需要回避。</w:t>
      </w:r>
    </w:p>
    <w:p w14:paraId="0D19421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ascii="宋体" w:hAnsi="宋体" w:cs="宋体"/>
          <w:color w:val="auto"/>
          <w:kern w:val="0"/>
          <w:sz w:val="21"/>
          <w:szCs w:val="21"/>
          <w:highlight w:val="none"/>
        </w:rPr>
        <w:t>A6.2.2</w:t>
      </w:r>
      <w:r>
        <w:rPr>
          <w:rFonts w:hint="eastAsia" w:ascii="宋体" w:hAnsi="宋体" w:cs="宋体"/>
          <w:color w:val="auto"/>
          <w:kern w:val="0"/>
          <w:sz w:val="21"/>
          <w:szCs w:val="21"/>
          <w:highlight w:val="none"/>
        </w:rPr>
        <w:t>退出评标的评标委员会成员，其已完成的评标行为无效。由招标人根据本招标文件规定的评标委员会成员生产方式另行确定替代者进行评标。</w:t>
      </w:r>
    </w:p>
    <w:p w14:paraId="0B87A70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A6.3</w:t>
      </w:r>
      <w:r>
        <w:rPr>
          <w:rFonts w:hint="eastAsia" w:ascii="黑体" w:hAnsi="黑体" w:eastAsia="黑体" w:cs="黑体"/>
          <w:color w:val="auto"/>
          <w:kern w:val="0"/>
          <w:sz w:val="21"/>
          <w:szCs w:val="21"/>
          <w:highlight w:val="none"/>
        </w:rPr>
        <w:t>记名投票</w:t>
      </w:r>
    </w:p>
    <w:p w14:paraId="0DBB091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在任何评标环节中，需评标委员会就某项定性的评审结论做出表决的，由评标委员会全体成员按照少数服从多数的原则，以记名投票方式表决。</w:t>
      </w:r>
    </w:p>
    <w:p w14:paraId="339265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eastAsia="黑体" w:cs="Times New Roman"/>
          <w:color w:val="auto"/>
          <w:kern w:val="0"/>
          <w:sz w:val="21"/>
          <w:szCs w:val="21"/>
          <w:highlight w:val="none"/>
        </w:rPr>
      </w:pPr>
      <w:r>
        <w:rPr>
          <w:rFonts w:ascii="黑体" w:eastAsia="黑体" w:cs="黑体"/>
          <w:color w:val="auto"/>
          <w:kern w:val="0"/>
          <w:sz w:val="21"/>
          <w:szCs w:val="21"/>
          <w:highlight w:val="none"/>
        </w:rPr>
        <w:t>A7.</w:t>
      </w:r>
      <w:r>
        <w:rPr>
          <w:rFonts w:hint="eastAsia" w:ascii="黑体" w:eastAsia="黑体" w:cs="黑体"/>
          <w:color w:val="auto"/>
          <w:kern w:val="0"/>
          <w:sz w:val="21"/>
          <w:szCs w:val="21"/>
          <w:highlight w:val="none"/>
        </w:rPr>
        <w:t>补充条款</w:t>
      </w:r>
    </w:p>
    <w:p w14:paraId="07BD1F3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color w:val="auto"/>
          <w:sz w:val="21"/>
          <w:szCs w:val="21"/>
          <w:highlight w:val="none"/>
        </w:rPr>
        <w:fldChar w:fldCharType="begin"/>
      </w:r>
      <w:r>
        <w:rPr>
          <w:color w:val="auto"/>
          <w:sz w:val="21"/>
          <w:szCs w:val="21"/>
          <w:highlight w:val="none"/>
        </w:rPr>
        <w:instrText xml:space="preserve"> AUTOTEXT  input522 \* MERGEFORMAT </w:instrText>
      </w:r>
      <w:r>
        <w:rPr>
          <w:color w:val="auto"/>
          <w:sz w:val="21"/>
          <w:szCs w:val="21"/>
          <w:highlight w:val="none"/>
        </w:rPr>
        <w:fldChar w:fldCharType="separate"/>
      </w:r>
      <w:r>
        <w:rPr>
          <w:rFonts w:ascii="宋体" w:hAnsi="宋体" w:cs="宋体"/>
          <w:color w:val="auto"/>
          <w:kern w:val="0"/>
          <w:sz w:val="21"/>
          <w:szCs w:val="21"/>
          <w:highlight w:val="none"/>
        </w:rPr>
        <w:t>/</w:t>
      </w:r>
      <w:r>
        <w:rPr>
          <w:color w:val="auto"/>
          <w:sz w:val="21"/>
          <w:szCs w:val="21"/>
          <w:highlight w:val="none"/>
        </w:rPr>
        <w:fldChar w:fldCharType="end"/>
      </w:r>
    </w:p>
    <w:p w14:paraId="66D3EA14">
      <w:pPr>
        <w:pStyle w:val="114"/>
        <w:rPr>
          <w:rFonts w:ascii="黑体" w:hAnsi="黑体" w:eastAsia="黑体" w:cs="Times New Roman"/>
          <w:color w:val="auto"/>
          <w:kern w:val="0"/>
          <w:highlight w:val="none"/>
        </w:rPr>
      </w:pPr>
    </w:p>
    <w:p w14:paraId="5D7BAECD">
      <w:pPr>
        <w:rPr>
          <w:rFonts w:ascii="黑体" w:hAnsi="黑体" w:eastAsia="黑体" w:cs="Times New Roman"/>
          <w:color w:val="auto"/>
          <w:kern w:val="0"/>
          <w:highlight w:val="none"/>
        </w:rPr>
      </w:pPr>
    </w:p>
    <w:p w14:paraId="43A1CF1E">
      <w:pPr>
        <w:pStyle w:val="116"/>
        <w:rPr>
          <w:rFonts w:ascii="黑体" w:hAnsi="黑体" w:eastAsia="黑体" w:cs="Times New Roman"/>
          <w:color w:val="auto"/>
          <w:highlight w:val="none"/>
        </w:rPr>
      </w:pPr>
    </w:p>
    <w:p w14:paraId="27F928C4">
      <w:pPr>
        <w:pStyle w:val="116"/>
        <w:rPr>
          <w:rFonts w:ascii="黑体" w:hAnsi="黑体" w:eastAsia="黑体" w:cs="Times New Roman"/>
          <w:color w:val="auto"/>
          <w:highlight w:val="none"/>
        </w:rPr>
      </w:pPr>
    </w:p>
    <w:p w14:paraId="4151DDE6">
      <w:pPr>
        <w:pStyle w:val="116"/>
        <w:rPr>
          <w:rFonts w:ascii="黑体" w:hAnsi="黑体" w:eastAsia="黑体" w:cs="Times New Roman"/>
          <w:color w:val="auto"/>
          <w:highlight w:val="none"/>
        </w:rPr>
      </w:pPr>
    </w:p>
    <w:p w14:paraId="69446F47">
      <w:pPr>
        <w:pStyle w:val="116"/>
        <w:rPr>
          <w:rFonts w:ascii="黑体" w:hAnsi="黑体" w:eastAsia="黑体" w:cs="Times New Roman"/>
          <w:color w:val="auto"/>
          <w:highlight w:val="none"/>
        </w:rPr>
      </w:pPr>
    </w:p>
    <w:p w14:paraId="153F973A">
      <w:pPr>
        <w:pStyle w:val="116"/>
        <w:rPr>
          <w:rFonts w:ascii="黑体" w:hAnsi="黑体" w:eastAsia="黑体" w:cs="Times New Roman"/>
          <w:color w:val="auto"/>
          <w:highlight w:val="none"/>
        </w:rPr>
      </w:pPr>
    </w:p>
    <w:p w14:paraId="7AF0F3DD">
      <w:pPr>
        <w:pStyle w:val="116"/>
        <w:rPr>
          <w:rFonts w:ascii="黑体" w:hAnsi="黑体" w:eastAsia="黑体" w:cs="Times New Roman"/>
          <w:color w:val="auto"/>
          <w:highlight w:val="none"/>
        </w:rPr>
      </w:pPr>
    </w:p>
    <w:p w14:paraId="36E67F70">
      <w:pPr>
        <w:pStyle w:val="116"/>
        <w:rPr>
          <w:rFonts w:ascii="黑体" w:hAnsi="黑体" w:eastAsia="黑体" w:cs="Times New Roman"/>
          <w:color w:val="auto"/>
          <w:highlight w:val="none"/>
        </w:rPr>
      </w:pPr>
    </w:p>
    <w:p w14:paraId="1E40B221">
      <w:pPr>
        <w:pStyle w:val="116"/>
        <w:rPr>
          <w:rFonts w:ascii="黑体" w:hAnsi="黑体" w:eastAsia="黑体" w:cs="Times New Roman"/>
          <w:color w:val="auto"/>
          <w:highlight w:val="none"/>
        </w:rPr>
      </w:pPr>
    </w:p>
    <w:p w14:paraId="6DB7E4FB">
      <w:pPr>
        <w:pStyle w:val="116"/>
        <w:rPr>
          <w:rFonts w:ascii="黑体" w:hAnsi="黑体" w:eastAsia="黑体" w:cs="Times New Roman"/>
          <w:color w:val="auto"/>
          <w:highlight w:val="none"/>
        </w:rPr>
      </w:pPr>
    </w:p>
    <w:p w14:paraId="33870A6E">
      <w:pPr>
        <w:pStyle w:val="116"/>
        <w:rPr>
          <w:rFonts w:ascii="黑体" w:hAnsi="黑体" w:eastAsia="黑体" w:cs="Times New Roman"/>
          <w:color w:val="auto"/>
          <w:highlight w:val="none"/>
        </w:rPr>
      </w:pPr>
    </w:p>
    <w:p w14:paraId="3A788FA9">
      <w:pPr>
        <w:pStyle w:val="116"/>
        <w:rPr>
          <w:rFonts w:ascii="黑体" w:hAnsi="黑体" w:eastAsia="黑体" w:cs="Times New Roman"/>
          <w:color w:val="auto"/>
          <w:highlight w:val="none"/>
        </w:rPr>
      </w:pPr>
    </w:p>
    <w:p w14:paraId="2E31F69E">
      <w:pPr>
        <w:pStyle w:val="116"/>
        <w:rPr>
          <w:rFonts w:ascii="黑体" w:hAnsi="黑体" w:eastAsia="黑体" w:cs="Times New Roman"/>
          <w:color w:val="auto"/>
          <w:highlight w:val="none"/>
        </w:rPr>
      </w:pPr>
    </w:p>
    <w:p w14:paraId="15FF3CF5">
      <w:pPr>
        <w:pStyle w:val="116"/>
        <w:rPr>
          <w:rFonts w:ascii="黑体" w:hAnsi="黑体" w:eastAsia="黑体" w:cs="Times New Roman"/>
          <w:color w:val="auto"/>
          <w:highlight w:val="none"/>
        </w:rPr>
      </w:pPr>
    </w:p>
    <w:p w14:paraId="324FF35A">
      <w:pPr>
        <w:pStyle w:val="116"/>
        <w:rPr>
          <w:rFonts w:ascii="黑体" w:hAnsi="黑体" w:eastAsia="黑体" w:cs="Times New Roman"/>
          <w:color w:val="auto"/>
          <w:highlight w:val="none"/>
        </w:rPr>
      </w:pPr>
    </w:p>
    <w:p w14:paraId="245D8622">
      <w:pPr>
        <w:pStyle w:val="116"/>
        <w:rPr>
          <w:rFonts w:ascii="黑体" w:hAnsi="黑体" w:eastAsia="黑体" w:cs="Times New Roman"/>
          <w:color w:val="auto"/>
          <w:highlight w:val="none"/>
        </w:rPr>
      </w:pPr>
    </w:p>
    <w:p w14:paraId="57CCD63D">
      <w:pPr>
        <w:pStyle w:val="116"/>
        <w:rPr>
          <w:rFonts w:ascii="黑体" w:hAnsi="黑体" w:eastAsia="黑体" w:cs="Times New Roman"/>
          <w:color w:val="auto"/>
          <w:highlight w:val="none"/>
        </w:rPr>
      </w:pPr>
    </w:p>
    <w:p w14:paraId="51FE50A1">
      <w:pPr>
        <w:pStyle w:val="116"/>
        <w:rPr>
          <w:rFonts w:ascii="黑体" w:hAnsi="黑体" w:eastAsia="黑体" w:cs="Times New Roman"/>
          <w:color w:val="auto"/>
          <w:highlight w:val="none"/>
        </w:rPr>
      </w:pPr>
    </w:p>
    <w:p w14:paraId="10576B36">
      <w:pPr>
        <w:pStyle w:val="116"/>
        <w:rPr>
          <w:rFonts w:ascii="黑体" w:hAnsi="黑体" w:eastAsia="黑体" w:cs="Times New Roman"/>
          <w:color w:val="auto"/>
          <w:highlight w:val="none"/>
        </w:rPr>
      </w:pPr>
    </w:p>
    <w:p w14:paraId="09688A1A">
      <w:pPr>
        <w:pStyle w:val="116"/>
        <w:rPr>
          <w:rFonts w:ascii="黑体" w:hAnsi="黑体" w:eastAsia="黑体" w:cs="Times New Roman"/>
          <w:color w:val="auto"/>
          <w:highlight w:val="none"/>
        </w:rPr>
      </w:pPr>
    </w:p>
    <w:p w14:paraId="35AA9591">
      <w:pPr>
        <w:pStyle w:val="116"/>
        <w:rPr>
          <w:rFonts w:ascii="黑体" w:hAnsi="黑体" w:eastAsia="黑体" w:cs="Times New Roman"/>
          <w:color w:val="auto"/>
          <w:highlight w:val="none"/>
        </w:rPr>
      </w:pPr>
    </w:p>
    <w:p w14:paraId="56711170">
      <w:pPr>
        <w:pStyle w:val="116"/>
        <w:rPr>
          <w:rFonts w:ascii="黑体" w:hAnsi="黑体" w:eastAsia="黑体" w:cs="Times New Roman"/>
          <w:color w:val="auto"/>
          <w:highlight w:val="none"/>
        </w:rPr>
      </w:pPr>
    </w:p>
    <w:p w14:paraId="72CD497D">
      <w:pPr>
        <w:pStyle w:val="116"/>
        <w:rPr>
          <w:rFonts w:ascii="黑体" w:hAnsi="黑体" w:eastAsia="黑体" w:cs="Times New Roman"/>
          <w:color w:val="auto"/>
          <w:highlight w:val="none"/>
        </w:rPr>
      </w:pPr>
    </w:p>
    <w:p w14:paraId="0E616DC7">
      <w:pPr>
        <w:pStyle w:val="116"/>
        <w:rPr>
          <w:rFonts w:ascii="黑体" w:hAnsi="黑体" w:eastAsia="黑体" w:cs="Times New Roman"/>
          <w:color w:val="auto"/>
          <w:highlight w:val="none"/>
        </w:rPr>
      </w:pPr>
    </w:p>
    <w:p w14:paraId="396094A1">
      <w:pPr>
        <w:pStyle w:val="116"/>
        <w:rPr>
          <w:rFonts w:ascii="黑体" w:hAnsi="黑体" w:eastAsia="黑体" w:cs="Times New Roman"/>
          <w:color w:val="auto"/>
          <w:highlight w:val="none"/>
        </w:rPr>
      </w:pPr>
    </w:p>
    <w:p w14:paraId="3F5FD944">
      <w:pPr>
        <w:pStyle w:val="116"/>
        <w:rPr>
          <w:rFonts w:ascii="黑体" w:hAnsi="黑体" w:eastAsia="黑体" w:cs="Times New Roman"/>
          <w:color w:val="auto"/>
          <w:highlight w:val="none"/>
        </w:rPr>
      </w:pPr>
    </w:p>
    <w:p w14:paraId="6AE2286B">
      <w:pPr>
        <w:pStyle w:val="116"/>
        <w:rPr>
          <w:rFonts w:ascii="黑体" w:hAnsi="黑体" w:eastAsia="黑体" w:cs="Times New Roman"/>
          <w:color w:val="auto"/>
          <w:highlight w:val="none"/>
        </w:rPr>
      </w:pPr>
    </w:p>
    <w:p w14:paraId="0AEBE23A">
      <w:pPr>
        <w:pStyle w:val="116"/>
        <w:rPr>
          <w:rFonts w:ascii="黑体" w:hAnsi="黑体" w:eastAsia="黑体" w:cs="Times New Roman"/>
          <w:color w:val="auto"/>
          <w:highlight w:val="none"/>
        </w:rPr>
      </w:pPr>
    </w:p>
    <w:p w14:paraId="55C67A4D">
      <w:pPr>
        <w:pStyle w:val="116"/>
        <w:rPr>
          <w:rFonts w:ascii="黑体" w:hAnsi="黑体" w:eastAsia="黑体" w:cs="Times New Roman"/>
          <w:color w:val="auto"/>
          <w:highlight w:val="none"/>
        </w:rPr>
      </w:pPr>
    </w:p>
    <w:p w14:paraId="2B8B7046">
      <w:pPr>
        <w:pStyle w:val="116"/>
        <w:rPr>
          <w:rFonts w:ascii="黑体" w:hAnsi="黑体" w:eastAsia="黑体" w:cs="Times New Roman"/>
          <w:color w:val="auto"/>
          <w:highlight w:val="none"/>
        </w:rPr>
      </w:pPr>
    </w:p>
    <w:p w14:paraId="3719EC89">
      <w:pPr>
        <w:adjustRightInd w:val="0"/>
        <w:snapToGrid w:val="0"/>
        <w:spacing w:line="360" w:lineRule="auto"/>
        <w:ind w:firstLine="3373" w:firstLineChars="1200"/>
        <w:jc w:val="left"/>
        <w:rPr>
          <w:rFonts w:ascii="黑体" w:eastAsia="黑体" w:cs="Times New Roman"/>
          <w:b/>
          <w:bCs/>
          <w:color w:val="auto"/>
          <w:kern w:val="0"/>
          <w:sz w:val="28"/>
          <w:szCs w:val="28"/>
          <w:highlight w:val="none"/>
        </w:rPr>
      </w:pPr>
      <w:bookmarkStart w:id="733" w:name="_Toc18961_WPSOffice_Level2"/>
      <w:bookmarkStart w:id="734" w:name="_Toc20837_WPSOffice_Level2"/>
      <w:r>
        <w:rPr>
          <w:rFonts w:hint="eastAsia" w:ascii="黑体" w:eastAsia="黑体" w:cs="黑体"/>
          <w:b/>
          <w:bCs/>
          <w:color w:val="auto"/>
          <w:kern w:val="0"/>
          <w:sz w:val="28"/>
          <w:szCs w:val="28"/>
          <w:highlight w:val="none"/>
        </w:rPr>
        <w:t>附件</w:t>
      </w:r>
      <w:r>
        <w:rPr>
          <w:rFonts w:ascii="黑体" w:eastAsia="黑体" w:cs="黑体"/>
          <w:b/>
          <w:bCs/>
          <w:color w:val="auto"/>
          <w:kern w:val="0"/>
          <w:sz w:val="28"/>
          <w:szCs w:val="28"/>
          <w:highlight w:val="none"/>
        </w:rPr>
        <w:t>B</w:t>
      </w:r>
      <w:r>
        <w:rPr>
          <w:rFonts w:hint="eastAsia" w:ascii="黑体" w:eastAsia="黑体" w:cs="黑体"/>
          <w:b/>
          <w:bCs/>
          <w:color w:val="auto"/>
          <w:kern w:val="0"/>
          <w:sz w:val="28"/>
          <w:szCs w:val="28"/>
          <w:highlight w:val="none"/>
        </w:rPr>
        <w:t>：否决投标条款</w:t>
      </w:r>
      <w:bookmarkEnd w:id="733"/>
      <w:bookmarkEnd w:id="734"/>
    </w:p>
    <w:p w14:paraId="784F660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黑体" w:hAnsi="黑体" w:eastAsia="黑体" w:cs="Times New Roman"/>
          <w:color w:val="auto"/>
          <w:kern w:val="0"/>
          <w:sz w:val="21"/>
          <w:szCs w:val="21"/>
          <w:highlight w:val="none"/>
        </w:rPr>
      </w:pPr>
      <w:r>
        <w:rPr>
          <w:rFonts w:ascii="黑体" w:hAnsi="黑体" w:eastAsia="黑体" w:cs="黑体"/>
          <w:color w:val="auto"/>
          <w:kern w:val="0"/>
          <w:sz w:val="21"/>
          <w:szCs w:val="21"/>
          <w:highlight w:val="none"/>
        </w:rPr>
        <w:t>B0.</w:t>
      </w:r>
      <w:r>
        <w:rPr>
          <w:rFonts w:hint="eastAsia" w:ascii="黑体" w:hAnsi="黑体" w:eastAsia="黑体" w:cs="黑体"/>
          <w:color w:val="auto"/>
          <w:kern w:val="0"/>
          <w:sz w:val="21"/>
          <w:szCs w:val="21"/>
          <w:highlight w:val="none"/>
        </w:rPr>
        <w:t>总</w:t>
      </w:r>
      <w:r>
        <w:rPr>
          <w:rFonts w:ascii="黑体" w:hAnsi="黑体" w:eastAsia="黑体" w:cs="黑体"/>
          <w:color w:val="auto"/>
          <w:kern w:val="0"/>
          <w:sz w:val="21"/>
          <w:szCs w:val="21"/>
          <w:highlight w:val="none"/>
        </w:rPr>
        <w:t xml:space="preserve">  </w:t>
      </w:r>
      <w:r>
        <w:rPr>
          <w:rFonts w:hint="eastAsia" w:ascii="黑体" w:hAnsi="黑体" w:eastAsia="黑体" w:cs="黑体"/>
          <w:color w:val="auto"/>
          <w:kern w:val="0"/>
          <w:sz w:val="21"/>
          <w:szCs w:val="21"/>
          <w:highlight w:val="none"/>
        </w:rPr>
        <w:t>则</w:t>
      </w:r>
    </w:p>
    <w:p w14:paraId="53F938B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cs="Times New Roman"/>
          <w:color w:val="auto"/>
          <w:kern w:val="0"/>
          <w:sz w:val="21"/>
          <w:szCs w:val="21"/>
          <w:highlight w:val="none"/>
        </w:rPr>
      </w:pPr>
      <w:r>
        <w:rPr>
          <w:rFonts w:hint="eastAsia" w:ascii="宋体" w:hAnsi="宋体" w:cs="宋体"/>
          <w:color w:val="auto"/>
          <w:kern w:val="0"/>
          <w:sz w:val="21"/>
          <w:szCs w:val="21"/>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455FA509">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B1.否决投标条款</w:t>
      </w:r>
    </w:p>
    <w:p w14:paraId="553F7402">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投标人或投标文件有下列情形之一的，其投标作否决投标处理：</w:t>
      </w:r>
    </w:p>
    <w:p w14:paraId="5AA5AE17">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B1.1 有第二章“投标人须知”第1.4.2 项、1.4.3项、5.4项规定的任何一种情形的</w:t>
      </w:r>
      <w:r>
        <w:rPr>
          <w:rFonts w:hint="eastAsia" w:ascii="宋体" w:hAnsi="宋体" w:cs="宋体"/>
          <w:b/>
          <w:bCs/>
          <w:color w:val="auto"/>
          <w:kern w:val="0"/>
          <w:sz w:val="21"/>
          <w:szCs w:val="21"/>
          <w:highlight w:val="none"/>
          <w:lang w:eastAsia="zh-CN"/>
        </w:rPr>
        <w:t>；</w:t>
      </w:r>
    </w:p>
    <w:p w14:paraId="313D00F6">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B1.2有串通投标行为或弄虚作假或有其他违法行为的</w:t>
      </w:r>
      <w:r>
        <w:rPr>
          <w:rFonts w:hint="eastAsia" w:ascii="宋体" w:hAnsi="宋体" w:cs="宋体"/>
          <w:b/>
          <w:bCs/>
          <w:color w:val="auto"/>
          <w:kern w:val="0"/>
          <w:sz w:val="21"/>
          <w:szCs w:val="21"/>
          <w:highlight w:val="none"/>
          <w:lang w:eastAsia="zh-CN"/>
        </w:rPr>
        <w:t>；</w:t>
      </w:r>
    </w:p>
    <w:p w14:paraId="16A1A1F2">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B1.3不按评标委员会要求澄清、说明或补正的；</w:t>
      </w:r>
    </w:p>
    <w:p w14:paraId="1DA9A63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B1.4在初步评审中，评标委员会认定投标人的投标不符合评标办法前附表中规定的任何一项评审标准的；</w:t>
      </w:r>
    </w:p>
    <w:p w14:paraId="1E1D60E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B1.5投标文件中不符合投标人须知附件七规定的内容上传及格式的；</w:t>
      </w:r>
    </w:p>
    <w:p w14:paraId="2D31187B">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B1.6投标文件中不符合第七章投标文件的组成的；</w:t>
      </w:r>
    </w:p>
    <w:p w14:paraId="2CA38AE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B1.7投标文件中不符合投标人须知正文部分3.2投标报价的；</w:t>
      </w:r>
    </w:p>
    <w:p w14:paraId="7F3D018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B1.8 未按规定格式填写，内容不全或者关键内容字迹模糊，无法辨认的；</w:t>
      </w:r>
    </w:p>
    <w:p w14:paraId="71B6569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B1.9投标人上传的电子投标文件中有两份或多份内容不同的投标文件，或者在一份投标文件中对同一招标项目报有两个或多个报价，且未声明哪一个有效，按招标文件规定提交备选投标方案的除外</w:t>
      </w:r>
      <w:r>
        <w:rPr>
          <w:rFonts w:hint="eastAsia" w:ascii="宋体" w:hAnsi="宋体" w:cs="宋体"/>
          <w:b/>
          <w:bCs/>
          <w:color w:val="auto"/>
          <w:kern w:val="0"/>
          <w:sz w:val="21"/>
          <w:szCs w:val="21"/>
          <w:highlight w:val="none"/>
          <w:lang w:eastAsia="zh-CN"/>
        </w:rPr>
        <w:t>；</w:t>
      </w:r>
    </w:p>
    <w:p w14:paraId="4A3342DB">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B1.10投标人名称与营业执照或资质证书名称不一致的</w:t>
      </w:r>
      <w:r>
        <w:rPr>
          <w:rFonts w:hint="eastAsia" w:ascii="宋体" w:hAnsi="宋体" w:cs="宋体"/>
          <w:b/>
          <w:bCs/>
          <w:color w:val="auto"/>
          <w:kern w:val="0"/>
          <w:sz w:val="21"/>
          <w:szCs w:val="21"/>
          <w:highlight w:val="none"/>
          <w:lang w:eastAsia="zh-CN"/>
        </w:rPr>
        <w:t>；</w:t>
      </w:r>
    </w:p>
    <w:p w14:paraId="1F15934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B1.11 投标人在投标文件中电子签章（或盖章）或电子签名（或签名）的名称与其他潜在投标人存在一致情况的</w:t>
      </w:r>
      <w:r>
        <w:rPr>
          <w:rFonts w:hint="eastAsia" w:ascii="宋体" w:hAnsi="宋体" w:cs="宋体"/>
          <w:b/>
          <w:bCs/>
          <w:color w:val="auto"/>
          <w:kern w:val="0"/>
          <w:sz w:val="21"/>
          <w:szCs w:val="21"/>
          <w:highlight w:val="none"/>
          <w:lang w:eastAsia="zh-CN"/>
        </w:rPr>
        <w:t>；</w:t>
      </w:r>
    </w:p>
    <w:p w14:paraId="74071423">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1.12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r>
        <w:rPr>
          <w:rFonts w:hint="eastAsia" w:ascii="宋体" w:hAnsi="宋体" w:cs="宋体"/>
          <w:b/>
          <w:bCs/>
          <w:color w:val="auto"/>
          <w:kern w:val="0"/>
          <w:sz w:val="21"/>
          <w:szCs w:val="21"/>
          <w:highlight w:val="none"/>
          <w:lang w:eastAsia="zh-CN"/>
        </w:rPr>
        <w:t>；</w:t>
      </w:r>
    </w:p>
    <w:p w14:paraId="780F9EC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B1.13评标委员会判定其报价低于成本价的；</w:t>
      </w:r>
    </w:p>
    <w:p w14:paraId="25A83359">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B1.14</w:t>
      </w:r>
      <w:r>
        <w:rPr>
          <w:rFonts w:hint="eastAsia" w:ascii="宋体" w:hAnsi="宋体" w:cs="宋体"/>
          <w:b/>
          <w:bCs/>
          <w:color w:val="auto"/>
          <w:kern w:val="0"/>
          <w:sz w:val="21"/>
          <w:szCs w:val="21"/>
          <w:highlight w:val="none"/>
          <w:lang w:eastAsia="zh-CN"/>
        </w:rPr>
        <w:t>未按</w:t>
      </w:r>
      <w:r>
        <w:rPr>
          <w:rFonts w:hint="eastAsia" w:ascii="宋体" w:hAnsi="宋体" w:eastAsia="宋体" w:cs="宋体"/>
          <w:b/>
          <w:bCs/>
          <w:color w:val="auto"/>
          <w:kern w:val="0"/>
          <w:sz w:val="21"/>
          <w:szCs w:val="21"/>
          <w:highlight w:val="none"/>
        </w:rPr>
        <w:t>招标控制价</w:t>
      </w:r>
      <w:r>
        <w:rPr>
          <w:rFonts w:hint="eastAsia" w:ascii="宋体" w:hAnsi="宋体" w:cs="宋体"/>
          <w:b/>
          <w:bCs/>
          <w:color w:val="auto"/>
          <w:kern w:val="0"/>
          <w:sz w:val="21"/>
          <w:szCs w:val="21"/>
          <w:highlight w:val="none"/>
          <w:lang w:eastAsia="zh-CN"/>
        </w:rPr>
        <w:t>规定报价</w:t>
      </w:r>
      <w:r>
        <w:rPr>
          <w:rFonts w:hint="eastAsia" w:ascii="宋体" w:hAnsi="宋体" w:eastAsia="宋体" w:cs="宋体"/>
          <w:b/>
          <w:bCs/>
          <w:color w:val="auto"/>
          <w:kern w:val="0"/>
          <w:sz w:val="21"/>
          <w:szCs w:val="21"/>
          <w:highlight w:val="none"/>
        </w:rPr>
        <w:t>的；</w:t>
      </w:r>
    </w:p>
    <w:p w14:paraId="377B849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B1.15 投标报价有算术错误的，评标委员会按以下原则对投标报价进行修正，修正的价格经投标人书面确认后具有约束力。投标人不接受修正价格的，其投标作否决投标处理</w:t>
      </w:r>
      <w:r>
        <w:rPr>
          <w:rFonts w:hint="eastAsia" w:ascii="宋体" w:hAnsi="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 xml:space="preserve"> </w:t>
      </w:r>
    </w:p>
    <w:p w14:paraId="12DC2C02">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B1.16联合体投标不满足投标人须知1.4.1条的；</w:t>
      </w:r>
    </w:p>
    <w:p w14:paraId="627CAB42">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B1.17分包未满足投标人须知1.11.1、1.11.2条的；</w:t>
      </w:r>
    </w:p>
    <w:p w14:paraId="775118E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B1.18偏离未满足投标人须知1.12条的；</w:t>
      </w:r>
    </w:p>
    <w:p w14:paraId="3CF8FA1B">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B1.19投标有效期未满足投标人须知3.3.3条的；</w:t>
      </w:r>
    </w:p>
    <w:p w14:paraId="3BC5D40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B1.20投标人拒不按照评标委员会要求对投标文件进行澄清、说明、补正的；</w:t>
      </w:r>
    </w:p>
    <w:p w14:paraId="283695A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B1.21非联合体投标人委托同一人投标的；</w:t>
      </w:r>
    </w:p>
    <w:p w14:paraId="2B3604DB">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B1.22不同投标人的投标文件由同一台电脑编制的；</w:t>
      </w:r>
    </w:p>
    <w:p w14:paraId="4D0D536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B1.23技术标标书“设计”部分明显不符合技术规范、技术标准的；</w:t>
      </w:r>
    </w:p>
    <w:p w14:paraId="54DF4FB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B1.24不同投标人的投标文件内容存在非正常一致的；</w:t>
      </w:r>
    </w:p>
    <w:p w14:paraId="6A430975">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B1.25不同投标人的投标文件错漏之处一致的；</w:t>
      </w:r>
    </w:p>
    <w:p w14:paraId="43CA8AE5">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w:t>
      </w:r>
      <w:r>
        <w:rPr>
          <w:rFonts w:hint="eastAsia" w:ascii="宋体" w:hAnsi="宋体" w:cs="宋体"/>
          <w:b/>
          <w:bCs/>
          <w:color w:val="auto"/>
          <w:kern w:val="0"/>
          <w:sz w:val="21"/>
          <w:szCs w:val="21"/>
          <w:highlight w:val="none"/>
          <w:lang w:val="en-US" w:eastAsia="zh-CN"/>
        </w:rPr>
        <w:t>6</w:t>
      </w:r>
      <w:r>
        <w:rPr>
          <w:rFonts w:hint="eastAsia" w:ascii="宋体" w:hAnsi="宋体" w:eastAsia="宋体" w:cs="宋体"/>
          <w:b/>
          <w:bCs/>
          <w:color w:val="auto"/>
          <w:kern w:val="0"/>
          <w:sz w:val="21"/>
          <w:szCs w:val="21"/>
          <w:highlight w:val="none"/>
        </w:rPr>
        <w:t>不同投标人的投标文件载明的项目管理机构成员出现相同人员的；</w:t>
      </w:r>
    </w:p>
    <w:p w14:paraId="765B6877">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B1.2</w:t>
      </w:r>
      <w:r>
        <w:rPr>
          <w:rFonts w:hint="eastAsia" w:ascii="宋体" w:hAnsi="宋体" w:cs="宋体"/>
          <w:b/>
          <w:bCs/>
          <w:color w:val="auto"/>
          <w:kern w:val="0"/>
          <w:sz w:val="21"/>
          <w:szCs w:val="21"/>
          <w:highlight w:val="none"/>
          <w:lang w:val="en-US" w:eastAsia="zh-CN"/>
        </w:rPr>
        <w:t>7</w:t>
      </w:r>
      <w:r>
        <w:rPr>
          <w:rFonts w:hint="eastAsia" w:ascii="宋体" w:hAnsi="宋体" w:eastAsia="宋体" w:cs="宋体"/>
          <w:b/>
          <w:bCs/>
          <w:color w:val="auto"/>
          <w:kern w:val="0"/>
          <w:sz w:val="21"/>
          <w:szCs w:val="21"/>
          <w:highlight w:val="none"/>
        </w:rPr>
        <w:t>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r>
        <w:rPr>
          <w:rFonts w:hint="eastAsia" w:ascii="宋体" w:hAnsi="宋体" w:cs="宋体"/>
          <w:b/>
          <w:bCs/>
          <w:color w:val="auto"/>
          <w:kern w:val="0"/>
          <w:sz w:val="21"/>
          <w:szCs w:val="21"/>
          <w:highlight w:val="none"/>
          <w:lang w:eastAsia="zh-CN"/>
        </w:rPr>
        <w:t>；</w:t>
      </w:r>
    </w:p>
    <w:p w14:paraId="506E6401">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B1.2</w:t>
      </w: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投标人有以下情形之一的，其投标作否决投标处理；</w:t>
      </w:r>
    </w:p>
    <w:p w14:paraId="379994C7">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（1）串通投标或弄虚作假或有其他违法行为的；</w:t>
      </w:r>
    </w:p>
    <w:p w14:paraId="20656E84">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（2）不按评标委员会要求澄清、说明或补正的；</w:t>
      </w:r>
    </w:p>
    <w:p w14:paraId="4BBACA7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（3）评标委员会依据评标办法第2.1.1项、第2.1.2项、第2.1.3项规定的标准对投标文件进行初步评审。有一项不符合评审标准的，作否决投标处理</w:t>
      </w:r>
      <w:r>
        <w:rPr>
          <w:rFonts w:hint="eastAsia" w:ascii="宋体" w:hAnsi="宋体" w:cs="宋体"/>
          <w:b/>
          <w:bCs/>
          <w:color w:val="auto"/>
          <w:kern w:val="0"/>
          <w:sz w:val="21"/>
          <w:szCs w:val="21"/>
          <w:highlight w:val="none"/>
          <w:lang w:eastAsia="zh-CN"/>
        </w:rPr>
        <w:t>；</w:t>
      </w:r>
    </w:p>
    <w:p w14:paraId="3EDA57A8">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B1.</w:t>
      </w:r>
      <w:r>
        <w:rPr>
          <w:rFonts w:hint="eastAsia" w:ascii="宋体" w:hAnsi="宋体" w:cs="宋体"/>
          <w:b/>
          <w:bCs/>
          <w:color w:val="auto"/>
          <w:kern w:val="0"/>
          <w:sz w:val="21"/>
          <w:szCs w:val="21"/>
          <w:highlight w:val="none"/>
          <w:lang w:val="en-US" w:eastAsia="zh-CN"/>
        </w:rPr>
        <w:t>29</w:t>
      </w:r>
      <w:r>
        <w:rPr>
          <w:rFonts w:hint="eastAsia" w:ascii="宋体" w:hAnsi="宋体" w:eastAsia="宋体" w:cs="宋体"/>
          <w:b/>
          <w:bCs/>
          <w:color w:val="auto"/>
          <w:kern w:val="0"/>
          <w:sz w:val="21"/>
          <w:szCs w:val="21"/>
          <w:highlight w:val="none"/>
        </w:rPr>
        <w:t xml:space="preserve">投标人是工程总承包项目的代建单位或与代建单位存在隶属关系和管理关系的； </w:t>
      </w:r>
    </w:p>
    <w:p w14:paraId="772C0F38">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B1.3</w:t>
      </w:r>
      <w:r>
        <w:rPr>
          <w:rFonts w:hint="eastAsia" w:ascii="宋体" w:hAnsi="宋体" w:cs="宋体"/>
          <w:b/>
          <w:bCs/>
          <w:color w:val="auto"/>
          <w:kern w:val="0"/>
          <w:sz w:val="21"/>
          <w:szCs w:val="21"/>
          <w:highlight w:val="none"/>
          <w:lang w:val="en-US" w:eastAsia="zh-CN"/>
        </w:rPr>
        <w:t>0</w:t>
      </w:r>
      <w:r>
        <w:rPr>
          <w:rFonts w:hint="eastAsia" w:ascii="宋体" w:hAnsi="宋体" w:eastAsia="宋体" w:cs="宋体"/>
          <w:b/>
          <w:bCs/>
          <w:color w:val="auto"/>
          <w:kern w:val="0"/>
          <w:sz w:val="21"/>
          <w:szCs w:val="21"/>
          <w:highlight w:val="none"/>
          <w:lang w:eastAsia="zh-CN"/>
        </w:rPr>
        <w:t>投标文件中出现</w:t>
      </w:r>
      <w:r>
        <w:rPr>
          <w:rFonts w:hint="eastAsia" w:ascii="宋体" w:hAnsi="宋体" w:eastAsia="宋体" w:cs="宋体"/>
          <w:b/>
          <w:bCs/>
          <w:color w:val="auto"/>
          <w:kern w:val="0"/>
          <w:sz w:val="21"/>
          <w:szCs w:val="21"/>
          <w:highlight w:val="none"/>
          <w:lang w:val="en-US" w:eastAsia="zh-CN"/>
        </w:rPr>
        <w:t>招标人名称、</w:t>
      </w:r>
      <w:r>
        <w:rPr>
          <w:rFonts w:hint="eastAsia" w:ascii="宋体" w:hAnsi="宋体" w:eastAsia="宋体" w:cs="宋体"/>
          <w:b/>
          <w:bCs/>
          <w:color w:val="auto"/>
          <w:kern w:val="0"/>
          <w:sz w:val="21"/>
          <w:szCs w:val="21"/>
          <w:highlight w:val="none"/>
          <w:lang w:eastAsia="zh-CN"/>
        </w:rPr>
        <w:t>项目名称、</w:t>
      </w:r>
      <w:r>
        <w:rPr>
          <w:rFonts w:hint="eastAsia" w:ascii="宋体" w:hAnsi="宋体" w:eastAsia="宋体" w:cs="宋体"/>
          <w:b/>
          <w:bCs/>
          <w:color w:val="auto"/>
          <w:kern w:val="0"/>
          <w:sz w:val="21"/>
          <w:szCs w:val="21"/>
          <w:highlight w:val="none"/>
          <w:lang w:val="en-US" w:eastAsia="zh-CN"/>
        </w:rPr>
        <w:t>项目</w:t>
      </w:r>
      <w:r>
        <w:rPr>
          <w:rFonts w:hint="eastAsia" w:ascii="宋体" w:hAnsi="宋体" w:eastAsia="宋体" w:cs="宋体"/>
          <w:b/>
          <w:bCs/>
          <w:color w:val="auto"/>
          <w:kern w:val="0"/>
          <w:sz w:val="21"/>
          <w:szCs w:val="21"/>
          <w:highlight w:val="none"/>
          <w:lang w:eastAsia="zh-CN"/>
        </w:rPr>
        <w:t>地点明显错误的</w:t>
      </w:r>
      <w:r>
        <w:rPr>
          <w:rFonts w:hint="eastAsia" w:ascii="宋体" w:hAnsi="宋体" w:cs="宋体"/>
          <w:b/>
          <w:bCs/>
          <w:color w:val="auto"/>
          <w:kern w:val="0"/>
          <w:sz w:val="21"/>
          <w:szCs w:val="21"/>
          <w:highlight w:val="none"/>
          <w:lang w:eastAsia="zh-CN"/>
        </w:rPr>
        <w:t>。</w:t>
      </w:r>
    </w:p>
    <w:p w14:paraId="2351589F">
      <w:pPr>
        <w:adjustRightInd w:val="0"/>
        <w:snapToGrid w:val="0"/>
        <w:spacing w:line="360" w:lineRule="auto"/>
        <w:ind w:firstLine="422" w:firstLineChars="200"/>
        <w:jc w:val="left"/>
        <w:rPr>
          <w:rFonts w:hint="eastAsia" w:ascii="宋体" w:hAnsi="宋体" w:eastAsia="宋体" w:cs="宋体"/>
          <w:b/>
          <w:bCs/>
          <w:color w:val="auto"/>
          <w:kern w:val="0"/>
          <w:highlight w:val="none"/>
        </w:rPr>
      </w:pPr>
    </w:p>
    <w:p w14:paraId="127348A1">
      <w:pPr>
        <w:adjustRightInd w:val="0"/>
        <w:snapToGrid w:val="0"/>
        <w:spacing w:line="360" w:lineRule="auto"/>
        <w:ind w:firstLine="420" w:firstLineChars="200"/>
        <w:jc w:val="left"/>
        <w:rPr>
          <w:rFonts w:ascii="黑体" w:hAnsi="黑体" w:eastAsia="黑体" w:cs="Times New Roman"/>
          <w:color w:val="auto"/>
          <w:kern w:val="0"/>
          <w:highlight w:val="none"/>
        </w:rPr>
      </w:pPr>
    </w:p>
    <w:p w14:paraId="10560CC5">
      <w:pPr>
        <w:adjustRightInd w:val="0"/>
        <w:snapToGrid w:val="0"/>
        <w:spacing w:line="360" w:lineRule="auto"/>
        <w:ind w:firstLine="420" w:firstLineChars="200"/>
        <w:jc w:val="left"/>
        <w:rPr>
          <w:rFonts w:ascii="黑体" w:hAnsi="黑体" w:eastAsia="黑体" w:cs="Times New Roman"/>
          <w:color w:val="auto"/>
          <w:kern w:val="0"/>
          <w:highlight w:val="none"/>
        </w:rPr>
      </w:pPr>
    </w:p>
    <w:p w14:paraId="48D8CD93">
      <w:pPr>
        <w:pStyle w:val="114"/>
        <w:rPr>
          <w:rFonts w:ascii="黑体" w:hAnsi="黑体" w:eastAsia="黑体" w:cs="Times New Roman"/>
          <w:color w:val="auto"/>
          <w:kern w:val="0"/>
          <w:highlight w:val="none"/>
        </w:rPr>
      </w:pPr>
    </w:p>
    <w:p w14:paraId="2CE6348A">
      <w:pPr>
        <w:rPr>
          <w:rFonts w:ascii="黑体" w:hAnsi="黑体" w:eastAsia="黑体" w:cs="Times New Roman"/>
          <w:color w:val="auto"/>
          <w:kern w:val="0"/>
          <w:highlight w:val="none"/>
        </w:rPr>
      </w:pPr>
    </w:p>
    <w:p w14:paraId="5E46208C">
      <w:pPr>
        <w:rPr>
          <w:rFonts w:ascii="黑体" w:hAnsi="黑体" w:eastAsia="黑体" w:cs="Times New Roman"/>
          <w:color w:val="auto"/>
          <w:kern w:val="0"/>
          <w:highlight w:val="none"/>
        </w:rPr>
      </w:pPr>
    </w:p>
    <w:p w14:paraId="217A6AC7">
      <w:pPr>
        <w:pStyle w:val="34"/>
        <w:rPr>
          <w:rFonts w:ascii="黑体" w:hAnsi="黑体" w:eastAsia="黑体"/>
          <w:color w:val="auto"/>
          <w:highlight w:val="none"/>
        </w:rPr>
      </w:pPr>
    </w:p>
    <w:p w14:paraId="372843B2">
      <w:pPr>
        <w:pStyle w:val="34"/>
        <w:rPr>
          <w:rFonts w:ascii="黑体" w:hAnsi="黑体" w:eastAsia="黑体"/>
          <w:color w:val="auto"/>
          <w:highlight w:val="none"/>
        </w:rPr>
      </w:pPr>
    </w:p>
    <w:p w14:paraId="621D9D47">
      <w:pPr>
        <w:pStyle w:val="34"/>
        <w:rPr>
          <w:rFonts w:ascii="黑体" w:hAnsi="黑体" w:eastAsia="黑体"/>
          <w:color w:val="auto"/>
          <w:highlight w:val="none"/>
        </w:rPr>
      </w:pPr>
    </w:p>
    <w:p w14:paraId="15ACA1F2">
      <w:pPr>
        <w:pStyle w:val="34"/>
        <w:rPr>
          <w:rFonts w:ascii="黑体" w:hAnsi="黑体" w:eastAsia="黑体"/>
          <w:color w:val="auto"/>
          <w:highlight w:val="none"/>
        </w:rPr>
      </w:pPr>
    </w:p>
    <w:p w14:paraId="22499420">
      <w:pPr>
        <w:pStyle w:val="34"/>
        <w:rPr>
          <w:rFonts w:ascii="黑体" w:hAnsi="黑体" w:eastAsia="黑体"/>
          <w:color w:val="auto"/>
          <w:highlight w:val="none"/>
        </w:rPr>
      </w:pPr>
    </w:p>
    <w:p w14:paraId="020C8257">
      <w:pPr>
        <w:pStyle w:val="34"/>
        <w:rPr>
          <w:rFonts w:ascii="黑体" w:hAnsi="黑体" w:eastAsia="黑体"/>
          <w:color w:val="auto"/>
          <w:highlight w:val="none"/>
        </w:rPr>
      </w:pPr>
    </w:p>
    <w:p w14:paraId="648E0346">
      <w:pPr>
        <w:pStyle w:val="34"/>
        <w:rPr>
          <w:rFonts w:ascii="黑体" w:hAnsi="黑体" w:eastAsia="黑体"/>
          <w:color w:val="auto"/>
          <w:highlight w:val="none"/>
        </w:rPr>
      </w:pPr>
    </w:p>
    <w:p w14:paraId="6FDD0935">
      <w:pPr>
        <w:pStyle w:val="34"/>
        <w:rPr>
          <w:rFonts w:ascii="黑体" w:hAnsi="黑体" w:eastAsia="黑体"/>
          <w:color w:val="auto"/>
          <w:highlight w:val="none"/>
        </w:rPr>
      </w:pPr>
    </w:p>
    <w:p w14:paraId="3A2435D0">
      <w:pPr>
        <w:pStyle w:val="34"/>
        <w:rPr>
          <w:rFonts w:ascii="黑体" w:hAnsi="黑体" w:eastAsia="黑体"/>
          <w:color w:val="auto"/>
          <w:highlight w:val="none"/>
        </w:rPr>
      </w:pPr>
    </w:p>
    <w:p w14:paraId="5FA97170">
      <w:pPr>
        <w:pStyle w:val="34"/>
        <w:rPr>
          <w:rFonts w:ascii="黑体" w:hAnsi="黑体" w:eastAsia="黑体"/>
          <w:color w:val="auto"/>
          <w:highlight w:val="none"/>
        </w:rPr>
      </w:pPr>
    </w:p>
    <w:p w14:paraId="4EC17759">
      <w:pPr>
        <w:pStyle w:val="3"/>
        <w:numPr>
          <w:ilvl w:val="0"/>
          <w:numId w:val="16"/>
        </w:numPr>
        <w:jc w:val="center"/>
        <w:rPr>
          <w:rFonts w:cs="Times New Roman"/>
          <w:color w:val="auto"/>
          <w:sz w:val="36"/>
          <w:szCs w:val="36"/>
          <w:highlight w:val="none"/>
        </w:rPr>
      </w:pPr>
      <w:bookmarkStart w:id="735" w:name="_Toc4695"/>
      <w:bookmarkStart w:id="736" w:name="_Toc13174_WPSOffice_Level1"/>
      <w:bookmarkStart w:id="737" w:name="_Toc22838_WPSOffice_Level1"/>
      <w:r>
        <w:rPr>
          <w:rFonts w:hint="eastAsia" w:cs="宋体"/>
          <w:color w:val="auto"/>
          <w:sz w:val="36"/>
          <w:szCs w:val="36"/>
          <w:highlight w:val="none"/>
        </w:rPr>
        <w:t>合同条款及格式</w:t>
      </w:r>
      <w:bookmarkEnd w:id="706"/>
      <w:bookmarkEnd w:id="707"/>
      <w:bookmarkEnd w:id="708"/>
      <w:bookmarkEnd w:id="709"/>
      <w:bookmarkEnd w:id="710"/>
      <w:bookmarkEnd w:id="711"/>
      <w:bookmarkEnd w:id="731"/>
      <w:bookmarkEnd w:id="735"/>
      <w:bookmarkEnd w:id="736"/>
      <w:bookmarkEnd w:id="737"/>
      <w:bookmarkStart w:id="738" w:name="_Toc144974578"/>
      <w:bookmarkStart w:id="739" w:name="_Toc247527635"/>
      <w:bookmarkStart w:id="740" w:name="_Toc247514034"/>
      <w:bookmarkStart w:id="741" w:name="_Toc152045610"/>
      <w:bookmarkStart w:id="742" w:name="_Toc184635097"/>
      <w:bookmarkStart w:id="743" w:name="_Toc152042388"/>
    </w:p>
    <w:p w14:paraId="3BA134FC">
      <w:pPr>
        <w:rPr>
          <w:color w:val="auto"/>
          <w:highlight w:val="none"/>
        </w:rPr>
      </w:pPr>
      <w:r>
        <w:rPr>
          <w:color w:val="auto"/>
          <w:highlight w:val="none"/>
        </w:rPr>
        <w:t xml:space="preserve">                                                                    </w:t>
      </w:r>
    </w:p>
    <w:p w14:paraId="413B0C89">
      <w:pPr>
        <w:rPr>
          <w:color w:val="auto"/>
          <w:highlight w:val="none"/>
        </w:rPr>
      </w:pPr>
    </w:p>
    <w:p w14:paraId="65CC3FAB">
      <w:pPr>
        <w:jc w:val="center"/>
        <w:rPr>
          <w:rFonts w:cs="Times New Roman"/>
          <w:color w:val="auto"/>
          <w:sz w:val="28"/>
          <w:szCs w:val="28"/>
          <w:highlight w:val="none"/>
        </w:rPr>
      </w:pPr>
      <w:r>
        <w:rPr>
          <w:rFonts w:hint="eastAsia" w:cs="宋体"/>
          <w:color w:val="auto"/>
          <w:sz w:val="28"/>
          <w:szCs w:val="28"/>
          <w:highlight w:val="none"/>
        </w:rPr>
        <w:t>合同编号：</w:t>
      </w:r>
    </w:p>
    <w:p w14:paraId="389CCD24">
      <w:pPr>
        <w:tabs>
          <w:tab w:val="left" w:pos="360"/>
        </w:tabs>
        <w:jc w:val="center"/>
        <w:rPr>
          <w:rFonts w:ascii="宋体" w:cs="Times New Roman"/>
          <w:b/>
          <w:bCs/>
          <w:color w:val="auto"/>
          <w:sz w:val="48"/>
          <w:szCs w:val="48"/>
          <w:highlight w:val="none"/>
        </w:rPr>
      </w:pPr>
    </w:p>
    <w:p w14:paraId="06CDAC39">
      <w:pPr>
        <w:tabs>
          <w:tab w:val="left" w:pos="360"/>
        </w:tabs>
        <w:jc w:val="center"/>
        <w:rPr>
          <w:rFonts w:ascii="宋体" w:cs="Times New Roman"/>
          <w:b/>
          <w:bCs/>
          <w:color w:val="auto"/>
          <w:sz w:val="48"/>
          <w:szCs w:val="48"/>
          <w:highlight w:val="none"/>
        </w:rPr>
      </w:pPr>
    </w:p>
    <w:p w14:paraId="7CE51913">
      <w:pPr>
        <w:tabs>
          <w:tab w:val="left" w:pos="360"/>
        </w:tabs>
        <w:jc w:val="center"/>
        <w:rPr>
          <w:rFonts w:ascii="宋体" w:cs="Times New Roman"/>
          <w:b/>
          <w:bCs/>
          <w:color w:val="auto"/>
          <w:sz w:val="48"/>
          <w:szCs w:val="48"/>
          <w:highlight w:val="none"/>
        </w:rPr>
      </w:pPr>
    </w:p>
    <w:p w14:paraId="29552EBF">
      <w:pPr>
        <w:tabs>
          <w:tab w:val="left" w:pos="360"/>
        </w:tabs>
        <w:jc w:val="center"/>
        <w:rPr>
          <w:rFonts w:ascii="宋体" w:cs="Times New Roman"/>
          <w:b/>
          <w:bCs/>
          <w:color w:val="auto"/>
          <w:sz w:val="48"/>
          <w:szCs w:val="48"/>
          <w:highlight w:val="none"/>
        </w:rPr>
      </w:pPr>
    </w:p>
    <w:p w14:paraId="3AFC3E04">
      <w:pPr>
        <w:tabs>
          <w:tab w:val="left" w:pos="360"/>
        </w:tabs>
        <w:jc w:val="center"/>
        <w:rPr>
          <w:rFonts w:hint="eastAsia" w:ascii="宋体" w:hAnsi="宋体" w:cs="宋体"/>
          <w:b/>
          <w:bCs/>
          <w:color w:val="auto"/>
          <w:sz w:val="48"/>
          <w:szCs w:val="48"/>
          <w:highlight w:val="none"/>
        </w:rPr>
      </w:pPr>
      <w:bookmarkStart w:id="744" w:name="_Toc20337_WPSOffice_Level2"/>
      <w:bookmarkStart w:id="745" w:name="_Toc13708_WPSOffice_Level2"/>
      <w:r>
        <w:rPr>
          <w:rFonts w:hint="eastAsia" w:ascii="宋体" w:hAnsi="宋体" w:cs="宋体"/>
          <w:b/>
          <w:bCs/>
          <w:color w:val="auto"/>
          <w:sz w:val="48"/>
          <w:szCs w:val="48"/>
          <w:highlight w:val="none"/>
        </w:rPr>
        <w:t>建设工程总承包合同</w:t>
      </w:r>
    </w:p>
    <w:p w14:paraId="4650A669">
      <w:pPr>
        <w:tabs>
          <w:tab w:val="left" w:pos="360"/>
        </w:tabs>
        <w:jc w:val="center"/>
        <w:rPr>
          <w:rFonts w:hint="eastAsia" w:ascii="宋体" w:eastAsia="宋体" w:cs="Times New Roman"/>
          <w:b/>
          <w:bCs/>
          <w:color w:val="auto"/>
          <w:sz w:val="48"/>
          <w:szCs w:val="48"/>
          <w:highlight w:val="none"/>
          <w:lang w:eastAsia="zh-CN"/>
        </w:rPr>
      </w:pPr>
      <w:r>
        <w:rPr>
          <w:rFonts w:hint="eastAsia" w:ascii="宋体" w:hAnsi="宋体" w:cs="宋体"/>
          <w:b/>
          <w:bCs/>
          <w:color w:val="auto"/>
          <w:sz w:val="48"/>
          <w:szCs w:val="48"/>
          <w:highlight w:val="none"/>
          <w:lang w:eastAsia="zh-CN"/>
        </w:rPr>
        <w:t>（</w:t>
      </w:r>
      <w:r>
        <w:rPr>
          <w:rFonts w:hint="eastAsia" w:ascii="宋体" w:hAnsi="宋体" w:cs="宋体"/>
          <w:b/>
          <w:bCs/>
          <w:color w:val="auto"/>
          <w:sz w:val="48"/>
          <w:szCs w:val="48"/>
          <w:highlight w:val="none"/>
        </w:rPr>
        <w:t>示范文本</w:t>
      </w:r>
      <w:bookmarkEnd w:id="744"/>
      <w:bookmarkEnd w:id="745"/>
      <w:r>
        <w:rPr>
          <w:rFonts w:hint="eastAsia" w:ascii="宋体" w:hAnsi="宋体" w:cs="宋体"/>
          <w:b/>
          <w:bCs/>
          <w:color w:val="auto"/>
          <w:sz w:val="48"/>
          <w:szCs w:val="48"/>
          <w:highlight w:val="none"/>
          <w:lang w:eastAsia="zh-CN"/>
        </w:rPr>
        <w:t>）</w:t>
      </w:r>
    </w:p>
    <w:p w14:paraId="43B6EB1F">
      <w:pPr>
        <w:jc w:val="center"/>
        <w:rPr>
          <w:rFonts w:ascii="宋体" w:cs="Times New Roman"/>
          <w:b/>
          <w:bCs/>
          <w:color w:val="auto"/>
          <w:sz w:val="28"/>
          <w:szCs w:val="28"/>
          <w:highlight w:val="none"/>
        </w:rPr>
      </w:pPr>
    </w:p>
    <w:p w14:paraId="6EAE4700">
      <w:pPr>
        <w:jc w:val="center"/>
        <w:rPr>
          <w:rFonts w:ascii="宋体" w:cs="Times New Roman"/>
          <w:b/>
          <w:bCs/>
          <w:color w:val="auto"/>
          <w:sz w:val="28"/>
          <w:szCs w:val="28"/>
          <w:highlight w:val="none"/>
        </w:rPr>
      </w:pPr>
    </w:p>
    <w:p w14:paraId="070E5A09">
      <w:pPr>
        <w:jc w:val="center"/>
        <w:rPr>
          <w:rFonts w:ascii="宋体" w:cs="Times New Roman"/>
          <w:b/>
          <w:bCs/>
          <w:color w:val="auto"/>
          <w:sz w:val="28"/>
          <w:szCs w:val="28"/>
          <w:highlight w:val="none"/>
        </w:rPr>
      </w:pPr>
    </w:p>
    <w:p w14:paraId="4DFD057C">
      <w:pPr>
        <w:rPr>
          <w:rFonts w:ascii="宋体" w:cs="Times New Roman"/>
          <w:b/>
          <w:bCs/>
          <w:color w:val="auto"/>
          <w:sz w:val="28"/>
          <w:szCs w:val="28"/>
          <w:highlight w:val="none"/>
        </w:rPr>
      </w:pPr>
    </w:p>
    <w:p w14:paraId="649A5E06">
      <w:pPr>
        <w:rPr>
          <w:rFonts w:ascii="宋体" w:cs="Times New Roman"/>
          <w:b/>
          <w:bCs/>
          <w:color w:val="auto"/>
          <w:sz w:val="28"/>
          <w:szCs w:val="28"/>
          <w:highlight w:val="none"/>
        </w:rPr>
      </w:pPr>
    </w:p>
    <w:p w14:paraId="4C98D74F">
      <w:pPr>
        <w:rPr>
          <w:rFonts w:ascii="宋体" w:cs="Times New Roman"/>
          <w:b/>
          <w:bCs/>
          <w:color w:val="auto"/>
          <w:sz w:val="28"/>
          <w:szCs w:val="28"/>
          <w:highlight w:val="none"/>
        </w:rPr>
      </w:pPr>
    </w:p>
    <w:p w14:paraId="4B6DC144">
      <w:pPr>
        <w:rPr>
          <w:rFonts w:ascii="宋体" w:cs="Times New Roman"/>
          <w:b/>
          <w:bCs/>
          <w:color w:val="auto"/>
          <w:sz w:val="28"/>
          <w:szCs w:val="28"/>
          <w:highlight w:val="none"/>
        </w:rPr>
      </w:pPr>
    </w:p>
    <w:p w14:paraId="1BE86A3E">
      <w:pPr>
        <w:rPr>
          <w:rFonts w:ascii="宋体" w:cs="Times New Roman"/>
          <w:b/>
          <w:bCs/>
          <w:color w:val="auto"/>
          <w:sz w:val="28"/>
          <w:szCs w:val="28"/>
          <w:highlight w:val="none"/>
        </w:rPr>
      </w:pPr>
    </w:p>
    <w:p w14:paraId="037456E9">
      <w:pPr>
        <w:rPr>
          <w:rFonts w:cs="Times New Roman"/>
          <w:color w:val="auto"/>
          <w:highlight w:val="none"/>
        </w:rPr>
      </w:pPr>
    </w:p>
    <w:p w14:paraId="563CB18D">
      <w:pPr>
        <w:pStyle w:val="116"/>
        <w:rPr>
          <w:rFonts w:cs="Times New Roman"/>
          <w:color w:val="auto"/>
          <w:highlight w:val="none"/>
        </w:rPr>
      </w:pPr>
    </w:p>
    <w:p w14:paraId="33AF73E4">
      <w:pPr>
        <w:pStyle w:val="116"/>
        <w:rPr>
          <w:rFonts w:cs="Times New Roman"/>
          <w:color w:val="auto"/>
          <w:highlight w:val="none"/>
        </w:rPr>
      </w:pPr>
    </w:p>
    <w:p w14:paraId="4D86767A">
      <w:pPr>
        <w:pStyle w:val="116"/>
        <w:rPr>
          <w:rFonts w:cs="Times New Roman"/>
          <w:color w:val="auto"/>
          <w:highlight w:val="none"/>
        </w:rPr>
      </w:pPr>
    </w:p>
    <w:p w14:paraId="79751C73">
      <w:pPr>
        <w:pStyle w:val="116"/>
        <w:rPr>
          <w:rFonts w:cs="Times New Roman"/>
          <w:color w:val="auto"/>
          <w:highlight w:val="none"/>
        </w:rPr>
      </w:pPr>
    </w:p>
    <w:p w14:paraId="166E6490">
      <w:pPr>
        <w:pStyle w:val="116"/>
        <w:rPr>
          <w:rFonts w:cs="Times New Roman"/>
          <w:color w:val="auto"/>
          <w:highlight w:val="none"/>
        </w:rPr>
      </w:pPr>
    </w:p>
    <w:p w14:paraId="67B8A5C2">
      <w:pPr>
        <w:pStyle w:val="116"/>
        <w:rPr>
          <w:rFonts w:cs="Times New Roman"/>
          <w:color w:val="auto"/>
          <w:highlight w:val="none"/>
        </w:rPr>
      </w:pPr>
    </w:p>
    <w:p w14:paraId="7716C516">
      <w:pPr>
        <w:pStyle w:val="116"/>
        <w:rPr>
          <w:rFonts w:cs="Times New Roman"/>
          <w:color w:val="auto"/>
          <w:highlight w:val="none"/>
        </w:rPr>
      </w:pPr>
    </w:p>
    <w:p w14:paraId="2F8E77AC">
      <w:pPr>
        <w:pStyle w:val="116"/>
        <w:rPr>
          <w:rFonts w:cs="Times New Roman"/>
          <w:color w:val="auto"/>
          <w:highlight w:val="none"/>
        </w:rPr>
      </w:pPr>
    </w:p>
    <w:p w14:paraId="36BC63DE">
      <w:pPr>
        <w:rPr>
          <w:rFonts w:cs="Times New Roman"/>
          <w:color w:val="auto"/>
          <w:highlight w:val="none"/>
        </w:rPr>
      </w:pPr>
    </w:p>
    <w:p w14:paraId="78B24AF0">
      <w:pPr>
        <w:pStyle w:val="684"/>
        <w:keepNext w:val="0"/>
        <w:keepLines w:val="0"/>
        <w:widowControl/>
        <w:adjustRightInd w:val="0"/>
        <w:snapToGrid w:val="0"/>
        <w:spacing w:before="0" w:after="50" w:line="360" w:lineRule="auto"/>
        <w:jc w:val="center"/>
        <w:rPr>
          <w:rFonts w:hint="eastAsia" w:ascii="华文中宋" w:hAnsi="华文中宋" w:eastAsia="华文中宋"/>
          <w:color w:val="auto"/>
          <w:sz w:val="44"/>
          <w:szCs w:val="52"/>
          <w:highlight w:val="none"/>
        </w:rPr>
      </w:pPr>
      <w:bookmarkStart w:id="746" w:name="_Toc54862164"/>
      <w:bookmarkStart w:id="747" w:name="_Toc1367_WPSOffice_Level2"/>
      <w:bookmarkStart w:id="748" w:name="_Toc18313_WPSOffice_Level2"/>
    </w:p>
    <w:p w14:paraId="408695CF">
      <w:pPr>
        <w:rPr>
          <w:rFonts w:hint="eastAsia"/>
          <w:color w:val="auto"/>
          <w:highlight w:val="none"/>
        </w:rPr>
      </w:pPr>
    </w:p>
    <w:bookmarkEnd w:id="738"/>
    <w:bookmarkEnd w:id="739"/>
    <w:bookmarkEnd w:id="740"/>
    <w:bookmarkEnd w:id="741"/>
    <w:bookmarkEnd w:id="742"/>
    <w:bookmarkEnd w:id="743"/>
    <w:bookmarkEnd w:id="746"/>
    <w:bookmarkEnd w:id="747"/>
    <w:bookmarkEnd w:id="748"/>
    <w:p w14:paraId="28023D31">
      <w:pPr>
        <w:pStyle w:val="684"/>
        <w:keepNext w:val="0"/>
        <w:keepLines w:val="0"/>
        <w:widowControl/>
        <w:adjustRightInd w:val="0"/>
        <w:snapToGrid w:val="0"/>
        <w:spacing w:before="0" w:after="50" w:line="360" w:lineRule="auto"/>
        <w:jc w:val="center"/>
        <w:rPr>
          <w:rFonts w:hint="eastAsia" w:ascii="宋体" w:hAnsi="宋体" w:eastAsia="宋体" w:cs="宋体"/>
          <w:b/>
          <w:bCs/>
          <w:color w:val="auto"/>
          <w:kern w:val="2"/>
          <w:sz w:val="44"/>
          <w:szCs w:val="44"/>
          <w:highlight w:val="none"/>
          <w:lang w:val="en-US" w:eastAsia="zh-CN" w:bidi="ar-SA"/>
        </w:rPr>
      </w:pPr>
      <w:r>
        <w:rPr>
          <w:rFonts w:hint="eastAsia" w:ascii="宋体" w:hAnsi="宋体" w:eastAsia="宋体" w:cs="宋体"/>
          <w:b/>
          <w:bCs/>
          <w:color w:val="auto"/>
          <w:kern w:val="2"/>
          <w:sz w:val="44"/>
          <w:szCs w:val="44"/>
          <w:highlight w:val="none"/>
          <w:lang w:val="en-US" w:eastAsia="zh-CN" w:bidi="ar-SA"/>
        </w:rPr>
        <w:t>第一部分 合同协议书</w:t>
      </w:r>
    </w:p>
    <w:p w14:paraId="0A73C3C3">
      <w:pPr>
        <w:adjustRightInd w:val="0"/>
        <w:snapToGrid w:val="0"/>
        <w:spacing w:line="360" w:lineRule="auto"/>
        <w:ind w:firstLine="420" w:firstLineChars="200"/>
        <w:jc w:val="left"/>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lang w:val="en-US" w:eastAsia="zh-CN"/>
        </w:rPr>
        <w:t xml:space="preserve">发包人（全称）： </w:t>
      </w:r>
      <w:r>
        <w:rPr>
          <w:rFonts w:hint="eastAsia" w:ascii="宋体" w:hAnsi="宋体" w:eastAsia="宋体" w:cs="宋体"/>
          <w:b w:val="0"/>
          <w:bCs w:val="0"/>
          <w:color w:val="auto"/>
          <w:sz w:val="21"/>
          <w:szCs w:val="21"/>
          <w:highlight w:val="none"/>
          <w:u w:val="single"/>
          <w:lang w:val="en-US" w:eastAsia="zh-CN"/>
        </w:rPr>
        <w:t xml:space="preserve">                                   </w:t>
      </w:r>
    </w:p>
    <w:p w14:paraId="05D7E81F">
      <w:pPr>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承包人（全称）： </w:t>
      </w:r>
      <w:r>
        <w:rPr>
          <w:rFonts w:hint="eastAsia" w:ascii="宋体" w:hAnsi="宋体" w:eastAsia="宋体" w:cs="宋体"/>
          <w:b w:val="0"/>
          <w:bCs w:val="0"/>
          <w:color w:val="auto"/>
          <w:sz w:val="21"/>
          <w:szCs w:val="21"/>
          <w:highlight w:val="none"/>
          <w:u w:val="single"/>
          <w:lang w:val="en-US" w:eastAsia="zh-CN"/>
        </w:rPr>
        <w:t xml:space="preserve">                                   </w:t>
      </w:r>
    </w:p>
    <w:p w14:paraId="04649893">
      <w:pPr>
        <w:adjustRightInd w:val="0"/>
        <w:snapToGrid w:val="0"/>
        <w:spacing w:line="360" w:lineRule="auto"/>
        <w:ind w:firstLine="420" w:firstLineChars="20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根据《中华人民共和国民法典》、《中华人民共和国建筑法》及有关法律规定，遵循平等、自愿、公平和诚实信用的原则，双方就</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none"/>
          <w:lang w:val="en-US" w:eastAsia="zh-CN"/>
        </w:rPr>
        <w:t>项目</w:t>
      </w:r>
      <w:r>
        <w:rPr>
          <w:rFonts w:hint="eastAsia" w:ascii="宋体" w:hAnsi="宋体" w:eastAsia="宋体" w:cs="宋体"/>
          <w:b w:val="0"/>
          <w:bCs w:val="0"/>
          <w:color w:val="auto"/>
          <w:sz w:val="21"/>
          <w:szCs w:val="21"/>
          <w:highlight w:val="none"/>
          <w:lang w:val="en-US" w:eastAsia="zh-CN"/>
        </w:rPr>
        <w:t>的工程总承包及有关事项协商一致，共同达成如下协议：</w:t>
      </w:r>
    </w:p>
    <w:p w14:paraId="4A620223">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49" w:name="_Toc26153"/>
      <w:bookmarkStart w:id="750" w:name="_Toc54862165"/>
      <w:r>
        <w:rPr>
          <w:rFonts w:hint="eastAsia" w:ascii="宋体" w:hAnsi="宋体" w:eastAsia="宋体" w:cs="宋体"/>
          <w:b/>
          <w:bCs/>
          <w:color w:val="auto"/>
          <w:kern w:val="2"/>
          <w:sz w:val="24"/>
          <w:szCs w:val="24"/>
          <w:highlight w:val="none"/>
          <w:lang w:val="en-US" w:eastAsia="zh-CN" w:bidi="ar-SA"/>
        </w:rPr>
        <w:t>一、工程概况</w:t>
      </w:r>
      <w:bookmarkEnd w:id="749"/>
      <w:bookmarkEnd w:id="750"/>
    </w:p>
    <w:p w14:paraId="58681F15">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工程名称：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CEF6604">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工程地点：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73DF607">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工程审批、核准或备案文号：</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CF75B8B">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资金来源：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5E9E539">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工程内容及规模：</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A9E22B3">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工程承包范围：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066BCA4">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51" w:name="_Toc54862166"/>
      <w:bookmarkStart w:id="752" w:name="_Toc896"/>
      <w:r>
        <w:rPr>
          <w:rFonts w:hint="eastAsia" w:ascii="宋体" w:hAnsi="宋体" w:eastAsia="宋体" w:cs="宋体"/>
          <w:b/>
          <w:bCs/>
          <w:color w:val="auto"/>
          <w:kern w:val="2"/>
          <w:sz w:val="24"/>
          <w:szCs w:val="24"/>
          <w:highlight w:val="none"/>
          <w:lang w:val="en-US" w:eastAsia="zh-CN" w:bidi="ar-SA"/>
        </w:rPr>
        <w:t>二、合同工期</w:t>
      </w:r>
      <w:bookmarkEnd w:id="751"/>
      <w:bookmarkEnd w:id="752"/>
    </w:p>
    <w:p w14:paraId="75A16D8A">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计划开始工作日期：</w:t>
      </w:r>
      <w:r>
        <w:rPr>
          <w:rFonts w:hint="eastAsia" w:ascii="宋体" w:hAnsi="宋体" w:eastAsia="宋体" w:cs="宋体"/>
          <w:b w:val="0"/>
          <w:bCs w:val="0"/>
          <w:color w:val="auto"/>
          <w:kern w:val="2"/>
          <w:sz w:val="21"/>
          <w:szCs w:val="21"/>
          <w:highlight w:val="none"/>
          <w:u w:val="single"/>
          <w:lang w:val="en-US" w:eastAsia="zh-CN" w:bidi="ar-SA"/>
        </w:rPr>
        <w:t xml:space="preserve">         年     月     日</w:t>
      </w:r>
      <w:r>
        <w:rPr>
          <w:rFonts w:hint="eastAsia" w:ascii="宋体" w:hAnsi="宋体" w:eastAsia="宋体" w:cs="宋体"/>
          <w:b w:val="0"/>
          <w:bCs w:val="0"/>
          <w:color w:val="auto"/>
          <w:kern w:val="2"/>
          <w:sz w:val="21"/>
          <w:szCs w:val="21"/>
          <w:highlight w:val="none"/>
          <w:lang w:val="en-US" w:eastAsia="zh-CN" w:bidi="ar-SA"/>
        </w:rPr>
        <w:t>。</w:t>
      </w:r>
    </w:p>
    <w:p w14:paraId="0C4A86AE">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计划开始现场施工日期：</w:t>
      </w:r>
      <w:r>
        <w:rPr>
          <w:rFonts w:hint="eastAsia" w:ascii="宋体" w:hAnsi="宋体" w:eastAsia="宋体" w:cs="宋体"/>
          <w:b w:val="0"/>
          <w:bCs w:val="0"/>
          <w:color w:val="auto"/>
          <w:kern w:val="2"/>
          <w:sz w:val="21"/>
          <w:szCs w:val="21"/>
          <w:highlight w:val="none"/>
          <w:u w:val="single"/>
          <w:lang w:val="en-US" w:eastAsia="zh-CN" w:bidi="ar-SA"/>
        </w:rPr>
        <w:t xml:space="preserve">         年     月     日</w:t>
      </w:r>
      <w:r>
        <w:rPr>
          <w:rFonts w:hint="eastAsia" w:ascii="宋体" w:hAnsi="宋体" w:eastAsia="宋体" w:cs="宋体"/>
          <w:b w:val="0"/>
          <w:bCs w:val="0"/>
          <w:color w:val="auto"/>
          <w:kern w:val="2"/>
          <w:sz w:val="21"/>
          <w:szCs w:val="21"/>
          <w:highlight w:val="none"/>
          <w:lang w:val="en-US" w:eastAsia="zh-CN" w:bidi="ar-SA"/>
        </w:rPr>
        <w:t>。</w:t>
      </w:r>
    </w:p>
    <w:p w14:paraId="4B3A9B80">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计划竣工日期：</w:t>
      </w:r>
      <w:r>
        <w:rPr>
          <w:rFonts w:hint="eastAsia" w:ascii="宋体" w:hAnsi="宋体" w:eastAsia="宋体" w:cs="宋体"/>
          <w:b w:val="0"/>
          <w:bCs w:val="0"/>
          <w:color w:val="auto"/>
          <w:kern w:val="2"/>
          <w:sz w:val="21"/>
          <w:szCs w:val="21"/>
          <w:highlight w:val="none"/>
          <w:u w:val="single"/>
          <w:lang w:val="en-US" w:eastAsia="zh-CN" w:bidi="ar-SA"/>
        </w:rPr>
        <w:t xml:space="preserve">         年     月     日</w:t>
      </w:r>
      <w:r>
        <w:rPr>
          <w:rFonts w:hint="eastAsia" w:ascii="宋体" w:hAnsi="宋体" w:eastAsia="宋体" w:cs="宋体"/>
          <w:b w:val="0"/>
          <w:bCs w:val="0"/>
          <w:color w:val="auto"/>
          <w:kern w:val="2"/>
          <w:sz w:val="21"/>
          <w:szCs w:val="21"/>
          <w:highlight w:val="none"/>
          <w:lang w:val="en-US" w:eastAsia="zh-CN" w:bidi="ar-SA"/>
        </w:rPr>
        <w:t>。</w:t>
      </w:r>
    </w:p>
    <w:p w14:paraId="42BAD32C">
      <w:pPr>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工期总日历天数：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天，工期总日历天数与根据前述计划日期计算的工期天数不一致的，以工期总日历天数为准。</w:t>
      </w:r>
    </w:p>
    <w:p w14:paraId="1F8DE1F3">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53" w:name="_Toc4416"/>
      <w:bookmarkStart w:id="754" w:name="_Toc54862167"/>
      <w:r>
        <w:rPr>
          <w:rFonts w:hint="eastAsia" w:ascii="宋体" w:hAnsi="宋体" w:eastAsia="宋体" w:cs="宋体"/>
          <w:b/>
          <w:bCs/>
          <w:color w:val="auto"/>
          <w:kern w:val="2"/>
          <w:sz w:val="24"/>
          <w:szCs w:val="24"/>
          <w:highlight w:val="none"/>
          <w:lang w:val="en-US" w:eastAsia="zh-CN" w:bidi="ar-SA"/>
        </w:rPr>
        <w:t>三、质量标准</w:t>
      </w:r>
      <w:bookmarkEnd w:id="753"/>
      <w:bookmarkEnd w:id="754"/>
    </w:p>
    <w:p w14:paraId="1F38B72A">
      <w:pPr>
        <w:wordWrap/>
        <w:topLinePunct w:val="0"/>
        <w:spacing w:line="360" w:lineRule="auto"/>
        <w:ind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工程质量标准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7E866E">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55" w:name="_Toc26145"/>
      <w:bookmarkStart w:id="756" w:name="_Toc54862168"/>
      <w:r>
        <w:rPr>
          <w:rFonts w:hint="eastAsia" w:ascii="宋体" w:hAnsi="宋体" w:eastAsia="宋体" w:cs="宋体"/>
          <w:b/>
          <w:bCs/>
          <w:color w:val="auto"/>
          <w:kern w:val="2"/>
          <w:sz w:val="24"/>
          <w:szCs w:val="24"/>
          <w:highlight w:val="none"/>
          <w:lang w:val="en-US" w:eastAsia="zh-CN" w:bidi="ar-SA"/>
        </w:rPr>
        <w:t>四、签约合同价与合同价格形式</w:t>
      </w:r>
      <w:bookmarkEnd w:id="755"/>
      <w:bookmarkEnd w:id="756"/>
    </w:p>
    <w:p w14:paraId="49DA3FB0">
      <w:pPr>
        <w:spacing w:line="360" w:lineRule="auto"/>
        <w:ind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1. 签约合同价（含税）为</w:t>
      </w:r>
      <w:r>
        <w:rPr>
          <w:rFonts w:hint="eastAsia" w:ascii="宋体" w:hAnsi="宋体" w:eastAsia="宋体" w:cs="宋体"/>
          <w:color w:val="auto"/>
          <w:sz w:val="21"/>
          <w:szCs w:val="21"/>
          <w:highlight w:val="none"/>
        </w:rPr>
        <w:t>：</w:t>
      </w:r>
    </w:p>
    <w:p w14:paraId="15829EAD">
      <w:pPr>
        <w:wordWrap/>
        <w:topLinePunct w:val="0"/>
        <w:spacing w:line="360" w:lineRule="auto"/>
        <w:ind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r>
        <w:rPr>
          <w:rFonts w:hint="eastAsia" w:ascii="宋体" w:hAnsi="宋体" w:eastAsia="宋体" w:cs="宋体"/>
          <w:color w:val="auto"/>
          <w:sz w:val="21"/>
          <w:szCs w:val="21"/>
          <w:highlight w:val="none"/>
        </w:rPr>
        <w:t>）。</w:t>
      </w:r>
    </w:p>
    <w:p w14:paraId="1A65CB46">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具体构成详见价格清单。其中： </w:t>
      </w:r>
    </w:p>
    <w:p w14:paraId="47EB6BB0">
      <w:pPr>
        <w:wordWrap/>
        <w:topLinePunct w:val="0"/>
        <w:spacing w:line="360" w:lineRule="auto"/>
        <w:ind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（1）设计费（含税）：</w:t>
      </w:r>
    </w:p>
    <w:p w14:paraId="39A45E61">
      <w:pPr>
        <w:wordWrap/>
        <w:topLinePunct w:val="0"/>
        <w:spacing w:line="360" w:lineRule="auto"/>
        <w:ind w:firstLine="6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元）；适用税率：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%，税金为人民币（大写)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r>
        <w:rPr>
          <w:rFonts w:hint="eastAsia" w:ascii="宋体" w:hAnsi="宋体" w:eastAsia="宋体" w:cs="宋体"/>
          <w:b w:val="0"/>
          <w:bCs w:val="0"/>
          <w:color w:val="auto"/>
          <w:kern w:val="2"/>
          <w:sz w:val="24"/>
          <w:szCs w:val="24"/>
          <w:highlight w:val="none"/>
          <w:lang w:val="en-US" w:eastAsia="zh-CN" w:bidi="ar-SA"/>
        </w:rPr>
        <w:t xml:space="preserve"> </w:t>
      </w:r>
    </w:p>
    <w:p w14:paraId="529ACC3C">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（2）设备购置费（含税）：</w:t>
      </w:r>
    </w:p>
    <w:p w14:paraId="555C98EC">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元）；适用税率：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%，税金为人民币（大写)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元）； </w:t>
      </w:r>
    </w:p>
    <w:p w14:paraId="5568BE55">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（3）建筑安装工程费（含税）：</w:t>
      </w:r>
    </w:p>
    <w:p w14:paraId="71CC33EF">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元）；适用税率：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%，税金为人民币（大写)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元）； </w:t>
      </w:r>
    </w:p>
    <w:p w14:paraId="31A52524">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（4）暂估价（含税）：</w:t>
      </w:r>
    </w:p>
    <w:p w14:paraId="60CB151A">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p>
    <w:p w14:paraId="574BC141">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（5）暂列金额（含税）：</w:t>
      </w:r>
    </w:p>
    <w:p w14:paraId="465393CA">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p>
    <w:p w14:paraId="654A5C32">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（6）双方约定的其他费用（含税）：</w:t>
      </w:r>
    </w:p>
    <w:p w14:paraId="5F487FC8">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元）；适用税率：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%，税金为人民币（大写)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p>
    <w:p w14:paraId="65A661B8">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合同价格形式：</w:t>
      </w:r>
    </w:p>
    <w:p w14:paraId="5655C503">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合同价格形式为总价合同，除根据合同约定的在工程实施过程中需进行增减的款项外，合同价格不予调整，但合同当事人另有约定的除外。</w:t>
      </w:r>
    </w:p>
    <w:p w14:paraId="546C2B82">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合同当事人对合同价格形式的其他约定：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D43DF63">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57" w:name="_Toc54862169"/>
      <w:bookmarkStart w:id="758" w:name="_Toc7884"/>
      <w:r>
        <w:rPr>
          <w:rFonts w:hint="eastAsia" w:ascii="宋体" w:hAnsi="宋体" w:eastAsia="宋体" w:cs="宋体"/>
          <w:b/>
          <w:bCs/>
          <w:color w:val="auto"/>
          <w:kern w:val="2"/>
          <w:sz w:val="24"/>
          <w:szCs w:val="24"/>
          <w:highlight w:val="none"/>
          <w:lang w:val="en-US" w:eastAsia="zh-CN" w:bidi="ar-SA"/>
        </w:rPr>
        <w:t>五、工程总承包项目经理</w:t>
      </w:r>
      <w:bookmarkEnd w:id="757"/>
      <w:bookmarkEnd w:id="758"/>
    </w:p>
    <w:p w14:paraId="1862B290">
      <w:pPr>
        <w:wordWrap/>
        <w:topLinePunct w:val="0"/>
        <w:spacing w:line="360" w:lineRule="auto"/>
        <w:ind w:firstLine="600"/>
        <w:rPr>
          <w:rFonts w:hint="eastAsia" w:ascii="宋体" w:hAnsi="宋体" w:eastAsia="宋体" w:cs="宋体"/>
          <w:color w:val="auto"/>
          <w:sz w:val="30"/>
          <w:szCs w:val="30"/>
          <w:highlight w:val="none"/>
        </w:rPr>
      </w:pPr>
      <w:r>
        <w:rPr>
          <w:rFonts w:hint="eastAsia" w:ascii="宋体" w:hAnsi="宋体" w:eastAsia="宋体" w:cs="宋体"/>
          <w:b w:val="0"/>
          <w:bCs w:val="0"/>
          <w:color w:val="auto"/>
          <w:kern w:val="2"/>
          <w:sz w:val="21"/>
          <w:szCs w:val="21"/>
          <w:highlight w:val="none"/>
          <w:lang w:val="en-US" w:eastAsia="zh-CN" w:bidi="ar-SA"/>
        </w:rPr>
        <w:t>工程总承包项目经理：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656592">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59" w:name="_Toc54862170"/>
      <w:bookmarkStart w:id="760" w:name="_Toc31186"/>
      <w:r>
        <w:rPr>
          <w:rFonts w:hint="eastAsia" w:ascii="宋体" w:hAnsi="宋体" w:eastAsia="宋体" w:cs="宋体"/>
          <w:b/>
          <w:bCs/>
          <w:color w:val="auto"/>
          <w:kern w:val="2"/>
          <w:sz w:val="24"/>
          <w:szCs w:val="24"/>
          <w:highlight w:val="none"/>
          <w:lang w:val="en-US" w:eastAsia="zh-CN" w:bidi="ar-SA"/>
        </w:rPr>
        <w:t>六、合同文件构成</w:t>
      </w:r>
      <w:bookmarkEnd w:id="759"/>
      <w:bookmarkEnd w:id="760"/>
    </w:p>
    <w:p w14:paraId="790B3E55">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本协议书与下列文件一起构成合同文件： </w:t>
      </w:r>
    </w:p>
    <w:p w14:paraId="220011D1">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中标通知书（如果有）；</w:t>
      </w:r>
    </w:p>
    <w:p w14:paraId="7A83DFCC">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投标函及投标函附录（如果有）；</w:t>
      </w:r>
    </w:p>
    <w:p w14:paraId="4D039323">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专用合同条件及《发包人要求》等附件；</w:t>
      </w:r>
    </w:p>
    <w:p w14:paraId="0C5E0576">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通用合同条件；</w:t>
      </w:r>
    </w:p>
    <w:p w14:paraId="73F1E2FF">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（5） 承包人建议书； </w:t>
      </w:r>
    </w:p>
    <w:p w14:paraId="35B0B5F0">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价格清单；</w:t>
      </w:r>
    </w:p>
    <w:p w14:paraId="0239A786">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双方约定的其他合同文件。</w:t>
      </w:r>
    </w:p>
    <w:p w14:paraId="7F96B91B">
      <w:pPr>
        <w:wordWrap/>
        <w:topLinePunct w:val="0"/>
        <w:spacing w:line="360" w:lineRule="auto"/>
        <w:ind w:firstLine="6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上述各项合同文件包括双方就该项合同文件所作出的补充和修改，属于同一类内容的合同文件应以最新签署的为准。专用合同条件及其附件须经合同当事人签字或盖章。</w:t>
      </w:r>
    </w:p>
    <w:p w14:paraId="7DB591F3">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61" w:name="_Toc54862171"/>
      <w:bookmarkStart w:id="762" w:name="_Toc6365"/>
      <w:r>
        <w:rPr>
          <w:rFonts w:hint="eastAsia" w:ascii="宋体" w:hAnsi="宋体" w:eastAsia="宋体" w:cs="宋体"/>
          <w:b/>
          <w:bCs/>
          <w:color w:val="auto"/>
          <w:kern w:val="2"/>
          <w:sz w:val="24"/>
          <w:szCs w:val="24"/>
          <w:highlight w:val="none"/>
          <w:lang w:val="en-US" w:eastAsia="zh-CN" w:bidi="ar-SA"/>
        </w:rPr>
        <w:t>七、承诺</w:t>
      </w:r>
      <w:bookmarkEnd w:id="761"/>
      <w:bookmarkEnd w:id="762"/>
    </w:p>
    <w:p w14:paraId="60F4CA6A">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1.发包人承诺按照法律规定履行项目审批手续、筹集工程建设资金并按照合同约定的期限和方式支付合同价款。</w:t>
      </w:r>
    </w:p>
    <w:p w14:paraId="6A34B636">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2.承包人承诺按照法律规定及合同约定组织完成工程的设计、采购和施工等工作，确保工程质量和安全，不进行转包及违法分包，并在缺陷责任期及保修期内承担相应的工程维修责任。</w:t>
      </w:r>
    </w:p>
    <w:p w14:paraId="7CC85672">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63" w:name="_Toc54862172"/>
      <w:bookmarkStart w:id="764" w:name="_Toc11731"/>
      <w:r>
        <w:rPr>
          <w:rFonts w:hint="eastAsia" w:ascii="宋体" w:hAnsi="宋体" w:eastAsia="宋体" w:cs="宋体"/>
          <w:b/>
          <w:bCs/>
          <w:color w:val="auto"/>
          <w:kern w:val="2"/>
          <w:sz w:val="24"/>
          <w:szCs w:val="24"/>
          <w:highlight w:val="none"/>
          <w:lang w:val="en-US" w:eastAsia="zh-CN" w:bidi="ar-SA"/>
        </w:rPr>
        <w:t>八、订立时间</w:t>
      </w:r>
      <w:bookmarkEnd w:id="763"/>
      <w:bookmarkEnd w:id="764"/>
    </w:p>
    <w:p w14:paraId="0DB566A2">
      <w:pPr>
        <w:wordWrap/>
        <w:topLinePunct w:val="0"/>
        <w:spacing w:line="24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本合同于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日订立。</w:t>
      </w:r>
    </w:p>
    <w:p w14:paraId="5C1A6EF4">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65" w:name="_Toc20830"/>
      <w:bookmarkStart w:id="766" w:name="_Toc54862173"/>
      <w:r>
        <w:rPr>
          <w:rFonts w:hint="eastAsia" w:ascii="宋体" w:hAnsi="宋体" w:eastAsia="宋体" w:cs="宋体"/>
          <w:b/>
          <w:bCs/>
          <w:color w:val="auto"/>
          <w:kern w:val="2"/>
          <w:sz w:val="24"/>
          <w:szCs w:val="24"/>
          <w:highlight w:val="none"/>
          <w:lang w:val="en-US" w:eastAsia="zh-CN" w:bidi="ar-SA"/>
        </w:rPr>
        <w:t>九、订立地点</w:t>
      </w:r>
      <w:bookmarkEnd w:id="765"/>
      <w:bookmarkEnd w:id="766"/>
    </w:p>
    <w:p w14:paraId="067B58C7">
      <w:pPr>
        <w:wordWrap/>
        <w:topLinePunct w:val="0"/>
        <w:spacing w:line="240" w:lineRule="auto"/>
        <w:ind w:firstLine="600"/>
        <w:rPr>
          <w:rFonts w:hint="eastAsia" w:ascii="宋体" w:hAnsi="宋体" w:eastAsia="宋体" w:cs="宋体"/>
          <w:color w:val="auto"/>
          <w:sz w:val="30"/>
          <w:szCs w:val="30"/>
          <w:highlight w:val="none"/>
        </w:rPr>
      </w:pPr>
      <w:r>
        <w:rPr>
          <w:rFonts w:hint="eastAsia" w:ascii="宋体" w:hAnsi="宋体" w:eastAsia="宋体" w:cs="宋体"/>
          <w:b w:val="0"/>
          <w:bCs w:val="0"/>
          <w:color w:val="auto"/>
          <w:kern w:val="2"/>
          <w:sz w:val="21"/>
          <w:szCs w:val="21"/>
          <w:highlight w:val="none"/>
          <w:lang w:val="en-US" w:eastAsia="zh-CN" w:bidi="ar-SA"/>
        </w:rPr>
        <w:t>本合同在</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订立</w:t>
      </w:r>
      <w:r>
        <w:rPr>
          <w:rFonts w:hint="eastAsia" w:ascii="宋体" w:hAnsi="宋体" w:eastAsia="宋体" w:cs="宋体"/>
          <w:b w:val="0"/>
          <w:bCs w:val="0"/>
          <w:color w:val="auto"/>
          <w:kern w:val="2"/>
          <w:sz w:val="24"/>
          <w:szCs w:val="24"/>
          <w:highlight w:val="none"/>
          <w:lang w:val="en-US" w:eastAsia="zh-CN" w:bidi="ar-SA"/>
        </w:rPr>
        <w:t>。</w:t>
      </w:r>
    </w:p>
    <w:p w14:paraId="6936ED0D">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67" w:name="_Toc54862174"/>
      <w:bookmarkStart w:id="768" w:name="_Toc31616"/>
      <w:r>
        <w:rPr>
          <w:rFonts w:hint="eastAsia" w:ascii="宋体" w:hAnsi="宋体" w:eastAsia="宋体" w:cs="宋体"/>
          <w:b/>
          <w:bCs/>
          <w:color w:val="auto"/>
          <w:kern w:val="2"/>
          <w:sz w:val="24"/>
          <w:szCs w:val="24"/>
          <w:highlight w:val="none"/>
          <w:lang w:val="en-US" w:eastAsia="zh-CN" w:bidi="ar-SA"/>
        </w:rPr>
        <w:t>十、合同生效</w:t>
      </w:r>
      <w:bookmarkEnd w:id="767"/>
      <w:bookmarkEnd w:id="768"/>
    </w:p>
    <w:p w14:paraId="15F8F4EC">
      <w:pPr>
        <w:wordWrap/>
        <w:topLinePunct w:val="0"/>
        <w:spacing w:line="240" w:lineRule="auto"/>
        <w:ind w:firstLine="6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本合同经双方签字或盖章后成立，并自</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生效。</w:t>
      </w:r>
    </w:p>
    <w:p w14:paraId="1D6745BC">
      <w:pPr>
        <w:pStyle w:val="1049"/>
        <w:numPr>
          <w:ilvl w:val="0"/>
          <w:numId w:val="0"/>
        </w:numPr>
        <w:wordWrap/>
        <w:topLinePunct w:val="0"/>
        <w:spacing w:line="240" w:lineRule="auto"/>
        <w:rPr>
          <w:rFonts w:hint="eastAsia" w:ascii="宋体" w:hAnsi="宋体" w:eastAsia="宋体" w:cs="宋体"/>
          <w:b/>
          <w:bCs/>
          <w:color w:val="auto"/>
          <w:kern w:val="2"/>
          <w:sz w:val="24"/>
          <w:szCs w:val="24"/>
          <w:highlight w:val="none"/>
          <w:lang w:val="en-US" w:eastAsia="zh-CN" w:bidi="ar-SA"/>
        </w:rPr>
      </w:pPr>
      <w:bookmarkStart w:id="769" w:name="_Toc14347"/>
      <w:bookmarkStart w:id="770" w:name="_Toc54862175"/>
      <w:r>
        <w:rPr>
          <w:rFonts w:hint="eastAsia" w:ascii="宋体" w:hAnsi="宋体" w:eastAsia="宋体" w:cs="宋体"/>
          <w:b/>
          <w:bCs/>
          <w:color w:val="auto"/>
          <w:kern w:val="2"/>
          <w:sz w:val="24"/>
          <w:szCs w:val="24"/>
          <w:highlight w:val="none"/>
          <w:lang w:val="en-US" w:eastAsia="zh-CN" w:bidi="ar-SA"/>
        </w:rPr>
        <w:t>十一、合同份数</w:t>
      </w:r>
      <w:bookmarkEnd w:id="769"/>
      <w:bookmarkEnd w:id="770"/>
    </w:p>
    <w:p w14:paraId="4A60A4AF">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本合同一式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份，均具有同等法律效力，发包人执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份，承包人执</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份。</w:t>
      </w:r>
    </w:p>
    <w:p w14:paraId="76699334">
      <w:pPr>
        <w:wordWrap/>
        <w:topLinePunct w:val="0"/>
        <w:spacing w:line="360" w:lineRule="auto"/>
        <w:ind w:firstLine="600"/>
        <w:rPr>
          <w:rFonts w:hint="eastAsia" w:ascii="宋体" w:hAnsi="宋体" w:eastAsia="宋体" w:cs="宋体"/>
          <w:color w:val="auto"/>
          <w:sz w:val="30"/>
          <w:szCs w:val="30"/>
          <w:highlight w:val="none"/>
        </w:rPr>
      </w:pPr>
    </w:p>
    <w:tbl>
      <w:tblPr>
        <w:tblStyle w:val="88"/>
        <w:tblpPr w:leftFromText="180" w:rightFromText="180" w:vertAnchor="text" w:horzAnchor="page" w:tblpX="1702" w:tblpY="119"/>
        <w:tblW w:w="9072" w:type="dxa"/>
        <w:tblInd w:w="0" w:type="dxa"/>
        <w:tblLayout w:type="fixed"/>
        <w:tblCellMar>
          <w:top w:w="0" w:type="dxa"/>
          <w:left w:w="108" w:type="dxa"/>
          <w:bottom w:w="0" w:type="dxa"/>
          <w:right w:w="108" w:type="dxa"/>
        </w:tblCellMar>
      </w:tblPr>
      <w:tblGrid>
        <w:gridCol w:w="4507"/>
        <w:gridCol w:w="4565"/>
      </w:tblGrid>
      <w:tr w14:paraId="0C723180">
        <w:tblPrEx>
          <w:tblCellMar>
            <w:top w:w="0" w:type="dxa"/>
            <w:left w:w="108" w:type="dxa"/>
            <w:bottom w:w="0" w:type="dxa"/>
            <w:right w:w="108" w:type="dxa"/>
          </w:tblCellMar>
        </w:tblPrEx>
        <w:trPr>
          <w:trHeight w:val="1178" w:hRule="atLeast"/>
        </w:trPr>
        <w:tc>
          <w:tcPr>
            <w:tcW w:w="4507" w:type="dxa"/>
            <w:shd w:val="clear" w:color="auto" w:fill="auto"/>
            <w:vAlign w:val="top"/>
          </w:tcPr>
          <w:p w14:paraId="435F132F">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发包人：（公章）</w:t>
            </w:r>
          </w:p>
          <w:p w14:paraId="0C7F0963">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p>
        </w:tc>
        <w:tc>
          <w:tcPr>
            <w:tcW w:w="4565" w:type="dxa"/>
            <w:shd w:val="clear" w:color="auto" w:fill="auto"/>
            <w:vAlign w:val="top"/>
          </w:tcPr>
          <w:p w14:paraId="66D42C27">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承包人：（公章）</w:t>
            </w:r>
          </w:p>
          <w:p w14:paraId="27532F33">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p>
        </w:tc>
      </w:tr>
      <w:tr w14:paraId="6BB1A327">
        <w:tblPrEx>
          <w:tblCellMar>
            <w:top w:w="0" w:type="dxa"/>
            <w:left w:w="108" w:type="dxa"/>
            <w:bottom w:w="0" w:type="dxa"/>
            <w:right w:w="108" w:type="dxa"/>
          </w:tblCellMar>
        </w:tblPrEx>
        <w:tc>
          <w:tcPr>
            <w:tcW w:w="4507" w:type="dxa"/>
            <w:shd w:val="clear" w:color="auto" w:fill="auto"/>
            <w:vAlign w:val="top"/>
          </w:tcPr>
          <w:p w14:paraId="39946A3A">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法定代表人或其委托代理人：</w:t>
            </w:r>
          </w:p>
          <w:p w14:paraId="13B41D37">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（签字）</w:t>
            </w:r>
          </w:p>
        </w:tc>
        <w:tc>
          <w:tcPr>
            <w:tcW w:w="4565" w:type="dxa"/>
            <w:shd w:val="clear" w:color="auto" w:fill="auto"/>
            <w:vAlign w:val="top"/>
          </w:tcPr>
          <w:p w14:paraId="748739F2">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法定代表人或其委托代理人：</w:t>
            </w:r>
          </w:p>
          <w:p w14:paraId="3DC82131">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（签字）</w:t>
            </w:r>
          </w:p>
        </w:tc>
      </w:tr>
      <w:tr w14:paraId="2BE0EF0F">
        <w:tblPrEx>
          <w:tblCellMar>
            <w:top w:w="0" w:type="dxa"/>
            <w:left w:w="108" w:type="dxa"/>
            <w:bottom w:w="0" w:type="dxa"/>
            <w:right w:w="108" w:type="dxa"/>
          </w:tblCellMar>
        </w:tblPrEx>
        <w:tc>
          <w:tcPr>
            <w:tcW w:w="4507" w:type="dxa"/>
            <w:shd w:val="clear" w:color="auto" w:fill="auto"/>
            <w:vAlign w:val="top"/>
          </w:tcPr>
          <w:p w14:paraId="00D142CB">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统一社会信用代码：</w:t>
            </w:r>
            <w:r>
              <w:rPr>
                <w:rFonts w:hint="eastAsia" w:ascii="宋体" w:hAnsi="宋体" w:eastAsia="宋体" w:cs="宋体"/>
                <w:b w:val="0"/>
                <w:bCs w:val="0"/>
                <w:color w:val="auto"/>
                <w:kern w:val="2"/>
                <w:sz w:val="21"/>
                <w:szCs w:val="21"/>
                <w:highlight w:val="none"/>
                <w:u w:val="single"/>
                <w:lang w:val="en-US" w:eastAsia="zh-CN" w:bidi="ar-SA"/>
              </w:rPr>
              <w:t xml:space="preserve">            </w:t>
            </w:r>
          </w:p>
          <w:p w14:paraId="5B2CC743">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5443927C">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邮政编码：</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B9EDF9C">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5B7695E0">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委托代理人： </w:t>
            </w:r>
            <w:r>
              <w:rPr>
                <w:rFonts w:hint="eastAsia" w:ascii="宋体" w:hAnsi="宋体" w:eastAsia="宋体" w:cs="宋体"/>
                <w:b w:val="0"/>
                <w:bCs w:val="0"/>
                <w:color w:val="auto"/>
                <w:kern w:val="2"/>
                <w:sz w:val="21"/>
                <w:szCs w:val="21"/>
                <w:highlight w:val="none"/>
                <w:u w:val="single"/>
                <w:lang w:val="en-US" w:eastAsia="zh-CN" w:bidi="ar-SA"/>
              </w:rPr>
              <w:t xml:space="preserve">                </w:t>
            </w:r>
          </w:p>
          <w:p w14:paraId="26423DCE">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电话：</w:t>
            </w:r>
            <w:r>
              <w:rPr>
                <w:rFonts w:hint="eastAsia" w:ascii="宋体" w:hAnsi="宋体" w:eastAsia="宋体" w:cs="宋体"/>
                <w:b w:val="0"/>
                <w:bCs w:val="0"/>
                <w:color w:val="auto"/>
                <w:kern w:val="2"/>
                <w:sz w:val="21"/>
                <w:szCs w:val="21"/>
                <w:highlight w:val="none"/>
                <w:u w:val="single"/>
                <w:lang w:val="en-US" w:eastAsia="zh-CN" w:bidi="ar-SA"/>
              </w:rPr>
              <w:t xml:space="preserve">                       </w:t>
            </w:r>
          </w:p>
          <w:p w14:paraId="270A9F39">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传真：</w:t>
            </w:r>
            <w:r>
              <w:rPr>
                <w:rFonts w:hint="eastAsia" w:ascii="宋体" w:hAnsi="宋体" w:eastAsia="宋体" w:cs="宋体"/>
                <w:b w:val="0"/>
                <w:bCs w:val="0"/>
                <w:color w:val="auto"/>
                <w:kern w:val="2"/>
                <w:sz w:val="21"/>
                <w:szCs w:val="21"/>
                <w:highlight w:val="none"/>
                <w:u w:val="single"/>
                <w:lang w:val="en-US" w:eastAsia="zh-CN" w:bidi="ar-SA"/>
              </w:rPr>
              <w:t xml:space="preserve">                       </w:t>
            </w:r>
          </w:p>
          <w:p w14:paraId="1E29BC53">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电子信箱：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3D8E00C">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开户银行：</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C5DB9EA">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账号：</w:t>
            </w:r>
            <w:r>
              <w:rPr>
                <w:rFonts w:hint="eastAsia" w:ascii="宋体" w:hAnsi="宋体" w:eastAsia="宋体" w:cs="宋体"/>
                <w:b w:val="0"/>
                <w:bCs w:val="0"/>
                <w:color w:val="auto"/>
                <w:kern w:val="2"/>
                <w:sz w:val="21"/>
                <w:szCs w:val="21"/>
                <w:highlight w:val="none"/>
                <w:u w:val="single"/>
                <w:lang w:val="en-US" w:eastAsia="zh-CN" w:bidi="ar-SA"/>
              </w:rPr>
              <w:t xml:space="preserve">                       </w:t>
            </w:r>
          </w:p>
        </w:tc>
        <w:tc>
          <w:tcPr>
            <w:tcW w:w="4565" w:type="dxa"/>
            <w:shd w:val="clear" w:color="auto" w:fill="auto"/>
            <w:vAlign w:val="top"/>
          </w:tcPr>
          <w:p w14:paraId="42C4BB79">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统一社会信用代码： </w:t>
            </w:r>
            <w:r>
              <w:rPr>
                <w:rFonts w:hint="eastAsia" w:ascii="宋体" w:hAnsi="宋体" w:eastAsia="宋体" w:cs="宋体"/>
                <w:b w:val="0"/>
                <w:bCs w:val="0"/>
                <w:color w:val="auto"/>
                <w:kern w:val="2"/>
                <w:sz w:val="21"/>
                <w:szCs w:val="21"/>
                <w:highlight w:val="none"/>
                <w:u w:val="single"/>
                <w:lang w:val="en-US" w:eastAsia="zh-CN" w:bidi="ar-SA"/>
              </w:rPr>
              <w:t xml:space="preserve">           </w:t>
            </w:r>
          </w:p>
          <w:p w14:paraId="25917BDA">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573D533">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邮政编码：</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8B75A7C">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F96D110">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委托代理人：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578876A5">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电话：</w:t>
            </w:r>
            <w:r>
              <w:rPr>
                <w:rFonts w:hint="eastAsia" w:ascii="宋体" w:hAnsi="宋体" w:eastAsia="宋体" w:cs="宋体"/>
                <w:b w:val="0"/>
                <w:bCs w:val="0"/>
                <w:color w:val="auto"/>
                <w:kern w:val="2"/>
                <w:sz w:val="21"/>
                <w:szCs w:val="21"/>
                <w:highlight w:val="none"/>
                <w:u w:val="single"/>
                <w:lang w:val="en-US" w:eastAsia="zh-CN" w:bidi="ar-SA"/>
              </w:rPr>
              <w:t xml:space="preserve">                       </w:t>
            </w:r>
          </w:p>
          <w:p w14:paraId="30FEDD47">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传真：</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304DEA8">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电子信箱：</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EE1E146">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开户银行： </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FED6697">
            <w:pPr>
              <w:pStyle w:val="1050"/>
              <w:framePr w:hSpace="0" w:wrap="auto" w:vAnchor="margin" w:hAnchor="text" w:yAlign="inline"/>
              <w:spacing w:after="50"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账号：</w:t>
            </w:r>
            <w:r>
              <w:rPr>
                <w:rFonts w:hint="eastAsia" w:ascii="宋体" w:hAnsi="宋体" w:eastAsia="宋体" w:cs="宋体"/>
                <w:b w:val="0"/>
                <w:bCs w:val="0"/>
                <w:color w:val="auto"/>
                <w:kern w:val="2"/>
                <w:sz w:val="21"/>
                <w:szCs w:val="21"/>
                <w:highlight w:val="none"/>
                <w:u w:val="single"/>
                <w:lang w:val="en-US" w:eastAsia="zh-CN" w:bidi="ar-SA"/>
              </w:rPr>
              <w:t xml:space="preserve">                       </w:t>
            </w:r>
          </w:p>
        </w:tc>
      </w:tr>
    </w:tbl>
    <w:p w14:paraId="1C174A6C">
      <w:pPr>
        <w:wordWrap/>
        <w:topLinePunct w:val="0"/>
        <w:rPr>
          <w:color w:val="auto"/>
          <w:highlight w:val="none"/>
        </w:rPr>
        <w:sectPr>
          <w:headerReference r:id="rId7" w:type="default"/>
          <w:footerReference r:id="rId8" w:type="default"/>
          <w:pgSz w:w="11906" w:h="16838"/>
          <w:pgMar w:top="1440" w:right="1440" w:bottom="1440" w:left="1440" w:header="720" w:footer="850" w:gutter="0"/>
          <w:pgNumType w:fmt="decimal"/>
          <w:cols w:space="720" w:num="1"/>
          <w:docGrid w:linePitch="326" w:charSpace="0"/>
        </w:sectPr>
      </w:pPr>
      <w:r>
        <w:rPr>
          <w:color w:val="auto"/>
          <w:highlight w:val="none"/>
        </w:rPr>
        <w:tab/>
      </w:r>
    </w:p>
    <w:p w14:paraId="17EC908C">
      <w:pPr>
        <w:pStyle w:val="684"/>
        <w:keepNext w:val="0"/>
        <w:keepLines w:val="0"/>
        <w:widowControl/>
        <w:adjustRightInd w:val="0"/>
        <w:snapToGrid w:val="0"/>
        <w:spacing w:before="0" w:after="50" w:line="240" w:lineRule="auto"/>
        <w:jc w:val="center"/>
        <w:rPr>
          <w:rFonts w:hint="eastAsia" w:ascii="宋体" w:hAnsi="宋体" w:eastAsia="宋体" w:cs="宋体"/>
          <w:b/>
          <w:bCs/>
          <w:color w:val="auto"/>
          <w:kern w:val="2"/>
          <w:sz w:val="44"/>
          <w:szCs w:val="44"/>
          <w:highlight w:val="none"/>
          <w:lang w:val="en-US" w:eastAsia="zh-CN" w:bidi="ar-SA"/>
        </w:rPr>
      </w:pPr>
      <w:bookmarkStart w:id="771" w:name="_Toc54862176"/>
      <w:r>
        <w:rPr>
          <w:rFonts w:hint="eastAsia" w:ascii="宋体" w:hAnsi="宋体" w:eastAsia="宋体" w:cs="宋体"/>
          <w:b/>
          <w:bCs/>
          <w:color w:val="auto"/>
          <w:kern w:val="2"/>
          <w:sz w:val="44"/>
          <w:szCs w:val="44"/>
          <w:highlight w:val="none"/>
          <w:lang w:val="en-US" w:eastAsia="zh-CN" w:bidi="ar-SA"/>
        </w:rPr>
        <w:t>第二部分 通用合同条件</w:t>
      </w:r>
      <w:bookmarkEnd w:id="771"/>
    </w:p>
    <w:p w14:paraId="54F349FA">
      <w:pPr>
        <w:pStyle w:val="1049"/>
        <w:numPr>
          <w:ilvl w:val="0"/>
          <w:numId w:val="0"/>
        </w:numPr>
        <w:wordWrap/>
        <w:topLinePunct w:val="0"/>
        <w:spacing w:line="240" w:lineRule="auto"/>
        <w:rPr>
          <w:rFonts w:hint="eastAsia" w:ascii="宋体" w:hAnsi="宋体" w:eastAsia="宋体" w:cs="宋体"/>
          <w:b/>
          <w:bCs/>
          <w:color w:val="auto"/>
          <w:kern w:val="2"/>
          <w:sz w:val="21"/>
          <w:szCs w:val="21"/>
          <w:highlight w:val="none"/>
          <w:lang w:val="en-US" w:eastAsia="zh-CN" w:bidi="ar-SA"/>
        </w:rPr>
      </w:pPr>
      <w:bookmarkStart w:id="772" w:name="_Ref508893699"/>
      <w:bookmarkStart w:id="773" w:name="_Toc54862177"/>
      <w:bookmarkStart w:id="774" w:name="_Toc26001"/>
      <w:bookmarkStart w:id="775" w:name="_Ref509040826"/>
      <w:bookmarkStart w:id="776" w:name="_Ref509040831"/>
      <w:r>
        <w:rPr>
          <w:rFonts w:hint="eastAsia" w:ascii="宋体" w:hAnsi="宋体" w:eastAsia="宋体" w:cs="宋体"/>
          <w:b/>
          <w:bCs/>
          <w:color w:val="auto"/>
          <w:kern w:val="2"/>
          <w:sz w:val="21"/>
          <w:szCs w:val="21"/>
          <w:highlight w:val="none"/>
          <w:lang w:val="en-US" w:eastAsia="zh-CN" w:bidi="ar-SA"/>
        </w:rPr>
        <w:t>第1条 一般约定</w:t>
      </w:r>
      <w:bookmarkEnd w:id="772"/>
      <w:bookmarkEnd w:id="773"/>
      <w:bookmarkEnd w:id="774"/>
    </w:p>
    <w:p w14:paraId="3A6DEAD0">
      <w:pPr>
        <w:pStyle w:val="1049"/>
        <w:numPr>
          <w:ilvl w:val="0"/>
          <w:numId w:val="0"/>
        </w:numPr>
        <w:wordWrap/>
        <w:topLinePunct w:val="0"/>
        <w:spacing w:line="240" w:lineRule="auto"/>
        <w:rPr>
          <w:rFonts w:hint="eastAsia" w:ascii="宋体" w:hAnsi="宋体" w:eastAsia="宋体" w:cs="宋体"/>
          <w:b/>
          <w:bCs/>
          <w:color w:val="auto"/>
          <w:kern w:val="2"/>
          <w:sz w:val="21"/>
          <w:szCs w:val="21"/>
          <w:highlight w:val="none"/>
          <w:lang w:val="en-US" w:eastAsia="zh-CN" w:bidi="ar-SA"/>
        </w:rPr>
      </w:pPr>
      <w:bookmarkStart w:id="777" w:name="_Ref523741471"/>
      <w:bookmarkStart w:id="778" w:name="_Toc9338"/>
      <w:bookmarkStart w:id="779" w:name="_Ref523741474"/>
      <w:bookmarkStart w:id="780" w:name="_Toc54862178"/>
      <w:r>
        <w:rPr>
          <w:rFonts w:hint="eastAsia" w:ascii="宋体" w:hAnsi="宋体" w:eastAsia="宋体" w:cs="宋体"/>
          <w:b/>
          <w:bCs/>
          <w:color w:val="auto"/>
          <w:kern w:val="2"/>
          <w:sz w:val="21"/>
          <w:szCs w:val="21"/>
          <w:highlight w:val="none"/>
          <w:lang w:val="en-US" w:eastAsia="zh-CN" w:bidi="ar-SA"/>
        </w:rPr>
        <w:t>1.1 词语定义和解释</w:t>
      </w:r>
      <w:bookmarkEnd w:id="775"/>
      <w:bookmarkEnd w:id="776"/>
      <w:bookmarkEnd w:id="777"/>
      <w:bookmarkEnd w:id="778"/>
      <w:bookmarkEnd w:id="779"/>
      <w:bookmarkEnd w:id="780"/>
    </w:p>
    <w:p w14:paraId="5F1BFB03">
      <w:pPr>
        <w:wordWrap/>
        <w:topLinePunct w:val="0"/>
        <w:spacing w:line="360" w:lineRule="auto"/>
        <w:ind w:right="-733" w:rightChars="-349"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合同协议书、通用合同条件、专用合同条件中的下列词语应具有本款所赋予的含义：</w:t>
      </w:r>
    </w:p>
    <w:p w14:paraId="027E6087">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bookmarkStart w:id="781" w:name="_Ref4757289"/>
      <w:bookmarkStart w:id="782" w:name="_Ref521288340"/>
      <w:r>
        <w:rPr>
          <w:rFonts w:hint="eastAsia" w:ascii="宋体" w:hAnsi="宋体" w:eastAsia="宋体" w:cs="宋体"/>
          <w:b w:val="0"/>
          <w:bCs w:val="0"/>
          <w:color w:val="auto"/>
          <w:kern w:val="2"/>
          <w:sz w:val="21"/>
          <w:szCs w:val="21"/>
          <w:highlight w:val="none"/>
          <w:lang w:val="en-US" w:eastAsia="zh-CN" w:bidi="ar-SA"/>
        </w:rPr>
        <w:t>1.1.1 合同</w:t>
      </w:r>
      <w:bookmarkEnd w:id="781"/>
    </w:p>
    <w:p w14:paraId="02C299D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72179D5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1.1.1.2 合同协议书：是指构成合同的由发包人和承包人共同签署的称为“合同协议书”的书面文件。</w:t>
      </w:r>
    </w:p>
    <w:p w14:paraId="6C0A1E5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1.1.1.3 中标通知书：是指构成合同的由发包人通知承包人中标的书面文件。中标通知书随附的澄清、说明、补正事项纪要等，是中标通知书的组成部分。</w:t>
      </w:r>
    </w:p>
    <w:p w14:paraId="3B0F6D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1.1.1.4 投标函：是指构成合同的由承包人填写并签署的用于投标的称为“投标函”的文件。</w:t>
      </w:r>
    </w:p>
    <w:p w14:paraId="6972C5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1.1.1.5 投标函附录：是指构成合同的附在投标函后的称为“投标函附录”的文件。</w:t>
      </w:r>
    </w:p>
    <w:p w14:paraId="7DA6D9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1.1.1.6 《发包人要求》：指构成合同文件组成部分的名为《发包人要求》的文件，其中列明工程的目的、范围、设计与其他技术标准和要求，以及合同双方当事人约定对其所作的修改或补充。</w:t>
      </w:r>
    </w:p>
    <w:p w14:paraId="683443D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1.1.1.7 项目清单：是指发包人提供的载明工程总承包项目勘察费（如果有）、设计费、建筑安装工程费、设备购置费、暂估价、暂列金额和双方约定的其他费用的名称和相应数量等内容的项目明细。</w:t>
      </w:r>
    </w:p>
    <w:p w14:paraId="75FC317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1.1.1.8 价格清单：指构成合同文件组成部分的由承包人按发包人提供的项目清单规定的格式和要求填写并标明价格的清单。</w:t>
      </w:r>
    </w:p>
    <w:p w14:paraId="67BA459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1.1.1.9 承包人建议书：指构成合同文件组成部分的名为承包人建议书的文件。承包人建议书由承包人随投标函一起提交。</w:t>
      </w:r>
    </w:p>
    <w:p w14:paraId="19861EC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3" w:name="_Ref4415300"/>
      <w:r>
        <w:rPr>
          <w:rFonts w:hint="eastAsia" w:ascii="宋体" w:hAnsi="宋体" w:eastAsia="宋体" w:cs="宋体"/>
          <w:b w:val="0"/>
          <w:bCs w:val="0"/>
          <w:color w:val="auto"/>
          <w:kern w:val="2"/>
          <w:sz w:val="21"/>
          <w:szCs w:val="21"/>
          <w:highlight w:val="none"/>
          <w:lang w:val="en-US" w:eastAsia="zh-CN" w:bidi="ar-SA"/>
        </w:rPr>
        <w:t>1.1.1.10 其他合同文件：是指经合同当事人约定的与工程实施有关的具有合同约束力的文件或书面协议。合同当事人可以在专用合同条件中进行约定。</w:t>
      </w:r>
      <w:bookmarkEnd w:id="783"/>
    </w:p>
    <w:p w14:paraId="3FACB19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4" w:name="_Ref4757418"/>
      <w:r>
        <w:rPr>
          <w:rFonts w:hint="eastAsia" w:ascii="宋体" w:hAnsi="宋体" w:eastAsia="宋体" w:cs="宋体"/>
          <w:b w:val="0"/>
          <w:bCs w:val="0"/>
          <w:color w:val="auto"/>
          <w:kern w:val="2"/>
          <w:sz w:val="21"/>
          <w:szCs w:val="21"/>
          <w:highlight w:val="none"/>
          <w:lang w:val="en-US" w:eastAsia="zh-CN" w:bidi="ar-SA"/>
        </w:rPr>
        <w:t>1.1.2 合同当事人及其他相关方</w:t>
      </w:r>
      <w:bookmarkEnd w:id="784"/>
    </w:p>
    <w:p w14:paraId="48E11FB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1.1.2.1 合同当事人：是指发包人和（或）承包人。</w:t>
      </w:r>
    </w:p>
    <w:p w14:paraId="2689B1B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1.1.2.2 发包人：是指与承包人订立合同协议书的当事人及取得该当事人资格的合法继受人。本合同中“因发包人原因”里的“发包人”包括发包人及所有发包人人员。</w:t>
      </w:r>
    </w:p>
    <w:p w14:paraId="4CDEAE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1.1.2.3 承包人：是指与发包人订立合同协议书的当事人及取得该当事人资格的合法继受人。</w:t>
      </w:r>
    </w:p>
    <w:p w14:paraId="0149340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1.1.2.4 联合体：是指经发包人同意由两个或两个以上法人或者其他组织组成的，作为承包人的临时机构。</w:t>
      </w:r>
    </w:p>
    <w:p w14:paraId="3AA80AE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5" w:name="_Ref4420046"/>
      <w:r>
        <w:rPr>
          <w:rFonts w:hint="eastAsia" w:ascii="宋体" w:hAnsi="宋体" w:eastAsia="宋体" w:cs="宋体"/>
          <w:b w:val="0"/>
          <w:bCs w:val="0"/>
          <w:color w:val="auto"/>
          <w:kern w:val="2"/>
          <w:sz w:val="21"/>
          <w:szCs w:val="21"/>
          <w:highlight w:val="none"/>
          <w:lang w:val="en-US" w:eastAsia="zh-CN" w:bidi="ar-SA"/>
        </w:rPr>
        <w:t>1.1.2.5 发包人代表：是指由发包人任命并派驻工作现场，在发包人授权范围内行使发包人权利和履行发包人义务的人。</w:t>
      </w:r>
    </w:p>
    <w:p w14:paraId="3EACE2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6" w:name="_Ref4756982"/>
      <w:r>
        <w:rPr>
          <w:rFonts w:hint="eastAsia" w:ascii="宋体" w:hAnsi="宋体" w:eastAsia="宋体" w:cs="宋体"/>
          <w:b w:val="0"/>
          <w:bCs w:val="0"/>
          <w:color w:val="auto"/>
          <w:kern w:val="2"/>
          <w:sz w:val="21"/>
          <w:szCs w:val="21"/>
          <w:highlight w:val="none"/>
          <w:lang w:val="en-US" w:eastAsia="zh-CN" w:bidi="ar-SA"/>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785"/>
      <w:bookmarkEnd w:id="786"/>
    </w:p>
    <w:p w14:paraId="4008D76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1.1.2.7 工程总承包项目经理：是指由承包人任命的，在承包人授权范围内负责合同履行的管理，且按照法律规定具有相应资格的项目负责人。</w:t>
      </w:r>
    </w:p>
    <w:p w14:paraId="2873ED7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1.1.2.8 设计负责人：是指承包人指定负责组织、指导、协调设计工作并具有相应资格的人员。</w:t>
      </w:r>
    </w:p>
    <w:p w14:paraId="30B654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1.1.2.9 采购负责人：是指承包人指定负责组织、指导、协调采购工作的人员。</w:t>
      </w:r>
    </w:p>
    <w:p w14:paraId="6D6EB7C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1.1.2.10 施工负责人：是指承包人指定负责组织、指导、协调施工工作并具有相应资格的人员。</w:t>
      </w:r>
    </w:p>
    <w:p w14:paraId="2359B06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1.1.2.11 分包人：是指按照法律规定和合同约定，分包部分工程或工作，并与承包人订立分包合同的具有相应资质或资格的法人或其他组织。</w:t>
      </w:r>
    </w:p>
    <w:p w14:paraId="4EFB4B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7" w:name="_Ref4758319"/>
      <w:r>
        <w:rPr>
          <w:rFonts w:hint="eastAsia" w:ascii="宋体" w:hAnsi="宋体" w:eastAsia="宋体" w:cs="宋体"/>
          <w:b w:val="0"/>
          <w:bCs w:val="0"/>
          <w:color w:val="auto"/>
          <w:kern w:val="2"/>
          <w:sz w:val="21"/>
          <w:szCs w:val="21"/>
          <w:highlight w:val="none"/>
          <w:lang w:val="en-US" w:eastAsia="zh-CN" w:bidi="ar-SA"/>
        </w:rPr>
        <w:t>1.1.3 工程和设备</w:t>
      </w:r>
      <w:bookmarkEnd w:id="787"/>
    </w:p>
    <w:p w14:paraId="67D955A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1.1.3.1 工程：是指与合同协议书中工程承包范围对应的永久工程和（或）临时工程。</w:t>
      </w:r>
    </w:p>
    <w:p w14:paraId="50AA3CF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1.1.3.2 工程实施：是指进行工程的设计、采购、施工和竣工以及对工程任何缺陷的修复。</w:t>
      </w:r>
    </w:p>
    <w:p w14:paraId="06798D4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1.1.3.3 永久工程：是指按合同约定建造并移交给发包人的工程，包括工程设备。</w:t>
      </w:r>
    </w:p>
    <w:p w14:paraId="7E2095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1.1.3.4 临时工程：是指为完成合同约定的永久工程所修建的各类临时性工程，不包括施工设备。</w:t>
      </w:r>
    </w:p>
    <w:p w14:paraId="3DAFE5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8" w:name="_Ref4419825"/>
      <w:r>
        <w:rPr>
          <w:rFonts w:hint="eastAsia" w:ascii="宋体" w:hAnsi="宋体" w:eastAsia="宋体" w:cs="宋体"/>
          <w:b w:val="0"/>
          <w:bCs w:val="0"/>
          <w:color w:val="auto"/>
          <w:kern w:val="2"/>
          <w:sz w:val="21"/>
          <w:szCs w:val="21"/>
          <w:highlight w:val="none"/>
          <w:lang w:val="en-US" w:eastAsia="zh-CN" w:bidi="ar-SA"/>
        </w:rPr>
        <w:t>1.1.3.5 单位/区段工程：是指在专用合同条件中指明特定范围的，能单独接收并使用的永久工程。</w:t>
      </w:r>
      <w:bookmarkEnd w:id="788"/>
    </w:p>
    <w:p w14:paraId="028D86D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1.1.3.6 工程设备：指构成永久工程的机电设备、仪器装置、运载工具及其他类似的设备和装置，包括其配件及备品、备件、易损易耗件等。</w:t>
      </w:r>
    </w:p>
    <w:p w14:paraId="486FF73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1.1.3.7 施工设备：指为完成合同约定的各项工作所需的设备、器具和其他物品，不包括工程设备、临时工程和材料。</w:t>
      </w:r>
    </w:p>
    <w:p w14:paraId="19FA7A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1.1.3.8 临时设施：指为完成合同约定的各项工作所服务的临时性生产和生活设施。</w:t>
      </w:r>
    </w:p>
    <w:p w14:paraId="5A8FA94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89" w:name="_Ref4420577"/>
      <w:r>
        <w:rPr>
          <w:rFonts w:hint="eastAsia" w:ascii="宋体" w:hAnsi="宋体" w:eastAsia="宋体" w:cs="宋体"/>
          <w:b w:val="0"/>
          <w:bCs w:val="0"/>
          <w:color w:val="auto"/>
          <w:kern w:val="2"/>
          <w:sz w:val="21"/>
          <w:szCs w:val="21"/>
          <w:highlight w:val="none"/>
          <w:lang w:val="en-US" w:eastAsia="zh-CN" w:bidi="ar-SA"/>
        </w:rPr>
        <w:t>1.1.3.9 施工现场：是指用于工程施工的场所，以及在专用合同条件中指明作为施工场所组成部分的其他场所，包括永久占地和临时占地。</w:t>
      </w:r>
      <w:bookmarkEnd w:id="789"/>
    </w:p>
    <w:p w14:paraId="105AE5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90" w:name="_Ref4420746"/>
      <w:r>
        <w:rPr>
          <w:rFonts w:hint="eastAsia" w:ascii="宋体" w:hAnsi="宋体" w:eastAsia="宋体" w:cs="宋体"/>
          <w:b w:val="0"/>
          <w:bCs w:val="0"/>
          <w:color w:val="auto"/>
          <w:kern w:val="2"/>
          <w:sz w:val="21"/>
          <w:szCs w:val="21"/>
          <w:highlight w:val="none"/>
          <w:lang w:val="en-US" w:eastAsia="zh-CN" w:bidi="ar-SA"/>
        </w:rPr>
        <w:t>1.1.3.10 永久占地：是指专用合同条件中指明为实施工程需永久占用的土地。</w:t>
      </w:r>
      <w:bookmarkEnd w:id="790"/>
    </w:p>
    <w:p w14:paraId="192086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791" w:name="_Ref4420821"/>
      <w:r>
        <w:rPr>
          <w:rFonts w:hint="eastAsia" w:ascii="宋体" w:hAnsi="宋体" w:eastAsia="宋体" w:cs="宋体"/>
          <w:b w:val="0"/>
          <w:bCs w:val="0"/>
          <w:color w:val="auto"/>
          <w:kern w:val="2"/>
          <w:sz w:val="21"/>
          <w:szCs w:val="21"/>
          <w:highlight w:val="none"/>
          <w:lang w:val="en-US" w:eastAsia="zh-CN" w:bidi="ar-SA"/>
        </w:rPr>
        <w:t>1.1.3.11 临时占地：是指专用合同条件中指明为实施工程需临时占用的土地。</w:t>
      </w:r>
      <w:bookmarkEnd w:id="791"/>
    </w:p>
    <w:p w14:paraId="75B04DD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 日期和期限</w:t>
      </w:r>
    </w:p>
    <w:p w14:paraId="51331D1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1.1.4.1 开始工作通知：指工程师按第8.1.2项[开始工作通知]的约定通知承包人开始工作的函件。</w:t>
      </w:r>
    </w:p>
    <w:p w14:paraId="1951E84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305E49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28E6881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1.1.4.4 竣工日期：包括计划竣工日期和实际竣工日期。计划竣工日期是指合同协议书约定的竣工日期；实际竣工日期按照第8.2款[竣工日期]的约定确定。</w:t>
      </w:r>
    </w:p>
    <w:p w14:paraId="7554DE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1.1.4.5 工期：是指在合同协议书约定的承包人完成合同工作所需的期限，包括按照合同约定所作的期限变更及按合同约定承包人有权取得的工期延长。</w:t>
      </w:r>
    </w:p>
    <w:p w14:paraId="24D89DC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1.1.4.6 缺陷责任期：是指发包人预留工程质量保证金以保证承包人履行第11.3款[缺陷调查]下质量缺陷责任的期限。</w:t>
      </w:r>
    </w:p>
    <w:p w14:paraId="63043C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1.1.4.7 保修期：是指承包人按照合同约定和法律规定对工程质量承担保修责任的期限，该期限自缺陷责任期起算之日起计算。</w:t>
      </w:r>
    </w:p>
    <w:p w14:paraId="6FA2DAF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1.1.4.8 基准日期：招标发包的工程以投标截止日前28天的日期为基准日期，直接发包的工程以合同订立日前28天的日期为基准日期。</w:t>
      </w:r>
    </w:p>
    <w:p w14:paraId="20ACFB5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1.1.4.9 天：除特别指明外，均指日历天。合同中按天计算时间的，开始当天不计入，从次日开始计算。期限最后一天的截止时间为当天24:00。</w:t>
      </w:r>
    </w:p>
    <w:p w14:paraId="3DDD79F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1.1.4.10 竣工试验：是指在工程竣工验收前，根据第9条[竣工试验]要求进行的试验。</w:t>
      </w:r>
    </w:p>
    <w:p w14:paraId="0E683DB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1.1.4.11 竣工验收：是指承包人完成了合同约定的各项内容后，发包人按合同要求进行的验收。</w:t>
      </w:r>
    </w:p>
    <w:p w14:paraId="6FAE632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1.1.4.12 竣工后试验：是指在工程竣工验收后，根据第12条[竣工后试验]约定进行的试验。</w:t>
      </w:r>
    </w:p>
    <w:p w14:paraId="0070761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 合同价格和费用</w:t>
      </w:r>
    </w:p>
    <w:p w14:paraId="149FD13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1.1.5.1 签约合同价：是指发包人和承包人在合同协议书中确定的总金额，包括暂估价及暂列金额等。</w:t>
      </w:r>
    </w:p>
    <w:p w14:paraId="150D0A9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1.1.5.2 合同价格：是指发包人用于支付承包人按照合同约定完成承包范围内全部工作的金额，包括合同履行过程中按合同约定发生的价格变化。</w:t>
      </w:r>
    </w:p>
    <w:p w14:paraId="19EF733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1.1.5.3 费用：是指为履行合同所发生的或将要发生的所有合理开支，包括管理费和应分摊的其他费用，但不包括利润。</w:t>
      </w:r>
    </w:p>
    <w:p w14:paraId="4AC57B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1.1.5.4 人工费：是指支付给直接从事建筑安装工程施工作业的建筑工人的各项费用。</w:t>
      </w:r>
    </w:p>
    <w:p w14:paraId="3ACD1DE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1.1.5.5 暂估价：</w:t>
      </w:r>
      <w:bookmarkStart w:id="792" w:name="_Hlk18973781"/>
      <w:r>
        <w:rPr>
          <w:rFonts w:hint="eastAsia" w:ascii="宋体" w:hAnsi="宋体" w:eastAsia="宋体" w:cs="宋体"/>
          <w:b w:val="0"/>
          <w:bCs w:val="0"/>
          <w:color w:val="auto"/>
          <w:kern w:val="2"/>
          <w:sz w:val="21"/>
          <w:szCs w:val="21"/>
          <w:highlight w:val="none"/>
          <w:lang w:val="en-US" w:eastAsia="zh-CN" w:bidi="ar-SA"/>
        </w:rPr>
        <w:t>是指发包人在项目清单中给定的，用于支付必然发生但暂时不能确定价格的专业服务、材料、设备、专业工程的金额。</w:t>
      </w:r>
      <w:bookmarkEnd w:id="792"/>
    </w:p>
    <w:p w14:paraId="435F25D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1.1.5.6 暂列金额：是指发包人在项目清单中给定的，用于在订立协议书时尚未确定或不可预见变更的设计、施工及其所需材料、工程设备、服务等的金额，包括以计日工方式支付的金额。</w:t>
      </w:r>
    </w:p>
    <w:p w14:paraId="547096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1.1.5.7 计日工：是指合同履行过程中，承包人完成发包人提出的零星工作或需要采用计日工计价的变更工作时，按合同中约定的单价计价的一种方式。</w:t>
      </w:r>
    </w:p>
    <w:p w14:paraId="069E083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1.1.5.8 质量保证金：是指按第14.6款[质量保证金]约定承包人用于保证其在缺陷责任期内履行缺陷修复义务的担保。</w:t>
      </w:r>
    </w:p>
    <w:p w14:paraId="29FDBD0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1.1.6 其他</w:t>
      </w:r>
    </w:p>
    <w:p w14:paraId="4E6665F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1.1.6.1 书面形式：指合同文件、信函、电报、传真、数据电文、电子邮件、会议纪要等可以有形地表现所载内容的形式。</w:t>
      </w:r>
    </w:p>
    <w:p w14:paraId="60DFE89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1.1.6.2 承包人文件：指由承包人根据合同约定应提交的所有图纸、手册、模型、计算书、软件、函件、洽商性文件和其他技术性文件。</w:t>
      </w:r>
    </w:p>
    <w:p w14:paraId="4C13F7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1.1.6.3 变更：指根据第13条[变更与调整]的约定，经指示或批准对《发包人要求》或工程所做的改变。</w:t>
      </w:r>
    </w:p>
    <w:bookmarkEnd w:id="782"/>
    <w:p w14:paraId="6C905B7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793" w:name="_Toc54862179"/>
      <w:bookmarkStart w:id="794" w:name="_Ref509042104"/>
      <w:bookmarkStart w:id="795" w:name="_Toc32387"/>
      <w:bookmarkStart w:id="796" w:name="_Ref509042101"/>
      <w:bookmarkStart w:id="797" w:name="_Ref522730353"/>
      <w:bookmarkStart w:id="798" w:name="_Ref522730349"/>
      <w:r>
        <w:rPr>
          <w:rFonts w:hint="eastAsia" w:ascii="宋体" w:hAnsi="宋体" w:eastAsia="宋体" w:cs="宋体"/>
          <w:b/>
          <w:bCs/>
          <w:color w:val="auto"/>
          <w:kern w:val="2"/>
          <w:sz w:val="21"/>
          <w:szCs w:val="21"/>
          <w:highlight w:val="none"/>
          <w:lang w:val="en-US" w:eastAsia="zh-CN" w:bidi="ar-SA"/>
        </w:rPr>
        <w:t>1.2 语言文字</w:t>
      </w:r>
      <w:bookmarkEnd w:id="793"/>
      <w:bookmarkEnd w:id="794"/>
      <w:bookmarkEnd w:id="795"/>
      <w:bookmarkEnd w:id="796"/>
    </w:p>
    <w:p w14:paraId="1A07403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合同文件以中国的汉语简体语言文字编写、解释和说明。专用术语使用外文的，应附有中文注释。合同当事人在专用合同条件约定使用两种及以上语言时，汉语为优先解释和说明合同的语言。</w:t>
      </w:r>
    </w:p>
    <w:p w14:paraId="1A024B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与合同有关的联络应使用专用合同条件约定的语言。如没有约定，则应使用中国的汉语简体语言文字。</w:t>
      </w:r>
    </w:p>
    <w:p w14:paraId="18AD1B7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799" w:name="_Ref531949539"/>
      <w:bookmarkStart w:id="800" w:name="_Ref531949543"/>
      <w:bookmarkStart w:id="801" w:name="_Toc54862180"/>
      <w:bookmarkStart w:id="802" w:name="_Toc9358"/>
      <w:r>
        <w:rPr>
          <w:rFonts w:hint="eastAsia" w:ascii="宋体" w:hAnsi="宋体" w:eastAsia="宋体" w:cs="宋体"/>
          <w:b/>
          <w:bCs/>
          <w:color w:val="auto"/>
          <w:kern w:val="2"/>
          <w:sz w:val="21"/>
          <w:szCs w:val="21"/>
          <w:highlight w:val="none"/>
          <w:lang w:val="en-US" w:eastAsia="zh-CN" w:bidi="ar-SA"/>
        </w:rPr>
        <w:t>1.3 法律</w:t>
      </w:r>
      <w:bookmarkEnd w:id="799"/>
      <w:bookmarkEnd w:id="800"/>
      <w:bookmarkEnd w:id="801"/>
      <w:bookmarkEnd w:id="802"/>
    </w:p>
    <w:p w14:paraId="38FD3B1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合同所称法律是指中华人民共和国法律、行政法规、部门规章，以及工程所在地的地方法规、自治条例、单行条例和地方政府规章等。</w:t>
      </w:r>
    </w:p>
    <w:p w14:paraId="06E0DD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合同当事人可以在专用合同条件中约定合同适用的其他规范性文件。</w:t>
      </w:r>
    </w:p>
    <w:p w14:paraId="08462EB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03" w:name="_Toc54862181"/>
      <w:bookmarkStart w:id="804" w:name="_Ref531949594"/>
      <w:bookmarkStart w:id="805" w:name="_Ref531949589"/>
      <w:bookmarkStart w:id="806" w:name="_Toc27820"/>
      <w:r>
        <w:rPr>
          <w:rFonts w:hint="eastAsia" w:ascii="宋体" w:hAnsi="宋体" w:eastAsia="宋体" w:cs="宋体"/>
          <w:b/>
          <w:bCs/>
          <w:color w:val="auto"/>
          <w:kern w:val="2"/>
          <w:sz w:val="21"/>
          <w:szCs w:val="21"/>
          <w:highlight w:val="none"/>
          <w:lang w:val="en-US" w:eastAsia="zh-CN" w:bidi="ar-SA"/>
        </w:rPr>
        <w:t>1.4 标准和规范</w:t>
      </w:r>
      <w:bookmarkEnd w:id="803"/>
      <w:bookmarkEnd w:id="804"/>
      <w:bookmarkEnd w:id="805"/>
      <w:bookmarkEnd w:id="806"/>
    </w:p>
    <w:p w14:paraId="0A422AB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07" w:name="_Ref4420991"/>
      <w:r>
        <w:rPr>
          <w:rFonts w:hint="eastAsia" w:ascii="宋体" w:hAnsi="宋体" w:eastAsia="宋体" w:cs="宋体"/>
          <w:b w:val="0"/>
          <w:bCs w:val="0"/>
          <w:color w:val="auto"/>
          <w:kern w:val="2"/>
          <w:sz w:val="21"/>
          <w:szCs w:val="21"/>
          <w:highlight w:val="none"/>
          <w:lang w:val="en-US" w:eastAsia="zh-CN" w:bidi="ar-SA"/>
        </w:rPr>
        <w:t>1.4.1 适用于工程的国家标准、行业标准、工程所在地的地方性标准，以及相应的规范、规程等，合同当事人有特别要求的，应在专用合同条件中约定。</w:t>
      </w:r>
      <w:bookmarkEnd w:id="807"/>
    </w:p>
    <w:p w14:paraId="6C6628D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08" w:name="_Ref531949642"/>
      <w:r>
        <w:rPr>
          <w:rFonts w:hint="eastAsia" w:ascii="宋体" w:hAnsi="宋体" w:eastAsia="宋体" w:cs="宋体"/>
          <w:b w:val="0"/>
          <w:bCs w:val="0"/>
          <w:color w:val="auto"/>
          <w:kern w:val="2"/>
          <w:sz w:val="21"/>
          <w:szCs w:val="21"/>
          <w:highlight w:val="none"/>
          <w:lang w:val="en-US" w:eastAsia="zh-CN" w:bidi="ar-SA"/>
        </w:rPr>
        <w:t>1.4.2 发包人要求使用国外标准、规范的，发包人负责提供原文版本和中文译本，并在专用合同条件中约定提供标准规范的名称、份数和时间。</w:t>
      </w:r>
      <w:bookmarkEnd w:id="808"/>
    </w:p>
    <w:p w14:paraId="7FF5753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09" w:name="_Ref531949657"/>
      <w:r>
        <w:rPr>
          <w:rFonts w:hint="eastAsia" w:ascii="宋体" w:hAnsi="宋体" w:eastAsia="宋体" w:cs="宋体"/>
          <w:b w:val="0"/>
          <w:bCs w:val="0"/>
          <w:color w:val="auto"/>
          <w:kern w:val="2"/>
          <w:sz w:val="21"/>
          <w:szCs w:val="21"/>
          <w:highlight w:val="none"/>
          <w:lang w:val="en-US" w:eastAsia="zh-CN" w:bidi="ar-SA"/>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809"/>
    </w:p>
    <w:p w14:paraId="492EC7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10" w:name="_Ref4421272"/>
      <w:r>
        <w:rPr>
          <w:rFonts w:hint="eastAsia" w:ascii="宋体" w:hAnsi="宋体" w:eastAsia="宋体" w:cs="宋体"/>
          <w:b w:val="0"/>
          <w:bCs w:val="0"/>
          <w:color w:val="auto"/>
          <w:kern w:val="2"/>
          <w:sz w:val="21"/>
          <w:szCs w:val="21"/>
          <w:highlight w:val="none"/>
          <w:lang w:val="en-US" w:eastAsia="zh-CN" w:bidi="ar-SA"/>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810"/>
    </w:p>
    <w:p w14:paraId="20E966D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11" w:name="_Toc54862182"/>
      <w:bookmarkStart w:id="812" w:name="_Ref4421717"/>
      <w:bookmarkStart w:id="813" w:name="_Toc8582"/>
      <w:r>
        <w:rPr>
          <w:rFonts w:hint="eastAsia" w:ascii="宋体" w:hAnsi="宋体" w:eastAsia="宋体" w:cs="宋体"/>
          <w:b/>
          <w:bCs/>
          <w:color w:val="auto"/>
          <w:kern w:val="2"/>
          <w:sz w:val="21"/>
          <w:szCs w:val="21"/>
          <w:highlight w:val="none"/>
          <w:lang w:val="en-US" w:eastAsia="zh-CN" w:bidi="ar-SA"/>
        </w:rPr>
        <w:t>1.5 合同文件的优先顺序</w:t>
      </w:r>
      <w:bookmarkEnd w:id="797"/>
      <w:bookmarkEnd w:id="798"/>
      <w:bookmarkEnd w:id="811"/>
      <w:bookmarkEnd w:id="812"/>
      <w:bookmarkEnd w:id="813"/>
    </w:p>
    <w:p w14:paraId="1FA523B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14" w:name="_Ref531948776"/>
      <w:r>
        <w:rPr>
          <w:rFonts w:hint="eastAsia" w:ascii="宋体" w:hAnsi="宋体" w:eastAsia="宋体" w:cs="宋体"/>
          <w:b w:val="0"/>
          <w:bCs w:val="0"/>
          <w:color w:val="auto"/>
          <w:kern w:val="2"/>
          <w:sz w:val="21"/>
          <w:szCs w:val="21"/>
          <w:highlight w:val="none"/>
          <w:lang w:val="en-US" w:eastAsia="zh-CN" w:bidi="ar-SA"/>
        </w:rPr>
        <w:t>组成合同的各项文件应互相解释，互为说明。除专用合同条件另有约定外，</w:t>
      </w:r>
      <w:bookmarkEnd w:id="814"/>
      <w:r>
        <w:rPr>
          <w:rFonts w:hint="eastAsia" w:ascii="宋体" w:hAnsi="宋体" w:eastAsia="宋体" w:cs="宋体"/>
          <w:b w:val="0"/>
          <w:bCs w:val="0"/>
          <w:color w:val="auto"/>
          <w:kern w:val="2"/>
          <w:sz w:val="21"/>
          <w:szCs w:val="21"/>
          <w:highlight w:val="none"/>
          <w:lang w:val="en-US" w:eastAsia="zh-CN" w:bidi="ar-SA"/>
        </w:rPr>
        <w:t>解释合同文件的优先顺序如下：</w:t>
      </w:r>
    </w:p>
    <w:p w14:paraId="078C0E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合同协议书；</w:t>
      </w:r>
    </w:p>
    <w:p w14:paraId="497B174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中标通知书（如果有）；</w:t>
      </w:r>
    </w:p>
    <w:p w14:paraId="3D7754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投标函及投标函附录（如果有）；</w:t>
      </w:r>
    </w:p>
    <w:p w14:paraId="5121E52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专用合同条件及《发包人要求》等附件；</w:t>
      </w:r>
    </w:p>
    <w:p w14:paraId="3C44D4D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通用合同条件；</w:t>
      </w:r>
    </w:p>
    <w:p w14:paraId="0D65641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（6） 承包人建议书； </w:t>
      </w:r>
    </w:p>
    <w:p w14:paraId="1064D4F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价格清单；</w:t>
      </w:r>
    </w:p>
    <w:p w14:paraId="55DF18F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 双方约定的其他合同文件。</w:t>
      </w:r>
    </w:p>
    <w:p w14:paraId="319E44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15" w:name="_Hlk18951547"/>
      <w:r>
        <w:rPr>
          <w:rFonts w:hint="eastAsia" w:ascii="宋体" w:hAnsi="宋体" w:eastAsia="宋体" w:cs="宋体"/>
          <w:b w:val="0"/>
          <w:bCs w:val="0"/>
          <w:color w:val="auto"/>
          <w:kern w:val="2"/>
          <w:sz w:val="21"/>
          <w:szCs w:val="21"/>
          <w:highlight w:val="none"/>
          <w:lang w:val="en-US" w:eastAsia="zh-CN" w:bidi="ar-SA"/>
        </w:rPr>
        <w:t>上述各项合同文件包括合同当事人就该项合同文件所作出的补充和修改，属于同一类内容的文件，应以最新签署的为准</w:t>
      </w:r>
      <w:bookmarkEnd w:id="815"/>
      <w:r>
        <w:rPr>
          <w:rFonts w:hint="eastAsia" w:ascii="宋体" w:hAnsi="宋体" w:eastAsia="宋体" w:cs="宋体"/>
          <w:b w:val="0"/>
          <w:bCs w:val="0"/>
          <w:color w:val="auto"/>
          <w:kern w:val="2"/>
          <w:sz w:val="21"/>
          <w:szCs w:val="21"/>
          <w:highlight w:val="none"/>
          <w:lang w:val="en-US" w:eastAsia="zh-CN" w:bidi="ar-SA"/>
        </w:rPr>
        <w:t>。</w:t>
      </w:r>
    </w:p>
    <w:p w14:paraId="23F648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在合同订立及履行过程中形成的与合同有关的文件均构成合同文件组成部分，并根据其性质确定优先解释顺序。</w:t>
      </w:r>
    </w:p>
    <w:p w14:paraId="6FF8E31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16" w:name="_Ref4422060"/>
      <w:bookmarkStart w:id="817" w:name="_Toc54862183"/>
      <w:bookmarkStart w:id="818" w:name="_Ref11917818"/>
      <w:bookmarkStart w:id="819" w:name="_Toc26503"/>
      <w:bookmarkStart w:id="820" w:name="_Ref531949822"/>
      <w:bookmarkStart w:id="821" w:name="_Ref531949807"/>
      <w:bookmarkStart w:id="822" w:name="_Ref531949803"/>
      <w:r>
        <w:rPr>
          <w:rFonts w:hint="eastAsia" w:ascii="宋体" w:hAnsi="宋体" w:eastAsia="宋体" w:cs="宋体"/>
          <w:b/>
          <w:bCs/>
          <w:color w:val="auto"/>
          <w:kern w:val="2"/>
          <w:sz w:val="21"/>
          <w:szCs w:val="21"/>
          <w:highlight w:val="none"/>
          <w:lang w:val="en-US" w:eastAsia="zh-CN" w:bidi="ar-SA"/>
        </w:rPr>
        <w:t>1.6 文件的提供和</w:t>
      </w:r>
      <w:bookmarkEnd w:id="816"/>
      <w:r>
        <w:rPr>
          <w:rFonts w:hint="eastAsia" w:ascii="宋体" w:hAnsi="宋体" w:eastAsia="宋体" w:cs="宋体"/>
          <w:b/>
          <w:bCs/>
          <w:color w:val="auto"/>
          <w:kern w:val="2"/>
          <w:sz w:val="21"/>
          <w:szCs w:val="21"/>
          <w:highlight w:val="none"/>
          <w:lang w:val="en-US" w:eastAsia="zh-CN" w:bidi="ar-SA"/>
        </w:rPr>
        <w:t>照管</w:t>
      </w:r>
      <w:bookmarkEnd w:id="817"/>
      <w:bookmarkEnd w:id="818"/>
      <w:bookmarkEnd w:id="819"/>
    </w:p>
    <w:p w14:paraId="6939780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23" w:name="_Ref4421991"/>
      <w:r>
        <w:rPr>
          <w:rFonts w:hint="eastAsia" w:ascii="宋体" w:hAnsi="宋体" w:eastAsia="宋体" w:cs="宋体"/>
          <w:b w:val="0"/>
          <w:bCs w:val="0"/>
          <w:color w:val="auto"/>
          <w:kern w:val="2"/>
          <w:sz w:val="21"/>
          <w:szCs w:val="21"/>
          <w:highlight w:val="none"/>
          <w:lang w:val="en-US" w:eastAsia="zh-CN" w:bidi="ar-SA"/>
        </w:rPr>
        <w:t>1.6.1 发包人文件的提供</w:t>
      </w:r>
      <w:bookmarkEnd w:id="823"/>
    </w:p>
    <w:p w14:paraId="64C5073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724375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24" w:name="_Ref4422317"/>
      <w:r>
        <w:rPr>
          <w:rFonts w:hint="eastAsia" w:ascii="宋体" w:hAnsi="宋体" w:eastAsia="宋体" w:cs="宋体"/>
          <w:b w:val="0"/>
          <w:bCs w:val="0"/>
          <w:color w:val="auto"/>
          <w:kern w:val="2"/>
          <w:sz w:val="21"/>
          <w:szCs w:val="21"/>
          <w:highlight w:val="none"/>
          <w:lang w:val="en-US" w:eastAsia="zh-CN" w:bidi="ar-SA"/>
        </w:rPr>
        <w:t>1.6.2 承包人文件的提供</w:t>
      </w:r>
      <w:bookmarkEnd w:id="824"/>
    </w:p>
    <w:p w14:paraId="320EF68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除专用合同条件另有约定外，承包人文件应包含下列内容，并用第1.2款[语言文字]约定的语言制作：</w:t>
      </w:r>
    </w:p>
    <w:p w14:paraId="7699CE4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《发包人要求》中规定的相关文件；</w:t>
      </w:r>
    </w:p>
    <w:p w14:paraId="79DE0C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满足工程相关行政审批手续所必须的应由承包人负责的相关文件；</w:t>
      </w:r>
    </w:p>
    <w:p w14:paraId="78DD5F1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第5.4款[竣工文件]与第5.5款[操作和维修手册]中要求的相关文件。</w:t>
      </w:r>
    </w:p>
    <w:p w14:paraId="5B9CD2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00FD482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1.6.3 文件错误的通知</w:t>
      </w:r>
    </w:p>
    <w:p w14:paraId="217CF4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任何一方发现文件中存在明显的错误或疏忽，应及时通知另一方。</w:t>
      </w:r>
    </w:p>
    <w:p w14:paraId="413F03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25" w:name="_Ref4678410"/>
      <w:bookmarkStart w:id="826" w:name="_Ref11957673"/>
      <w:r>
        <w:rPr>
          <w:rFonts w:hint="eastAsia" w:ascii="宋体" w:hAnsi="宋体" w:eastAsia="宋体" w:cs="宋体"/>
          <w:b w:val="0"/>
          <w:bCs w:val="0"/>
          <w:color w:val="auto"/>
          <w:kern w:val="2"/>
          <w:sz w:val="21"/>
          <w:szCs w:val="21"/>
          <w:highlight w:val="none"/>
          <w:lang w:val="en-US" w:eastAsia="zh-CN" w:bidi="ar-SA"/>
        </w:rPr>
        <w:t>1.6.4 文件的</w:t>
      </w:r>
      <w:bookmarkEnd w:id="825"/>
      <w:r>
        <w:rPr>
          <w:rFonts w:hint="eastAsia" w:ascii="宋体" w:hAnsi="宋体" w:eastAsia="宋体" w:cs="宋体"/>
          <w:b w:val="0"/>
          <w:bCs w:val="0"/>
          <w:color w:val="auto"/>
          <w:kern w:val="2"/>
          <w:sz w:val="21"/>
          <w:szCs w:val="21"/>
          <w:highlight w:val="none"/>
          <w:lang w:val="en-US" w:eastAsia="zh-CN" w:bidi="ar-SA"/>
        </w:rPr>
        <w:t>照管</w:t>
      </w:r>
      <w:bookmarkEnd w:id="826"/>
    </w:p>
    <w:p w14:paraId="088A32D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3F0B502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27" w:name="_Ref4415170"/>
      <w:bookmarkStart w:id="828" w:name="_Toc54862184"/>
      <w:bookmarkStart w:id="829" w:name="_Toc835"/>
      <w:r>
        <w:rPr>
          <w:rFonts w:hint="eastAsia" w:ascii="宋体" w:hAnsi="宋体" w:eastAsia="宋体" w:cs="宋体"/>
          <w:b/>
          <w:bCs/>
          <w:color w:val="auto"/>
          <w:kern w:val="2"/>
          <w:sz w:val="21"/>
          <w:szCs w:val="21"/>
          <w:highlight w:val="none"/>
          <w:lang w:val="en-US" w:eastAsia="zh-CN" w:bidi="ar-SA"/>
        </w:rPr>
        <w:t>1.7 联络</w:t>
      </w:r>
      <w:bookmarkEnd w:id="827"/>
      <w:bookmarkEnd w:id="828"/>
      <w:bookmarkEnd w:id="829"/>
    </w:p>
    <w:p w14:paraId="7C133F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5887807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30" w:name="_Ref531949897"/>
      <w:r>
        <w:rPr>
          <w:rFonts w:hint="eastAsia" w:ascii="宋体" w:hAnsi="宋体" w:eastAsia="宋体" w:cs="宋体"/>
          <w:b w:val="0"/>
          <w:bCs w:val="0"/>
          <w:color w:val="auto"/>
          <w:kern w:val="2"/>
          <w:sz w:val="21"/>
          <w:szCs w:val="21"/>
          <w:highlight w:val="none"/>
          <w:lang w:val="en-US" w:eastAsia="zh-CN" w:bidi="ar-SA"/>
        </w:rPr>
        <w:t>1.7.2 发包人和承包人应在专用合同条件中约定各自的送达方式和收件地址。任何一方合同当事人指定的送达方式或收件地址发生变动的，应提前3天以书面形式通知对方。</w:t>
      </w:r>
      <w:bookmarkEnd w:id="830"/>
    </w:p>
    <w:p w14:paraId="13688D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1.7.3 发包人和承包人应当及时签收另一方通过约定的送达方式送达至收件地址的来往文件。拒不签收的，由此增加的费用和（或）延误的工期由拒绝接收一方承担。</w:t>
      </w:r>
    </w:p>
    <w:p w14:paraId="48BFF5D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0D7AFB3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31" w:name="_Toc21632"/>
      <w:bookmarkStart w:id="832" w:name="_Toc54862185"/>
      <w:r>
        <w:rPr>
          <w:rFonts w:hint="eastAsia" w:ascii="宋体" w:hAnsi="宋体" w:eastAsia="宋体" w:cs="宋体"/>
          <w:b/>
          <w:bCs/>
          <w:color w:val="auto"/>
          <w:kern w:val="2"/>
          <w:sz w:val="21"/>
          <w:szCs w:val="21"/>
          <w:highlight w:val="none"/>
          <w:lang w:val="en-US" w:eastAsia="zh-CN" w:bidi="ar-SA"/>
        </w:rPr>
        <w:t>1.8 严禁贿赂</w:t>
      </w:r>
      <w:bookmarkEnd w:id="820"/>
      <w:bookmarkEnd w:id="821"/>
      <w:bookmarkEnd w:id="822"/>
      <w:bookmarkEnd w:id="831"/>
      <w:bookmarkEnd w:id="832"/>
    </w:p>
    <w:p w14:paraId="271A55C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合同当事人不得以贿赂或变相贿赂的方式，谋取非法利益或损害对方权益。因一方合同当事人的贿赂造成对方损失的，应赔偿损失，并承担相应的法律责任。</w:t>
      </w:r>
    </w:p>
    <w:p w14:paraId="1095B40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承包人不得与工程师或发包人聘请的第三方串通损害发包人利益。未经发包人书面同意，承包人不得为工程师提供合同约定以外的通讯设备、交通工具及其他任何形式的利益，不得向工程师支付报酬。</w:t>
      </w:r>
    </w:p>
    <w:p w14:paraId="1050F9D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33" w:name="_Toc27239"/>
      <w:bookmarkStart w:id="834" w:name="_Toc54862186"/>
      <w:r>
        <w:rPr>
          <w:rFonts w:hint="eastAsia" w:ascii="宋体" w:hAnsi="宋体" w:eastAsia="宋体" w:cs="宋体"/>
          <w:b/>
          <w:bCs/>
          <w:color w:val="auto"/>
          <w:kern w:val="2"/>
          <w:sz w:val="21"/>
          <w:szCs w:val="21"/>
          <w:highlight w:val="none"/>
          <w:lang w:val="en-US" w:eastAsia="zh-CN" w:bidi="ar-SA"/>
        </w:rPr>
        <w:t>1.9 化石、文物</w:t>
      </w:r>
      <w:bookmarkEnd w:id="833"/>
      <w:bookmarkEnd w:id="834"/>
    </w:p>
    <w:p w14:paraId="53304BD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1315FD6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发包人、工程师和承包人应按有关政府行政管理部门要求采取妥善的保护措施，由此增加的费用和（或）延误的工期由发包人承担。</w:t>
      </w:r>
    </w:p>
    <w:p w14:paraId="7F62550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承包人发现文物后不及时报告或隐瞒不报，致使文物丢失或损坏的，应赔偿损失，并承担相应的法律责任。</w:t>
      </w:r>
    </w:p>
    <w:p w14:paraId="230DAD1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35" w:name="_Ref531949770"/>
      <w:bookmarkStart w:id="836" w:name="_Toc54862187"/>
      <w:bookmarkStart w:id="837" w:name="_Ref531949766"/>
      <w:bookmarkStart w:id="838" w:name="_Toc26380"/>
      <w:bookmarkStart w:id="839" w:name="_Ref4423426"/>
      <w:bookmarkStart w:id="840" w:name="_Ref531949841"/>
      <w:bookmarkStart w:id="841" w:name="_Ref531949855"/>
      <w:bookmarkStart w:id="842" w:name="_Ref531949826"/>
      <w:r>
        <w:rPr>
          <w:rFonts w:hint="eastAsia" w:ascii="宋体" w:hAnsi="宋体" w:eastAsia="宋体" w:cs="宋体"/>
          <w:b/>
          <w:bCs/>
          <w:color w:val="auto"/>
          <w:kern w:val="2"/>
          <w:sz w:val="21"/>
          <w:szCs w:val="21"/>
          <w:highlight w:val="none"/>
          <w:lang w:val="en-US" w:eastAsia="zh-CN" w:bidi="ar-SA"/>
        </w:rPr>
        <w:t>1.10 知识产权</w:t>
      </w:r>
      <w:bookmarkEnd w:id="835"/>
      <w:bookmarkEnd w:id="836"/>
      <w:bookmarkEnd w:id="837"/>
      <w:bookmarkEnd w:id="838"/>
      <w:bookmarkEnd w:id="839"/>
      <w:r>
        <w:rPr>
          <w:rFonts w:hint="eastAsia" w:ascii="宋体" w:hAnsi="宋体" w:eastAsia="宋体" w:cs="宋体"/>
          <w:b/>
          <w:bCs/>
          <w:color w:val="auto"/>
          <w:kern w:val="2"/>
          <w:sz w:val="21"/>
          <w:szCs w:val="21"/>
          <w:highlight w:val="none"/>
          <w:lang w:val="en-US" w:eastAsia="zh-CN" w:bidi="ar-SA"/>
        </w:rPr>
        <w:t xml:space="preserve"> </w:t>
      </w:r>
    </w:p>
    <w:p w14:paraId="2AFF28D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43" w:name="_Ref4423563"/>
      <w:r>
        <w:rPr>
          <w:rFonts w:hint="eastAsia" w:ascii="宋体" w:hAnsi="宋体" w:eastAsia="宋体" w:cs="宋体"/>
          <w:b w:val="0"/>
          <w:bCs w:val="0"/>
          <w:color w:val="auto"/>
          <w:kern w:val="2"/>
          <w:sz w:val="21"/>
          <w:szCs w:val="21"/>
          <w:highlight w:val="none"/>
          <w:lang w:val="en-US" w:eastAsia="zh-CN" w:bidi="ar-SA"/>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843"/>
    </w:p>
    <w:p w14:paraId="6A2DDD5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44" w:name="_Ref4423604"/>
      <w:r>
        <w:rPr>
          <w:rFonts w:hint="eastAsia" w:ascii="宋体" w:hAnsi="宋体" w:eastAsia="宋体" w:cs="宋体"/>
          <w:b w:val="0"/>
          <w:bCs w:val="0"/>
          <w:color w:val="auto"/>
          <w:kern w:val="2"/>
          <w:sz w:val="21"/>
          <w:szCs w:val="21"/>
          <w:highlight w:val="none"/>
          <w:lang w:val="en-US" w:eastAsia="zh-CN" w:bidi="ar-SA"/>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844"/>
    </w:p>
    <w:p w14:paraId="0A2613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0B4D2C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45" w:name="_Ref4423695"/>
      <w:r>
        <w:rPr>
          <w:rFonts w:hint="eastAsia" w:ascii="宋体" w:hAnsi="宋体" w:eastAsia="宋体" w:cs="宋体"/>
          <w:b w:val="0"/>
          <w:bCs w:val="0"/>
          <w:color w:val="auto"/>
          <w:kern w:val="2"/>
          <w:sz w:val="21"/>
          <w:szCs w:val="21"/>
          <w:highlight w:val="none"/>
          <w:lang w:val="en-US" w:eastAsia="zh-CN" w:bidi="ar-SA"/>
        </w:rPr>
        <w:t>1.10.4 除专用合同条件另有约定外，承包人在投标文件中采用的专利、专有技术、商业软件、技术秘密的使用费已包含在签约合同价中。</w:t>
      </w:r>
      <w:bookmarkEnd w:id="845"/>
    </w:p>
    <w:p w14:paraId="62BDE1B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5C6CAAA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46" w:name="_Ref4423873"/>
      <w:bookmarkStart w:id="847" w:name="_Toc25731"/>
      <w:bookmarkStart w:id="848" w:name="_Ref4423898"/>
      <w:bookmarkStart w:id="849" w:name="_Toc54862188"/>
      <w:r>
        <w:rPr>
          <w:rFonts w:hint="eastAsia" w:ascii="宋体" w:hAnsi="宋体" w:eastAsia="宋体" w:cs="宋体"/>
          <w:b/>
          <w:bCs/>
          <w:color w:val="auto"/>
          <w:kern w:val="2"/>
          <w:sz w:val="21"/>
          <w:szCs w:val="21"/>
          <w:highlight w:val="none"/>
          <w:lang w:val="en-US" w:eastAsia="zh-CN" w:bidi="ar-SA"/>
        </w:rPr>
        <w:t>1.11 保密</w:t>
      </w:r>
      <w:bookmarkEnd w:id="840"/>
      <w:bookmarkEnd w:id="841"/>
      <w:bookmarkEnd w:id="842"/>
      <w:bookmarkEnd w:id="846"/>
      <w:bookmarkEnd w:id="847"/>
      <w:bookmarkEnd w:id="848"/>
      <w:bookmarkEnd w:id="849"/>
    </w:p>
    <w:p w14:paraId="0BC598A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合同当事人一方对在订立和履行合同过程中知悉的另一方的商业秘密、技术秘密，以及任何一方明确要求保密的其它信息，负有保密责任。</w:t>
      </w:r>
    </w:p>
    <w:p w14:paraId="6EB511D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除法律规定或合同另有约定外，未经对方同意，任何一方当事人不得将对方提供的文件、技术秘密以及声明需要保密的资料信息等商业秘密泄露给第三方或者用于本合同以外的目的。</w:t>
      </w:r>
    </w:p>
    <w:p w14:paraId="0E1446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759DBC4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50" w:name="_Toc12988"/>
      <w:bookmarkStart w:id="851" w:name="_Toc54862189"/>
      <w:bookmarkStart w:id="852" w:name="_Ref532336812"/>
      <w:r>
        <w:rPr>
          <w:rFonts w:hint="eastAsia" w:ascii="宋体" w:hAnsi="宋体" w:eastAsia="宋体" w:cs="宋体"/>
          <w:b/>
          <w:bCs/>
          <w:color w:val="auto"/>
          <w:kern w:val="2"/>
          <w:sz w:val="21"/>
          <w:szCs w:val="21"/>
          <w:highlight w:val="none"/>
          <w:lang w:val="en-US" w:eastAsia="zh-CN" w:bidi="ar-SA"/>
        </w:rPr>
        <w:t xml:space="preserve">1.12 </w:t>
      </w:r>
      <w:bookmarkStart w:id="853" w:name="_Hlk55215423"/>
      <w:r>
        <w:rPr>
          <w:rFonts w:hint="eastAsia" w:ascii="宋体" w:hAnsi="宋体" w:eastAsia="宋体" w:cs="宋体"/>
          <w:b/>
          <w:bCs/>
          <w:color w:val="auto"/>
          <w:kern w:val="2"/>
          <w:sz w:val="21"/>
          <w:szCs w:val="21"/>
          <w:highlight w:val="none"/>
          <w:lang w:val="en-US" w:eastAsia="zh-CN" w:bidi="ar-SA"/>
        </w:rPr>
        <w:t>《发包人要求》和基础资料中的错误</w:t>
      </w:r>
      <w:bookmarkEnd w:id="850"/>
      <w:bookmarkEnd w:id="851"/>
      <w:bookmarkEnd w:id="852"/>
      <w:bookmarkEnd w:id="853"/>
    </w:p>
    <w:p w14:paraId="3DE0C1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承包人应尽早认真阅读、复核《发包人要求》以及其提供的基础资料，发现错误的，应及时书面通知发包人补正。发包人作相应修改的，按照第13条[变更与调整</w:t>
      </w:r>
      <w:bookmarkStart w:id="854" w:name="_Ref523403409"/>
      <w:bookmarkStart w:id="855" w:name="_Ref523403776"/>
      <w:r>
        <w:rPr>
          <w:rFonts w:hint="eastAsia" w:ascii="宋体" w:hAnsi="宋体" w:eastAsia="宋体" w:cs="宋体"/>
          <w:b w:val="0"/>
          <w:bCs w:val="0"/>
          <w:color w:val="auto"/>
          <w:kern w:val="2"/>
          <w:sz w:val="21"/>
          <w:szCs w:val="21"/>
          <w:highlight w:val="none"/>
          <w:lang w:val="en-US" w:eastAsia="zh-CN" w:bidi="ar-SA"/>
        </w:rPr>
        <w:t>]的约定处理。</w:t>
      </w:r>
    </w:p>
    <w:p w14:paraId="0C4047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《发包人要求》或其提供的基础资料中的错误导致承包人增加费用和（或）工期延误的，发包人应承担由此增加的费用和（或）工期延误，并向承包人支付合理利润。</w:t>
      </w:r>
    </w:p>
    <w:bookmarkEnd w:id="854"/>
    <w:bookmarkEnd w:id="855"/>
    <w:p w14:paraId="25F3B07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56" w:name="_Toc54862190"/>
      <w:bookmarkStart w:id="857" w:name="_Ref531949937"/>
      <w:bookmarkStart w:id="858" w:name="_Ref531949933"/>
      <w:bookmarkStart w:id="859" w:name="_Toc4415"/>
      <w:r>
        <w:rPr>
          <w:rFonts w:hint="eastAsia" w:ascii="宋体" w:hAnsi="宋体" w:eastAsia="宋体" w:cs="宋体"/>
          <w:b/>
          <w:bCs/>
          <w:color w:val="auto"/>
          <w:kern w:val="2"/>
          <w:sz w:val="21"/>
          <w:szCs w:val="21"/>
          <w:highlight w:val="none"/>
          <w:lang w:val="en-US" w:eastAsia="zh-CN" w:bidi="ar-SA"/>
        </w:rPr>
        <w:t>1.13 责任限制</w:t>
      </w:r>
      <w:bookmarkEnd w:id="856"/>
      <w:bookmarkEnd w:id="857"/>
      <w:bookmarkEnd w:id="858"/>
      <w:bookmarkEnd w:id="859"/>
    </w:p>
    <w:p w14:paraId="0E0DE6A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17C49F6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60" w:name="_Toc16016"/>
      <w:bookmarkStart w:id="861" w:name="_Toc54862191"/>
      <w:bookmarkStart w:id="862" w:name="_Hlk51506160"/>
      <w:r>
        <w:rPr>
          <w:rFonts w:hint="eastAsia" w:ascii="宋体" w:hAnsi="宋体" w:eastAsia="宋体" w:cs="宋体"/>
          <w:b/>
          <w:bCs/>
          <w:color w:val="auto"/>
          <w:kern w:val="2"/>
          <w:sz w:val="21"/>
          <w:szCs w:val="21"/>
          <w:highlight w:val="none"/>
          <w:lang w:val="en-US" w:eastAsia="zh-CN" w:bidi="ar-SA"/>
        </w:rPr>
        <w:t>1.14 建筑信息模型技术的应用</w:t>
      </w:r>
      <w:bookmarkEnd w:id="860"/>
      <w:bookmarkEnd w:id="861"/>
    </w:p>
    <w:bookmarkEnd w:id="862"/>
    <w:p w14:paraId="7F40A7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59F3E68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63" w:name="_Toc54862192"/>
      <w:bookmarkStart w:id="864" w:name="_Toc1991"/>
      <w:bookmarkStart w:id="865" w:name="_Ref4796511"/>
      <w:r>
        <w:rPr>
          <w:rFonts w:hint="eastAsia" w:ascii="宋体" w:hAnsi="宋体" w:eastAsia="宋体" w:cs="宋体"/>
          <w:b/>
          <w:bCs/>
          <w:color w:val="auto"/>
          <w:kern w:val="2"/>
          <w:sz w:val="21"/>
          <w:szCs w:val="21"/>
          <w:highlight w:val="none"/>
          <w:lang w:val="en-US" w:eastAsia="zh-CN" w:bidi="ar-SA"/>
        </w:rPr>
        <w:t>第2条 发包人</w:t>
      </w:r>
      <w:bookmarkEnd w:id="863"/>
      <w:bookmarkEnd w:id="864"/>
      <w:bookmarkEnd w:id="865"/>
    </w:p>
    <w:p w14:paraId="7DAB4CD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66" w:name="_Toc30097"/>
      <w:bookmarkStart w:id="867" w:name="_Toc54862193"/>
      <w:r>
        <w:rPr>
          <w:rFonts w:hint="eastAsia" w:ascii="宋体" w:hAnsi="宋体" w:eastAsia="宋体" w:cs="宋体"/>
          <w:b/>
          <w:bCs/>
          <w:color w:val="auto"/>
          <w:kern w:val="2"/>
          <w:sz w:val="21"/>
          <w:szCs w:val="21"/>
          <w:highlight w:val="none"/>
          <w:lang w:val="en-US" w:eastAsia="zh-CN" w:bidi="ar-SA"/>
        </w:rPr>
        <w:t>2.1 遵守法律</w:t>
      </w:r>
      <w:bookmarkEnd w:id="866"/>
      <w:bookmarkEnd w:id="867"/>
    </w:p>
    <w:p w14:paraId="330EC5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316624D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68" w:name="_Ref11917995"/>
      <w:bookmarkStart w:id="869" w:name="_Toc22802"/>
      <w:bookmarkStart w:id="870" w:name="_Toc54862194"/>
      <w:bookmarkStart w:id="871" w:name="_Ref11917977"/>
      <w:r>
        <w:rPr>
          <w:rFonts w:hint="eastAsia" w:ascii="宋体" w:hAnsi="宋体" w:eastAsia="宋体" w:cs="宋体"/>
          <w:b/>
          <w:bCs/>
          <w:color w:val="auto"/>
          <w:kern w:val="2"/>
          <w:sz w:val="21"/>
          <w:szCs w:val="21"/>
          <w:highlight w:val="none"/>
          <w:lang w:val="en-US" w:eastAsia="zh-CN" w:bidi="ar-SA"/>
        </w:rPr>
        <w:t>2.2 提供施工现场和工作条件</w:t>
      </w:r>
      <w:bookmarkEnd w:id="868"/>
      <w:bookmarkEnd w:id="869"/>
      <w:bookmarkEnd w:id="870"/>
      <w:bookmarkEnd w:id="871"/>
      <w:bookmarkStart w:id="872" w:name="_Toc51505123"/>
      <w:bookmarkEnd w:id="872"/>
      <w:bookmarkStart w:id="873" w:name="_Toc51505125"/>
      <w:bookmarkEnd w:id="873"/>
      <w:bookmarkStart w:id="874" w:name="_Toc54862197"/>
      <w:bookmarkEnd w:id="874"/>
      <w:bookmarkStart w:id="875" w:name="_Toc54862195"/>
      <w:bookmarkEnd w:id="875"/>
      <w:bookmarkStart w:id="876" w:name="_Toc51505124"/>
      <w:bookmarkEnd w:id="876"/>
      <w:bookmarkStart w:id="877" w:name="_Toc54862196"/>
      <w:bookmarkEnd w:id="877"/>
      <w:bookmarkStart w:id="878" w:name="_Ref531950085"/>
    </w:p>
    <w:p w14:paraId="467601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2.2.1 提供施工</w:t>
      </w:r>
      <w:bookmarkEnd w:id="878"/>
      <w:r>
        <w:rPr>
          <w:rFonts w:hint="eastAsia" w:ascii="宋体" w:hAnsi="宋体" w:eastAsia="宋体" w:cs="宋体"/>
          <w:b w:val="0"/>
          <w:bCs w:val="0"/>
          <w:color w:val="auto"/>
          <w:kern w:val="2"/>
          <w:sz w:val="21"/>
          <w:szCs w:val="21"/>
          <w:highlight w:val="none"/>
          <w:lang w:val="en-US" w:eastAsia="zh-CN" w:bidi="ar-SA"/>
        </w:rPr>
        <w:t>现场</w:t>
      </w:r>
    </w:p>
    <w:p w14:paraId="662A577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1336DE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79" w:name="_Ref531950101"/>
      <w:r>
        <w:rPr>
          <w:rFonts w:hint="eastAsia" w:ascii="宋体" w:hAnsi="宋体" w:eastAsia="宋体" w:cs="宋体"/>
          <w:b w:val="0"/>
          <w:bCs w:val="0"/>
          <w:color w:val="auto"/>
          <w:kern w:val="2"/>
          <w:sz w:val="21"/>
          <w:szCs w:val="21"/>
          <w:highlight w:val="none"/>
          <w:lang w:val="en-US" w:eastAsia="zh-CN" w:bidi="ar-SA"/>
        </w:rPr>
        <w:t>2.2.2 提供工作条件</w:t>
      </w:r>
      <w:bookmarkEnd w:id="879"/>
    </w:p>
    <w:p w14:paraId="5BBDC0F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发包人应按专用合同条件约定向承包人提供工作条件。专用合同条件对此没有约定的，发包人应负责提供开展本合同相关工作所需要的条件，包括：</w:t>
      </w:r>
    </w:p>
    <w:p w14:paraId="16D3A2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将施工用水、电力、通讯线路等施工所必需的条件接至施工现场内；</w:t>
      </w:r>
    </w:p>
    <w:p w14:paraId="5A2B4FF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保证向承包人提供正常施工所需要的进入施工现场的交通条件；</w:t>
      </w:r>
    </w:p>
    <w:p w14:paraId="1238A13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协调处理施工现场周围地下管线和邻近建筑物、构筑物、古树名木、文物、化石及坟墓等的保护工作，并承担相关费用；</w:t>
      </w:r>
    </w:p>
    <w:p w14:paraId="51D4632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580E999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按照专用合同条件约定应提供的其他设施和条件。</w:t>
      </w:r>
    </w:p>
    <w:p w14:paraId="7214E7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2.2.3 逾期提供的责任</w:t>
      </w:r>
    </w:p>
    <w:p w14:paraId="47A3BFE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因发包人原因未能按合同约定及时向承包人提供施工现场和施工条件的，由发包人承担由此增加的费用和（或）延误的工期。</w:t>
      </w:r>
    </w:p>
    <w:p w14:paraId="26FE26F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80" w:name="_Ref11918025"/>
      <w:bookmarkStart w:id="881" w:name="_Ref11918036"/>
      <w:bookmarkStart w:id="882" w:name="_Toc54862198"/>
      <w:bookmarkStart w:id="883" w:name="_Ref11956647"/>
      <w:bookmarkStart w:id="884" w:name="_Toc19554"/>
      <w:bookmarkStart w:id="885" w:name="_Ref11956654"/>
      <w:r>
        <w:rPr>
          <w:rFonts w:hint="eastAsia" w:ascii="宋体" w:hAnsi="宋体" w:eastAsia="宋体" w:cs="宋体"/>
          <w:b/>
          <w:bCs/>
          <w:color w:val="auto"/>
          <w:kern w:val="2"/>
          <w:sz w:val="21"/>
          <w:szCs w:val="21"/>
          <w:highlight w:val="none"/>
          <w:lang w:val="en-US" w:eastAsia="zh-CN" w:bidi="ar-SA"/>
        </w:rPr>
        <w:t>2.3 提供基础资料</w:t>
      </w:r>
      <w:bookmarkEnd w:id="880"/>
      <w:bookmarkEnd w:id="881"/>
      <w:bookmarkEnd w:id="882"/>
      <w:bookmarkEnd w:id="883"/>
      <w:bookmarkEnd w:id="884"/>
      <w:bookmarkEnd w:id="885"/>
    </w:p>
    <w:p w14:paraId="013D6EC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86" w:name="_Hlk51506429"/>
      <w:r>
        <w:rPr>
          <w:rFonts w:hint="eastAsia" w:ascii="宋体" w:hAnsi="宋体" w:eastAsia="宋体" w:cs="宋体"/>
          <w:b w:val="0"/>
          <w:bCs w:val="0"/>
          <w:color w:val="auto"/>
          <w:kern w:val="2"/>
          <w:sz w:val="21"/>
          <w:szCs w:val="21"/>
          <w:highlight w:val="none"/>
          <w:lang w:val="en-US" w:eastAsia="zh-CN" w:bidi="ar-SA"/>
        </w:rPr>
        <w:t>发包人应按专用合同条件和《发包人要求》中的约定向承包人提供</w:t>
      </w:r>
      <w:bookmarkEnd w:id="886"/>
      <w:r>
        <w:rPr>
          <w:rFonts w:hint="eastAsia" w:ascii="宋体" w:hAnsi="宋体" w:eastAsia="宋体" w:cs="宋体"/>
          <w:b w:val="0"/>
          <w:bCs w:val="0"/>
          <w:color w:val="auto"/>
          <w:kern w:val="2"/>
          <w:sz w:val="21"/>
          <w:szCs w:val="21"/>
          <w:highlight w:val="none"/>
          <w:lang w:val="en-US" w:eastAsia="zh-CN" w:bidi="ar-SA"/>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6E0B6A7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87" w:name="_Toc54862199"/>
      <w:bookmarkStart w:id="888" w:name="_Ref531950041"/>
      <w:bookmarkStart w:id="889" w:name="_Toc27556"/>
      <w:bookmarkStart w:id="890" w:name="_Ref531950045"/>
      <w:r>
        <w:rPr>
          <w:rFonts w:hint="eastAsia" w:ascii="宋体" w:hAnsi="宋体" w:eastAsia="宋体" w:cs="宋体"/>
          <w:b/>
          <w:bCs/>
          <w:color w:val="auto"/>
          <w:kern w:val="2"/>
          <w:sz w:val="21"/>
          <w:szCs w:val="21"/>
          <w:highlight w:val="none"/>
          <w:lang w:val="en-US" w:eastAsia="zh-CN" w:bidi="ar-SA"/>
        </w:rPr>
        <w:t>2.4 办理许可和批准</w:t>
      </w:r>
      <w:bookmarkEnd w:id="887"/>
      <w:bookmarkEnd w:id="888"/>
      <w:bookmarkEnd w:id="889"/>
      <w:bookmarkEnd w:id="890"/>
    </w:p>
    <w:p w14:paraId="3D71347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91" w:name="_Toc51505128"/>
      <w:r>
        <w:rPr>
          <w:rFonts w:hint="eastAsia" w:ascii="宋体" w:hAnsi="宋体" w:eastAsia="宋体" w:cs="宋体"/>
          <w:b w:val="0"/>
          <w:bCs w:val="0"/>
          <w:color w:val="auto"/>
          <w:kern w:val="2"/>
          <w:sz w:val="21"/>
          <w:szCs w:val="21"/>
          <w:highlight w:val="none"/>
          <w:lang w:val="en-US" w:eastAsia="zh-CN" w:bidi="ar-SA"/>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891"/>
    </w:p>
    <w:p w14:paraId="7C92A81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92" w:name="_Toc51505129"/>
      <w:r>
        <w:rPr>
          <w:rFonts w:hint="eastAsia" w:ascii="宋体" w:hAnsi="宋体" w:eastAsia="宋体" w:cs="宋体"/>
          <w:b w:val="0"/>
          <w:bCs w:val="0"/>
          <w:color w:val="auto"/>
          <w:kern w:val="2"/>
          <w:sz w:val="21"/>
          <w:szCs w:val="21"/>
          <w:highlight w:val="none"/>
          <w:lang w:val="en-US" w:eastAsia="zh-CN" w:bidi="ar-SA"/>
        </w:rPr>
        <w:t>2.4.2 因发包人原因未能及时办理完毕前述许可、批准或备案，由发包人承担由此增加的费用和（或）延误的工期，并支付承包人合理的利润。</w:t>
      </w:r>
      <w:bookmarkEnd w:id="892"/>
    </w:p>
    <w:p w14:paraId="612A8B2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893" w:name="_Ref11956533"/>
      <w:bookmarkStart w:id="894" w:name="_Ref11918070"/>
      <w:bookmarkStart w:id="895" w:name="_Toc27195"/>
      <w:bookmarkStart w:id="896" w:name="_Ref11956525"/>
      <w:bookmarkStart w:id="897" w:name="_Ref11918060"/>
      <w:bookmarkStart w:id="898" w:name="_Toc54862200"/>
      <w:r>
        <w:rPr>
          <w:rFonts w:hint="eastAsia" w:ascii="宋体" w:hAnsi="宋体" w:eastAsia="宋体" w:cs="宋体"/>
          <w:b/>
          <w:bCs/>
          <w:color w:val="auto"/>
          <w:kern w:val="2"/>
          <w:sz w:val="21"/>
          <w:szCs w:val="21"/>
          <w:highlight w:val="none"/>
          <w:lang w:val="en-US" w:eastAsia="zh-CN" w:bidi="ar-SA"/>
        </w:rPr>
        <w:t>2.5 支付合同价款</w:t>
      </w:r>
      <w:bookmarkEnd w:id="893"/>
      <w:bookmarkEnd w:id="894"/>
      <w:bookmarkEnd w:id="895"/>
      <w:bookmarkEnd w:id="896"/>
      <w:bookmarkEnd w:id="897"/>
      <w:bookmarkEnd w:id="898"/>
    </w:p>
    <w:p w14:paraId="063B291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899" w:name="_Toc51505131"/>
      <w:bookmarkStart w:id="900" w:name="_Ref531950147"/>
      <w:r>
        <w:rPr>
          <w:rFonts w:hint="eastAsia" w:ascii="宋体" w:hAnsi="宋体" w:eastAsia="宋体" w:cs="宋体"/>
          <w:b w:val="0"/>
          <w:bCs w:val="0"/>
          <w:color w:val="auto"/>
          <w:kern w:val="2"/>
          <w:sz w:val="21"/>
          <w:szCs w:val="21"/>
          <w:highlight w:val="none"/>
          <w:lang w:val="en-US" w:eastAsia="zh-CN" w:bidi="ar-SA"/>
        </w:rPr>
        <w:t>2.5.1 发包人应按合同约定向承包人及时支付合同价款。</w:t>
      </w:r>
      <w:bookmarkEnd w:id="899"/>
    </w:p>
    <w:bookmarkEnd w:id="900"/>
    <w:p w14:paraId="1BE374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01" w:name="_Toc51505132"/>
      <w:r>
        <w:rPr>
          <w:rFonts w:hint="eastAsia" w:ascii="宋体" w:hAnsi="宋体" w:eastAsia="宋体" w:cs="宋体"/>
          <w:b w:val="0"/>
          <w:bCs w:val="0"/>
          <w:color w:val="auto"/>
          <w:kern w:val="2"/>
          <w:sz w:val="21"/>
          <w:szCs w:val="21"/>
          <w:highlight w:val="none"/>
          <w:lang w:val="en-US" w:eastAsia="zh-CN" w:bidi="ar-SA"/>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901"/>
    </w:p>
    <w:p w14:paraId="1F3431A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02" w:name="_Ref531950161"/>
      <w:bookmarkStart w:id="903" w:name="_Toc51505133"/>
      <w:r>
        <w:rPr>
          <w:rFonts w:hint="eastAsia" w:ascii="宋体" w:hAnsi="宋体" w:eastAsia="宋体" w:cs="宋体"/>
          <w:b w:val="0"/>
          <w:bCs w:val="0"/>
          <w:color w:val="auto"/>
          <w:kern w:val="2"/>
          <w:sz w:val="21"/>
          <w:szCs w:val="21"/>
          <w:highlight w:val="none"/>
          <w:lang w:val="en-US" w:eastAsia="zh-CN" w:bidi="ar-SA"/>
        </w:rPr>
        <w:t>2.5.3 发包人应当向承包人提供支付担保。支付担保可以采用银行保函或担保公司担保等形式，具体由合同当事人在专用合同条件中约定。</w:t>
      </w:r>
      <w:bookmarkEnd w:id="902"/>
      <w:bookmarkEnd w:id="903"/>
    </w:p>
    <w:p w14:paraId="7E07CC1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04" w:name="_Toc16786"/>
      <w:bookmarkStart w:id="905" w:name="_Toc54862201"/>
      <w:r>
        <w:rPr>
          <w:rFonts w:hint="eastAsia" w:ascii="宋体" w:hAnsi="宋体" w:eastAsia="宋体" w:cs="宋体"/>
          <w:b/>
          <w:bCs/>
          <w:color w:val="auto"/>
          <w:kern w:val="2"/>
          <w:sz w:val="21"/>
          <w:szCs w:val="21"/>
          <w:highlight w:val="none"/>
          <w:lang w:val="en-US" w:eastAsia="zh-CN" w:bidi="ar-SA"/>
        </w:rPr>
        <w:t>2.6 现场管理配合</w:t>
      </w:r>
      <w:bookmarkEnd w:id="904"/>
      <w:bookmarkEnd w:id="905"/>
    </w:p>
    <w:p w14:paraId="31389FE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发包人应负责保证在现场或现场附近的发包人人员和发包人的其他承包人（如有）：</w:t>
      </w:r>
    </w:p>
    <w:p w14:paraId="74A29E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根据第7.3款[现场合作]的约定，与承包人进行合作；</w:t>
      </w:r>
    </w:p>
    <w:p w14:paraId="420391A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遵守第7.5款[现场劳动用工]、第7.6款[安全文明施工]、第7.7款[职业健康</w:t>
      </w:r>
      <w:bookmarkStart w:id="906" w:name="_Ref531952756"/>
      <w:bookmarkStart w:id="907" w:name="_Ref531952761"/>
      <w:r>
        <w:rPr>
          <w:rFonts w:hint="eastAsia" w:ascii="宋体" w:hAnsi="宋体" w:eastAsia="宋体" w:cs="宋体"/>
          <w:b w:val="0"/>
          <w:bCs w:val="0"/>
          <w:color w:val="auto"/>
          <w:kern w:val="2"/>
          <w:sz w:val="21"/>
          <w:szCs w:val="21"/>
          <w:highlight w:val="none"/>
          <w:lang w:val="en-US" w:eastAsia="zh-CN" w:bidi="ar-SA"/>
        </w:rPr>
        <w:t>]和第7.8款[环境保护]的相关约定。</w:t>
      </w:r>
    </w:p>
    <w:p w14:paraId="43B932F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发包人应与承包人、由发包人直接发包的其他承包人（如有）订立施工现场统一管理协议，明确各方的权利义务。</w:t>
      </w:r>
    </w:p>
    <w:p w14:paraId="1DFE02B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08" w:name="_Toc54862202"/>
      <w:bookmarkStart w:id="909" w:name="_Ref11959372"/>
      <w:bookmarkStart w:id="910" w:name="_Ref11959376"/>
      <w:bookmarkStart w:id="911" w:name="_Toc18858"/>
      <w:r>
        <w:rPr>
          <w:rFonts w:hint="eastAsia" w:ascii="宋体" w:hAnsi="宋体" w:eastAsia="宋体" w:cs="宋体"/>
          <w:b/>
          <w:bCs/>
          <w:color w:val="auto"/>
          <w:kern w:val="2"/>
          <w:sz w:val="21"/>
          <w:szCs w:val="21"/>
          <w:highlight w:val="none"/>
          <w:lang w:val="en-US" w:eastAsia="zh-CN" w:bidi="ar-SA"/>
        </w:rPr>
        <w:t>2.7 其他义务</w:t>
      </w:r>
      <w:bookmarkEnd w:id="908"/>
      <w:bookmarkEnd w:id="909"/>
      <w:bookmarkEnd w:id="910"/>
      <w:bookmarkEnd w:id="911"/>
    </w:p>
    <w:p w14:paraId="6094F67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发包人应履行合同约定的其他义务，双方可在专用合同条件内对发包人应履行的其他义务进行补充约定。</w:t>
      </w:r>
    </w:p>
    <w:bookmarkEnd w:id="906"/>
    <w:bookmarkEnd w:id="907"/>
    <w:p w14:paraId="6345CB5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12" w:name="_Toc54862203"/>
      <w:bookmarkStart w:id="913" w:name="_Ref531952791"/>
      <w:bookmarkStart w:id="914" w:name="_Toc12471"/>
      <w:r>
        <w:rPr>
          <w:rFonts w:hint="eastAsia" w:ascii="宋体" w:hAnsi="宋体" w:eastAsia="宋体" w:cs="宋体"/>
          <w:b/>
          <w:bCs/>
          <w:color w:val="auto"/>
          <w:kern w:val="2"/>
          <w:sz w:val="21"/>
          <w:szCs w:val="21"/>
          <w:highlight w:val="none"/>
          <w:lang w:val="en-US" w:eastAsia="zh-CN" w:bidi="ar-SA"/>
        </w:rPr>
        <w:t>第3条 发包人的管理</w:t>
      </w:r>
      <w:bookmarkEnd w:id="912"/>
      <w:bookmarkEnd w:id="913"/>
      <w:bookmarkEnd w:id="914"/>
    </w:p>
    <w:p w14:paraId="1E1572A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15" w:name="_Ref522810097"/>
      <w:bookmarkStart w:id="916" w:name="_Ref522810094"/>
      <w:bookmarkStart w:id="917" w:name="_Ref531951533"/>
      <w:bookmarkStart w:id="918" w:name="_Toc16514"/>
      <w:bookmarkStart w:id="919" w:name="_Ref531951538"/>
      <w:bookmarkStart w:id="920" w:name="_Toc54862204"/>
      <w:r>
        <w:rPr>
          <w:rFonts w:hint="eastAsia" w:ascii="宋体" w:hAnsi="宋体" w:eastAsia="宋体" w:cs="宋体"/>
          <w:b/>
          <w:bCs/>
          <w:color w:val="auto"/>
          <w:kern w:val="2"/>
          <w:sz w:val="21"/>
          <w:szCs w:val="21"/>
          <w:highlight w:val="none"/>
          <w:lang w:val="en-US" w:eastAsia="zh-CN" w:bidi="ar-SA"/>
        </w:rPr>
        <w:t>3.1 发包人</w:t>
      </w:r>
      <w:bookmarkEnd w:id="915"/>
      <w:bookmarkEnd w:id="916"/>
      <w:r>
        <w:rPr>
          <w:rFonts w:hint="eastAsia" w:ascii="宋体" w:hAnsi="宋体" w:eastAsia="宋体" w:cs="宋体"/>
          <w:b/>
          <w:bCs/>
          <w:color w:val="auto"/>
          <w:kern w:val="2"/>
          <w:sz w:val="21"/>
          <w:szCs w:val="21"/>
          <w:highlight w:val="none"/>
          <w:lang w:val="en-US" w:eastAsia="zh-CN" w:bidi="ar-SA"/>
        </w:rPr>
        <w:t>代表</w:t>
      </w:r>
      <w:bookmarkEnd w:id="917"/>
      <w:bookmarkEnd w:id="918"/>
      <w:bookmarkEnd w:id="919"/>
      <w:bookmarkEnd w:id="920"/>
    </w:p>
    <w:p w14:paraId="62DA7C2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758BCD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除非发包人另行通知承包人，发包人代表应被授予并且被认为具有发包人在授权范围内享有的相应权利，涉及第16.1款[由发包人解除合同]的权利除外。</w:t>
      </w:r>
    </w:p>
    <w:p w14:paraId="197FF91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发包人代表（或者在其为法人的情况下，被任命代表其行事的自然人）应：</w:t>
      </w:r>
    </w:p>
    <w:p w14:paraId="4AA5BAE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履行指派给其的职责，行使发包人托付给的权利；</w:t>
      </w:r>
    </w:p>
    <w:p w14:paraId="5EEC5E8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具备履行这些职责、行使这些权利的能力；</w:t>
      </w:r>
    </w:p>
    <w:p w14:paraId="28A1B22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作为熟练的专业人员行事。</w:t>
      </w:r>
    </w:p>
    <w:p w14:paraId="1A325A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76FF082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78A9EFF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发包人代表不能按照合同约定履行其职责及义务，并导致合同无法继续正常履行的，承包人可以要求发包人撤换发包人代表。</w:t>
      </w:r>
    </w:p>
    <w:p w14:paraId="24BE0B6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21" w:name="_Toc14710"/>
      <w:bookmarkStart w:id="922" w:name="_Ref531951557"/>
      <w:bookmarkStart w:id="923" w:name="_Ref531951553"/>
      <w:bookmarkStart w:id="924" w:name="_Toc54862205"/>
      <w:r>
        <w:rPr>
          <w:rFonts w:hint="eastAsia" w:ascii="宋体" w:hAnsi="宋体" w:eastAsia="宋体" w:cs="宋体"/>
          <w:b/>
          <w:bCs/>
          <w:color w:val="auto"/>
          <w:kern w:val="2"/>
          <w:sz w:val="21"/>
          <w:szCs w:val="21"/>
          <w:highlight w:val="none"/>
          <w:lang w:val="en-US" w:eastAsia="zh-CN" w:bidi="ar-SA"/>
        </w:rPr>
        <w:t>3.2 发包人人员</w:t>
      </w:r>
      <w:bookmarkEnd w:id="921"/>
      <w:bookmarkEnd w:id="922"/>
      <w:bookmarkEnd w:id="923"/>
      <w:bookmarkEnd w:id="924"/>
    </w:p>
    <w:p w14:paraId="2FD8C1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10691E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发包人应要求在施工现场的发包人人员遵守法律及有关安全、质量、环境保护、文明施工等规定，因发包人人员未遵守上述要求给承包人造成的损失和责任由发包人承担。</w:t>
      </w:r>
    </w:p>
    <w:p w14:paraId="638C3CC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25" w:name="_Toc12305"/>
      <w:bookmarkStart w:id="926" w:name="_Toc54862206"/>
      <w:r>
        <w:rPr>
          <w:rFonts w:hint="eastAsia" w:ascii="宋体" w:hAnsi="宋体" w:eastAsia="宋体" w:cs="宋体"/>
          <w:b/>
          <w:bCs/>
          <w:color w:val="auto"/>
          <w:kern w:val="2"/>
          <w:sz w:val="21"/>
          <w:szCs w:val="21"/>
          <w:highlight w:val="none"/>
          <w:lang w:val="en-US" w:eastAsia="zh-CN" w:bidi="ar-SA"/>
        </w:rPr>
        <w:t>3.3 工程师</w:t>
      </w:r>
      <w:bookmarkEnd w:id="925"/>
      <w:bookmarkEnd w:id="926"/>
      <w:r>
        <w:rPr>
          <w:rFonts w:hint="eastAsia" w:ascii="宋体" w:hAnsi="宋体" w:eastAsia="宋体" w:cs="宋体"/>
          <w:b/>
          <w:bCs/>
          <w:color w:val="auto"/>
          <w:kern w:val="2"/>
          <w:sz w:val="21"/>
          <w:szCs w:val="21"/>
          <w:highlight w:val="none"/>
          <w:lang w:val="en-US" w:eastAsia="zh-CN" w:bidi="ar-SA"/>
        </w:rPr>
        <w:t xml:space="preserve"> </w:t>
      </w:r>
    </w:p>
    <w:p w14:paraId="69E44B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1019235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3E24243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1DC2D54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0F4B4B0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27" w:name="_Toc22674"/>
      <w:bookmarkStart w:id="928" w:name="_Toc54862207"/>
      <w:bookmarkStart w:id="929" w:name="_Ref531951594"/>
      <w:bookmarkStart w:id="930" w:name="_Ref531951597"/>
      <w:r>
        <w:rPr>
          <w:rFonts w:hint="eastAsia" w:ascii="宋体" w:hAnsi="宋体" w:eastAsia="宋体" w:cs="宋体"/>
          <w:b/>
          <w:bCs/>
          <w:color w:val="auto"/>
          <w:kern w:val="2"/>
          <w:sz w:val="21"/>
          <w:szCs w:val="21"/>
          <w:highlight w:val="none"/>
          <w:lang w:val="en-US" w:eastAsia="zh-CN" w:bidi="ar-SA"/>
        </w:rPr>
        <w:t>3.4 任命和授权</w:t>
      </w:r>
      <w:bookmarkEnd w:id="927"/>
      <w:bookmarkEnd w:id="928"/>
    </w:p>
    <w:p w14:paraId="6600BA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00596CD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6503A6F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31" w:name="_Toc26630"/>
      <w:bookmarkStart w:id="932" w:name="_Ref20165400"/>
      <w:bookmarkStart w:id="933" w:name="_Toc54862208"/>
      <w:r>
        <w:rPr>
          <w:rFonts w:hint="eastAsia" w:ascii="宋体" w:hAnsi="宋体" w:eastAsia="宋体" w:cs="宋体"/>
          <w:b/>
          <w:bCs/>
          <w:color w:val="auto"/>
          <w:kern w:val="2"/>
          <w:sz w:val="21"/>
          <w:szCs w:val="21"/>
          <w:highlight w:val="none"/>
          <w:lang w:val="en-US" w:eastAsia="zh-CN" w:bidi="ar-SA"/>
        </w:rPr>
        <w:t>3.5 指示</w:t>
      </w:r>
      <w:bookmarkEnd w:id="929"/>
      <w:bookmarkEnd w:id="930"/>
      <w:bookmarkEnd w:id="931"/>
      <w:bookmarkEnd w:id="932"/>
      <w:bookmarkEnd w:id="933"/>
    </w:p>
    <w:p w14:paraId="09DC727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381164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3.5.2 承包人收到工程师作出的指示后应遵照执行。如果任何此类指示构成一项变更时，应按照第13条[变更与调整]的约定办理。</w:t>
      </w:r>
    </w:p>
    <w:p w14:paraId="436261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3.5.3 由于工程师未能按合同约定发出指示、指示延误或指示错误而导致承包人费用增加和（或）工期延误的，发包人应承担由此增加的费用和（或）工期延误，并向承包人支付合理利润。</w:t>
      </w:r>
    </w:p>
    <w:p w14:paraId="3F22A3A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34" w:name="_Ref531951609"/>
      <w:bookmarkStart w:id="935" w:name="_Ref531951611"/>
      <w:bookmarkStart w:id="936" w:name="_Toc21747"/>
      <w:bookmarkStart w:id="937" w:name="_Toc54862209"/>
      <w:r>
        <w:rPr>
          <w:rFonts w:hint="eastAsia" w:ascii="宋体" w:hAnsi="宋体" w:eastAsia="宋体" w:cs="宋体"/>
          <w:b/>
          <w:bCs/>
          <w:color w:val="auto"/>
          <w:kern w:val="2"/>
          <w:sz w:val="21"/>
          <w:szCs w:val="21"/>
          <w:highlight w:val="none"/>
          <w:lang w:val="en-US" w:eastAsia="zh-CN" w:bidi="ar-SA"/>
        </w:rPr>
        <w:t>3.6 商定或确定</w:t>
      </w:r>
      <w:bookmarkEnd w:id="934"/>
      <w:bookmarkEnd w:id="935"/>
      <w:bookmarkEnd w:id="936"/>
      <w:bookmarkEnd w:id="937"/>
    </w:p>
    <w:p w14:paraId="4952B6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3.6.1 合同约定工程师应按照本款对任何事项进行商定或确定时，工程师应及时与合同当事人协商，尽量达成一致。工程师应将商定的结果以书面形式通知发包人和承包人，并由双方签署确认。</w:t>
      </w:r>
    </w:p>
    <w:p w14:paraId="6C51039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7D68B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38" w:name="_Ref532287856"/>
      <w:r>
        <w:rPr>
          <w:rFonts w:hint="eastAsia" w:ascii="宋体" w:hAnsi="宋体" w:eastAsia="宋体" w:cs="宋体"/>
          <w:b w:val="0"/>
          <w:bCs w:val="0"/>
          <w:color w:val="auto"/>
          <w:kern w:val="2"/>
          <w:sz w:val="21"/>
          <w:szCs w:val="21"/>
          <w:highlight w:val="none"/>
          <w:lang w:val="en-US" w:eastAsia="zh-CN" w:bidi="ar-SA"/>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938"/>
    </w:p>
    <w:p w14:paraId="311F7DB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3.6.4 在该争议解决前，双方应暂按工程师的确定执行。按照第20条[争议解决]的约定对工程师的确定作出修改的，按修改后的结果执行，由此导致承包人增加的费用和延误的工期由责任方承担。</w:t>
      </w:r>
    </w:p>
    <w:p w14:paraId="71EE69A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39" w:name="_Toc22976"/>
      <w:bookmarkStart w:id="940" w:name="_Toc54862210"/>
      <w:bookmarkStart w:id="941" w:name="_Ref531951747"/>
      <w:bookmarkStart w:id="942" w:name="_Ref531951749"/>
      <w:r>
        <w:rPr>
          <w:rFonts w:hint="eastAsia" w:ascii="宋体" w:hAnsi="宋体" w:eastAsia="宋体" w:cs="宋体"/>
          <w:b/>
          <w:bCs/>
          <w:color w:val="auto"/>
          <w:kern w:val="2"/>
          <w:sz w:val="21"/>
          <w:szCs w:val="21"/>
          <w:highlight w:val="none"/>
          <w:lang w:val="en-US" w:eastAsia="zh-CN" w:bidi="ar-SA"/>
        </w:rPr>
        <w:t>3.7 会议</w:t>
      </w:r>
      <w:bookmarkEnd w:id="939"/>
      <w:bookmarkEnd w:id="940"/>
      <w:bookmarkEnd w:id="941"/>
      <w:bookmarkEnd w:id="942"/>
    </w:p>
    <w:p w14:paraId="4681D99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34E340A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3.7.2 除专用合同条件另有约定外，发包人应保存每次会议参加人签名的记录，并将会议纪要提供给出席会议的人员。任何根据此类会议以及会议纪要采取的行动应符合本合同的约定。</w:t>
      </w:r>
    </w:p>
    <w:p w14:paraId="21A3E77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43" w:name="_Toc54862211"/>
      <w:bookmarkStart w:id="944" w:name="_Toc20551"/>
      <w:bookmarkStart w:id="945" w:name="_Ref531952805"/>
      <w:r>
        <w:rPr>
          <w:rFonts w:hint="eastAsia" w:ascii="宋体" w:hAnsi="宋体" w:eastAsia="宋体" w:cs="宋体"/>
          <w:b/>
          <w:bCs/>
          <w:color w:val="auto"/>
          <w:kern w:val="2"/>
          <w:sz w:val="21"/>
          <w:szCs w:val="21"/>
          <w:highlight w:val="none"/>
          <w:lang w:val="en-US" w:eastAsia="zh-CN" w:bidi="ar-SA"/>
        </w:rPr>
        <w:t>第4条 承包人</w:t>
      </w:r>
      <w:bookmarkEnd w:id="943"/>
      <w:bookmarkEnd w:id="944"/>
      <w:bookmarkEnd w:id="945"/>
    </w:p>
    <w:p w14:paraId="6577715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46" w:name="_Ref531951961"/>
      <w:bookmarkStart w:id="947" w:name="_Ref531951975"/>
      <w:bookmarkStart w:id="948" w:name="_Ref531951945"/>
      <w:bookmarkStart w:id="949" w:name="_Toc26331"/>
      <w:bookmarkStart w:id="950" w:name="_Toc54862212"/>
      <w:bookmarkStart w:id="951" w:name="_Ref531951941"/>
      <w:bookmarkStart w:id="952" w:name="_Ref531951958"/>
      <w:r>
        <w:rPr>
          <w:rFonts w:hint="eastAsia" w:ascii="宋体" w:hAnsi="宋体" w:eastAsia="宋体" w:cs="宋体"/>
          <w:b/>
          <w:bCs/>
          <w:color w:val="auto"/>
          <w:kern w:val="2"/>
          <w:sz w:val="21"/>
          <w:szCs w:val="21"/>
          <w:highlight w:val="none"/>
          <w:lang w:val="en-US" w:eastAsia="zh-CN" w:bidi="ar-SA"/>
        </w:rPr>
        <w:t>4.1 承包人的一般义务</w:t>
      </w:r>
      <w:bookmarkEnd w:id="946"/>
      <w:bookmarkEnd w:id="947"/>
      <w:bookmarkEnd w:id="948"/>
      <w:bookmarkEnd w:id="949"/>
      <w:bookmarkEnd w:id="950"/>
      <w:bookmarkEnd w:id="951"/>
      <w:bookmarkEnd w:id="952"/>
      <w:r>
        <w:rPr>
          <w:rFonts w:hint="eastAsia" w:ascii="宋体" w:hAnsi="宋体" w:eastAsia="宋体" w:cs="宋体"/>
          <w:b/>
          <w:bCs/>
          <w:color w:val="auto"/>
          <w:kern w:val="2"/>
          <w:sz w:val="21"/>
          <w:szCs w:val="21"/>
          <w:highlight w:val="none"/>
          <w:lang w:val="en-US" w:eastAsia="zh-CN" w:bidi="ar-SA"/>
        </w:rPr>
        <w:t xml:space="preserve"> </w:t>
      </w:r>
    </w:p>
    <w:p w14:paraId="529706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53" w:name="_Ref509046929"/>
      <w:r>
        <w:rPr>
          <w:rFonts w:hint="eastAsia" w:ascii="宋体" w:hAnsi="宋体" w:eastAsia="宋体" w:cs="宋体"/>
          <w:b w:val="0"/>
          <w:bCs w:val="0"/>
          <w:color w:val="auto"/>
          <w:kern w:val="2"/>
          <w:sz w:val="21"/>
          <w:szCs w:val="21"/>
          <w:highlight w:val="none"/>
          <w:lang w:val="en-US" w:eastAsia="zh-CN" w:bidi="ar-SA"/>
        </w:rPr>
        <w:t>除专用合同条件另有约定外，承包人在履行合同过程中应遵守法律和工程建设标准规范，并履行以下义务：</w:t>
      </w:r>
    </w:p>
    <w:p w14:paraId="5955220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办理法律规定和合同约定由承包人办理的许可和批准，将办理结果书面报送发包人留存，并承担因承包人违反法律或合同约定给发包人造成的任何费用和损失；</w:t>
      </w:r>
    </w:p>
    <w:p w14:paraId="093A1A0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按合同约定完成全部工作并在缺陷责任期和保修期内承担缺陷保证责任和保修义务，对工作中的任何缺陷进行整改、完善和修补，使其满足合同约定的目的；</w:t>
      </w:r>
    </w:p>
    <w:p w14:paraId="6CF161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提供合同约定的工程设备和承包人文件，以及为完成合同工作所需的劳务、材料、施工设备和其他物品，并按合同约定负责临时设施的设计、施工、运行、维护、管理和拆除；</w:t>
      </w:r>
    </w:p>
    <w:p w14:paraId="669E66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按合同约定的工作内容和进度要求，编制设计、施工的组织和实施计划，保证项目进度计划的实现，并对所有设计、施工作业和施工方法，以及全部工程的完备性和安全可靠性负责；</w:t>
      </w:r>
    </w:p>
    <w:p w14:paraId="1BC6F6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按法律规定和合同约定采取安全文明施工、职业健康和环境保护措施，办理员工工伤保险等相关保险，确保工程及人员、材料、设备和设施的安全，防止因工程实施造成的人身伤害和财产损失；</w:t>
      </w:r>
    </w:p>
    <w:p w14:paraId="63FB897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将发包人按合同约定支付的各项价款专用于合同工程，且应及时支付其雇用人员（包括建筑工人）工资，并及时向分包人支付合同价款；</w:t>
      </w:r>
    </w:p>
    <w:p w14:paraId="5403947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在进行合同约定的各项工作时，不得侵害发包人与他人使用公用道路、水源、市政管网等公共设施的权利，避免对邻近的公共设施产生干扰。</w:t>
      </w:r>
    </w:p>
    <w:p w14:paraId="5470B51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54" w:name="_Ref4426803"/>
      <w:bookmarkStart w:id="955" w:name="_Toc54862213"/>
      <w:bookmarkStart w:id="956" w:name="_Toc23000"/>
      <w:bookmarkStart w:id="957" w:name="_Ref4428418"/>
      <w:r>
        <w:rPr>
          <w:rFonts w:hint="eastAsia" w:ascii="宋体" w:hAnsi="宋体" w:eastAsia="宋体" w:cs="宋体"/>
          <w:b/>
          <w:bCs/>
          <w:color w:val="auto"/>
          <w:kern w:val="2"/>
          <w:sz w:val="21"/>
          <w:szCs w:val="21"/>
          <w:highlight w:val="none"/>
          <w:lang w:val="en-US" w:eastAsia="zh-CN" w:bidi="ar-SA"/>
        </w:rPr>
        <w:t>4.2 履约担保</w:t>
      </w:r>
      <w:bookmarkEnd w:id="954"/>
      <w:bookmarkEnd w:id="955"/>
      <w:bookmarkEnd w:id="956"/>
    </w:p>
    <w:p w14:paraId="332D9AB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1262A6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承包人应保证其履约担保在发包人竣工验收前一直有效，发包人应在竣工验收合格后7天内将履约担保款项退还给承包人或者解除履约担保。</w:t>
      </w:r>
    </w:p>
    <w:p w14:paraId="2F3C7C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因承包人原因导致工期延长的，继续提供履约担保所增加的费用由承包人承担；非因承包人原因导致工期延长的，继续提供履约担保所增加的费用由发包人承担。</w:t>
      </w:r>
    </w:p>
    <w:bookmarkEnd w:id="953"/>
    <w:bookmarkEnd w:id="957"/>
    <w:p w14:paraId="079ED84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58" w:name="_Toc11558"/>
      <w:bookmarkStart w:id="959" w:name="_Ref532689105"/>
      <w:bookmarkStart w:id="960" w:name="_Ref532689108"/>
      <w:bookmarkStart w:id="961" w:name="_Toc54862214"/>
      <w:r>
        <w:rPr>
          <w:rFonts w:hint="eastAsia" w:ascii="宋体" w:hAnsi="宋体" w:eastAsia="宋体" w:cs="宋体"/>
          <w:b/>
          <w:bCs/>
          <w:color w:val="auto"/>
          <w:kern w:val="2"/>
          <w:sz w:val="21"/>
          <w:szCs w:val="21"/>
          <w:highlight w:val="none"/>
          <w:lang w:val="en-US" w:eastAsia="zh-CN" w:bidi="ar-SA"/>
        </w:rPr>
        <w:t>4.3 工程总承包项目经理</w:t>
      </w:r>
      <w:bookmarkEnd w:id="958"/>
      <w:bookmarkEnd w:id="959"/>
      <w:bookmarkEnd w:id="960"/>
      <w:bookmarkEnd w:id="961"/>
    </w:p>
    <w:p w14:paraId="4FC922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62" w:name="_Ref532351726"/>
      <w:r>
        <w:rPr>
          <w:rFonts w:hint="eastAsia" w:ascii="宋体" w:hAnsi="宋体" w:eastAsia="宋体" w:cs="宋体"/>
          <w:b w:val="0"/>
          <w:bCs w:val="0"/>
          <w:color w:val="auto"/>
          <w:kern w:val="2"/>
          <w:sz w:val="21"/>
          <w:szCs w:val="21"/>
          <w:highlight w:val="none"/>
          <w:lang w:val="en-US" w:eastAsia="zh-CN" w:bidi="ar-SA"/>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962"/>
    </w:p>
    <w:p w14:paraId="33A245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63" w:name="_Ref532689263"/>
      <w:r>
        <w:rPr>
          <w:rFonts w:hint="eastAsia" w:ascii="宋体" w:hAnsi="宋体" w:eastAsia="宋体" w:cs="宋体"/>
          <w:b w:val="0"/>
          <w:bCs w:val="0"/>
          <w:color w:val="auto"/>
          <w:kern w:val="2"/>
          <w:sz w:val="21"/>
          <w:szCs w:val="21"/>
          <w:highlight w:val="none"/>
          <w:lang w:val="en-US" w:eastAsia="zh-CN" w:bidi="ar-SA"/>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963"/>
    </w:p>
    <w:p w14:paraId="0C51C1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64" w:name="_Ref532689178"/>
      <w:bookmarkStart w:id="965" w:name="_Ref531952112"/>
      <w:r>
        <w:rPr>
          <w:rFonts w:hint="eastAsia" w:ascii="宋体" w:hAnsi="宋体" w:eastAsia="宋体" w:cs="宋体"/>
          <w:b w:val="0"/>
          <w:bCs w:val="0"/>
          <w:color w:val="auto"/>
          <w:kern w:val="2"/>
          <w:sz w:val="21"/>
          <w:szCs w:val="21"/>
          <w:highlight w:val="none"/>
          <w:lang w:val="en-US" w:eastAsia="zh-CN" w:bidi="ar-SA"/>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964"/>
    </w:p>
    <w:bookmarkEnd w:id="965"/>
    <w:p w14:paraId="2C85203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66" w:name="_Ref4426412"/>
      <w:r>
        <w:rPr>
          <w:rFonts w:hint="eastAsia" w:ascii="宋体" w:hAnsi="宋体" w:eastAsia="宋体" w:cs="宋体"/>
          <w:b w:val="0"/>
          <w:bCs w:val="0"/>
          <w:color w:val="auto"/>
          <w:kern w:val="2"/>
          <w:sz w:val="21"/>
          <w:szCs w:val="21"/>
          <w:highlight w:val="none"/>
          <w:lang w:val="en-US" w:eastAsia="zh-CN" w:bidi="ar-SA"/>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967" w:name="_Hlk55056591"/>
      <w:r>
        <w:rPr>
          <w:rFonts w:hint="eastAsia" w:ascii="宋体" w:hAnsi="宋体" w:eastAsia="宋体" w:cs="宋体"/>
          <w:b w:val="0"/>
          <w:bCs w:val="0"/>
          <w:color w:val="auto"/>
          <w:kern w:val="2"/>
          <w:sz w:val="21"/>
          <w:szCs w:val="21"/>
          <w:highlight w:val="none"/>
          <w:lang w:val="en-US" w:eastAsia="zh-CN" w:bidi="ar-SA"/>
        </w:rPr>
        <w:t>应按照专用合同条件的约定承担违约责任。</w:t>
      </w:r>
      <w:bookmarkEnd w:id="966"/>
      <w:bookmarkEnd w:id="967"/>
    </w:p>
    <w:p w14:paraId="696764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68" w:name="_Ref531952137"/>
      <w:r>
        <w:rPr>
          <w:rFonts w:hint="eastAsia" w:ascii="宋体" w:hAnsi="宋体" w:eastAsia="宋体" w:cs="宋体"/>
          <w:b w:val="0"/>
          <w:bCs w:val="0"/>
          <w:color w:val="auto"/>
          <w:kern w:val="2"/>
          <w:sz w:val="21"/>
          <w:szCs w:val="21"/>
          <w:highlight w:val="none"/>
          <w:lang w:val="en-US" w:eastAsia="zh-CN" w:bidi="ar-SA"/>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968"/>
    </w:p>
    <w:p w14:paraId="68BC0B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69" w:name="_Ref122620"/>
      <w:r>
        <w:rPr>
          <w:rFonts w:hint="eastAsia" w:ascii="宋体" w:hAnsi="宋体" w:eastAsia="宋体" w:cs="宋体"/>
          <w:b w:val="0"/>
          <w:bCs w:val="0"/>
          <w:color w:val="auto"/>
          <w:kern w:val="2"/>
          <w:sz w:val="21"/>
          <w:szCs w:val="21"/>
          <w:highlight w:val="none"/>
          <w:lang w:val="en-US" w:eastAsia="zh-CN" w:bidi="ar-SA"/>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969"/>
    </w:p>
    <w:p w14:paraId="3BD3B8F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70" w:name="_Toc32031"/>
      <w:bookmarkStart w:id="971" w:name="_Ref531952175"/>
      <w:bookmarkStart w:id="972" w:name="_Toc54862215"/>
      <w:bookmarkStart w:id="973" w:name="_Ref531952172"/>
      <w:r>
        <w:rPr>
          <w:rFonts w:hint="eastAsia" w:ascii="宋体" w:hAnsi="宋体" w:eastAsia="宋体" w:cs="宋体"/>
          <w:b/>
          <w:bCs/>
          <w:color w:val="auto"/>
          <w:kern w:val="2"/>
          <w:sz w:val="21"/>
          <w:szCs w:val="21"/>
          <w:highlight w:val="none"/>
          <w:lang w:val="en-US" w:eastAsia="zh-CN" w:bidi="ar-SA"/>
        </w:rPr>
        <w:t>4.4 承包人人员</w:t>
      </w:r>
      <w:bookmarkEnd w:id="970"/>
      <w:bookmarkEnd w:id="971"/>
      <w:bookmarkEnd w:id="972"/>
      <w:bookmarkEnd w:id="973"/>
    </w:p>
    <w:p w14:paraId="2F5EFDB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74" w:name="_Ref531952185"/>
      <w:r>
        <w:rPr>
          <w:rFonts w:hint="eastAsia" w:ascii="宋体" w:hAnsi="宋体" w:eastAsia="宋体" w:cs="宋体"/>
          <w:b w:val="0"/>
          <w:bCs w:val="0"/>
          <w:color w:val="auto"/>
          <w:kern w:val="2"/>
          <w:sz w:val="21"/>
          <w:szCs w:val="21"/>
          <w:highlight w:val="none"/>
          <w:lang w:val="en-US" w:eastAsia="zh-CN" w:bidi="ar-SA"/>
        </w:rPr>
        <w:t>4.4.1 人员安排</w:t>
      </w:r>
      <w:bookmarkEnd w:id="974"/>
    </w:p>
    <w:p w14:paraId="15275AD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3A27B46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关键人员</w:t>
      </w:r>
      <w:bookmarkStart w:id="975" w:name="_Hlk16210335"/>
      <w:r>
        <w:rPr>
          <w:rFonts w:hint="eastAsia" w:ascii="宋体" w:hAnsi="宋体" w:eastAsia="宋体" w:cs="宋体"/>
          <w:b w:val="0"/>
          <w:bCs w:val="0"/>
          <w:color w:val="auto"/>
          <w:kern w:val="2"/>
          <w:sz w:val="21"/>
          <w:szCs w:val="21"/>
          <w:highlight w:val="none"/>
          <w:lang w:val="en-US" w:eastAsia="zh-CN" w:bidi="ar-SA"/>
        </w:rPr>
        <w:t>是发包人及承包人一致认为对工程建设起重要作用的承包人主要管理人员或技术人员。关键人员的具体范围由发包人及承包人在附件5[承包人主要管理人员表]中另行约定。</w:t>
      </w:r>
    </w:p>
    <w:bookmarkEnd w:id="975"/>
    <w:p w14:paraId="46520A6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76" w:name="_Ref4426641"/>
      <w:bookmarkStart w:id="977" w:name="_Ref531952211"/>
      <w:r>
        <w:rPr>
          <w:rFonts w:hint="eastAsia" w:ascii="宋体" w:hAnsi="宋体" w:eastAsia="宋体" w:cs="宋体"/>
          <w:b w:val="0"/>
          <w:bCs w:val="0"/>
          <w:color w:val="auto"/>
          <w:kern w:val="2"/>
          <w:sz w:val="21"/>
          <w:szCs w:val="21"/>
          <w:highlight w:val="none"/>
          <w:lang w:val="en-US" w:eastAsia="zh-CN" w:bidi="ar-SA"/>
        </w:rPr>
        <w:t>4.4.2 关键人员更换</w:t>
      </w:r>
      <w:bookmarkEnd w:id="976"/>
      <w:bookmarkEnd w:id="977"/>
    </w:p>
    <w:p w14:paraId="3A76BC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6EC942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6E79A74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78" w:name="_Ref531952227"/>
      <w:r>
        <w:rPr>
          <w:rFonts w:hint="eastAsia" w:ascii="宋体" w:hAnsi="宋体" w:eastAsia="宋体" w:cs="宋体"/>
          <w:b w:val="0"/>
          <w:bCs w:val="0"/>
          <w:color w:val="auto"/>
          <w:kern w:val="2"/>
          <w:sz w:val="21"/>
          <w:szCs w:val="21"/>
          <w:highlight w:val="none"/>
          <w:lang w:val="en-US" w:eastAsia="zh-CN" w:bidi="ar-SA"/>
        </w:rPr>
        <w:t>4.4.3 现场管理关键人员在岗要求</w:t>
      </w:r>
      <w:bookmarkEnd w:id="978"/>
    </w:p>
    <w:p w14:paraId="5C4859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7368C3A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79" w:name="_Toc54862216"/>
      <w:bookmarkStart w:id="980" w:name="_Ref531952259"/>
      <w:bookmarkStart w:id="981" w:name="_Ref531952262"/>
      <w:bookmarkStart w:id="982" w:name="_Toc887"/>
      <w:r>
        <w:rPr>
          <w:rFonts w:hint="eastAsia" w:ascii="宋体" w:hAnsi="宋体" w:eastAsia="宋体" w:cs="宋体"/>
          <w:b/>
          <w:bCs/>
          <w:color w:val="auto"/>
          <w:kern w:val="2"/>
          <w:sz w:val="21"/>
          <w:szCs w:val="21"/>
          <w:highlight w:val="none"/>
          <w:lang w:val="en-US" w:eastAsia="zh-CN" w:bidi="ar-SA"/>
        </w:rPr>
        <w:t>4.5 分包</w:t>
      </w:r>
      <w:bookmarkEnd w:id="979"/>
      <w:bookmarkEnd w:id="980"/>
      <w:bookmarkEnd w:id="981"/>
      <w:bookmarkEnd w:id="982"/>
      <w:r>
        <w:rPr>
          <w:rFonts w:hint="eastAsia" w:ascii="宋体" w:hAnsi="宋体" w:eastAsia="宋体" w:cs="宋体"/>
          <w:b/>
          <w:bCs/>
          <w:color w:val="auto"/>
          <w:kern w:val="2"/>
          <w:sz w:val="21"/>
          <w:szCs w:val="21"/>
          <w:highlight w:val="none"/>
          <w:lang w:val="en-US" w:eastAsia="zh-CN" w:bidi="ar-SA"/>
        </w:rPr>
        <w:t xml:space="preserve"> </w:t>
      </w:r>
    </w:p>
    <w:p w14:paraId="102CDE5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83" w:name="_Ref531952273"/>
      <w:r>
        <w:rPr>
          <w:rFonts w:hint="eastAsia" w:ascii="宋体" w:hAnsi="宋体" w:eastAsia="宋体" w:cs="宋体"/>
          <w:b w:val="0"/>
          <w:bCs w:val="0"/>
          <w:color w:val="auto"/>
          <w:kern w:val="2"/>
          <w:sz w:val="21"/>
          <w:szCs w:val="21"/>
          <w:highlight w:val="none"/>
          <w:lang w:val="en-US" w:eastAsia="zh-CN" w:bidi="ar-SA"/>
        </w:rPr>
        <w:t>4.5.1 一般约定</w:t>
      </w:r>
      <w:bookmarkEnd w:id="983"/>
    </w:p>
    <w:p w14:paraId="439273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42D0ADB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84" w:name="_Ref531952286"/>
      <w:r>
        <w:rPr>
          <w:rFonts w:hint="eastAsia" w:ascii="宋体" w:hAnsi="宋体" w:eastAsia="宋体" w:cs="宋体"/>
          <w:b w:val="0"/>
          <w:bCs w:val="0"/>
          <w:color w:val="auto"/>
          <w:kern w:val="2"/>
          <w:sz w:val="21"/>
          <w:szCs w:val="21"/>
          <w:highlight w:val="none"/>
          <w:lang w:val="en-US" w:eastAsia="zh-CN" w:bidi="ar-SA"/>
        </w:rPr>
        <w:t>4.5.2 分包的确定</w:t>
      </w:r>
      <w:bookmarkEnd w:id="984"/>
    </w:p>
    <w:p w14:paraId="0C00E9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承包人应按照专用合同条件约定对工作事项进行分包，确定分包人。</w:t>
      </w:r>
    </w:p>
    <w:p w14:paraId="1E38A4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06D18D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4.5.3 分包人资质</w:t>
      </w:r>
    </w:p>
    <w:p w14:paraId="2DC784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分包人应符合国家法律规定的资质等级，否则不能作为分包人。承包人有义务对分包人的资质进行审查。</w:t>
      </w:r>
    </w:p>
    <w:p w14:paraId="27ED3C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4.5.4 分包管理</w:t>
      </w:r>
    </w:p>
    <w:p w14:paraId="2CE14E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7934D5A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85" w:name="_Ref531952298"/>
      <w:r>
        <w:rPr>
          <w:rFonts w:hint="eastAsia" w:ascii="宋体" w:hAnsi="宋体" w:eastAsia="宋体" w:cs="宋体"/>
          <w:b w:val="0"/>
          <w:bCs w:val="0"/>
          <w:color w:val="auto"/>
          <w:kern w:val="2"/>
          <w:sz w:val="21"/>
          <w:szCs w:val="21"/>
          <w:highlight w:val="none"/>
          <w:lang w:val="en-US" w:eastAsia="zh-CN" w:bidi="ar-SA"/>
        </w:rPr>
        <w:t>4.5.5 分包合同价款支付</w:t>
      </w:r>
      <w:bookmarkEnd w:id="985"/>
    </w:p>
    <w:p w14:paraId="49EBEC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除本项第（2）目约定的情况或专用合同条件另有约定外，分包合同价款由承包人与分包人结算，未经承包人同意，发包人不得向分包人支付分包合同价款；</w:t>
      </w:r>
    </w:p>
    <w:p w14:paraId="48CEAE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86" w:name="_Ref4613798"/>
      <w:r>
        <w:rPr>
          <w:rFonts w:hint="eastAsia" w:ascii="宋体" w:hAnsi="宋体" w:eastAsia="宋体" w:cs="宋体"/>
          <w:b w:val="0"/>
          <w:bCs w:val="0"/>
          <w:color w:val="auto"/>
          <w:kern w:val="2"/>
          <w:sz w:val="21"/>
          <w:szCs w:val="21"/>
          <w:highlight w:val="none"/>
          <w:lang w:val="en-US" w:eastAsia="zh-CN" w:bidi="ar-SA"/>
        </w:rPr>
        <w:t>（2） 生效法律文书要求发包人向分包人支付分包合同价款的，发包人有权从应付承包人工程款中扣除该部分款项</w:t>
      </w:r>
      <w:bookmarkEnd w:id="986"/>
      <w:r>
        <w:rPr>
          <w:rFonts w:hint="eastAsia" w:ascii="宋体" w:hAnsi="宋体" w:eastAsia="宋体" w:cs="宋体"/>
          <w:b w:val="0"/>
          <w:bCs w:val="0"/>
          <w:color w:val="auto"/>
          <w:kern w:val="2"/>
          <w:sz w:val="21"/>
          <w:szCs w:val="21"/>
          <w:highlight w:val="none"/>
          <w:lang w:val="en-US" w:eastAsia="zh-CN" w:bidi="ar-SA"/>
        </w:rPr>
        <w:t>，将扣款直接支付给分包人，并书面通知承包人。</w:t>
      </w:r>
    </w:p>
    <w:p w14:paraId="32BDED5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4.5.6 责任承担</w:t>
      </w:r>
    </w:p>
    <w:p w14:paraId="325BDE9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承包人对分包人的行为向发包人负责，承包人和分包人就分包工作向发包人承担连带责任。</w:t>
      </w:r>
    </w:p>
    <w:p w14:paraId="52E604D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87" w:name="_Toc20950"/>
      <w:bookmarkStart w:id="988" w:name="_Toc54862217"/>
      <w:bookmarkStart w:id="989" w:name="_Ref4426916"/>
      <w:bookmarkStart w:id="990" w:name="_Ref531952317"/>
      <w:bookmarkStart w:id="991" w:name="_Ref531952321"/>
      <w:bookmarkStart w:id="992" w:name="_Ref4768805"/>
      <w:r>
        <w:rPr>
          <w:rFonts w:hint="eastAsia" w:ascii="宋体" w:hAnsi="宋体" w:eastAsia="宋体" w:cs="宋体"/>
          <w:b/>
          <w:bCs/>
          <w:color w:val="auto"/>
          <w:kern w:val="2"/>
          <w:sz w:val="21"/>
          <w:szCs w:val="21"/>
          <w:highlight w:val="none"/>
          <w:lang w:val="en-US" w:eastAsia="zh-CN" w:bidi="ar-SA"/>
        </w:rPr>
        <w:t>4.6 联合体</w:t>
      </w:r>
      <w:bookmarkEnd w:id="987"/>
      <w:bookmarkEnd w:id="988"/>
      <w:bookmarkEnd w:id="989"/>
    </w:p>
    <w:p w14:paraId="5115118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993" w:name="_Hlk16235129"/>
      <w:r>
        <w:rPr>
          <w:rFonts w:hint="eastAsia" w:ascii="宋体" w:hAnsi="宋体" w:eastAsia="宋体" w:cs="宋体"/>
          <w:b w:val="0"/>
          <w:bCs w:val="0"/>
          <w:color w:val="auto"/>
          <w:kern w:val="2"/>
          <w:sz w:val="21"/>
          <w:szCs w:val="21"/>
          <w:highlight w:val="none"/>
          <w:lang w:val="en-US" w:eastAsia="zh-CN" w:bidi="ar-SA"/>
        </w:rPr>
        <w:t>4.6.1 经发包人同意，</w:t>
      </w:r>
      <w:bookmarkEnd w:id="993"/>
      <w:r>
        <w:rPr>
          <w:rFonts w:hint="eastAsia" w:ascii="宋体" w:hAnsi="宋体" w:eastAsia="宋体" w:cs="宋体"/>
          <w:b w:val="0"/>
          <w:bCs w:val="0"/>
          <w:color w:val="auto"/>
          <w:kern w:val="2"/>
          <w:sz w:val="21"/>
          <w:szCs w:val="21"/>
          <w:highlight w:val="none"/>
          <w:lang w:val="en-US" w:eastAsia="zh-CN" w:bidi="ar-SA"/>
        </w:rPr>
        <w:t>以联合体方式承包工程的，联合体各方应共同与发包人订立合同协议书。联合体各方应为履行合同向发包人承担连带责任。</w:t>
      </w:r>
    </w:p>
    <w:p w14:paraId="0CCE22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0E05D88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4.6.3 联合体协议经发包人确认后作为合同附件。在履行合同过程中，未经发包人同意，不得变更联合体成员和其负责的工作范围，或者修改联合体协议中与本合同履行相关的内容。</w:t>
      </w:r>
    </w:p>
    <w:p w14:paraId="448B1C2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94" w:name="_Toc13813"/>
      <w:bookmarkStart w:id="995" w:name="_Ref11926631"/>
      <w:bookmarkStart w:id="996" w:name="_Ref11926629"/>
      <w:bookmarkStart w:id="997" w:name="_Toc54862218"/>
      <w:r>
        <w:rPr>
          <w:rFonts w:hint="eastAsia" w:ascii="宋体" w:hAnsi="宋体" w:eastAsia="宋体" w:cs="宋体"/>
          <w:b/>
          <w:bCs/>
          <w:color w:val="auto"/>
          <w:kern w:val="2"/>
          <w:sz w:val="21"/>
          <w:szCs w:val="21"/>
          <w:highlight w:val="none"/>
          <w:lang w:val="en-US" w:eastAsia="zh-CN" w:bidi="ar-SA"/>
        </w:rPr>
        <w:t>4.7 承包人现场查勘</w:t>
      </w:r>
      <w:bookmarkEnd w:id="994"/>
      <w:bookmarkEnd w:id="995"/>
      <w:bookmarkEnd w:id="996"/>
      <w:bookmarkEnd w:id="997"/>
    </w:p>
    <w:p w14:paraId="02B82D9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46F221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3F18130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998" w:name="_Ref11918789"/>
      <w:bookmarkStart w:id="999" w:name="_Toc399"/>
      <w:bookmarkStart w:id="1000" w:name="_Ref11918693"/>
      <w:bookmarkStart w:id="1001" w:name="_Ref11918626"/>
      <w:bookmarkStart w:id="1002" w:name="_Toc54862219"/>
      <w:bookmarkStart w:id="1003" w:name="不可预见的困难"/>
      <w:r>
        <w:rPr>
          <w:rFonts w:hint="eastAsia" w:ascii="宋体" w:hAnsi="宋体" w:eastAsia="宋体" w:cs="宋体"/>
          <w:b/>
          <w:bCs/>
          <w:color w:val="auto"/>
          <w:kern w:val="2"/>
          <w:sz w:val="21"/>
          <w:szCs w:val="21"/>
          <w:highlight w:val="none"/>
          <w:lang w:val="en-US" w:eastAsia="zh-CN" w:bidi="ar-SA"/>
        </w:rPr>
        <w:t>4.8 不可预见的困难</w:t>
      </w:r>
      <w:bookmarkEnd w:id="990"/>
      <w:bookmarkEnd w:id="991"/>
      <w:bookmarkEnd w:id="992"/>
      <w:bookmarkEnd w:id="998"/>
      <w:bookmarkEnd w:id="999"/>
      <w:bookmarkEnd w:id="1000"/>
      <w:bookmarkEnd w:id="1001"/>
      <w:bookmarkEnd w:id="1002"/>
      <w:bookmarkEnd w:id="1003"/>
      <w:r>
        <w:rPr>
          <w:rFonts w:hint="eastAsia" w:ascii="宋体" w:hAnsi="宋体" w:eastAsia="宋体" w:cs="宋体"/>
          <w:b/>
          <w:bCs/>
          <w:color w:val="auto"/>
          <w:kern w:val="2"/>
          <w:sz w:val="21"/>
          <w:szCs w:val="21"/>
          <w:highlight w:val="none"/>
          <w:lang w:val="en-US" w:eastAsia="zh-CN" w:bidi="ar-SA"/>
        </w:rPr>
        <w:t xml:space="preserve"> </w:t>
      </w:r>
    </w:p>
    <w:p w14:paraId="1A45AE8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1E4B791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77CFD95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04" w:name="_Toc17870"/>
      <w:bookmarkStart w:id="1005" w:name="_Ref11926570"/>
      <w:bookmarkStart w:id="1006" w:name="_Ref11926566"/>
      <w:bookmarkStart w:id="1007" w:name="_Toc54862220"/>
      <w:r>
        <w:rPr>
          <w:rFonts w:hint="eastAsia" w:ascii="宋体" w:hAnsi="宋体" w:eastAsia="宋体" w:cs="宋体"/>
          <w:b/>
          <w:bCs/>
          <w:color w:val="auto"/>
          <w:kern w:val="2"/>
          <w:sz w:val="21"/>
          <w:szCs w:val="21"/>
          <w:highlight w:val="none"/>
          <w:lang w:val="en-US" w:eastAsia="zh-CN" w:bidi="ar-SA"/>
        </w:rPr>
        <w:t>4.9 工程质量管理</w:t>
      </w:r>
      <w:bookmarkEnd w:id="1004"/>
      <w:bookmarkEnd w:id="1005"/>
      <w:bookmarkEnd w:id="1006"/>
      <w:bookmarkEnd w:id="1007"/>
    </w:p>
    <w:p w14:paraId="2513BE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910FD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2B98759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4.9.3 承包人应对其人员进行质量教育和技术培训，定期考核人员的劳动技能，严格执行相关规范和操作规程。</w:t>
      </w:r>
    </w:p>
    <w:p w14:paraId="6E6C22A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312D9B5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08" w:name="_Toc54862221"/>
      <w:bookmarkStart w:id="1009" w:name="_Ref531952837"/>
      <w:bookmarkStart w:id="1010" w:name="_Toc5919"/>
      <w:r>
        <w:rPr>
          <w:rFonts w:hint="eastAsia" w:ascii="宋体" w:hAnsi="宋体" w:eastAsia="宋体" w:cs="宋体"/>
          <w:b/>
          <w:bCs/>
          <w:color w:val="auto"/>
          <w:kern w:val="2"/>
          <w:sz w:val="21"/>
          <w:szCs w:val="21"/>
          <w:highlight w:val="none"/>
          <w:lang w:val="en-US" w:eastAsia="zh-CN" w:bidi="ar-SA"/>
        </w:rPr>
        <w:t>第5条 设计</w:t>
      </w:r>
      <w:bookmarkEnd w:id="1008"/>
      <w:bookmarkEnd w:id="1009"/>
      <w:bookmarkEnd w:id="1010"/>
    </w:p>
    <w:p w14:paraId="4D82537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11" w:name="_Toc54862222"/>
      <w:bookmarkStart w:id="1012" w:name="_Ref531952860"/>
      <w:bookmarkStart w:id="1013" w:name="_Toc20334"/>
      <w:bookmarkStart w:id="1014" w:name="_Ref531952863"/>
      <w:r>
        <w:rPr>
          <w:rFonts w:hint="eastAsia" w:ascii="宋体" w:hAnsi="宋体" w:eastAsia="宋体" w:cs="宋体"/>
          <w:b/>
          <w:bCs/>
          <w:color w:val="auto"/>
          <w:kern w:val="2"/>
          <w:sz w:val="21"/>
          <w:szCs w:val="21"/>
          <w:highlight w:val="none"/>
          <w:lang w:val="en-US" w:eastAsia="zh-CN" w:bidi="ar-SA"/>
        </w:rPr>
        <w:t>5.1 承包人的设计义务</w:t>
      </w:r>
      <w:bookmarkEnd w:id="1011"/>
      <w:bookmarkEnd w:id="1012"/>
      <w:bookmarkEnd w:id="1013"/>
      <w:bookmarkEnd w:id="1014"/>
      <w:r>
        <w:rPr>
          <w:rFonts w:hint="eastAsia" w:ascii="宋体" w:hAnsi="宋体" w:eastAsia="宋体" w:cs="宋体"/>
          <w:b/>
          <w:bCs/>
          <w:color w:val="auto"/>
          <w:kern w:val="2"/>
          <w:sz w:val="21"/>
          <w:szCs w:val="21"/>
          <w:highlight w:val="none"/>
          <w:lang w:val="en-US" w:eastAsia="zh-CN" w:bidi="ar-SA"/>
        </w:rPr>
        <w:t xml:space="preserve"> </w:t>
      </w:r>
    </w:p>
    <w:p w14:paraId="440415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15" w:name="_Ref531952881"/>
      <w:r>
        <w:rPr>
          <w:rFonts w:hint="eastAsia" w:ascii="宋体" w:hAnsi="宋体" w:eastAsia="宋体" w:cs="宋体"/>
          <w:b w:val="0"/>
          <w:bCs w:val="0"/>
          <w:color w:val="auto"/>
          <w:kern w:val="2"/>
          <w:sz w:val="21"/>
          <w:szCs w:val="21"/>
          <w:highlight w:val="none"/>
          <w:lang w:val="en-US" w:eastAsia="zh-CN" w:bidi="ar-SA"/>
        </w:rPr>
        <w:t>5.1.1 设计义务的一般要求</w:t>
      </w:r>
      <w:bookmarkEnd w:id="1015"/>
    </w:p>
    <w:p w14:paraId="3E36250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5E53A9D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16" w:name="_Ref531952952"/>
      <w:bookmarkStart w:id="1017" w:name="_Ref531952899"/>
      <w:r>
        <w:rPr>
          <w:rFonts w:hint="eastAsia" w:ascii="宋体" w:hAnsi="宋体" w:eastAsia="宋体" w:cs="宋体"/>
          <w:b w:val="0"/>
          <w:bCs w:val="0"/>
          <w:color w:val="auto"/>
          <w:kern w:val="2"/>
          <w:sz w:val="21"/>
          <w:szCs w:val="21"/>
          <w:highlight w:val="none"/>
          <w:lang w:val="en-US" w:eastAsia="zh-CN" w:bidi="ar-SA"/>
        </w:rPr>
        <w:t>5.1.2 对设计人员的要求</w:t>
      </w:r>
      <w:bookmarkEnd w:id="1016"/>
    </w:p>
    <w:p w14:paraId="15F1C8C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1017"/>
    <w:p w14:paraId="01FE4F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5.1.3 法律和标准的变化</w:t>
      </w:r>
    </w:p>
    <w:p w14:paraId="15B5A39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5D1FB6C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在基准日期之后，因国家颁布新的强制性规范、标准导致承包人的费用变化的，发包人应合理调整合同价格；导致工期延误的，发包人应合理延长工期。</w:t>
      </w:r>
    </w:p>
    <w:p w14:paraId="4BB08D6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18" w:name="_Toc54862223"/>
      <w:bookmarkStart w:id="1019" w:name="_Toc20071"/>
      <w:bookmarkStart w:id="1020" w:name="_Ref531953051"/>
      <w:bookmarkStart w:id="1021" w:name="_Ref531953054"/>
      <w:r>
        <w:rPr>
          <w:rFonts w:hint="eastAsia" w:ascii="宋体" w:hAnsi="宋体" w:eastAsia="宋体" w:cs="宋体"/>
          <w:b/>
          <w:bCs/>
          <w:color w:val="auto"/>
          <w:kern w:val="2"/>
          <w:sz w:val="21"/>
          <w:szCs w:val="21"/>
          <w:highlight w:val="none"/>
          <w:lang w:val="en-US" w:eastAsia="zh-CN" w:bidi="ar-SA"/>
        </w:rPr>
        <w:t>5.2 承包人文件审查</w:t>
      </w:r>
      <w:bookmarkEnd w:id="1018"/>
      <w:bookmarkEnd w:id="1019"/>
      <w:bookmarkEnd w:id="1020"/>
      <w:bookmarkEnd w:id="1021"/>
      <w:r>
        <w:rPr>
          <w:rFonts w:hint="eastAsia" w:ascii="宋体" w:hAnsi="宋体" w:eastAsia="宋体" w:cs="宋体"/>
          <w:b/>
          <w:bCs/>
          <w:color w:val="auto"/>
          <w:kern w:val="2"/>
          <w:sz w:val="21"/>
          <w:szCs w:val="21"/>
          <w:highlight w:val="none"/>
          <w:lang w:val="en-US" w:eastAsia="zh-CN" w:bidi="ar-SA"/>
        </w:rPr>
        <w:t xml:space="preserve"> </w:t>
      </w:r>
    </w:p>
    <w:p w14:paraId="073B6A8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22" w:name="_Ref531953064"/>
      <w:r>
        <w:rPr>
          <w:rFonts w:hint="eastAsia" w:ascii="宋体" w:hAnsi="宋体" w:eastAsia="宋体" w:cs="宋体"/>
          <w:b w:val="0"/>
          <w:bCs w:val="0"/>
          <w:color w:val="auto"/>
          <w:kern w:val="2"/>
          <w:sz w:val="21"/>
          <w:szCs w:val="21"/>
          <w:highlight w:val="none"/>
          <w:lang w:val="en-US" w:eastAsia="zh-CN" w:bidi="ar-SA"/>
        </w:rPr>
        <w:t>5.2.1 根据《发包人要求》应当通过工程师报发包人审查同意的承包人文件，承包人应当按照《发包人要求》约定的范围和内容及时报送审查。</w:t>
      </w:r>
      <w:bookmarkEnd w:id="1022"/>
    </w:p>
    <w:p w14:paraId="5D48904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4D53C7E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发包人同意承包人文件的，应及时通知承包人，发包人不同意承包人文件的，应在审查期限内通过工程师以书面形式通知承包人，并说明不同意的具体内容和理由。</w:t>
      </w:r>
    </w:p>
    <w:p w14:paraId="4943701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承包人对发包人的意见按以下方式处理：</w:t>
      </w:r>
    </w:p>
    <w:p w14:paraId="478464F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发包人的意见构成变更的，承包人应在7天内通知发包人按照第13条[变更与调整]中关于发包人指示变更的约定执行，双方对是否构成变更无法达成一致的，按照第20条[争议解决]的约定执行；</w:t>
      </w:r>
    </w:p>
    <w:p w14:paraId="6D3DD6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因承包人原因导致无法通过审查的，承包人应根据发包人的书面说明，对承包人文件进行修改后重新报送发包人审查，审查期重新起算。因此引起的工期延长和必要的工程费用增加，由承包人负责。</w:t>
      </w:r>
    </w:p>
    <w:p w14:paraId="6E62026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合同约定的审查期满，发包人没有做出审查结论也没有提出异议的，视为承包人文件已获发包人同意。</w:t>
      </w:r>
    </w:p>
    <w:p w14:paraId="613584B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发包人对承包人文件的审查和同意不得被理解为对合同的修改或改变，也并不减轻或免除承包人任何的责任和义务。</w:t>
      </w:r>
    </w:p>
    <w:p w14:paraId="4C5B31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5.2.2 承包人文件不需要政府有关部门或专用合同条件约定的第三方审查单位审查或批准的，承包人应当严格按照经发包人审查同意的承包人文件设计和实施工程。</w:t>
      </w:r>
    </w:p>
    <w:p w14:paraId="62BD3D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5E2D46D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发包人有义务向承包人提供审查会议的批准文件和纪要。承包人有义务按照相关审查会议批准的文件和纪要，并依据合同约定及相关技术标准，对承包人文件进行修改、补充和完善。</w:t>
      </w:r>
    </w:p>
    <w:p w14:paraId="2A7EE38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23" w:name="_Ref531953074"/>
      <w:r>
        <w:rPr>
          <w:rFonts w:hint="eastAsia" w:ascii="宋体" w:hAnsi="宋体" w:eastAsia="宋体" w:cs="宋体"/>
          <w:b w:val="0"/>
          <w:bCs w:val="0"/>
          <w:color w:val="auto"/>
          <w:kern w:val="2"/>
          <w:sz w:val="21"/>
          <w:szCs w:val="21"/>
          <w:highlight w:val="none"/>
          <w:lang w:val="en-US" w:eastAsia="zh-CN" w:bidi="ar-SA"/>
        </w:rPr>
        <w:t>5.2.3 承包人文件需政府有关部门或专用合同条件约定的第三方审查单位审查或批准的，发包人应在发包人审查同意承包人文件后7天内，向政府有关部门或第三方报送承包人文件，承包人应予以协助。</w:t>
      </w:r>
      <w:bookmarkEnd w:id="1023"/>
    </w:p>
    <w:p w14:paraId="62793C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666E41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2A4AC7B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24" w:name="_Toc5051"/>
      <w:bookmarkStart w:id="1025" w:name="_Toc54862224"/>
      <w:bookmarkStart w:id="1026" w:name="_Ref531953095"/>
      <w:bookmarkStart w:id="1027" w:name="_Ref531953097"/>
      <w:r>
        <w:rPr>
          <w:rFonts w:hint="eastAsia" w:ascii="宋体" w:hAnsi="宋体" w:eastAsia="宋体" w:cs="宋体"/>
          <w:b/>
          <w:bCs/>
          <w:color w:val="auto"/>
          <w:kern w:val="2"/>
          <w:sz w:val="21"/>
          <w:szCs w:val="21"/>
          <w:highlight w:val="none"/>
          <w:lang w:val="en-US" w:eastAsia="zh-CN" w:bidi="ar-SA"/>
        </w:rPr>
        <w:t>5.3 培训</w:t>
      </w:r>
      <w:bookmarkEnd w:id="1024"/>
      <w:bookmarkEnd w:id="1025"/>
      <w:bookmarkEnd w:id="1026"/>
      <w:bookmarkEnd w:id="1027"/>
    </w:p>
    <w:p w14:paraId="130446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3798102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培训的时长应由双方在专用合同条件中约定，承包人应为培训提供有经验的人员、设施和其它必要条件。</w:t>
      </w:r>
    </w:p>
    <w:p w14:paraId="25AC0BA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28" w:name="_Ref531953108"/>
      <w:bookmarkStart w:id="1029" w:name="_Toc54862225"/>
      <w:bookmarkStart w:id="1030" w:name="_Toc3892"/>
      <w:bookmarkStart w:id="1031" w:name="_Ref531953105"/>
      <w:r>
        <w:rPr>
          <w:rFonts w:hint="eastAsia" w:ascii="宋体" w:hAnsi="宋体" w:eastAsia="宋体" w:cs="宋体"/>
          <w:b/>
          <w:bCs/>
          <w:color w:val="auto"/>
          <w:kern w:val="2"/>
          <w:sz w:val="21"/>
          <w:szCs w:val="21"/>
          <w:highlight w:val="none"/>
          <w:lang w:val="en-US" w:eastAsia="zh-CN" w:bidi="ar-SA"/>
        </w:rPr>
        <w:t>5.4 竣工文件</w:t>
      </w:r>
      <w:bookmarkEnd w:id="1028"/>
      <w:bookmarkEnd w:id="1029"/>
      <w:bookmarkEnd w:id="1030"/>
      <w:bookmarkEnd w:id="1031"/>
    </w:p>
    <w:p w14:paraId="7240E4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32" w:name="_Ref531953134"/>
      <w:r>
        <w:rPr>
          <w:rFonts w:hint="eastAsia" w:ascii="宋体" w:hAnsi="宋体" w:eastAsia="宋体" w:cs="宋体"/>
          <w:b w:val="0"/>
          <w:bCs w:val="0"/>
          <w:color w:val="auto"/>
          <w:kern w:val="2"/>
          <w:sz w:val="21"/>
          <w:szCs w:val="21"/>
          <w:highlight w:val="none"/>
          <w:lang w:val="en-US" w:eastAsia="zh-CN" w:bidi="ar-SA"/>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1032"/>
    </w:p>
    <w:p w14:paraId="7C3CD9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18444B2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5.4.3 除专用合同条件另有约定外，在工程师收到本款下的文件前，不应认为工程已根据第10.1款[竣工验收]和第10.2款[单位/区段工程的验收]的约定完成验收。</w:t>
      </w:r>
    </w:p>
    <w:p w14:paraId="33891A7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33" w:name="_Ref531953117"/>
      <w:bookmarkStart w:id="1034" w:name="_Toc54862226"/>
      <w:bookmarkStart w:id="1035" w:name="_Toc17375"/>
      <w:bookmarkStart w:id="1036" w:name="_Ref531953119"/>
      <w:r>
        <w:rPr>
          <w:rFonts w:hint="eastAsia" w:ascii="宋体" w:hAnsi="宋体" w:eastAsia="宋体" w:cs="宋体"/>
          <w:b/>
          <w:bCs/>
          <w:color w:val="auto"/>
          <w:kern w:val="2"/>
          <w:sz w:val="21"/>
          <w:szCs w:val="21"/>
          <w:highlight w:val="none"/>
          <w:lang w:val="en-US" w:eastAsia="zh-CN" w:bidi="ar-SA"/>
        </w:rPr>
        <w:t>5.5 操作和维修手册</w:t>
      </w:r>
      <w:bookmarkEnd w:id="1033"/>
      <w:bookmarkEnd w:id="1034"/>
      <w:bookmarkEnd w:id="1035"/>
      <w:bookmarkEnd w:id="1036"/>
    </w:p>
    <w:p w14:paraId="6FD6B11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37" w:name="_Ref531953145"/>
      <w:r>
        <w:rPr>
          <w:rFonts w:hint="eastAsia" w:ascii="宋体" w:hAnsi="宋体" w:eastAsia="宋体" w:cs="宋体"/>
          <w:b w:val="0"/>
          <w:bCs w:val="0"/>
          <w:color w:val="auto"/>
          <w:kern w:val="2"/>
          <w:sz w:val="21"/>
          <w:szCs w:val="21"/>
          <w:highlight w:val="none"/>
          <w:lang w:val="en-US" w:eastAsia="zh-CN" w:bidi="ar-SA"/>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1037"/>
    </w:p>
    <w:p w14:paraId="0F9A030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5.5.2 工程师收到承包人提交的文件后，应依据第5.2款[承包人文件审查]的约定对操作和维修手册进行审查，竣工试验工程中，承包人应为任何因操作和维修手册错误或遗漏引起的风险或损失承担责任。</w:t>
      </w:r>
    </w:p>
    <w:p w14:paraId="674A633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35ACCE4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38" w:name="_Toc54862227"/>
      <w:bookmarkStart w:id="1039" w:name="_Toc21581"/>
      <w:r>
        <w:rPr>
          <w:rFonts w:hint="eastAsia" w:ascii="宋体" w:hAnsi="宋体" w:eastAsia="宋体" w:cs="宋体"/>
          <w:b/>
          <w:bCs/>
          <w:color w:val="auto"/>
          <w:kern w:val="2"/>
          <w:sz w:val="21"/>
          <w:szCs w:val="21"/>
          <w:highlight w:val="none"/>
          <w:lang w:val="en-US" w:eastAsia="zh-CN" w:bidi="ar-SA"/>
        </w:rPr>
        <w:t>5.6 承包人文件错误</w:t>
      </w:r>
      <w:bookmarkEnd w:id="1038"/>
      <w:bookmarkEnd w:id="1039"/>
      <w:r>
        <w:rPr>
          <w:rFonts w:hint="eastAsia" w:ascii="宋体" w:hAnsi="宋体" w:eastAsia="宋体" w:cs="宋体"/>
          <w:b/>
          <w:bCs/>
          <w:color w:val="auto"/>
          <w:kern w:val="2"/>
          <w:sz w:val="21"/>
          <w:szCs w:val="21"/>
          <w:highlight w:val="none"/>
          <w:lang w:val="en-US" w:eastAsia="zh-CN" w:bidi="ar-SA"/>
        </w:rPr>
        <w:t xml:space="preserve"> </w:t>
      </w:r>
    </w:p>
    <w:p w14:paraId="75D46A5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69F3E79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40" w:name="_Ref531953761"/>
      <w:bookmarkStart w:id="1041" w:name="_Toc54862228"/>
      <w:bookmarkStart w:id="1042" w:name="_Toc27810"/>
      <w:bookmarkStart w:id="1043" w:name="_Ref531953765"/>
      <w:r>
        <w:rPr>
          <w:rFonts w:hint="eastAsia" w:ascii="宋体" w:hAnsi="宋体" w:eastAsia="宋体" w:cs="宋体"/>
          <w:b/>
          <w:bCs/>
          <w:color w:val="auto"/>
          <w:kern w:val="2"/>
          <w:sz w:val="21"/>
          <w:szCs w:val="21"/>
          <w:highlight w:val="none"/>
          <w:lang w:val="en-US" w:eastAsia="zh-CN" w:bidi="ar-SA"/>
        </w:rPr>
        <w:t>第6条 材料、工程设备</w:t>
      </w:r>
      <w:bookmarkEnd w:id="1040"/>
      <w:bookmarkEnd w:id="1041"/>
      <w:bookmarkEnd w:id="1042"/>
      <w:bookmarkEnd w:id="1043"/>
    </w:p>
    <w:p w14:paraId="4D90696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44" w:name="_Ref531953828"/>
      <w:bookmarkStart w:id="1045" w:name="_Ref531953832"/>
      <w:bookmarkStart w:id="1046" w:name="_Toc2039"/>
      <w:bookmarkStart w:id="1047" w:name="_Toc54862229"/>
      <w:r>
        <w:rPr>
          <w:rFonts w:hint="eastAsia" w:ascii="宋体" w:hAnsi="宋体" w:eastAsia="宋体" w:cs="宋体"/>
          <w:b/>
          <w:bCs/>
          <w:color w:val="auto"/>
          <w:kern w:val="2"/>
          <w:sz w:val="21"/>
          <w:szCs w:val="21"/>
          <w:highlight w:val="none"/>
          <w:lang w:val="en-US" w:eastAsia="zh-CN" w:bidi="ar-SA"/>
        </w:rPr>
        <w:t>6.1 实施方法</w:t>
      </w:r>
      <w:bookmarkEnd w:id="1044"/>
      <w:bookmarkEnd w:id="1045"/>
      <w:bookmarkEnd w:id="1046"/>
      <w:bookmarkEnd w:id="1047"/>
      <w:r>
        <w:rPr>
          <w:rFonts w:hint="eastAsia" w:ascii="宋体" w:hAnsi="宋体" w:eastAsia="宋体" w:cs="宋体"/>
          <w:b/>
          <w:bCs/>
          <w:color w:val="auto"/>
          <w:kern w:val="2"/>
          <w:sz w:val="21"/>
          <w:szCs w:val="21"/>
          <w:highlight w:val="none"/>
          <w:lang w:val="en-US" w:eastAsia="zh-CN" w:bidi="ar-SA"/>
        </w:rPr>
        <w:t xml:space="preserve"> </w:t>
      </w:r>
    </w:p>
    <w:p w14:paraId="3207453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承包人应按以下方法进行材料的加工、工程设备的采购、制造和安装、以及工程的所有其他实施作业：</w:t>
      </w:r>
    </w:p>
    <w:p w14:paraId="52E9254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48" w:name="_Ref531953847"/>
      <w:r>
        <w:rPr>
          <w:rFonts w:hint="eastAsia" w:ascii="宋体" w:hAnsi="宋体" w:eastAsia="宋体" w:cs="宋体"/>
          <w:b w:val="0"/>
          <w:bCs w:val="0"/>
          <w:color w:val="auto"/>
          <w:kern w:val="2"/>
          <w:sz w:val="21"/>
          <w:szCs w:val="21"/>
          <w:highlight w:val="none"/>
          <w:lang w:val="en-US" w:eastAsia="zh-CN" w:bidi="ar-SA"/>
        </w:rPr>
        <w:t>（1）按照法律规定和合同约定的方法；</w:t>
      </w:r>
      <w:bookmarkEnd w:id="1048"/>
    </w:p>
    <w:p w14:paraId="7EBD453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（2）按照公认的良好行业习惯，使用恰当、审慎、先进的方法；</w:t>
      </w:r>
    </w:p>
    <w:p w14:paraId="2A6C345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（3）除专用合同条件另有规定外，应使用适当配备的实施方法、设备、设施和无危险的材料。</w:t>
      </w:r>
    </w:p>
    <w:p w14:paraId="6D56452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49" w:name="_Toc1386"/>
      <w:bookmarkStart w:id="1050" w:name="_Toc54862230"/>
      <w:bookmarkStart w:id="1051" w:name="_Ref11926422"/>
      <w:bookmarkStart w:id="1052" w:name="_Ref4427594"/>
      <w:r>
        <w:rPr>
          <w:rFonts w:hint="eastAsia" w:ascii="宋体" w:hAnsi="宋体" w:eastAsia="宋体" w:cs="宋体"/>
          <w:b/>
          <w:bCs/>
          <w:color w:val="auto"/>
          <w:kern w:val="2"/>
          <w:sz w:val="21"/>
          <w:szCs w:val="21"/>
          <w:highlight w:val="none"/>
          <w:lang w:val="en-US" w:eastAsia="zh-CN" w:bidi="ar-SA"/>
        </w:rPr>
        <w:t>6.2 材料和工程设备</w:t>
      </w:r>
      <w:bookmarkEnd w:id="1049"/>
      <w:bookmarkEnd w:id="1050"/>
      <w:bookmarkEnd w:id="1051"/>
    </w:p>
    <w:p w14:paraId="1B5872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53" w:name="_Ref11960295"/>
      <w:r>
        <w:rPr>
          <w:rFonts w:hint="eastAsia" w:ascii="宋体" w:hAnsi="宋体" w:eastAsia="宋体" w:cs="宋体"/>
          <w:b w:val="0"/>
          <w:bCs w:val="0"/>
          <w:color w:val="auto"/>
          <w:kern w:val="2"/>
          <w:sz w:val="21"/>
          <w:szCs w:val="21"/>
          <w:highlight w:val="none"/>
          <w:lang w:val="en-US" w:eastAsia="zh-CN" w:bidi="ar-SA"/>
        </w:rPr>
        <w:t>6.2.1 发包人提供的材料和工程设备</w:t>
      </w:r>
      <w:bookmarkEnd w:id="1052"/>
      <w:bookmarkEnd w:id="1053"/>
    </w:p>
    <w:p w14:paraId="5E4E625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发包人自行供应材料、工程设备的，应在订立合同时在专用合同条件的附件《发包人供应材料设备一览表》中明确材料、工程设备的品种、规格、型号、主要参数、数量、单价、质量等级和交接地点等。</w:t>
      </w:r>
    </w:p>
    <w:p w14:paraId="7C3E78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61D28E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183DCE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27FE60B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66DFE54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54" w:name="_Ref531953918"/>
      <w:r>
        <w:rPr>
          <w:rFonts w:hint="eastAsia" w:ascii="宋体" w:hAnsi="宋体" w:eastAsia="宋体" w:cs="宋体"/>
          <w:b w:val="0"/>
          <w:bCs w:val="0"/>
          <w:color w:val="auto"/>
          <w:kern w:val="2"/>
          <w:sz w:val="21"/>
          <w:szCs w:val="21"/>
          <w:highlight w:val="none"/>
          <w:lang w:val="en-US" w:eastAsia="zh-CN" w:bidi="ar-SA"/>
        </w:rPr>
        <w:t>6.2.2 承包人提供的材料和工程设备</w:t>
      </w:r>
      <w:bookmarkEnd w:id="1054"/>
    </w:p>
    <w:p w14:paraId="36ADF05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5128A1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4E892A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487A8FB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037FBC6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55" w:name="_Ref531953999"/>
      <w:bookmarkStart w:id="1056" w:name="_Ref531953991"/>
      <w:r>
        <w:rPr>
          <w:rFonts w:hint="eastAsia" w:ascii="宋体" w:hAnsi="宋体" w:eastAsia="宋体" w:cs="宋体"/>
          <w:b w:val="0"/>
          <w:bCs w:val="0"/>
          <w:color w:val="auto"/>
          <w:kern w:val="2"/>
          <w:sz w:val="21"/>
          <w:szCs w:val="21"/>
          <w:highlight w:val="none"/>
          <w:lang w:val="en-US" w:eastAsia="zh-CN" w:bidi="ar-SA"/>
        </w:rPr>
        <w:t>6.2.3 材料和工程设备的保管</w:t>
      </w:r>
      <w:bookmarkEnd w:id="1055"/>
      <w:bookmarkEnd w:id="1056"/>
      <w:r>
        <w:rPr>
          <w:rFonts w:hint="eastAsia" w:ascii="宋体" w:hAnsi="宋体" w:eastAsia="宋体" w:cs="宋体"/>
          <w:b w:val="0"/>
          <w:bCs w:val="0"/>
          <w:color w:val="auto"/>
          <w:kern w:val="2"/>
          <w:sz w:val="21"/>
          <w:szCs w:val="21"/>
          <w:highlight w:val="none"/>
          <w:lang w:val="en-US" w:eastAsia="zh-CN" w:bidi="ar-SA"/>
        </w:rPr>
        <w:t xml:space="preserve"> </w:t>
      </w:r>
    </w:p>
    <w:p w14:paraId="0B2B753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发包人供应材料与工程设备的保管与使用</w:t>
      </w:r>
    </w:p>
    <w:p w14:paraId="48159F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发包人供应的材料和工程设备，承包人清点并接收后由承包人妥善保管，保管费用由承包人承担，但专用合同条件另有约定除外。因承包人原因发生丢失毁损的，由承包人负责赔偿。</w:t>
      </w:r>
    </w:p>
    <w:p w14:paraId="39C6D1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发包人供应的材料和工程设备使用前，由承包人负责必要的检验，检验费用由发包人承担，不合格的不得使用。</w:t>
      </w:r>
    </w:p>
    <w:p w14:paraId="32ECB99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承包人采购材料与工程设备的保管与使用</w:t>
      </w:r>
    </w:p>
    <w:p w14:paraId="1CDDE38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55B3FA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工程师发现承包人使用不符合设计或有关标准要求的材料和工程设备时，有权要求承包人进行修复、拆除或重新采购，由此增加的费用和（或）延误的工期，由承包人承担。</w:t>
      </w:r>
    </w:p>
    <w:p w14:paraId="077258E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6.2.4 材料和工程设备的所有权</w:t>
      </w:r>
    </w:p>
    <w:p w14:paraId="03B1654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3528714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承包人按第6.2.2项提供的材料和工程设备，承包人应确保发包人取得无权利负担的材料及工程设备所有权，因承包人与第三人的物权争议导致的增加的费用和（或）延误的工期，由承包人承担。</w:t>
      </w:r>
    </w:p>
    <w:p w14:paraId="0390EAD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57" w:name="_Ref4428239"/>
      <w:bookmarkStart w:id="1058" w:name="_Toc26986"/>
      <w:bookmarkStart w:id="1059" w:name="_Toc54862231"/>
      <w:bookmarkStart w:id="1060" w:name="_Toc351203565"/>
      <w:bookmarkStart w:id="1061" w:name="_Toc337558785"/>
      <w:r>
        <w:rPr>
          <w:rFonts w:hint="eastAsia" w:ascii="宋体" w:hAnsi="宋体" w:eastAsia="宋体" w:cs="宋体"/>
          <w:b/>
          <w:bCs/>
          <w:color w:val="auto"/>
          <w:kern w:val="2"/>
          <w:sz w:val="21"/>
          <w:szCs w:val="21"/>
          <w:highlight w:val="none"/>
          <w:lang w:val="en-US" w:eastAsia="zh-CN" w:bidi="ar-SA"/>
        </w:rPr>
        <w:t>6.3 样品</w:t>
      </w:r>
      <w:bookmarkEnd w:id="1057"/>
      <w:bookmarkEnd w:id="1058"/>
      <w:bookmarkEnd w:id="1059"/>
    </w:p>
    <w:p w14:paraId="652BBC2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6.3.1 样品的报送与封存</w:t>
      </w:r>
    </w:p>
    <w:p w14:paraId="71EA25B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需要承包人报送样品的材料或工程设备，样品的种类、名称、规格、数量等要求均应在专用合同条件中约定。样品的报送程序如下：</w:t>
      </w:r>
    </w:p>
    <w:p w14:paraId="40AB014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76B8A61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7977EC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经工程师审批确认的样品应按约定的方法封样，封存的样品作为检验工程相关部分的标准之一。承包人在施工过程中不得使用与样品不符的材料或工程设备。</w:t>
      </w:r>
    </w:p>
    <w:p w14:paraId="5E11755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50D57D4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6.3.2 样品的保管</w:t>
      </w:r>
    </w:p>
    <w:p w14:paraId="486D92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经批准的样品应由工程师负责封存于现场，承包人应在现场为保存样品提供适当和固定的场所并保持适当和良好的存储环境条件。</w:t>
      </w:r>
    </w:p>
    <w:p w14:paraId="0FD69F9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62" w:name="_Ref11959210"/>
      <w:bookmarkStart w:id="1063" w:name="_Toc2132"/>
      <w:bookmarkStart w:id="1064" w:name="_Toc54862232"/>
      <w:bookmarkStart w:id="1065" w:name="_Ref11959204"/>
      <w:r>
        <w:rPr>
          <w:rFonts w:hint="eastAsia" w:ascii="宋体" w:hAnsi="宋体" w:eastAsia="宋体" w:cs="宋体"/>
          <w:b/>
          <w:bCs/>
          <w:color w:val="auto"/>
          <w:kern w:val="2"/>
          <w:sz w:val="21"/>
          <w:szCs w:val="21"/>
          <w:highlight w:val="none"/>
          <w:lang w:val="en-US" w:eastAsia="zh-CN" w:bidi="ar-SA"/>
        </w:rPr>
        <w:t>6.4 质量检查</w:t>
      </w:r>
      <w:bookmarkEnd w:id="1062"/>
      <w:bookmarkEnd w:id="1063"/>
      <w:bookmarkEnd w:id="1064"/>
      <w:bookmarkEnd w:id="1065"/>
    </w:p>
    <w:p w14:paraId="555805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66" w:name="_Ref18990699"/>
      <w:r>
        <w:rPr>
          <w:rFonts w:hint="eastAsia" w:ascii="宋体" w:hAnsi="宋体" w:eastAsia="宋体" w:cs="宋体"/>
          <w:b w:val="0"/>
          <w:bCs w:val="0"/>
          <w:color w:val="auto"/>
          <w:kern w:val="2"/>
          <w:sz w:val="21"/>
          <w:szCs w:val="21"/>
          <w:highlight w:val="none"/>
          <w:lang w:val="en-US" w:eastAsia="zh-CN" w:bidi="ar-SA"/>
        </w:rPr>
        <w:t>6.4.1 工程质量要求</w:t>
      </w:r>
      <w:bookmarkEnd w:id="1066"/>
    </w:p>
    <w:p w14:paraId="6618576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工程质量标准必须符合现行国家有关工程施工质量验收规范和标准的要求。有关工程质量的特殊标准或要求由合同当事人在专用合同条件中约定。</w:t>
      </w:r>
    </w:p>
    <w:p w14:paraId="258E598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3913631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67" w:name="_Ref18990717"/>
      <w:r>
        <w:rPr>
          <w:rFonts w:hint="eastAsia" w:ascii="宋体" w:hAnsi="宋体" w:eastAsia="宋体" w:cs="宋体"/>
          <w:b w:val="0"/>
          <w:bCs w:val="0"/>
          <w:color w:val="auto"/>
          <w:kern w:val="2"/>
          <w:sz w:val="21"/>
          <w:szCs w:val="21"/>
          <w:highlight w:val="none"/>
          <w:lang w:val="en-US" w:eastAsia="zh-CN" w:bidi="ar-SA"/>
        </w:rPr>
        <w:t>6.4.2 质量检查</w:t>
      </w:r>
      <w:bookmarkEnd w:id="1067"/>
    </w:p>
    <w:p w14:paraId="3BE165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218AF2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68" w:name="_Ref11959222"/>
      <w:r>
        <w:rPr>
          <w:rFonts w:hint="eastAsia" w:ascii="宋体" w:hAnsi="宋体" w:eastAsia="宋体" w:cs="宋体"/>
          <w:b w:val="0"/>
          <w:bCs w:val="0"/>
          <w:color w:val="auto"/>
          <w:kern w:val="2"/>
          <w:sz w:val="21"/>
          <w:szCs w:val="21"/>
          <w:highlight w:val="none"/>
          <w:lang w:val="en-US" w:eastAsia="zh-CN" w:bidi="ar-SA"/>
        </w:rPr>
        <w:t>6.4.3 隐蔽工程检查</w:t>
      </w:r>
      <w:bookmarkEnd w:id="1068"/>
    </w:p>
    <w:p w14:paraId="08A1E7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734FD4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1EF9C79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215D6C9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11AB4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承包人未通知工程师到场检查，私自将工程隐蔽部位覆盖的，工程师有权指示承包人钻孔探测或揭开检查，无论工程隐蔽部位质量是否合格，由此增加的费用和（或）延误的工期均由承包人承担。</w:t>
      </w:r>
    </w:p>
    <w:bookmarkEnd w:id="1060"/>
    <w:p w14:paraId="04DDC9E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69" w:name="_Ref11927398"/>
      <w:bookmarkStart w:id="1070" w:name="_Ref11927403"/>
      <w:bookmarkStart w:id="1071" w:name="_Ref11927389"/>
      <w:bookmarkStart w:id="1072" w:name="_Toc27400"/>
      <w:bookmarkStart w:id="1073" w:name="_Ref11959175"/>
      <w:bookmarkStart w:id="1074" w:name="_Toc54862233"/>
      <w:bookmarkStart w:id="1075" w:name="_Ref11959158"/>
      <w:r>
        <w:rPr>
          <w:rFonts w:hint="eastAsia" w:ascii="宋体" w:hAnsi="宋体" w:eastAsia="宋体" w:cs="宋体"/>
          <w:b/>
          <w:bCs/>
          <w:color w:val="auto"/>
          <w:kern w:val="2"/>
          <w:sz w:val="21"/>
          <w:szCs w:val="21"/>
          <w:highlight w:val="none"/>
          <w:lang w:val="en-US" w:eastAsia="zh-CN" w:bidi="ar-SA"/>
        </w:rPr>
        <w:t>6.5 由承包人试验</w:t>
      </w:r>
      <w:bookmarkEnd w:id="1069"/>
      <w:bookmarkEnd w:id="1070"/>
      <w:bookmarkEnd w:id="1071"/>
      <w:r>
        <w:rPr>
          <w:rFonts w:hint="eastAsia" w:ascii="宋体" w:hAnsi="宋体" w:eastAsia="宋体" w:cs="宋体"/>
          <w:b/>
          <w:bCs/>
          <w:color w:val="auto"/>
          <w:kern w:val="2"/>
          <w:sz w:val="21"/>
          <w:szCs w:val="21"/>
          <w:highlight w:val="none"/>
          <w:lang w:val="en-US" w:eastAsia="zh-CN" w:bidi="ar-SA"/>
        </w:rPr>
        <w:t>和检验</w:t>
      </w:r>
      <w:bookmarkEnd w:id="1072"/>
      <w:bookmarkEnd w:id="1073"/>
      <w:bookmarkEnd w:id="1074"/>
      <w:bookmarkEnd w:id="1075"/>
    </w:p>
    <w:bookmarkEnd w:id="1061"/>
    <w:p w14:paraId="239B8AD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6.5.1 试验设备与试验人员</w:t>
      </w:r>
    </w:p>
    <w:p w14:paraId="2948A3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5FD24F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承包人应按专用合同条件约定的试验内容、时间和地点提供试验设备、取样装置、试验场所和试验条件，并向工程师提交相应进场计划表。</w:t>
      </w:r>
    </w:p>
    <w:p w14:paraId="16F543E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承包人配置的试验设备要符合相应试验规程的要求并经过具有资质的检测单位检测，且在正式使用该试验设备前，需要经过工程师与承包人共同校定。</w:t>
      </w:r>
    </w:p>
    <w:p w14:paraId="19E9CC4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承包人应向工程师提交试验人员的名单及其岗位、资格等证明资料，试验人员必须能够熟练进行相应的检测试验，承包人对试验人员的试验程序和试验结果的正确性负责。</w:t>
      </w:r>
    </w:p>
    <w:p w14:paraId="6419E1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6.5.2 取样</w:t>
      </w:r>
    </w:p>
    <w:p w14:paraId="0B0129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试验属于自检性质的，承包人可以单独取样。试验属于工程师抽检性质的，可由工程师取样，也可由承包人的试验人员在工程师的监督下取样。</w:t>
      </w:r>
    </w:p>
    <w:p w14:paraId="3506EF6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6.5.3 材料、工程设备和工程的试验和检验</w:t>
      </w:r>
    </w:p>
    <w:p w14:paraId="70F064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661729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1E3D6F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86F620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76" w:name="_Toc351203566"/>
      <w:bookmarkStart w:id="1077" w:name="_Toc337558786"/>
      <w:r>
        <w:rPr>
          <w:rFonts w:hint="eastAsia" w:ascii="宋体" w:hAnsi="宋体" w:eastAsia="宋体" w:cs="宋体"/>
          <w:b w:val="0"/>
          <w:bCs w:val="0"/>
          <w:color w:val="auto"/>
          <w:kern w:val="2"/>
          <w:sz w:val="21"/>
          <w:szCs w:val="21"/>
          <w:highlight w:val="none"/>
          <w:lang w:val="en-US" w:eastAsia="zh-CN" w:bidi="ar-SA"/>
        </w:rPr>
        <w:t>6.5.4 现场工艺试验</w:t>
      </w:r>
      <w:bookmarkEnd w:id="1076"/>
    </w:p>
    <w:bookmarkEnd w:id="1077"/>
    <w:p w14:paraId="021A85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承包人应按合同约定进行现场工艺试验。对大型的现场工艺试验，发包人认为必要时，承包人应根据发包人提出的工艺试验要求，编制工艺试验措施计划，报送发包人审查。</w:t>
      </w:r>
    </w:p>
    <w:p w14:paraId="084A5A5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78" w:name="_Ref532592784"/>
      <w:bookmarkStart w:id="1079" w:name="_Toc25607"/>
      <w:bookmarkStart w:id="1080" w:name="_Toc54862234"/>
      <w:bookmarkStart w:id="1081" w:name="_Ref532592787"/>
      <w:r>
        <w:rPr>
          <w:rFonts w:hint="eastAsia" w:ascii="宋体" w:hAnsi="宋体" w:eastAsia="宋体" w:cs="宋体"/>
          <w:b/>
          <w:bCs/>
          <w:color w:val="auto"/>
          <w:kern w:val="2"/>
          <w:sz w:val="21"/>
          <w:szCs w:val="21"/>
          <w:highlight w:val="none"/>
          <w:lang w:val="en-US" w:eastAsia="zh-CN" w:bidi="ar-SA"/>
        </w:rPr>
        <w:t>6.6 缺陷和修补</w:t>
      </w:r>
      <w:bookmarkEnd w:id="1078"/>
      <w:bookmarkEnd w:id="1079"/>
      <w:bookmarkEnd w:id="1080"/>
      <w:bookmarkEnd w:id="1081"/>
    </w:p>
    <w:p w14:paraId="2A3790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82" w:name="_Ref16875551"/>
      <w:r>
        <w:rPr>
          <w:rFonts w:hint="eastAsia" w:ascii="宋体" w:hAnsi="宋体" w:eastAsia="宋体" w:cs="宋体"/>
          <w:b w:val="0"/>
          <w:bCs w:val="0"/>
          <w:color w:val="auto"/>
          <w:kern w:val="2"/>
          <w:sz w:val="21"/>
          <w:szCs w:val="21"/>
          <w:highlight w:val="none"/>
          <w:lang w:val="en-US" w:eastAsia="zh-CN" w:bidi="ar-SA"/>
        </w:rPr>
        <w:t>6.6.1 发包人可在颁发接收证书前随时指示承包人：</w:t>
      </w:r>
      <w:bookmarkEnd w:id="1082"/>
    </w:p>
    <w:p w14:paraId="3A37CC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对不符合合同要求的任何工程设备或材料进行修补，或者将其移出现场并进行更换；</w:t>
      </w:r>
    </w:p>
    <w:p w14:paraId="538658F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（2） 对不符合合同的其他工作进行修补，或者将其去除并重新实施； </w:t>
      </w:r>
    </w:p>
    <w:p w14:paraId="03FF29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83" w:name="_Ref4708991"/>
      <w:r>
        <w:rPr>
          <w:rFonts w:hint="eastAsia" w:ascii="宋体" w:hAnsi="宋体" w:eastAsia="宋体" w:cs="宋体"/>
          <w:b w:val="0"/>
          <w:bCs w:val="0"/>
          <w:color w:val="auto"/>
          <w:kern w:val="2"/>
          <w:sz w:val="21"/>
          <w:szCs w:val="21"/>
          <w:highlight w:val="none"/>
          <w:lang w:val="en-US" w:eastAsia="zh-CN" w:bidi="ar-SA"/>
        </w:rPr>
        <w:t>（3） 实施因意外、不可预见的事件或其他原因引起的、为工程的安全迫切需要的任何修补工作。</w:t>
      </w:r>
      <w:bookmarkEnd w:id="1083"/>
    </w:p>
    <w:p w14:paraId="0138228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84" w:name="_Ref11956964"/>
      <w:r>
        <w:rPr>
          <w:rFonts w:hint="eastAsia" w:ascii="宋体" w:hAnsi="宋体" w:eastAsia="宋体" w:cs="宋体"/>
          <w:b w:val="0"/>
          <w:bCs w:val="0"/>
          <w:color w:val="auto"/>
          <w:kern w:val="2"/>
          <w:sz w:val="21"/>
          <w:szCs w:val="21"/>
          <w:highlight w:val="none"/>
          <w:lang w:val="en-US" w:eastAsia="zh-CN" w:bidi="ar-SA"/>
        </w:rPr>
        <w:t>6.6.2 承包人应遵守第6.6.1项下指示，并在合理可行的情况下，根据上述指示中规定的时间完成修补工作。除因下列原因引起的第6.6.1项第（3）目下的情形外，承包人应承担所有修补工作的费用：</w:t>
      </w:r>
      <w:bookmarkEnd w:id="1084"/>
    </w:p>
    <w:p w14:paraId="20AE0B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因发包人或其人员的任何行为导致的情形，且在此情况下发包人应承担因此引起的工期延误和承包人费用损失，并向承包人支付合理的利润。</w:t>
      </w:r>
    </w:p>
    <w:p w14:paraId="21C584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第17.4款[不可抗力后果的承担]中适用的不可抗力事件的情形。</w:t>
      </w:r>
    </w:p>
    <w:p w14:paraId="3F2487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6586BB8C">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85" w:name="_Toc54862235"/>
      <w:bookmarkStart w:id="1086" w:name="_Toc14179"/>
      <w:bookmarkStart w:id="1087" w:name="_Ref531954214"/>
      <w:r>
        <w:rPr>
          <w:rFonts w:hint="eastAsia" w:ascii="宋体" w:hAnsi="宋体" w:eastAsia="宋体" w:cs="宋体"/>
          <w:b/>
          <w:bCs/>
          <w:color w:val="auto"/>
          <w:kern w:val="2"/>
          <w:sz w:val="21"/>
          <w:szCs w:val="21"/>
          <w:highlight w:val="none"/>
          <w:lang w:val="en-US" w:eastAsia="zh-CN" w:bidi="ar-SA"/>
        </w:rPr>
        <w:t>第7条 施工</w:t>
      </w:r>
      <w:bookmarkEnd w:id="1085"/>
      <w:bookmarkEnd w:id="1086"/>
      <w:bookmarkEnd w:id="1087"/>
    </w:p>
    <w:p w14:paraId="749B99D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88" w:name="_Ref531954276"/>
      <w:bookmarkStart w:id="1089" w:name="_Toc54862236"/>
      <w:bookmarkStart w:id="1090" w:name="_Toc23858"/>
      <w:bookmarkStart w:id="1091" w:name="_Ref531954272"/>
      <w:bookmarkStart w:id="1092" w:name="_Ref531954260"/>
      <w:bookmarkStart w:id="1093" w:name="_Ref531954246"/>
      <w:r>
        <w:rPr>
          <w:rFonts w:hint="eastAsia" w:ascii="宋体" w:hAnsi="宋体" w:eastAsia="宋体" w:cs="宋体"/>
          <w:b/>
          <w:bCs/>
          <w:color w:val="auto"/>
          <w:kern w:val="2"/>
          <w:sz w:val="21"/>
          <w:szCs w:val="21"/>
          <w:highlight w:val="none"/>
          <w:lang w:val="en-US" w:eastAsia="zh-CN" w:bidi="ar-SA"/>
        </w:rPr>
        <w:t>7.1 交通运输</w:t>
      </w:r>
      <w:bookmarkEnd w:id="1088"/>
      <w:bookmarkEnd w:id="1089"/>
      <w:bookmarkEnd w:id="1090"/>
      <w:bookmarkEnd w:id="1091"/>
      <w:r>
        <w:rPr>
          <w:rFonts w:hint="eastAsia" w:ascii="宋体" w:hAnsi="宋体" w:eastAsia="宋体" w:cs="宋体"/>
          <w:b/>
          <w:bCs/>
          <w:color w:val="auto"/>
          <w:kern w:val="2"/>
          <w:sz w:val="21"/>
          <w:szCs w:val="21"/>
          <w:highlight w:val="none"/>
          <w:lang w:val="en-US" w:eastAsia="zh-CN" w:bidi="ar-SA"/>
        </w:rPr>
        <w:t xml:space="preserve"> </w:t>
      </w:r>
    </w:p>
    <w:p w14:paraId="4774D4D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94" w:name="_Ref4422645"/>
      <w:r>
        <w:rPr>
          <w:rFonts w:hint="eastAsia" w:ascii="宋体" w:hAnsi="宋体" w:eastAsia="宋体" w:cs="宋体"/>
          <w:b w:val="0"/>
          <w:bCs w:val="0"/>
          <w:color w:val="auto"/>
          <w:kern w:val="2"/>
          <w:sz w:val="21"/>
          <w:szCs w:val="21"/>
          <w:highlight w:val="none"/>
          <w:lang w:val="en-US" w:eastAsia="zh-CN" w:bidi="ar-SA"/>
        </w:rPr>
        <w:t>7.1.1 出入现场的权利</w:t>
      </w:r>
      <w:bookmarkEnd w:id="1094"/>
    </w:p>
    <w:p w14:paraId="62FE43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19F49C5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95" w:name="_Ref18957045"/>
      <w:r>
        <w:rPr>
          <w:rFonts w:hint="eastAsia" w:ascii="宋体" w:hAnsi="宋体" w:eastAsia="宋体" w:cs="宋体"/>
          <w:b w:val="0"/>
          <w:bCs w:val="0"/>
          <w:color w:val="auto"/>
          <w:kern w:val="2"/>
          <w:sz w:val="21"/>
          <w:szCs w:val="21"/>
          <w:highlight w:val="none"/>
          <w:lang w:val="en-US" w:eastAsia="zh-CN" w:bidi="ar-SA"/>
        </w:rPr>
        <w:t>7.1.2 场外交通</w:t>
      </w:r>
      <w:bookmarkEnd w:id="1095"/>
    </w:p>
    <w:p w14:paraId="01D4EDF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190249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96" w:name="_Ref4622358"/>
      <w:r>
        <w:rPr>
          <w:rFonts w:hint="eastAsia" w:ascii="宋体" w:hAnsi="宋体" w:eastAsia="宋体" w:cs="宋体"/>
          <w:b w:val="0"/>
          <w:bCs w:val="0"/>
          <w:color w:val="auto"/>
          <w:kern w:val="2"/>
          <w:sz w:val="21"/>
          <w:szCs w:val="21"/>
          <w:highlight w:val="none"/>
          <w:lang w:val="en-US" w:eastAsia="zh-CN" w:bidi="ar-SA"/>
        </w:rPr>
        <w:t>7.1.3 场内交通</w:t>
      </w:r>
      <w:bookmarkEnd w:id="1096"/>
    </w:p>
    <w:p w14:paraId="5881BB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74192EE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097" w:name="_Ref4622376"/>
      <w:r>
        <w:rPr>
          <w:rFonts w:hint="eastAsia" w:ascii="宋体" w:hAnsi="宋体" w:eastAsia="宋体" w:cs="宋体"/>
          <w:b w:val="0"/>
          <w:bCs w:val="0"/>
          <w:color w:val="auto"/>
          <w:kern w:val="2"/>
          <w:sz w:val="21"/>
          <w:szCs w:val="21"/>
          <w:highlight w:val="none"/>
          <w:lang w:val="en-US" w:eastAsia="zh-CN" w:bidi="ar-SA"/>
        </w:rPr>
        <w:t>7.1.4 超大件和超重件的运输</w:t>
      </w:r>
      <w:bookmarkEnd w:id="1097"/>
    </w:p>
    <w:p w14:paraId="6DD1E73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1CB331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7.1.5 道路和桥梁的损坏责任</w:t>
      </w:r>
    </w:p>
    <w:p w14:paraId="1FF5F5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因承包人运输造成施工现场内外公共道路和桥梁损坏的，由承包人承担修复损坏的全部费用和可能引起的赔偿。</w:t>
      </w:r>
    </w:p>
    <w:p w14:paraId="61EDC6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7.1.6 水路和航空运输</w:t>
      </w:r>
    </w:p>
    <w:p w14:paraId="14C9C5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本条上述各款的内容适用于水路运输和航空运输，其中“道路”一词的涵义包括河道、航线、船闸、机场、码头、堤防以及水路或航空运输中其他相似结构物；“车辆”一词的涵义包括船舶和飞机等。</w:t>
      </w:r>
    </w:p>
    <w:p w14:paraId="3FEC345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098" w:name="_Toc54862237"/>
      <w:bookmarkStart w:id="1099" w:name="_Ref11919294"/>
      <w:bookmarkStart w:id="1100" w:name="_Ref11919459"/>
      <w:bookmarkStart w:id="1101" w:name="_Toc15182"/>
      <w:r>
        <w:rPr>
          <w:rFonts w:hint="eastAsia" w:ascii="宋体" w:hAnsi="宋体" w:eastAsia="宋体" w:cs="宋体"/>
          <w:b/>
          <w:bCs/>
          <w:color w:val="auto"/>
          <w:kern w:val="2"/>
          <w:sz w:val="21"/>
          <w:szCs w:val="21"/>
          <w:highlight w:val="none"/>
          <w:lang w:val="en-US" w:eastAsia="zh-CN" w:bidi="ar-SA"/>
        </w:rPr>
        <w:t>7.2 施工设备和临时设施</w:t>
      </w:r>
      <w:bookmarkEnd w:id="1092"/>
      <w:bookmarkEnd w:id="1093"/>
      <w:bookmarkEnd w:id="1098"/>
      <w:bookmarkEnd w:id="1099"/>
      <w:bookmarkEnd w:id="1100"/>
      <w:bookmarkEnd w:id="1101"/>
      <w:r>
        <w:rPr>
          <w:rFonts w:hint="eastAsia" w:ascii="宋体" w:hAnsi="宋体" w:eastAsia="宋体" w:cs="宋体"/>
          <w:b/>
          <w:bCs/>
          <w:color w:val="auto"/>
          <w:kern w:val="2"/>
          <w:sz w:val="21"/>
          <w:szCs w:val="21"/>
          <w:highlight w:val="none"/>
          <w:lang w:val="en-US" w:eastAsia="zh-CN" w:bidi="ar-SA"/>
        </w:rPr>
        <w:t xml:space="preserve"> </w:t>
      </w:r>
    </w:p>
    <w:p w14:paraId="61A3F8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02" w:name="_Ref18990767"/>
      <w:bookmarkStart w:id="1103" w:name="_Ref509043186"/>
      <w:r>
        <w:rPr>
          <w:rFonts w:hint="eastAsia" w:ascii="宋体" w:hAnsi="宋体" w:eastAsia="宋体" w:cs="宋体"/>
          <w:b w:val="0"/>
          <w:bCs w:val="0"/>
          <w:color w:val="auto"/>
          <w:kern w:val="2"/>
          <w:sz w:val="21"/>
          <w:szCs w:val="21"/>
          <w:highlight w:val="none"/>
          <w:lang w:val="en-US" w:eastAsia="zh-CN" w:bidi="ar-SA"/>
        </w:rPr>
        <w:t>7.2.1 承包人提供的施工设备和临时设施</w:t>
      </w:r>
      <w:bookmarkEnd w:id="1102"/>
    </w:p>
    <w:p w14:paraId="44C3BD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3CFD4D8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1103"/>
    <w:p w14:paraId="1A5ED0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04" w:name="_Ref18990784"/>
      <w:r>
        <w:rPr>
          <w:rFonts w:hint="eastAsia" w:ascii="宋体" w:hAnsi="宋体" w:eastAsia="宋体" w:cs="宋体"/>
          <w:b w:val="0"/>
          <w:bCs w:val="0"/>
          <w:color w:val="auto"/>
          <w:kern w:val="2"/>
          <w:sz w:val="21"/>
          <w:szCs w:val="21"/>
          <w:highlight w:val="none"/>
          <w:lang w:val="en-US" w:eastAsia="zh-CN" w:bidi="ar-SA"/>
        </w:rPr>
        <w:t>7.2.2 发包人提供的施工设备和临时设施</w:t>
      </w:r>
      <w:bookmarkEnd w:id="1104"/>
    </w:p>
    <w:p w14:paraId="2E6DCE7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发包人提供的施工设备或临时设施在专用合同条件中约定。</w:t>
      </w:r>
    </w:p>
    <w:p w14:paraId="0FC5835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7.2.3 要求承包人增加或更换施工设备</w:t>
      </w:r>
    </w:p>
    <w:p w14:paraId="19E5089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承包人使用的施工设备不能满足项目进度计划和（或）质量要求时，工程师有权要求承包人增加或更换施工设备，承包人应及时增加或更换，由此增加的费用和（或）延误的工期由承包人承担。</w:t>
      </w:r>
    </w:p>
    <w:p w14:paraId="22EAB7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7.2.4 施工设备和临时设施专用于合同工程</w:t>
      </w:r>
    </w:p>
    <w:p w14:paraId="246A3B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27AF43B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05" w:name="_Toc54862238"/>
      <w:bookmarkStart w:id="1106" w:name="_Ref11874352"/>
      <w:bookmarkStart w:id="1107" w:name="_Toc25804"/>
      <w:r>
        <w:rPr>
          <w:rFonts w:hint="eastAsia" w:ascii="宋体" w:hAnsi="宋体" w:eastAsia="宋体" w:cs="宋体"/>
          <w:b/>
          <w:bCs/>
          <w:color w:val="auto"/>
          <w:kern w:val="2"/>
          <w:sz w:val="21"/>
          <w:szCs w:val="21"/>
          <w:highlight w:val="none"/>
          <w:lang w:val="en-US" w:eastAsia="zh-CN" w:bidi="ar-SA"/>
        </w:rPr>
        <w:t>7.3 现场合作</w:t>
      </w:r>
      <w:bookmarkEnd w:id="1105"/>
      <w:bookmarkEnd w:id="1106"/>
      <w:bookmarkEnd w:id="1107"/>
    </w:p>
    <w:p w14:paraId="3D94C67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承包人应按合同约定或发包人的指示，与发包人人员、发包人的其他承包人等人员就在现场或附近实施与工程有关的各项工作进行合作并提供适当条件，包括使用承包人设备、临时工程或进入现场等。</w:t>
      </w:r>
    </w:p>
    <w:p w14:paraId="58A2BC8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承包人应对其在现场的施工活动负责，并应尽合理努力按合同约定或发包人的指示，协调自身与发包人人员、发包人的其他承包人等人员的活动。</w:t>
      </w:r>
    </w:p>
    <w:p w14:paraId="3FB2A43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53C8E60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08" w:name="_Toc54862239"/>
      <w:bookmarkStart w:id="1109" w:name="_Toc17803"/>
      <w:bookmarkStart w:id="1110" w:name="_Ref531954285"/>
      <w:bookmarkStart w:id="1111" w:name="_Ref531954287"/>
      <w:r>
        <w:rPr>
          <w:rFonts w:hint="eastAsia" w:ascii="宋体" w:hAnsi="宋体" w:eastAsia="宋体" w:cs="宋体"/>
          <w:b/>
          <w:bCs/>
          <w:color w:val="auto"/>
          <w:kern w:val="2"/>
          <w:sz w:val="21"/>
          <w:szCs w:val="21"/>
          <w:highlight w:val="none"/>
          <w:lang w:val="en-US" w:eastAsia="zh-CN" w:bidi="ar-SA"/>
        </w:rPr>
        <w:t>7.4 测量放线</w:t>
      </w:r>
      <w:bookmarkEnd w:id="1108"/>
      <w:bookmarkEnd w:id="1109"/>
      <w:bookmarkEnd w:id="1110"/>
      <w:bookmarkEnd w:id="1111"/>
    </w:p>
    <w:p w14:paraId="05D0532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6293052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524643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32173B9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12" w:name="_Toc20886"/>
      <w:bookmarkStart w:id="1113" w:name="_Toc54862240"/>
      <w:bookmarkStart w:id="1114" w:name="_Ref531954323"/>
      <w:bookmarkStart w:id="1115" w:name="_Ref531954329"/>
      <w:bookmarkStart w:id="1116" w:name="_Ref4770992"/>
      <w:r>
        <w:rPr>
          <w:rFonts w:hint="eastAsia" w:ascii="宋体" w:hAnsi="宋体" w:eastAsia="宋体" w:cs="宋体"/>
          <w:b/>
          <w:bCs/>
          <w:color w:val="auto"/>
          <w:kern w:val="2"/>
          <w:sz w:val="21"/>
          <w:szCs w:val="21"/>
          <w:highlight w:val="none"/>
          <w:lang w:val="en-US" w:eastAsia="zh-CN" w:bidi="ar-SA"/>
        </w:rPr>
        <w:t>7.5 现场劳动用工</w:t>
      </w:r>
      <w:bookmarkEnd w:id="1112"/>
      <w:bookmarkEnd w:id="1113"/>
    </w:p>
    <w:p w14:paraId="7F71B44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6F7B00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5F22D3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7.5.3 承包人应当按照相关法律法规的要求，进行劳动用工管理和建筑工人工资支付。</w:t>
      </w:r>
    </w:p>
    <w:p w14:paraId="296458F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17" w:name="_Toc4308"/>
      <w:bookmarkStart w:id="1118" w:name="_Ref41554059"/>
      <w:bookmarkStart w:id="1119" w:name="_Toc54862241"/>
      <w:r>
        <w:rPr>
          <w:rFonts w:hint="eastAsia" w:ascii="宋体" w:hAnsi="宋体" w:eastAsia="宋体" w:cs="宋体"/>
          <w:b/>
          <w:bCs/>
          <w:color w:val="auto"/>
          <w:kern w:val="2"/>
          <w:sz w:val="21"/>
          <w:szCs w:val="21"/>
          <w:highlight w:val="none"/>
          <w:lang w:val="en-US" w:eastAsia="zh-CN" w:bidi="ar-SA"/>
        </w:rPr>
        <w:t>7.6 安全文明施工</w:t>
      </w:r>
      <w:bookmarkEnd w:id="1114"/>
      <w:bookmarkEnd w:id="1115"/>
      <w:bookmarkEnd w:id="1116"/>
      <w:bookmarkEnd w:id="1117"/>
      <w:bookmarkEnd w:id="1118"/>
      <w:bookmarkEnd w:id="1119"/>
    </w:p>
    <w:p w14:paraId="05049F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20" w:name="_Ref18990822"/>
      <w:r>
        <w:rPr>
          <w:rFonts w:hint="eastAsia" w:ascii="宋体" w:hAnsi="宋体" w:eastAsia="宋体" w:cs="宋体"/>
          <w:b w:val="0"/>
          <w:bCs w:val="0"/>
          <w:color w:val="auto"/>
          <w:kern w:val="2"/>
          <w:sz w:val="21"/>
          <w:szCs w:val="21"/>
          <w:highlight w:val="none"/>
          <w:lang w:val="en-US" w:eastAsia="zh-CN" w:bidi="ar-SA"/>
        </w:rPr>
        <w:t>7.6.1 安全生产要求</w:t>
      </w:r>
      <w:bookmarkEnd w:id="1120"/>
    </w:p>
    <w:p w14:paraId="17FCF3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6E23E1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94FDFE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因安全生产需要暂停施工的，按照第8.9款[暂停工作]的约定执行。</w:t>
      </w:r>
    </w:p>
    <w:p w14:paraId="6D39208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7.6.2 安全生产保证措施</w:t>
      </w:r>
    </w:p>
    <w:p w14:paraId="6900F07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7D9BD91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544A27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19250BD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21" w:name="_Ref18990840"/>
      <w:r>
        <w:rPr>
          <w:rFonts w:hint="eastAsia" w:ascii="宋体" w:hAnsi="宋体" w:eastAsia="宋体" w:cs="宋体"/>
          <w:b w:val="0"/>
          <w:bCs w:val="0"/>
          <w:color w:val="auto"/>
          <w:kern w:val="2"/>
          <w:sz w:val="21"/>
          <w:szCs w:val="21"/>
          <w:highlight w:val="none"/>
          <w:lang w:val="en-US" w:eastAsia="zh-CN" w:bidi="ar-SA"/>
        </w:rPr>
        <w:t>7.6.3 文明施工</w:t>
      </w:r>
      <w:bookmarkEnd w:id="1121"/>
    </w:p>
    <w:p w14:paraId="04F0004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5BE45E6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7C6C31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7.6.4 事故处理</w:t>
      </w:r>
    </w:p>
    <w:p w14:paraId="22341A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509C32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0ABE2AF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7.6.5 安全生产责任</w:t>
      </w:r>
    </w:p>
    <w:p w14:paraId="0D66E12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发包人应负责赔偿以下各种情况造成的损失：</w:t>
      </w:r>
    </w:p>
    <w:p w14:paraId="41F36B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工程或工程的任何部分对土地的占用所造成的第三者财产损失；</w:t>
      </w:r>
    </w:p>
    <w:p w14:paraId="162F236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由于发包人原因在施工现场及其毗邻地带、履行合同工作中造成的第三者人身伤亡和财产损失；</w:t>
      </w:r>
    </w:p>
    <w:p w14:paraId="3E04B5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由于发包人原因对发包人自身、承包人、工程师造成的人身伤害和财产损失。</w:t>
      </w:r>
    </w:p>
    <w:p w14:paraId="4827AEB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承包人应负责赔偿由于承包人原因在施工现场及其毗邻地带、履行合同工作中造成的第三者人身伤亡和财产损失。</w:t>
      </w:r>
    </w:p>
    <w:p w14:paraId="78A156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如果上述损失是由于发包人和承包人共同原因导致的，则双方应根据过错情况按比例承担。</w:t>
      </w:r>
    </w:p>
    <w:p w14:paraId="1D073A5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22" w:name="_Toc54862242"/>
      <w:bookmarkStart w:id="1123" w:name="_Toc7789"/>
      <w:bookmarkStart w:id="1124" w:name="_Ref41554069"/>
      <w:bookmarkStart w:id="1125" w:name="_Ref11874562"/>
      <w:r>
        <w:rPr>
          <w:rFonts w:hint="eastAsia" w:ascii="宋体" w:hAnsi="宋体" w:eastAsia="宋体" w:cs="宋体"/>
          <w:b/>
          <w:bCs/>
          <w:color w:val="auto"/>
          <w:kern w:val="2"/>
          <w:sz w:val="21"/>
          <w:szCs w:val="21"/>
          <w:highlight w:val="none"/>
          <w:lang w:val="en-US" w:eastAsia="zh-CN" w:bidi="ar-SA"/>
        </w:rPr>
        <w:t>7.7 职业健康</w:t>
      </w:r>
      <w:bookmarkEnd w:id="1122"/>
      <w:bookmarkEnd w:id="1123"/>
      <w:bookmarkEnd w:id="1124"/>
      <w:bookmarkEnd w:id="1125"/>
    </w:p>
    <w:p w14:paraId="6E5370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承包人应遵守适用的职业健康的法律和合同约定（包括对雇用、职业健康、安全、福利等方面的规定），负责现场实施过程中其人员的职业健康和保护，包括：</w:t>
      </w:r>
    </w:p>
    <w:p w14:paraId="30C4C28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485785B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承包人应依法为承包人</w:t>
      </w:r>
      <w:bookmarkStart w:id="1126" w:name="_Hlk46339538"/>
      <w:r>
        <w:rPr>
          <w:rFonts w:hint="eastAsia" w:ascii="宋体" w:hAnsi="宋体" w:eastAsia="宋体" w:cs="宋体"/>
          <w:b w:val="0"/>
          <w:bCs w:val="0"/>
          <w:color w:val="auto"/>
          <w:kern w:val="2"/>
          <w:sz w:val="21"/>
          <w:szCs w:val="21"/>
          <w:highlight w:val="none"/>
          <w:lang w:val="en-US" w:eastAsia="zh-CN" w:bidi="ar-SA"/>
        </w:rPr>
        <w:t>员工及承包人聘用的第三方人员</w:t>
      </w:r>
      <w:bookmarkEnd w:id="1126"/>
      <w:r>
        <w:rPr>
          <w:rFonts w:hint="eastAsia" w:ascii="宋体" w:hAnsi="宋体" w:eastAsia="宋体" w:cs="宋体"/>
          <w:b w:val="0"/>
          <w:bCs w:val="0"/>
          <w:color w:val="auto"/>
          <w:kern w:val="2"/>
          <w:sz w:val="21"/>
          <w:szCs w:val="21"/>
          <w:highlight w:val="none"/>
          <w:lang w:val="en-US" w:eastAsia="zh-CN" w:bidi="ar-SA"/>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5B5B0C4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087DAF3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288D402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67D4371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27" w:name="_Ref11874570"/>
      <w:bookmarkStart w:id="1128" w:name="_Toc29527"/>
      <w:bookmarkStart w:id="1129" w:name="_Toc54862243"/>
      <w:r>
        <w:rPr>
          <w:rFonts w:hint="eastAsia" w:ascii="宋体" w:hAnsi="宋体" w:eastAsia="宋体" w:cs="宋体"/>
          <w:b/>
          <w:bCs/>
          <w:color w:val="auto"/>
          <w:kern w:val="2"/>
          <w:sz w:val="21"/>
          <w:szCs w:val="21"/>
          <w:highlight w:val="none"/>
          <w:lang w:val="en-US" w:eastAsia="zh-CN" w:bidi="ar-SA"/>
        </w:rPr>
        <w:t>7.8 环境保护</w:t>
      </w:r>
      <w:bookmarkEnd w:id="1127"/>
      <w:bookmarkEnd w:id="1128"/>
      <w:bookmarkEnd w:id="1129"/>
    </w:p>
    <w:p w14:paraId="6965733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11ADB5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7.8.2 承包人应采取措施，并负责控制和（或）处理现场的粉尘、废气、废水、固体废物和噪声对环境的污染和危害。因此发生的伤害、赔偿、罚款等费用增加，和（或）竣工日期延误，由承包人负责。</w:t>
      </w:r>
    </w:p>
    <w:p w14:paraId="0CD71E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0813958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30" w:name="_Ref531954340"/>
      <w:bookmarkStart w:id="1131" w:name="_Toc54862244"/>
      <w:bookmarkStart w:id="1132" w:name="_Ref531954344"/>
      <w:bookmarkStart w:id="1133" w:name="_Toc7278"/>
      <w:bookmarkStart w:id="1134" w:name="_Ref4771116"/>
      <w:r>
        <w:rPr>
          <w:rFonts w:hint="eastAsia" w:ascii="宋体" w:hAnsi="宋体" w:eastAsia="宋体" w:cs="宋体"/>
          <w:b/>
          <w:bCs/>
          <w:color w:val="auto"/>
          <w:kern w:val="2"/>
          <w:sz w:val="21"/>
          <w:szCs w:val="21"/>
          <w:highlight w:val="none"/>
          <w:lang w:val="en-US" w:eastAsia="zh-CN" w:bidi="ar-SA"/>
        </w:rPr>
        <w:t>7.9 临时性公用设施</w:t>
      </w:r>
      <w:bookmarkEnd w:id="1130"/>
      <w:bookmarkEnd w:id="1131"/>
      <w:bookmarkEnd w:id="1132"/>
      <w:bookmarkEnd w:id="1133"/>
      <w:r>
        <w:rPr>
          <w:rFonts w:hint="eastAsia" w:ascii="宋体" w:hAnsi="宋体" w:eastAsia="宋体" w:cs="宋体"/>
          <w:b/>
          <w:bCs/>
          <w:color w:val="auto"/>
          <w:kern w:val="2"/>
          <w:sz w:val="21"/>
          <w:szCs w:val="21"/>
          <w:highlight w:val="none"/>
          <w:lang w:val="en-US" w:eastAsia="zh-CN" w:bidi="ar-SA"/>
        </w:rPr>
        <w:t xml:space="preserve"> </w:t>
      </w:r>
      <w:bookmarkEnd w:id="1134"/>
    </w:p>
    <w:p w14:paraId="1CD446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7.9.1 提供临时用水、用电等和节点铺设</w:t>
      </w:r>
    </w:p>
    <w:p w14:paraId="5F0C86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024942E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0132AC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7.9.2 临时用水、用电等</w:t>
      </w:r>
    </w:p>
    <w:p w14:paraId="5062BD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3B3B47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因承包人未能按合同约定提交上述资料，造成发包人费用增加和竣工日期延误时，由承包人负责。</w:t>
      </w:r>
      <w:bookmarkStart w:id="1135" w:name="_Ref508893743"/>
    </w:p>
    <w:p w14:paraId="405DB04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36" w:name="_Toc54862245"/>
      <w:bookmarkStart w:id="1137" w:name="_Toc1751"/>
      <w:bookmarkStart w:id="1138" w:name="_Ref531952248"/>
      <w:bookmarkStart w:id="1139" w:name="_Ref531952239"/>
      <w:r>
        <w:rPr>
          <w:rFonts w:hint="eastAsia" w:ascii="宋体" w:hAnsi="宋体" w:eastAsia="宋体" w:cs="宋体"/>
          <w:b/>
          <w:bCs/>
          <w:color w:val="auto"/>
          <w:kern w:val="2"/>
          <w:sz w:val="21"/>
          <w:szCs w:val="21"/>
          <w:highlight w:val="none"/>
          <w:lang w:val="en-US" w:eastAsia="zh-CN" w:bidi="ar-SA"/>
        </w:rPr>
        <w:t>7.10 现场安保</w:t>
      </w:r>
      <w:bookmarkEnd w:id="1136"/>
      <w:bookmarkEnd w:id="1137"/>
      <w:bookmarkEnd w:id="1138"/>
      <w:bookmarkEnd w:id="1139"/>
    </w:p>
    <w:p w14:paraId="21643F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6622B17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承包人应将其作业限制在现场区域、合同约定的区域或为履行合同所需的区域内。承包人应采取一切必要的预防措施，以保持承包人的设备和人员处于现场区域内，避免其进入邻近地区。</w:t>
      </w:r>
    </w:p>
    <w:p w14:paraId="4E9D1FB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承包人为履行合同义务而占用的其他场所（如预制加工场所、办公及生活营区） 的安保适用本款前述关于现场安保的规定。</w:t>
      </w:r>
    </w:p>
    <w:p w14:paraId="14E13C2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40" w:name="_Toc54862246"/>
      <w:bookmarkStart w:id="1141" w:name="_Toc16127"/>
      <w:r>
        <w:rPr>
          <w:rFonts w:hint="eastAsia" w:ascii="宋体" w:hAnsi="宋体" w:eastAsia="宋体" w:cs="宋体"/>
          <w:b/>
          <w:bCs/>
          <w:color w:val="auto"/>
          <w:kern w:val="2"/>
          <w:sz w:val="21"/>
          <w:szCs w:val="21"/>
          <w:highlight w:val="none"/>
          <w:lang w:val="en-US" w:eastAsia="zh-CN" w:bidi="ar-SA"/>
        </w:rPr>
        <w:t>7.11 工程照管</w:t>
      </w:r>
      <w:bookmarkEnd w:id="1140"/>
      <w:bookmarkEnd w:id="1141"/>
    </w:p>
    <w:p w14:paraId="4EEA7F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自开始现场施工日期起至发包人应当接收工程之日止，承包人应承担工程现场、材料、设备及承包人文件的照管和维护工作。</w:t>
      </w:r>
    </w:p>
    <w:p w14:paraId="7C1C05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如部分工程于竣工验收前提前交付发包人的，则自交付之日起，该部分工程照管及维护职责由发包人承担。</w:t>
      </w:r>
    </w:p>
    <w:p w14:paraId="1C82C7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如发包人及承包人进行竣工验收时尚有部分未竣工工程的，承包人应负责该未竣工工程的照管和维护工作，直至竣工后移交给发包人。</w:t>
      </w:r>
    </w:p>
    <w:p w14:paraId="7E67072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如合同解除或终止的，承包人自合同解除或终止之日起不再对工程承担照管和维护义务。</w:t>
      </w:r>
    </w:p>
    <w:p w14:paraId="49EBD3A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42" w:name="_Ref508998009"/>
      <w:bookmarkStart w:id="1143" w:name="_Toc54862247"/>
      <w:bookmarkStart w:id="1144" w:name="_Toc30482"/>
      <w:bookmarkStart w:id="1145" w:name="_Ref531954505"/>
      <w:bookmarkStart w:id="1146" w:name="_Ref531954518"/>
      <w:r>
        <w:rPr>
          <w:rFonts w:hint="eastAsia" w:ascii="宋体" w:hAnsi="宋体" w:eastAsia="宋体" w:cs="宋体"/>
          <w:b/>
          <w:bCs/>
          <w:color w:val="auto"/>
          <w:kern w:val="2"/>
          <w:sz w:val="21"/>
          <w:szCs w:val="21"/>
          <w:highlight w:val="none"/>
          <w:lang w:val="en-US" w:eastAsia="zh-CN" w:bidi="ar-SA"/>
        </w:rPr>
        <w:t>第8条 工期和进度</w:t>
      </w:r>
      <w:bookmarkEnd w:id="1142"/>
      <w:bookmarkEnd w:id="1143"/>
      <w:bookmarkEnd w:id="1144"/>
    </w:p>
    <w:p w14:paraId="5DB134A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47" w:name="_Ref532362072"/>
      <w:bookmarkStart w:id="1148" w:name="_Toc6442"/>
      <w:bookmarkStart w:id="1149" w:name="_Ref532362777"/>
      <w:bookmarkStart w:id="1150" w:name="_Ref532362774"/>
      <w:bookmarkStart w:id="1151" w:name="_Ref532362075"/>
      <w:bookmarkStart w:id="1152" w:name="_Toc54862248"/>
      <w:r>
        <w:rPr>
          <w:rFonts w:hint="eastAsia" w:ascii="宋体" w:hAnsi="宋体" w:eastAsia="宋体" w:cs="宋体"/>
          <w:b/>
          <w:bCs/>
          <w:color w:val="auto"/>
          <w:kern w:val="2"/>
          <w:sz w:val="21"/>
          <w:szCs w:val="21"/>
          <w:highlight w:val="none"/>
          <w:lang w:val="en-US" w:eastAsia="zh-CN" w:bidi="ar-SA"/>
        </w:rPr>
        <w:t>8.1 开始工作</w:t>
      </w:r>
      <w:bookmarkEnd w:id="1147"/>
      <w:bookmarkEnd w:id="1148"/>
      <w:bookmarkEnd w:id="1149"/>
      <w:bookmarkEnd w:id="1150"/>
      <w:bookmarkEnd w:id="1151"/>
      <w:bookmarkEnd w:id="1152"/>
    </w:p>
    <w:p w14:paraId="418D7FA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53" w:name="_Ref4428890"/>
      <w:r>
        <w:rPr>
          <w:rFonts w:hint="eastAsia" w:ascii="宋体" w:hAnsi="宋体" w:eastAsia="宋体" w:cs="宋体"/>
          <w:b w:val="0"/>
          <w:bCs w:val="0"/>
          <w:color w:val="auto"/>
          <w:kern w:val="2"/>
          <w:sz w:val="21"/>
          <w:szCs w:val="21"/>
          <w:highlight w:val="none"/>
          <w:lang w:val="en-US" w:eastAsia="zh-CN" w:bidi="ar-SA"/>
        </w:rPr>
        <w:t>8.1.1 开始工作准备</w:t>
      </w:r>
      <w:bookmarkEnd w:id="1153"/>
    </w:p>
    <w:p w14:paraId="158C556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合同当事人应按专用合同条件约定完成开始工作准备工作。</w:t>
      </w:r>
    </w:p>
    <w:p w14:paraId="378766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54" w:name="_Ref536790534"/>
      <w:bookmarkStart w:id="1155" w:name="_Hlk51506490"/>
      <w:r>
        <w:rPr>
          <w:rFonts w:hint="eastAsia" w:ascii="宋体" w:hAnsi="宋体" w:eastAsia="宋体" w:cs="宋体"/>
          <w:b w:val="0"/>
          <w:bCs w:val="0"/>
          <w:color w:val="auto"/>
          <w:kern w:val="2"/>
          <w:sz w:val="21"/>
          <w:szCs w:val="21"/>
          <w:highlight w:val="none"/>
          <w:lang w:val="en-US" w:eastAsia="zh-CN" w:bidi="ar-SA"/>
        </w:rPr>
        <w:t>8.1.2 开始工作通知</w:t>
      </w:r>
      <w:bookmarkEnd w:id="1154"/>
    </w:p>
    <w:bookmarkEnd w:id="1155"/>
    <w:p w14:paraId="7C1A366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经发包人同意后，工程师应提前7天向承包人发出经发包人签认的开始工作通知，工期自开始工作通知中载明的开始工作日期起算。</w:t>
      </w:r>
    </w:p>
    <w:p w14:paraId="4BD0A41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除专用合同条件另有约定外，因发包人原因造成实际开始现场施工日期迟于</w:t>
      </w:r>
      <w:bookmarkStart w:id="1156" w:name="_Hlk51506566"/>
      <w:r>
        <w:rPr>
          <w:rFonts w:hint="eastAsia" w:ascii="宋体" w:hAnsi="宋体" w:eastAsia="宋体" w:cs="宋体"/>
          <w:b w:val="0"/>
          <w:bCs w:val="0"/>
          <w:color w:val="auto"/>
          <w:kern w:val="2"/>
          <w:sz w:val="21"/>
          <w:szCs w:val="21"/>
          <w:highlight w:val="none"/>
          <w:lang w:val="en-US" w:eastAsia="zh-CN" w:bidi="ar-SA"/>
        </w:rPr>
        <w:t>计划开始现场施工日期</w:t>
      </w:r>
      <w:bookmarkEnd w:id="1156"/>
      <w:r>
        <w:rPr>
          <w:rFonts w:hint="eastAsia" w:ascii="宋体" w:hAnsi="宋体" w:eastAsia="宋体" w:cs="宋体"/>
          <w:b w:val="0"/>
          <w:bCs w:val="0"/>
          <w:color w:val="auto"/>
          <w:kern w:val="2"/>
          <w:sz w:val="21"/>
          <w:szCs w:val="21"/>
          <w:highlight w:val="none"/>
          <w:lang w:val="en-US" w:eastAsia="zh-CN" w:bidi="ar-SA"/>
        </w:rPr>
        <w:t>后第84天的，承包人有权提出价格调整要求，或者解除合同。发包人应当承担由此增加的费用和（或）延误的工期，并向承包人支付合理利润。</w:t>
      </w:r>
    </w:p>
    <w:p w14:paraId="1A29EE5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57" w:name="_Ref532362124"/>
      <w:bookmarkStart w:id="1158" w:name="_Toc54862249"/>
      <w:bookmarkStart w:id="1159" w:name="_Toc20509"/>
      <w:r>
        <w:rPr>
          <w:rFonts w:hint="eastAsia" w:ascii="宋体" w:hAnsi="宋体" w:eastAsia="宋体" w:cs="宋体"/>
          <w:b/>
          <w:bCs/>
          <w:color w:val="auto"/>
          <w:kern w:val="2"/>
          <w:sz w:val="21"/>
          <w:szCs w:val="21"/>
          <w:highlight w:val="none"/>
          <w:lang w:val="en-US" w:eastAsia="zh-CN" w:bidi="ar-SA"/>
        </w:rPr>
        <w:t>8.2 竣工日期</w:t>
      </w:r>
      <w:bookmarkEnd w:id="1157"/>
      <w:bookmarkEnd w:id="1158"/>
      <w:bookmarkEnd w:id="1159"/>
      <w:r>
        <w:rPr>
          <w:rFonts w:hint="eastAsia" w:ascii="宋体" w:hAnsi="宋体" w:eastAsia="宋体" w:cs="宋体"/>
          <w:b/>
          <w:bCs/>
          <w:color w:val="auto"/>
          <w:kern w:val="2"/>
          <w:sz w:val="21"/>
          <w:szCs w:val="21"/>
          <w:highlight w:val="none"/>
          <w:lang w:val="en-US" w:eastAsia="zh-CN" w:bidi="ar-SA"/>
        </w:rPr>
        <w:t xml:space="preserve"> </w:t>
      </w:r>
    </w:p>
    <w:p w14:paraId="4189C2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承包人应在合同协议书约定的工期内完成合同工作。除专用合同条件另有约定外，工程的竣工日期以第10.1条[竣工验收]的约定为准，并在工程接收证书中写明。</w:t>
      </w:r>
    </w:p>
    <w:p w14:paraId="10F8C1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因发包人原因，在工程师收到承包人竣工验收申请报告42天后未进行验收的，视为验收合格，实际竣工日期以提交竣工验收申请报告的日期为准，但发包人由于不可抗力不能进行验收的除外。</w:t>
      </w:r>
    </w:p>
    <w:p w14:paraId="095A5A6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60" w:name="_Ref11863334"/>
      <w:bookmarkStart w:id="1161" w:name="_Toc54862250"/>
      <w:bookmarkStart w:id="1162" w:name="_Toc7937"/>
      <w:bookmarkStart w:id="1163" w:name="_Ref532362207"/>
      <w:bookmarkStart w:id="1164" w:name="_Ref532362204"/>
      <w:bookmarkStart w:id="1165" w:name="_Ref532352856"/>
      <w:bookmarkStart w:id="1166" w:name="_Ref532352853"/>
      <w:r>
        <w:rPr>
          <w:rFonts w:hint="eastAsia" w:ascii="宋体" w:hAnsi="宋体" w:eastAsia="宋体" w:cs="宋体"/>
          <w:b/>
          <w:bCs/>
          <w:color w:val="auto"/>
          <w:kern w:val="2"/>
          <w:sz w:val="21"/>
          <w:szCs w:val="21"/>
          <w:highlight w:val="none"/>
          <w:lang w:val="en-US" w:eastAsia="zh-CN" w:bidi="ar-SA"/>
        </w:rPr>
        <w:t>8.3 项目实施计划</w:t>
      </w:r>
      <w:bookmarkEnd w:id="1160"/>
      <w:bookmarkEnd w:id="1161"/>
      <w:bookmarkEnd w:id="1162"/>
    </w:p>
    <w:p w14:paraId="499171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67" w:name="_Ref18990904"/>
      <w:r>
        <w:rPr>
          <w:rFonts w:hint="eastAsia" w:ascii="宋体" w:hAnsi="宋体" w:eastAsia="宋体" w:cs="宋体"/>
          <w:b w:val="0"/>
          <w:bCs w:val="0"/>
          <w:color w:val="auto"/>
          <w:kern w:val="2"/>
          <w:sz w:val="21"/>
          <w:szCs w:val="21"/>
          <w:highlight w:val="none"/>
          <w:lang w:val="en-US" w:eastAsia="zh-CN" w:bidi="ar-SA"/>
        </w:rPr>
        <w:t>8.3.1 项目实施计划的内容</w:t>
      </w:r>
      <w:bookmarkEnd w:id="1167"/>
    </w:p>
    <w:p w14:paraId="3F6372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1908B3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68" w:name="_Ref18990921"/>
      <w:r>
        <w:rPr>
          <w:rFonts w:hint="eastAsia" w:ascii="宋体" w:hAnsi="宋体" w:eastAsia="宋体" w:cs="宋体"/>
          <w:b w:val="0"/>
          <w:bCs w:val="0"/>
          <w:color w:val="auto"/>
          <w:kern w:val="2"/>
          <w:sz w:val="21"/>
          <w:szCs w:val="21"/>
          <w:highlight w:val="none"/>
          <w:lang w:val="en-US" w:eastAsia="zh-CN" w:bidi="ar-SA"/>
        </w:rPr>
        <w:t>8.3.2 项目实施计划的提交和修改</w:t>
      </w:r>
      <w:bookmarkEnd w:id="1168"/>
    </w:p>
    <w:p w14:paraId="404F135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078115A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项目进度计划的编制和修改按照第8.4款[项目进度计划]执行。</w:t>
      </w:r>
    </w:p>
    <w:p w14:paraId="2669182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69" w:name="_Ref11865507"/>
      <w:bookmarkStart w:id="1170" w:name="_Toc13521"/>
      <w:bookmarkStart w:id="1171" w:name="_Toc54862251"/>
      <w:r>
        <w:rPr>
          <w:rFonts w:hint="eastAsia" w:ascii="宋体" w:hAnsi="宋体" w:eastAsia="宋体" w:cs="宋体"/>
          <w:b/>
          <w:bCs/>
          <w:color w:val="auto"/>
          <w:kern w:val="2"/>
          <w:sz w:val="21"/>
          <w:szCs w:val="21"/>
          <w:highlight w:val="none"/>
          <w:lang w:val="en-US" w:eastAsia="zh-CN" w:bidi="ar-SA"/>
        </w:rPr>
        <w:t>8.4 项目进度计划</w:t>
      </w:r>
      <w:bookmarkEnd w:id="1163"/>
      <w:bookmarkEnd w:id="1164"/>
      <w:bookmarkEnd w:id="1165"/>
      <w:bookmarkEnd w:id="1166"/>
      <w:bookmarkEnd w:id="1169"/>
      <w:bookmarkEnd w:id="1170"/>
      <w:bookmarkEnd w:id="1171"/>
    </w:p>
    <w:p w14:paraId="5F48A65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72" w:name="_Ref4681217"/>
      <w:r>
        <w:rPr>
          <w:rFonts w:hint="eastAsia" w:ascii="宋体" w:hAnsi="宋体" w:eastAsia="宋体" w:cs="宋体"/>
          <w:b w:val="0"/>
          <w:bCs w:val="0"/>
          <w:color w:val="auto"/>
          <w:kern w:val="2"/>
          <w:sz w:val="21"/>
          <w:szCs w:val="21"/>
          <w:highlight w:val="none"/>
          <w:lang w:val="en-US" w:eastAsia="zh-CN" w:bidi="ar-SA"/>
        </w:rPr>
        <w:t>8.4.1 项目进度计划的提交和修改</w:t>
      </w:r>
      <w:bookmarkEnd w:id="1172"/>
    </w:p>
    <w:p w14:paraId="1B2850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3FC634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29969A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73" w:name="_Ref4429079"/>
      <w:r>
        <w:rPr>
          <w:rFonts w:hint="eastAsia" w:ascii="宋体" w:hAnsi="宋体" w:eastAsia="宋体" w:cs="宋体"/>
          <w:b w:val="0"/>
          <w:bCs w:val="0"/>
          <w:color w:val="auto"/>
          <w:kern w:val="2"/>
          <w:sz w:val="21"/>
          <w:szCs w:val="21"/>
          <w:highlight w:val="none"/>
          <w:lang w:val="en-US" w:eastAsia="zh-CN" w:bidi="ar-SA"/>
        </w:rPr>
        <w:t>8.4.2 项目进度计划的内容</w:t>
      </w:r>
      <w:bookmarkEnd w:id="1173"/>
    </w:p>
    <w:p w14:paraId="6F40DB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02D3E1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174" w:name="_Ref3848203"/>
      <w:r>
        <w:rPr>
          <w:rFonts w:hint="eastAsia" w:ascii="宋体" w:hAnsi="宋体" w:eastAsia="宋体" w:cs="宋体"/>
          <w:b w:val="0"/>
          <w:bCs w:val="0"/>
          <w:color w:val="auto"/>
          <w:kern w:val="2"/>
          <w:sz w:val="21"/>
          <w:szCs w:val="21"/>
          <w:highlight w:val="none"/>
          <w:lang w:val="en-US" w:eastAsia="zh-CN" w:bidi="ar-SA"/>
        </w:rPr>
        <w:t>8.4.3 项目进度计划的修订</w:t>
      </w:r>
      <w:bookmarkEnd w:id="1174"/>
    </w:p>
    <w:p w14:paraId="4CDAE65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6F4BCA4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4DC8CA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除合同当事人另有约定外，项目进度计划的修订并不能减轻或者免除双方按第8.7款[工期延误]、第8.8款[工期提前]、第8.9款[暂停工作]应承担的合同责任。</w:t>
      </w:r>
    </w:p>
    <w:p w14:paraId="0A03161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75" w:name="_Toc54862252"/>
      <w:bookmarkStart w:id="1176" w:name="_Ref532362276"/>
      <w:bookmarkStart w:id="1177" w:name="_Ref532362278"/>
      <w:bookmarkStart w:id="1178" w:name="_Toc4825"/>
      <w:r>
        <w:rPr>
          <w:rFonts w:hint="eastAsia" w:ascii="宋体" w:hAnsi="宋体" w:eastAsia="宋体" w:cs="宋体"/>
          <w:b/>
          <w:bCs/>
          <w:color w:val="auto"/>
          <w:kern w:val="2"/>
          <w:sz w:val="21"/>
          <w:szCs w:val="21"/>
          <w:highlight w:val="none"/>
          <w:lang w:val="en-US" w:eastAsia="zh-CN" w:bidi="ar-SA"/>
        </w:rPr>
        <w:t>8.5 进度报告</w:t>
      </w:r>
      <w:bookmarkEnd w:id="1175"/>
      <w:bookmarkEnd w:id="1176"/>
      <w:bookmarkEnd w:id="1177"/>
      <w:bookmarkEnd w:id="1178"/>
    </w:p>
    <w:p w14:paraId="3F86287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项目实施过程中，承包人应进行实际进度记录，并根据工程师的要求编制月进度报告，并提交给工程师。进度报告应包含以下主要内容：</w:t>
      </w:r>
    </w:p>
    <w:p w14:paraId="6113921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工程设计、采购、施工等各个工作内容的进展报告；</w:t>
      </w:r>
    </w:p>
    <w:p w14:paraId="470AAAE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工程施工方法的一般说明；</w:t>
      </w:r>
    </w:p>
    <w:p w14:paraId="4B831F5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当月工程实施介入的项目人员、设备和材料的预估明细报告；</w:t>
      </w:r>
    </w:p>
    <w:p w14:paraId="511974F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（4） 当月实际进度与进度计划对比分析，以及提出未来可能引起工期延误的情形，同时提出应对措施；需要修订项目进度计划的，应对项目进度计划的修订部分进行说明； </w:t>
      </w:r>
    </w:p>
    <w:p w14:paraId="157410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承包人对于解决工期延误所提出的建议；</w:t>
      </w:r>
    </w:p>
    <w:p w14:paraId="4D48C6E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其他与工程有关的重大事项。</w:t>
      </w:r>
    </w:p>
    <w:p w14:paraId="755207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进度报告的具体要求等，在专用合同条件约定。</w:t>
      </w:r>
    </w:p>
    <w:p w14:paraId="7523135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79" w:name="_Toc25992"/>
      <w:bookmarkStart w:id="1180" w:name="_Toc54862253"/>
      <w:r>
        <w:rPr>
          <w:rFonts w:hint="eastAsia" w:ascii="宋体" w:hAnsi="宋体" w:eastAsia="宋体" w:cs="宋体"/>
          <w:b/>
          <w:bCs/>
          <w:color w:val="auto"/>
          <w:kern w:val="2"/>
          <w:sz w:val="21"/>
          <w:szCs w:val="21"/>
          <w:highlight w:val="none"/>
          <w:lang w:val="en-US" w:eastAsia="zh-CN" w:bidi="ar-SA"/>
        </w:rPr>
        <w:t>8.6 提前预警</w:t>
      </w:r>
      <w:bookmarkEnd w:id="1179"/>
      <w:bookmarkEnd w:id="1180"/>
    </w:p>
    <w:p w14:paraId="371A09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任何一方应当在下列情形发生时尽快书面通知另一方：</w:t>
      </w:r>
    </w:p>
    <w:p w14:paraId="51CDDC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该情形可能对合同的履行或实现合同目的产生不利影响；</w:t>
      </w:r>
    </w:p>
    <w:p w14:paraId="54D9E0B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该情形可能对工程完成后的使用产生不利影响；</w:t>
      </w:r>
    </w:p>
    <w:p w14:paraId="7FBB5C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该情形可能导致合同价款增加；</w:t>
      </w:r>
    </w:p>
    <w:p w14:paraId="20AAB6B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该情形可能导致整个工程或单位/区段工程的工期延长。</w:t>
      </w:r>
    </w:p>
    <w:p w14:paraId="19D0647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发包人有权要求承包人根据第13.2款[承包人的合理化建议]的约定提交变更建议，采取措施尽量避免或最小化上述情形的发生或影响。</w:t>
      </w:r>
    </w:p>
    <w:p w14:paraId="417C642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181" w:name="_Toc4784156"/>
      <w:bookmarkEnd w:id="1181"/>
      <w:bookmarkStart w:id="1182" w:name="_Toc4784172"/>
      <w:bookmarkEnd w:id="1182"/>
      <w:bookmarkStart w:id="1183" w:name="_Toc4784155"/>
      <w:bookmarkEnd w:id="1183"/>
      <w:bookmarkStart w:id="1184" w:name="_Toc4784154"/>
      <w:bookmarkEnd w:id="1184"/>
      <w:bookmarkStart w:id="1185" w:name="_Toc4784167"/>
      <w:bookmarkEnd w:id="1185"/>
      <w:bookmarkStart w:id="1186" w:name="_Toc4784170"/>
      <w:bookmarkEnd w:id="1186"/>
      <w:bookmarkStart w:id="1187" w:name="_Toc4784161"/>
      <w:bookmarkEnd w:id="1187"/>
      <w:bookmarkStart w:id="1188" w:name="_Toc4784169"/>
      <w:bookmarkEnd w:id="1188"/>
      <w:bookmarkStart w:id="1189" w:name="_Toc4784157"/>
      <w:bookmarkEnd w:id="1189"/>
      <w:bookmarkStart w:id="1190" w:name="_Toc4784163"/>
      <w:bookmarkEnd w:id="1190"/>
      <w:bookmarkStart w:id="1191" w:name="_Toc4784168"/>
      <w:bookmarkEnd w:id="1191"/>
      <w:bookmarkStart w:id="1192" w:name="_Toc4784158"/>
      <w:bookmarkEnd w:id="1192"/>
      <w:bookmarkStart w:id="1193" w:name="_Toc4784159"/>
      <w:bookmarkEnd w:id="1193"/>
      <w:bookmarkStart w:id="1194" w:name="_Toc4784174"/>
      <w:bookmarkEnd w:id="1194"/>
      <w:bookmarkStart w:id="1195" w:name="_Toc4784160"/>
      <w:bookmarkEnd w:id="1195"/>
      <w:bookmarkStart w:id="1196" w:name="_Toc4784165"/>
      <w:bookmarkEnd w:id="1196"/>
      <w:bookmarkStart w:id="1197" w:name="_Toc4784171"/>
      <w:bookmarkEnd w:id="1197"/>
      <w:bookmarkStart w:id="1198" w:name="_Toc4784164"/>
      <w:bookmarkEnd w:id="1198"/>
      <w:bookmarkStart w:id="1199" w:name="_Toc4784173"/>
      <w:bookmarkEnd w:id="1199"/>
      <w:bookmarkStart w:id="1200" w:name="_Toc4784162"/>
      <w:bookmarkEnd w:id="1200"/>
      <w:bookmarkStart w:id="1201" w:name="_Toc4784175"/>
      <w:bookmarkEnd w:id="1201"/>
      <w:bookmarkStart w:id="1202" w:name="_Toc4784166"/>
      <w:bookmarkEnd w:id="1202"/>
      <w:bookmarkStart w:id="1203" w:name="_Toc1436"/>
      <w:bookmarkStart w:id="1204" w:name="_Ref4770106"/>
      <w:bookmarkStart w:id="1205" w:name="_Toc54862254"/>
      <w:bookmarkStart w:id="1206" w:name="_Ref532362359"/>
      <w:bookmarkStart w:id="1207" w:name="_Ref532362356"/>
      <w:r>
        <w:rPr>
          <w:rFonts w:hint="eastAsia" w:ascii="宋体" w:hAnsi="宋体" w:eastAsia="宋体" w:cs="宋体"/>
          <w:b/>
          <w:bCs/>
          <w:color w:val="auto"/>
          <w:kern w:val="2"/>
          <w:sz w:val="21"/>
          <w:szCs w:val="21"/>
          <w:highlight w:val="none"/>
          <w:lang w:val="en-US" w:eastAsia="zh-CN" w:bidi="ar-SA"/>
        </w:rPr>
        <w:t>8.7 工期延误</w:t>
      </w:r>
      <w:bookmarkEnd w:id="1203"/>
      <w:bookmarkEnd w:id="1204"/>
      <w:bookmarkEnd w:id="1205"/>
    </w:p>
    <w:p w14:paraId="743F36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08" w:name="_Ref4796050"/>
      <w:r>
        <w:rPr>
          <w:rFonts w:hint="eastAsia" w:ascii="宋体" w:hAnsi="宋体" w:eastAsia="宋体" w:cs="宋体"/>
          <w:b w:val="0"/>
          <w:bCs w:val="0"/>
          <w:color w:val="auto"/>
          <w:kern w:val="2"/>
          <w:sz w:val="21"/>
          <w:szCs w:val="21"/>
          <w:highlight w:val="none"/>
          <w:lang w:val="en-US" w:eastAsia="zh-CN" w:bidi="ar-SA"/>
        </w:rPr>
        <w:t>8.7.1 因发包人原因导致工期延误</w:t>
      </w:r>
      <w:bookmarkEnd w:id="1208"/>
    </w:p>
    <w:p w14:paraId="743DAB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在合同履行过程中，因下列情况导致工期延误和（或）费用增加的，由发包人承担由此延误的工期和（或）增加的费用，且发包人应支付承包人合理的利润：</w:t>
      </w:r>
    </w:p>
    <w:p w14:paraId="771CDA8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根据第13条[变更与调整]的约定构成一项变更的；</w:t>
      </w:r>
    </w:p>
    <w:p w14:paraId="133C20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发包人违反本合同约定，导致工期延误和（或）费用增加的；</w:t>
      </w:r>
    </w:p>
    <w:p w14:paraId="3110979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发包人、发包人代表、工程师或发包人聘请的任意第三方造成或引起的任何延误、妨碍和阻碍；</w:t>
      </w:r>
    </w:p>
    <w:p w14:paraId="66582B1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发包人未能依据第6.2.1项[发包人提供的材料和工程设备]的约定提供材料和工程设备导致工期延误和（或）费用增加的；</w:t>
      </w:r>
    </w:p>
    <w:p w14:paraId="6B8320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因发包人原因导致的暂停施工；</w:t>
      </w:r>
    </w:p>
    <w:p w14:paraId="38EF067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发包人未及时履行相关合同义务，造成工期延误的其他原因。</w:t>
      </w:r>
    </w:p>
    <w:p w14:paraId="21D5A72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09" w:name="_Ref4770209"/>
      <w:r>
        <w:rPr>
          <w:rFonts w:hint="eastAsia" w:ascii="宋体" w:hAnsi="宋体" w:eastAsia="宋体" w:cs="宋体"/>
          <w:b w:val="0"/>
          <w:bCs w:val="0"/>
          <w:color w:val="auto"/>
          <w:kern w:val="2"/>
          <w:sz w:val="21"/>
          <w:szCs w:val="21"/>
          <w:highlight w:val="none"/>
          <w:lang w:val="en-US" w:eastAsia="zh-CN" w:bidi="ar-SA"/>
        </w:rPr>
        <w:t>8.7.2 因承包人原因导致工期延误</w:t>
      </w:r>
      <w:bookmarkEnd w:id="1209"/>
    </w:p>
    <w:p w14:paraId="45C4999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由于承包人的原因，未能按项目进度计划完成工作，承包人应采取措施加快进度，并承担加快进度所增加的费用。</w:t>
      </w:r>
    </w:p>
    <w:p w14:paraId="53156CE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6076CE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10" w:name="_Ref4770872"/>
      <w:r>
        <w:rPr>
          <w:rFonts w:hint="eastAsia" w:ascii="宋体" w:hAnsi="宋体" w:eastAsia="宋体" w:cs="宋体"/>
          <w:b w:val="0"/>
          <w:bCs w:val="0"/>
          <w:color w:val="auto"/>
          <w:kern w:val="2"/>
          <w:sz w:val="21"/>
          <w:szCs w:val="21"/>
          <w:highlight w:val="none"/>
          <w:lang w:val="en-US" w:eastAsia="zh-CN" w:bidi="ar-SA"/>
        </w:rPr>
        <w:t>8.7.3 行政审批迟延</w:t>
      </w:r>
      <w:bookmarkEnd w:id="1210"/>
      <w:r>
        <w:rPr>
          <w:rFonts w:hint="eastAsia" w:ascii="宋体" w:hAnsi="宋体" w:eastAsia="宋体" w:cs="宋体"/>
          <w:b w:val="0"/>
          <w:bCs w:val="0"/>
          <w:color w:val="auto"/>
          <w:kern w:val="2"/>
          <w:sz w:val="21"/>
          <w:szCs w:val="21"/>
          <w:highlight w:val="none"/>
          <w:lang w:val="en-US" w:eastAsia="zh-CN" w:bidi="ar-SA"/>
        </w:rPr>
        <w:t xml:space="preserve"> </w:t>
      </w:r>
    </w:p>
    <w:p w14:paraId="3C3442D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3C4011F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11" w:name="_Ref4770933"/>
      <w:r>
        <w:rPr>
          <w:rFonts w:hint="eastAsia" w:ascii="宋体" w:hAnsi="宋体" w:eastAsia="宋体" w:cs="宋体"/>
          <w:b w:val="0"/>
          <w:bCs w:val="0"/>
          <w:color w:val="auto"/>
          <w:kern w:val="2"/>
          <w:sz w:val="21"/>
          <w:szCs w:val="21"/>
          <w:highlight w:val="none"/>
          <w:lang w:val="en-US" w:eastAsia="zh-CN" w:bidi="ar-SA"/>
        </w:rPr>
        <w:t>8.7.4 异常恶劣的气候条件</w:t>
      </w:r>
      <w:bookmarkEnd w:id="1211"/>
    </w:p>
    <w:p w14:paraId="4E0BD75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47F96C2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49164B7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12" w:name="_Toc54862255"/>
      <w:bookmarkStart w:id="1213" w:name="_Toc426"/>
      <w:bookmarkStart w:id="1214" w:name="_Ref4781828"/>
      <w:r>
        <w:rPr>
          <w:rFonts w:hint="eastAsia" w:ascii="宋体" w:hAnsi="宋体" w:eastAsia="宋体" w:cs="宋体"/>
          <w:b/>
          <w:bCs/>
          <w:color w:val="auto"/>
          <w:kern w:val="2"/>
          <w:sz w:val="21"/>
          <w:szCs w:val="21"/>
          <w:highlight w:val="none"/>
          <w:lang w:val="en-US" w:eastAsia="zh-CN" w:bidi="ar-SA"/>
        </w:rPr>
        <w:t>8.8 工期提前</w:t>
      </w:r>
      <w:bookmarkEnd w:id="1206"/>
      <w:bookmarkEnd w:id="1207"/>
      <w:bookmarkEnd w:id="1212"/>
      <w:bookmarkEnd w:id="1213"/>
      <w:bookmarkEnd w:id="1214"/>
    </w:p>
    <w:p w14:paraId="45CA53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39CC196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15" w:name="_Ref4429347"/>
      <w:r>
        <w:rPr>
          <w:rFonts w:hint="eastAsia" w:ascii="宋体" w:hAnsi="宋体" w:eastAsia="宋体" w:cs="宋体"/>
          <w:b w:val="0"/>
          <w:bCs w:val="0"/>
          <w:color w:val="auto"/>
          <w:kern w:val="2"/>
          <w:sz w:val="21"/>
          <w:szCs w:val="21"/>
          <w:highlight w:val="none"/>
          <w:lang w:val="en-US" w:eastAsia="zh-CN" w:bidi="ar-SA"/>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1215"/>
    </w:p>
    <w:p w14:paraId="32E46A1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16" w:name="_Ref4615031"/>
      <w:bookmarkStart w:id="1217" w:name="_Toc19086"/>
      <w:bookmarkStart w:id="1218" w:name="_Ref4615040"/>
      <w:bookmarkStart w:id="1219" w:name="_Toc54862256"/>
      <w:r>
        <w:rPr>
          <w:rFonts w:hint="eastAsia" w:ascii="宋体" w:hAnsi="宋体" w:eastAsia="宋体" w:cs="宋体"/>
          <w:b/>
          <w:bCs/>
          <w:color w:val="auto"/>
          <w:kern w:val="2"/>
          <w:sz w:val="21"/>
          <w:szCs w:val="21"/>
          <w:highlight w:val="none"/>
          <w:lang w:val="en-US" w:eastAsia="zh-CN" w:bidi="ar-SA"/>
        </w:rPr>
        <w:t>8.9 暂停工作</w:t>
      </w:r>
      <w:bookmarkEnd w:id="1216"/>
      <w:bookmarkEnd w:id="1217"/>
      <w:bookmarkEnd w:id="1218"/>
      <w:bookmarkEnd w:id="1219"/>
      <w:r>
        <w:rPr>
          <w:rFonts w:hint="eastAsia" w:ascii="宋体" w:hAnsi="宋体" w:eastAsia="宋体" w:cs="宋体"/>
          <w:b/>
          <w:bCs/>
          <w:color w:val="auto"/>
          <w:kern w:val="2"/>
          <w:sz w:val="21"/>
          <w:szCs w:val="21"/>
          <w:highlight w:val="none"/>
          <w:lang w:val="en-US" w:eastAsia="zh-CN" w:bidi="ar-SA"/>
        </w:rPr>
        <w:t xml:space="preserve"> </w:t>
      </w:r>
    </w:p>
    <w:p w14:paraId="6CAABDC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20" w:name="_Ref4709151"/>
      <w:r>
        <w:rPr>
          <w:rFonts w:hint="eastAsia" w:ascii="宋体" w:hAnsi="宋体" w:eastAsia="宋体" w:cs="宋体"/>
          <w:b w:val="0"/>
          <w:bCs w:val="0"/>
          <w:color w:val="auto"/>
          <w:kern w:val="2"/>
          <w:sz w:val="21"/>
          <w:szCs w:val="21"/>
          <w:highlight w:val="none"/>
          <w:lang w:val="en-US" w:eastAsia="zh-CN" w:bidi="ar-SA"/>
        </w:rPr>
        <w:t>8.9.1 由发包人暂停工作</w:t>
      </w:r>
      <w:bookmarkEnd w:id="1220"/>
    </w:p>
    <w:p w14:paraId="5456E6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发包人认为必要时，可通过工程师向承包人发出经发包人签认的暂停工作通知，应列明暂停原因、暂停的日期及预计暂停的期限。承包人应按该通知暂停工作。</w:t>
      </w:r>
      <w:bookmarkStart w:id="1221" w:name="_Ref4709233"/>
    </w:p>
    <w:p w14:paraId="767B65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承包人因执行暂停工作通知而造成费用的增加和（或）工期延误由发包人承担，并有权要求发包人支付合理利润，但</w:t>
      </w:r>
      <w:bookmarkEnd w:id="1221"/>
      <w:r>
        <w:rPr>
          <w:rFonts w:hint="eastAsia" w:ascii="宋体" w:hAnsi="宋体" w:eastAsia="宋体" w:cs="宋体"/>
          <w:b w:val="0"/>
          <w:bCs w:val="0"/>
          <w:color w:val="auto"/>
          <w:kern w:val="2"/>
          <w:sz w:val="21"/>
          <w:szCs w:val="21"/>
          <w:highlight w:val="none"/>
          <w:lang w:val="en-US" w:eastAsia="zh-CN" w:bidi="ar-SA"/>
        </w:rPr>
        <w:t>由于承包人原因造成发包人暂停工作的除外。</w:t>
      </w:r>
    </w:p>
    <w:p w14:paraId="0D71F4A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22" w:name="_Ref18972173"/>
      <w:r>
        <w:rPr>
          <w:rFonts w:hint="eastAsia" w:ascii="宋体" w:hAnsi="宋体" w:eastAsia="宋体" w:cs="宋体"/>
          <w:b w:val="0"/>
          <w:bCs w:val="0"/>
          <w:color w:val="auto"/>
          <w:kern w:val="2"/>
          <w:sz w:val="21"/>
          <w:szCs w:val="21"/>
          <w:highlight w:val="none"/>
          <w:lang w:val="en-US" w:eastAsia="zh-CN" w:bidi="ar-SA"/>
        </w:rPr>
        <w:t>8.9.2 由承包人暂停工作</w:t>
      </w:r>
      <w:bookmarkEnd w:id="1222"/>
      <w:r>
        <w:rPr>
          <w:rFonts w:hint="eastAsia" w:ascii="宋体" w:hAnsi="宋体" w:eastAsia="宋体" w:cs="宋体"/>
          <w:b w:val="0"/>
          <w:bCs w:val="0"/>
          <w:color w:val="auto"/>
          <w:kern w:val="2"/>
          <w:sz w:val="21"/>
          <w:szCs w:val="21"/>
          <w:highlight w:val="none"/>
          <w:lang w:val="en-US" w:eastAsia="zh-CN" w:bidi="ar-SA"/>
        </w:rPr>
        <w:t xml:space="preserve"> </w:t>
      </w:r>
    </w:p>
    <w:p w14:paraId="68372D8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07BA87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1A1D40F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23" w:name="_Ref4709224"/>
      <w:r>
        <w:rPr>
          <w:rFonts w:hint="eastAsia" w:ascii="宋体" w:hAnsi="宋体" w:eastAsia="宋体" w:cs="宋体"/>
          <w:b w:val="0"/>
          <w:bCs w:val="0"/>
          <w:color w:val="auto"/>
          <w:kern w:val="2"/>
          <w:sz w:val="21"/>
          <w:szCs w:val="21"/>
          <w:highlight w:val="none"/>
          <w:lang w:val="en-US" w:eastAsia="zh-CN" w:bidi="ar-SA"/>
        </w:rPr>
        <w:t>（1） 发包人拖延、拒绝批准付款申请和支付证书，或未能按合同约定支付价款，导致付款延误的；</w:t>
      </w:r>
      <w:bookmarkEnd w:id="1223"/>
    </w:p>
    <w:p w14:paraId="4F312F7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发包人未按约定履行合同其他义务导致承包人无法继续履行合同的，或者发包人明确表示暂停或实质上已暂停履行合同的。</w:t>
      </w:r>
    </w:p>
    <w:p w14:paraId="74503A0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8.9.3 除上述原因以外的暂停工作，双方应遵守第17条[不可抗力]的相关约定。</w:t>
      </w:r>
    </w:p>
    <w:p w14:paraId="2ED29D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24" w:name="_Ref4709158"/>
      <w:r>
        <w:rPr>
          <w:rFonts w:hint="eastAsia" w:ascii="宋体" w:hAnsi="宋体" w:eastAsia="宋体" w:cs="宋体"/>
          <w:b w:val="0"/>
          <w:bCs w:val="0"/>
          <w:color w:val="auto"/>
          <w:kern w:val="2"/>
          <w:sz w:val="21"/>
          <w:szCs w:val="21"/>
          <w:highlight w:val="none"/>
          <w:lang w:val="en-US" w:eastAsia="zh-CN" w:bidi="ar-SA"/>
        </w:rPr>
        <w:t>8.9.4 暂停工作期间的工程照管</w:t>
      </w:r>
      <w:bookmarkEnd w:id="1224"/>
      <w:r>
        <w:rPr>
          <w:rFonts w:hint="eastAsia" w:ascii="宋体" w:hAnsi="宋体" w:eastAsia="宋体" w:cs="宋体"/>
          <w:b w:val="0"/>
          <w:bCs w:val="0"/>
          <w:color w:val="auto"/>
          <w:kern w:val="2"/>
          <w:sz w:val="21"/>
          <w:szCs w:val="21"/>
          <w:highlight w:val="none"/>
          <w:lang w:val="en-US" w:eastAsia="zh-CN" w:bidi="ar-SA"/>
        </w:rPr>
        <w:t xml:space="preserve"> </w:t>
      </w:r>
    </w:p>
    <w:p w14:paraId="7507B18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6AF63F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因承包人未能尽到照管、保护的责任造成损失的，使发包人的费用增加，（或）竣工日期延误的，由承包人按本合同约定承担责任。</w:t>
      </w:r>
    </w:p>
    <w:p w14:paraId="7328943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8.9.5 拖长的暂停</w:t>
      </w:r>
    </w:p>
    <w:p w14:paraId="41F22FF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0EDFF80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25" w:name="_Toc54862257"/>
      <w:bookmarkStart w:id="1226" w:name="_Toc746"/>
      <w:r>
        <w:rPr>
          <w:rFonts w:hint="eastAsia" w:ascii="宋体" w:hAnsi="宋体" w:eastAsia="宋体" w:cs="宋体"/>
          <w:b/>
          <w:bCs/>
          <w:color w:val="auto"/>
          <w:kern w:val="2"/>
          <w:sz w:val="21"/>
          <w:szCs w:val="21"/>
          <w:highlight w:val="none"/>
          <w:lang w:val="en-US" w:eastAsia="zh-CN" w:bidi="ar-SA"/>
        </w:rPr>
        <w:t>8.10 复工</w:t>
      </w:r>
      <w:bookmarkEnd w:id="1225"/>
      <w:bookmarkEnd w:id="1226"/>
      <w:r>
        <w:rPr>
          <w:rFonts w:hint="eastAsia" w:ascii="宋体" w:hAnsi="宋体" w:eastAsia="宋体" w:cs="宋体"/>
          <w:b/>
          <w:bCs/>
          <w:color w:val="auto"/>
          <w:kern w:val="2"/>
          <w:sz w:val="21"/>
          <w:szCs w:val="21"/>
          <w:highlight w:val="none"/>
          <w:lang w:val="en-US" w:eastAsia="zh-CN" w:bidi="ar-SA"/>
        </w:rPr>
        <w:t xml:space="preserve"> </w:t>
      </w:r>
    </w:p>
    <w:p w14:paraId="67DEAE7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8.10.1 收到发包人的复工通知后，承包人应按通知时间复工；发包人通知的复工时间应当给予承包人必要的准备复工时间。</w:t>
      </w:r>
    </w:p>
    <w:p w14:paraId="3C97690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8.10.2 不论由于何种原因引起暂停工作，双方均可要求对方一同对受暂停影响的工程、工程设备和工程物资进行检查，承包人应将检查结果及需要恢复、修复的内容和估算通知发包人。</w:t>
      </w:r>
    </w:p>
    <w:p w14:paraId="0B06A9A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8.10.3 除第17条[不可抗力]另有约定外，发生的恢复、修复价款及工期延误的后果由责任方承担。</w:t>
      </w:r>
    </w:p>
    <w:p w14:paraId="05CDCDA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27" w:name="_Toc54862258"/>
      <w:bookmarkStart w:id="1228" w:name="_Ref4621029"/>
      <w:bookmarkStart w:id="1229" w:name="_Toc554"/>
      <w:bookmarkStart w:id="1230" w:name="_Ref4621041"/>
      <w:r>
        <w:rPr>
          <w:rFonts w:hint="eastAsia" w:ascii="宋体" w:hAnsi="宋体" w:eastAsia="宋体" w:cs="宋体"/>
          <w:b/>
          <w:bCs/>
          <w:color w:val="auto"/>
          <w:kern w:val="2"/>
          <w:sz w:val="21"/>
          <w:szCs w:val="21"/>
          <w:highlight w:val="none"/>
          <w:lang w:val="en-US" w:eastAsia="zh-CN" w:bidi="ar-SA"/>
        </w:rPr>
        <w:t>第9条 竣工试验</w:t>
      </w:r>
      <w:bookmarkEnd w:id="1145"/>
      <w:bookmarkEnd w:id="1227"/>
      <w:bookmarkEnd w:id="1228"/>
      <w:bookmarkEnd w:id="1229"/>
      <w:bookmarkEnd w:id="1230"/>
      <w:r>
        <w:rPr>
          <w:rFonts w:hint="eastAsia" w:ascii="宋体" w:hAnsi="宋体" w:eastAsia="宋体" w:cs="宋体"/>
          <w:b/>
          <w:bCs/>
          <w:color w:val="auto"/>
          <w:kern w:val="2"/>
          <w:sz w:val="21"/>
          <w:szCs w:val="21"/>
          <w:highlight w:val="none"/>
          <w:lang w:val="en-US" w:eastAsia="zh-CN" w:bidi="ar-SA"/>
        </w:rPr>
        <w:t xml:space="preserve"> </w:t>
      </w:r>
    </w:p>
    <w:p w14:paraId="6C696E0A">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bookmarkStart w:id="1231" w:name="_Ref532586248"/>
      <w:bookmarkStart w:id="1232" w:name="_Toc54862259"/>
      <w:bookmarkStart w:id="1233" w:name="_Ref532586251"/>
      <w:bookmarkStart w:id="1234" w:name="_Toc10017"/>
      <w:r>
        <w:rPr>
          <w:rFonts w:hint="eastAsia" w:ascii="宋体" w:hAnsi="宋体" w:eastAsia="宋体" w:cs="宋体"/>
          <w:b/>
          <w:bCs/>
          <w:color w:val="auto"/>
          <w:kern w:val="2"/>
          <w:sz w:val="21"/>
          <w:szCs w:val="21"/>
          <w:highlight w:val="none"/>
          <w:lang w:val="en-US" w:eastAsia="zh-CN" w:bidi="ar-SA"/>
        </w:rPr>
        <w:t>9.1 竣工试验的义务</w:t>
      </w:r>
      <w:bookmarkEnd w:id="1231"/>
      <w:bookmarkEnd w:id="1232"/>
      <w:bookmarkEnd w:id="1233"/>
      <w:bookmarkEnd w:id="1234"/>
    </w:p>
    <w:p w14:paraId="1B67561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9.1.1 承包人完成工程或区段工程进行竣工试验所需的作业，并根据第5.4款[竣工文件]和第5.5款[操作和维修手册]提交文件后，进行竣工试验。</w:t>
      </w:r>
      <w:bookmarkStart w:id="1235" w:name="_Ref532586608"/>
    </w:p>
    <w:p w14:paraId="5FF7516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36" w:name="_Ref11919920"/>
      <w:r>
        <w:rPr>
          <w:rFonts w:hint="eastAsia" w:ascii="宋体" w:hAnsi="宋体" w:eastAsia="宋体" w:cs="宋体"/>
          <w:b w:val="0"/>
          <w:bCs w:val="0"/>
          <w:color w:val="auto"/>
          <w:kern w:val="2"/>
          <w:sz w:val="21"/>
          <w:szCs w:val="21"/>
          <w:highlight w:val="none"/>
          <w:lang w:val="en-US" w:eastAsia="zh-CN" w:bidi="ar-SA"/>
        </w:rPr>
        <w:t>9.1.2 承包人应在进行竣工试验之前，至少提前42天向工程师提交详细的竣工试验计划，该计划应载明竣工试验的内容、地点、拟开展时间和需要发包人提供的资源条件。</w:t>
      </w:r>
      <w:bookmarkEnd w:id="1235"/>
      <w:r>
        <w:rPr>
          <w:rFonts w:hint="eastAsia" w:ascii="宋体" w:hAnsi="宋体" w:eastAsia="宋体" w:cs="宋体"/>
          <w:b w:val="0"/>
          <w:bCs w:val="0"/>
          <w:color w:val="auto"/>
          <w:kern w:val="2"/>
          <w:sz w:val="21"/>
          <w:szCs w:val="21"/>
          <w:highlight w:val="none"/>
          <w:lang w:val="en-US" w:eastAsia="zh-CN" w:bidi="ar-SA"/>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236"/>
    </w:p>
    <w:p w14:paraId="4CBE284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37" w:name="_Ref532688147"/>
      <w:r>
        <w:rPr>
          <w:rFonts w:hint="eastAsia" w:ascii="宋体" w:hAnsi="宋体" w:eastAsia="宋体" w:cs="宋体"/>
          <w:b w:val="0"/>
          <w:bCs w:val="0"/>
          <w:color w:val="auto"/>
          <w:kern w:val="2"/>
          <w:sz w:val="21"/>
          <w:szCs w:val="21"/>
          <w:highlight w:val="none"/>
          <w:lang w:val="en-US" w:eastAsia="zh-CN" w:bidi="ar-SA"/>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1237"/>
    </w:p>
    <w:p w14:paraId="483959D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承包人进行启动前试验，包括适当的检查和功能性试验，以证明工程或区段工程的每一部分均能够安全地承受下一阶段试验；</w:t>
      </w:r>
    </w:p>
    <w:p w14:paraId="0FA3B7E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承包人进行启动试验，以证明工程或区段工程能够在所有可利用的操作条件下安全运行，并按照专用合同条件和《发包人要求》中的规定操作；</w:t>
      </w:r>
    </w:p>
    <w:p w14:paraId="16E7E3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承包人进行试运行试验。当工程或区段工程能稳定安全运行时，承包人应通知工程师，可以进行其他竣工试验，包括各种性能测试，以证明工程或区段工程符合《发包人要求》中列明的性能保证指标。</w:t>
      </w:r>
    </w:p>
    <w:p w14:paraId="1E4260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进行上述试验不应构成第10条[验收和工程接收]规定的接收，但试验所产生的任何产品或其他收益均应归属于发包人。</w:t>
      </w:r>
    </w:p>
    <w:p w14:paraId="15352F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0212447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38" w:name="_Toc15625"/>
      <w:bookmarkStart w:id="1239" w:name="_Toc54862260"/>
      <w:r>
        <w:rPr>
          <w:rFonts w:hint="eastAsia" w:ascii="宋体" w:hAnsi="宋体" w:eastAsia="宋体" w:cs="宋体"/>
          <w:b/>
          <w:bCs/>
          <w:color w:val="auto"/>
          <w:kern w:val="2"/>
          <w:sz w:val="21"/>
          <w:szCs w:val="21"/>
          <w:highlight w:val="none"/>
          <w:lang w:val="en-US" w:eastAsia="zh-CN" w:bidi="ar-SA"/>
        </w:rPr>
        <w:t>9.2 延误的试验</w:t>
      </w:r>
      <w:bookmarkEnd w:id="1238"/>
      <w:bookmarkEnd w:id="1239"/>
    </w:p>
    <w:p w14:paraId="246E403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677065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9.2.2 承包人无正当理由延误进行竣工试验的，工程师可向其发出通知，要求其在收到通知后的21天内进行该项竣工试验。承包人应在该21天的期限内确定进行试验的日期，并至少提前7天通知工程师。</w:t>
      </w:r>
    </w:p>
    <w:p w14:paraId="5DDDE9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9.2.3 如果承包人未在该期限内进行竣工试验，则发包人有权自行组织该项竣工试验，由此产生的合理费用由承包人承担。发包人应在试验完成后28天内向承包人发送试验结果。</w:t>
      </w:r>
    </w:p>
    <w:p w14:paraId="6C48BE0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40" w:name="_Toc54862261"/>
      <w:bookmarkStart w:id="1241" w:name="_Ref532594592"/>
      <w:bookmarkStart w:id="1242" w:name="_Ref532594588"/>
      <w:bookmarkStart w:id="1243" w:name="_Toc26139"/>
      <w:r>
        <w:rPr>
          <w:rFonts w:hint="eastAsia" w:ascii="宋体" w:hAnsi="宋体" w:eastAsia="宋体" w:cs="宋体"/>
          <w:b/>
          <w:bCs/>
          <w:color w:val="auto"/>
          <w:kern w:val="2"/>
          <w:sz w:val="21"/>
          <w:szCs w:val="21"/>
          <w:highlight w:val="none"/>
          <w:lang w:val="en-US" w:eastAsia="zh-CN" w:bidi="ar-SA"/>
        </w:rPr>
        <w:t>9.3 重新试验</w:t>
      </w:r>
      <w:bookmarkEnd w:id="1240"/>
      <w:bookmarkEnd w:id="1241"/>
      <w:bookmarkEnd w:id="1242"/>
      <w:bookmarkEnd w:id="1243"/>
      <w:r>
        <w:rPr>
          <w:rFonts w:hint="eastAsia" w:ascii="宋体" w:hAnsi="宋体" w:eastAsia="宋体" w:cs="宋体"/>
          <w:b/>
          <w:bCs/>
          <w:color w:val="auto"/>
          <w:kern w:val="2"/>
          <w:sz w:val="21"/>
          <w:szCs w:val="21"/>
          <w:highlight w:val="none"/>
          <w:lang w:val="en-US" w:eastAsia="zh-CN" w:bidi="ar-SA"/>
        </w:rPr>
        <w:t xml:space="preserve"> </w:t>
      </w:r>
    </w:p>
    <w:p w14:paraId="6A8B0B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75F8C1C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44" w:name="_Ref532688226"/>
      <w:bookmarkStart w:id="1245" w:name="_Toc32502"/>
      <w:bookmarkStart w:id="1246" w:name="_Toc54862262"/>
      <w:bookmarkStart w:id="1247" w:name="_Ref532688221"/>
      <w:r>
        <w:rPr>
          <w:rFonts w:hint="eastAsia" w:ascii="宋体" w:hAnsi="宋体" w:eastAsia="宋体" w:cs="宋体"/>
          <w:b/>
          <w:bCs/>
          <w:color w:val="auto"/>
          <w:kern w:val="2"/>
          <w:sz w:val="21"/>
          <w:szCs w:val="21"/>
          <w:highlight w:val="none"/>
          <w:lang w:val="en-US" w:eastAsia="zh-CN" w:bidi="ar-SA"/>
        </w:rPr>
        <w:t>9.4 未能通过竣工试验</w:t>
      </w:r>
      <w:bookmarkEnd w:id="1244"/>
      <w:bookmarkEnd w:id="1245"/>
      <w:bookmarkEnd w:id="1246"/>
      <w:bookmarkEnd w:id="1247"/>
    </w:p>
    <w:p w14:paraId="7D95B0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9.4.1 因发包人原因导致竣工试验未能通过的，承包人进行竣工试验的费用由发包人承担，竣工日期相应顺延。</w:t>
      </w:r>
    </w:p>
    <w:p w14:paraId="7A163EC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9.4.2 如果工程或区段工程未能通过根据第9.3款[重新试验]重新进行的竣工试验的，则：</w:t>
      </w:r>
    </w:p>
    <w:p w14:paraId="017721B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发包人有权要求承包人根据第6.6款[缺陷和修补]继续进行修补和改正，并根据第9.3款[重新试验]再次进行竣工试验；</w:t>
      </w:r>
    </w:p>
    <w:p w14:paraId="4877A0F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387FEC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48" w:name="_Ref4621461"/>
      <w:r>
        <w:rPr>
          <w:rFonts w:hint="eastAsia" w:ascii="宋体" w:hAnsi="宋体" w:eastAsia="宋体" w:cs="宋体"/>
          <w:b w:val="0"/>
          <w:bCs w:val="0"/>
          <w:color w:val="auto"/>
          <w:kern w:val="2"/>
          <w:sz w:val="21"/>
          <w:szCs w:val="21"/>
          <w:highlight w:val="none"/>
          <w:lang w:val="en-US" w:eastAsia="zh-CN" w:bidi="ar-SA"/>
        </w:rPr>
        <w:t>（3） 未能通过竣工试验，使工程或区段工程的任何主要部分丧失了生产、使用功能时，发包人有权指令承包人更换相关部分，承包人应承担因此增加的费用和误期损害赔偿责任，并赔偿发包人的相应损失</w:t>
      </w:r>
      <w:bookmarkEnd w:id="1248"/>
      <w:r>
        <w:rPr>
          <w:rFonts w:hint="eastAsia" w:ascii="宋体" w:hAnsi="宋体" w:eastAsia="宋体" w:cs="宋体"/>
          <w:b w:val="0"/>
          <w:bCs w:val="0"/>
          <w:color w:val="auto"/>
          <w:kern w:val="2"/>
          <w:sz w:val="21"/>
          <w:szCs w:val="21"/>
          <w:highlight w:val="none"/>
          <w:lang w:val="en-US" w:eastAsia="zh-CN" w:bidi="ar-SA"/>
        </w:rPr>
        <w:t>；</w:t>
      </w:r>
    </w:p>
    <w:p w14:paraId="782736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475BA0C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49" w:name="_Ref4618338"/>
      <w:bookmarkStart w:id="1250" w:name="_Ref4624043"/>
      <w:bookmarkStart w:id="1251" w:name="_Toc54862263"/>
      <w:bookmarkStart w:id="1252" w:name="_Toc15075"/>
      <w:bookmarkStart w:id="1253" w:name="_Ref4618348"/>
      <w:r>
        <w:rPr>
          <w:rFonts w:hint="eastAsia" w:ascii="宋体" w:hAnsi="宋体" w:eastAsia="宋体" w:cs="宋体"/>
          <w:b/>
          <w:bCs/>
          <w:color w:val="auto"/>
          <w:kern w:val="2"/>
          <w:sz w:val="21"/>
          <w:szCs w:val="21"/>
          <w:highlight w:val="none"/>
          <w:lang w:val="en-US" w:eastAsia="zh-CN" w:bidi="ar-SA"/>
        </w:rPr>
        <w:t>第10条 验收和工程接收</w:t>
      </w:r>
      <w:bookmarkEnd w:id="1249"/>
      <w:bookmarkEnd w:id="1250"/>
      <w:bookmarkEnd w:id="1251"/>
      <w:bookmarkEnd w:id="1252"/>
      <w:bookmarkEnd w:id="1253"/>
    </w:p>
    <w:p w14:paraId="002E863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54" w:name="_Toc54862264"/>
      <w:bookmarkStart w:id="1255" w:name="_Ref532300801"/>
      <w:bookmarkStart w:id="1256" w:name="_Ref532300804"/>
      <w:bookmarkStart w:id="1257" w:name="_Ref532359143"/>
      <w:bookmarkStart w:id="1258" w:name="_Ref532359152"/>
      <w:bookmarkStart w:id="1259" w:name="_Ref532301199"/>
      <w:bookmarkStart w:id="1260" w:name="_Ref532301202"/>
      <w:bookmarkStart w:id="1261" w:name="_Toc27539"/>
      <w:r>
        <w:rPr>
          <w:rFonts w:hint="eastAsia" w:ascii="宋体" w:hAnsi="宋体" w:eastAsia="宋体" w:cs="宋体"/>
          <w:b/>
          <w:bCs/>
          <w:color w:val="auto"/>
          <w:kern w:val="2"/>
          <w:sz w:val="21"/>
          <w:szCs w:val="21"/>
          <w:highlight w:val="none"/>
          <w:lang w:val="en-US" w:eastAsia="zh-CN" w:bidi="ar-SA"/>
        </w:rPr>
        <w:t>10.1 竣工验收</w:t>
      </w:r>
      <w:bookmarkEnd w:id="1254"/>
      <w:bookmarkEnd w:id="1255"/>
      <w:bookmarkEnd w:id="1256"/>
      <w:bookmarkEnd w:id="1257"/>
      <w:bookmarkEnd w:id="1258"/>
      <w:bookmarkEnd w:id="1259"/>
      <w:bookmarkEnd w:id="1260"/>
      <w:bookmarkEnd w:id="1261"/>
    </w:p>
    <w:p w14:paraId="042DB22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62" w:name="_Ref532628356"/>
      <w:r>
        <w:rPr>
          <w:rFonts w:hint="eastAsia" w:ascii="宋体" w:hAnsi="宋体" w:eastAsia="宋体" w:cs="宋体"/>
          <w:b w:val="0"/>
          <w:bCs w:val="0"/>
          <w:color w:val="auto"/>
          <w:kern w:val="2"/>
          <w:sz w:val="21"/>
          <w:szCs w:val="21"/>
          <w:highlight w:val="none"/>
          <w:lang w:val="en-US" w:eastAsia="zh-CN" w:bidi="ar-SA"/>
        </w:rPr>
        <w:t>10.1.1 竣工验收条件</w:t>
      </w:r>
    </w:p>
    <w:p w14:paraId="73AD22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工程具备以下条件的，承包人可以申请竣工验收：</w:t>
      </w:r>
    </w:p>
    <w:p w14:paraId="6083893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740EAFB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已按合同约定编制了扫尾工作和缺陷修补工作清单以及相应实施计划；</w:t>
      </w:r>
    </w:p>
    <w:p w14:paraId="7D25AB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已按合同约定的内容和份数备齐竣工资料；</w:t>
      </w:r>
    </w:p>
    <w:p w14:paraId="4A9EB9E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合同约定要求在竣工验收前应完成的其他工作。</w:t>
      </w:r>
    </w:p>
    <w:bookmarkEnd w:id="1262"/>
    <w:p w14:paraId="0E18051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63" w:name="_Ref4429424"/>
      <w:bookmarkStart w:id="1264" w:name="_Hlk51506601"/>
      <w:r>
        <w:rPr>
          <w:rFonts w:hint="eastAsia" w:ascii="宋体" w:hAnsi="宋体" w:eastAsia="宋体" w:cs="宋体"/>
          <w:b w:val="0"/>
          <w:bCs w:val="0"/>
          <w:color w:val="auto"/>
          <w:kern w:val="2"/>
          <w:sz w:val="21"/>
          <w:szCs w:val="21"/>
          <w:highlight w:val="none"/>
          <w:lang w:val="en-US" w:eastAsia="zh-CN" w:bidi="ar-SA"/>
        </w:rPr>
        <w:t>10.1.2 竣工验收程序</w:t>
      </w:r>
      <w:bookmarkEnd w:id="1263"/>
    </w:p>
    <w:bookmarkEnd w:id="1264"/>
    <w:p w14:paraId="357431D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除专用合同条件另有约定外，承包人申请竣工验收的，应当按照以下程序进行：</w:t>
      </w:r>
    </w:p>
    <w:p w14:paraId="0C1BA34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7610B3F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1852F1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1CD96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65" w:name="_Hlk51506640"/>
      <w:r>
        <w:rPr>
          <w:rFonts w:hint="eastAsia" w:ascii="宋体" w:hAnsi="宋体" w:eastAsia="宋体" w:cs="宋体"/>
          <w:b w:val="0"/>
          <w:bCs w:val="0"/>
          <w:color w:val="auto"/>
          <w:kern w:val="2"/>
          <w:sz w:val="21"/>
          <w:szCs w:val="21"/>
          <w:highlight w:val="none"/>
          <w:lang w:val="en-US" w:eastAsia="zh-CN" w:bidi="ar-SA"/>
        </w:rPr>
        <w:t>（4） 因发包人原因，未在工程师收到承包人竣工验收申请报告之日起42天内完成竣工验收的，以承包人提交竣工验收申请报告之日作为工程实际竣工日期。</w:t>
      </w:r>
    </w:p>
    <w:bookmarkEnd w:id="1265"/>
    <w:p w14:paraId="42E5C5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工程未经竣工验收，发包人擅自使用的，以转移占有工程之日为实际竣工日期。</w:t>
      </w:r>
    </w:p>
    <w:p w14:paraId="3B640C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除专用合同条件另有约定外，发包人不按照本项和第10.4款[接收证书]约定组织竣工验收、颁发工程接收证书的，每逾期一天，应以签约合同价为基数，按照贷款市场报价利率（LPR）支付违约金。</w:t>
      </w:r>
    </w:p>
    <w:p w14:paraId="6485580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66" w:name="_Ref532301213"/>
      <w:bookmarkStart w:id="1267" w:name="_Toc1097"/>
      <w:bookmarkStart w:id="1268" w:name="_Toc54862265"/>
      <w:bookmarkStart w:id="1269" w:name="_Ref532301210"/>
      <w:r>
        <w:rPr>
          <w:rFonts w:hint="eastAsia" w:ascii="宋体" w:hAnsi="宋体" w:eastAsia="宋体" w:cs="宋体"/>
          <w:b/>
          <w:bCs/>
          <w:color w:val="auto"/>
          <w:kern w:val="2"/>
          <w:sz w:val="21"/>
          <w:szCs w:val="21"/>
          <w:highlight w:val="none"/>
          <w:lang w:val="en-US" w:eastAsia="zh-CN" w:bidi="ar-SA"/>
        </w:rPr>
        <w:t>10.2 单位/区段工程的验收</w:t>
      </w:r>
      <w:bookmarkEnd w:id="1266"/>
      <w:bookmarkEnd w:id="1267"/>
      <w:bookmarkEnd w:id="1268"/>
      <w:bookmarkEnd w:id="1269"/>
    </w:p>
    <w:p w14:paraId="36BE8AA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48AAA7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10.2.2 发包人在全部工程竣工前，使用已接收的单位/区段工程导致承包人费用增加的，发包人应承担由此增加的费用和（或）工期延误，并支付承包人合理利润。</w:t>
      </w:r>
    </w:p>
    <w:p w14:paraId="547B5CF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70" w:name="_Toc54862266"/>
      <w:bookmarkStart w:id="1271" w:name="_Toc28994"/>
      <w:bookmarkStart w:id="1272" w:name="_Ref4429473"/>
      <w:bookmarkStart w:id="1273" w:name="_Ref532688351"/>
      <w:bookmarkStart w:id="1274" w:name="_Ref532688354"/>
      <w:r>
        <w:rPr>
          <w:rFonts w:hint="eastAsia" w:ascii="宋体" w:hAnsi="宋体" w:eastAsia="宋体" w:cs="宋体"/>
          <w:b/>
          <w:bCs/>
          <w:color w:val="auto"/>
          <w:kern w:val="2"/>
          <w:sz w:val="21"/>
          <w:szCs w:val="21"/>
          <w:highlight w:val="none"/>
          <w:lang w:val="en-US" w:eastAsia="zh-CN" w:bidi="ar-SA"/>
        </w:rPr>
        <w:t>10.3 工程的接收</w:t>
      </w:r>
      <w:bookmarkEnd w:id="1270"/>
      <w:bookmarkEnd w:id="1271"/>
    </w:p>
    <w:p w14:paraId="30A902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10.3.1 根据工程项目的具体情况和特点，可按工程或单位/区段工程进行接收，并在专用合同条件约定接收的先后顺序、时间安排和其他要求。</w:t>
      </w:r>
    </w:p>
    <w:p w14:paraId="43EEE95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10.3.2 除按本条约定已经提交的资料外，接收工程时承包人需提交竣工验收资料的类别、内容、份数和提交时间，在专用合同条件中约定。</w:t>
      </w:r>
    </w:p>
    <w:p w14:paraId="18FB6DE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603CA21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10.3.4 承包人无正当理由不移交工程的，承包人应承担工程照管、成品保护、保管等与工程有关的各项费用，合同当事人可以在专用合同条件中另行约定承包人无正当理由不移交工程的违约责任。</w:t>
      </w:r>
    </w:p>
    <w:p w14:paraId="156968B4">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bookmarkStart w:id="1275" w:name="_Toc7863"/>
      <w:bookmarkStart w:id="1276" w:name="_Toc54862267"/>
      <w:r>
        <w:rPr>
          <w:rFonts w:hint="eastAsia" w:ascii="宋体" w:hAnsi="宋体" w:eastAsia="宋体" w:cs="宋体"/>
          <w:b w:val="0"/>
          <w:bCs w:val="0"/>
          <w:color w:val="auto"/>
          <w:kern w:val="2"/>
          <w:sz w:val="21"/>
          <w:szCs w:val="21"/>
          <w:highlight w:val="none"/>
          <w:lang w:val="en-US" w:eastAsia="zh-CN" w:bidi="ar-SA"/>
        </w:rPr>
        <w:t>10.4 接收证书</w:t>
      </w:r>
      <w:bookmarkEnd w:id="1272"/>
      <w:bookmarkEnd w:id="1275"/>
      <w:bookmarkEnd w:id="1276"/>
    </w:p>
    <w:p w14:paraId="76CCF83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77" w:name="_Ref4429542"/>
      <w:r>
        <w:rPr>
          <w:rFonts w:hint="eastAsia" w:ascii="宋体" w:hAnsi="宋体" w:eastAsia="宋体" w:cs="宋体"/>
          <w:b w:val="0"/>
          <w:bCs w:val="0"/>
          <w:color w:val="auto"/>
          <w:kern w:val="2"/>
          <w:sz w:val="21"/>
          <w:szCs w:val="21"/>
          <w:highlight w:val="none"/>
          <w:lang w:val="en-US" w:eastAsia="zh-CN" w:bidi="ar-SA"/>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277"/>
    </w:p>
    <w:p w14:paraId="0154424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37D4E7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10.4.3 竣工验收合格而发包人无正当理由逾期不颁发工程接收证书的，自验收合格后第15天起视为已颁发工程接收证书。</w:t>
      </w:r>
    </w:p>
    <w:p w14:paraId="70FC64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255230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10.4.5 存在扫尾工作的，工程接收证书中应当将第14.5.3项[扫尾工作清单]中约定的扫尾工作清单作为工程接收证书附件。</w:t>
      </w:r>
    </w:p>
    <w:bookmarkEnd w:id="1273"/>
    <w:bookmarkEnd w:id="1274"/>
    <w:p w14:paraId="5C15258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78" w:name="_Toc11306"/>
      <w:bookmarkStart w:id="1279" w:name="_Ref4429935"/>
      <w:bookmarkStart w:id="1280" w:name="_Toc54862268"/>
      <w:bookmarkStart w:id="1281" w:name="_Ref4429932"/>
      <w:r>
        <w:rPr>
          <w:rFonts w:hint="eastAsia" w:ascii="宋体" w:hAnsi="宋体" w:eastAsia="宋体" w:cs="宋体"/>
          <w:b/>
          <w:bCs/>
          <w:color w:val="auto"/>
          <w:kern w:val="2"/>
          <w:sz w:val="21"/>
          <w:szCs w:val="21"/>
          <w:highlight w:val="none"/>
          <w:lang w:val="en-US" w:eastAsia="zh-CN" w:bidi="ar-SA"/>
        </w:rPr>
        <w:t>10.5 竣工退场</w:t>
      </w:r>
      <w:bookmarkEnd w:id="1278"/>
      <w:bookmarkEnd w:id="1279"/>
      <w:bookmarkEnd w:id="1280"/>
      <w:bookmarkEnd w:id="1281"/>
    </w:p>
    <w:p w14:paraId="069BB08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82" w:name="_Ref4429943"/>
      <w:r>
        <w:rPr>
          <w:rFonts w:hint="eastAsia" w:ascii="宋体" w:hAnsi="宋体" w:eastAsia="宋体" w:cs="宋体"/>
          <w:b w:val="0"/>
          <w:bCs w:val="0"/>
          <w:color w:val="auto"/>
          <w:kern w:val="2"/>
          <w:sz w:val="21"/>
          <w:szCs w:val="21"/>
          <w:highlight w:val="none"/>
          <w:lang w:val="en-US" w:eastAsia="zh-CN" w:bidi="ar-SA"/>
        </w:rPr>
        <w:t>10.5.1 竣工退场</w:t>
      </w:r>
      <w:bookmarkEnd w:id="1282"/>
    </w:p>
    <w:p w14:paraId="61124D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颁发工程接收证书后，承包人应对施工现场进行清理，并撤离相关人员，使得施工现场处于以下状态，直至工程师检验合格为止：</w:t>
      </w:r>
    </w:p>
    <w:p w14:paraId="1258DFE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施工现场内残留的垃圾已全部清除出场；</w:t>
      </w:r>
    </w:p>
    <w:p w14:paraId="490349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临时工程已拆除，场地已按合同约定进行清理、平整或复原；</w:t>
      </w:r>
    </w:p>
    <w:p w14:paraId="1CA0D5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按合同约定应撤离的人员、承包人提供的施工设备和剩余的材料，包括废弃的施工设备和材料，已按计划撤离施工现场；</w:t>
      </w:r>
    </w:p>
    <w:p w14:paraId="6CC9A4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施工现场周边及其附近道路、河道的施工堆积物，已全部清理；</w:t>
      </w:r>
    </w:p>
    <w:p w14:paraId="5EF9660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施工现场其他竣工退场工作已全部完成。</w:t>
      </w:r>
    </w:p>
    <w:p w14:paraId="4C8C4E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007F98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10.5.2 地表还原</w:t>
      </w:r>
    </w:p>
    <w:p w14:paraId="042849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承包人应按合同约定和工程师的要求恢复临时占地及清理场地，否则发包人有权委托其他人恢复或清理，所发生的费用由承包人承担。</w:t>
      </w:r>
    </w:p>
    <w:p w14:paraId="78B27F7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83" w:name="_Ref20159437"/>
      <w:r>
        <w:rPr>
          <w:rFonts w:hint="eastAsia" w:ascii="宋体" w:hAnsi="宋体" w:eastAsia="宋体" w:cs="宋体"/>
          <w:b w:val="0"/>
          <w:bCs w:val="0"/>
          <w:color w:val="auto"/>
          <w:kern w:val="2"/>
          <w:sz w:val="21"/>
          <w:szCs w:val="21"/>
          <w:highlight w:val="none"/>
          <w:lang w:val="en-US" w:eastAsia="zh-CN" w:bidi="ar-SA"/>
        </w:rPr>
        <w:t>10.5.3 人员撤离</w:t>
      </w:r>
      <w:bookmarkEnd w:id="1283"/>
    </w:p>
    <w:p w14:paraId="1417B50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1146"/>
    </w:p>
    <w:p w14:paraId="1127433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284" w:name="_Toc54862269"/>
      <w:bookmarkStart w:id="1285" w:name="_Ref531955009"/>
      <w:bookmarkStart w:id="1286" w:name="_Toc10640"/>
      <w:bookmarkStart w:id="1287" w:name="_Ref4796909"/>
      <w:bookmarkStart w:id="1288" w:name="_Ref4796906"/>
      <w:r>
        <w:rPr>
          <w:rFonts w:hint="eastAsia" w:ascii="宋体" w:hAnsi="宋体" w:eastAsia="宋体" w:cs="宋体"/>
          <w:b/>
          <w:bCs/>
          <w:color w:val="auto"/>
          <w:kern w:val="2"/>
          <w:sz w:val="21"/>
          <w:szCs w:val="21"/>
          <w:highlight w:val="none"/>
          <w:lang w:val="en-US" w:eastAsia="zh-CN" w:bidi="ar-SA"/>
        </w:rPr>
        <w:t>第11条 缺陷责任与保修</w:t>
      </w:r>
      <w:bookmarkEnd w:id="1284"/>
      <w:bookmarkEnd w:id="1285"/>
      <w:bookmarkEnd w:id="1286"/>
      <w:bookmarkEnd w:id="1287"/>
      <w:bookmarkEnd w:id="1288"/>
      <w:r>
        <w:rPr>
          <w:rFonts w:hint="eastAsia" w:ascii="宋体" w:hAnsi="宋体" w:eastAsia="宋体" w:cs="宋体"/>
          <w:b/>
          <w:bCs/>
          <w:color w:val="auto"/>
          <w:kern w:val="2"/>
          <w:sz w:val="21"/>
          <w:szCs w:val="21"/>
          <w:highlight w:val="none"/>
          <w:lang w:val="en-US" w:eastAsia="zh-CN" w:bidi="ar-SA"/>
        </w:rPr>
        <w:t xml:space="preserve"> </w:t>
      </w:r>
    </w:p>
    <w:p w14:paraId="1F990E6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89" w:name="_Toc54862270"/>
      <w:bookmarkStart w:id="1290" w:name="_Toc19087"/>
      <w:bookmarkStart w:id="1291" w:name="_Ref531955245"/>
      <w:bookmarkStart w:id="1292" w:name="_Ref531955248"/>
      <w:bookmarkStart w:id="1293" w:name="_Ref532362928"/>
      <w:bookmarkStart w:id="1294" w:name="_Toc296503147"/>
      <w:bookmarkStart w:id="1295" w:name="_Toc337558841"/>
      <w:bookmarkStart w:id="1296" w:name="_Toc296346648"/>
      <w:r>
        <w:rPr>
          <w:rFonts w:hint="eastAsia" w:ascii="宋体" w:hAnsi="宋体" w:eastAsia="宋体" w:cs="宋体"/>
          <w:b w:val="0"/>
          <w:bCs w:val="0"/>
          <w:color w:val="auto"/>
          <w:kern w:val="2"/>
          <w:sz w:val="21"/>
          <w:szCs w:val="21"/>
          <w:highlight w:val="none"/>
          <w:lang w:val="en-US" w:eastAsia="zh-CN" w:bidi="ar-SA"/>
        </w:rPr>
        <w:t>11.1 工程保修的原则</w:t>
      </w:r>
      <w:bookmarkEnd w:id="1289"/>
      <w:bookmarkEnd w:id="1290"/>
    </w:p>
    <w:p w14:paraId="10F335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在工程移交发包人后，因承包人原因产生的质量缺陷，承包人应承担质量缺陷责任和保修义务。缺陷责任期届满，承包人仍应按合同约定的工程各部位保修年限承担保修义务。</w:t>
      </w:r>
    </w:p>
    <w:p w14:paraId="72BCD5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297" w:name="_Ref4430062"/>
      <w:bookmarkStart w:id="1298" w:name="_Toc15537"/>
      <w:bookmarkStart w:id="1299" w:name="_Toc54862271"/>
      <w:r>
        <w:rPr>
          <w:rFonts w:hint="eastAsia" w:ascii="宋体" w:hAnsi="宋体" w:eastAsia="宋体" w:cs="宋体"/>
          <w:b w:val="0"/>
          <w:bCs w:val="0"/>
          <w:color w:val="auto"/>
          <w:kern w:val="2"/>
          <w:sz w:val="21"/>
          <w:szCs w:val="21"/>
          <w:highlight w:val="none"/>
          <w:lang w:val="en-US" w:eastAsia="zh-CN" w:bidi="ar-SA"/>
        </w:rPr>
        <w:t>11.2 缺陷责任</w:t>
      </w:r>
      <w:bookmarkEnd w:id="1291"/>
      <w:bookmarkEnd w:id="1292"/>
      <w:r>
        <w:rPr>
          <w:rFonts w:hint="eastAsia" w:ascii="宋体" w:hAnsi="宋体" w:eastAsia="宋体" w:cs="宋体"/>
          <w:b w:val="0"/>
          <w:bCs w:val="0"/>
          <w:color w:val="auto"/>
          <w:kern w:val="2"/>
          <w:sz w:val="21"/>
          <w:szCs w:val="21"/>
          <w:highlight w:val="none"/>
          <w:lang w:val="en-US" w:eastAsia="zh-CN" w:bidi="ar-SA"/>
        </w:rPr>
        <w:t>期</w:t>
      </w:r>
      <w:bookmarkEnd w:id="1293"/>
      <w:bookmarkEnd w:id="1297"/>
      <w:bookmarkEnd w:id="1298"/>
      <w:bookmarkEnd w:id="1299"/>
      <w:r>
        <w:rPr>
          <w:rFonts w:hint="eastAsia" w:ascii="宋体" w:hAnsi="宋体" w:eastAsia="宋体" w:cs="宋体"/>
          <w:b w:val="0"/>
          <w:bCs w:val="0"/>
          <w:color w:val="auto"/>
          <w:kern w:val="2"/>
          <w:sz w:val="21"/>
          <w:szCs w:val="21"/>
          <w:highlight w:val="none"/>
          <w:lang w:val="en-US" w:eastAsia="zh-CN" w:bidi="ar-SA"/>
        </w:rPr>
        <w:t xml:space="preserve"> </w:t>
      </w:r>
    </w:p>
    <w:p w14:paraId="1804BC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缺陷责任期原则上从工程竣工验收合格之日起计算，合同当事人应在专用合同条件约定缺陷责任期的具体期限，但该期限最长不超过24个月。</w:t>
      </w:r>
    </w:p>
    <w:p w14:paraId="1058988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2215FEE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3708A0D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00" w:name="_Ref532662491"/>
      <w:bookmarkStart w:id="1301" w:name="_Ref532662486"/>
      <w:bookmarkStart w:id="1302" w:name="_Toc17630"/>
      <w:bookmarkStart w:id="1303" w:name="_Toc54862272"/>
      <w:r>
        <w:rPr>
          <w:rFonts w:hint="eastAsia" w:ascii="宋体" w:hAnsi="宋体" w:eastAsia="宋体" w:cs="宋体"/>
          <w:b/>
          <w:bCs/>
          <w:color w:val="auto"/>
          <w:kern w:val="2"/>
          <w:sz w:val="21"/>
          <w:szCs w:val="21"/>
          <w:highlight w:val="none"/>
          <w:lang w:val="en-US" w:eastAsia="zh-CN" w:bidi="ar-SA"/>
        </w:rPr>
        <w:t>11.3 缺陷调查</w:t>
      </w:r>
      <w:bookmarkEnd w:id="1300"/>
      <w:bookmarkEnd w:id="1301"/>
      <w:bookmarkEnd w:id="1302"/>
      <w:bookmarkEnd w:id="1303"/>
    </w:p>
    <w:p w14:paraId="5E58CFC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11.3.1 承包人缺陷调查</w:t>
      </w:r>
    </w:p>
    <w:p w14:paraId="31935C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0F5CCD6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3C727C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11.3.2 缺陷责任</w:t>
      </w:r>
    </w:p>
    <w:p w14:paraId="057CBBF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7E44A8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11.3.3 修复费用</w:t>
      </w:r>
    </w:p>
    <w:p w14:paraId="41979BC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发包人和承包人应共同查清缺陷或损坏的原因。经查明属承包人原因造成的，应由承包人承担修复的费用。经查验非承包人原因造成的，发包人应承担修复的费用，并支付承包人合理利润。</w:t>
      </w:r>
    </w:p>
    <w:p w14:paraId="41C703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04" w:name="_Ref531955041"/>
      <w:r>
        <w:rPr>
          <w:rFonts w:hint="eastAsia" w:ascii="宋体" w:hAnsi="宋体" w:eastAsia="宋体" w:cs="宋体"/>
          <w:b w:val="0"/>
          <w:bCs w:val="0"/>
          <w:color w:val="auto"/>
          <w:kern w:val="2"/>
          <w:sz w:val="21"/>
          <w:szCs w:val="21"/>
          <w:highlight w:val="none"/>
          <w:lang w:val="en-US" w:eastAsia="zh-CN" w:bidi="ar-SA"/>
        </w:rPr>
        <w:t>11.3.4 修复通知</w:t>
      </w:r>
      <w:bookmarkEnd w:id="1304"/>
    </w:p>
    <w:p w14:paraId="64B95F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2B35B6D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11.3.5 在现场外修复</w:t>
      </w:r>
    </w:p>
    <w:p w14:paraId="6BC3AA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44017E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05" w:name="_Ref4534291"/>
      <w:bookmarkStart w:id="1306" w:name="_Hlk51506786"/>
      <w:r>
        <w:rPr>
          <w:rFonts w:hint="eastAsia" w:ascii="宋体" w:hAnsi="宋体" w:eastAsia="宋体" w:cs="宋体"/>
          <w:b w:val="0"/>
          <w:bCs w:val="0"/>
          <w:color w:val="auto"/>
          <w:kern w:val="2"/>
          <w:sz w:val="21"/>
          <w:szCs w:val="21"/>
          <w:highlight w:val="none"/>
          <w:lang w:val="en-US" w:eastAsia="zh-CN" w:bidi="ar-SA"/>
        </w:rPr>
        <w:t>11.3.6 未能修复</w:t>
      </w:r>
      <w:bookmarkEnd w:id="1305"/>
    </w:p>
    <w:bookmarkEnd w:id="1306"/>
    <w:p w14:paraId="7F7B74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FF5830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如果工程或工程设备的缺陷或损害使发包人实质上失去了工程的整体功能，发包人有权向承包人追回已支付的工程款项，并要求其赔偿发包人相应损失。</w:t>
      </w:r>
    </w:p>
    <w:bookmarkEnd w:id="1294"/>
    <w:bookmarkEnd w:id="1295"/>
    <w:bookmarkEnd w:id="1296"/>
    <w:p w14:paraId="4A8F34E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07" w:name="_Toc54862273"/>
      <w:bookmarkStart w:id="1308" w:name="_Toc14026"/>
      <w:bookmarkStart w:id="1309" w:name="_Ref532662552"/>
      <w:bookmarkStart w:id="1310" w:name="_Ref532662554"/>
      <w:r>
        <w:rPr>
          <w:rFonts w:hint="eastAsia" w:ascii="宋体" w:hAnsi="宋体" w:eastAsia="宋体" w:cs="宋体"/>
          <w:b/>
          <w:bCs/>
          <w:color w:val="auto"/>
          <w:kern w:val="2"/>
          <w:sz w:val="21"/>
          <w:szCs w:val="21"/>
          <w:highlight w:val="none"/>
          <w:lang w:val="en-US" w:eastAsia="zh-CN" w:bidi="ar-SA"/>
        </w:rPr>
        <w:t>11.4 缺陷修复后的进一步试验</w:t>
      </w:r>
      <w:bookmarkEnd w:id="1307"/>
      <w:bookmarkEnd w:id="1308"/>
      <w:bookmarkEnd w:id="1309"/>
      <w:bookmarkEnd w:id="1310"/>
    </w:p>
    <w:p w14:paraId="7372DB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671092F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所有的重复试验应按照适用于先前试验的条款进行，但应由责任方承担修补工作的成本和重新试验的风险和费用。</w:t>
      </w:r>
    </w:p>
    <w:p w14:paraId="265B9D1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11" w:name="_Toc54862274"/>
      <w:bookmarkStart w:id="1312" w:name="_Toc3864"/>
      <w:r>
        <w:rPr>
          <w:rFonts w:hint="eastAsia" w:ascii="宋体" w:hAnsi="宋体" w:eastAsia="宋体" w:cs="宋体"/>
          <w:b/>
          <w:bCs/>
          <w:color w:val="auto"/>
          <w:kern w:val="2"/>
          <w:sz w:val="21"/>
          <w:szCs w:val="21"/>
          <w:highlight w:val="none"/>
          <w:lang w:val="en-US" w:eastAsia="zh-CN" w:bidi="ar-SA"/>
        </w:rPr>
        <w:t>11.5 承包人出入权</w:t>
      </w:r>
      <w:bookmarkEnd w:id="1311"/>
      <w:bookmarkEnd w:id="1312"/>
    </w:p>
    <w:p w14:paraId="1C552C3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30B6560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13" w:name="_Ref4430223"/>
      <w:bookmarkStart w:id="1314" w:name="_Toc21416"/>
      <w:bookmarkStart w:id="1315" w:name="_Ref4430229"/>
      <w:bookmarkStart w:id="1316" w:name="_Toc54862275"/>
      <w:r>
        <w:rPr>
          <w:rFonts w:hint="eastAsia" w:ascii="宋体" w:hAnsi="宋体" w:eastAsia="宋体" w:cs="宋体"/>
          <w:b/>
          <w:bCs/>
          <w:color w:val="auto"/>
          <w:kern w:val="2"/>
          <w:sz w:val="21"/>
          <w:szCs w:val="21"/>
          <w:highlight w:val="none"/>
          <w:lang w:val="en-US" w:eastAsia="zh-CN" w:bidi="ar-SA"/>
        </w:rPr>
        <w:t>11.6 缺陷责任期终止证书</w:t>
      </w:r>
      <w:bookmarkEnd w:id="1313"/>
      <w:bookmarkEnd w:id="1314"/>
      <w:bookmarkEnd w:id="1315"/>
      <w:bookmarkEnd w:id="1316"/>
    </w:p>
    <w:p w14:paraId="5051291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w:t>
      </w:r>
      <w:bookmarkStart w:id="1317" w:name="_Hlk4686672"/>
      <w:r>
        <w:rPr>
          <w:rFonts w:hint="eastAsia" w:ascii="宋体" w:hAnsi="宋体" w:eastAsia="宋体" w:cs="宋体"/>
          <w:b w:val="0"/>
          <w:bCs w:val="0"/>
          <w:color w:val="auto"/>
          <w:kern w:val="2"/>
          <w:sz w:val="21"/>
          <w:szCs w:val="21"/>
          <w:highlight w:val="none"/>
          <w:lang w:val="en-US" w:eastAsia="zh-CN" w:bidi="ar-SA"/>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1317"/>
    </w:p>
    <w:p w14:paraId="37AB80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如根据第10.5.3项[人员撤离]承包人在施工现场还留有人员、施工设备和临时工程的，承包人应当在收到缺陷责任期终止证书后28天内，将上述人员、施工设备和临时工程撤离施工现场。</w:t>
      </w:r>
    </w:p>
    <w:p w14:paraId="161B6C6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18" w:name="_Toc54862276"/>
      <w:bookmarkStart w:id="1319" w:name="_Toc22139"/>
      <w:bookmarkStart w:id="1320" w:name="_Ref4430272"/>
      <w:r>
        <w:rPr>
          <w:rFonts w:hint="eastAsia" w:ascii="宋体" w:hAnsi="宋体" w:eastAsia="宋体" w:cs="宋体"/>
          <w:b/>
          <w:bCs/>
          <w:color w:val="auto"/>
          <w:kern w:val="2"/>
          <w:sz w:val="21"/>
          <w:szCs w:val="21"/>
          <w:highlight w:val="none"/>
          <w:lang w:val="en-US" w:eastAsia="zh-CN" w:bidi="ar-SA"/>
        </w:rPr>
        <w:t>11.7 保修责任</w:t>
      </w:r>
      <w:bookmarkEnd w:id="1318"/>
      <w:bookmarkEnd w:id="1319"/>
      <w:bookmarkEnd w:id="1320"/>
    </w:p>
    <w:p w14:paraId="0533505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因承包人原因导致的质量缺陷责任，由合同当事人根据有关法律规定，在专用合同条件和工程质量保修书中约定工程质量保修范围、期限和责任。</w:t>
      </w:r>
      <w:bookmarkEnd w:id="1135"/>
      <w:bookmarkStart w:id="1321" w:name="_Ref531957860"/>
      <w:bookmarkStart w:id="1322" w:name="_Ref531958289"/>
    </w:p>
    <w:bookmarkEnd w:id="1321"/>
    <w:p w14:paraId="767C6DB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23" w:name="_Toc29097"/>
      <w:bookmarkStart w:id="1324" w:name="_Toc54862277"/>
      <w:bookmarkStart w:id="1325" w:name="_Ref4621065"/>
      <w:bookmarkStart w:id="1326" w:name="_Ref4621057"/>
      <w:bookmarkStart w:id="1327" w:name="_Ref4796955"/>
      <w:bookmarkStart w:id="1328" w:name="_Ref4796958"/>
      <w:r>
        <w:rPr>
          <w:rFonts w:hint="eastAsia" w:ascii="宋体" w:hAnsi="宋体" w:eastAsia="宋体" w:cs="宋体"/>
          <w:b/>
          <w:bCs/>
          <w:color w:val="auto"/>
          <w:kern w:val="2"/>
          <w:sz w:val="21"/>
          <w:szCs w:val="21"/>
          <w:highlight w:val="none"/>
          <w:lang w:val="en-US" w:eastAsia="zh-CN" w:bidi="ar-SA"/>
        </w:rPr>
        <w:t>第12条 竣工后试验</w:t>
      </w:r>
      <w:bookmarkEnd w:id="1323"/>
      <w:bookmarkEnd w:id="1324"/>
      <w:bookmarkEnd w:id="1325"/>
      <w:bookmarkEnd w:id="1326"/>
    </w:p>
    <w:p w14:paraId="5B69D13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本合同工程包含竣工后试验的，遵守本条约定。</w:t>
      </w:r>
    </w:p>
    <w:p w14:paraId="15AEDEF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29" w:name="_Ref531954601"/>
      <w:bookmarkStart w:id="1330" w:name="_Ref531954604"/>
      <w:bookmarkStart w:id="1331" w:name="_Toc13728"/>
      <w:bookmarkStart w:id="1332" w:name="_Ref531954694"/>
      <w:bookmarkStart w:id="1333" w:name="_Toc54862278"/>
      <w:bookmarkStart w:id="1334" w:name="_Hlk522259976"/>
      <w:r>
        <w:rPr>
          <w:rFonts w:hint="eastAsia" w:ascii="宋体" w:hAnsi="宋体" w:eastAsia="宋体" w:cs="宋体"/>
          <w:b/>
          <w:bCs/>
          <w:color w:val="auto"/>
          <w:kern w:val="2"/>
          <w:sz w:val="21"/>
          <w:szCs w:val="21"/>
          <w:highlight w:val="none"/>
          <w:lang w:val="en-US" w:eastAsia="zh-CN" w:bidi="ar-SA"/>
        </w:rPr>
        <w:t>12.1 竣工后试验</w:t>
      </w:r>
      <w:bookmarkEnd w:id="1329"/>
      <w:bookmarkEnd w:id="1330"/>
      <w:r>
        <w:rPr>
          <w:rFonts w:hint="eastAsia" w:ascii="宋体" w:hAnsi="宋体" w:eastAsia="宋体" w:cs="宋体"/>
          <w:b/>
          <w:bCs/>
          <w:color w:val="auto"/>
          <w:kern w:val="2"/>
          <w:sz w:val="21"/>
          <w:szCs w:val="21"/>
          <w:highlight w:val="none"/>
          <w:lang w:val="en-US" w:eastAsia="zh-CN" w:bidi="ar-SA"/>
        </w:rPr>
        <w:t>的程序</w:t>
      </w:r>
      <w:bookmarkEnd w:id="1331"/>
      <w:bookmarkEnd w:id="1332"/>
      <w:bookmarkEnd w:id="1333"/>
    </w:p>
    <w:p w14:paraId="27FB5E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35" w:name="_Ref11920184"/>
      <w:r>
        <w:rPr>
          <w:rFonts w:hint="eastAsia" w:ascii="宋体" w:hAnsi="宋体" w:eastAsia="宋体" w:cs="宋体"/>
          <w:b w:val="0"/>
          <w:bCs w:val="0"/>
          <w:color w:val="auto"/>
          <w:kern w:val="2"/>
          <w:sz w:val="21"/>
          <w:szCs w:val="21"/>
          <w:highlight w:val="none"/>
          <w:lang w:val="en-US" w:eastAsia="zh-CN" w:bidi="ar-SA"/>
        </w:rPr>
        <w:t>12.1.1 工程或区段工程被发包人接收后，在合理可行的情况下应根据合同约定尽早进行竣工后试验。</w:t>
      </w:r>
      <w:bookmarkEnd w:id="1335"/>
    </w:p>
    <w:p w14:paraId="11A4ED3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202100D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36" w:name="_Ref11920162"/>
      <w:r>
        <w:rPr>
          <w:rFonts w:hint="eastAsia" w:ascii="宋体" w:hAnsi="宋体" w:eastAsia="宋体" w:cs="宋体"/>
          <w:b w:val="0"/>
          <w:bCs w:val="0"/>
          <w:color w:val="auto"/>
          <w:kern w:val="2"/>
          <w:sz w:val="21"/>
          <w:szCs w:val="21"/>
          <w:highlight w:val="none"/>
          <w:lang w:val="en-US" w:eastAsia="zh-CN" w:bidi="ar-SA"/>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336"/>
    </w:p>
    <w:p w14:paraId="4480576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37" w:name="_Ref11920146"/>
      <w:r>
        <w:rPr>
          <w:rFonts w:hint="eastAsia" w:ascii="宋体" w:hAnsi="宋体" w:eastAsia="宋体" w:cs="宋体"/>
          <w:b w:val="0"/>
          <w:bCs w:val="0"/>
          <w:color w:val="auto"/>
          <w:kern w:val="2"/>
          <w:sz w:val="21"/>
          <w:szCs w:val="21"/>
          <w:highlight w:val="none"/>
          <w:lang w:val="en-US" w:eastAsia="zh-CN" w:bidi="ar-SA"/>
        </w:rPr>
        <w:t>12.1.4 发包人应根据《发包人要求》、承包人按照第5.5款</w:t>
      </w:r>
      <w:bookmarkStart w:id="1338" w:name="_Hlk18943978"/>
      <w:r>
        <w:rPr>
          <w:rFonts w:hint="eastAsia" w:ascii="宋体" w:hAnsi="宋体" w:eastAsia="宋体" w:cs="宋体"/>
          <w:b w:val="0"/>
          <w:bCs w:val="0"/>
          <w:color w:val="auto"/>
          <w:kern w:val="2"/>
          <w:sz w:val="21"/>
          <w:szCs w:val="21"/>
          <w:highlight w:val="none"/>
          <w:lang w:val="en-US" w:eastAsia="zh-CN" w:bidi="ar-SA"/>
        </w:rPr>
        <w:t>[操作和维修手册]</w:t>
      </w:r>
      <w:bookmarkEnd w:id="1338"/>
      <w:r>
        <w:rPr>
          <w:rFonts w:hint="eastAsia" w:ascii="宋体" w:hAnsi="宋体" w:eastAsia="宋体" w:cs="宋体"/>
          <w:b w:val="0"/>
          <w:bCs w:val="0"/>
          <w:color w:val="auto"/>
          <w:kern w:val="2"/>
          <w:sz w:val="21"/>
          <w:szCs w:val="21"/>
          <w:highlight w:val="none"/>
          <w:lang w:val="en-US" w:eastAsia="zh-CN" w:bidi="ar-SA"/>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337"/>
    </w:p>
    <w:p w14:paraId="6D946F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12.1.5 竣工后试验的结果应由双方进行整理和评价，并应适当考虑发包人对工程或其任何部分的使用，对工程或区段工程的性能、特性和试验结果产生的影响。</w:t>
      </w:r>
    </w:p>
    <w:p w14:paraId="170DF91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39" w:name="_Toc54862279"/>
      <w:bookmarkStart w:id="1340" w:name="_Ref531954785"/>
      <w:bookmarkStart w:id="1341" w:name="_Toc26603"/>
      <w:bookmarkStart w:id="1342" w:name="_Ref531954781"/>
      <w:r>
        <w:rPr>
          <w:rFonts w:hint="eastAsia" w:ascii="宋体" w:hAnsi="宋体" w:eastAsia="宋体" w:cs="宋体"/>
          <w:b w:val="0"/>
          <w:bCs w:val="0"/>
          <w:color w:val="auto"/>
          <w:kern w:val="2"/>
          <w:sz w:val="21"/>
          <w:szCs w:val="21"/>
          <w:highlight w:val="none"/>
          <w:lang w:val="en-US" w:eastAsia="zh-CN" w:bidi="ar-SA"/>
        </w:rPr>
        <w:t>12.2 延误的试验</w:t>
      </w:r>
      <w:bookmarkEnd w:id="1339"/>
      <w:bookmarkEnd w:id="1340"/>
      <w:bookmarkEnd w:id="1341"/>
      <w:bookmarkEnd w:id="1342"/>
      <w:r>
        <w:rPr>
          <w:rFonts w:hint="eastAsia" w:ascii="宋体" w:hAnsi="宋体" w:eastAsia="宋体" w:cs="宋体"/>
          <w:b w:val="0"/>
          <w:bCs w:val="0"/>
          <w:color w:val="auto"/>
          <w:kern w:val="2"/>
          <w:sz w:val="21"/>
          <w:szCs w:val="21"/>
          <w:highlight w:val="none"/>
          <w:lang w:val="en-US" w:eastAsia="zh-CN" w:bidi="ar-SA"/>
        </w:rPr>
        <w:t xml:space="preserve"> </w:t>
      </w:r>
    </w:p>
    <w:p w14:paraId="32599FD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12.2.1 如果竣工后试验因发包人原因被延误的，发包人应承担承包人由此增加的费用并支付承包人合理利润。</w:t>
      </w:r>
    </w:p>
    <w:p w14:paraId="6A13492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12.2.2 如果因承包人以外的原因，导致竣工后试验未能在缺陷责任期或双方另行同意的其他期限内完成，则相关工程或区段工程应视为已通过该竣工后试验。</w:t>
      </w:r>
    </w:p>
    <w:p w14:paraId="5CDC70A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43" w:name="_Toc54862280"/>
      <w:bookmarkStart w:id="1344" w:name="_Toc23144"/>
      <w:r>
        <w:rPr>
          <w:rFonts w:hint="eastAsia" w:ascii="宋体" w:hAnsi="宋体" w:eastAsia="宋体" w:cs="宋体"/>
          <w:b/>
          <w:bCs/>
          <w:color w:val="auto"/>
          <w:kern w:val="2"/>
          <w:sz w:val="21"/>
          <w:szCs w:val="21"/>
          <w:highlight w:val="none"/>
          <w:lang w:val="en-US" w:eastAsia="zh-CN" w:bidi="ar-SA"/>
        </w:rPr>
        <w:t>12.3 重新试验</w:t>
      </w:r>
      <w:bookmarkEnd w:id="1343"/>
      <w:bookmarkEnd w:id="1344"/>
    </w:p>
    <w:p w14:paraId="0455D0D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1334"/>
    <w:p w14:paraId="21591BC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45" w:name="_Ref531954811"/>
      <w:bookmarkStart w:id="1346" w:name="_Toc54862281"/>
      <w:bookmarkStart w:id="1347" w:name="_Ref531954819"/>
      <w:bookmarkStart w:id="1348" w:name="_Toc6915"/>
      <w:r>
        <w:rPr>
          <w:rFonts w:hint="eastAsia" w:ascii="宋体" w:hAnsi="宋体" w:eastAsia="宋体" w:cs="宋体"/>
          <w:b/>
          <w:bCs/>
          <w:color w:val="auto"/>
          <w:kern w:val="2"/>
          <w:sz w:val="21"/>
          <w:szCs w:val="21"/>
          <w:highlight w:val="none"/>
          <w:lang w:val="en-US" w:eastAsia="zh-CN" w:bidi="ar-SA"/>
        </w:rPr>
        <w:t>12.4 未能通过竣工后试验</w:t>
      </w:r>
      <w:bookmarkEnd w:id="1345"/>
      <w:bookmarkEnd w:id="1346"/>
      <w:bookmarkEnd w:id="1347"/>
      <w:bookmarkEnd w:id="1348"/>
    </w:p>
    <w:p w14:paraId="2C90644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49" w:name="_Ref531954829"/>
      <w:r>
        <w:rPr>
          <w:rFonts w:hint="eastAsia" w:ascii="宋体" w:hAnsi="宋体" w:eastAsia="宋体" w:cs="宋体"/>
          <w:b w:val="0"/>
          <w:bCs w:val="0"/>
          <w:color w:val="auto"/>
          <w:kern w:val="2"/>
          <w:sz w:val="21"/>
          <w:szCs w:val="21"/>
          <w:highlight w:val="none"/>
          <w:lang w:val="en-US" w:eastAsia="zh-CN" w:bidi="ar-SA"/>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349"/>
    </w:p>
    <w:p w14:paraId="6DE09C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A1F8E1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12.4.3 发包人无故拖延给予承包人进行调查、调整或修补所需的进入工程或区段工程的许可，并造成承包人费用增加的，应承担由此增加的费用并支付承包人合理利润。</w:t>
      </w:r>
    </w:p>
    <w:p w14:paraId="3ED2589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50" w:name="_Ref4415801"/>
      <w:bookmarkStart w:id="1351" w:name="_Toc54862282"/>
      <w:bookmarkStart w:id="1352" w:name="_Toc13421"/>
      <w:r>
        <w:rPr>
          <w:rFonts w:hint="eastAsia" w:ascii="宋体" w:hAnsi="宋体" w:eastAsia="宋体" w:cs="宋体"/>
          <w:b/>
          <w:bCs/>
          <w:color w:val="auto"/>
          <w:kern w:val="2"/>
          <w:sz w:val="21"/>
          <w:szCs w:val="21"/>
          <w:highlight w:val="none"/>
          <w:lang w:val="en-US" w:eastAsia="zh-CN" w:bidi="ar-SA"/>
        </w:rPr>
        <w:t>第13条 变更与调整</w:t>
      </w:r>
      <w:bookmarkEnd w:id="1350"/>
      <w:bookmarkEnd w:id="1351"/>
      <w:bookmarkEnd w:id="1352"/>
    </w:p>
    <w:p w14:paraId="75A1954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53" w:name="_Toc54862283"/>
      <w:bookmarkStart w:id="1354" w:name="_Ref532668573"/>
      <w:bookmarkStart w:id="1355" w:name="_Ref532670393"/>
      <w:bookmarkStart w:id="1356" w:name="_Toc11312"/>
      <w:bookmarkStart w:id="1357" w:name="_Ref532677084"/>
      <w:bookmarkStart w:id="1358" w:name="_Ref532670395"/>
      <w:bookmarkStart w:id="1359" w:name="_Ref532677087"/>
      <w:bookmarkStart w:id="1360" w:name="_Ref532668569"/>
      <w:r>
        <w:rPr>
          <w:rFonts w:hint="eastAsia" w:ascii="宋体" w:hAnsi="宋体" w:eastAsia="宋体" w:cs="宋体"/>
          <w:b/>
          <w:bCs/>
          <w:color w:val="auto"/>
          <w:kern w:val="2"/>
          <w:sz w:val="21"/>
          <w:szCs w:val="21"/>
          <w:highlight w:val="none"/>
          <w:lang w:val="en-US" w:eastAsia="zh-CN" w:bidi="ar-SA"/>
        </w:rPr>
        <w:t>13.1 发包人变更权</w:t>
      </w:r>
      <w:bookmarkEnd w:id="1353"/>
      <w:bookmarkEnd w:id="1354"/>
      <w:bookmarkEnd w:id="1355"/>
      <w:bookmarkEnd w:id="1356"/>
      <w:bookmarkEnd w:id="1357"/>
      <w:bookmarkEnd w:id="1358"/>
      <w:bookmarkEnd w:id="1359"/>
      <w:bookmarkEnd w:id="1360"/>
      <w:r>
        <w:rPr>
          <w:rFonts w:hint="eastAsia" w:ascii="宋体" w:hAnsi="宋体" w:eastAsia="宋体" w:cs="宋体"/>
          <w:b/>
          <w:bCs/>
          <w:color w:val="auto"/>
          <w:kern w:val="2"/>
          <w:sz w:val="21"/>
          <w:szCs w:val="21"/>
          <w:highlight w:val="none"/>
          <w:lang w:val="en-US" w:eastAsia="zh-CN" w:bidi="ar-SA"/>
        </w:rPr>
        <w:t xml:space="preserve"> </w:t>
      </w:r>
    </w:p>
    <w:p w14:paraId="609E50C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61" w:name="_Ref4534979"/>
      <w:r>
        <w:rPr>
          <w:rFonts w:hint="eastAsia" w:ascii="宋体" w:hAnsi="宋体" w:eastAsia="宋体" w:cs="宋体"/>
          <w:b w:val="0"/>
          <w:bCs w:val="0"/>
          <w:color w:val="auto"/>
          <w:kern w:val="2"/>
          <w:sz w:val="21"/>
          <w:szCs w:val="21"/>
          <w:highlight w:val="none"/>
          <w:lang w:val="en-US" w:eastAsia="zh-CN" w:bidi="ar-SA"/>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1361"/>
      <w:r>
        <w:rPr>
          <w:rFonts w:hint="eastAsia" w:ascii="宋体" w:hAnsi="宋体" w:eastAsia="宋体" w:cs="宋体"/>
          <w:b w:val="0"/>
          <w:bCs w:val="0"/>
          <w:color w:val="auto"/>
          <w:kern w:val="2"/>
          <w:sz w:val="21"/>
          <w:szCs w:val="21"/>
          <w:highlight w:val="none"/>
          <w:lang w:val="en-US" w:eastAsia="zh-CN" w:bidi="ar-SA"/>
        </w:rPr>
        <w:t>发包人与承包人对某项指示或批准是否构成变更产生争议的，按第20条[争议解决]处理。</w:t>
      </w:r>
    </w:p>
    <w:p w14:paraId="0AABC4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0D66B4F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62" w:name="_Ref531955587"/>
      <w:bookmarkStart w:id="1363" w:name="_Ref531955590"/>
      <w:bookmarkStart w:id="1364" w:name="_Toc14287"/>
      <w:bookmarkStart w:id="1365" w:name="_Ref4623207"/>
      <w:bookmarkStart w:id="1366" w:name="_Toc54862284"/>
      <w:r>
        <w:rPr>
          <w:rFonts w:hint="eastAsia" w:ascii="宋体" w:hAnsi="宋体" w:eastAsia="宋体" w:cs="宋体"/>
          <w:b/>
          <w:bCs/>
          <w:color w:val="auto"/>
          <w:kern w:val="2"/>
          <w:sz w:val="21"/>
          <w:szCs w:val="21"/>
          <w:highlight w:val="none"/>
          <w:lang w:val="en-US" w:eastAsia="zh-CN" w:bidi="ar-SA"/>
        </w:rPr>
        <w:t>13.2 承</w:t>
      </w:r>
      <w:bookmarkEnd w:id="1362"/>
      <w:bookmarkEnd w:id="1363"/>
      <w:r>
        <w:rPr>
          <w:rFonts w:hint="eastAsia" w:ascii="宋体" w:hAnsi="宋体" w:eastAsia="宋体" w:cs="宋体"/>
          <w:b/>
          <w:bCs/>
          <w:color w:val="auto"/>
          <w:kern w:val="2"/>
          <w:sz w:val="21"/>
          <w:szCs w:val="21"/>
          <w:highlight w:val="none"/>
          <w:lang w:val="en-US" w:eastAsia="zh-CN" w:bidi="ar-SA"/>
        </w:rPr>
        <w:t>包人的合理化建议</w:t>
      </w:r>
      <w:bookmarkEnd w:id="1364"/>
      <w:bookmarkEnd w:id="1365"/>
      <w:bookmarkEnd w:id="1366"/>
    </w:p>
    <w:p w14:paraId="6FB75C2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13.2.1 承包人提出合理化建议的，应向工程师提交合理化建议说明，说明建议的内容、理由以及实施该建议对合同价格和工期的影响。</w:t>
      </w:r>
    </w:p>
    <w:p w14:paraId="3FC6039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67" w:name="_Ref4681686"/>
      <w:r>
        <w:rPr>
          <w:rFonts w:hint="eastAsia" w:ascii="宋体" w:hAnsi="宋体" w:eastAsia="宋体" w:cs="宋体"/>
          <w:b w:val="0"/>
          <w:bCs w:val="0"/>
          <w:color w:val="auto"/>
          <w:kern w:val="2"/>
          <w:sz w:val="21"/>
          <w:szCs w:val="21"/>
          <w:highlight w:val="none"/>
          <w:lang w:val="en-US" w:eastAsia="zh-CN" w:bidi="ar-SA"/>
        </w:rPr>
        <w:t>13.2.2 除专用合同条件另有约定外，</w:t>
      </w:r>
      <w:bookmarkStart w:id="1368" w:name="_Hlk4682273"/>
      <w:r>
        <w:rPr>
          <w:rFonts w:hint="eastAsia" w:ascii="宋体" w:hAnsi="宋体" w:eastAsia="宋体" w:cs="宋体"/>
          <w:b w:val="0"/>
          <w:bCs w:val="0"/>
          <w:color w:val="auto"/>
          <w:kern w:val="2"/>
          <w:sz w:val="21"/>
          <w:szCs w:val="21"/>
          <w:highlight w:val="none"/>
          <w:lang w:val="en-US" w:eastAsia="zh-CN" w:bidi="ar-SA"/>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1367"/>
      <w:r>
        <w:rPr>
          <w:rFonts w:hint="eastAsia" w:ascii="宋体" w:hAnsi="宋体" w:eastAsia="宋体" w:cs="宋体"/>
          <w:b w:val="0"/>
          <w:bCs w:val="0"/>
          <w:color w:val="auto"/>
          <w:kern w:val="2"/>
          <w:sz w:val="21"/>
          <w:szCs w:val="21"/>
          <w:highlight w:val="none"/>
          <w:lang w:val="en-US" w:eastAsia="zh-CN" w:bidi="ar-SA"/>
        </w:rPr>
        <w:t>。</w:t>
      </w:r>
    </w:p>
    <w:p w14:paraId="2212AE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13.2.3 合理化建议降低了合同价格、缩短了工期或者提高了工程经济效益的，双方可以按照专用合同条件的约定进行利益分享。</w:t>
      </w:r>
    </w:p>
    <w:bookmarkEnd w:id="1368"/>
    <w:p w14:paraId="2CB10F1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69" w:name="_Ref532669302"/>
      <w:bookmarkStart w:id="1370" w:name="_Ref532673538"/>
      <w:bookmarkStart w:id="1371" w:name="_Ref532669305"/>
      <w:bookmarkStart w:id="1372" w:name="_Ref532673541"/>
      <w:bookmarkStart w:id="1373" w:name="_Ref532671480"/>
      <w:bookmarkStart w:id="1374" w:name="_Toc16236"/>
      <w:bookmarkStart w:id="1375" w:name="_Toc54862285"/>
      <w:bookmarkStart w:id="1376" w:name="_Ref532671484"/>
      <w:r>
        <w:rPr>
          <w:rFonts w:hint="eastAsia" w:ascii="宋体" w:hAnsi="宋体" w:eastAsia="宋体" w:cs="宋体"/>
          <w:b/>
          <w:bCs/>
          <w:color w:val="auto"/>
          <w:kern w:val="2"/>
          <w:sz w:val="21"/>
          <w:szCs w:val="21"/>
          <w:highlight w:val="none"/>
          <w:lang w:val="en-US" w:eastAsia="zh-CN" w:bidi="ar-SA"/>
        </w:rPr>
        <w:t>13.3 变更程序</w:t>
      </w:r>
      <w:bookmarkEnd w:id="1369"/>
      <w:bookmarkEnd w:id="1370"/>
      <w:bookmarkEnd w:id="1371"/>
      <w:bookmarkEnd w:id="1372"/>
      <w:bookmarkEnd w:id="1373"/>
      <w:bookmarkEnd w:id="1374"/>
      <w:bookmarkEnd w:id="1375"/>
      <w:bookmarkEnd w:id="1376"/>
    </w:p>
    <w:p w14:paraId="2BDB3E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77" w:name="_Ref4534600"/>
      <w:r>
        <w:rPr>
          <w:rFonts w:hint="eastAsia" w:ascii="宋体" w:hAnsi="宋体" w:eastAsia="宋体" w:cs="宋体"/>
          <w:b w:val="0"/>
          <w:bCs w:val="0"/>
          <w:color w:val="auto"/>
          <w:kern w:val="2"/>
          <w:sz w:val="21"/>
          <w:szCs w:val="21"/>
          <w:highlight w:val="none"/>
          <w:lang w:val="en-US" w:eastAsia="zh-CN" w:bidi="ar-SA"/>
        </w:rPr>
        <w:t>13.3.1 发包人提出变更</w:t>
      </w:r>
      <w:bookmarkEnd w:id="1377"/>
    </w:p>
    <w:p w14:paraId="4E6039E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发包人提出变更的，应通过工程师向承包人发出书面形式的变更指示，变更指示应说明计划变更的工程范围和变更的内容。</w:t>
      </w:r>
    </w:p>
    <w:p w14:paraId="4C0AA93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78" w:name="_Ref4534617"/>
      <w:r>
        <w:rPr>
          <w:rFonts w:hint="eastAsia" w:ascii="宋体" w:hAnsi="宋体" w:eastAsia="宋体" w:cs="宋体"/>
          <w:b w:val="0"/>
          <w:bCs w:val="0"/>
          <w:color w:val="auto"/>
          <w:kern w:val="2"/>
          <w:sz w:val="21"/>
          <w:szCs w:val="21"/>
          <w:highlight w:val="none"/>
          <w:lang w:val="en-US" w:eastAsia="zh-CN" w:bidi="ar-SA"/>
        </w:rPr>
        <w:t>13.3.2 变更执行</w:t>
      </w:r>
      <w:bookmarkEnd w:id="1378"/>
    </w:p>
    <w:p w14:paraId="68B05DE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3E39617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79" w:name="_Ref3835481"/>
      <w:r>
        <w:rPr>
          <w:rFonts w:hint="eastAsia" w:ascii="宋体" w:hAnsi="宋体" w:eastAsia="宋体" w:cs="宋体"/>
          <w:b w:val="0"/>
          <w:bCs w:val="0"/>
          <w:color w:val="auto"/>
          <w:kern w:val="2"/>
          <w:sz w:val="21"/>
          <w:szCs w:val="21"/>
          <w:highlight w:val="none"/>
          <w:lang w:val="en-US" w:eastAsia="zh-CN" w:bidi="ar-SA"/>
        </w:rPr>
        <w:t>13.3.3 变更估价</w:t>
      </w:r>
      <w:bookmarkEnd w:id="1379"/>
    </w:p>
    <w:p w14:paraId="58696F6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13.3.3.1 变更估价原则</w:t>
      </w:r>
    </w:p>
    <w:p w14:paraId="763EBB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除专用合同条件另有约定外，变更估价按照本款约定处理：</w:t>
      </w:r>
    </w:p>
    <w:p w14:paraId="0FCDAE1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合同中未包含价格清单，合同价格应按照所执行的变更工程的成本加利润调整；</w:t>
      </w:r>
    </w:p>
    <w:p w14:paraId="2AFA09B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合同中包含价格清单，合同价格按照如下规则调整：</w:t>
      </w:r>
    </w:p>
    <w:p w14:paraId="7E142F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价格清单中有适用于变更工程项目的，应采用该项目的费率和价格；</w:t>
      </w:r>
    </w:p>
    <w:p w14:paraId="7514631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价格清单中没有适用但有类似于变更工程项目的，可在合理范围内参照类似项目的费率或价格；</w:t>
      </w:r>
    </w:p>
    <w:p w14:paraId="451933B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价格清单中没有适用也没有类似于变更工程项目的，该工程项目应按成本加利润原则调整适用新的费率或价格。</w:t>
      </w:r>
    </w:p>
    <w:p w14:paraId="344672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13.3.3.2 变更估价程序</w:t>
      </w:r>
    </w:p>
    <w:p w14:paraId="446686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80" w:name="_Ref531955605"/>
      <w:bookmarkStart w:id="1381" w:name="_Ref531955607"/>
      <w:bookmarkStart w:id="1382" w:name="_Toc296346651"/>
      <w:bookmarkStart w:id="1383" w:name="_Toc337558844"/>
      <w:bookmarkStart w:id="1384" w:name="_Toc296503150"/>
      <w:r>
        <w:rPr>
          <w:rFonts w:hint="eastAsia" w:ascii="宋体" w:hAnsi="宋体" w:eastAsia="宋体" w:cs="宋体"/>
          <w:b w:val="0"/>
          <w:bCs w:val="0"/>
          <w:color w:val="auto"/>
          <w:kern w:val="2"/>
          <w:sz w:val="21"/>
          <w:szCs w:val="21"/>
          <w:highlight w:val="none"/>
          <w:lang w:val="en-US" w:eastAsia="zh-CN" w:bidi="ar-SA"/>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74A393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因变更引起的价格调整应计入最近一期的进度款中支付。</w:t>
      </w:r>
    </w:p>
    <w:p w14:paraId="41F8C3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13.3.4 变更引起的工期调整</w:t>
      </w:r>
    </w:p>
    <w:p w14:paraId="41B71A3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因变更引起工期变化的，合同当事人均可要求调整合同工期，由合同当事人按照第3.6款[商定或确定]并参考工程所在地的工期定额标准确定增减工期天数。</w:t>
      </w:r>
    </w:p>
    <w:p w14:paraId="1621EE8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85" w:name="_Ref4431237"/>
      <w:bookmarkStart w:id="1386" w:name="_Toc54862286"/>
      <w:bookmarkStart w:id="1387" w:name="_Toc24469"/>
      <w:r>
        <w:rPr>
          <w:rFonts w:hint="eastAsia" w:ascii="宋体" w:hAnsi="宋体" w:eastAsia="宋体" w:cs="宋体"/>
          <w:b/>
          <w:bCs/>
          <w:color w:val="auto"/>
          <w:kern w:val="2"/>
          <w:sz w:val="21"/>
          <w:szCs w:val="21"/>
          <w:highlight w:val="none"/>
          <w:lang w:val="en-US" w:eastAsia="zh-CN" w:bidi="ar-SA"/>
        </w:rPr>
        <w:t>13.4 暂估价</w:t>
      </w:r>
      <w:bookmarkEnd w:id="1385"/>
      <w:bookmarkEnd w:id="1386"/>
      <w:bookmarkEnd w:id="1387"/>
    </w:p>
    <w:p w14:paraId="4011C0D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88" w:name="_Ref4616729"/>
      <w:r>
        <w:rPr>
          <w:rFonts w:hint="eastAsia" w:ascii="宋体" w:hAnsi="宋体" w:eastAsia="宋体" w:cs="宋体"/>
          <w:b w:val="0"/>
          <w:bCs w:val="0"/>
          <w:color w:val="auto"/>
          <w:kern w:val="2"/>
          <w:sz w:val="21"/>
          <w:szCs w:val="21"/>
          <w:highlight w:val="none"/>
          <w:lang w:val="en-US" w:eastAsia="zh-CN" w:bidi="ar-SA"/>
        </w:rPr>
        <w:t>13.4.1 依法必须招标的暂估价项目</w:t>
      </w:r>
      <w:bookmarkEnd w:id="1388"/>
    </w:p>
    <w:p w14:paraId="01B809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5C74ED1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专用合同条件约定由发包人和承包人共同作为招标人的，与组织招标工作有关的费用在专用合同条件中约定。</w:t>
      </w:r>
    </w:p>
    <w:p w14:paraId="0D3AD11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具体的招标程序以及发包人和承包人权利义务关系可在专用合同条件中约定。暂估价项目的中标金额与价格清单中所列暂估价的金额差以及相应的税金等其他费用应列入合同价格。</w:t>
      </w:r>
    </w:p>
    <w:p w14:paraId="0A1A5A6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389" w:name="_Ref4682312"/>
      <w:r>
        <w:rPr>
          <w:rFonts w:hint="eastAsia" w:ascii="宋体" w:hAnsi="宋体" w:eastAsia="宋体" w:cs="宋体"/>
          <w:b w:val="0"/>
          <w:bCs w:val="0"/>
          <w:color w:val="auto"/>
          <w:kern w:val="2"/>
          <w:sz w:val="21"/>
          <w:szCs w:val="21"/>
          <w:highlight w:val="none"/>
          <w:lang w:val="en-US" w:eastAsia="zh-CN" w:bidi="ar-SA"/>
        </w:rPr>
        <w:t>13.4.2 不属于依法必须招标的暂估价项目</w:t>
      </w:r>
      <w:bookmarkEnd w:id="1389"/>
    </w:p>
    <w:p w14:paraId="617C72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6E609E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5C13BA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90" w:name="_Toc30413"/>
      <w:bookmarkStart w:id="1391" w:name="_Ref4431250"/>
      <w:bookmarkStart w:id="1392" w:name="_Toc54862287"/>
      <w:r>
        <w:rPr>
          <w:rFonts w:hint="eastAsia" w:ascii="宋体" w:hAnsi="宋体" w:eastAsia="宋体" w:cs="宋体"/>
          <w:b/>
          <w:bCs/>
          <w:color w:val="auto"/>
          <w:kern w:val="2"/>
          <w:sz w:val="21"/>
          <w:szCs w:val="21"/>
          <w:highlight w:val="none"/>
          <w:lang w:val="en-US" w:eastAsia="zh-CN" w:bidi="ar-SA"/>
        </w:rPr>
        <w:t>13.5 暂列金额</w:t>
      </w:r>
      <w:bookmarkEnd w:id="1390"/>
      <w:bookmarkEnd w:id="1391"/>
      <w:bookmarkEnd w:id="1392"/>
      <w:r>
        <w:rPr>
          <w:rFonts w:hint="eastAsia" w:ascii="宋体" w:hAnsi="宋体" w:eastAsia="宋体" w:cs="宋体"/>
          <w:b/>
          <w:bCs/>
          <w:color w:val="auto"/>
          <w:kern w:val="2"/>
          <w:sz w:val="21"/>
          <w:szCs w:val="21"/>
          <w:highlight w:val="none"/>
          <w:lang w:val="en-US" w:eastAsia="zh-CN" w:bidi="ar-SA"/>
        </w:rPr>
        <w:t xml:space="preserve"> </w:t>
      </w:r>
      <w:bookmarkEnd w:id="1380"/>
      <w:bookmarkEnd w:id="1381"/>
    </w:p>
    <w:bookmarkEnd w:id="1382"/>
    <w:bookmarkEnd w:id="1383"/>
    <w:bookmarkEnd w:id="1384"/>
    <w:p w14:paraId="33E6778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06F2250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对于每笔暂列金额，发包人可以指示用于下列支付：</w:t>
      </w:r>
    </w:p>
    <w:p w14:paraId="593DEA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发包人根据第13.1款[发包人变更权]指示变更，决定对合同价格和付款计划表（如有）进行调整的、由承包人实施的工作（包括要提供的工程设备、材料和服务）；</w:t>
      </w:r>
    </w:p>
    <w:p w14:paraId="25FC409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承包人购买的工程设备、材料、工作或服务，应支付包括承包人已付（或应付）的实际金额以及相应的管理费等费用和利润（管理费和利润应以实际金额为基数根据合同约定的费率（如有）或百分比计算）。</w:t>
      </w:r>
    </w:p>
    <w:p w14:paraId="4DCBA84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63471F5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每份包含暂列金额的文件还应包括用以证明暂列金额的所有有效的发票、凭证和账户或收据。</w:t>
      </w:r>
    </w:p>
    <w:p w14:paraId="1D4C068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93" w:name="_Toc296503152"/>
      <w:bookmarkStart w:id="1394" w:name="_Toc296346653"/>
      <w:bookmarkStart w:id="1395" w:name="_Toc13310"/>
      <w:bookmarkStart w:id="1396" w:name="_Ref4431438"/>
      <w:bookmarkStart w:id="1397" w:name="_Toc54862288"/>
      <w:bookmarkStart w:id="1398" w:name="_Toc337558845"/>
      <w:r>
        <w:rPr>
          <w:rFonts w:hint="eastAsia" w:ascii="宋体" w:hAnsi="宋体" w:eastAsia="宋体" w:cs="宋体"/>
          <w:b/>
          <w:bCs/>
          <w:color w:val="auto"/>
          <w:kern w:val="2"/>
          <w:sz w:val="21"/>
          <w:szCs w:val="21"/>
          <w:highlight w:val="none"/>
          <w:lang w:val="en-US" w:eastAsia="zh-CN" w:bidi="ar-SA"/>
        </w:rPr>
        <w:t>13.6 计日工</w:t>
      </w:r>
      <w:bookmarkEnd w:id="1393"/>
      <w:bookmarkEnd w:id="1394"/>
      <w:bookmarkEnd w:id="1395"/>
      <w:bookmarkEnd w:id="1396"/>
      <w:bookmarkEnd w:id="1397"/>
      <w:bookmarkEnd w:id="1398"/>
    </w:p>
    <w:p w14:paraId="18279C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1591CC5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13.6.2 采用计日工计价的任何一项工作，承包人应在该项工作实施过程中，每天提交以下报表和有关凭证报送工程师审查：</w:t>
      </w:r>
    </w:p>
    <w:p w14:paraId="5F4D56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工作名称、内容和数量；</w:t>
      </w:r>
    </w:p>
    <w:p w14:paraId="35CEF6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投入该工作的所有人员的姓名、专业、工种、级别和耗用工时；</w:t>
      </w:r>
    </w:p>
    <w:p w14:paraId="7A8C0D0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投入该工作的材料类别和数量；</w:t>
      </w:r>
    </w:p>
    <w:p w14:paraId="6FDB66D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投入该工作的施工设备型号、台数和耗用台时；</w:t>
      </w:r>
    </w:p>
    <w:p w14:paraId="023189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其他有关资料和凭证。</w:t>
      </w:r>
    </w:p>
    <w:p w14:paraId="03D4D2C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计日工由承包人汇总后，列入最近一期进度付款申请单，由工程师审查并经发包人批准后列入进度付款。</w:t>
      </w:r>
    </w:p>
    <w:p w14:paraId="4540FF2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399" w:name="_Toc30218"/>
      <w:bookmarkStart w:id="1400" w:name="_Toc54862289"/>
      <w:bookmarkStart w:id="1401" w:name="_Ref4617318"/>
      <w:bookmarkStart w:id="1402" w:name="_Ref4617331"/>
      <w:r>
        <w:rPr>
          <w:rFonts w:hint="eastAsia" w:ascii="宋体" w:hAnsi="宋体" w:eastAsia="宋体" w:cs="宋体"/>
          <w:b/>
          <w:bCs/>
          <w:color w:val="auto"/>
          <w:kern w:val="2"/>
          <w:sz w:val="21"/>
          <w:szCs w:val="21"/>
          <w:highlight w:val="none"/>
          <w:lang w:val="en-US" w:eastAsia="zh-CN" w:bidi="ar-SA"/>
        </w:rPr>
        <w:t>13.7 法律变化引起的调整</w:t>
      </w:r>
      <w:bookmarkEnd w:id="1399"/>
      <w:bookmarkEnd w:id="1400"/>
      <w:bookmarkEnd w:id="1401"/>
      <w:bookmarkEnd w:id="1402"/>
    </w:p>
    <w:p w14:paraId="7FD7806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5BDC70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13.7.2 因法律变化引起的合同价格和工期调整，合同当事人无法达成一致的，由工程师按第3.6款[商定或确定]的约定处理。</w:t>
      </w:r>
    </w:p>
    <w:p w14:paraId="356829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13.7.3 因承包人原因造成工期延误，在工期延误期间出现法律变化的，由此增加的费用和（或）延误的工期由承包人承担。</w:t>
      </w:r>
    </w:p>
    <w:p w14:paraId="7CEBE9C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13.7.4 因法律变化而需要对工程的实施进行任何调整的，承包人应迅速通知发包人，或者发包人应迅速通知承包人，并附上详细的辅助资料。发包人接到通知后，应根据第13.3款[变更程序]发出变更指示。</w:t>
      </w:r>
    </w:p>
    <w:p w14:paraId="1F72855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03" w:name="_Ref18977613"/>
      <w:bookmarkStart w:id="1404" w:name="_Toc54862290"/>
      <w:bookmarkStart w:id="1405" w:name="_Ref531955630"/>
      <w:bookmarkStart w:id="1406" w:name="_Ref531955627"/>
      <w:bookmarkStart w:id="1407" w:name="_Toc31864"/>
      <w:r>
        <w:rPr>
          <w:rFonts w:hint="eastAsia" w:ascii="宋体" w:hAnsi="宋体" w:eastAsia="宋体" w:cs="宋体"/>
          <w:b/>
          <w:bCs/>
          <w:color w:val="auto"/>
          <w:kern w:val="2"/>
          <w:sz w:val="21"/>
          <w:szCs w:val="21"/>
          <w:highlight w:val="none"/>
          <w:lang w:val="en-US" w:eastAsia="zh-CN" w:bidi="ar-SA"/>
        </w:rPr>
        <w:t>13.8 市场价格波动引起的调整</w:t>
      </w:r>
      <w:bookmarkEnd w:id="1403"/>
      <w:bookmarkEnd w:id="1404"/>
      <w:bookmarkEnd w:id="1405"/>
      <w:bookmarkEnd w:id="1406"/>
      <w:bookmarkEnd w:id="1407"/>
    </w:p>
    <w:p w14:paraId="473094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除专用合同条款另有约定外，市场价格波动超过合同当事人约定的范围，合同价格应当调整。合同当事人可以在专用合同条款中约定选择以下一种方式对合同价格进行调整：</w:t>
      </w:r>
    </w:p>
    <w:p w14:paraId="3E564D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第1种方式：采用价格指数进行价格调整。</w:t>
      </w:r>
    </w:p>
    <w:p w14:paraId="4FE42F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（1）价格调整公式</w:t>
      </w:r>
    </w:p>
    <w:p w14:paraId="4964FFB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因人工、材料和设备等价格波动影响合同价格时，根据专用合同条款中约定的数据，按以下公式计算差额并调整合同价格：</w:t>
      </w:r>
    </w:p>
    <w:p w14:paraId="1D0C9C51">
      <w:pPr>
        <w:tabs>
          <w:tab w:val="left" w:pos="0"/>
          <w:tab w:val="left" w:pos="360"/>
          <w:tab w:val="left" w:pos="540"/>
        </w:tabs>
        <w:spacing w:line="360" w:lineRule="auto"/>
        <w:ind w:firstLine="420" w:firstLineChars="200"/>
        <w:rPr>
          <w:rFonts w:hint="eastAsia" w:ascii="Times New Roman" w:hAnsi="Times New Roman" w:eastAsia="仿宋_GB2312"/>
          <w:color w:val="auto"/>
          <w:sz w:val="30"/>
          <w:szCs w:val="32"/>
          <w:highlight w:val="none"/>
        </w:rPr>
      </w:pPr>
      <w:r>
        <w:rPr>
          <w:rFonts w:hint="eastAsia" w:ascii="宋体" w:hAnsi="宋体" w:eastAsia="宋体" w:cs="宋体"/>
          <w:b w:val="0"/>
          <w:bCs w:val="0"/>
          <w:color w:val="auto"/>
          <w:kern w:val="2"/>
          <w:sz w:val="21"/>
          <w:szCs w:val="21"/>
          <w:highlight w:val="none"/>
          <w:lang w:val="en-US" w:eastAsia="zh-CN" w:bidi="ar-SA"/>
        </w:rPr>
        <w:object>
          <v:shape id="_x0000_i1025" o:spt="75" type="#_x0000_t75" style="height:43.9pt;width:359.85pt;" o:ole="t" filled="f" o:preferrelative="t" stroked="f" coordsize="21600,21600">
            <v:path/>
            <v:fill on="f" focussize="0,0"/>
            <v:stroke on="f" joinstyle="miter"/>
            <v:imagedata r:id="rId17" o:title=""/>
            <o:lock v:ext="edit" aspectratio="t"/>
            <w10:wrap type="none"/>
            <w10:anchorlock/>
          </v:shape>
          <o:OLEObject Type="Embed" ProgID="Equation.KSEE3" ShapeID="_x0000_i1025" DrawAspect="Content" ObjectID="_1468075725" r:id="rId16">
            <o:LockedField>false</o:LockedField>
          </o:OLEObject>
        </w:object>
      </w:r>
    </w:p>
    <w:p w14:paraId="02E4BAE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公式中：ΔP——需调整的价格差额；</w:t>
      </w:r>
    </w:p>
    <w:p w14:paraId="576FE4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object>
          <v:shape id="_x0000_i1026" o:spt="75" type="#_x0000_t75" style="height:17.95pt;width:17.95pt;" o:ole="t" filled="f" o:preferrelative="t" stroked="f" coordsize="21600,21600">
            <v:path/>
            <v:fill on="f" focussize="0,0"/>
            <v:stroke on="f" joinstyle="miter"/>
            <v:imagedata r:id="rId19" o:title=""/>
            <o:lock v:ext="edit" aspectratio="t"/>
            <w10:wrap type="none"/>
            <w10:anchorlock/>
          </v:shape>
          <o:OLEObject Type="Embed" ProgID="Equation.KSEE3" ShapeID="_x0000_i1026" DrawAspect="Content" ObjectID="_1468075726" r:id="rId18">
            <o:LockedField>false</o:LockedField>
          </o:OLEObject>
        </w:object>
      </w:r>
      <w:r>
        <w:rPr>
          <w:rFonts w:hint="eastAsia" w:ascii="宋体" w:hAnsi="宋体" w:eastAsia="宋体" w:cs="宋体"/>
          <w:b w:val="0"/>
          <w:bCs w:val="0"/>
          <w:color w:val="auto"/>
          <w:kern w:val="2"/>
          <w:sz w:val="21"/>
          <w:szCs w:val="21"/>
          <w:highlight w:val="none"/>
          <w:lang w:val="en-US" w:eastAsia="zh-CN" w:bidi="ar-SA"/>
        </w:rPr>
        <w:t>——约定的付款证书中承包人应得到的已完成工程量的金额。此项金额应不包括价格调整、不计质量保证金的扣留和支付、预付款的支付和扣回。约定的变更及其他金额已按现行价格计价的，也不计在内；</w:t>
      </w:r>
    </w:p>
    <w:p w14:paraId="00738E6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A——定值权重（即不调部分的权重）；</w:t>
      </w:r>
    </w:p>
    <w:p w14:paraId="6084103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object>
          <v:shape id="_x0000_i1027" o:spt="75" type="#_x0000_t75" style="height:21.05pt;width:101pt;" o:ole="t" filled="f" o:preferrelative="t" stroked="f" coordsize="21600,21600">
            <v:path/>
            <v:fill on="f" focussize="0,0"/>
            <v:stroke on="f" joinstyle="miter"/>
            <v:imagedata r:id="rId21" o:title=""/>
            <o:lock v:ext="edit" aspectratio="t"/>
            <w10:wrap type="none"/>
            <w10:anchorlock/>
          </v:shape>
          <o:OLEObject Type="Embed" ProgID="Equation.KSEE3" ShapeID="_x0000_i1027" DrawAspect="Content" ObjectID="_1468075727" r:id="rId20">
            <o:LockedField>false</o:LockedField>
          </o:OLEObject>
        </w:object>
      </w:r>
      <w:r>
        <w:rPr>
          <w:rFonts w:hint="eastAsia" w:ascii="宋体" w:hAnsi="宋体" w:eastAsia="宋体" w:cs="宋体"/>
          <w:b w:val="0"/>
          <w:bCs w:val="0"/>
          <w:color w:val="auto"/>
          <w:kern w:val="2"/>
          <w:sz w:val="21"/>
          <w:szCs w:val="21"/>
          <w:highlight w:val="none"/>
          <w:lang w:val="en-US" w:eastAsia="zh-CN" w:bidi="ar-SA"/>
        </w:rPr>
        <w:t>——各可调因子的变值权重（即可调部分的权重），为各可调因子在签约合同价中所占的比例；</w:t>
      </w:r>
    </w:p>
    <w:p w14:paraId="040030B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object>
          <v:shape id="_x0000_i1028" o:spt="75" type="#_x0000_t75" style="height:20.6pt;width:102.05pt;" o:ole="t" filled="f" o:preferrelative="t" stroked="f" coordsize="21600,21600">
            <v:path/>
            <v:fill on="f" focussize="0,0"/>
            <v:stroke on="f" joinstyle="miter"/>
            <v:imagedata r:id="rId23" o:title=""/>
            <o:lock v:ext="edit" aspectratio="t"/>
            <w10:wrap type="none"/>
            <w10:anchorlock/>
          </v:shape>
          <o:OLEObject Type="Embed" ProgID="Equation.KSEE3" ShapeID="_x0000_i1028" DrawAspect="Content" ObjectID="_1468075728" r:id="rId22">
            <o:LockedField>false</o:LockedField>
          </o:OLEObject>
        </w:object>
      </w:r>
      <w:r>
        <w:rPr>
          <w:rFonts w:hint="eastAsia" w:ascii="宋体" w:hAnsi="宋体" w:eastAsia="宋体" w:cs="宋体"/>
          <w:b w:val="0"/>
          <w:bCs w:val="0"/>
          <w:color w:val="auto"/>
          <w:kern w:val="2"/>
          <w:sz w:val="21"/>
          <w:szCs w:val="21"/>
          <w:highlight w:val="none"/>
          <w:lang w:val="en-US" w:eastAsia="zh-CN" w:bidi="ar-SA"/>
        </w:rPr>
        <w:t>——各可调因子的现行价格指数，指约定的付款证书相关周期最后一天的前42天的各可调因子的价格指数；</w:t>
      </w:r>
    </w:p>
    <w:p w14:paraId="5A3C9F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object>
          <v:shape id="_x0000_i1029" o:spt="75" type="#_x0000_t75" style="height:20.2pt;width:108pt;" o:ole="t" filled="f" o:preferrelative="t" stroked="f" coordsize="21600,21600">
            <v:path/>
            <v:fill on="f" focussize="0,0"/>
            <v:stroke on="f" joinstyle="miter"/>
            <v:imagedata r:id="rId25" o:title=""/>
            <o:lock v:ext="edit" aspectratio="t"/>
            <w10:wrap type="none"/>
            <w10:anchorlock/>
          </v:shape>
          <o:OLEObject Type="Embed" ProgID="Equation.KSEE3" ShapeID="_x0000_i1029" DrawAspect="Content" ObjectID="_1468075729" r:id="rId24">
            <o:LockedField>false</o:LockedField>
          </o:OLEObject>
        </w:object>
      </w:r>
      <w:r>
        <w:rPr>
          <w:rFonts w:hint="eastAsia" w:ascii="宋体" w:hAnsi="宋体" w:eastAsia="宋体" w:cs="宋体"/>
          <w:b w:val="0"/>
          <w:bCs w:val="0"/>
          <w:color w:val="auto"/>
          <w:kern w:val="2"/>
          <w:sz w:val="21"/>
          <w:szCs w:val="21"/>
          <w:highlight w:val="none"/>
          <w:lang w:val="en-US" w:eastAsia="zh-CN" w:bidi="ar-SA"/>
        </w:rPr>
        <w:t>——各可调因子的基本价格指数，指基准日期的各可调因子的价格指数。</w:t>
      </w:r>
    </w:p>
    <w:p w14:paraId="62FC86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398DF1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（2）暂时确定调整差额</w:t>
      </w:r>
    </w:p>
    <w:p w14:paraId="271988D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在计算调整差额时无现行价格指数的，合同当事人同意暂用前次价格指数计算。实际价格指数有调整的，合同当事人进行相应调整。</w:t>
      </w:r>
    </w:p>
    <w:p w14:paraId="089E3A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（3）权重的调整</w:t>
      </w:r>
    </w:p>
    <w:p w14:paraId="4A04994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因变更导致合同约定的权重不合理时，按照</w:t>
      </w:r>
      <w:r>
        <w:rPr>
          <w:rFonts w:hint="eastAsia" w:ascii="宋体" w:hAnsi="宋体" w:cs="宋体"/>
          <w:b w:val="0"/>
          <w:bCs w:val="0"/>
          <w:color w:val="auto"/>
          <w:kern w:val="2"/>
          <w:sz w:val="21"/>
          <w:szCs w:val="21"/>
          <w:highlight w:val="none"/>
          <w:lang w:val="en-US" w:eastAsia="zh-CN" w:bidi="ar-SA"/>
        </w:rPr>
        <w:t>国家相关规定</w:t>
      </w:r>
      <w:r>
        <w:rPr>
          <w:rFonts w:hint="eastAsia" w:ascii="宋体" w:hAnsi="宋体" w:eastAsia="宋体" w:cs="宋体"/>
          <w:b w:val="0"/>
          <w:bCs w:val="0"/>
          <w:color w:val="auto"/>
          <w:kern w:val="2"/>
          <w:sz w:val="21"/>
          <w:szCs w:val="21"/>
          <w:highlight w:val="none"/>
          <w:lang w:val="en-US" w:eastAsia="zh-CN" w:bidi="ar-SA"/>
        </w:rPr>
        <w:t>〔商定或确定〕执行。</w:t>
      </w:r>
    </w:p>
    <w:p w14:paraId="6EAA78D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（4）因承包人原因工期延误后的价格调整</w:t>
      </w:r>
    </w:p>
    <w:p w14:paraId="5AE3BC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因承包人原因未按期竣工的，对合同约定的竣工日期后继续施工的工程，在使用价格调整公式时，应采用计划竣工日期与实际竣工日期的两个价格指数中较低的一个作为现行价格指数。</w:t>
      </w:r>
    </w:p>
    <w:p w14:paraId="51CBC6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第2种方式：采用造价信息进行价格调整。</w:t>
      </w:r>
    </w:p>
    <w:p w14:paraId="4AED822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6A4DCC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F1CBBE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（2）材料、工程设备价格变化的价款调整按照发包人提供的基准价格，按以下风险范围规定执行:</w:t>
      </w:r>
    </w:p>
    <w:p w14:paraId="695684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68B39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DCD3D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③承包人在已标价工程量清单或预算书中载明材料单价等于基准价格的：除专用合同条款另有约定外，合同履行期间材料单价涨跌幅以基准价格为基础超过±5%时，其超过部分据实调整。</w:t>
      </w:r>
    </w:p>
    <w:p w14:paraId="304BBF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8B74A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前述基准价格是指由发包人在招标文件或专用合同条款中给定的材料、工程设备的价格，该价格原则上应当按照省级或行业建设主管部门或其授权的工程造价管理机构发布的信息价编制。</w:t>
      </w:r>
    </w:p>
    <w:p w14:paraId="037301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（3）施工机械台班单价或施工机械使用费发生变化超过省级或行业建设主管部门或其授权的工程造价管理机构规定的范围时，按规定调整合同价格。</w:t>
      </w:r>
    </w:p>
    <w:p w14:paraId="6FC47B8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第3种方式：专用合同条款约定的其他方式。</w:t>
      </w:r>
    </w:p>
    <w:p w14:paraId="3E6FCA6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13.8.3 双方约定采用其他方式调整合同价款的，以专用合同条件约定为准。</w:t>
      </w:r>
    </w:p>
    <w:p w14:paraId="4D50C83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08" w:name="_Toc54862291"/>
      <w:bookmarkStart w:id="1409" w:name="_Toc5931"/>
      <w:bookmarkStart w:id="1410" w:name="_Ref531955880"/>
      <w:bookmarkStart w:id="1411" w:name="_Ref531955885"/>
      <w:r>
        <w:rPr>
          <w:rFonts w:hint="eastAsia" w:ascii="宋体" w:hAnsi="宋体" w:eastAsia="宋体" w:cs="宋体"/>
          <w:b/>
          <w:bCs/>
          <w:color w:val="auto"/>
          <w:kern w:val="2"/>
          <w:sz w:val="21"/>
          <w:szCs w:val="21"/>
          <w:highlight w:val="none"/>
          <w:lang w:val="en-US" w:eastAsia="zh-CN" w:bidi="ar-SA"/>
        </w:rPr>
        <w:t>第14条 合同价格与支付</w:t>
      </w:r>
      <w:bookmarkEnd w:id="1408"/>
      <w:bookmarkEnd w:id="1409"/>
      <w:bookmarkEnd w:id="1410"/>
      <w:bookmarkEnd w:id="1411"/>
    </w:p>
    <w:p w14:paraId="5BDCE46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12" w:name="_Ref4431521"/>
      <w:bookmarkStart w:id="1413" w:name="_Ref4431531"/>
      <w:bookmarkStart w:id="1414" w:name="_Toc16910"/>
      <w:bookmarkStart w:id="1415" w:name="_Toc54862292"/>
      <w:r>
        <w:rPr>
          <w:rFonts w:hint="eastAsia" w:ascii="宋体" w:hAnsi="宋体" w:eastAsia="宋体" w:cs="宋体"/>
          <w:b/>
          <w:bCs/>
          <w:color w:val="auto"/>
          <w:kern w:val="2"/>
          <w:sz w:val="21"/>
          <w:szCs w:val="21"/>
          <w:highlight w:val="none"/>
          <w:lang w:val="en-US" w:eastAsia="zh-CN" w:bidi="ar-SA"/>
        </w:rPr>
        <w:t>14.1 合同价格形式</w:t>
      </w:r>
      <w:bookmarkEnd w:id="1412"/>
      <w:bookmarkEnd w:id="1413"/>
      <w:bookmarkEnd w:id="1414"/>
      <w:bookmarkEnd w:id="1415"/>
    </w:p>
    <w:p w14:paraId="073532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14.1.1 除专用合同条件中另有约定外，本合同为总价合同，除根据第13条[变更与调整]，以及合同中其它相关增减金额的约定进行调整外，合同价格不做调整。</w:t>
      </w:r>
    </w:p>
    <w:p w14:paraId="15BA59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14.1.2 除专用合同条件另有约定外：</w:t>
      </w:r>
    </w:p>
    <w:p w14:paraId="749304E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工程款的支付应以合同协议书约定的签约合同价格为基础，按照合同约定进行调整；</w:t>
      </w:r>
    </w:p>
    <w:p w14:paraId="6838AD5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承包人应支付根据法律规定或合同约定应由其支付的各项税费，除第13.7款[法律变化引起的调整]约定外，合同价格不应因任何这些税费进行调整；</w:t>
      </w:r>
    </w:p>
    <w:p w14:paraId="4CC781F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168A87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14.1.3 合同约定工程的某部分按照实际完成的工程量进行支付的，应按照专用合同条件的约定进行计量和估价，并据此调整合同价格。</w:t>
      </w:r>
    </w:p>
    <w:p w14:paraId="6079684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16" w:name="_Toc54862293"/>
      <w:bookmarkStart w:id="1417" w:name="_Ref531956884"/>
      <w:bookmarkStart w:id="1418" w:name="_Ref531956881"/>
      <w:bookmarkStart w:id="1419" w:name="_Toc421"/>
      <w:r>
        <w:rPr>
          <w:rFonts w:hint="eastAsia" w:ascii="宋体" w:hAnsi="宋体" w:eastAsia="宋体" w:cs="宋体"/>
          <w:b/>
          <w:bCs/>
          <w:color w:val="auto"/>
          <w:kern w:val="2"/>
          <w:sz w:val="21"/>
          <w:szCs w:val="21"/>
          <w:highlight w:val="none"/>
          <w:lang w:val="en-US" w:eastAsia="zh-CN" w:bidi="ar-SA"/>
        </w:rPr>
        <w:t>14.2 预付款</w:t>
      </w:r>
      <w:bookmarkEnd w:id="1416"/>
      <w:bookmarkEnd w:id="1417"/>
      <w:bookmarkEnd w:id="1418"/>
      <w:bookmarkEnd w:id="1419"/>
    </w:p>
    <w:p w14:paraId="5210C09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14.2.1 预付款支付</w:t>
      </w:r>
    </w:p>
    <w:p w14:paraId="134E777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预付款的额度和支付按照专用合同条件约定执行。预付款应当专用于承包人为合同工程的设计和工程实施购置材料、工程设备、施工设备、修建临时设施以及组织施工队伍进场等合同工作。</w:t>
      </w:r>
    </w:p>
    <w:p w14:paraId="404FBCA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除专用合同条件另有约定外，预付款在进度付款中同比例扣回。在颁发工程接收证书前，提前解除合同的，尚未扣完的预付款应与合同价款一并结算。</w:t>
      </w:r>
    </w:p>
    <w:p w14:paraId="0188F5A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发包人逾期支付预付款超过7天的，承包人有权向发包人发出要求预付的催告通知，发包人收到通知后7天内仍未支付的，承包人有权暂停施工，并按第15.1.1项[发包人违约的情形]执行。</w:t>
      </w:r>
    </w:p>
    <w:p w14:paraId="38CD66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20" w:name="_Ref531956907"/>
      <w:bookmarkStart w:id="1421" w:name="_Ref4797624"/>
      <w:bookmarkStart w:id="1422" w:name="_Hlk54429963"/>
      <w:r>
        <w:rPr>
          <w:rFonts w:hint="eastAsia" w:ascii="宋体" w:hAnsi="宋体" w:eastAsia="宋体" w:cs="宋体"/>
          <w:b w:val="0"/>
          <w:bCs w:val="0"/>
          <w:color w:val="auto"/>
          <w:kern w:val="2"/>
          <w:sz w:val="21"/>
          <w:szCs w:val="21"/>
          <w:highlight w:val="none"/>
          <w:lang w:val="en-US" w:eastAsia="zh-CN" w:bidi="ar-SA"/>
        </w:rPr>
        <w:t>14.2.2 预付款</w:t>
      </w:r>
      <w:bookmarkEnd w:id="1420"/>
      <w:r>
        <w:rPr>
          <w:rFonts w:hint="eastAsia" w:ascii="宋体" w:hAnsi="宋体" w:eastAsia="宋体" w:cs="宋体"/>
          <w:b w:val="0"/>
          <w:bCs w:val="0"/>
          <w:color w:val="auto"/>
          <w:kern w:val="2"/>
          <w:sz w:val="21"/>
          <w:szCs w:val="21"/>
          <w:highlight w:val="none"/>
          <w:lang w:val="en-US" w:eastAsia="zh-CN" w:bidi="ar-SA"/>
        </w:rPr>
        <w:t>担保</w:t>
      </w:r>
      <w:bookmarkEnd w:id="1421"/>
    </w:p>
    <w:bookmarkEnd w:id="1422"/>
    <w:p w14:paraId="115600C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2F4479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发包人在工程款中逐期扣回预付款后，预付款担保额度应相应减少，但剩余的预付款担保金额不得低于未被扣回的预付款金额。</w:t>
      </w:r>
    </w:p>
    <w:p w14:paraId="2B2FF46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23" w:name="_Toc4784195"/>
      <w:bookmarkEnd w:id="1423"/>
      <w:bookmarkStart w:id="1424" w:name="_Toc4784194"/>
      <w:bookmarkEnd w:id="1424"/>
      <w:bookmarkStart w:id="1425" w:name="_Toc4784193"/>
      <w:bookmarkEnd w:id="1425"/>
      <w:bookmarkStart w:id="1426" w:name="_Ref531956963"/>
      <w:bookmarkStart w:id="1427" w:name="_Ref531956967"/>
      <w:bookmarkStart w:id="1428" w:name="_Ref4623398"/>
      <w:bookmarkStart w:id="1429" w:name="_Toc11918"/>
      <w:bookmarkStart w:id="1430" w:name="_Toc54862294"/>
      <w:r>
        <w:rPr>
          <w:rFonts w:hint="eastAsia" w:ascii="宋体" w:hAnsi="宋体" w:eastAsia="宋体" w:cs="宋体"/>
          <w:b/>
          <w:bCs/>
          <w:color w:val="auto"/>
          <w:kern w:val="2"/>
          <w:sz w:val="21"/>
          <w:szCs w:val="21"/>
          <w:highlight w:val="none"/>
          <w:lang w:val="en-US" w:eastAsia="zh-CN" w:bidi="ar-SA"/>
        </w:rPr>
        <w:t>14.3 工程进度款</w:t>
      </w:r>
      <w:bookmarkEnd w:id="1426"/>
      <w:bookmarkEnd w:id="1427"/>
      <w:bookmarkEnd w:id="1428"/>
      <w:bookmarkEnd w:id="1429"/>
      <w:bookmarkEnd w:id="1430"/>
    </w:p>
    <w:p w14:paraId="33EACF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31" w:name="_Ref532679934"/>
      <w:bookmarkStart w:id="1432" w:name="_Ref531956987"/>
      <w:r>
        <w:rPr>
          <w:rFonts w:hint="eastAsia" w:ascii="宋体" w:hAnsi="宋体" w:eastAsia="宋体" w:cs="宋体"/>
          <w:b w:val="0"/>
          <w:bCs w:val="0"/>
          <w:color w:val="auto"/>
          <w:kern w:val="2"/>
          <w:sz w:val="21"/>
          <w:szCs w:val="21"/>
          <w:highlight w:val="none"/>
          <w:lang w:val="en-US" w:eastAsia="zh-CN" w:bidi="ar-SA"/>
        </w:rPr>
        <w:t>14.3.1 工程进度付款申请</w:t>
      </w:r>
      <w:bookmarkEnd w:id="1431"/>
      <w:bookmarkEnd w:id="1432"/>
    </w:p>
    <w:p w14:paraId="6591603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（1）人工费的申请</w:t>
      </w:r>
    </w:p>
    <w:p w14:paraId="39C5EF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2DD75B4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（2）除专用合同条件另有约定外，承包人应在每月月末向工程师提交进度付款申请单，该进度付款申请单应包括下列内容：</w:t>
      </w:r>
    </w:p>
    <w:p w14:paraId="0D49CD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33" w:name="_Ref24496054"/>
      <w:r>
        <w:rPr>
          <w:rFonts w:hint="eastAsia" w:ascii="宋体" w:hAnsi="宋体" w:eastAsia="宋体" w:cs="宋体"/>
          <w:b w:val="0"/>
          <w:bCs w:val="0"/>
          <w:color w:val="auto"/>
          <w:kern w:val="2"/>
          <w:sz w:val="21"/>
          <w:szCs w:val="21"/>
          <w:highlight w:val="none"/>
          <w:lang w:val="en-US" w:eastAsia="zh-CN" w:bidi="ar-SA"/>
        </w:rPr>
        <w:t>1） 截至本次付款周期内已完成工作对应的金额；</w:t>
      </w:r>
      <w:bookmarkEnd w:id="1433"/>
    </w:p>
    <w:p w14:paraId="1A02FE7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扣除依据本款第（1）目约定中已扣除的人工费金额；</w:t>
      </w:r>
    </w:p>
    <w:p w14:paraId="29253A1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根据第13条[变更与调整]应增加和扣减的变更金额；</w:t>
      </w:r>
    </w:p>
    <w:p w14:paraId="3384117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根据第14.2款[预付款]约定应支付的预付款和扣减的返还预付款；</w:t>
      </w:r>
    </w:p>
    <w:p w14:paraId="163A57B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根据第14.6.2项[质量保证金的预留]约定应预留的质量保证金金额；</w:t>
      </w:r>
    </w:p>
    <w:p w14:paraId="2C15AE0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根据第19条[索赔]应增加和扣减的索赔金额；</w:t>
      </w:r>
    </w:p>
    <w:p w14:paraId="28A0912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对已签发的进度款支付证书中出现错误的修正，应在本次进度付款中支付或扣除的金额；</w:t>
      </w:r>
    </w:p>
    <w:p w14:paraId="5262A5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 根据合同约定应增加和扣减的其他金额。</w:t>
      </w:r>
    </w:p>
    <w:p w14:paraId="60324A4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34" w:name="_Ref531957608"/>
      <w:r>
        <w:rPr>
          <w:rFonts w:hint="eastAsia" w:ascii="宋体" w:hAnsi="宋体" w:eastAsia="宋体" w:cs="宋体"/>
          <w:b w:val="0"/>
          <w:bCs w:val="0"/>
          <w:color w:val="auto"/>
          <w:kern w:val="2"/>
          <w:sz w:val="21"/>
          <w:szCs w:val="21"/>
          <w:highlight w:val="none"/>
          <w:lang w:val="en-US" w:eastAsia="zh-CN" w:bidi="ar-SA"/>
        </w:rPr>
        <w:t>14.3.2 进度付款审核和支付</w:t>
      </w:r>
      <w:bookmarkEnd w:id="1434"/>
    </w:p>
    <w:p w14:paraId="573660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E77F54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22937E4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7F6F1F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发包人签发进度款支付证书，不表明发包人已同意、批准或接受了承包人完成的相应部分的工作。</w:t>
      </w:r>
    </w:p>
    <w:p w14:paraId="1D1BBC4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35" w:name="_Ref531957023"/>
      <w:r>
        <w:rPr>
          <w:rFonts w:hint="eastAsia" w:ascii="宋体" w:hAnsi="宋体" w:eastAsia="宋体" w:cs="宋体"/>
          <w:b w:val="0"/>
          <w:bCs w:val="0"/>
          <w:color w:val="auto"/>
          <w:kern w:val="2"/>
          <w:sz w:val="21"/>
          <w:szCs w:val="21"/>
          <w:highlight w:val="none"/>
          <w:lang w:val="en-US" w:eastAsia="zh-CN" w:bidi="ar-SA"/>
        </w:rPr>
        <w:t>14.3.3 进度付款的修正</w:t>
      </w:r>
      <w:bookmarkEnd w:id="1435"/>
    </w:p>
    <w:p w14:paraId="3744427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在对已签发的进度款支付证书进行阶段汇总和复核中发现错误、遗漏或重复的，发包人和承包人均有权提出修正申请。经发包人和承包人同意的修正，应在下期进度付款中支付或扣除。</w:t>
      </w:r>
    </w:p>
    <w:p w14:paraId="7DD5976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36" w:name="_Ref4538578"/>
      <w:bookmarkStart w:id="1437" w:name="_Toc54862295"/>
      <w:bookmarkStart w:id="1438" w:name="_Toc8055"/>
      <w:bookmarkStart w:id="1439" w:name="_Ref536647822"/>
      <w:bookmarkStart w:id="1440" w:name="_Ref536647814"/>
      <w:r>
        <w:rPr>
          <w:rFonts w:hint="eastAsia" w:ascii="宋体" w:hAnsi="宋体" w:eastAsia="宋体" w:cs="宋体"/>
          <w:b/>
          <w:bCs/>
          <w:color w:val="auto"/>
          <w:kern w:val="2"/>
          <w:sz w:val="21"/>
          <w:szCs w:val="21"/>
          <w:highlight w:val="none"/>
          <w:lang w:val="en-US" w:eastAsia="zh-CN" w:bidi="ar-SA"/>
        </w:rPr>
        <w:t>14.4 付款计划表</w:t>
      </w:r>
      <w:bookmarkEnd w:id="1436"/>
      <w:bookmarkEnd w:id="1437"/>
      <w:bookmarkEnd w:id="1438"/>
    </w:p>
    <w:p w14:paraId="77E8C2A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1" w:name="_Ref4570974"/>
      <w:r>
        <w:rPr>
          <w:rFonts w:hint="eastAsia" w:ascii="宋体" w:hAnsi="宋体" w:eastAsia="宋体" w:cs="宋体"/>
          <w:b w:val="0"/>
          <w:bCs w:val="0"/>
          <w:color w:val="auto"/>
          <w:kern w:val="2"/>
          <w:sz w:val="21"/>
          <w:szCs w:val="21"/>
          <w:highlight w:val="none"/>
          <w:lang w:val="en-US" w:eastAsia="zh-CN" w:bidi="ar-SA"/>
        </w:rPr>
        <w:t>14.4.1 付款计划表的编制要求</w:t>
      </w:r>
      <w:bookmarkEnd w:id="1441"/>
    </w:p>
    <w:p w14:paraId="5198E52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除专用合同条件另有约定外，付款计划表按如下要求编制：</w:t>
      </w:r>
    </w:p>
    <w:p w14:paraId="20C246A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付款计划表中所列的每期付款金额，应为第14.3.1项[工程进度付款申请]每期进度款的估算金额；</w:t>
      </w:r>
    </w:p>
    <w:p w14:paraId="49A7824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实际进度与项目进度计划不一致的，合同当事人可按照第3.6款[商定或确定]修改付款计划表；</w:t>
      </w:r>
    </w:p>
    <w:p w14:paraId="2946C1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不采用付款计划表的，承包人应向工程师提交按季度编制的支付估算付款计划表，用于支付参考。</w:t>
      </w:r>
    </w:p>
    <w:p w14:paraId="3143CE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2" w:name="_Ref4571011"/>
      <w:r>
        <w:rPr>
          <w:rFonts w:hint="eastAsia" w:ascii="宋体" w:hAnsi="宋体" w:eastAsia="宋体" w:cs="宋体"/>
          <w:b w:val="0"/>
          <w:bCs w:val="0"/>
          <w:color w:val="auto"/>
          <w:kern w:val="2"/>
          <w:sz w:val="21"/>
          <w:szCs w:val="21"/>
          <w:highlight w:val="none"/>
          <w:lang w:val="en-US" w:eastAsia="zh-CN" w:bidi="ar-SA"/>
        </w:rPr>
        <w:t>14.4.2 付款计划表的编制与审批</w:t>
      </w:r>
      <w:bookmarkEnd w:id="1442"/>
    </w:p>
    <w:p w14:paraId="749F9AB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54D1E7A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工程师应在收到付款计划表后7天内完成审核并报送发包人。发包人应在收到经工程师审核的付款计划表后7天内完成审批，经发包人批准的付款计划表为有约束力的付款计划表。</w:t>
      </w:r>
    </w:p>
    <w:p w14:paraId="0BEAFD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发包人逾期未完成付款计划表审批的，也未及时要求承包人进行修正和提供补充资料的，则承包人提交的付款计划表视为已经获得发包人批准。</w:t>
      </w:r>
    </w:p>
    <w:p w14:paraId="448709F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3" w:name="_Toc54862296"/>
      <w:bookmarkStart w:id="1444" w:name="_Ref4538634"/>
      <w:bookmarkStart w:id="1445" w:name="_Toc30146"/>
      <w:r>
        <w:rPr>
          <w:rFonts w:hint="eastAsia" w:ascii="宋体" w:hAnsi="宋体" w:eastAsia="宋体" w:cs="宋体"/>
          <w:b w:val="0"/>
          <w:bCs w:val="0"/>
          <w:color w:val="auto"/>
          <w:kern w:val="2"/>
          <w:sz w:val="21"/>
          <w:szCs w:val="21"/>
          <w:highlight w:val="none"/>
          <w:lang w:val="en-US" w:eastAsia="zh-CN" w:bidi="ar-SA"/>
        </w:rPr>
        <w:t>14.5 竣工结算</w:t>
      </w:r>
      <w:bookmarkEnd w:id="1443"/>
      <w:bookmarkEnd w:id="1444"/>
      <w:bookmarkEnd w:id="1445"/>
    </w:p>
    <w:p w14:paraId="13665E1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6" w:name="_Ref4571361"/>
      <w:r>
        <w:rPr>
          <w:rFonts w:hint="eastAsia" w:ascii="宋体" w:hAnsi="宋体" w:eastAsia="宋体" w:cs="宋体"/>
          <w:b w:val="0"/>
          <w:bCs w:val="0"/>
          <w:color w:val="auto"/>
          <w:kern w:val="2"/>
          <w:sz w:val="21"/>
          <w:szCs w:val="21"/>
          <w:highlight w:val="none"/>
          <w:lang w:val="en-US" w:eastAsia="zh-CN" w:bidi="ar-SA"/>
        </w:rPr>
        <w:t>14.5.1 竣工结算申请</w:t>
      </w:r>
      <w:bookmarkEnd w:id="1446"/>
    </w:p>
    <w:p w14:paraId="4DCF846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4237AB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除专用合同条件另有约定外，竣工结算申请单应包括以下内容：</w:t>
      </w:r>
    </w:p>
    <w:p w14:paraId="66025C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竣工结算合同价格；</w:t>
      </w:r>
    </w:p>
    <w:p w14:paraId="5EFFAD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发包人已支付承包人的款项；</w:t>
      </w:r>
    </w:p>
    <w:p w14:paraId="25E33C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0A9C110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发包人应支付承包人的合同价款。</w:t>
      </w:r>
    </w:p>
    <w:p w14:paraId="1E01CC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7" w:name="_Ref4571384"/>
      <w:r>
        <w:rPr>
          <w:rFonts w:hint="eastAsia" w:ascii="宋体" w:hAnsi="宋体" w:eastAsia="宋体" w:cs="宋体"/>
          <w:b w:val="0"/>
          <w:bCs w:val="0"/>
          <w:color w:val="auto"/>
          <w:kern w:val="2"/>
          <w:sz w:val="21"/>
          <w:szCs w:val="21"/>
          <w:highlight w:val="none"/>
          <w:lang w:val="en-US" w:eastAsia="zh-CN" w:bidi="ar-SA"/>
        </w:rPr>
        <w:t>14.5.2 竣工结算审核</w:t>
      </w:r>
      <w:bookmarkEnd w:id="1447"/>
    </w:p>
    <w:p w14:paraId="3678E5D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4F671FD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78255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8" w:name="_Ref4618006"/>
      <w:r>
        <w:rPr>
          <w:rFonts w:hint="eastAsia" w:ascii="宋体" w:hAnsi="宋体" w:eastAsia="宋体" w:cs="宋体"/>
          <w:b w:val="0"/>
          <w:bCs w:val="0"/>
          <w:color w:val="auto"/>
          <w:kern w:val="2"/>
          <w:sz w:val="21"/>
          <w:szCs w:val="21"/>
          <w:highlight w:val="none"/>
          <w:lang w:val="en-US" w:eastAsia="zh-CN" w:bidi="ar-SA"/>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448"/>
    </w:p>
    <w:p w14:paraId="12A5F9C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0BA42A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49" w:name="_Ref15484305"/>
      <w:r>
        <w:rPr>
          <w:rFonts w:hint="eastAsia" w:ascii="宋体" w:hAnsi="宋体" w:eastAsia="宋体" w:cs="宋体"/>
          <w:b w:val="0"/>
          <w:bCs w:val="0"/>
          <w:color w:val="auto"/>
          <w:kern w:val="2"/>
          <w:sz w:val="21"/>
          <w:szCs w:val="21"/>
          <w:highlight w:val="none"/>
          <w:lang w:val="en-US" w:eastAsia="zh-CN" w:bidi="ar-SA"/>
        </w:rPr>
        <w:t>14.5.3 扫尾工作清单</w:t>
      </w:r>
      <w:bookmarkEnd w:id="1449"/>
    </w:p>
    <w:p w14:paraId="64952C8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经双方协商，部分工作在工程竣工验收后进行的，承包人应当编制扫尾工作清单，扫尾工作清单中应当列明承包人应当完成的扫尾工作的内容及完成时间。</w:t>
      </w:r>
    </w:p>
    <w:p w14:paraId="5FF5C8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承包人完成扫尾工作清单中的内容应取得的费用包含在第14.5.1项[竣工结算申请]及第14.5.2项[竣工结算审核]中一并结算。</w:t>
      </w:r>
    </w:p>
    <w:p w14:paraId="6C3D6A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扫尾工作的缺陷责任期按第11条[缺陷责任与保修]处理。承包人未能按照扫尾工作清单约定的完成时间完成扫尾工作的，视为承包人原因导致的工程质量缺陷按照第11.3款[缺陷调查]处理。</w:t>
      </w:r>
    </w:p>
    <w:p w14:paraId="68A353B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50" w:name="_Ref15395020"/>
      <w:bookmarkStart w:id="1451" w:name="_Toc2046"/>
      <w:bookmarkStart w:id="1452" w:name="_Ref4582115"/>
      <w:bookmarkStart w:id="1453" w:name="_Ref4571100"/>
      <w:bookmarkStart w:id="1454" w:name="_Ref4617592"/>
      <w:bookmarkStart w:id="1455" w:name="_Ref4571127"/>
      <w:bookmarkStart w:id="1456" w:name="_Toc54862297"/>
      <w:bookmarkStart w:id="1457" w:name="_Ref4617582"/>
      <w:bookmarkStart w:id="1458" w:name="_Hlk15394931"/>
      <w:r>
        <w:rPr>
          <w:rFonts w:hint="eastAsia" w:ascii="宋体" w:hAnsi="宋体" w:eastAsia="宋体" w:cs="宋体"/>
          <w:b/>
          <w:bCs/>
          <w:color w:val="auto"/>
          <w:kern w:val="2"/>
          <w:sz w:val="21"/>
          <w:szCs w:val="21"/>
          <w:highlight w:val="none"/>
          <w:lang w:val="en-US" w:eastAsia="zh-CN" w:bidi="ar-SA"/>
        </w:rPr>
        <w:t>14.6 质量保证金</w:t>
      </w:r>
      <w:bookmarkEnd w:id="1439"/>
      <w:bookmarkEnd w:id="1440"/>
      <w:bookmarkEnd w:id="1450"/>
      <w:bookmarkEnd w:id="1451"/>
      <w:bookmarkEnd w:id="1452"/>
      <w:bookmarkEnd w:id="1453"/>
      <w:bookmarkEnd w:id="1454"/>
      <w:bookmarkEnd w:id="1455"/>
      <w:bookmarkEnd w:id="1456"/>
      <w:bookmarkEnd w:id="1457"/>
      <w:r>
        <w:rPr>
          <w:rFonts w:hint="eastAsia" w:ascii="宋体" w:hAnsi="宋体" w:eastAsia="宋体" w:cs="宋体"/>
          <w:b/>
          <w:bCs/>
          <w:color w:val="auto"/>
          <w:kern w:val="2"/>
          <w:sz w:val="21"/>
          <w:szCs w:val="21"/>
          <w:highlight w:val="none"/>
          <w:lang w:val="en-US" w:eastAsia="zh-CN" w:bidi="ar-SA"/>
        </w:rPr>
        <w:t xml:space="preserve"> </w:t>
      </w:r>
    </w:p>
    <w:p w14:paraId="0178E4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经合同当事人协商一致提供质量保证金的，应在专用合同条件中予以明确。在工程项目竣工前，承包人已经提供履约担保的，发包人不得同时要求承包人提供质量保证金。</w:t>
      </w:r>
    </w:p>
    <w:bookmarkEnd w:id="1458"/>
    <w:p w14:paraId="4E90C3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59" w:name="_Ref531955069"/>
      <w:bookmarkStart w:id="1460" w:name="_Ref531957153"/>
      <w:r>
        <w:rPr>
          <w:rFonts w:hint="eastAsia" w:ascii="宋体" w:hAnsi="宋体" w:eastAsia="宋体" w:cs="宋体"/>
          <w:b w:val="0"/>
          <w:bCs w:val="0"/>
          <w:color w:val="auto"/>
          <w:kern w:val="2"/>
          <w:sz w:val="21"/>
          <w:szCs w:val="21"/>
          <w:highlight w:val="none"/>
          <w:lang w:val="en-US" w:eastAsia="zh-CN" w:bidi="ar-SA"/>
        </w:rPr>
        <w:t>14.6.1 承包人提供质量保证金的方式</w:t>
      </w:r>
      <w:bookmarkEnd w:id="1459"/>
    </w:p>
    <w:p w14:paraId="11C967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承包人提供质量保证金有以下三种方式：</w:t>
      </w:r>
    </w:p>
    <w:p w14:paraId="587FCD9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1" w:name="_Ref531955096"/>
      <w:r>
        <w:rPr>
          <w:rFonts w:hint="eastAsia" w:ascii="宋体" w:hAnsi="宋体" w:eastAsia="宋体" w:cs="宋体"/>
          <w:b w:val="0"/>
          <w:bCs w:val="0"/>
          <w:color w:val="auto"/>
          <w:kern w:val="2"/>
          <w:sz w:val="21"/>
          <w:szCs w:val="21"/>
          <w:highlight w:val="none"/>
          <w:lang w:val="en-US" w:eastAsia="zh-CN" w:bidi="ar-SA"/>
        </w:rPr>
        <w:t>（1） 提交工程质量保证担保；</w:t>
      </w:r>
      <w:bookmarkEnd w:id="1461"/>
    </w:p>
    <w:p w14:paraId="7133C56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2" w:name="_Ref531955107"/>
      <w:r>
        <w:rPr>
          <w:rFonts w:hint="eastAsia" w:ascii="宋体" w:hAnsi="宋体" w:eastAsia="宋体" w:cs="宋体"/>
          <w:b w:val="0"/>
          <w:bCs w:val="0"/>
          <w:color w:val="auto"/>
          <w:kern w:val="2"/>
          <w:sz w:val="21"/>
          <w:szCs w:val="21"/>
          <w:highlight w:val="none"/>
          <w:lang w:val="en-US" w:eastAsia="zh-CN" w:bidi="ar-SA"/>
        </w:rPr>
        <w:t>（2） 预留相应比例的工程款；</w:t>
      </w:r>
      <w:bookmarkEnd w:id="1462"/>
    </w:p>
    <w:p w14:paraId="59EB8B8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3" w:name="_Ref531955117"/>
      <w:r>
        <w:rPr>
          <w:rFonts w:hint="eastAsia" w:ascii="宋体" w:hAnsi="宋体" w:eastAsia="宋体" w:cs="宋体"/>
          <w:b w:val="0"/>
          <w:bCs w:val="0"/>
          <w:color w:val="auto"/>
          <w:kern w:val="2"/>
          <w:sz w:val="21"/>
          <w:szCs w:val="21"/>
          <w:highlight w:val="none"/>
          <w:lang w:val="en-US" w:eastAsia="zh-CN" w:bidi="ar-SA"/>
        </w:rPr>
        <w:t>（3） 双方约定的其他方式。</w:t>
      </w:r>
      <w:bookmarkEnd w:id="1463"/>
    </w:p>
    <w:p w14:paraId="00DFC0F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68A31A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4" w:name="_Ref15419738"/>
      <w:bookmarkStart w:id="1465" w:name="_Ref18931667"/>
      <w:r>
        <w:rPr>
          <w:rFonts w:hint="eastAsia" w:ascii="宋体" w:hAnsi="宋体" w:eastAsia="宋体" w:cs="宋体"/>
          <w:b w:val="0"/>
          <w:bCs w:val="0"/>
          <w:color w:val="auto"/>
          <w:kern w:val="2"/>
          <w:sz w:val="21"/>
          <w:szCs w:val="21"/>
          <w:highlight w:val="none"/>
          <w:lang w:val="en-US" w:eastAsia="zh-CN" w:bidi="ar-SA"/>
        </w:rPr>
        <w:t>14.6.2 质量保证金的预留</w:t>
      </w:r>
      <w:bookmarkEnd w:id="1464"/>
      <w:bookmarkEnd w:id="1465"/>
    </w:p>
    <w:p w14:paraId="18CF52A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双方约定采用预留相应比例的工程款方式提供质量保证金的，质量保证金的预留有以下三种方式：</w:t>
      </w:r>
    </w:p>
    <w:p w14:paraId="72663AA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6" w:name="_Hlk18840714"/>
      <w:bookmarkStart w:id="1467" w:name="_Ref531955143"/>
      <w:r>
        <w:rPr>
          <w:rFonts w:hint="eastAsia" w:ascii="宋体" w:hAnsi="宋体" w:eastAsia="宋体" w:cs="宋体"/>
          <w:b w:val="0"/>
          <w:bCs w:val="0"/>
          <w:color w:val="auto"/>
          <w:kern w:val="2"/>
          <w:sz w:val="21"/>
          <w:szCs w:val="21"/>
          <w:highlight w:val="none"/>
          <w:lang w:val="en-US" w:eastAsia="zh-CN" w:bidi="ar-SA"/>
        </w:rPr>
        <w:t>（1） 按专用合同条件的约定在支付工程进度款时逐次预留，直至预留的质量保证金总额达到专用合同条件约定的金额或比例为止</w:t>
      </w:r>
      <w:bookmarkEnd w:id="1466"/>
      <w:r>
        <w:rPr>
          <w:rFonts w:hint="eastAsia" w:ascii="宋体" w:hAnsi="宋体" w:eastAsia="宋体" w:cs="宋体"/>
          <w:b w:val="0"/>
          <w:bCs w:val="0"/>
          <w:color w:val="auto"/>
          <w:kern w:val="2"/>
          <w:sz w:val="21"/>
          <w:szCs w:val="21"/>
          <w:highlight w:val="none"/>
          <w:lang w:val="en-US" w:eastAsia="zh-CN" w:bidi="ar-SA"/>
        </w:rPr>
        <w:t>。在此情形下，质量保证金的计算基数不包括预付款的支付、扣回以及价格调整的金额；</w:t>
      </w:r>
      <w:bookmarkEnd w:id="1467"/>
    </w:p>
    <w:p w14:paraId="39FFBB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8" w:name="_Ref531955151"/>
      <w:r>
        <w:rPr>
          <w:rFonts w:hint="eastAsia" w:ascii="宋体" w:hAnsi="宋体" w:eastAsia="宋体" w:cs="宋体"/>
          <w:b w:val="0"/>
          <w:bCs w:val="0"/>
          <w:color w:val="auto"/>
          <w:kern w:val="2"/>
          <w:sz w:val="21"/>
          <w:szCs w:val="21"/>
          <w:highlight w:val="none"/>
          <w:lang w:val="en-US" w:eastAsia="zh-CN" w:bidi="ar-SA"/>
        </w:rPr>
        <w:t>（2） 工程竣工结算时一次性预留质量保证金；</w:t>
      </w:r>
      <w:bookmarkEnd w:id="1468"/>
    </w:p>
    <w:p w14:paraId="46D1B85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69" w:name="_Ref531955161"/>
      <w:r>
        <w:rPr>
          <w:rFonts w:hint="eastAsia" w:ascii="宋体" w:hAnsi="宋体" w:eastAsia="宋体" w:cs="宋体"/>
          <w:b w:val="0"/>
          <w:bCs w:val="0"/>
          <w:color w:val="auto"/>
          <w:kern w:val="2"/>
          <w:sz w:val="21"/>
          <w:szCs w:val="21"/>
          <w:highlight w:val="none"/>
          <w:lang w:val="en-US" w:eastAsia="zh-CN" w:bidi="ar-SA"/>
        </w:rPr>
        <w:t>（3） 双方约定的其他预留方式。</w:t>
      </w:r>
      <w:bookmarkEnd w:id="1469"/>
    </w:p>
    <w:p w14:paraId="5672DAD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302CE77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70" w:name="_Ref532690096"/>
      <w:bookmarkStart w:id="1471" w:name="_Ref4571243"/>
      <w:r>
        <w:rPr>
          <w:rFonts w:hint="eastAsia" w:ascii="宋体" w:hAnsi="宋体" w:eastAsia="宋体" w:cs="宋体"/>
          <w:b w:val="0"/>
          <w:bCs w:val="0"/>
          <w:color w:val="auto"/>
          <w:kern w:val="2"/>
          <w:sz w:val="21"/>
          <w:szCs w:val="21"/>
          <w:highlight w:val="none"/>
          <w:lang w:val="en-US" w:eastAsia="zh-CN" w:bidi="ar-SA"/>
        </w:rPr>
        <w:t>14.6.3 质量保证金的</w:t>
      </w:r>
      <w:bookmarkEnd w:id="1470"/>
      <w:r>
        <w:rPr>
          <w:rFonts w:hint="eastAsia" w:ascii="宋体" w:hAnsi="宋体" w:eastAsia="宋体" w:cs="宋体"/>
          <w:b w:val="0"/>
          <w:bCs w:val="0"/>
          <w:color w:val="auto"/>
          <w:kern w:val="2"/>
          <w:sz w:val="21"/>
          <w:szCs w:val="21"/>
          <w:highlight w:val="none"/>
          <w:lang w:val="en-US" w:eastAsia="zh-CN" w:bidi="ar-SA"/>
        </w:rPr>
        <w:t>返还</w:t>
      </w:r>
      <w:bookmarkEnd w:id="1471"/>
    </w:p>
    <w:p w14:paraId="221A5E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缺陷责任期内，承包人认真履行合同约定的责任，缺陷责任期满，发包人根据第11.6款[缺陷责任期终止证书]向承包人颁发缺陷责任期终止证书后，承包人可向发包人申请返还质量保证金。</w:t>
      </w:r>
    </w:p>
    <w:p w14:paraId="7BFDF0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12012B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发包人和承包人对质量保证金预留、返还以及工程维修质量、费用有争议的，按本合同第20条[争议解决]约定的争议和纠纷解决程序处理。</w:t>
      </w:r>
    </w:p>
    <w:bookmarkEnd w:id="1460"/>
    <w:p w14:paraId="7298DDC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72" w:name="_Toc8547"/>
      <w:bookmarkStart w:id="1473" w:name="_Ref531957339"/>
      <w:bookmarkStart w:id="1474" w:name="_Toc54862298"/>
      <w:bookmarkStart w:id="1475" w:name="_Ref531957341"/>
      <w:r>
        <w:rPr>
          <w:rFonts w:hint="eastAsia" w:ascii="宋体" w:hAnsi="宋体" w:eastAsia="宋体" w:cs="宋体"/>
          <w:b/>
          <w:bCs/>
          <w:color w:val="auto"/>
          <w:kern w:val="2"/>
          <w:sz w:val="21"/>
          <w:szCs w:val="21"/>
          <w:highlight w:val="none"/>
          <w:lang w:val="en-US" w:eastAsia="zh-CN" w:bidi="ar-SA"/>
        </w:rPr>
        <w:t>14.7 最终结清</w:t>
      </w:r>
      <w:bookmarkEnd w:id="1472"/>
      <w:bookmarkEnd w:id="1473"/>
      <w:bookmarkEnd w:id="1474"/>
      <w:bookmarkEnd w:id="1475"/>
      <w:r>
        <w:rPr>
          <w:rFonts w:hint="eastAsia" w:ascii="宋体" w:hAnsi="宋体" w:eastAsia="宋体" w:cs="宋体"/>
          <w:b/>
          <w:bCs/>
          <w:color w:val="auto"/>
          <w:kern w:val="2"/>
          <w:sz w:val="21"/>
          <w:szCs w:val="21"/>
          <w:highlight w:val="none"/>
          <w:lang w:val="en-US" w:eastAsia="zh-CN" w:bidi="ar-SA"/>
        </w:rPr>
        <w:t xml:space="preserve"> </w:t>
      </w:r>
    </w:p>
    <w:p w14:paraId="328C8A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76" w:name="_Ref531957350"/>
      <w:r>
        <w:rPr>
          <w:rFonts w:hint="eastAsia" w:ascii="宋体" w:hAnsi="宋体" w:eastAsia="宋体" w:cs="宋体"/>
          <w:b w:val="0"/>
          <w:bCs w:val="0"/>
          <w:color w:val="auto"/>
          <w:kern w:val="2"/>
          <w:sz w:val="21"/>
          <w:szCs w:val="21"/>
          <w:highlight w:val="none"/>
          <w:lang w:val="en-US" w:eastAsia="zh-CN" w:bidi="ar-SA"/>
        </w:rPr>
        <w:t>14.7.1 最终结清申请</w:t>
      </w:r>
      <w:bookmarkEnd w:id="1476"/>
      <w:r>
        <w:rPr>
          <w:rFonts w:hint="eastAsia" w:ascii="宋体" w:hAnsi="宋体" w:eastAsia="宋体" w:cs="宋体"/>
          <w:b w:val="0"/>
          <w:bCs w:val="0"/>
          <w:color w:val="auto"/>
          <w:kern w:val="2"/>
          <w:sz w:val="21"/>
          <w:szCs w:val="21"/>
          <w:highlight w:val="none"/>
          <w:lang w:val="en-US" w:eastAsia="zh-CN" w:bidi="ar-SA"/>
        </w:rPr>
        <w:t>单</w:t>
      </w:r>
    </w:p>
    <w:p w14:paraId="567C574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除专用合同条件另有约定外，承包人应在缺陷责任期终止证书颁发后7天内，按专用合同条件约定的份数向发包人提交最终结清申请单，并提供相关证明材料。</w:t>
      </w:r>
    </w:p>
    <w:p w14:paraId="4052911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除专用合同条件另有约定外，最终结清申请单应列明质量保证金、应扣除的质量保证金、缺陷责任期内发生的增减费用。</w:t>
      </w:r>
    </w:p>
    <w:p w14:paraId="1E6E4FD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发包人对最终结清申请单内容有异议的，有权要求承包人进行修正和提供补充资料，承包人应向发包人提交修正后的最终结清申请单。</w:t>
      </w:r>
    </w:p>
    <w:p w14:paraId="5D9481A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77" w:name="_Ref531957369"/>
      <w:bookmarkStart w:id="1478" w:name="_Ref4624099"/>
      <w:r>
        <w:rPr>
          <w:rFonts w:hint="eastAsia" w:ascii="宋体" w:hAnsi="宋体" w:eastAsia="宋体" w:cs="宋体"/>
          <w:b w:val="0"/>
          <w:bCs w:val="0"/>
          <w:color w:val="auto"/>
          <w:kern w:val="2"/>
          <w:sz w:val="21"/>
          <w:szCs w:val="21"/>
          <w:highlight w:val="none"/>
          <w:lang w:val="en-US" w:eastAsia="zh-CN" w:bidi="ar-SA"/>
        </w:rPr>
        <w:t>14.7.2 最终结清证书</w:t>
      </w:r>
      <w:bookmarkEnd w:id="1477"/>
      <w:r>
        <w:rPr>
          <w:rFonts w:hint="eastAsia" w:ascii="宋体" w:hAnsi="宋体" w:eastAsia="宋体" w:cs="宋体"/>
          <w:b w:val="0"/>
          <w:bCs w:val="0"/>
          <w:color w:val="auto"/>
          <w:kern w:val="2"/>
          <w:sz w:val="21"/>
          <w:szCs w:val="21"/>
          <w:highlight w:val="none"/>
          <w:lang w:val="en-US" w:eastAsia="zh-CN" w:bidi="ar-SA"/>
        </w:rPr>
        <w:t>和支付</w:t>
      </w:r>
      <w:bookmarkEnd w:id="1478"/>
    </w:p>
    <w:p w14:paraId="29A88F7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D080D4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除专用合同条件另有约定外，发包人应在颁发最终结清证书后7天内完成支付。发包人逾期支付的，按照贷款市场报价利率（LPR）支付利息；逾期支付超过56天的，按照贷款市场报价利率（LPR）的两倍支付利息。</w:t>
      </w:r>
    </w:p>
    <w:p w14:paraId="768ABF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承包人对发包人颁发的最终结清证书有异议的，按第20条[争议解决]的约定办理。</w:t>
      </w:r>
    </w:p>
    <w:p w14:paraId="0037074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79" w:name="_Ref11874957"/>
      <w:bookmarkStart w:id="1480" w:name="_Ref11920407"/>
      <w:bookmarkStart w:id="1481" w:name="_Toc30362"/>
      <w:bookmarkStart w:id="1482" w:name="_Ref11920396"/>
      <w:bookmarkStart w:id="1483" w:name="_Toc54862299"/>
      <w:r>
        <w:rPr>
          <w:rFonts w:hint="eastAsia" w:ascii="宋体" w:hAnsi="宋体" w:eastAsia="宋体" w:cs="宋体"/>
          <w:b/>
          <w:bCs/>
          <w:color w:val="auto"/>
          <w:kern w:val="2"/>
          <w:sz w:val="21"/>
          <w:szCs w:val="21"/>
          <w:highlight w:val="none"/>
          <w:lang w:val="en-US" w:eastAsia="zh-CN" w:bidi="ar-SA"/>
        </w:rPr>
        <w:t>第15条 违约</w:t>
      </w:r>
      <w:bookmarkEnd w:id="1322"/>
      <w:bookmarkEnd w:id="1327"/>
      <w:bookmarkEnd w:id="1328"/>
      <w:bookmarkEnd w:id="1479"/>
      <w:bookmarkEnd w:id="1480"/>
      <w:bookmarkEnd w:id="1481"/>
      <w:bookmarkEnd w:id="1482"/>
      <w:bookmarkEnd w:id="1483"/>
    </w:p>
    <w:p w14:paraId="191CC38E">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bookmarkStart w:id="1484" w:name="_Ref4534384"/>
      <w:bookmarkStart w:id="1485" w:name="_Ref4534399"/>
      <w:bookmarkStart w:id="1486" w:name="_Ref4534376"/>
      <w:bookmarkStart w:id="1487" w:name="_Toc54862300"/>
      <w:bookmarkStart w:id="1488" w:name="_Toc7601"/>
      <w:bookmarkStart w:id="1489" w:name="_Ref4534411"/>
      <w:r>
        <w:rPr>
          <w:rFonts w:hint="eastAsia" w:ascii="宋体" w:hAnsi="宋体" w:eastAsia="宋体" w:cs="宋体"/>
          <w:b/>
          <w:bCs/>
          <w:color w:val="auto"/>
          <w:kern w:val="2"/>
          <w:sz w:val="21"/>
          <w:szCs w:val="21"/>
          <w:highlight w:val="none"/>
          <w:lang w:val="en-US" w:eastAsia="zh-CN" w:bidi="ar-SA"/>
        </w:rPr>
        <w:t>15.1 发包人违约</w:t>
      </w:r>
      <w:bookmarkEnd w:id="1484"/>
      <w:bookmarkEnd w:id="1485"/>
      <w:bookmarkEnd w:id="1486"/>
      <w:bookmarkEnd w:id="1487"/>
      <w:bookmarkEnd w:id="1488"/>
      <w:bookmarkEnd w:id="1489"/>
    </w:p>
    <w:p w14:paraId="573A81C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90" w:name="_Ref3841087"/>
      <w:r>
        <w:rPr>
          <w:rFonts w:hint="eastAsia" w:ascii="宋体" w:hAnsi="宋体" w:eastAsia="宋体" w:cs="宋体"/>
          <w:b w:val="0"/>
          <w:bCs w:val="0"/>
          <w:color w:val="auto"/>
          <w:kern w:val="2"/>
          <w:sz w:val="21"/>
          <w:szCs w:val="21"/>
          <w:highlight w:val="none"/>
          <w:lang w:val="en-US" w:eastAsia="zh-CN" w:bidi="ar-SA"/>
        </w:rPr>
        <w:t>15.1.1 发包人违约的情形</w:t>
      </w:r>
      <w:bookmarkEnd w:id="1490"/>
    </w:p>
    <w:p w14:paraId="596D41B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除专用合同条件另有约定外，在合同履行过程中发生的下列情形，属于发包人违约：</w:t>
      </w:r>
    </w:p>
    <w:p w14:paraId="158496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（1） 因发包人原因导致开始工作日期延误的； </w:t>
      </w:r>
    </w:p>
    <w:p w14:paraId="320323B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因发包人原因未能按合同约定支付合同价款的；</w:t>
      </w:r>
    </w:p>
    <w:p w14:paraId="00DFE42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发包人违反第13.1.1项约定，自行实施被取消的工作或转由他人实施的；</w:t>
      </w:r>
    </w:p>
    <w:p w14:paraId="68098E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因发包人违反合同约定造成工程暂停施工的；</w:t>
      </w:r>
    </w:p>
    <w:p w14:paraId="25803FE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工程师无正当理由没有在约定期限内发出复工指示，导致承包人无法复工的；</w:t>
      </w:r>
    </w:p>
    <w:p w14:paraId="36452F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发包人明确表示或者以其行为表明不履行合同主要义务的；</w:t>
      </w:r>
    </w:p>
    <w:p w14:paraId="0F8F5E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发包人未能按照合同约定履行其他义务的。</w:t>
      </w:r>
    </w:p>
    <w:p w14:paraId="3691C1C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91" w:name="_Ref4535692"/>
      <w:r>
        <w:rPr>
          <w:rFonts w:hint="eastAsia" w:ascii="宋体" w:hAnsi="宋体" w:eastAsia="宋体" w:cs="宋体"/>
          <w:b w:val="0"/>
          <w:bCs w:val="0"/>
          <w:color w:val="auto"/>
          <w:kern w:val="2"/>
          <w:sz w:val="21"/>
          <w:szCs w:val="21"/>
          <w:highlight w:val="none"/>
          <w:lang w:val="en-US" w:eastAsia="zh-CN" w:bidi="ar-SA"/>
        </w:rPr>
        <w:t>15.1.2 通知改正</w:t>
      </w:r>
      <w:bookmarkEnd w:id="1491"/>
    </w:p>
    <w:p w14:paraId="7147AF9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92" w:name="_Hlk16248297"/>
      <w:r>
        <w:rPr>
          <w:rFonts w:hint="eastAsia" w:ascii="宋体" w:hAnsi="宋体" w:eastAsia="宋体" w:cs="宋体"/>
          <w:b w:val="0"/>
          <w:bCs w:val="0"/>
          <w:color w:val="auto"/>
          <w:kern w:val="2"/>
          <w:sz w:val="21"/>
          <w:szCs w:val="21"/>
          <w:highlight w:val="none"/>
          <w:lang w:val="en-US" w:eastAsia="zh-CN" w:bidi="ar-SA"/>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1492"/>
    </w:p>
    <w:p w14:paraId="6C67E9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93" w:name="_Ref3841132"/>
      <w:r>
        <w:rPr>
          <w:rFonts w:hint="eastAsia" w:ascii="宋体" w:hAnsi="宋体" w:eastAsia="宋体" w:cs="宋体"/>
          <w:b w:val="0"/>
          <w:bCs w:val="0"/>
          <w:color w:val="auto"/>
          <w:kern w:val="2"/>
          <w:sz w:val="21"/>
          <w:szCs w:val="21"/>
          <w:highlight w:val="none"/>
          <w:lang w:val="en-US" w:eastAsia="zh-CN" w:bidi="ar-SA"/>
        </w:rPr>
        <w:t>15.1.3 发包人违约的责任</w:t>
      </w:r>
      <w:bookmarkEnd w:id="1493"/>
    </w:p>
    <w:p w14:paraId="7FE3FD9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94" w:name="_Hlk16247984"/>
      <w:r>
        <w:rPr>
          <w:rFonts w:hint="eastAsia" w:ascii="宋体" w:hAnsi="宋体" w:eastAsia="宋体" w:cs="宋体"/>
          <w:b w:val="0"/>
          <w:bCs w:val="0"/>
          <w:color w:val="auto"/>
          <w:kern w:val="2"/>
          <w:sz w:val="21"/>
          <w:szCs w:val="21"/>
          <w:highlight w:val="none"/>
          <w:lang w:val="en-US" w:eastAsia="zh-CN" w:bidi="ar-SA"/>
        </w:rPr>
        <w:t>发包人应承担因其违约给承包人增加的费用和（或）延误的工期，并支付承包人合理的利润。此外，合同当事人可在专用合同条件中另行约定发包人违约责任的承担方式和计算方法。</w:t>
      </w:r>
      <w:bookmarkEnd w:id="1494"/>
    </w:p>
    <w:p w14:paraId="68FACCA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495" w:name="_Ref11958660"/>
      <w:bookmarkStart w:id="1496" w:name="_Ref11958663"/>
      <w:bookmarkStart w:id="1497" w:name="_Toc21346"/>
      <w:bookmarkStart w:id="1498" w:name="_Toc54862301"/>
      <w:r>
        <w:rPr>
          <w:rFonts w:hint="eastAsia" w:ascii="宋体" w:hAnsi="宋体" w:eastAsia="宋体" w:cs="宋体"/>
          <w:b/>
          <w:bCs/>
          <w:color w:val="auto"/>
          <w:kern w:val="2"/>
          <w:sz w:val="21"/>
          <w:szCs w:val="21"/>
          <w:highlight w:val="none"/>
          <w:lang w:val="en-US" w:eastAsia="zh-CN" w:bidi="ar-SA"/>
        </w:rPr>
        <w:t>15.2 承包人违约</w:t>
      </w:r>
      <w:bookmarkEnd w:id="1495"/>
      <w:bookmarkEnd w:id="1496"/>
      <w:bookmarkEnd w:id="1497"/>
      <w:bookmarkEnd w:id="1498"/>
    </w:p>
    <w:p w14:paraId="5F04A05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499" w:name="_Ref3841153"/>
      <w:r>
        <w:rPr>
          <w:rFonts w:hint="eastAsia" w:ascii="宋体" w:hAnsi="宋体" w:eastAsia="宋体" w:cs="宋体"/>
          <w:b w:val="0"/>
          <w:bCs w:val="0"/>
          <w:color w:val="auto"/>
          <w:kern w:val="2"/>
          <w:sz w:val="21"/>
          <w:szCs w:val="21"/>
          <w:highlight w:val="none"/>
          <w:lang w:val="en-US" w:eastAsia="zh-CN" w:bidi="ar-SA"/>
        </w:rPr>
        <w:t>15.2.1 承包人违约的情形</w:t>
      </w:r>
      <w:bookmarkEnd w:id="1499"/>
    </w:p>
    <w:p w14:paraId="2D47AE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除专用合同条件另有约定外，在履行合同过程中发生的下列情况之一的，属于承包人违约：</w:t>
      </w:r>
    </w:p>
    <w:p w14:paraId="4001606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承包人的原因导致的承包人文件、实施和竣工的工程不符合法律法规、工程质量验收标准以及合同约定；</w:t>
      </w:r>
    </w:p>
    <w:p w14:paraId="3DDF95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承包人违反合同约定进行转包或违法分包的；</w:t>
      </w:r>
    </w:p>
    <w:p w14:paraId="37DEE0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承包人违反约定采购和使用不合格材料或工程设备；</w:t>
      </w:r>
    </w:p>
    <w:p w14:paraId="714B820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因承包人原因导致工程质量不符合合同要求的；</w:t>
      </w:r>
    </w:p>
    <w:p w14:paraId="6BFA026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承包人未经工程师批准，擅自将已按合同约定进入施工现场的施工设备、临时设施或材料撤离施工现场；</w:t>
      </w:r>
    </w:p>
    <w:p w14:paraId="37D9E4F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承包人未能按项目进度计划及时完成合同约定的工作，造成工期延误；</w:t>
      </w:r>
    </w:p>
    <w:p w14:paraId="61427A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由于承包人原因未能通过竣工试验或竣工后试验的；</w:t>
      </w:r>
    </w:p>
    <w:p w14:paraId="0AA6429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 承包人在缺陷责任期及保修期内，未能在合理期限对工程缺陷进行修复，或拒绝按发包人指示进行修复的；</w:t>
      </w:r>
    </w:p>
    <w:p w14:paraId="10668AF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 承包人明确表示或者以其行为表明不履行合同主要义务的；</w:t>
      </w:r>
    </w:p>
    <w:p w14:paraId="0AE7F8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 承包人未能按照合同约定履行其他义务的。</w:t>
      </w:r>
    </w:p>
    <w:p w14:paraId="2BBF03F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00" w:name="_Ref531958512"/>
      <w:r>
        <w:rPr>
          <w:rFonts w:hint="eastAsia" w:ascii="宋体" w:hAnsi="宋体" w:eastAsia="宋体" w:cs="宋体"/>
          <w:b w:val="0"/>
          <w:bCs w:val="0"/>
          <w:color w:val="auto"/>
          <w:kern w:val="2"/>
          <w:sz w:val="21"/>
          <w:szCs w:val="21"/>
          <w:highlight w:val="none"/>
          <w:lang w:val="en-US" w:eastAsia="zh-CN" w:bidi="ar-SA"/>
        </w:rPr>
        <w:t>15.2.2 通知改正</w:t>
      </w:r>
      <w:bookmarkEnd w:id="1500"/>
    </w:p>
    <w:p w14:paraId="78ADD0A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承包人发生除第15.2.1项第(7)目、第(9)目约定以外的其他违约情况时，工程师可在专用合同条件约定的合理期限内向承包人发出整改通知，要求其在指定的期限内改正。</w:t>
      </w:r>
    </w:p>
    <w:p w14:paraId="3A933C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01" w:name="_Ref3841166"/>
      <w:r>
        <w:rPr>
          <w:rFonts w:hint="eastAsia" w:ascii="宋体" w:hAnsi="宋体" w:eastAsia="宋体" w:cs="宋体"/>
          <w:b w:val="0"/>
          <w:bCs w:val="0"/>
          <w:color w:val="auto"/>
          <w:kern w:val="2"/>
          <w:sz w:val="21"/>
          <w:szCs w:val="21"/>
          <w:highlight w:val="none"/>
          <w:lang w:val="en-US" w:eastAsia="zh-CN" w:bidi="ar-SA"/>
        </w:rPr>
        <w:t>15.2.3 承包人违约的责任</w:t>
      </w:r>
      <w:bookmarkEnd w:id="1501"/>
    </w:p>
    <w:p w14:paraId="68833DB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承包人应承担因其违约行为而增加的费用和（或）延误的工期。此外，合同当事人可在专用合同条件中另行约定承包人违约责任的承担方式和计算方法。</w:t>
      </w:r>
    </w:p>
    <w:p w14:paraId="5D2CB20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02" w:name="_Toc54862302"/>
      <w:bookmarkStart w:id="1503" w:name="_Toc5087"/>
      <w:r>
        <w:rPr>
          <w:rFonts w:hint="eastAsia" w:ascii="宋体" w:hAnsi="宋体" w:eastAsia="宋体" w:cs="宋体"/>
          <w:b/>
          <w:bCs/>
          <w:color w:val="auto"/>
          <w:kern w:val="2"/>
          <w:sz w:val="21"/>
          <w:szCs w:val="21"/>
          <w:highlight w:val="none"/>
          <w:lang w:val="en-US" w:eastAsia="zh-CN" w:bidi="ar-SA"/>
        </w:rPr>
        <w:t>15.3 第三人造成的违约</w:t>
      </w:r>
      <w:bookmarkEnd w:id="1502"/>
      <w:bookmarkEnd w:id="1503"/>
    </w:p>
    <w:p w14:paraId="326B45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在履行合同过程中，一方当事人因第三人的原因造成违约的，应当向对方当事人承担违约责任。一方当事人和第三人之间的纠纷，依照法律规定或者按照约定解决。</w:t>
      </w:r>
    </w:p>
    <w:p w14:paraId="2E43886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04" w:name="_Toc54862303"/>
      <w:bookmarkStart w:id="1505" w:name="_Ref4510572"/>
      <w:bookmarkStart w:id="1506" w:name="_Toc18028"/>
      <w:bookmarkStart w:id="1507" w:name="_Ref532142069"/>
      <w:bookmarkStart w:id="1508" w:name="_Ref3840457"/>
      <w:r>
        <w:rPr>
          <w:rFonts w:hint="eastAsia" w:ascii="宋体" w:hAnsi="宋体" w:eastAsia="宋体" w:cs="宋体"/>
          <w:b/>
          <w:bCs/>
          <w:color w:val="auto"/>
          <w:kern w:val="2"/>
          <w:sz w:val="21"/>
          <w:szCs w:val="21"/>
          <w:highlight w:val="none"/>
          <w:lang w:val="en-US" w:eastAsia="zh-CN" w:bidi="ar-SA"/>
        </w:rPr>
        <w:t>第16条 合同解除</w:t>
      </w:r>
      <w:bookmarkEnd w:id="1504"/>
      <w:bookmarkEnd w:id="1505"/>
      <w:bookmarkEnd w:id="1506"/>
    </w:p>
    <w:p w14:paraId="72F40DB7">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bookmarkStart w:id="1509" w:name="_Toc54862304"/>
      <w:bookmarkStart w:id="1510" w:name="_Ref531958499"/>
      <w:bookmarkStart w:id="1511" w:name="_Toc18600"/>
      <w:bookmarkStart w:id="1512" w:name="_Ref531958502"/>
      <w:r>
        <w:rPr>
          <w:rFonts w:hint="eastAsia" w:ascii="宋体" w:hAnsi="宋体" w:eastAsia="宋体" w:cs="宋体"/>
          <w:b/>
          <w:bCs/>
          <w:color w:val="auto"/>
          <w:kern w:val="2"/>
          <w:sz w:val="21"/>
          <w:szCs w:val="21"/>
          <w:highlight w:val="none"/>
          <w:lang w:val="en-US" w:eastAsia="zh-CN" w:bidi="ar-SA"/>
        </w:rPr>
        <w:t>16.1 由发包人解除合同</w:t>
      </w:r>
      <w:bookmarkEnd w:id="1509"/>
      <w:bookmarkEnd w:id="1510"/>
      <w:bookmarkEnd w:id="1511"/>
      <w:bookmarkEnd w:id="1512"/>
    </w:p>
    <w:p w14:paraId="7F42F92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13" w:name="_Ref4535422"/>
      <w:r>
        <w:rPr>
          <w:rFonts w:hint="eastAsia" w:ascii="宋体" w:hAnsi="宋体" w:eastAsia="宋体" w:cs="宋体"/>
          <w:b w:val="0"/>
          <w:bCs w:val="0"/>
          <w:color w:val="auto"/>
          <w:kern w:val="2"/>
          <w:sz w:val="21"/>
          <w:szCs w:val="21"/>
          <w:highlight w:val="none"/>
          <w:lang w:val="en-US" w:eastAsia="zh-CN" w:bidi="ar-SA"/>
        </w:rPr>
        <w:t>16.1.1 因承包人违约解除合同</w:t>
      </w:r>
      <w:bookmarkEnd w:id="1513"/>
    </w:p>
    <w:p w14:paraId="741140F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31BA26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14" w:name="_Ref531958536"/>
      <w:r>
        <w:rPr>
          <w:rFonts w:hint="eastAsia" w:ascii="宋体" w:hAnsi="宋体" w:eastAsia="宋体" w:cs="宋体"/>
          <w:b w:val="0"/>
          <w:bCs w:val="0"/>
          <w:color w:val="auto"/>
          <w:kern w:val="2"/>
          <w:sz w:val="21"/>
          <w:szCs w:val="21"/>
          <w:highlight w:val="none"/>
          <w:lang w:val="en-US" w:eastAsia="zh-CN" w:bidi="ar-SA"/>
        </w:rPr>
        <w:t>（1） 承包人未能遵守第4.2款</w:t>
      </w:r>
      <w:bookmarkStart w:id="1515" w:name="_Hlk18839947"/>
      <w:r>
        <w:rPr>
          <w:rFonts w:hint="eastAsia" w:ascii="宋体" w:hAnsi="宋体" w:eastAsia="宋体" w:cs="宋体"/>
          <w:b w:val="0"/>
          <w:bCs w:val="0"/>
          <w:color w:val="auto"/>
          <w:kern w:val="2"/>
          <w:sz w:val="21"/>
          <w:szCs w:val="21"/>
          <w:highlight w:val="none"/>
          <w:lang w:val="en-US" w:eastAsia="zh-CN" w:bidi="ar-SA"/>
        </w:rPr>
        <w:t>[履约担保]</w:t>
      </w:r>
      <w:bookmarkEnd w:id="1515"/>
      <w:r>
        <w:rPr>
          <w:rFonts w:hint="eastAsia" w:ascii="宋体" w:hAnsi="宋体" w:eastAsia="宋体" w:cs="宋体"/>
          <w:b w:val="0"/>
          <w:bCs w:val="0"/>
          <w:color w:val="auto"/>
          <w:kern w:val="2"/>
          <w:sz w:val="21"/>
          <w:szCs w:val="21"/>
          <w:highlight w:val="none"/>
          <w:lang w:val="en-US" w:eastAsia="zh-CN" w:bidi="ar-SA"/>
        </w:rPr>
        <w:t>的约定；</w:t>
      </w:r>
    </w:p>
    <w:p w14:paraId="1AD1C8C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承包人未能遵守第4.5款[分包]有关分包和转包的约定；</w:t>
      </w:r>
    </w:p>
    <w:p w14:paraId="6E71CF8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承包人实际进度明显落后于进度计划，并且未按发包人的指令采取措施并修正进度计划；</w:t>
      </w:r>
    </w:p>
    <w:p w14:paraId="6C00FC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工程质量有严重缺陷，承包人无正当理由使修复开始日期拖延达28天以上；</w:t>
      </w:r>
    </w:p>
    <w:p w14:paraId="0598C0D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2A3CFC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承包人明确表示或以自己的行为表明不履行合同、或经发包人以书面形式通知其履约后仍未能依约履行合同、或以不适当的方式履行合同；</w:t>
      </w:r>
    </w:p>
    <w:p w14:paraId="41C7015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未能通过的竣工试验、未能通过的竣工后试验，使工程的任何部分和（或）整个工程丧失了主要使用功能、生产功能；</w:t>
      </w:r>
    </w:p>
    <w:p w14:paraId="4B710C1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 因承包人的原因暂停工作超过56天且暂停影响到整个工程，或因承包人的原因暂停工作超过182天；</w:t>
      </w:r>
    </w:p>
    <w:p w14:paraId="0B832F2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 承包人未能遵守第8.2款[竣工日期]规定，延误超过182天；</w:t>
      </w:r>
    </w:p>
    <w:p w14:paraId="41AB46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 工程师根据第15.2.2项[通知改正]发出整改通知后，承包人在指定的合理期限内仍不纠正违约行为并致使合同目的不能实现的。</w:t>
      </w:r>
    </w:p>
    <w:bookmarkEnd w:id="1514"/>
    <w:p w14:paraId="4C2D18E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16" w:name="_Ref3841839"/>
      <w:bookmarkStart w:id="1517" w:name="_Ref4624315"/>
      <w:r>
        <w:rPr>
          <w:rFonts w:hint="eastAsia" w:ascii="宋体" w:hAnsi="宋体" w:eastAsia="宋体" w:cs="宋体"/>
          <w:b w:val="0"/>
          <w:bCs w:val="0"/>
          <w:color w:val="auto"/>
          <w:kern w:val="2"/>
          <w:sz w:val="21"/>
          <w:szCs w:val="21"/>
          <w:highlight w:val="none"/>
          <w:lang w:val="en-US" w:eastAsia="zh-CN" w:bidi="ar-SA"/>
        </w:rPr>
        <w:t>16.1.2 因承包人违约解除合同后</w:t>
      </w:r>
      <w:bookmarkEnd w:id="1516"/>
      <w:r>
        <w:rPr>
          <w:rFonts w:hint="eastAsia" w:ascii="宋体" w:hAnsi="宋体" w:eastAsia="宋体" w:cs="宋体"/>
          <w:b w:val="0"/>
          <w:bCs w:val="0"/>
          <w:color w:val="auto"/>
          <w:kern w:val="2"/>
          <w:sz w:val="21"/>
          <w:szCs w:val="21"/>
          <w:highlight w:val="none"/>
          <w:lang w:val="en-US" w:eastAsia="zh-CN" w:bidi="ar-SA"/>
        </w:rPr>
        <w:t>承包人的义务</w:t>
      </w:r>
      <w:bookmarkEnd w:id="1517"/>
    </w:p>
    <w:p w14:paraId="7D2B5CD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合同解除后，承包人应按以下约定执行：</w:t>
      </w:r>
    </w:p>
    <w:p w14:paraId="208784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除了为保护生命、财产或工程安全、清理和必须执行的工作外，停止执行所有被通知解除的工作，并将相关人员撤离现场；</w:t>
      </w:r>
    </w:p>
    <w:p w14:paraId="4174BA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经发包人批准，承包人应将与被解除合同相关的和正在执行的分包合同及相关的责任和义务转让至发包人和（或）发包人指定方的名下，包括永久性工程及工程物资，以及相关工作；</w:t>
      </w:r>
    </w:p>
    <w:p w14:paraId="550093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移交已完成的永久性工程及负责已运抵现场的工程物资。在移交前，妥善做好己完工程和已运抵现场的工程物资的保管、维护和保养；</w:t>
      </w:r>
    </w:p>
    <w:p w14:paraId="79FA101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将发包人提供的所有信息及承包人为本工程编制的设计文件、技术资料及其它文件移交给发包人。在承包人留有的资料文件中，销毁与发包人提供的所有信息相关的数据及资料的备份；</w:t>
      </w:r>
    </w:p>
    <w:p w14:paraId="44B15C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移交相应实施阶段已经付款的并已完成的和尚待完成的设计文件、图纸、资料、操作维修手册、施工组织设计、质检资料、竣工资料等；</w:t>
      </w:r>
    </w:p>
    <w:p w14:paraId="0E3392D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16.1.3 因承包人违约解除合同后的估价、付款和结算</w:t>
      </w:r>
    </w:p>
    <w:p w14:paraId="0FC2A1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因承包人原因导致合同解除的，则合同当事人应在合同解除后28天内完成估价、付款和清算，并按以下约定执行：</w:t>
      </w:r>
    </w:p>
    <w:p w14:paraId="36AE377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合同解除后，按第3.6款[商定或确定]商定或确定承包人实际完成工作对应的合同价款，以及承包人已提供的材料、工程设备、施工设备和临时工程等的价值；</w:t>
      </w:r>
    </w:p>
    <w:p w14:paraId="22347DC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合同解除后，承包人应支付的违约金；</w:t>
      </w:r>
    </w:p>
    <w:p w14:paraId="598580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合同解除后，因解除合同给发包人造成的损失；</w:t>
      </w:r>
    </w:p>
    <w:p w14:paraId="7C92981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合同解除后，承包人应按照发包人的指示完成现场的清理和撤离；</w:t>
      </w:r>
    </w:p>
    <w:p w14:paraId="5CB9D5F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发包人和承包人应在合同解除后进行清算，出具最终结清付款证书，结清全部款项。</w:t>
      </w:r>
    </w:p>
    <w:p w14:paraId="5E43BCF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因承包人违约解除合同的，发包人有权暂停对承包人的付款，查清各项付款和已扣款项，发包人和承包人未能就合同解除后的清算和款项支付达成一致的，按照第20条[争议解决]的约定处理。</w:t>
      </w:r>
    </w:p>
    <w:p w14:paraId="0BB0B0E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16.1.4 因承包人违约解除合同的合同权益转让</w:t>
      </w:r>
    </w:p>
    <w:p w14:paraId="6CBC57F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652B268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18" w:name="_Toc54862305"/>
      <w:bookmarkStart w:id="1519" w:name="_Toc21118"/>
      <w:bookmarkStart w:id="1520" w:name="_Ref531958549"/>
      <w:bookmarkStart w:id="1521" w:name="_Ref531958554"/>
      <w:r>
        <w:rPr>
          <w:rFonts w:hint="eastAsia" w:ascii="宋体" w:hAnsi="宋体" w:eastAsia="宋体" w:cs="宋体"/>
          <w:b/>
          <w:bCs/>
          <w:color w:val="auto"/>
          <w:kern w:val="2"/>
          <w:sz w:val="21"/>
          <w:szCs w:val="21"/>
          <w:highlight w:val="none"/>
          <w:lang w:val="en-US" w:eastAsia="zh-CN" w:bidi="ar-SA"/>
        </w:rPr>
        <w:t>16.2 由承包人解除合同</w:t>
      </w:r>
      <w:bookmarkEnd w:id="1518"/>
      <w:bookmarkEnd w:id="1519"/>
      <w:bookmarkEnd w:id="1520"/>
      <w:bookmarkEnd w:id="1521"/>
    </w:p>
    <w:p w14:paraId="10BAC2C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22" w:name="_Ref3841758"/>
      <w:r>
        <w:rPr>
          <w:rFonts w:hint="eastAsia" w:ascii="宋体" w:hAnsi="宋体" w:eastAsia="宋体" w:cs="宋体"/>
          <w:b w:val="0"/>
          <w:bCs w:val="0"/>
          <w:color w:val="auto"/>
          <w:kern w:val="2"/>
          <w:sz w:val="21"/>
          <w:szCs w:val="21"/>
          <w:highlight w:val="none"/>
          <w:lang w:val="en-US" w:eastAsia="zh-CN" w:bidi="ar-SA"/>
        </w:rPr>
        <w:t>16.2.1 因发包人违约解除合同</w:t>
      </w:r>
      <w:bookmarkEnd w:id="1522"/>
    </w:p>
    <w:p w14:paraId="20A8107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69BC175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承包人就发包人未能遵守第2.5.2项关于发包人的资金安排发出通知后42天内，仍未收到合理的证明；</w:t>
      </w:r>
    </w:p>
    <w:p w14:paraId="12118C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（2） 在第14条规定的付款时间到期后42天内，承包人仍未收到应付款项； </w:t>
      </w:r>
    </w:p>
    <w:p w14:paraId="0BD6E52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发包人实质上未能根据合同约定履行其义务，构成根本性违约；</w:t>
      </w:r>
    </w:p>
    <w:p w14:paraId="00CE01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发承包双方订立本合同协议书后的84天内，承包人未收到根据第8.1款[开始工作]的开始工作通知；</w:t>
      </w:r>
    </w:p>
    <w:p w14:paraId="790851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7E7A0F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发包人未能遵守第2.5.3项的约定提交支付担保；</w:t>
      </w:r>
    </w:p>
    <w:p w14:paraId="45E9857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发包人未能执行第15.1.2项[通知改正]的约定，致使合同目的不能实现的；</w:t>
      </w:r>
    </w:p>
    <w:p w14:paraId="493863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 因发包人的原因暂停工作超过56天且暂停影响到整个工程，或因发包人的原因暂停工作超过182天的；</w:t>
      </w:r>
    </w:p>
    <w:p w14:paraId="2057DBB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 因发包人原因造成开始工作日期迟于承包人收到中标通知书（或在无中标通知书的情况下，订立本合同之日）后第84天的。</w:t>
      </w:r>
    </w:p>
    <w:p w14:paraId="56E736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29CA36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23" w:name="_Ref3842018"/>
      <w:bookmarkStart w:id="1524" w:name="_Ref4624336"/>
      <w:r>
        <w:rPr>
          <w:rFonts w:hint="eastAsia" w:ascii="宋体" w:hAnsi="宋体" w:eastAsia="宋体" w:cs="宋体"/>
          <w:b w:val="0"/>
          <w:bCs w:val="0"/>
          <w:color w:val="auto"/>
          <w:kern w:val="2"/>
          <w:sz w:val="21"/>
          <w:szCs w:val="21"/>
          <w:highlight w:val="none"/>
          <w:lang w:val="en-US" w:eastAsia="zh-CN" w:bidi="ar-SA"/>
        </w:rPr>
        <w:t>16.2.2 因发包人违约解除合同后</w:t>
      </w:r>
      <w:bookmarkEnd w:id="1523"/>
      <w:r>
        <w:rPr>
          <w:rFonts w:hint="eastAsia" w:ascii="宋体" w:hAnsi="宋体" w:eastAsia="宋体" w:cs="宋体"/>
          <w:b w:val="0"/>
          <w:bCs w:val="0"/>
          <w:color w:val="auto"/>
          <w:kern w:val="2"/>
          <w:sz w:val="21"/>
          <w:szCs w:val="21"/>
          <w:highlight w:val="none"/>
          <w:lang w:val="en-US" w:eastAsia="zh-CN" w:bidi="ar-SA"/>
        </w:rPr>
        <w:t>承包人的义务</w:t>
      </w:r>
      <w:bookmarkEnd w:id="1524"/>
    </w:p>
    <w:p w14:paraId="2CBD23B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合同解除后，承包人应按以下约定执行：</w:t>
      </w:r>
    </w:p>
    <w:p w14:paraId="1DBB56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除为保护生命、财产、工程安全的工作外，停止所有进一步的工作；承包人因执行该保护工作而产生费用的，由发包人承担；</w:t>
      </w:r>
    </w:p>
    <w:p w14:paraId="231588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向发包人移交承包人已获得支付的承包人文件、生产设备、材料和其他工作；</w:t>
      </w:r>
    </w:p>
    <w:p w14:paraId="034109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从现场运走除为了安全需要以外的所有属于承包人的其他货物，并撤离现场。</w:t>
      </w:r>
    </w:p>
    <w:p w14:paraId="33B8DD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16.2.3 因发包人违约解除合同后的付款</w:t>
      </w:r>
    </w:p>
    <w:p w14:paraId="5C9D8E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承包人按照本款约定解除合同的，发包人应在解除合同后28天内支付下列款项，并退还履约担保：</w:t>
      </w:r>
    </w:p>
    <w:p w14:paraId="29FBA19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合同解除前所完成工作的价款；</w:t>
      </w:r>
    </w:p>
    <w:p w14:paraId="34FFB2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承包人为工程施工订购并已付款的材料、工程设备和其他物品的价款；发包人付款后，该材料、工程设备和其他物品归发包人所有；</w:t>
      </w:r>
    </w:p>
    <w:p w14:paraId="1E403D9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承包人为完成工程所发生的，而发包人未支付的金额；</w:t>
      </w:r>
    </w:p>
    <w:p w14:paraId="3B8D825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承包人撤离施工现场以及遣散承包人人员的款项；</w:t>
      </w:r>
    </w:p>
    <w:p w14:paraId="340E99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按照合同约定在合同解除前应支付的违约金；</w:t>
      </w:r>
    </w:p>
    <w:p w14:paraId="48BA7A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按照合同约定应当支付给承包人的其他款项；</w:t>
      </w:r>
    </w:p>
    <w:p w14:paraId="4886C52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按照合同约定应返还的质量保证金；</w:t>
      </w:r>
    </w:p>
    <w:p w14:paraId="625A60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 因解除合同给承包人造成的损失。</w:t>
      </w:r>
    </w:p>
    <w:p w14:paraId="76623F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承包人应妥善做好已完工程和与工程有关的已购材料、工程设备的保护和移交工作，并将施工设备和人员撤出施工现场，发包人应为承包人撤出提供必要条件。</w:t>
      </w:r>
    </w:p>
    <w:p w14:paraId="39FAC4D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25" w:name="_Toc10443"/>
      <w:bookmarkStart w:id="1526" w:name="_Ref3841966"/>
      <w:bookmarkStart w:id="1527" w:name="_Toc54862306"/>
      <w:r>
        <w:rPr>
          <w:rFonts w:hint="eastAsia" w:ascii="宋体" w:hAnsi="宋体" w:eastAsia="宋体" w:cs="宋体"/>
          <w:b/>
          <w:bCs/>
          <w:color w:val="auto"/>
          <w:kern w:val="2"/>
          <w:sz w:val="21"/>
          <w:szCs w:val="21"/>
          <w:highlight w:val="none"/>
          <w:lang w:val="en-US" w:eastAsia="zh-CN" w:bidi="ar-SA"/>
        </w:rPr>
        <w:t>16.3 合同解除后的事项</w:t>
      </w:r>
      <w:bookmarkEnd w:id="1525"/>
      <w:bookmarkEnd w:id="1526"/>
      <w:bookmarkEnd w:id="1527"/>
    </w:p>
    <w:p w14:paraId="79EBEC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16.3.1 结算约定依然有效</w:t>
      </w:r>
    </w:p>
    <w:p w14:paraId="478C9B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合同解除后，由发包人或由承包人解除合同的结算及结算后的付款约定仍然有效，直至解除合同的结算工作结清。</w:t>
      </w:r>
    </w:p>
    <w:p w14:paraId="61E5BB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16.3.2 解除合同的争议</w:t>
      </w:r>
    </w:p>
    <w:p w14:paraId="7EEE62E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28" w:name="_Hlk18988355"/>
      <w:r>
        <w:rPr>
          <w:rFonts w:hint="eastAsia" w:ascii="宋体" w:hAnsi="宋体" w:eastAsia="宋体" w:cs="宋体"/>
          <w:b w:val="0"/>
          <w:bCs w:val="0"/>
          <w:color w:val="auto"/>
          <w:kern w:val="2"/>
          <w:sz w:val="21"/>
          <w:szCs w:val="21"/>
          <w:highlight w:val="none"/>
          <w:lang w:val="en-US" w:eastAsia="zh-CN" w:bidi="ar-SA"/>
        </w:rPr>
        <w:t>双方对解除合同或解除合同后的结算有争议的，按照第20条[争议解决]的约定处理。</w:t>
      </w:r>
      <w:bookmarkEnd w:id="1528"/>
    </w:p>
    <w:p w14:paraId="7377277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29" w:name="_Ref3840974"/>
      <w:bookmarkStart w:id="1530" w:name="_Toc54862307"/>
      <w:bookmarkStart w:id="1531" w:name="_Toc6692"/>
      <w:bookmarkStart w:id="1532" w:name="_Ref3840605"/>
      <w:r>
        <w:rPr>
          <w:rFonts w:hint="eastAsia" w:ascii="宋体" w:hAnsi="宋体" w:eastAsia="宋体" w:cs="宋体"/>
          <w:b/>
          <w:bCs/>
          <w:color w:val="auto"/>
          <w:kern w:val="2"/>
          <w:sz w:val="21"/>
          <w:szCs w:val="21"/>
          <w:highlight w:val="none"/>
          <w:lang w:val="en-US" w:eastAsia="zh-CN" w:bidi="ar-SA"/>
        </w:rPr>
        <w:t>第17条 不可抗力</w:t>
      </w:r>
      <w:bookmarkEnd w:id="1529"/>
      <w:bookmarkEnd w:id="1530"/>
      <w:bookmarkEnd w:id="1531"/>
    </w:p>
    <w:p w14:paraId="486887B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33" w:name="_Ref531958161"/>
      <w:bookmarkStart w:id="1534" w:name="_Ref531958158"/>
      <w:bookmarkStart w:id="1535" w:name="_Toc54862308"/>
      <w:bookmarkStart w:id="1536" w:name="_Toc14922"/>
      <w:r>
        <w:rPr>
          <w:rFonts w:hint="eastAsia" w:ascii="宋体" w:hAnsi="宋体" w:eastAsia="宋体" w:cs="宋体"/>
          <w:b/>
          <w:bCs/>
          <w:color w:val="auto"/>
          <w:kern w:val="2"/>
          <w:sz w:val="21"/>
          <w:szCs w:val="21"/>
          <w:highlight w:val="none"/>
          <w:lang w:val="en-US" w:eastAsia="zh-CN" w:bidi="ar-SA"/>
        </w:rPr>
        <w:t>17.1 不可抗力的</w:t>
      </w:r>
      <w:bookmarkEnd w:id="1533"/>
      <w:bookmarkEnd w:id="1534"/>
      <w:r>
        <w:rPr>
          <w:rFonts w:hint="eastAsia" w:ascii="宋体" w:hAnsi="宋体" w:eastAsia="宋体" w:cs="宋体"/>
          <w:b/>
          <w:bCs/>
          <w:color w:val="auto"/>
          <w:kern w:val="2"/>
          <w:sz w:val="21"/>
          <w:szCs w:val="21"/>
          <w:highlight w:val="none"/>
          <w:lang w:val="en-US" w:eastAsia="zh-CN" w:bidi="ar-SA"/>
        </w:rPr>
        <w:t>定义</w:t>
      </w:r>
      <w:bookmarkEnd w:id="1535"/>
      <w:bookmarkEnd w:id="1536"/>
    </w:p>
    <w:p w14:paraId="2BF3506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110414A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37" w:name="_Toc8337"/>
      <w:bookmarkStart w:id="1538" w:name="_Toc54862309"/>
      <w:r>
        <w:rPr>
          <w:rFonts w:hint="eastAsia" w:ascii="宋体" w:hAnsi="宋体" w:eastAsia="宋体" w:cs="宋体"/>
          <w:b/>
          <w:bCs/>
          <w:color w:val="auto"/>
          <w:kern w:val="2"/>
          <w:sz w:val="21"/>
          <w:szCs w:val="21"/>
          <w:highlight w:val="none"/>
          <w:lang w:val="en-US" w:eastAsia="zh-CN" w:bidi="ar-SA"/>
        </w:rPr>
        <w:t>17.2 不可抗力的通知</w:t>
      </w:r>
      <w:bookmarkEnd w:id="1537"/>
      <w:bookmarkEnd w:id="1538"/>
      <w:r>
        <w:rPr>
          <w:rFonts w:hint="eastAsia" w:ascii="宋体" w:hAnsi="宋体" w:eastAsia="宋体" w:cs="宋体"/>
          <w:b/>
          <w:bCs/>
          <w:color w:val="auto"/>
          <w:kern w:val="2"/>
          <w:sz w:val="21"/>
          <w:szCs w:val="21"/>
          <w:highlight w:val="none"/>
          <w:lang w:val="en-US" w:eastAsia="zh-CN" w:bidi="ar-SA"/>
        </w:rPr>
        <w:t xml:space="preserve"> </w:t>
      </w:r>
    </w:p>
    <w:p w14:paraId="7862123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合同一方当事人觉察或发现不可抗力事件发生，使其履行合同义务受到阻碍时，有义务立即通知合同另一方当事人和工程师，书面说明不可抗力和受阻碍的详细情况，并提供必要的证明。</w:t>
      </w:r>
    </w:p>
    <w:p w14:paraId="306AEC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不可抗力持续发生的，合同一方当事人应每隔28天向合同另一方当事人和工程师提交中间报告，说明不可抗力和履行合同受阻的情况，并于不可抗力事件结束后28天内提交最终报告及有关资料。</w:t>
      </w:r>
    </w:p>
    <w:p w14:paraId="58D8792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39" w:name="_Toc54862310"/>
      <w:bookmarkStart w:id="1540" w:name="_Toc16660"/>
      <w:r>
        <w:rPr>
          <w:rFonts w:hint="eastAsia" w:ascii="宋体" w:hAnsi="宋体" w:eastAsia="宋体" w:cs="宋体"/>
          <w:b/>
          <w:bCs/>
          <w:color w:val="auto"/>
          <w:kern w:val="2"/>
          <w:sz w:val="21"/>
          <w:szCs w:val="21"/>
          <w:highlight w:val="none"/>
          <w:lang w:val="en-US" w:eastAsia="zh-CN" w:bidi="ar-SA"/>
        </w:rPr>
        <w:t>17.3 将损失减至最小的义务</w:t>
      </w:r>
      <w:bookmarkEnd w:id="1539"/>
      <w:bookmarkEnd w:id="1540"/>
    </w:p>
    <w:p w14:paraId="5BB657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1DA39F6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41" w:name="_Ref531958172"/>
      <w:bookmarkStart w:id="1542" w:name="_Ref531958170"/>
      <w:bookmarkStart w:id="1543" w:name="_Toc54862311"/>
      <w:bookmarkStart w:id="1544" w:name="_Toc4857"/>
      <w:bookmarkStart w:id="1545" w:name="_Ref3840916"/>
      <w:r>
        <w:rPr>
          <w:rFonts w:hint="eastAsia" w:ascii="宋体" w:hAnsi="宋体" w:eastAsia="宋体" w:cs="宋体"/>
          <w:b/>
          <w:bCs/>
          <w:color w:val="auto"/>
          <w:kern w:val="2"/>
          <w:sz w:val="21"/>
          <w:szCs w:val="21"/>
          <w:highlight w:val="none"/>
          <w:lang w:val="en-US" w:eastAsia="zh-CN" w:bidi="ar-SA"/>
        </w:rPr>
        <w:t>17.4 不可抗力后果</w:t>
      </w:r>
      <w:bookmarkEnd w:id="1541"/>
      <w:bookmarkEnd w:id="1542"/>
      <w:r>
        <w:rPr>
          <w:rFonts w:hint="eastAsia" w:ascii="宋体" w:hAnsi="宋体" w:eastAsia="宋体" w:cs="宋体"/>
          <w:b/>
          <w:bCs/>
          <w:color w:val="auto"/>
          <w:kern w:val="2"/>
          <w:sz w:val="21"/>
          <w:szCs w:val="21"/>
          <w:highlight w:val="none"/>
          <w:lang w:val="en-US" w:eastAsia="zh-CN" w:bidi="ar-SA"/>
        </w:rPr>
        <w:t>的承担</w:t>
      </w:r>
      <w:bookmarkEnd w:id="1543"/>
      <w:bookmarkEnd w:id="1544"/>
      <w:bookmarkEnd w:id="1545"/>
      <w:r>
        <w:rPr>
          <w:rFonts w:hint="eastAsia" w:ascii="宋体" w:hAnsi="宋体" w:eastAsia="宋体" w:cs="宋体"/>
          <w:b/>
          <w:bCs/>
          <w:color w:val="auto"/>
          <w:kern w:val="2"/>
          <w:sz w:val="21"/>
          <w:szCs w:val="21"/>
          <w:highlight w:val="none"/>
          <w:lang w:val="en-US" w:eastAsia="zh-CN" w:bidi="ar-SA"/>
        </w:rPr>
        <w:t xml:space="preserve"> </w:t>
      </w:r>
    </w:p>
    <w:p w14:paraId="23A1A2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不可抗力导致的人员伤亡、财产损失、费用增加和（或）工期延误等后果，由合同当事人按以下原则承担：</w:t>
      </w:r>
    </w:p>
    <w:p w14:paraId="498338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永久工程，包括已运至施工现场的材料和工程设备的损害，以及因工程损害造成的第三人人员伤亡和财产损失由发包人承担；</w:t>
      </w:r>
    </w:p>
    <w:p w14:paraId="1D709E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承包人提供的施工设备的损坏由承包人承担；</w:t>
      </w:r>
    </w:p>
    <w:p w14:paraId="3D625B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发包人和承包人各自承担其人员伤亡及其他财产损失；</w:t>
      </w:r>
    </w:p>
    <w:p w14:paraId="04838F7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因不可抗力影响承包人履行合同约定的义务，已经引起或将引起工期延误的，应当顺延工期，由此导致承包人停工的费用损失由发包人和承包人合理分担，</w:t>
      </w:r>
      <w:bookmarkStart w:id="1546" w:name="_Hlk51507024"/>
      <w:r>
        <w:rPr>
          <w:rFonts w:hint="eastAsia" w:ascii="宋体" w:hAnsi="宋体" w:eastAsia="宋体" w:cs="宋体"/>
          <w:b w:val="0"/>
          <w:bCs w:val="0"/>
          <w:color w:val="auto"/>
          <w:kern w:val="2"/>
          <w:sz w:val="21"/>
          <w:szCs w:val="21"/>
          <w:highlight w:val="none"/>
          <w:lang w:val="en-US" w:eastAsia="zh-CN" w:bidi="ar-SA"/>
        </w:rPr>
        <w:t>停工期间必须支付的现场必要的工人工资</w:t>
      </w:r>
      <w:bookmarkEnd w:id="1546"/>
      <w:r>
        <w:rPr>
          <w:rFonts w:hint="eastAsia" w:ascii="宋体" w:hAnsi="宋体" w:eastAsia="宋体" w:cs="宋体"/>
          <w:b w:val="0"/>
          <w:bCs w:val="0"/>
          <w:color w:val="auto"/>
          <w:kern w:val="2"/>
          <w:sz w:val="21"/>
          <w:szCs w:val="21"/>
          <w:highlight w:val="none"/>
          <w:lang w:val="en-US" w:eastAsia="zh-CN" w:bidi="ar-SA"/>
        </w:rPr>
        <w:t>由发包人承担；</w:t>
      </w:r>
    </w:p>
    <w:p w14:paraId="332AB16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因不可抗力引起或将引起工期延误，发包人指示赶工的，由此增加的赶工费用由发包人承担；</w:t>
      </w:r>
    </w:p>
    <w:p w14:paraId="6FCABF6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承包人在停工期间按照工程师或发包人要求照管、清理和修复工程的费用由发包人承担。</w:t>
      </w:r>
    </w:p>
    <w:p w14:paraId="39478D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不可抗力引起的后果及造成的损失由合同当事人按照法律规定及合同约定各自承担。不可抗力发生前已完成的工程应当按照合同约定进行支付。</w:t>
      </w:r>
    </w:p>
    <w:p w14:paraId="2858F40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47" w:name="_Toc28464"/>
      <w:bookmarkStart w:id="1548" w:name="_Toc54862312"/>
      <w:r>
        <w:rPr>
          <w:rFonts w:hint="eastAsia" w:ascii="宋体" w:hAnsi="宋体" w:eastAsia="宋体" w:cs="宋体"/>
          <w:b/>
          <w:bCs/>
          <w:color w:val="auto"/>
          <w:kern w:val="2"/>
          <w:sz w:val="21"/>
          <w:szCs w:val="21"/>
          <w:highlight w:val="none"/>
          <w:lang w:val="en-US" w:eastAsia="zh-CN" w:bidi="ar-SA"/>
        </w:rPr>
        <w:t>17.5 不可抗力影响分包人</w:t>
      </w:r>
      <w:bookmarkEnd w:id="1547"/>
      <w:bookmarkEnd w:id="1548"/>
      <w:r>
        <w:rPr>
          <w:rFonts w:hint="eastAsia" w:ascii="宋体" w:hAnsi="宋体" w:eastAsia="宋体" w:cs="宋体"/>
          <w:b/>
          <w:bCs/>
          <w:color w:val="auto"/>
          <w:kern w:val="2"/>
          <w:sz w:val="21"/>
          <w:szCs w:val="21"/>
          <w:highlight w:val="none"/>
          <w:lang w:val="en-US" w:eastAsia="zh-CN" w:bidi="ar-SA"/>
        </w:rPr>
        <w:t xml:space="preserve"> </w:t>
      </w:r>
    </w:p>
    <w:p w14:paraId="4DB4BB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分包人根据分包合同的约定，有权获得更多或者更广的不可抗力而免除某些义务时，承包人不得以分包合同中不可抗力约定向发包人抗辩免除其义务。</w:t>
      </w:r>
    </w:p>
    <w:p w14:paraId="1F4AF2BC">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49" w:name="_Ref531958181"/>
      <w:bookmarkStart w:id="1550" w:name="_Ref531958184"/>
      <w:bookmarkStart w:id="1551" w:name="_Toc24643"/>
      <w:bookmarkStart w:id="1552" w:name="_Toc54862313"/>
      <w:bookmarkStart w:id="1553" w:name="_Ref4538024"/>
      <w:bookmarkStart w:id="1554" w:name="_Ref3840892"/>
      <w:r>
        <w:rPr>
          <w:rFonts w:hint="eastAsia" w:ascii="宋体" w:hAnsi="宋体" w:eastAsia="宋体" w:cs="宋体"/>
          <w:b/>
          <w:bCs/>
          <w:color w:val="auto"/>
          <w:kern w:val="2"/>
          <w:sz w:val="21"/>
          <w:szCs w:val="21"/>
          <w:highlight w:val="none"/>
          <w:lang w:val="en-US" w:eastAsia="zh-CN" w:bidi="ar-SA"/>
        </w:rPr>
        <w:t>17.6 因不可抗力解除</w:t>
      </w:r>
      <w:bookmarkEnd w:id="1549"/>
      <w:bookmarkEnd w:id="1550"/>
      <w:r>
        <w:rPr>
          <w:rFonts w:hint="eastAsia" w:ascii="宋体" w:hAnsi="宋体" w:eastAsia="宋体" w:cs="宋体"/>
          <w:b/>
          <w:bCs/>
          <w:color w:val="auto"/>
          <w:kern w:val="2"/>
          <w:sz w:val="21"/>
          <w:szCs w:val="21"/>
          <w:highlight w:val="none"/>
          <w:lang w:val="en-US" w:eastAsia="zh-CN" w:bidi="ar-SA"/>
        </w:rPr>
        <w:t>合同</w:t>
      </w:r>
      <w:bookmarkEnd w:id="1551"/>
      <w:bookmarkEnd w:id="1552"/>
      <w:bookmarkEnd w:id="1553"/>
      <w:bookmarkEnd w:id="1554"/>
      <w:r>
        <w:rPr>
          <w:rFonts w:hint="eastAsia" w:ascii="宋体" w:hAnsi="宋体" w:eastAsia="宋体" w:cs="宋体"/>
          <w:b/>
          <w:bCs/>
          <w:color w:val="auto"/>
          <w:kern w:val="2"/>
          <w:sz w:val="21"/>
          <w:szCs w:val="21"/>
          <w:highlight w:val="none"/>
          <w:lang w:val="en-US" w:eastAsia="zh-CN" w:bidi="ar-SA"/>
        </w:rPr>
        <w:t xml:space="preserve"> </w:t>
      </w:r>
    </w:p>
    <w:p w14:paraId="6944E8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4D1629B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合同解除前承包人已完成工作的价款；</w:t>
      </w:r>
    </w:p>
    <w:p w14:paraId="6AA0D31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25C07F5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发包人指示承包人退货或解除订货合同而产生的费用，或因不能退货或解除合同而产生的损失；</w:t>
      </w:r>
    </w:p>
    <w:p w14:paraId="7B3A34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承包人撤离施工现场以及遣散承包人人员的费用；</w:t>
      </w:r>
    </w:p>
    <w:p w14:paraId="273613C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按照合同约定在合同解除前应支付给承包人的其他款项；</w:t>
      </w:r>
    </w:p>
    <w:p w14:paraId="6C116E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 扣减承包人按照合同约定应向发包人支付的款项；</w:t>
      </w:r>
    </w:p>
    <w:p w14:paraId="0F8553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 双方商定或确定的其他款项。</w:t>
      </w:r>
    </w:p>
    <w:p w14:paraId="704226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除专用合同条件另有约定外，合同解除后，发包人应当在商定或确定上述款项后28天内完成上述款项的支付。</w:t>
      </w:r>
    </w:p>
    <w:p w14:paraId="572FE06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55" w:name="_Ref11848264"/>
      <w:bookmarkStart w:id="1556" w:name="_Toc18835"/>
      <w:bookmarkStart w:id="1557" w:name="_Toc54862314"/>
      <w:bookmarkStart w:id="1558" w:name="_Ref11848274"/>
      <w:r>
        <w:rPr>
          <w:rFonts w:hint="eastAsia" w:ascii="宋体" w:hAnsi="宋体" w:eastAsia="宋体" w:cs="宋体"/>
          <w:b/>
          <w:bCs/>
          <w:color w:val="auto"/>
          <w:kern w:val="2"/>
          <w:sz w:val="21"/>
          <w:szCs w:val="21"/>
          <w:highlight w:val="none"/>
          <w:lang w:val="en-US" w:eastAsia="zh-CN" w:bidi="ar-SA"/>
        </w:rPr>
        <w:t>第18条 保险</w:t>
      </w:r>
      <w:bookmarkEnd w:id="1532"/>
      <w:bookmarkEnd w:id="1555"/>
      <w:bookmarkEnd w:id="1556"/>
      <w:bookmarkEnd w:id="1557"/>
      <w:bookmarkEnd w:id="1558"/>
      <w:r>
        <w:rPr>
          <w:rFonts w:hint="eastAsia" w:ascii="宋体" w:hAnsi="宋体" w:eastAsia="宋体" w:cs="宋体"/>
          <w:b/>
          <w:bCs/>
          <w:color w:val="auto"/>
          <w:kern w:val="2"/>
          <w:sz w:val="21"/>
          <w:szCs w:val="21"/>
          <w:highlight w:val="none"/>
          <w:lang w:val="en-US" w:eastAsia="zh-CN" w:bidi="ar-SA"/>
        </w:rPr>
        <w:t xml:space="preserve"> </w:t>
      </w:r>
    </w:p>
    <w:p w14:paraId="5572CF9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59" w:name="_Toc54862315"/>
      <w:bookmarkStart w:id="1560" w:name="_Ref3840730"/>
      <w:bookmarkStart w:id="1561" w:name="_Toc12026"/>
      <w:bookmarkStart w:id="1562" w:name="_Ref3840734"/>
      <w:bookmarkStart w:id="1563" w:name="_Ref531957914"/>
      <w:bookmarkStart w:id="1564" w:name="_Ref531957911"/>
      <w:bookmarkStart w:id="1565" w:name="_Toc351203616"/>
      <w:r>
        <w:rPr>
          <w:rFonts w:hint="eastAsia" w:ascii="宋体" w:hAnsi="宋体" w:eastAsia="宋体" w:cs="宋体"/>
          <w:b/>
          <w:bCs/>
          <w:color w:val="auto"/>
          <w:kern w:val="2"/>
          <w:sz w:val="21"/>
          <w:szCs w:val="21"/>
          <w:highlight w:val="none"/>
          <w:lang w:val="en-US" w:eastAsia="zh-CN" w:bidi="ar-SA"/>
        </w:rPr>
        <w:t>18.1 设计和工程保险</w:t>
      </w:r>
      <w:bookmarkEnd w:id="1559"/>
      <w:bookmarkEnd w:id="1560"/>
      <w:bookmarkEnd w:id="1561"/>
      <w:bookmarkEnd w:id="1562"/>
    </w:p>
    <w:bookmarkEnd w:id="1563"/>
    <w:bookmarkEnd w:id="1564"/>
    <w:p w14:paraId="6262904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685A18B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18.1.2 双方应按照专用合同条件的约定投保第三者责任险，并在缺陷责任期终止证书颁发前维持其持续有效。第三者责任险最低投保额应在专用合同条件内约定。</w:t>
      </w:r>
    </w:p>
    <w:p w14:paraId="5DF1A6B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66" w:name="_Toc22006"/>
      <w:bookmarkStart w:id="1567" w:name="_Toc54862316"/>
      <w:bookmarkStart w:id="1568" w:name="_Ref3840683"/>
      <w:r>
        <w:rPr>
          <w:rFonts w:hint="eastAsia" w:ascii="宋体" w:hAnsi="宋体" w:eastAsia="宋体" w:cs="宋体"/>
          <w:b/>
          <w:bCs/>
          <w:color w:val="auto"/>
          <w:kern w:val="2"/>
          <w:sz w:val="21"/>
          <w:szCs w:val="21"/>
          <w:highlight w:val="none"/>
          <w:lang w:val="en-US" w:eastAsia="zh-CN" w:bidi="ar-SA"/>
        </w:rPr>
        <w:t>18.2 工伤和意外伤害保险</w:t>
      </w:r>
      <w:bookmarkEnd w:id="1566"/>
      <w:bookmarkEnd w:id="1567"/>
      <w:bookmarkEnd w:id="1568"/>
    </w:p>
    <w:p w14:paraId="0A3060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18.2.1 发包人应依照法律规定为其在施工现场的雇用人员办理工伤保险，缴纳工伤保险费；并要求工程师及由发包人为履行合同聘请的第三方在施工现场的雇用人员依法办理工伤保险。</w:t>
      </w:r>
    </w:p>
    <w:p w14:paraId="0E10E81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18.2.2 承包人应依照法律规定为其履行合同雇用的全部人员办理工伤保险，缴纳工伤保险费，并要求分包人及由承包人为履行合同聘请的第三方雇用的全部人员依法办理工伤保险。</w:t>
      </w:r>
    </w:p>
    <w:p w14:paraId="0CA99EB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18.2.3 发包人和承包人可以为其施工现场的全部人员办理意外伤害保险并支付保险费，包括其员工及为履行合同聘请的第三方的人员，具体事项由合同当事人在专用合同条件约定。</w:t>
      </w:r>
    </w:p>
    <w:p w14:paraId="0D3E9A1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69" w:name="_Toc54862317"/>
      <w:bookmarkStart w:id="1570" w:name="_Toc27103"/>
      <w:bookmarkStart w:id="1571" w:name="_Ref3840782"/>
      <w:r>
        <w:rPr>
          <w:rFonts w:hint="eastAsia" w:ascii="宋体" w:hAnsi="宋体" w:eastAsia="宋体" w:cs="宋体"/>
          <w:b/>
          <w:bCs/>
          <w:color w:val="auto"/>
          <w:kern w:val="2"/>
          <w:sz w:val="21"/>
          <w:szCs w:val="21"/>
          <w:highlight w:val="none"/>
          <w:lang w:val="en-US" w:eastAsia="zh-CN" w:bidi="ar-SA"/>
        </w:rPr>
        <w:t>18.3 货物保险</w:t>
      </w:r>
      <w:bookmarkEnd w:id="1569"/>
      <w:bookmarkEnd w:id="1570"/>
      <w:bookmarkEnd w:id="1571"/>
    </w:p>
    <w:p w14:paraId="1A05E7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承包人应按照专用合同条件的约定为运抵现场的施工设备、材料、工程设备和临时工程等办理财产保险，保险期限自上述货物运抵现场至其不再为工程所需要为止。</w:t>
      </w:r>
    </w:p>
    <w:p w14:paraId="44BE87E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72" w:name="_Toc10298"/>
      <w:bookmarkStart w:id="1573" w:name="_Ref4692231"/>
      <w:bookmarkStart w:id="1574" w:name="_Ref4692238"/>
      <w:bookmarkStart w:id="1575" w:name="_Toc54862318"/>
      <w:r>
        <w:rPr>
          <w:rFonts w:hint="eastAsia" w:ascii="宋体" w:hAnsi="宋体" w:eastAsia="宋体" w:cs="宋体"/>
          <w:b/>
          <w:bCs/>
          <w:color w:val="auto"/>
          <w:kern w:val="2"/>
          <w:sz w:val="21"/>
          <w:szCs w:val="21"/>
          <w:highlight w:val="none"/>
          <w:lang w:val="en-US" w:eastAsia="zh-CN" w:bidi="ar-SA"/>
        </w:rPr>
        <w:t>18.4 其他保险</w:t>
      </w:r>
      <w:bookmarkEnd w:id="1572"/>
      <w:bookmarkEnd w:id="1573"/>
      <w:bookmarkEnd w:id="1574"/>
      <w:bookmarkEnd w:id="1575"/>
    </w:p>
    <w:p w14:paraId="52CA97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565"/>
      <w:r>
        <w:rPr>
          <w:rFonts w:hint="eastAsia" w:ascii="宋体" w:hAnsi="宋体" w:eastAsia="宋体" w:cs="宋体"/>
          <w:b w:val="0"/>
          <w:bCs w:val="0"/>
          <w:color w:val="auto"/>
          <w:kern w:val="2"/>
          <w:sz w:val="21"/>
          <w:szCs w:val="21"/>
          <w:highlight w:val="none"/>
          <w:lang w:val="en-US" w:eastAsia="zh-CN" w:bidi="ar-SA"/>
        </w:rPr>
        <w:t>保费用包含在合同价格中，但在合同执行过程中，新颁布适用的法律法规规定由承包人投保的强制保险，应根据本合同</w:t>
      </w:r>
      <w:bookmarkStart w:id="1576" w:name="_Toc351203617"/>
      <w:bookmarkStart w:id="1577" w:name="_Toc296503126"/>
      <w:bookmarkStart w:id="1578" w:name="_Toc296346627"/>
      <w:bookmarkStart w:id="1579" w:name="_Toc337558832"/>
      <w:r>
        <w:rPr>
          <w:rFonts w:hint="eastAsia" w:ascii="宋体" w:hAnsi="宋体" w:eastAsia="宋体" w:cs="宋体"/>
          <w:b w:val="0"/>
          <w:bCs w:val="0"/>
          <w:color w:val="auto"/>
          <w:kern w:val="2"/>
          <w:sz w:val="21"/>
          <w:szCs w:val="21"/>
          <w:highlight w:val="none"/>
          <w:lang w:val="en-US" w:eastAsia="zh-CN" w:bidi="ar-SA"/>
        </w:rPr>
        <w:t>第13条[变更与调整]的约定增加合同价款。</w:t>
      </w:r>
    </w:p>
    <w:p w14:paraId="1BBE661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80" w:name="_Ref3840659"/>
      <w:bookmarkStart w:id="1581" w:name="_Toc30268"/>
      <w:bookmarkStart w:id="1582" w:name="_Toc54862319"/>
      <w:r>
        <w:rPr>
          <w:rFonts w:hint="eastAsia" w:ascii="宋体" w:hAnsi="宋体" w:eastAsia="宋体" w:cs="宋体"/>
          <w:b/>
          <w:bCs/>
          <w:color w:val="auto"/>
          <w:kern w:val="2"/>
          <w:sz w:val="21"/>
          <w:szCs w:val="21"/>
          <w:highlight w:val="none"/>
          <w:lang w:val="en-US" w:eastAsia="zh-CN" w:bidi="ar-SA"/>
        </w:rPr>
        <w:t>18.5 对各项保险的一般要求</w:t>
      </w:r>
      <w:bookmarkEnd w:id="1580"/>
      <w:bookmarkEnd w:id="1581"/>
      <w:bookmarkEnd w:id="1582"/>
    </w:p>
    <w:p w14:paraId="0ACC49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18.5.1 持续保险</w:t>
      </w:r>
    </w:p>
    <w:p w14:paraId="6EF57B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合同当事人应与保险人保持联系，使保险人能够随时了</w:t>
      </w:r>
      <w:bookmarkEnd w:id="1576"/>
      <w:r>
        <w:rPr>
          <w:rFonts w:hint="eastAsia" w:ascii="宋体" w:hAnsi="宋体" w:eastAsia="宋体" w:cs="宋体"/>
          <w:b w:val="0"/>
          <w:bCs w:val="0"/>
          <w:color w:val="auto"/>
          <w:kern w:val="2"/>
          <w:sz w:val="21"/>
          <w:szCs w:val="21"/>
          <w:highlight w:val="none"/>
          <w:lang w:val="en-US" w:eastAsia="zh-CN" w:bidi="ar-SA"/>
        </w:rPr>
        <w:t>解</w:t>
      </w:r>
      <w:bookmarkEnd w:id="1577"/>
      <w:bookmarkEnd w:id="1578"/>
      <w:bookmarkEnd w:id="1579"/>
      <w:r>
        <w:rPr>
          <w:rFonts w:hint="eastAsia" w:ascii="宋体" w:hAnsi="宋体" w:eastAsia="宋体" w:cs="宋体"/>
          <w:b w:val="0"/>
          <w:bCs w:val="0"/>
          <w:color w:val="auto"/>
          <w:kern w:val="2"/>
          <w:sz w:val="21"/>
          <w:szCs w:val="21"/>
          <w:highlight w:val="none"/>
          <w:lang w:val="en-US" w:eastAsia="zh-CN" w:bidi="ar-SA"/>
        </w:rPr>
        <w:t>工程实施中的变动，并确保按保险合同条款要求持续保险。</w:t>
      </w:r>
    </w:p>
    <w:p w14:paraId="4000F19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83" w:name="_Ref4777650"/>
      <w:r>
        <w:rPr>
          <w:rFonts w:hint="eastAsia" w:ascii="宋体" w:hAnsi="宋体" w:eastAsia="宋体" w:cs="宋体"/>
          <w:b w:val="0"/>
          <w:bCs w:val="0"/>
          <w:color w:val="auto"/>
          <w:kern w:val="2"/>
          <w:sz w:val="21"/>
          <w:szCs w:val="21"/>
          <w:highlight w:val="none"/>
          <w:lang w:val="en-US" w:eastAsia="zh-CN" w:bidi="ar-SA"/>
        </w:rPr>
        <w:t>18.5.2 保险凭证</w:t>
      </w:r>
      <w:bookmarkEnd w:id="1583"/>
    </w:p>
    <w:p w14:paraId="5144FF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合同当事人应及时向另一方当事人提交其已投保的各项保险的凭证和保险单复印件，保险单必须与专用合同条件约定的条件保持一致。</w:t>
      </w:r>
    </w:p>
    <w:p w14:paraId="3884E46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18.5.3 未按约定投保的补救</w:t>
      </w:r>
    </w:p>
    <w:p w14:paraId="570744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负有投保义务的一方当事人未按合同约定办理保险，或未能使保险持续有效的，则另一方当事人可代为办理，所需费用由负有投保义务的一方当事人承担。</w:t>
      </w:r>
    </w:p>
    <w:p w14:paraId="4A72B7E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负有投保</w:t>
      </w:r>
      <w:bookmarkStart w:id="1584" w:name="_Toc351203619"/>
      <w:bookmarkStart w:id="1585" w:name="_Toc337558834"/>
      <w:r>
        <w:rPr>
          <w:rFonts w:hint="eastAsia" w:ascii="宋体" w:hAnsi="宋体" w:eastAsia="宋体" w:cs="宋体"/>
          <w:b w:val="0"/>
          <w:bCs w:val="0"/>
          <w:color w:val="auto"/>
          <w:kern w:val="2"/>
          <w:sz w:val="21"/>
          <w:szCs w:val="21"/>
          <w:highlight w:val="none"/>
          <w:lang w:val="en-US" w:eastAsia="zh-CN" w:bidi="ar-SA"/>
        </w:rPr>
        <w:t>义务的一方当事人未</w:t>
      </w:r>
      <w:bookmarkEnd w:id="1584"/>
      <w:r>
        <w:rPr>
          <w:rFonts w:hint="eastAsia" w:ascii="宋体" w:hAnsi="宋体" w:eastAsia="宋体" w:cs="宋体"/>
          <w:b w:val="0"/>
          <w:bCs w:val="0"/>
          <w:color w:val="auto"/>
          <w:kern w:val="2"/>
          <w:sz w:val="21"/>
          <w:szCs w:val="21"/>
          <w:highlight w:val="none"/>
          <w:lang w:val="en-US" w:eastAsia="zh-CN" w:bidi="ar-SA"/>
        </w:rPr>
        <w:t>按</w:t>
      </w:r>
      <w:bookmarkEnd w:id="1585"/>
      <w:r>
        <w:rPr>
          <w:rFonts w:hint="eastAsia" w:ascii="宋体" w:hAnsi="宋体" w:eastAsia="宋体" w:cs="宋体"/>
          <w:b w:val="0"/>
          <w:bCs w:val="0"/>
          <w:color w:val="auto"/>
          <w:kern w:val="2"/>
          <w:sz w:val="21"/>
          <w:szCs w:val="21"/>
          <w:highlight w:val="none"/>
          <w:lang w:val="en-US" w:eastAsia="zh-CN" w:bidi="ar-SA"/>
        </w:rPr>
        <w:t>合同约定办理某项保险，导致受益人未能得到足额赔偿的，由负有投保义务的一方当事人负责按照原应从该项保险得到的保险金数额进行补足。</w:t>
      </w:r>
    </w:p>
    <w:p w14:paraId="40E6EAB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86" w:name="_Ref4692685"/>
      <w:r>
        <w:rPr>
          <w:rFonts w:hint="eastAsia" w:ascii="宋体" w:hAnsi="宋体" w:eastAsia="宋体" w:cs="宋体"/>
          <w:b w:val="0"/>
          <w:bCs w:val="0"/>
          <w:color w:val="auto"/>
          <w:kern w:val="2"/>
          <w:sz w:val="21"/>
          <w:szCs w:val="21"/>
          <w:highlight w:val="none"/>
          <w:lang w:val="en-US" w:eastAsia="zh-CN" w:bidi="ar-SA"/>
        </w:rPr>
        <w:t>18.5.4 通知义务</w:t>
      </w:r>
      <w:bookmarkEnd w:id="1586"/>
    </w:p>
    <w:p w14:paraId="0056D0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除专用合同条件另有约定外，任何一方当事人变更除工伤保险之外的保险合同时，应事先征得另一方当事人同意，并通知工程师。</w:t>
      </w:r>
    </w:p>
    <w:p w14:paraId="22616E9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保险事故发生时，投保人应按照保险合同规定的条件和期限及时向保险人报告。发包人和承包人应当在知道保险事故发生后及时通知对方。</w:t>
      </w:r>
    </w:p>
    <w:p w14:paraId="3E3580F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双方按本条规定投保不减少双方在合同下的其他义务。</w:t>
      </w:r>
    </w:p>
    <w:p w14:paraId="7FC59AB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87" w:name="_Toc10706"/>
      <w:bookmarkStart w:id="1588" w:name="_Toc54862320"/>
      <w:bookmarkStart w:id="1589" w:name="_Ref11874997"/>
      <w:r>
        <w:rPr>
          <w:rFonts w:hint="eastAsia" w:ascii="宋体" w:hAnsi="宋体" w:eastAsia="宋体" w:cs="宋体"/>
          <w:b/>
          <w:bCs/>
          <w:color w:val="auto"/>
          <w:kern w:val="2"/>
          <w:sz w:val="21"/>
          <w:szCs w:val="21"/>
          <w:highlight w:val="none"/>
          <w:lang w:val="en-US" w:eastAsia="zh-CN" w:bidi="ar-SA"/>
        </w:rPr>
        <w:t>第19条 索赔</w:t>
      </w:r>
      <w:bookmarkEnd w:id="1507"/>
      <w:bookmarkEnd w:id="1508"/>
      <w:bookmarkEnd w:id="1587"/>
      <w:bookmarkEnd w:id="1588"/>
      <w:bookmarkEnd w:id="1589"/>
      <w:r>
        <w:rPr>
          <w:rFonts w:hint="eastAsia" w:ascii="宋体" w:hAnsi="宋体" w:eastAsia="宋体" w:cs="宋体"/>
          <w:b/>
          <w:bCs/>
          <w:color w:val="auto"/>
          <w:kern w:val="2"/>
          <w:sz w:val="21"/>
          <w:szCs w:val="21"/>
          <w:highlight w:val="none"/>
          <w:lang w:val="en-US" w:eastAsia="zh-CN" w:bidi="ar-SA"/>
        </w:rPr>
        <w:t xml:space="preserve"> </w:t>
      </w:r>
    </w:p>
    <w:p w14:paraId="362ED540">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bookmarkStart w:id="1590" w:name="_Ref4798164"/>
      <w:bookmarkStart w:id="1591" w:name="_Ref4798173"/>
      <w:bookmarkStart w:id="1592" w:name="_Toc24403"/>
      <w:bookmarkStart w:id="1593" w:name="_Toc54862321"/>
      <w:r>
        <w:rPr>
          <w:rFonts w:hint="eastAsia" w:ascii="宋体" w:hAnsi="宋体" w:eastAsia="宋体" w:cs="宋体"/>
          <w:b/>
          <w:bCs/>
          <w:color w:val="auto"/>
          <w:kern w:val="2"/>
          <w:sz w:val="21"/>
          <w:szCs w:val="21"/>
          <w:highlight w:val="none"/>
          <w:lang w:val="en-US" w:eastAsia="zh-CN" w:bidi="ar-SA"/>
        </w:rPr>
        <w:t>19.1 索赔</w:t>
      </w:r>
      <w:bookmarkEnd w:id="1590"/>
      <w:bookmarkEnd w:id="1591"/>
      <w:r>
        <w:rPr>
          <w:rFonts w:hint="eastAsia" w:ascii="宋体" w:hAnsi="宋体" w:eastAsia="宋体" w:cs="宋体"/>
          <w:b/>
          <w:bCs/>
          <w:color w:val="auto"/>
          <w:kern w:val="2"/>
          <w:sz w:val="21"/>
          <w:szCs w:val="21"/>
          <w:highlight w:val="none"/>
          <w:lang w:val="en-US" w:eastAsia="zh-CN" w:bidi="ar-SA"/>
        </w:rPr>
        <w:t>的提出</w:t>
      </w:r>
      <w:bookmarkEnd w:id="1592"/>
      <w:bookmarkEnd w:id="1593"/>
    </w:p>
    <w:p w14:paraId="5EA6C4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根据合同约定，任意一方认为有权得到追加/减少付款、延长缺陷责任期和（或）延长工期的，应按以下程序向对方提出索赔：</w:t>
      </w:r>
    </w:p>
    <w:p w14:paraId="0C52AF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752C3CE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索赔方应在发出索赔意向通知书后28天内，向对方正式递交索赔报告；索赔报告应详细说明索赔理由以及要求追加的付款金额、延长缺陷责任期和（或）延长的工期，并附必要的记录和证明材料；</w:t>
      </w:r>
    </w:p>
    <w:p w14:paraId="252844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索赔事件具有持续影响的，索赔方应每月递交延续索赔通知，说明持续影响的实际情况和记录，列出累计的追加付款金额、延长缺陷责任期和（或）工期延长天数；</w:t>
      </w:r>
    </w:p>
    <w:p w14:paraId="30DAD6D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594" w:name="_Ref4796178"/>
      <w:r>
        <w:rPr>
          <w:rFonts w:hint="eastAsia" w:ascii="宋体" w:hAnsi="宋体" w:eastAsia="宋体" w:cs="宋体"/>
          <w:b w:val="0"/>
          <w:bCs w:val="0"/>
          <w:color w:val="auto"/>
          <w:kern w:val="2"/>
          <w:sz w:val="21"/>
          <w:szCs w:val="21"/>
          <w:highlight w:val="none"/>
          <w:lang w:val="en-US" w:eastAsia="zh-CN" w:bidi="ar-SA"/>
        </w:rPr>
        <w:t>（4） 在索赔事件影响结束后28天内，索赔方应向对方递交最终索赔报告，说明最终要求索赔的追加付款金额、延长缺陷责任期和（或）延长的工期，并附必要的记录和证明材料。</w:t>
      </w:r>
      <w:bookmarkEnd w:id="1594"/>
    </w:p>
    <w:p w14:paraId="4AE2A4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7ECF9F9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95" w:name="_Toc27384"/>
      <w:bookmarkStart w:id="1596" w:name="_Ref4796262"/>
      <w:bookmarkStart w:id="1597" w:name="_Ref4796254"/>
      <w:bookmarkStart w:id="1598" w:name="_Toc54862322"/>
      <w:r>
        <w:rPr>
          <w:rFonts w:hint="eastAsia" w:ascii="宋体" w:hAnsi="宋体" w:eastAsia="宋体" w:cs="宋体"/>
          <w:b/>
          <w:bCs/>
          <w:color w:val="auto"/>
          <w:kern w:val="2"/>
          <w:sz w:val="21"/>
          <w:szCs w:val="21"/>
          <w:highlight w:val="none"/>
          <w:lang w:val="en-US" w:eastAsia="zh-CN" w:bidi="ar-SA"/>
        </w:rPr>
        <w:t>19.2 承包人索赔的处理程序</w:t>
      </w:r>
      <w:bookmarkEnd w:id="1595"/>
      <w:bookmarkEnd w:id="1596"/>
      <w:bookmarkEnd w:id="1597"/>
      <w:bookmarkEnd w:id="1598"/>
    </w:p>
    <w:p w14:paraId="44B087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工程师收到承包人提交的索赔报告后，应及时审查索赔报告的内容、查验承包人的记录和证明材料，必要时工程师可要求承包人提交全部原始记录副本。</w:t>
      </w:r>
    </w:p>
    <w:p w14:paraId="49056F4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4259FF8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承包人接受索赔处理结果的，发包人应在作出索赔处理结果答复后28天内完成支付。承包人不接受索赔处理结果的，按照第20条[争议解决]约定处理。</w:t>
      </w:r>
    </w:p>
    <w:p w14:paraId="1D43C1D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599" w:name="_Toc11454"/>
      <w:bookmarkStart w:id="1600" w:name="_Toc54862323"/>
      <w:r>
        <w:rPr>
          <w:rFonts w:hint="eastAsia" w:ascii="宋体" w:hAnsi="宋体" w:eastAsia="宋体" w:cs="宋体"/>
          <w:b/>
          <w:bCs/>
          <w:color w:val="auto"/>
          <w:kern w:val="2"/>
          <w:sz w:val="21"/>
          <w:szCs w:val="21"/>
          <w:highlight w:val="none"/>
          <w:lang w:val="en-US" w:eastAsia="zh-CN" w:bidi="ar-SA"/>
        </w:rPr>
        <w:t>19.3 发包人索赔的处理程序</w:t>
      </w:r>
      <w:bookmarkEnd w:id="1599"/>
      <w:bookmarkEnd w:id="1600"/>
    </w:p>
    <w:p w14:paraId="7BC3E5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承包人收到发包人提交的索赔报告后，应及时审查索赔报告的内容、查验发包人证明材料；</w:t>
      </w:r>
    </w:p>
    <w:p w14:paraId="62C3B5A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承包人应在收到上述索赔报告或有关索赔的进一步证明材料后42天内，将索赔处理结果答复发包人。承包人在收到索赔通知书或有关索赔的进一步证明材料后的42天内不予答复的，视为认可索赔。</w:t>
      </w:r>
    </w:p>
    <w:p w14:paraId="7D1FDBB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发包人接受索赔处理结果的，发包人可从应支付给承包人的合同价款中扣除赔付的金额或延长缺陷责任期；发包人不接受索赔处理结果的，按第20条[争议解决]约定处理。</w:t>
      </w:r>
    </w:p>
    <w:p w14:paraId="6D4F861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01" w:name="_Toc54862324"/>
      <w:bookmarkStart w:id="1602" w:name="_Toc15802"/>
      <w:r>
        <w:rPr>
          <w:rFonts w:hint="eastAsia" w:ascii="宋体" w:hAnsi="宋体" w:eastAsia="宋体" w:cs="宋体"/>
          <w:b/>
          <w:bCs/>
          <w:color w:val="auto"/>
          <w:kern w:val="2"/>
          <w:sz w:val="21"/>
          <w:szCs w:val="21"/>
          <w:highlight w:val="none"/>
          <w:lang w:val="en-US" w:eastAsia="zh-CN" w:bidi="ar-SA"/>
        </w:rPr>
        <w:t>19.4 提出索赔的期限</w:t>
      </w:r>
      <w:bookmarkEnd w:id="1601"/>
      <w:bookmarkEnd w:id="1602"/>
    </w:p>
    <w:p w14:paraId="7E18B85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承包人按第14.5款[竣工结算</w:t>
      </w:r>
      <w:bookmarkStart w:id="1603" w:name="_Ref3826634"/>
      <w:bookmarkStart w:id="1604" w:name="_Ref3826629"/>
      <w:r>
        <w:rPr>
          <w:rFonts w:hint="eastAsia" w:ascii="宋体" w:hAnsi="宋体" w:eastAsia="宋体" w:cs="宋体"/>
          <w:b w:val="0"/>
          <w:bCs w:val="0"/>
          <w:color w:val="auto"/>
          <w:kern w:val="2"/>
          <w:sz w:val="21"/>
          <w:szCs w:val="21"/>
          <w:highlight w:val="none"/>
          <w:lang w:val="en-US" w:eastAsia="zh-CN" w:bidi="ar-SA"/>
        </w:rPr>
        <w:t>]约定接收竣工付款证书后，应被认为已无权再提出在合同工程接收证书颁发前所发生的任何索赔。</w:t>
      </w:r>
    </w:p>
    <w:p w14:paraId="180225A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承包人按第14.7款[最终结清]提交的最终结清申请单中，只限于提出工程接收证书颁发后发生的索赔。提出索赔的期限均自接受最终结清证书时终止。</w:t>
      </w:r>
      <w:bookmarkEnd w:id="1603"/>
      <w:bookmarkEnd w:id="1604"/>
    </w:p>
    <w:p w14:paraId="710E423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05" w:name="_Toc14990"/>
      <w:bookmarkStart w:id="1606" w:name="_Toc54862325"/>
      <w:bookmarkStart w:id="1607" w:name="_Ref532197861"/>
      <w:bookmarkStart w:id="1608" w:name="_Ref532142075"/>
      <w:r>
        <w:rPr>
          <w:rFonts w:hint="eastAsia" w:ascii="宋体" w:hAnsi="宋体" w:eastAsia="宋体" w:cs="宋体"/>
          <w:b/>
          <w:bCs/>
          <w:color w:val="auto"/>
          <w:kern w:val="2"/>
          <w:sz w:val="21"/>
          <w:szCs w:val="21"/>
          <w:highlight w:val="none"/>
          <w:lang w:val="en-US" w:eastAsia="zh-CN" w:bidi="ar-SA"/>
        </w:rPr>
        <w:t>第20条 争议解决</w:t>
      </w:r>
      <w:bookmarkEnd w:id="1605"/>
      <w:bookmarkEnd w:id="1606"/>
      <w:bookmarkEnd w:id="1607"/>
      <w:bookmarkEnd w:id="1608"/>
      <w:r>
        <w:rPr>
          <w:rFonts w:hint="eastAsia" w:ascii="宋体" w:hAnsi="宋体" w:eastAsia="宋体" w:cs="宋体"/>
          <w:b/>
          <w:bCs/>
          <w:color w:val="auto"/>
          <w:kern w:val="2"/>
          <w:sz w:val="21"/>
          <w:szCs w:val="21"/>
          <w:highlight w:val="none"/>
          <w:lang w:val="en-US" w:eastAsia="zh-CN" w:bidi="ar-SA"/>
        </w:rPr>
        <w:t xml:space="preserve"> </w:t>
      </w:r>
    </w:p>
    <w:p w14:paraId="77C2F45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09" w:name="_Ref415507198"/>
      <w:bookmarkStart w:id="1610" w:name="_Toc54862326"/>
      <w:bookmarkStart w:id="1611" w:name="_Toc23719"/>
      <w:r>
        <w:rPr>
          <w:rFonts w:hint="eastAsia" w:ascii="宋体" w:hAnsi="宋体" w:eastAsia="宋体" w:cs="宋体"/>
          <w:b/>
          <w:bCs/>
          <w:color w:val="auto"/>
          <w:kern w:val="2"/>
          <w:sz w:val="21"/>
          <w:szCs w:val="21"/>
          <w:highlight w:val="none"/>
          <w:lang w:val="en-US" w:eastAsia="zh-CN" w:bidi="ar-SA"/>
        </w:rPr>
        <w:t>20.1 和解</w:t>
      </w:r>
      <w:bookmarkEnd w:id="1609"/>
      <w:bookmarkEnd w:id="1610"/>
      <w:bookmarkEnd w:id="1611"/>
    </w:p>
    <w:p w14:paraId="62DEDF6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合同当事人可以就争议自行和解，自行和解达成协议的经双方签字并盖章后作为合同补充文件，双方均应遵照执行。</w:t>
      </w:r>
    </w:p>
    <w:p w14:paraId="772E718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12" w:name="_Toc54862327"/>
      <w:bookmarkStart w:id="1613" w:name="_Toc29902"/>
      <w:r>
        <w:rPr>
          <w:rFonts w:hint="eastAsia" w:ascii="宋体" w:hAnsi="宋体" w:eastAsia="宋体" w:cs="宋体"/>
          <w:b/>
          <w:bCs/>
          <w:color w:val="auto"/>
          <w:kern w:val="2"/>
          <w:sz w:val="21"/>
          <w:szCs w:val="21"/>
          <w:highlight w:val="none"/>
          <w:lang w:val="en-US" w:eastAsia="zh-CN" w:bidi="ar-SA"/>
        </w:rPr>
        <w:t>20.2 调解</w:t>
      </w:r>
      <w:bookmarkEnd w:id="1612"/>
      <w:bookmarkEnd w:id="1613"/>
      <w:r>
        <w:rPr>
          <w:rFonts w:hint="eastAsia" w:ascii="宋体" w:hAnsi="宋体" w:eastAsia="宋体" w:cs="宋体"/>
          <w:b/>
          <w:bCs/>
          <w:color w:val="auto"/>
          <w:kern w:val="2"/>
          <w:sz w:val="21"/>
          <w:szCs w:val="21"/>
          <w:highlight w:val="none"/>
          <w:lang w:val="en-US" w:eastAsia="zh-CN" w:bidi="ar-SA"/>
        </w:rPr>
        <w:t xml:space="preserve"> </w:t>
      </w:r>
    </w:p>
    <w:p w14:paraId="6D969EF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合同当事人可以就争议请求建设行政主管部门、行业协会或其他第三方进行调解，调解达成协议的，经双方签字盖章后作为合同补充文件，双方均应遵照执行。</w:t>
      </w:r>
    </w:p>
    <w:p w14:paraId="3E28078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14" w:name="_Ref532221532"/>
      <w:bookmarkStart w:id="1615" w:name="_Ref532221527"/>
      <w:bookmarkStart w:id="1616" w:name="_Toc54862328"/>
      <w:bookmarkStart w:id="1617" w:name="_Toc6256"/>
      <w:r>
        <w:rPr>
          <w:rFonts w:hint="eastAsia" w:ascii="宋体" w:hAnsi="宋体" w:eastAsia="宋体" w:cs="宋体"/>
          <w:b/>
          <w:bCs/>
          <w:color w:val="auto"/>
          <w:kern w:val="2"/>
          <w:sz w:val="21"/>
          <w:szCs w:val="21"/>
          <w:highlight w:val="none"/>
          <w:lang w:val="en-US" w:eastAsia="zh-CN" w:bidi="ar-SA"/>
        </w:rPr>
        <w:t>20.3 争议评审</w:t>
      </w:r>
      <w:bookmarkEnd w:id="1614"/>
      <w:bookmarkEnd w:id="1615"/>
      <w:bookmarkEnd w:id="1616"/>
      <w:bookmarkEnd w:id="1617"/>
    </w:p>
    <w:p w14:paraId="12BA022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合同当事人在专用合同条件中约定采取争议评审方式及评审规则解决争议的，按下列约定执行：</w:t>
      </w:r>
    </w:p>
    <w:p w14:paraId="2F52490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20.3.1 争议评审小组的确定</w:t>
      </w:r>
    </w:p>
    <w:p w14:paraId="70922B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566E90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6E25A0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除专用合同条件另有约定外，争议评审员报酬由发包人和承包人各承担一半。</w:t>
      </w:r>
    </w:p>
    <w:p w14:paraId="3363A83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618" w:name="_Ref532287270"/>
      <w:r>
        <w:rPr>
          <w:rFonts w:hint="eastAsia" w:ascii="宋体" w:hAnsi="宋体" w:eastAsia="宋体" w:cs="宋体"/>
          <w:b w:val="0"/>
          <w:bCs w:val="0"/>
          <w:color w:val="auto"/>
          <w:kern w:val="2"/>
          <w:sz w:val="21"/>
          <w:szCs w:val="21"/>
          <w:highlight w:val="none"/>
          <w:lang w:val="en-US" w:eastAsia="zh-CN" w:bidi="ar-SA"/>
        </w:rPr>
        <w:t>20.3.2 争议的避免</w:t>
      </w:r>
      <w:bookmarkEnd w:id="1618"/>
    </w:p>
    <w:p w14:paraId="335E33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合同当事人协商一致，可以共同书面请求争议评审小组，就合同履行过程中可能出现争议的情况提供协助或进行非正式讨论，争议评审小组应给出公正的意见或建议。</w:t>
      </w:r>
    </w:p>
    <w:p w14:paraId="4B285B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此类协助或非正式讨论可在任何会议、施工现场视察或其他场合进行，并且除专用合同条件另有约定外，发包人和承包人均应出席。</w:t>
      </w:r>
    </w:p>
    <w:p w14:paraId="6CAD053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争议评审小组在此类非正式讨论上给出的任何意见或建议，无论是口头还是书面的，对发包人和承包人不具有约束力，争议评审小组在之后的争议评审程序或决定中也不受此类意见或建议的约束。</w:t>
      </w:r>
    </w:p>
    <w:p w14:paraId="323847A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619" w:name="_Ref4695594"/>
      <w:r>
        <w:rPr>
          <w:rFonts w:hint="eastAsia" w:ascii="宋体" w:hAnsi="宋体" w:eastAsia="宋体" w:cs="宋体"/>
          <w:b w:val="0"/>
          <w:bCs w:val="0"/>
          <w:color w:val="auto"/>
          <w:kern w:val="2"/>
          <w:sz w:val="21"/>
          <w:szCs w:val="21"/>
          <w:highlight w:val="none"/>
          <w:lang w:val="en-US" w:eastAsia="zh-CN" w:bidi="ar-SA"/>
        </w:rPr>
        <w:t>20.3.3 争议评审小组的决定</w:t>
      </w:r>
      <w:bookmarkEnd w:id="1619"/>
    </w:p>
    <w:p w14:paraId="7AD3943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644872C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20.3.4 争议评审小组决定的效力</w:t>
      </w:r>
    </w:p>
    <w:p w14:paraId="2579F1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争议评审小组作出的书面决定经合同当事人签字确认后，对双方具有约束力，双方应遵照执行。</w:t>
      </w:r>
    </w:p>
    <w:p w14:paraId="0E3C3B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任何一方当事人不接受争议评审小组决定或不履行争议评审小组决定的，双方可选择采用其他争议解决方式。</w:t>
      </w:r>
    </w:p>
    <w:p w14:paraId="5D0EBF8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任何一方当事人不接受争议评审小组的决定，并不影响暂时执行争议评审小组的决定，直到在后续的采用其他争议解决方式中对争议评审小组的决定进行了改变。</w:t>
      </w:r>
    </w:p>
    <w:p w14:paraId="40BB4CC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20" w:name="_Toc54862329"/>
      <w:bookmarkStart w:id="1621" w:name="_Ref532221748"/>
      <w:bookmarkStart w:id="1622" w:name="_Ref532221752"/>
      <w:bookmarkStart w:id="1623" w:name="_Toc29430"/>
      <w:r>
        <w:rPr>
          <w:rFonts w:hint="eastAsia" w:ascii="宋体" w:hAnsi="宋体" w:eastAsia="宋体" w:cs="宋体"/>
          <w:b/>
          <w:bCs/>
          <w:color w:val="auto"/>
          <w:kern w:val="2"/>
          <w:sz w:val="21"/>
          <w:szCs w:val="21"/>
          <w:highlight w:val="none"/>
          <w:lang w:val="en-US" w:eastAsia="zh-CN" w:bidi="ar-SA"/>
        </w:rPr>
        <w:t>20.4 仲裁或诉讼</w:t>
      </w:r>
      <w:bookmarkEnd w:id="1620"/>
      <w:bookmarkEnd w:id="1621"/>
      <w:bookmarkEnd w:id="1622"/>
      <w:bookmarkEnd w:id="1623"/>
    </w:p>
    <w:p w14:paraId="702386C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因合同及合同有关事项产生的争议，合同当事人可以在专用合同条件中约定以下一种方式解决争议：</w:t>
      </w:r>
    </w:p>
    <w:p w14:paraId="3488CCC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向约定的仲裁委员会申请仲裁；</w:t>
      </w:r>
    </w:p>
    <w:p w14:paraId="0A6F8BE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向有管辖权的人民法院起诉。</w:t>
      </w:r>
    </w:p>
    <w:p w14:paraId="51E4E9B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24" w:name="_Toc54862330"/>
      <w:bookmarkStart w:id="1625" w:name="_Toc13841"/>
      <w:r>
        <w:rPr>
          <w:rFonts w:hint="eastAsia" w:ascii="宋体" w:hAnsi="宋体" w:eastAsia="宋体" w:cs="宋体"/>
          <w:b/>
          <w:bCs/>
          <w:color w:val="auto"/>
          <w:kern w:val="2"/>
          <w:sz w:val="21"/>
          <w:szCs w:val="21"/>
          <w:highlight w:val="none"/>
          <w:lang w:val="en-US" w:eastAsia="zh-CN" w:bidi="ar-SA"/>
        </w:rPr>
        <w:t>20.5 争议解决条款效力</w:t>
      </w:r>
      <w:bookmarkEnd w:id="1624"/>
      <w:bookmarkEnd w:id="1625"/>
    </w:p>
    <w:p w14:paraId="43A4DED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合同有关争议解决的条款独立存在，合同的不生效、无效、被撤销或者终止的，不影响合同中有关争议解决条款的效力。</w:t>
      </w:r>
    </w:p>
    <w:p w14:paraId="302DFC4E">
      <w:pPr>
        <w:wordWrap/>
        <w:topLinePunct w:val="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90984FD">
      <w:pPr>
        <w:pStyle w:val="684"/>
        <w:keepNext w:val="0"/>
        <w:keepLines w:val="0"/>
        <w:widowControl/>
        <w:adjustRightInd w:val="0"/>
        <w:snapToGrid w:val="0"/>
        <w:spacing w:before="0" w:after="50" w:line="360" w:lineRule="auto"/>
        <w:jc w:val="center"/>
        <w:rPr>
          <w:rFonts w:hint="eastAsia" w:ascii="宋体" w:hAnsi="宋体" w:eastAsia="宋体" w:cs="宋体"/>
          <w:b/>
          <w:bCs/>
          <w:color w:val="auto"/>
          <w:kern w:val="2"/>
          <w:sz w:val="44"/>
          <w:szCs w:val="44"/>
          <w:highlight w:val="none"/>
          <w:lang w:val="en-US" w:eastAsia="zh-CN" w:bidi="ar-SA"/>
        </w:rPr>
      </w:pPr>
      <w:bookmarkStart w:id="1626" w:name="_Toc54862331"/>
      <w:r>
        <w:rPr>
          <w:rFonts w:hint="eastAsia" w:ascii="宋体" w:hAnsi="宋体" w:eastAsia="宋体" w:cs="宋体"/>
          <w:b/>
          <w:bCs/>
          <w:color w:val="auto"/>
          <w:kern w:val="2"/>
          <w:sz w:val="44"/>
          <w:szCs w:val="44"/>
          <w:highlight w:val="none"/>
          <w:lang w:val="en-US" w:eastAsia="zh-CN" w:bidi="ar-SA"/>
        </w:rPr>
        <w:t>第三部分 专用合同条件</w:t>
      </w:r>
      <w:bookmarkEnd w:id="1626"/>
    </w:p>
    <w:p w14:paraId="7E68BF1C">
      <w:pPr>
        <w:wordWrap/>
        <w:topLinePunct w:val="0"/>
        <w:ind w:right="-218" w:rightChars="-104"/>
        <w:rPr>
          <w:rFonts w:hint="eastAsia" w:ascii="宋体" w:hAnsi="宋体" w:eastAsia="宋体" w:cs="宋体"/>
          <w:b/>
          <w:bCs/>
          <w:color w:val="auto"/>
          <w:kern w:val="2"/>
          <w:sz w:val="21"/>
          <w:szCs w:val="21"/>
          <w:highlight w:val="none"/>
          <w:lang w:val="en-US" w:eastAsia="zh-CN" w:bidi="ar-SA"/>
        </w:rPr>
      </w:pPr>
      <w:bookmarkStart w:id="1627" w:name="_Toc19436"/>
      <w:bookmarkStart w:id="1628" w:name="_Toc54862332"/>
      <w:r>
        <w:rPr>
          <w:rFonts w:hint="eastAsia" w:ascii="宋体" w:hAnsi="宋体" w:eastAsia="宋体" w:cs="宋体"/>
          <w:b/>
          <w:bCs/>
          <w:color w:val="auto"/>
          <w:kern w:val="2"/>
          <w:sz w:val="21"/>
          <w:szCs w:val="21"/>
          <w:highlight w:val="none"/>
          <w:lang w:val="en-US" w:eastAsia="zh-CN" w:bidi="ar-SA"/>
        </w:rPr>
        <w:t>第1条 一般约定</w:t>
      </w:r>
      <w:bookmarkEnd w:id="1627"/>
      <w:bookmarkEnd w:id="1628"/>
    </w:p>
    <w:p w14:paraId="6D00DCEF">
      <w:pPr>
        <w:wordWrap/>
        <w:topLinePunct w:val="0"/>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 词语定义和解释</w:t>
      </w:r>
    </w:p>
    <w:p w14:paraId="7E580DC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 合同</w:t>
      </w:r>
    </w:p>
    <w:p w14:paraId="0F09E4C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1.1.1.10 其他合同文件：</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0BE5F0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 工程和设备</w:t>
      </w:r>
    </w:p>
    <w:p w14:paraId="1292C1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1.1.3.5 单位/区段工程的范围：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DC3D2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1.1.3.9 作为施工场所组成部分的其他场所包括：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86C7DD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1.1.3.10 永久占地包括：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B09444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1.1.3.11 临时占地包括：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A72980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 语言文字</w:t>
      </w:r>
    </w:p>
    <w:p w14:paraId="6F2767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本合同除使用汉语外，还使用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语言。</w:t>
      </w:r>
    </w:p>
    <w:p w14:paraId="0020FCC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 法律</w:t>
      </w:r>
    </w:p>
    <w:p w14:paraId="798E0A7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适用于合同的其他规范性文件：</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ECA8D2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 标准和规范</w:t>
      </w:r>
    </w:p>
    <w:p w14:paraId="4DF6176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 适用于本合同的标准、规范（名称）包括：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11BA4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1.4.2 发包人提供的国外标准、规范的名称：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；发包人提供的国外标准、规范的份数：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；发包人提供的国外标准、规范的时间：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235921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1.4.3 没有成文规范、标准规定的约定：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87E87E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1.4.4 发包人对于工程的技术标准、功能要求：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B8A021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 合同文件的优先顺序</w:t>
      </w:r>
    </w:p>
    <w:p w14:paraId="57A52AF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合同文件组成及优先顺序为：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F1F0CB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 文件的提供和照管</w:t>
      </w:r>
    </w:p>
    <w:p w14:paraId="74164F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1.6.1 发包人文件的提供</w:t>
      </w:r>
    </w:p>
    <w:p w14:paraId="4BD9D294">
      <w:pPr>
        <w:wordWrap/>
        <w:topLinePunct w:val="0"/>
        <w:spacing w:line="360" w:lineRule="auto"/>
        <w:ind w:right="-218" w:rightChars="-104"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发包人文件的提供期限、名称、数量和形式：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7ED52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1.6.2 承包人文件的提供</w:t>
      </w:r>
    </w:p>
    <w:p w14:paraId="04EFAD2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承包人文件的内容、提供期限、名称、数量和形式：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54F5BF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1.6.4 文件的照管</w:t>
      </w:r>
    </w:p>
    <w:p w14:paraId="415B032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关于现场文件准备的约定：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2068D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 联络</w:t>
      </w:r>
    </w:p>
    <w:p w14:paraId="2D2C9EF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1.7.2 发包人指定的送达方式（包括电子传输方式）：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89DDF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发包人的送达地址：</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23284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承包人指定的送达方式（包括电子传输方式）：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558D7F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承包人的送达地址：</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CCACAD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1.10 知识产权</w:t>
      </w:r>
    </w:p>
    <w:p w14:paraId="5E86B7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1.10.1 由发包人（或以发包人名义）编制的《发包人要求》和其他文件的著作权归属：</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42E7C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1.10.2 由承包人（或以承包人名义）为实施工程所编制的文件、承包人完成的设计工作成果和建造完成的建筑物的知识产权归属：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95A274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1.10.4 承包人在投标文件中采用的专利、专有技术、技术秘密的使用费的承担方式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070035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1.11 保密</w:t>
      </w:r>
    </w:p>
    <w:p w14:paraId="7F22E7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双方订立的商业保密协议（名称）：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，作为本合同附件。</w:t>
      </w:r>
    </w:p>
    <w:p w14:paraId="1D3BF1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双方订立的技术保密协议（名称）：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，作为本合同附件。</w:t>
      </w:r>
    </w:p>
    <w:p w14:paraId="0CE63A3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1.13 责任限制</w:t>
      </w:r>
    </w:p>
    <w:p w14:paraId="727CBB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承包人对发包人赔偿责任的最高限额为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55DE55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1.14 建筑信息模型技术的应用</w:t>
      </w:r>
    </w:p>
    <w:p w14:paraId="7332B22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关于建筑信息模型技术的开发、使用、存储、传输、交付及费用约定如下：</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354796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29" w:name="_Toc54862333"/>
      <w:bookmarkStart w:id="1630" w:name="_Toc10054"/>
      <w:r>
        <w:rPr>
          <w:rFonts w:hint="eastAsia" w:ascii="宋体" w:hAnsi="宋体" w:eastAsia="宋体" w:cs="宋体"/>
          <w:b/>
          <w:bCs/>
          <w:color w:val="auto"/>
          <w:kern w:val="2"/>
          <w:sz w:val="21"/>
          <w:szCs w:val="21"/>
          <w:highlight w:val="none"/>
          <w:lang w:val="en-US" w:eastAsia="zh-CN" w:bidi="ar-SA"/>
        </w:rPr>
        <w:t>第2条 发包人</w:t>
      </w:r>
      <w:bookmarkEnd w:id="1629"/>
      <w:bookmarkEnd w:id="1630"/>
    </w:p>
    <w:p w14:paraId="068768B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2.2 提供施工现场和工作条件</w:t>
      </w:r>
    </w:p>
    <w:p w14:paraId="562B937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2.2.1 提供施工现场</w:t>
      </w:r>
    </w:p>
    <w:p w14:paraId="66A88A1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关于发包人提供施工现场的范围和期限：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AE635E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2.2.2 提供工作条件</w:t>
      </w:r>
    </w:p>
    <w:p w14:paraId="527E47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关于发包人应负责提供的工作条件包括：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3F26E6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2.3 提供基础资料</w:t>
      </w:r>
    </w:p>
    <w:p w14:paraId="6AD966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关于发包人应提供的基础资料的范围和期限：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5768CA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2.5 支付合同价款</w:t>
      </w:r>
    </w:p>
    <w:p w14:paraId="25F01F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2.5.2 发包人提供资金来源证明及资金安排的期限要求：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394FDC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2.5.3 发包人提供支付担保的形式、期限、金额（或比例）：</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F4A8DC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2.7 其他义务</w:t>
      </w:r>
    </w:p>
    <w:p w14:paraId="45479E8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发包人应履行的其他义务：</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BB57AC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31" w:name="_Toc20260"/>
      <w:bookmarkStart w:id="1632" w:name="_Toc54862334"/>
      <w:r>
        <w:rPr>
          <w:rFonts w:hint="eastAsia" w:ascii="宋体" w:hAnsi="宋体" w:eastAsia="宋体" w:cs="宋体"/>
          <w:b/>
          <w:bCs/>
          <w:color w:val="auto"/>
          <w:kern w:val="2"/>
          <w:sz w:val="21"/>
          <w:szCs w:val="21"/>
          <w:highlight w:val="none"/>
          <w:lang w:val="en-US" w:eastAsia="zh-CN" w:bidi="ar-SA"/>
        </w:rPr>
        <w:t>第3条 发包人的管理</w:t>
      </w:r>
      <w:bookmarkEnd w:id="1631"/>
      <w:bookmarkEnd w:id="1632"/>
    </w:p>
    <w:p w14:paraId="47E73AE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 发包人代表</w:t>
      </w:r>
    </w:p>
    <w:p w14:paraId="2B21A8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发包人代表的姓名：</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42CAE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发包人代表的身份证号：</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DDB89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发包人代表的职务：</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A03689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发包人代表的联系电话：</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16303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发包人代表的电子邮箱：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510CF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发包人代表的通信地址：</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5ABBB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发包人对发包人代表的授权范围如下：</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091EA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发包人代表的职责：</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5E268E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3.2 发包人人员</w:t>
      </w:r>
    </w:p>
    <w:p w14:paraId="09E3A96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发包人人员姓名：</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606177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发包人人员职务：</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A9C27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发包人人员职责：</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1BA629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3.3 工程师</w:t>
      </w:r>
    </w:p>
    <w:p w14:paraId="680984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3.3.1 工程师名称：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；工程师监督管理范围、内容：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；工程师权限：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09B63F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3.6 商定或确定</w:t>
      </w:r>
    </w:p>
    <w:p w14:paraId="08C9585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3.6.2 关于商定时间限制的具体约定：</w:t>
      </w:r>
      <w:r>
        <w:rPr>
          <w:rFonts w:hint="eastAsia" w:ascii="宋体" w:hAnsi="宋体" w:eastAsia="宋体" w:cs="宋体"/>
          <w:b/>
          <w:bCs/>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6B6DD7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3.6.3 关于商定或确定效力的具体约定：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；关于对工程师的确定提出异议的具体约定：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C723E5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3.7 会议</w:t>
      </w:r>
    </w:p>
    <w:p w14:paraId="009AA3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3.7.1 关于召开会议的具体约定：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3810E4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3.7.2 关于保存和提供会议纪要的具体约定：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0DF4C9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33" w:name="_Toc14266"/>
      <w:bookmarkStart w:id="1634" w:name="_Toc54862335"/>
      <w:r>
        <w:rPr>
          <w:rFonts w:hint="eastAsia" w:ascii="宋体" w:hAnsi="宋体" w:eastAsia="宋体" w:cs="宋体"/>
          <w:b/>
          <w:bCs/>
          <w:color w:val="auto"/>
          <w:kern w:val="2"/>
          <w:sz w:val="21"/>
          <w:szCs w:val="21"/>
          <w:highlight w:val="none"/>
          <w:lang w:val="en-US" w:eastAsia="zh-CN" w:bidi="ar-SA"/>
        </w:rPr>
        <w:t>第4条 承包人</w:t>
      </w:r>
      <w:bookmarkEnd w:id="1633"/>
      <w:bookmarkEnd w:id="1634"/>
    </w:p>
    <w:p w14:paraId="65C926A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4.1 承包人的一般义务</w:t>
      </w:r>
    </w:p>
    <w:p w14:paraId="6FDC7C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承包人应履行的其他义务：</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3E64B1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4.2 履约担保</w:t>
      </w:r>
    </w:p>
    <w:p w14:paraId="182CF76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承包人是否提供履约担保：</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F60F8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履约担保的方式、金额及期限:                        。</w:t>
      </w:r>
    </w:p>
    <w:p w14:paraId="345CC9F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4.3 工程总承包项目经理</w:t>
      </w:r>
    </w:p>
    <w:p w14:paraId="28B8C4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4.3.1 工程总承包项目经理姓名：</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55D37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执业资格或职称类型：</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AA7A46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执业资格证或职称证号码：</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45DA1F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联系电话：</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9314E4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电子邮箱：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CD3459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通信地址：</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3EDE00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承包人未提交劳动合同，以及没有为工程总承包项目经理缴纳社会保险证明的违约责任：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D33C3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4.3.2 工程总承包项目经理每月在现场的时间要求：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1564B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工程总承包项目经理未经批准擅自离开施工现场的违约责任：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D2587E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4.3.3 承包人对工程总承包项目经理的授权范围: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10237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4.3.4 承包人擅自更换工程总承包项目经理的违约责任：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0AC7E9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4.3.5 承包人无正当理由拒绝更换工程总承包项目经理的违约责任: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67C8CA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4.4 承包人人员</w:t>
      </w:r>
    </w:p>
    <w:p w14:paraId="27B9721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4.4.1 人员安排</w:t>
      </w:r>
    </w:p>
    <w:p w14:paraId="6DCEA5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承包人提交项目管理机构及施工现场人员安排的报告的期限：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4534B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承包人提交关键人员信息及注册执业资格等证明其具备担任关键人员能力的相关文件的期限：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06DAB0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4.4.2 关键人员更换</w:t>
      </w:r>
    </w:p>
    <w:p w14:paraId="7F011A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承包人擅自更换关键人员的违约责任：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52D3EE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承包人无正当理由拒绝撤换关键人员的违约责任：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FA90E3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4.4.3 现场管理关键人员在岗要求</w:t>
      </w:r>
    </w:p>
    <w:p w14:paraId="31EFB5C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承包人现场管理关键人员离开施工现场的批准要求：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77AD19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承包人现场管理关键人员擅自离开施工现场的违约责任：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702EB0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4.5 分包</w:t>
      </w:r>
    </w:p>
    <w:p w14:paraId="56C58A0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4.5.1 一般约定</w:t>
      </w:r>
    </w:p>
    <w:p w14:paraId="4DC3F4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禁止分包的工程包括：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EEDA28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4.5.2 分包的确定</w:t>
      </w:r>
    </w:p>
    <w:p w14:paraId="4F0B7E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允许分包的工程包括：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D5F92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其他关于分包的约定：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429CB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4.5.5 分包合同价款支付</w:t>
      </w:r>
    </w:p>
    <w:p w14:paraId="14CB06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关于分包合同价款支付的约定：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C76D8E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4.6 联合体</w:t>
      </w:r>
    </w:p>
    <w:p w14:paraId="6B0F31F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4.6.2 联合体各成员的分工、费用收取、发票开具等事项：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5D4253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4.7 承包人现场查勘</w:t>
      </w:r>
    </w:p>
    <w:p w14:paraId="0110DD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4.7.1 双方当事人对现场查勘的责任承担的约定：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D910D7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4.8 不可预见的困难</w:t>
      </w:r>
    </w:p>
    <w:p w14:paraId="6DA7D1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不可预见的困难包括：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1542E3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35" w:name="_Toc54862336"/>
      <w:bookmarkStart w:id="1636" w:name="_Toc29592"/>
      <w:r>
        <w:rPr>
          <w:rFonts w:hint="eastAsia" w:ascii="宋体" w:hAnsi="宋体" w:eastAsia="宋体" w:cs="宋体"/>
          <w:b/>
          <w:bCs/>
          <w:color w:val="auto"/>
          <w:kern w:val="2"/>
          <w:sz w:val="21"/>
          <w:szCs w:val="21"/>
          <w:highlight w:val="none"/>
          <w:lang w:val="en-US" w:eastAsia="zh-CN" w:bidi="ar-SA"/>
        </w:rPr>
        <w:t>第5条 设计</w:t>
      </w:r>
      <w:bookmarkEnd w:id="1635"/>
      <w:bookmarkEnd w:id="1636"/>
    </w:p>
    <w:p w14:paraId="37F6385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5.2 承包人文件审查</w:t>
      </w:r>
    </w:p>
    <w:p w14:paraId="7DD8DF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5.2.1 承包人文件审查的期限：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BEB666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5.2.2 审查会议的审查形式和时间安排</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，审查会议的相关费用由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承担。</w:t>
      </w:r>
    </w:p>
    <w:p w14:paraId="3CF4C39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5.2.3 关于第三方审查单位的约定：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714E3E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5.3 培训</w:t>
      </w:r>
    </w:p>
    <w:p w14:paraId="2896E0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培训的时长为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，承包人应为培训提供的人员、设施和其它必要条件为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55B0A5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5.4 竣工文件</w:t>
      </w:r>
    </w:p>
    <w:p w14:paraId="6FEB7E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5.4.1 竣工文件的形式、提供的份数、技术标准以及其它相关要求：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C831D9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5.4.3 关于竣工文件的其他约定：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9D2F576">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5.5 操作和维修手册</w:t>
      </w:r>
    </w:p>
    <w:p w14:paraId="0834CA2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5.5.3 对最终操作和维修手册的约定：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F04284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37" w:name="_Toc54862337"/>
      <w:bookmarkStart w:id="1638" w:name="_Toc23693"/>
      <w:r>
        <w:rPr>
          <w:rFonts w:hint="eastAsia" w:ascii="宋体" w:hAnsi="宋体" w:eastAsia="宋体" w:cs="宋体"/>
          <w:b/>
          <w:bCs/>
          <w:color w:val="auto"/>
          <w:kern w:val="2"/>
          <w:sz w:val="21"/>
          <w:szCs w:val="21"/>
          <w:highlight w:val="none"/>
          <w:lang w:val="en-US" w:eastAsia="zh-CN" w:bidi="ar-SA"/>
        </w:rPr>
        <w:t>第6条 材料、工程设备</w:t>
      </w:r>
      <w:bookmarkEnd w:id="1637"/>
      <w:bookmarkEnd w:id="1638"/>
    </w:p>
    <w:p w14:paraId="59C20E8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6.1 实施方法</w:t>
      </w:r>
    </w:p>
    <w:p w14:paraId="7E1CDE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双方当事人约定的实施方法、设备、设施和材料：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C18D2D9">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6.2 材料和工程设备</w:t>
      </w:r>
    </w:p>
    <w:p w14:paraId="0B6CB6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6.2.1 发包人提供的材料和工程设备</w:t>
      </w:r>
    </w:p>
    <w:p w14:paraId="20FBADB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发包人提供的材料和工程设备验收后，由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负责接收、运输和保管。</w:t>
      </w:r>
    </w:p>
    <w:p w14:paraId="3C492D9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6.2.2 承包人提供的材料和工程设备</w:t>
      </w:r>
    </w:p>
    <w:p w14:paraId="500B907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材料和工程设备的类别、估算数量：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03E1B1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竣工后试验的生产性材料的类别或（和）清单：</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2370E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6.2.3 材料和工程设备的保管</w:t>
      </w:r>
    </w:p>
    <w:p w14:paraId="4414DF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发包人供应的材料和工程设备的保管费用由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承担。</w:t>
      </w:r>
    </w:p>
    <w:p w14:paraId="1F2D7E2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承包人提交保管、维护方案的时间：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018604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发包人提供的库房、堆场、设施和设备：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D00685C">
      <w:pPr>
        <w:wordWrap/>
        <w:topLinePunct w:val="0"/>
        <w:spacing w:line="360" w:lineRule="auto"/>
        <w:ind w:right="-218" w:rightChars="-104"/>
        <w:rPr>
          <w:rFonts w:hint="eastAsia" w:ascii="宋体" w:hAnsi="宋体" w:eastAsia="宋体" w:cs="宋体"/>
          <w:b/>
          <w:bCs/>
          <w:color w:val="auto"/>
          <w:kern w:val="2"/>
          <w:sz w:val="21"/>
          <w:szCs w:val="21"/>
          <w:highlight w:val="none"/>
          <w:u w:val="none"/>
          <w:lang w:val="en-US" w:eastAsia="zh-CN" w:bidi="ar-SA"/>
        </w:rPr>
      </w:pPr>
      <w:r>
        <w:rPr>
          <w:rFonts w:hint="eastAsia" w:ascii="宋体" w:hAnsi="宋体" w:eastAsia="宋体" w:cs="宋体"/>
          <w:b/>
          <w:bCs/>
          <w:color w:val="auto"/>
          <w:kern w:val="2"/>
          <w:sz w:val="21"/>
          <w:szCs w:val="21"/>
          <w:highlight w:val="none"/>
          <w:u w:val="none"/>
          <w:lang w:val="en-US" w:eastAsia="zh-CN" w:bidi="ar-SA"/>
        </w:rPr>
        <w:t>6.3 样品</w:t>
      </w:r>
    </w:p>
    <w:p w14:paraId="5BD35C43">
      <w:pPr>
        <w:wordWrap/>
        <w:topLinePunct w:val="0"/>
        <w:spacing w:line="360" w:lineRule="auto"/>
        <w:ind w:right="-218" w:rightChars="-104" w:firstLine="420" w:firstLineChars="200"/>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b w:val="0"/>
          <w:bCs w:val="0"/>
          <w:color w:val="auto"/>
          <w:kern w:val="2"/>
          <w:sz w:val="21"/>
          <w:szCs w:val="21"/>
          <w:highlight w:val="none"/>
          <w:u w:val="none"/>
          <w:lang w:val="en-US" w:eastAsia="zh-CN" w:bidi="ar-SA"/>
        </w:rPr>
        <w:t>6.3.1 样品的报送与封存</w:t>
      </w:r>
    </w:p>
    <w:p w14:paraId="4C93D5A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需要承包人报送样品的材料或工程设备，样品种类、名称、规格、数量：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84C9E4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6.4 质量检查</w:t>
      </w:r>
    </w:p>
    <w:p w14:paraId="3F99222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6.4.1 工程质量要求</w:t>
      </w:r>
    </w:p>
    <w:p w14:paraId="4902286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工程质量的特殊标准或要求：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665B92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6.4.2 质量检查</w:t>
      </w:r>
    </w:p>
    <w:p w14:paraId="3E48BFC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除通用合同条件已列明的质量检查的地点外，发包人有权进行质量检查的其他地点：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B2E4C3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6.4.3 隐蔽工程检查</w:t>
      </w:r>
    </w:p>
    <w:p w14:paraId="4837295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关于隐蔽工程和中间验收的特别约定：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C29138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6.5 由承包人试验和检验</w:t>
      </w:r>
    </w:p>
    <w:p w14:paraId="75BCA05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6.5.1 试验设备与试验人员</w:t>
      </w:r>
    </w:p>
    <w:p w14:paraId="4D758B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试验的内容、时间和地点：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3EBFAF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试验所需要的试验设备、取样装置、试验场所和试验条件：</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564381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试验和检验费用的计价原则：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B76829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39" w:name="_Toc5042"/>
      <w:bookmarkStart w:id="1640" w:name="_Toc54862338"/>
      <w:r>
        <w:rPr>
          <w:rFonts w:hint="eastAsia" w:ascii="宋体" w:hAnsi="宋体" w:eastAsia="宋体" w:cs="宋体"/>
          <w:b/>
          <w:bCs/>
          <w:color w:val="auto"/>
          <w:kern w:val="2"/>
          <w:sz w:val="21"/>
          <w:szCs w:val="21"/>
          <w:highlight w:val="none"/>
          <w:lang w:val="en-US" w:eastAsia="zh-CN" w:bidi="ar-SA"/>
        </w:rPr>
        <w:t>第7条 施工</w:t>
      </w:r>
      <w:bookmarkEnd w:id="1639"/>
      <w:bookmarkEnd w:id="1640"/>
    </w:p>
    <w:p w14:paraId="3A06D05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7.1 交通运输</w:t>
      </w:r>
    </w:p>
    <w:p w14:paraId="13BD651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7.1.1 出入现场的权利</w:t>
      </w:r>
    </w:p>
    <w:p w14:paraId="358513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关于出入现场的权利的约定：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E6F3EE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7.1.2 场外交通</w:t>
      </w:r>
    </w:p>
    <w:p w14:paraId="4DD6196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关于场外交通的特别约定：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7FF82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7.1.3 场内交通</w:t>
      </w:r>
    </w:p>
    <w:p w14:paraId="13ED19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关于场内交通的特别约定：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11005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关于场内交通与场外交通边界的约定：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1374F6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7.1.4 超大件和超重件的运输</w:t>
      </w:r>
    </w:p>
    <w:p w14:paraId="52C97F1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运输超大件或超重件所需的道路和桥梁临时加固改造费用和其他有关费用由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承担。</w:t>
      </w:r>
    </w:p>
    <w:p w14:paraId="65B56CD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7.2 施工设备和临时设施</w:t>
      </w:r>
    </w:p>
    <w:p w14:paraId="413875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7.2.1 承包人提供的施工设备和临时设施</w:t>
      </w:r>
    </w:p>
    <w:p w14:paraId="2CD061E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临时设施的费用和临时占地手续和费用承担的特别约定：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E6015A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7.2.2 发包人提供的施工设备和临时设施</w:t>
      </w:r>
    </w:p>
    <w:p w14:paraId="1CDA40B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发包人提供的施工设备或临时设施范围：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17EF66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7.3 现场合作</w:t>
      </w:r>
    </w:p>
    <w:p w14:paraId="552BCEE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关于现场合作费用的特别约定：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8EF811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7.4 测量放线</w:t>
      </w:r>
    </w:p>
    <w:p w14:paraId="00DA44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7.4.1 关于测量放线的特别约定的技术规范：</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。施工控制网资料的告知期限：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A74E17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7.5 现场劳动用工</w:t>
      </w:r>
    </w:p>
    <w:p w14:paraId="57AF85D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7.5.2 合同当事人对建筑工人工资清偿事宜和违约责任的约定：</w:t>
      </w:r>
      <w:r>
        <w:rPr>
          <w:rFonts w:hint="eastAsia" w:ascii="宋体" w:hAnsi="宋体" w:eastAsia="宋体" w:cs="宋体"/>
          <w:b w:val="0"/>
          <w:bCs w:val="0"/>
          <w:color w:val="auto"/>
          <w:kern w:val="2"/>
          <w:sz w:val="21"/>
          <w:szCs w:val="21"/>
          <w:highlight w:val="none"/>
          <w:u w:val="none"/>
          <w:lang w:val="en-US" w:eastAsia="zh-CN" w:bidi="ar-SA"/>
        </w:rPr>
        <w:t xml:space="preserve">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77D9BE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7.6 安全文明施工</w:t>
      </w:r>
    </w:p>
    <w:p w14:paraId="361CF32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7.6.1 安全生产要求</w:t>
      </w:r>
    </w:p>
    <w:p w14:paraId="59E14F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合同当事人对安全施工的要求：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96604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7.6.3 文明施工</w:t>
      </w:r>
    </w:p>
    <w:p w14:paraId="78A824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合同当事人对文明施工的要求：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BE7FA1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7.9 临时性公用设施</w:t>
      </w:r>
    </w:p>
    <w:p w14:paraId="07D299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关于临时性公用设施的特别约定：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4E3CFB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7.10 现场安保</w:t>
      </w:r>
    </w:p>
    <w:p w14:paraId="75356E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承包人现场安保义务的特别约定：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F12E6E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41" w:name="_Toc54862339"/>
      <w:bookmarkStart w:id="1642" w:name="_Toc290"/>
      <w:r>
        <w:rPr>
          <w:rFonts w:hint="eastAsia" w:ascii="宋体" w:hAnsi="宋体" w:eastAsia="宋体" w:cs="宋体"/>
          <w:b/>
          <w:bCs/>
          <w:color w:val="auto"/>
          <w:kern w:val="2"/>
          <w:sz w:val="21"/>
          <w:szCs w:val="21"/>
          <w:highlight w:val="none"/>
          <w:lang w:val="en-US" w:eastAsia="zh-CN" w:bidi="ar-SA"/>
        </w:rPr>
        <w:t>第8条 工期和进度</w:t>
      </w:r>
      <w:bookmarkEnd w:id="1641"/>
      <w:bookmarkEnd w:id="1642"/>
    </w:p>
    <w:p w14:paraId="310D8BBE">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8.1 开始工作</w:t>
      </w:r>
    </w:p>
    <w:p w14:paraId="2DD55DE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8.1.1 开始准备工作：</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F96D1E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8.1.2 发包人可在计划开始工作之日起84日后发出开始工作通知的特殊情形：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60CAAF7">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8.2 竣工日期</w:t>
      </w:r>
    </w:p>
    <w:p w14:paraId="6768ED9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竣工日期的约定：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278FD4E">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8.3 项目实施计划</w:t>
      </w:r>
    </w:p>
    <w:p w14:paraId="2122226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8.3.1 项目实施计划的内容</w:t>
      </w:r>
    </w:p>
    <w:p w14:paraId="7A2DA2C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项目实施计划的内容：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26B02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8.3.2 项目实施计划的提交和修改</w:t>
      </w:r>
    </w:p>
    <w:p w14:paraId="139643F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项目实施计划的提交及修改期限：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DF98837">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8.4 项目进度计划</w:t>
      </w:r>
    </w:p>
    <w:p w14:paraId="3BB26F5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8.4.1 工程师在收到进度计划后确认或提出修改意见的期限：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33A39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8.4.2 进度计划的具体要求：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085C0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关键路径及关键路径变化的确定原则：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B696CF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承包人提交项目进度计划的份数和时间：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299C7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8.4.3 进度计划的修订</w:t>
      </w:r>
    </w:p>
    <w:p w14:paraId="51E074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承包人提交修订项目进度计划申请报告的期限：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0078E9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发包人批复修订项目进度计划申请报告的期限：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33EB0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承包人答复发包人提出修订合同计划的期限：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064A49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8.5 进度报告</w:t>
      </w:r>
    </w:p>
    <w:p w14:paraId="068D64B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进度报告的具体要求：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D4FD40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8.7 工期延误</w:t>
      </w:r>
    </w:p>
    <w:p w14:paraId="0531DB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8.7.2 因承包人原因导致工期延误</w:t>
      </w:r>
    </w:p>
    <w:p w14:paraId="31D93B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因承包人原因使竣工日期延误，每延误1日的误期赔偿金额为合同协议书的合同价格的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%或人民币金额为：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、累计最高赔偿金额为合同协议书的合同价格的：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%或人民币金额为：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EBC6FB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8.7.3 行政审批迟延</w:t>
      </w:r>
    </w:p>
    <w:p w14:paraId="2C2938F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行政审批报送的职责分工：</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25CC3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8.7.4 异常恶劣的气候条件</w:t>
      </w:r>
    </w:p>
    <w:p w14:paraId="6683890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双方约定视为异常恶劣的气候条件的情形：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7CF4A54">
      <w:pPr>
        <w:wordWrap/>
        <w:topLinePunct w:val="0"/>
        <w:spacing w:line="360" w:lineRule="auto"/>
        <w:ind w:right="-218" w:rightChars="-104"/>
        <w:rPr>
          <w:rFonts w:hint="eastAsia" w:ascii="宋体" w:hAnsi="宋体" w:eastAsia="宋体" w:cs="宋体"/>
          <w:b/>
          <w:bCs/>
          <w:color w:val="auto"/>
          <w:kern w:val="2"/>
          <w:sz w:val="21"/>
          <w:szCs w:val="21"/>
          <w:highlight w:val="none"/>
          <w:u w:val="none"/>
          <w:lang w:val="en-US" w:eastAsia="zh-CN" w:bidi="ar-SA"/>
        </w:rPr>
      </w:pPr>
      <w:r>
        <w:rPr>
          <w:rFonts w:hint="eastAsia" w:ascii="宋体" w:hAnsi="宋体" w:eastAsia="宋体" w:cs="宋体"/>
          <w:b/>
          <w:bCs/>
          <w:color w:val="auto"/>
          <w:kern w:val="2"/>
          <w:sz w:val="21"/>
          <w:szCs w:val="21"/>
          <w:highlight w:val="none"/>
          <w:u w:val="none"/>
          <w:lang w:val="en-US" w:eastAsia="zh-CN" w:bidi="ar-SA"/>
        </w:rPr>
        <w:t>8.8 工期提前</w:t>
      </w:r>
    </w:p>
    <w:p w14:paraId="261D288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8.8.2 承包人提前竣工的奖励：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6E3CB5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43" w:name="_Toc1380"/>
      <w:bookmarkStart w:id="1644" w:name="_Toc54862340"/>
      <w:r>
        <w:rPr>
          <w:rFonts w:hint="eastAsia" w:ascii="宋体" w:hAnsi="宋体" w:eastAsia="宋体" w:cs="宋体"/>
          <w:b/>
          <w:bCs/>
          <w:color w:val="auto"/>
          <w:kern w:val="2"/>
          <w:sz w:val="21"/>
          <w:szCs w:val="21"/>
          <w:highlight w:val="none"/>
          <w:lang w:val="en-US" w:eastAsia="zh-CN" w:bidi="ar-SA"/>
        </w:rPr>
        <w:t>第9条 竣工试验</w:t>
      </w:r>
      <w:bookmarkEnd w:id="1643"/>
      <w:bookmarkEnd w:id="1644"/>
    </w:p>
    <w:p w14:paraId="1E1DB9C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9.1 竣工试验的义务</w:t>
      </w:r>
    </w:p>
    <w:p w14:paraId="0AA0251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9.1.3 竣工试验的阶段、内容和顺序：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14CFB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竣工试验的操作要求：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C46120C">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45" w:name="_Toc4784273"/>
      <w:bookmarkEnd w:id="1645"/>
      <w:bookmarkStart w:id="1646" w:name="_Toc4784272"/>
      <w:bookmarkEnd w:id="1646"/>
      <w:bookmarkStart w:id="1647" w:name="_Toc17243"/>
      <w:bookmarkStart w:id="1648" w:name="_Toc54862341"/>
      <w:r>
        <w:rPr>
          <w:rFonts w:hint="eastAsia" w:ascii="宋体" w:hAnsi="宋体" w:eastAsia="宋体" w:cs="宋体"/>
          <w:b/>
          <w:bCs/>
          <w:color w:val="auto"/>
          <w:kern w:val="2"/>
          <w:sz w:val="21"/>
          <w:szCs w:val="21"/>
          <w:highlight w:val="none"/>
          <w:lang w:val="en-US" w:eastAsia="zh-CN" w:bidi="ar-SA"/>
        </w:rPr>
        <w:t>第10条 验收和工程接收</w:t>
      </w:r>
      <w:bookmarkEnd w:id="1647"/>
      <w:bookmarkEnd w:id="1648"/>
    </w:p>
    <w:p w14:paraId="5AA7CA9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10.1 竣工验收</w:t>
      </w:r>
    </w:p>
    <w:p w14:paraId="7FEFD0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10.1.2 关于竣工验收程序的约定：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791EC1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649" w:name="_Hlk46406260"/>
      <w:r>
        <w:rPr>
          <w:rFonts w:hint="eastAsia" w:ascii="宋体" w:hAnsi="宋体" w:eastAsia="宋体" w:cs="宋体"/>
          <w:b w:val="0"/>
          <w:bCs w:val="0"/>
          <w:color w:val="auto"/>
          <w:kern w:val="2"/>
          <w:sz w:val="21"/>
          <w:szCs w:val="21"/>
          <w:highlight w:val="none"/>
          <w:lang w:val="en-US" w:eastAsia="zh-CN" w:bidi="ar-SA"/>
        </w:rPr>
        <w:t>发包人不按照合同约定组织竣工验收、颁发工程接受证书的违约金的计算方式：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bookmarkEnd w:id="1649"/>
    <w:p w14:paraId="25083A0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10.3工程的接收</w:t>
      </w:r>
    </w:p>
    <w:p w14:paraId="60EDD74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10.3.1工程接收的先后顺序、时间安排和其他要求：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90C22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10.3.2 接受工程时承包人需提交竣工验收资料的类别、内容、份数和提交时间：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B55414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10.3.3 发包人逾期接收工程的违约责任：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607438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10.3.4 承包人无正当理由不移交工程的违约责任：</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9A867B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10.4 接收证书</w:t>
      </w:r>
    </w:p>
    <w:p w14:paraId="39762B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10.4.1 工程接收证书颁发时间：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B48A71F">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10.5 竣工退场</w:t>
      </w:r>
    </w:p>
    <w:p w14:paraId="0236D35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10.5.1 竣工退场的相关约定：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8EF838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10.5.3人员撤离</w:t>
      </w:r>
    </w:p>
    <w:p w14:paraId="2A58734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工程师同意需在缺陷责任期内继续工作和使用的人员、施工设备和临时工程的内容：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2D8A0D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bookmarkStart w:id="1650" w:name="_Toc22515"/>
      <w:bookmarkStart w:id="1651" w:name="_Toc54862342"/>
      <w:r>
        <w:rPr>
          <w:rFonts w:hint="eastAsia" w:ascii="宋体" w:hAnsi="宋体" w:eastAsia="宋体" w:cs="宋体"/>
          <w:b w:val="0"/>
          <w:bCs w:val="0"/>
          <w:color w:val="auto"/>
          <w:kern w:val="2"/>
          <w:sz w:val="21"/>
          <w:szCs w:val="21"/>
          <w:highlight w:val="none"/>
          <w:lang w:val="en-US" w:eastAsia="zh-CN" w:bidi="ar-SA"/>
        </w:rPr>
        <w:t>第11条 缺陷责任与保修</w:t>
      </w:r>
      <w:bookmarkEnd w:id="1650"/>
      <w:bookmarkEnd w:id="1651"/>
    </w:p>
    <w:p w14:paraId="5AFA311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 缺陷责任期</w:t>
      </w:r>
    </w:p>
    <w:p w14:paraId="7C2DCDD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缺陷责任期的期限：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B51D36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11.3 缺陷调查</w:t>
      </w:r>
    </w:p>
    <w:p w14:paraId="2FE3B3D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11.3.4 修复通知</w:t>
      </w:r>
    </w:p>
    <w:p w14:paraId="1755ABF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承包人收到保修通知并到达工程现场的合理时间：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856CD2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11.6 缺陷责任期终止证书</w:t>
      </w:r>
    </w:p>
    <w:p w14:paraId="25769E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承包人应于缺陷责任期届满后</w:t>
      </w:r>
      <w:r>
        <w:rPr>
          <w:rFonts w:hint="eastAsia" w:ascii="宋体" w:hAnsi="宋体" w:eastAsia="宋体" w:cs="宋体"/>
          <w:b w:val="0"/>
          <w:bCs w:val="0"/>
          <w:color w:val="auto"/>
          <w:kern w:val="2"/>
          <w:sz w:val="21"/>
          <w:szCs w:val="21"/>
          <w:highlight w:val="none"/>
          <w:u w:val="single"/>
          <w:lang w:val="en-US" w:eastAsia="zh-CN" w:bidi="ar-SA"/>
        </w:rPr>
        <w:t xml:space="preserve">    天</w:t>
      </w:r>
      <w:r>
        <w:rPr>
          <w:rFonts w:hint="eastAsia" w:ascii="宋体" w:hAnsi="宋体" w:eastAsia="宋体" w:cs="宋体"/>
          <w:b w:val="0"/>
          <w:bCs w:val="0"/>
          <w:color w:val="auto"/>
          <w:kern w:val="2"/>
          <w:sz w:val="21"/>
          <w:szCs w:val="21"/>
          <w:highlight w:val="none"/>
          <w:lang w:val="en-US" w:eastAsia="zh-CN" w:bidi="ar-SA"/>
        </w:rPr>
        <w:t>内向发包人发出缺陷责任期届满通知，发包人应在收到缺陷责任期满通知后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天内，向承包人颁发缺陷责任期终止证书。</w:t>
      </w:r>
    </w:p>
    <w:p w14:paraId="25D37AE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11.7 保修责任</w:t>
      </w:r>
    </w:p>
    <w:p w14:paraId="6DE5D2D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工程质量保修范围、期限和责任为：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60B830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52" w:name="_Toc54862343"/>
      <w:bookmarkStart w:id="1653" w:name="_Toc25253"/>
      <w:r>
        <w:rPr>
          <w:rFonts w:hint="eastAsia" w:ascii="宋体" w:hAnsi="宋体" w:eastAsia="宋体" w:cs="宋体"/>
          <w:b/>
          <w:bCs/>
          <w:color w:val="auto"/>
          <w:kern w:val="2"/>
          <w:sz w:val="21"/>
          <w:szCs w:val="21"/>
          <w:highlight w:val="none"/>
          <w:lang w:val="en-US" w:eastAsia="zh-CN" w:bidi="ar-SA"/>
        </w:rPr>
        <w:t>第12条 竣工后试验</w:t>
      </w:r>
      <w:bookmarkEnd w:id="1652"/>
      <w:bookmarkEnd w:id="1653"/>
    </w:p>
    <w:p w14:paraId="628D76E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本合同工程是否包含竣工后试验：</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C9829BC">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12.1 竣工后试验的程序</w:t>
      </w:r>
    </w:p>
    <w:p w14:paraId="1F2ECA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079EA7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54" w:name="_Toc3405"/>
      <w:bookmarkStart w:id="1655" w:name="_Toc54862344"/>
      <w:r>
        <w:rPr>
          <w:rFonts w:hint="eastAsia" w:ascii="宋体" w:hAnsi="宋体" w:eastAsia="宋体" w:cs="宋体"/>
          <w:b/>
          <w:bCs/>
          <w:color w:val="auto"/>
          <w:kern w:val="2"/>
          <w:sz w:val="21"/>
          <w:szCs w:val="21"/>
          <w:highlight w:val="none"/>
          <w:lang w:val="en-US" w:eastAsia="zh-CN" w:bidi="ar-SA"/>
        </w:rPr>
        <w:t>第13条 变更与调整</w:t>
      </w:r>
      <w:bookmarkEnd w:id="1654"/>
      <w:bookmarkEnd w:id="1655"/>
    </w:p>
    <w:p w14:paraId="14D5F228">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13.2 承包人的合理化建议</w:t>
      </w:r>
    </w:p>
    <w:p w14:paraId="54ED891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13.2.2 工程师应在收到承包人提交的合理化建议后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日内审查完毕并报送发包人，发现其中存在技术上的缺陷，应通知承包人修改。发包人应在收到工程师报送的合理化建议后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日内审批完毕。合理化建议经发包人批准的，工程师应及时发出变更指示，由此引起的合同价格调整按照</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执行。发包人不同意变更的，工程师应书面通知承包人</w:t>
      </w:r>
    </w:p>
    <w:p w14:paraId="23A94E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13.2.3 承包人提出的合理化变更建议的利益分享约定：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5AC915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13.3 变更程序</w:t>
      </w:r>
    </w:p>
    <w:p w14:paraId="58A1CE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13.3.3 变更估价</w:t>
      </w:r>
    </w:p>
    <w:p w14:paraId="3F1D086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13.3.3.1 变更估价原则</w:t>
      </w:r>
    </w:p>
    <w:p w14:paraId="3C64E6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关于变更估价原则的约定：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6ED52E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13.4 暂估价</w:t>
      </w:r>
    </w:p>
    <w:p w14:paraId="6D40FD2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13.4.1 依法必须招标的暂估价项目</w:t>
      </w:r>
    </w:p>
    <w:p w14:paraId="7327364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承包人可以参与投标的暂估价项目范围：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17FD6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承包人不得参与投标的暂估价项目范围：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009696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招投标程序及其他约定：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C2330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13.4.2 不属于依法必须招标的暂估价项目</w:t>
      </w:r>
    </w:p>
    <w:p w14:paraId="7E3B3C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不属于依法必须招标的暂估价项目的协商及估价的约定：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6C8D665">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13.5 暂列金额</w:t>
      </w:r>
    </w:p>
    <w:p w14:paraId="07A759D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其他关于暂列金额使用的约定：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9F84FA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13.8 市场价格波动引起的调整</w:t>
      </w:r>
    </w:p>
    <w:p w14:paraId="50A975C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13.8.2 关于是否采用《价格指数权重表》的约定：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FF895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13.8.3 关于采用其他方式调整合同价款的约定：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0F5AB7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56" w:name="_Toc54862345"/>
      <w:bookmarkStart w:id="1657" w:name="_Toc139"/>
      <w:r>
        <w:rPr>
          <w:rFonts w:hint="eastAsia" w:ascii="宋体" w:hAnsi="宋体" w:eastAsia="宋体" w:cs="宋体"/>
          <w:b/>
          <w:bCs/>
          <w:color w:val="auto"/>
          <w:kern w:val="2"/>
          <w:sz w:val="21"/>
          <w:szCs w:val="21"/>
          <w:highlight w:val="none"/>
          <w:lang w:val="en-US" w:eastAsia="zh-CN" w:bidi="ar-SA"/>
        </w:rPr>
        <w:t>第14条 合同价格与支付</w:t>
      </w:r>
      <w:bookmarkEnd w:id="1656"/>
      <w:bookmarkEnd w:id="1657"/>
    </w:p>
    <w:p w14:paraId="25786BF0">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14.1 合同价格形式</w:t>
      </w:r>
    </w:p>
    <w:p w14:paraId="09D1520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14.1.1 关于合同价格形式的约定：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E3976A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14.1.2 关于合同价格调整的约定：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6D0D70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14.1.3 按实际完成的工程量支付工程价款的计量方法、估价方法：</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CEDDFA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14.2 预付款</w:t>
      </w:r>
    </w:p>
    <w:p w14:paraId="68DCA60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14.2.1 预付款支付</w:t>
      </w:r>
    </w:p>
    <w:p w14:paraId="31A07B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预付款的金额或比例为：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C09BB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预付款支付期限：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27C62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预付款扣回的方式：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5D6FC32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14.2.2预付款担保</w:t>
      </w:r>
    </w:p>
    <w:p w14:paraId="55E9569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提供预付款担保期限：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0EFF5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预付款担保形式：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B0C424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14.3 工程进度款</w:t>
      </w:r>
    </w:p>
    <w:p w14:paraId="23BCC21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14.3.1 工程进度付款申请</w:t>
      </w:r>
    </w:p>
    <w:p w14:paraId="15D2750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工程进度付款申请方式：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D1EB09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承包人提交进度付款申请单的格式、内容、份数和时间：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8EB403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进度付款申请单应包括的内容：</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DE8041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14.3.2 进度付款审核和支付</w:t>
      </w:r>
    </w:p>
    <w:p w14:paraId="01A911D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进度付款的审核方式和支付的约定：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EB6A43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发包人应在进度款支付证书或临时进度款支付证书签发后的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天内完成支付，发包人逾期支付进度款的，应按照</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支付违约金。</w:t>
      </w:r>
    </w:p>
    <w:p w14:paraId="39B3D50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14.4 付款计划表</w:t>
      </w:r>
    </w:p>
    <w:p w14:paraId="50119CD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14.4.1 付款计划表的编制要求：</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892E9C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14.4.2 付款计划表的编制与审批</w:t>
      </w:r>
    </w:p>
    <w:p w14:paraId="1D0F8B2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付款计划表的编制：</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F33E54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14.5 竣工结算</w:t>
      </w:r>
    </w:p>
    <w:p w14:paraId="6CC133C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14.5.1 竣工结算申请</w:t>
      </w:r>
    </w:p>
    <w:p w14:paraId="6AEAAFD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承包人提交竣工结算申请的时间：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7A62E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竣工结算申请的资料清单和份数：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08E0F9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竣工结算申请单的内容应包括：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AAA99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14.5.2 竣工结算审核</w:t>
      </w:r>
    </w:p>
    <w:p w14:paraId="13A5C46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发包人审批竣工付款申请单的期限：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5DDDC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发包人完成竣工付款的期限：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0DBADA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关于竣工付款证书异议部分复核的方式和程序：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3B73F3E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14.6 质量保证金</w:t>
      </w:r>
    </w:p>
    <w:p w14:paraId="12DE17C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14.6.1 承包人提供质量保证金的方式</w:t>
      </w:r>
    </w:p>
    <w:p w14:paraId="44C7E97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质量保证金采用以下第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种方式：</w:t>
      </w:r>
    </w:p>
    <w:p w14:paraId="15B285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工程质量保证担保，保证金额为：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9A986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(2)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%的工程款；</w:t>
      </w:r>
    </w:p>
    <w:p w14:paraId="15F39D3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其他方式：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3DEBC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14.6.2 质量保证金的预留</w:t>
      </w:r>
    </w:p>
    <w:p w14:paraId="570DCC3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质量保证金的预留采取以下第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种方式：</w:t>
      </w:r>
    </w:p>
    <w:p w14:paraId="1D08DCD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在支付工程进度款时逐次预留的质量保证金的比例：</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，在此情形下，质量保证金的计算基数不包括预付款的支付、扣回以及价格调整的金额；</w:t>
      </w:r>
    </w:p>
    <w:p w14:paraId="6C1EF9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工程竣工结算时一次性预留专用合同条件第14.6.1项第(2)目约定的工程款预留比例的质量保证金；</w:t>
      </w:r>
    </w:p>
    <w:p w14:paraId="18F9D6C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其他预留方式:</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90D8B2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关于质量保证金的补充约定：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C3C949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14.7 最终结清</w:t>
      </w:r>
    </w:p>
    <w:p w14:paraId="35AF05B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14.7.1 最终结清申请单</w:t>
      </w:r>
    </w:p>
    <w:p w14:paraId="5D86617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当事人双方关于最终结清申请的其他约定：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7DB8F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14.7.2 最终结清证书和支付</w:t>
      </w:r>
    </w:p>
    <w:p w14:paraId="450451A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当事人双方关于最终结清支付的其他约定：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70498EEE">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58" w:name="_Toc54862346"/>
      <w:bookmarkStart w:id="1659" w:name="_Toc4833"/>
      <w:r>
        <w:rPr>
          <w:rFonts w:hint="eastAsia" w:ascii="宋体" w:hAnsi="宋体" w:eastAsia="宋体" w:cs="宋体"/>
          <w:b/>
          <w:bCs/>
          <w:color w:val="auto"/>
          <w:kern w:val="2"/>
          <w:sz w:val="21"/>
          <w:szCs w:val="21"/>
          <w:highlight w:val="none"/>
          <w:lang w:val="en-US" w:eastAsia="zh-CN" w:bidi="ar-SA"/>
        </w:rPr>
        <w:t>第15条 违约</w:t>
      </w:r>
      <w:bookmarkEnd w:id="1658"/>
      <w:bookmarkEnd w:id="1659"/>
    </w:p>
    <w:p w14:paraId="523E8900">
      <w:pPr>
        <w:wordWrap/>
        <w:topLinePunct w:val="0"/>
        <w:spacing w:line="360" w:lineRule="auto"/>
        <w:ind w:right="-218" w:rightChars="-104"/>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15.1 发包人违约</w:t>
      </w:r>
    </w:p>
    <w:p w14:paraId="76CDD5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15.1.1 发包人违约的情形</w:t>
      </w:r>
    </w:p>
    <w:p w14:paraId="313F06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发包人违约的其他情形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718319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15.1.3 发包人违约的责任</w:t>
      </w:r>
    </w:p>
    <w:p w14:paraId="589D36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发包人违约责任的承担方式和计算方法：</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79BA03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15.2 承包人违约</w:t>
      </w:r>
    </w:p>
    <w:p w14:paraId="69F633D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15.2.1 承包人违约的情形</w:t>
      </w:r>
    </w:p>
    <w:p w14:paraId="47469DF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承包人违约的其他情形：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2BF148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15.2.2 通知改正</w:t>
      </w:r>
    </w:p>
    <w:p w14:paraId="192F0D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工程师通知承包人改正的合理期限是：</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71CD14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15.2.3 承包人违约的责任</w:t>
      </w:r>
    </w:p>
    <w:p w14:paraId="6051609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承包人违约责任的承担方式和计算方法：</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B3E71B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60" w:name="_Toc54862347"/>
      <w:bookmarkStart w:id="1661" w:name="_Toc1696"/>
      <w:r>
        <w:rPr>
          <w:rFonts w:hint="eastAsia" w:ascii="宋体" w:hAnsi="宋体" w:eastAsia="宋体" w:cs="宋体"/>
          <w:b/>
          <w:bCs/>
          <w:color w:val="auto"/>
          <w:kern w:val="2"/>
          <w:sz w:val="21"/>
          <w:szCs w:val="21"/>
          <w:highlight w:val="none"/>
          <w:lang w:val="en-US" w:eastAsia="zh-CN" w:bidi="ar-SA"/>
        </w:rPr>
        <w:t>第16条 合同解除</w:t>
      </w:r>
      <w:bookmarkEnd w:id="1660"/>
      <w:bookmarkEnd w:id="1661"/>
    </w:p>
    <w:p w14:paraId="253AD02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16.1 由发包人解除合同</w:t>
      </w:r>
    </w:p>
    <w:p w14:paraId="0A410F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16.1.1 因承包人违约解除合同</w:t>
      </w:r>
    </w:p>
    <w:p w14:paraId="61D326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双方约定可由发包人解除合同的其他事由：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9FD5D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16.2 由承包人解除合同</w:t>
      </w:r>
    </w:p>
    <w:p w14:paraId="383D8E8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16.2.1 因发包人违约解除合同</w:t>
      </w:r>
    </w:p>
    <w:p w14:paraId="221F20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双方约定可由承包人解除合同的其他事由：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08C74B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62" w:name="_Toc54862348"/>
      <w:bookmarkStart w:id="1663" w:name="_Toc7755"/>
      <w:r>
        <w:rPr>
          <w:rFonts w:hint="eastAsia" w:ascii="宋体" w:hAnsi="宋体" w:eastAsia="宋体" w:cs="宋体"/>
          <w:b/>
          <w:bCs/>
          <w:color w:val="auto"/>
          <w:kern w:val="2"/>
          <w:sz w:val="21"/>
          <w:szCs w:val="21"/>
          <w:highlight w:val="none"/>
          <w:lang w:val="en-US" w:eastAsia="zh-CN" w:bidi="ar-SA"/>
        </w:rPr>
        <w:t>第17条 不可抗力</w:t>
      </w:r>
      <w:bookmarkEnd w:id="1662"/>
      <w:bookmarkEnd w:id="1663"/>
    </w:p>
    <w:p w14:paraId="072040D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17.1 不可抗力的定义</w:t>
      </w:r>
    </w:p>
    <w:p w14:paraId="1457624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除通用合同条件约定的不可抗力事件之外，视为不可抗力的其他情形：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102D29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17.6 因不可抗力解除合同</w:t>
      </w:r>
    </w:p>
    <w:p w14:paraId="7471A15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合同解除后，发包人应当在商定或确定发包人应支付款项后的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天内完成款项的支付。</w:t>
      </w:r>
    </w:p>
    <w:p w14:paraId="7DA7871F">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64" w:name="_Toc4784277"/>
      <w:bookmarkEnd w:id="1664"/>
      <w:bookmarkStart w:id="1665" w:name="_Toc4784276"/>
      <w:bookmarkEnd w:id="1665"/>
      <w:bookmarkStart w:id="1666" w:name="_Toc25860"/>
      <w:bookmarkStart w:id="1667" w:name="_Toc54862349"/>
      <w:r>
        <w:rPr>
          <w:rFonts w:hint="eastAsia" w:ascii="宋体" w:hAnsi="宋体" w:eastAsia="宋体" w:cs="宋体"/>
          <w:b/>
          <w:bCs/>
          <w:color w:val="auto"/>
          <w:kern w:val="2"/>
          <w:sz w:val="21"/>
          <w:szCs w:val="21"/>
          <w:highlight w:val="none"/>
          <w:lang w:val="en-US" w:eastAsia="zh-CN" w:bidi="ar-SA"/>
        </w:rPr>
        <w:t>第18条 保险</w:t>
      </w:r>
      <w:bookmarkEnd w:id="1666"/>
      <w:bookmarkEnd w:id="1667"/>
    </w:p>
    <w:p w14:paraId="65B2136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18.1 设计和工程保险</w:t>
      </w:r>
    </w:p>
    <w:p w14:paraId="3B83055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18.1.1 双方当事人关于设计和工程保险的特别约定：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9AC1CC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18.1.2 双方当事人关于第三方责任险的特别约定：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7A035C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18.2 工伤和意外伤害保险</w:t>
      </w:r>
    </w:p>
    <w:p w14:paraId="0B458DF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18.2.3 关于工伤保险和意外伤害保险的特别约定：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63BBCB7">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18.3 货物保险</w:t>
      </w:r>
    </w:p>
    <w:p w14:paraId="49FA1E9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关于承包人应为其施工设备、材料、工程设备和临时工程等办理财产保险的特别约定：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66E8C3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18.4 其他保险</w:t>
      </w:r>
    </w:p>
    <w:p w14:paraId="32BD851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关于其他保险的约定：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908DA4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18.5 对各项保险的一般要求</w:t>
      </w:r>
    </w:p>
    <w:p w14:paraId="54B848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18.5.2 保险凭证</w:t>
      </w:r>
    </w:p>
    <w:p w14:paraId="1AB313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保险单的条件：</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4EC5E1F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18.5.4 通知义务</w:t>
      </w:r>
    </w:p>
    <w:p w14:paraId="71AB2B4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关于变更保险合同时的通知义务的约定：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87776B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bookmarkStart w:id="1668" w:name="_Toc54862350"/>
      <w:bookmarkStart w:id="1669" w:name="_Toc29783"/>
      <w:r>
        <w:rPr>
          <w:rFonts w:hint="eastAsia" w:ascii="宋体" w:hAnsi="宋体" w:eastAsia="宋体" w:cs="宋体"/>
          <w:b/>
          <w:bCs/>
          <w:color w:val="auto"/>
          <w:kern w:val="2"/>
          <w:sz w:val="21"/>
          <w:szCs w:val="21"/>
          <w:highlight w:val="none"/>
          <w:lang w:val="en-US" w:eastAsia="zh-CN" w:bidi="ar-SA"/>
        </w:rPr>
        <w:t>第20条 争议解决</w:t>
      </w:r>
      <w:bookmarkEnd w:id="1668"/>
      <w:bookmarkEnd w:id="1669"/>
    </w:p>
    <w:p w14:paraId="7ED527C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20.3 争议评审</w:t>
      </w:r>
    </w:p>
    <w:p w14:paraId="4D2F46E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合同当事人是否同意将工程争议提交争议评审小组决定：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78E5BAF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20.3.1 争议评审小组的确定</w:t>
      </w:r>
    </w:p>
    <w:p w14:paraId="000F84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争议评审小组成员的人数：</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7D3788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争议评审小组成员的确定：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E264D3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选定争议避免/评审组的期限：</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6562465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评审机构：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087F6A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其他事项的约定：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E5DAEE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争议评审员报酬的承担人：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14FE97B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20.3.2 争议的避免</w:t>
      </w:r>
    </w:p>
    <w:p w14:paraId="2E7C8FF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发包人和承包人是否均出席争议避免的非正式讨论：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153CD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20.3.3 争议评审小组的决定</w:t>
      </w:r>
    </w:p>
    <w:p w14:paraId="57CAEE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关于争议评审小组的决定的特别约定：</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3A8DFF7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20.4 仲裁或诉讼</w:t>
      </w:r>
    </w:p>
    <w:p w14:paraId="334181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因合同及合同有关事项发生的争议，按下列第</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种方式解决：</w:t>
      </w:r>
    </w:p>
    <w:p w14:paraId="6CBBC86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（1）向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仲裁委员会申请仲裁；</w:t>
      </w:r>
    </w:p>
    <w:p w14:paraId="3C4A486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（2）向</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人民法院起诉。</w:t>
      </w:r>
    </w:p>
    <w:p w14:paraId="611E7DC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sectPr>
          <w:headerReference r:id="rId9" w:type="default"/>
          <w:pgSz w:w="11906" w:h="16838"/>
          <w:pgMar w:top="1440" w:right="1440" w:bottom="1440" w:left="1440" w:header="720" w:footer="998" w:gutter="0"/>
          <w:pgNumType w:fmt="decimal"/>
          <w:cols w:space="720" w:num="1"/>
          <w:docGrid w:linePitch="326" w:charSpace="0"/>
        </w:sectPr>
      </w:pPr>
    </w:p>
    <w:p w14:paraId="7D7CF7B3">
      <w:pPr>
        <w:wordWrap/>
        <w:topLinePunct w:val="0"/>
        <w:ind w:right="-218" w:rightChars="-104" w:firstLine="600"/>
        <w:jc w:val="center"/>
        <w:rPr>
          <w:rFonts w:hint="eastAsia" w:ascii="宋体" w:hAnsi="宋体" w:eastAsia="宋体" w:cs="宋体"/>
          <w:b/>
          <w:bCs/>
          <w:color w:val="auto"/>
          <w:kern w:val="2"/>
          <w:sz w:val="32"/>
          <w:szCs w:val="32"/>
          <w:highlight w:val="none"/>
          <w:lang w:val="en-US" w:eastAsia="zh-CN" w:bidi="ar-SA"/>
        </w:rPr>
      </w:pPr>
      <w:bookmarkStart w:id="1670" w:name="_Toc54862351"/>
      <w:r>
        <w:rPr>
          <w:rFonts w:hint="eastAsia" w:ascii="宋体" w:hAnsi="宋体" w:eastAsia="宋体" w:cs="宋体"/>
          <w:b/>
          <w:bCs/>
          <w:color w:val="auto"/>
          <w:kern w:val="2"/>
          <w:sz w:val="32"/>
          <w:szCs w:val="32"/>
          <w:highlight w:val="none"/>
          <w:lang w:val="en-US" w:eastAsia="zh-CN" w:bidi="ar-SA"/>
        </w:rPr>
        <w:t>专用合同条件附件</w:t>
      </w:r>
      <w:bookmarkEnd w:id="1670"/>
    </w:p>
    <w:p w14:paraId="53B40664">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4C3D80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附件1：发包人要求</w:t>
      </w:r>
    </w:p>
    <w:p w14:paraId="0BEE54E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附件2：发包人供应材料设备一览表</w:t>
      </w:r>
    </w:p>
    <w:p w14:paraId="0A4118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附件3：工程质量保修书</w:t>
      </w:r>
    </w:p>
    <w:p w14:paraId="4A9C8B9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附件4：主要建设工程文件目录</w:t>
      </w:r>
    </w:p>
    <w:p w14:paraId="4EB4A76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附件5：承包人主要管理人员表</w:t>
      </w:r>
    </w:p>
    <w:p w14:paraId="5CBA4EE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附件6：价格指数权重表</w:t>
      </w:r>
    </w:p>
    <w:p w14:paraId="693D6F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附件7：安全生产合同</w:t>
      </w:r>
    </w:p>
    <w:p w14:paraId="3ADD42F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附件8：安全承诺书</w:t>
      </w:r>
    </w:p>
    <w:p w14:paraId="07E4A5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附件9：工程质量保修书</w:t>
      </w:r>
    </w:p>
    <w:p w14:paraId="2721B68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附件10：履约保函</w:t>
      </w:r>
    </w:p>
    <w:p w14:paraId="74B12DA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附件11：预付款保函</w:t>
      </w:r>
    </w:p>
    <w:p w14:paraId="1ADB8BA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附件12：投标保函</w:t>
      </w:r>
    </w:p>
    <w:p w14:paraId="1EA4480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附件13：支付保函</w:t>
      </w:r>
    </w:p>
    <w:p w14:paraId="515ACBC9">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15CC9DAD">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1CAED079">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3E8694D9">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03E75B24">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1C112B3B">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1AE46C64">
      <w:pPr>
        <w:wordWrap/>
        <w:topLinePunct w:val="0"/>
        <w:adjustRightInd/>
        <w:snapToGrid/>
        <w:spacing w:after="0" w:afterLines="0" w:line="240" w:lineRule="auto"/>
        <w:ind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BDF7DAF">
      <w:pPr>
        <w:wordWrap/>
        <w:topLinePunct w:val="0"/>
        <w:spacing w:line="360" w:lineRule="auto"/>
        <w:ind w:right="-218" w:rightChars="-104" w:firstLine="2840" w:firstLineChars="884"/>
        <w:jc w:val="both"/>
        <w:rPr>
          <w:rFonts w:hint="eastAsia" w:ascii="宋体" w:hAnsi="宋体" w:eastAsia="宋体" w:cs="宋体"/>
          <w:b/>
          <w:bCs/>
          <w:color w:val="auto"/>
          <w:kern w:val="2"/>
          <w:sz w:val="32"/>
          <w:szCs w:val="32"/>
          <w:highlight w:val="none"/>
          <w:lang w:val="en-US" w:eastAsia="zh-CN" w:bidi="ar-SA"/>
        </w:rPr>
      </w:pPr>
      <w:bookmarkStart w:id="1671" w:name="_Toc54862352"/>
      <w:bookmarkStart w:id="1672" w:name="_Toc13781"/>
      <w:bookmarkStart w:id="1673" w:name="_Hlk38571789"/>
      <w:r>
        <w:rPr>
          <w:rFonts w:hint="eastAsia" w:ascii="宋体" w:hAnsi="宋体" w:eastAsia="宋体" w:cs="宋体"/>
          <w:b/>
          <w:bCs/>
          <w:color w:val="auto"/>
          <w:kern w:val="2"/>
          <w:sz w:val="32"/>
          <w:szCs w:val="32"/>
          <w:highlight w:val="none"/>
          <w:lang w:val="en-US" w:eastAsia="zh-CN" w:bidi="ar-SA"/>
        </w:rPr>
        <w:t>附件1 《发包人要求》</w:t>
      </w:r>
      <w:bookmarkEnd w:id="1671"/>
      <w:bookmarkEnd w:id="1672"/>
    </w:p>
    <w:bookmarkEnd w:id="1673"/>
    <w:p w14:paraId="0E6BCDB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 w:val="30"/>
          <w:szCs w:val="30"/>
          <w:highlight w:val="none"/>
        </w:rPr>
        <w:t>《</w:t>
      </w:r>
      <w:r>
        <w:rPr>
          <w:rFonts w:hint="eastAsia" w:ascii="宋体" w:hAnsi="宋体" w:eastAsia="宋体" w:cs="宋体"/>
          <w:b w:val="0"/>
          <w:bCs w:val="0"/>
          <w:color w:val="auto"/>
          <w:kern w:val="2"/>
          <w:sz w:val="21"/>
          <w:szCs w:val="21"/>
          <w:highlight w:val="none"/>
          <w:lang w:val="en-US" w:eastAsia="zh-CN" w:bidi="ar-SA"/>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015A73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《发包人要求》通常包括但不限于以下内容：</w:t>
      </w:r>
    </w:p>
    <w:p w14:paraId="650D638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一、功能要求</w:t>
      </w:r>
    </w:p>
    <w:p w14:paraId="27E88CE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（一）工程目的。</w:t>
      </w:r>
    </w:p>
    <w:p w14:paraId="50E4A6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（二）工程规模。</w:t>
      </w:r>
    </w:p>
    <w:p w14:paraId="361C3EC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（三）性能保证指标（性能保证表）。</w:t>
      </w:r>
    </w:p>
    <w:p w14:paraId="2D2579E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（四）产能保证指标。</w:t>
      </w:r>
    </w:p>
    <w:p w14:paraId="1513482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二、工程范围</w:t>
      </w:r>
    </w:p>
    <w:p w14:paraId="352BA66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（一）概述</w:t>
      </w:r>
    </w:p>
    <w:p w14:paraId="6828E29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（二）包括的工作</w:t>
      </w:r>
    </w:p>
    <w:p w14:paraId="3905FEF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1.永久工程的设计、采购、施工范围。</w:t>
      </w:r>
    </w:p>
    <w:p w14:paraId="1376DE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2.临时工程的设计与施工范围。</w:t>
      </w:r>
    </w:p>
    <w:p w14:paraId="5F52DBF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3.竣工验收工作范围。</w:t>
      </w:r>
    </w:p>
    <w:p w14:paraId="0452C5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4.技术服务工作范围。</w:t>
      </w:r>
    </w:p>
    <w:p w14:paraId="37AD597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5.培训工作范围。</w:t>
      </w:r>
    </w:p>
    <w:p w14:paraId="3AA7FC2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6.保修工作范围。</w:t>
      </w:r>
    </w:p>
    <w:p w14:paraId="022E353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（三）工作界区</w:t>
      </w:r>
    </w:p>
    <w:p w14:paraId="2943E6A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（四）发包人提供的现场条件</w:t>
      </w:r>
    </w:p>
    <w:p w14:paraId="7962C1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1.施工用电。</w:t>
      </w:r>
    </w:p>
    <w:p w14:paraId="0182E2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2.施工用水。</w:t>
      </w:r>
    </w:p>
    <w:p w14:paraId="3DA77E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3.施工排水。</w:t>
      </w:r>
    </w:p>
    <w:p w14:paraId="0C11F9B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4.施工道路。</w:t>
      </w:r>
    </w:p>
    <w:p w14:paraId="2962C9B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（五）发包人提供的技术文件</w:t>
      </w:r>
    </w:p>
    <w:p w14:paraId="1AA9531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除另有批准外，承包人的工作需要遵照发包人的下列技术文件:</w:t>
      </w:r>
    </w:p>
    <w:p w14:paraId="23DB799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1.发包人需求任务书。</w:t>
      </w:r>
    </w:p>
    <w:p w14:paraId="5A5BA9A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2.发包人已完成的设计文件。</w:t>
      </w:r>
    </w:p>
    <w:p w14:paraId="7EA98DD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三、工艺安排或要求（如有）</w:t>
      </w:r>
    </w:p>
    <w:p w14:paraId="60945FE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四、时间要求</w:t>
      </w:r>
    </w:p>
    <w:p w14:paraId="29183E8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（一）开始工作时间。</w:t>
      </w:r>
    </w:p>
    <w:p w14:paraId="07A39A3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（二）设计完成时间。</w:t>
      </w:r>
    </w:p>
    <w:p w14:paraId="11E75E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（三）进度计划。</w:t>
      </w:r>
    </w:p>
    <w:p w14:paraId="3380237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（四）竣工时间。</w:t>
      </w:r>
    </w:p>
    <w:p w14:paraId="7EB3DAC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（五）缺陷责任期。</w:t>
      </w:r>
    </w:p>
    <w:p w14:paraId="3F5E978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（六）其他时间要求。</w:t>
      </w:r>
    </w:p>
    <w:p w14:paraId="48592AB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五、技术要求</w:t>
      </w:r>
    </w:p>
    <w:p w14:paraId="39923FB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（一）设计阶段和设计任务。</w:t>
      </w:r>
    </w:p>
    <w:p w14:paraId="09E0C84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（二）设计标准和规范。</w:t>
      </w:r>
    </w:p>
    <w:p w14:paraId="2FAEA1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（三）技术标准和要求。</w:t>
      </w:r>
    </w:p>
    <w:p w14:paraId="13AD1BC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（四）质量标准。</w:t>
      </w:r>
    </w:p>
    <w:p w14:paraId="7ABC8C2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（五）设计、施工和设备监造、试验（如有）。</w:t>
      </w:r>
    </w:p>
    <w:p w14:paraId="235D538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（六）样品。</w:t>
      </w:r>
    </w:p>
    <w:p w14:paraId="52ADE40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（七）发包人提供的其他条件，如发包人或其委托的第三人提供的设计、工艺包、用于试验检验的工器具等，以及据此对承包人提出的予以配套的要求。</w:t>
      </w:r>
    </w:p>
    <w:p w14:paraId="79CC2FF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六、竣工试验</w:t>
      </w:r>
    </w:p>
    <w:p w14:paraId="2062B8A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（一）第一阶段，如对单车试验等的要求，包括试验前准备。</w:t>
      </w:r>
    </w:p>
    <w:p w14:paraId="71C1B8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（二）第二阶段，如对联动试车、投料试车等的要求，包括人员、设备、材料、燃料、电力、消耗品、工具等必要条件。</w:t>
      </w:r>
    </w:p>
    <w:p w14:paraId="2DAD72D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（三）第三阶段，如对性能测试及其他竣工试验的要求，包括产能指标、产品质量标准、运营指标、环保指标等。</w:t>
      </w:r>
    </w:p>
    <w:p w14:paraId="4ED7A2AA">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七、竣工验收</w:t>
      </w:r>
    </w:p>
    <w:p w14:paraId="1D04B300">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八、竣工后试验（如有）</w:t>
      </w:r>
    </w:p>
    <w:p w14:paraId="21CDEA1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九、文件要求</w:t>
      </w:r>
    </w:p>
    <w:p w14:paraId="786D94D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（一）设计文件，及其相关审批、核准、备案要求。</w:t>
      </w:r>
    </w:p>
    <w:p w14:paraId="4C13D3E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（二）沟通计划。</w:t>
      </w:r>
    </w:p>
    <w:p w14:paraId="3182811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（三）风险管理计划。</w:t>
      </w:r>
    </w:p>
    <w:p w14:paraId="1288320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（四）竣工文件和工程的其他记录。</w:t>
      </w:r>
    </w:p>
    <w:p w14:paraId="20E9BFC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（五）操作和维修手册。</w:t>
      </w:r>
    </w:p>
    <w:p w14:paraId="649AE04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（六）其他承包人文件。</w:t>
      </w:r>
    </w:p>
    <w:p w14:paraId="441F6B01">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十、工程项目管理规定</w:t>
      </w:r>
    </w:p>
    <w:p w14:paraId="09F4CC6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（一）质量。</w:t>
      </w:r>
    </w:p>
    <w:p w14:paraId="17DADD3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（二）进度，包括里程碑进度计划（如果有）。</w:t>
      </w:r>
    </w:p>
    <w:p w14:paraId="4EFED1D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（三）支付。</w:t>
      </w:r>
    </w:p>
    <w:p w14:paraId="45E89B0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（四）HSE（健康、安全与环境管理体系）。</w:t>
      </w:r>
    </w:p>
    <w:p w14:paraId="3CED3E7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（五）沟通。</w:t>
      </w:r>
    </w:p>
    <w:p w14:paraId="25C19A1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（六）变更。</w:t>
      </w:r>
    </w:p>
    <w:p w14:paraId="30C3F73B">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十一、其他要求</w:t>
      </w:r>
    </w:p>
    <w:p w14:paraId="69C43B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（一）对承包人的主要人员资格要求。</w:t>
      </w:r>
    </w:p>
    <w:p w14:paraId="5EB775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（二）相关审批、核准和备案手续的办理。</w:t>
      </w:r>
    </w:p>
    <w:p w14:paraId="4CBD3A9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（三）对项目业主人员的操作培训。</w:t>
      </w:r>
    </w:p>
    <w:p w14:paraId="32A3FF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（四）分包。</w:t>
      </w:r>
    </w:p>
    <w:p w14:paraId="3B86B7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（五）设备供应商。</w:t>
      </w:r>
    </w:p>
    <w:p w14:paraId="3AF2CF4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（六）缺陷责任期的服务要求。</w:t>
      </w:r>
      <w:bookmarkStart w:id="1674" w:name="_Toc5415"/>
    </w:p>
    <w:p w14:paraId="36C39641">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br w:type="page"/>
      </w:r>
    </w:p>
    <w:bookmarkEnd w:id="1674"/>
    <w:p w14:paraId="21C0C9D3">
      <w:pPr>
        <w:wordWrap/>
        <w:topLinePunct w:val="0"/>
        <w:ind w:right="-218" w:rightChars="-104"/>
        <w:jc w:val="center"/>
        <w:rPr>
          <w:rFonts w:hint="eastAsia" w:ascii="宋体" w:hAnsi="宋体" w:eastAsia="宋体" w:cs="宋体"/>
          <w:b/>
          <w:bCs/>
          <w:color w:val="auto"/>
          <w:kern w:val="2"/>
          <w:sz w:val="28"/>
          <w:szCs w:val="28"/>
          <w:highlight w:val="none"/>
          <w:lang w:val="en-US" w:eastAsia="zh-CN" w:bidi="ar-SA"/>
        </w:rPr>
      </w:pPr>
      <w:bookmarkStart w:id="1675" w:name="_Toc54862354"/>
      <w:bookmarkStart w:id="1676" w:name="_Toc20171895"/>
      <w:bookmarkStart w:id="1677" w:name="_Toc30015"/>
      <w:r>
        <w:rPr>
          <w:rFonts w:hint="eastAsia" w:ascii="宋体" w:hAnsi="宋体" w:eastAsia="宋体" w:cs="宋体"/>
          <w:b/>
          <w:bCs/>
          <w:color w:val="auto"/>
          <w:kern w:val="2"/>
          <w:sz w:val="28"/>
          <w:szCs w:val="28"/>
          <w:highlight w:val="none"/>
          <w:lang w:val="en-US" w:eastAsia="zh-CN" w:bidi="ar-SA"/>
        </w:rPr>
        <w:t>附件2 工程质量保修书</w:t>
      </w:r>
      <w:bookmarkEnd w:id="1675"/>
      <w:bookmarkEnd w:id="1676"/>
      <w:bookmarkEnd w:id="1677"/>
    </w:p>
    <w:p w14:paraId="1DF83B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发包人（全称）：</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B1F91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承包人（全称）：</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3893F9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发包人和承包人根据《中华人民共和国建筑法》和《建设工程质量管理条例》，经协商一致就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（工程全称）订立工程质量保修书。</w:t>
      </w:r>
    </w:p>
    <w:p w14:paraId="0B02E10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一、工程质量保修范围和内容</w:t>
      </w:r>
    </w:p>
    <w:p w14:paraId="5CF577C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承包人在质量保修期内，按照有关法律规定和合同约定，承担工程质量保修责任。</w:t>
      </w:r>
    </w:p>
    <w:p w14:paraId="2F2868AE">
      <w:pPr>
        <w:wordWrap/>
        <w:topLinePunct w:val="0"/>
        <w:spacing w:line="360" w:lineRule="auto"/>
        <w:ind w:right="-218" w:rightChars="-104" w:firstLine="600"/>
        <w:rPr>
          <w:rFonts w:hint="eastAsia" w:ascii="宋体" w:hAnsi="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质量保修范围包括</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color w:val="auto"/>
          <w:szCs w:val="21"/>
          <w:highlight w:val="none"/>
          <w:u w:val="single"/>
        </w:rPr>
        <w:t>地基基础工程、主体结构工程，屋面防水工程、有防水要求的卫生间、房间和外墙面的防渗漏，供热与供冷系统，电气管线、给排水管道、设备安装和装修工程</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以及双方约定的其他项目</w:t>
      </w:r>
      <w:r>
        <w:rPr>
          <w:rFonts w:hint="eastAsia" w:ascii="宋体" w:hAnsi="宋体" w:cs="宋体"/>
          <w:b w:val="0"/>
          <w:bCs w:val="0"/>
          <w:color w:val="auto"/>
          <w:kern w:val="2"/>
          <w:sz w:val="21"/>
          <w:szCs w:val="21"/>
          <w:highlight w:val="none"/>
          <w:u w:val="none"/>
          <w:lang w:val="en-US" w:eastAsia="zh-CN" w:bidi="ar-SA"/>
        </w:rPr>
        <w:t>。</w:t>
      </w:r>
    </w:p>
    <w:p w14:paraId="5985BED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具体保修的内容，双方约定如下：</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2730A3A4">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二、质量保修期</w:t>
      </w:r>
    </w:p>
    <w:p w14:paraId="6B5DC6C2">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p>
    <w:p w14:paraId="4E725D0D">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1．地基基础工程和主体结构工程为设计文件规定的工程合理使用年限；</w:t>
      </w:r>
    </w:p>
    <w:p w14:paraId="7B221075">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2．屋面防水工程、有防水要求的卫生间、房间和外墙面的防渗为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p>
    <w:p w14:paraId="3A467513">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3．装修工程为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p>
    <w:p w14:paraId="48C1A43D">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4．电气管线、给排水管道、设备安装工程为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p>
    <w:p w14:paraId="17DDAD74">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5．供热与供冷系统为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个采暖期、供冷期；</w:t>
      </w:r>
    </w:p>
    <w:p w14:paraId="41DA491C">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6．住宅小区内的给排水设施、道路等配套工程为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p>
    <w:p w14:paraId="1FBBB8BC">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7．其他项目保修期限约定如下：</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310C88D">
      <w:pPr>
        <w:spacing w:after="0" w:line="360" w:lineRule="auto"/>
        <w:ind w:firstLine="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质量保修期自工程竣工验收合格之日起计算。</w:t>
      </w:r>
    </w:p>
    <w:p w14:paraId="52341178">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三、缺陷责任期</w:t>
      </w:r>
    </w:p>
    <w:p w14:paraId="5BC12C2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工程缺陷责任期为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个月，缺陷责任期自工程通过竣工验收之日起计算。单位/区段工程先于全部工程进行验收，单位/区段工程缺陷责任期自单位/区段工程验收合格之日起算。</w:t>
      </w:r>
    </w:p>
    <w:p w14:paraId="7B7B6C4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缺陷责任期终止后，发包人应返还剩余的质量保证金。</w:t>
      </w:r>
    </w:p>
    <w:p w14:paraId="2F190802">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四、质量保修责任</w:t>
      </w:r>
    </w:p>
    <w:p w14:paraId="46DF68D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1．属于保修范围、内容的项目，承包人应当在接到保修通知之日起7天内派人保修。承包人不在约定期限内派人保修的，发包人可以委托他人修理。</w:t>
      </w:r>
    </w:p>
    <w:p w14:paraId="7782134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2．发生紧急事故需抢修的，承包人在接到事故通知后，应当立即到达事故现场抢修。</w:t>
      </w:r>
    </w:p>
    <w:p w14:paraId="5690422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36BDC5DD">
      <w:pPr>
        <w:wordWrap/>
        <w:topLinePunct w:val="0"/>
        <w:spacing w:line="360" w:lineRule="auto"/>
        <w:ind w:right="-218" w:rightChars="-104"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4．质量保修完成后，由发包人组织验收。</w:t>
      </w:r>
    </w:p>
    <w:p w14:paraId="30CAEF2D">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五、保修费用</w:t>
      </w:r>
    </w:p>
    <w:p w14:paraId="3D8FD5C7">
      <w:pPr>
        <w:wordWrap/>
        <w:topLinePunct w:val="0"/>
        <w:spacing w:line="360" w:lineRule="auto"/>
        <w:ind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保修费用由造成质量缺陷的责任方承担。</w:t>
      </w:r>
    </w:p>
    <w:p w14:paraId="0A6F2916">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六、双方约定的其他工程质量保修事项：</w:t>
      </w:r>
      <w:r>
        <w:rPr>
          <w:rFonts w:hint="eastAsia" w:ascii="宋体" w:hAnsi="宋体" w:eastAsia="宋体" w:cs="宋体"/>
          <w:b/>
          <w:bCs/>
          <w:color w:val="auto"/>
          <w:kern w:val="2"/>
          <w:sz w:val="21"/>
          <w:szCs w:val="21"/>
          <w:highlight w:val="none"/>
          <w:u w:val="single"/>
          <w:lang w:val="en-US" w:eastAsia="zh-CN" w:bidi="ar-SA"/>
        </w:rPr>
        <w:t xml:space="preserve">                </w:t>
      </w:r>
      <w:r>
        <w:rPr>
          <w:rFonts w:hint="eastAsia" w:ascii="宋体" w:hAnsi="宋体" w:eastAsia="宋体" w:cs="宋体"/>
          <w:b/>
          <w:bCs/>
          <w:color w:val="auto"/>
          <w:kern w:val="2"/>
          <w:sz w:val="21"/>
          <w:szCs w:val="21"/>
          <w:highlight w:val="none"/>
          <w:lang w:val="en-US" w:eastAsia="zh-CN" w:bidi="ar-SA"/>
        </w:rPr>
        <w:t>。</w:t>
      </w:r>
    </w:p>
    <w:p w14:paraId="62151D3C">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工程质量保修书由发包人、承包人在工程竣工验收前共同签署，作为工程总承包合同附件，其有效期限至保修期满。</w:t>
      </w:r>
    </w:p>
    <w:p w14:paraId="2651110B">
      <w:pPr>
        <w:wordWrap/>
        <w:topLinePunct w:val="0"/>
        <w:spacing w:line="360" w:lineRule="auto"/>
        <w:ind w:firstLine="600"/>
        <w:rPr>
          <w:rFonts w:hint="eastAsia" w:ascii="宋体" w:hAnsi="宋体" w:eastAsia="宋体" w:cs="宋体"/>
          <w:color w:val="auto"/>
          <w:sz w:val="21"/>
          <w:szCs w:val="21"/>
          <w:highlight w:val="none"/>
        </w:rPr>
      </w:pPr>
    </w:p>
    <w:p w14:paraId="47BFE7D2">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发包人(公章)：               承包人(公章)：          </w:t>
      </w:r>
    </w:p>
    <w:p w14:paraId="39B85751">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地  址：                     地  址：       </w:t>
      </w:r>
    </w:p>
    <w:p w14:paraId="69748337">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法定代表人(签字)：           法定代表人(签字)：       </w:t>
      </w:r>
    </w:p>
    <w:p w14:paraId="15F87D4D">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委托代理人(签字)：           委托代理人(签字)：       </w:t>
      </w:r>
    </w:p>
    <w:p w14:paraId="6089F02C">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  话：                     电  话：</w:t>
      </w:r>
    </w:p>
    <w:p w14:paraId="2C8B3193">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传  真：                     传  真：  </w:t>
      </w:r>
    </w:p>
    <w:p w14:paraId="579FABD0">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开户银行：                   开户银行：</w:t>
      </w:r>
    </w:p>
    <w:p w14:paraId="3A30E62B">
      <w:pPr>
        <w:wordWrap/>
        <w:topLinePunct w:val="0"/>
        <w:spacing w:line="360" w:lineRule="auto"/>
        <w:ind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账  号：                     账  号： </w:t>
      </w:r>
    </w:p>
    <w:p w14:paraId="7E6C6C31">
      <w:pPr>
        <w:wordWrap/>
        <w:topLinePunct w:val="0"/>
        <w:spacing w:line="360" w:lineRule="auto"/>
        <w:ind w:firstLine="600"/>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 xml:space="preserve">邮政编码：                   邮政编码：  </w:t>
      </w:r>
      <w:r>
        <w:rPr>
          <w:rFonts w:hint="eastAsia" w:ascii="宋体" w:hAnsi="宋体" w:eastAsia="宋体" w:cs="宋体"/>
          <w:color w:val="auto"/>
          <w:sz w:val="21"/>
          <w:szCs w:val="21"/>
          <w:highlight w:val="none"/>
        </w:rPr>
        <w:t xml:space="preserve"> </w:t>
      </w:r>
    </w:p>
    <w:p w14:paraId="2DABD35C">
      <w:pPr>
        <w:wordWrap/>
        <w:topLinePunct w:val="0"/>
        <w:adjustRightInd/>
        <w:snapToGrid/>
        <w:spacing w:after="0" w:afterLines="0" w:line="240" w:lineRule="auto"/>
        <w:ind w:firstLine="0" w:firstLineChars="0"/>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08356E30">
      <w:pPr>
        <w:keepNext/>
        <w:keepLines/>
        <w:widowControl w:val="0"/>
        <w:numPr>
          <w:ilvl w:val="0"/>
          <w:numId w:val="0"/>
        </w:numPr>
        <w:tabs>
          <w:tab w:val="left" w:pos="1134"/>
        </w:tabs>
        <w:spacing w:before="260" w:after="260" w:line="360" w:lineRule="auto"/>
        <w:ind w:firstLine="0"/>
        <w:jc w:val="center"/>
        <w:outlineLvl w:val="1"/>
        <w:rPr>
          <w:rFonts w:hint="eastAsia" w:ascii="宋体" w:hAnsi="宋体" w:eastAsia="宋体" w:cs="宋体"/>
          <w:b/>
          <w:bCs/>
          <w:color w:val="auto"/>
          <w:kern w:val="2"/>
          <w:sz w:val="28"/>
          <w:szCs w:val="28"/>
          <w:highlight w:val="none"/>
          <w:lang w:val="zh-CN" w:eastAsia="zh-CN" w:bidi="ar-SA"/>
        </w:rPr>
      </w:pPr>
      <w:bookmarkStart w:id="1678" w:name="_Toc20171896"/>
      <w:bookmarkStart w:id="1679" w:name="_Toc13335"/>
      <w:bookmarkStart w:id="1680" w:name="_Toc54862355"/>
      <w:bookmarkStart w:id="1681" w:name="_Toc15121"/>
      <w:bookmarkStart w:id="1682" w:name="_Toc54862356"/>
      <w:bookmarkStart w:id="1683" w:name="_Toc20171897"/>
      <w:r>
        <w:rPr>
          <w:rFonts w:hint="eastAsia" w:ascii="宋体" w:hAnsi="宋体" w:eastAsia="宋体" w:cs="宋体"/>
          <w:b/>
          <w:bCs/>
          <w:color w:val="auto"/>
          <w:kern w:val="2"/>
          <w:sz w:val="28"/>
          <w:szCs w:val="28"/>
          <w:highlight w:val="none"/>
          <w:lang w:val="zh-CN" w:eastAsia="zh-CN" w:bidi="ar-SA"/>
        </w:rPr>
        <w:t>附件</w:t>
      </w:r>
      <w:r>
        <w:rPr>
          <w:rFonts w:hint="eastAsia" w:ascii="宋体" w:hAnsi="宋体" w:eastAsia="宋体" w:cs="宋体"/>
          <w:b/>
          <w:bCs/>
          <w:color w:val="auto"/>
          <w:kern w:val="2"/>
          <w:sz w:val="28"/>
          <w:szCs w:val="28"/>
          <w:highlight w:val="none"/>
          <w:lang w:val="en-US" w:eastAsia="zh-CN" w:bidi="ar-SA"/>
        </w:rPr>
        <w:t>3</w:t>
      </w:r>
      <w:r>
        <w:rPr>
          <w:rFonts w:hint="eastAsia" w:ascii="宋体" w:hAnsi="宋体" w:eastAsia="宋体" w:cs="宋体"/>
          <w:b/>
          <w:bCs/>
          <w:color w:val="auto"/>
          <w:kern w:val="2"/>
          <w:sz w:val="28"/>
          <w:szCs w:val="28"/>
          <w:highlight w:val="none"/>
          <w:lang w:val="zh-CN" w:eastAsia="zh-CN" w:bidi="ar-SA"/>
        </w:rPr>
        <w:t xml:space="preserve"> 主要建设工程文件目录</w:t>
      </w:r>
      <w:bookmarkEnd w:id="1678"/>
      <w:bookmarkEnd w:id="1679"/>
      <w:bookmarkEnd w:id="1680"/>
    </w:p>
    <w:tbl>
      <w:tblPr>
        <w:tblStyle w:val="8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47362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4" w:hRule="atLeast"/>
          <w:jc w:val="center"/>
        </w:trPr>
        <w:tc>
          <w:tcPr>
            <w:tcW w:w="2125" w:type="dxa"/>
            <w:tcBorders>
              <w:top w:val="single" w:color="auto" w:sz="12" w:space="0"/>
              <w:bottom w:val="double" w:color="auto" w:sz="6" w:space="0"/>
            </w:tcBorders>
            <w:vAlign w:val="center"/>
          </w:tcPr>
          <w:p w14:paraId="55263273">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文件名称</w:t>
            </w:r>
          </w:p>
        </w:tc>
        <w:tc>
          <w:tcPr>
            <w:tcW w:w="1276" w:type="dxa"/>
            <w:tcBorders>
              <w:top w:val="single" w:color="auto" w:sz="12" w:space="0"/>
              <w:bottom w:val="double" w:color="auto" w:sz="6" w:space="0"/>
            </w:tcBorders>
            <w:vAlign w:val="center"/>
          </w:tcPr>
          <w:p w14:paraId="26413F51">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套数</w:t>
            </w:r>
          </w:p>
        </w:tc>
        <w:tc>
          <w:tcPr>
            <w:tcW w:w="1450" w:type="dxa"/>
            <w:tcBorders>
              <w:top w:val="single" w:color="auto" w:sz="12" w:space="0"/>
              <w:bottom w:val="double" w:color="auto" w:sz="6" w:space="0"/>
            </w:tcBorders>
            <w:vAlign w:val="center"/>
          </w:tcPr>
          <w:p w14:paraId="47632BC0">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费用（元）</w:t>
            </w:r>
          </w:p>
        </w:tc>
        <w:tc>
          <w:tcPr>
            <w:tcW w:w="1243" w:type="dxa"/>
            <w:tcBorders>
              <w:top w:val="single" w:color="auto" w:sz="12" w:space="0"/>
              <w:bottom w:val="double" w:color="auto" w:sz="6" w:space="0"/>
            </w:tcBorders>
            <w:vAlign w:val="center"/>
          </w:tcPr>
          <w:p w14:paraId="2564D11F">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质量</w:t>
            </w:r>
          </w:p>
        </w:tc>
        <w:tc>
          <w:tcPr>
            <w:tcW w:w="1450" w:type="dxa"/>
            <w:tcBorders>
              <w:top w:val="single" w:color="auto" w:sz="12" w:space="0"/>
              <w:bottom w:val="double" w:color="auto" w:sz="6" w:space="0"/>
            </w:tcBorders>
            <w:vAlign w:val="center"/>
          </w:tcPr>
          <w:p w14:paraId="5A604312">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移交时间</w:t>
            </w:r>
          </w:p>
        </w:tc>
        <w:tc>
          <w:tcPr>
            <w:tcW w:w="1670" w:type="dxa"/>
            <w:tcBorders>
              <w:top w:val="single" w:color="auto" w:sz="12" w:space="0"/>
              <w:bottom w:val="double" w:color="auto" w:sz="6" w:space="0"/>
            </w:tcBorders>
            <w:vAlign w:val="center"/>
          </w:tcPr>
          <w:p w14:paraId="7687EEB9">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w:t>
            </w:r>
          </w:p>
        </w:tc>
      </w:tr>
      <w:tr w14:paraId="4715CB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14:paraId="0E8FB5A8">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tcBorders>
              <w:top w:val="double" w:color="auto" w:sz="6" w:space="0"/>
              <w:bottom w:val="single" w:color="auto" w:sz="6" w:space="0"/>
            </w:tcBorders>
            <w:vAlign w:val="center"/>
          </w:tcPr>
          <w:p w14:paraId="72A50525">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tcBorders>
              <w:top w:val="double" w:color="auto" w:sz="6" w:space="0"/>
              <w:bottom w:val="single" w:color="auto" w:sz="6" w:space="0"/>
            </w:tcBorders>
            <w:vAlign w:val="center"/>
          </w:tcPr>
          <w:p w14:paraId="67041FDA">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tcBorders>
              <w:top w:val="double" w:color="auto" w:sz="6" w:space="0"/>
              <w:bottom w:val="single" w:color="auto" w:sz="6" w:space="0"/>
            </w:tcBorders>
            <w:vAlign w:val="center"/>
          </w:tcPr>
          <w:p w14:paraId="0E0CCE43">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tcBorders>
              <w:top w:val="double" w:color="auto" w:sz="6" w:space="0"/>
              <w:bottom w:val="single" w:color="auto" w:sz="6" w:space="0"/>
            </w:tcBorders>
            <w:vAlign w:val="center"/>
          </w:tcPr>
          <w:p w14:paraId="532A8B9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tcBorders>
              <w:top w:val="double" w:color="auto" w:sz="6" w:space="0"/>
              <w:bottom w:val="single" w:color="auto" w:sz="6" w:space="0"/>
            </w:tcBorders>
            <w:vAlign w:val="center"/>
          </w:tcPr>
          <w:p w14:paraId="6E78C516">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280B8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14:paraId="7C29913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tcBorders>
              <w:top w:val="nil"/>
            </w:tcBorders>
            <w:vAlign w:val="center"/>
          </w:tcPr>
          <w:p w14:paraId="033A9C46">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tcBorders>
              <w:top w:val="nil"/>
            </w:tcBorders>
            <w:vAlign w:val="center"/>
          </w:tcPr>
          <w:p w14:paraId="390A024E">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tcBorders>
              <w:top w:val="nil"/>
            </w:tcBorders>
            <w:vAlign w:val="center"/>
          </w:tcPr>
          <w:p w14:paraId="7E473793">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tcBorders>
              <w:top w:val="nil"/>
            </w:tcBorders>
            <w:vAlign w:val="center"/>
          </w:tcPr>
          <w:p w14:paraId="72A90D53">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tcBorders>
              <w:top w:val="nil"/>
            </w:tcBorders>
            <w:vAlign w:val="center"/>
          </w:tcPr>
          <w:p w14:paraId="362044D1">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12CB1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7BE1E785">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38ACD941">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69CBE687">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2098DBC0">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410064A8">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59B90D93">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6E534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3F711BF">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5C497B02">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5D65195F">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5BADE7B5">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24E9426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10629A78">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15E121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4175E68B">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4EC13CD5">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6E9A3559">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18309354">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561C3CA9">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7B06B5F7">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538B0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5AC68E81">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0FC4763F">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71D31FA6">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743C075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136AB74E">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72B59651">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776D9B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1F7A66A">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69074A5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222F7FCD">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2917FF51">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25068244">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19031925">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09F206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0BDF863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00A72747">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1C6DBF93">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2D83149C">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2823C2E1">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068BB992">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4BEE1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F2AE183">
            <w:pPr>
              <w:spacing w:after="0" w:line="360" w:lineRule="auto"/>
              <w:rPr>
                <w:rFonts w:hint="eastAsia" w:ascii="宋体" w:hAnsi="宋体" w:eastAsia="宋体" w:cs="宋体"/>
                <w:color w:val="auto"/>
                <w:szCs w:val="21"/>
                <w:highlight w:val="none"/>
              </w:rPr>
            </w:pPr>
          </w:p>
        </w:tc>
        <w:tc>
          <w:tcPr>
            <w:tcW w:w="1276" w:type="dxa"/>
          </w:tcPr>
          <w:p w14:paraId="64CA5BFB">
            <w:pPr>
              <w:spacing w:after="0" w:line="360" w:lineRule="auto"/>
              <w:rPr>
                <w:rFonts w:hint="eastAsia" w:ascii="宋体" w:hAnsi="宋体" w:eastAsia="宋体" w:cs="宋体"/>
                <w:color w:val="auto"/>
                <w:szCs w:val="21"/>
                <w:highlight w:val="none"/>
              </w:rPr>
            </w:pPr>
          </w:p>
        </w:tc>
        <w:tc>
          <w:tcPr>
            <w:tcW w:w="1450" w:type="dxa"/>
          </w:tcPr>
          <w:p w14:paraId="689A5F53">
            <w:pPr>
              <w:spacing w:after="0" w:line="360" w:lineRule="auto"/>
              <w:rPr>
                <w:rFonts w:hint="eastAsia" w:ascii="宋体" w:hAnsi="宋体" w:eastAsia="宋体" w:cs="宋体"/>
                <w:color w:val="auto"/>
                <w:szCs w:val="21"/>
                <w:highlight w:val="none"/>
              </w:rPr>
            </w:pPr>
          </w:p>
        </w:tc>
        <w:tc>
          <w:tcPr>
            <w:tcW w:w="1243" w:type="dxa"/>
          </w:tcPr>
          <w:p w14:paraId="575276F2">
            <w:pPr>
              <w:spacing w:after="0" w:line="360" w:lineRule="auto"/>
              <w:rPr>
                <w:rFonts w:hint="eastAsia" w:ascii="宋体" w:hAnsi="宋体" w:eastAsia="宋体" w:cs="宋体"/>
                <w:color w:val="auto"/>
                <w:szCs w:val="21"/>
                <w:highlight w:val="none"/>
              </w:rPr>
            </w:pPr>
          </w:p>
        </w:tc>
        <w:tc>
          <w:tcPr>
            <w:tcW w:w="1450" w:type="dxa"/>
          </w:tcPr>
          <w:p w14:paraId="3FD1AA13">
            <w:pPr>
              <w:spacing w:after="0" w:line="360" w:lineRule="auto"/>
              <w:rPr>
                <w:rFonts w:hint="eastAsia" w:ascii="宋体" w:hAnsi="宋体" w:eastAsia="宋体" w:cs="宋体"/>
                <w:color w:val="auto"/>
                <w:szCs w:val="21"/>
                <w:highlight w:val="none"/>
              </w:rPr>
            </w:pPr>
          </w:p>
        </w:tc>
        <w:tc>
          <w:tcPr>
            <w:tcW w:w="1670" w:type="dxa"/>
          </w:tcPr>
          <w:p w14:paraId="2E39643F">
            <w:pPr>
              <w:spacing w:after="0" w:line="360" w:lineRule="auto"/>
              <w:rPr>
                <w:rFonts w:hint="eastAsia" w:ascii="宋体" w:hAnsi="宋体" w:eastAsia="宋体" w:cs="宋体"/>
                <w:color w:val="auto"/>
                <w:szCs w:val="21"/>
                <w:highlight w:val="none"/>
              </w:rPr>
            </w:pPr>
          </w:p>
        </w:tc>
      </w:tr>
      <w:tr w14:paraId="1FCAC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876AC43">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76" w:type="dxa"/>
            <w:vAlign w:val="center"/>
          </w:tcPr>
          <w:p w14:paraId="0B626DD6">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324F3BEE">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243" w:type="dxa"/>
            <w:vAlign w:val="center"/>
          </w:tcPr>
          <w:p w14:paraId="1411160E">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450" w:type="dxa"/>
            <w:vAlign w:val="center"/>
          </w:tcPr>
          <w:p w14:paraId="4AD6DF34">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c>
          <w:tcPr>
            <w:tcW w:w="1670" w:type="dxa"/>
            <w:vAlign w:val="center"/>
          </w:tcPr>
          <w:p w14:paraId="6AD9545D">
            <w:pPr>
              <w:widowControl w:val="0"/>
              <w:spacing w:after="120" w:line="360" w:lineRule="auto"/>
              <w:jc w:val="both"/>
              <w:rPr>
                <w:rFonts w:hint="eastAsia" w:ascii="宋体" w:hAnsi="宋体" w:eastAsia="宋体" w:cs="宋体"/>
                <w:color w:val="auto"/>
                <w:kern w:val="0"/>
                <w:sz w:val="21"/>
                <w:szCs w:val="21"/>
                <w:highlight w:val="none"/>
                <w:lang w:val="en-US" w:eastAsia="zh-CN" w:bidi="ar-SA"/>
              </w:rPr>
            </w:pPr>
          </w:p>
        </w:tc>
      </w:tr>
      <w:tr w14:paraId="1818B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2AA5936">
            <w:pPr>
              <w:spacing w:after="0" w:line="360" w:lineRule="auto"/>
              <w:rPr>
                <w:rFonts w:hint="eastAsia" w:ascii="宋体" w:hAnsi="宋体" w:eastAsia="宋体" w:cs="宋体"/>
                <w:color w:val="auto"/>
                <w:szCs w:val="21"/>
                <w:highlight w:val="none"/>
              </w:rPr>
            </w:pPr>
          </w:p>
        </w:tc>
        <w:tc>
          <w:tcPr>
            <w:tcW w:w="1276" w:type="dxa"/>
          </w:tcPr>
          <w:p w14:paraId="19DA7EEA">
            <w:pPr>
              <w:spacing w:after="0" w:line="360" w:lineRule="auto"/>
              <w:rPr>
                <w:rFonts w:hint="eastAsia" w:ascii="宋体" w:hAnsi="宋体" w:eastAsia="宋体" w:cs="宋体"/>
                <w:color w:val="auto"/>
                <w:szCs w:val="21"/>
                <w:highlight w:val="none"/>
              </w:rPr>
            </w:pPr>
          </w:p>
        </w:tc>
        <w:tc>
          <w:tcPr>
            <w:tcW w:w="1450" w:type="dxa"/>
          </w:tcPr>
          <w:p w14:paraId="65A1CF3E">
            <w:pPr>
              <w:spacing w:after="0" w:line="360" w:lineRule="auto"/>
              <w:rPr>
                <w:rFonts w:hint="eastAsia" w:ascii="宋体" w:hAnsi="宋体" w:eastAsia="宋体" w:cs="宋体"/>
                <w:color w:val="auto"/>
                <w:szCs w:val="21"/>
                <w:highlight w:val="none"/>
              </w:rPr>
            </w:pPr>
          </w:p>
        </w:tc>
        <w:tc>
          <w:tcPr>
            <w:tcW w:w="1243" w:type="dxa"/>
          </w:tcPr>
          <w:p w14:paraId="1682ED2D">
            <w:pPr>
              <w:spacing w:after="0" w:line="360" w:lineRule="auto"/>
              <w:rPr>
                <w:rFonts w:hint="eastAsia" w:ascii="宋体" w:hAnsi="宋体" w:eastAsia="宋体" w:cs="宋体"/>
                <w:color w:val="auto"/>
                <w:szCs w:val="21"/>
                <w:highlight w:val="none"/>
              </w:rPr>
            </w:pPr>
          </w:p>
        </w:tc>
        <w:tc>
          <w:tcPr>
            <w:tcW w:w="1450" w:type="dxa"/>
          </w:tcPr>
          <w:p w14:paraId="1C48AF92">
            <w:pPr>
              <w:spacing w:after="0" w:line="360" w:lineRule="auto"/>
              <w:rPr>
                <w:rFonts w:hint="eastAsia" w:ascii="宋体" w:hAnsi="宋体" w:eastAsia="宋体" w:cs="宋体"/>
                <w:color w:val="auto"/>
                <w:szCs w:val="21"/>
                <w:highlight w:val="none"/>
              </w:rPr>
            </w:pPr>
          </w:p>
        </w:tc>
        <w:tc>
          <w:tcPr>
            <w:tcW w:w="1670" w:type="dxa"/>
          </w:tcPr>
          <w:p w14:paraId="4223AD31">
            <w:pPr>
              <w:spacing w:after="0" w:line="360" w:lineRule="auto"/>
              <w:rPr>
                <w:rFonts w:hint="eastAsia" w:ascii="宋体" w:hAnsi="宋体" w:eastAsia="宋体" w:cs="宋体"/>
                <w:color w:val="auto"/>
                <w:szCs w:val="21"/>
                <w:highlight w:val="none"/>
              </w:rPr>
            </w:pPr>
          </w:p>
        </w:tc>
      </w:tr>
      <w:tr w14:paraId="5BF84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0558852">
            <w:pPr>
              <w:spacing w:after="0" w:line="360" w:lineRule="auto"/>
              <w:rPr>
                <w:rFonts w:hint="eastAsia" w:ascii="宋体" w:hAnsi="宋体" w:eastAsia="宋体" w:cs="宋体"/>
                <w:color w:val="auto"/>
                <w:szCs w:val="21"/>
                <w:highlight w:val="none"/>
              </w:rPr>
            </w:pPr>
          </w:p>
        </w:tc>
        <w:tc>
          <w:tcPr>
            <w:tcW w:w="1276" w:type="dxa"/>
          </w:tcPr>
          <w:p w14:paraId="038E5EFE">
            <w:pPr>
              <w:spacing w:after="0" w:line="360" w:lineRule="auto"/>
              <w:rPr>
                <w:rFonts w:hint="eastAsia" w:ascii="宋体" w:hAnsi="宋体" w:eastAsia="宋体" w:cs="宋体"/>
                <w:color w:val="auto"/>
                <w:szCs w:val="21"/>
                <w:highlight w:val="none"/>
              </w:rPr>
            </w:pPr>
          </w:p>
        </w:tc>
        <w:tc>
          <w:tcPr>
            <w:tcW w:w="1450" w:type="dxa"/>
          </w:tcPr>
          <w:p w14:paraId="426EE848">
            <w:pPr>
              <w:spacing w:after="0" w:line="360" w:lineRule="auto"/>
              <w:rPr>
                <w:rFonts w:hint="eastAsia" w:ascii="宋体" w:hAnsi="宋体" w:eastAsia="宋体" w:cs="宋体"/>
                <w:color w:val="auto"/>
                <w:szCs w:val="21"/>
                <w:highlight w:val="none"/>
              </w:rPr>
            </w:pPr>
          </w:p>
        </w:tc>
        <w:tc>
          <w:tcPr>
            <w:tcW w:w="1243" w:type="dxa"/>
          </w:tcPr>
          <w:p w14:paraId="4F122D27">
            <w:pPr>
              <w:spacing w:after="0" w:line="360" w:lineRule="auto"/>
              <w:rPr>
                <w:rFonts w:hint="eastAsia" w:ascii="宋体" w:hAnsi="宋体" w:eastAsia="宋体" w:cs="宋体"/>
                <w:color w:val="auto"/>
                <w:szCs w:val="21"/>
                <w:highlight w:val="none"/>
              </w:rPr>
            </w:pPr>
          </w:p>
        </w:tc>
        <w:tc>
          <w:tcPr>
            <w:tcW w:w="1450" w:type="dxa"/>
          </w:tcPr>
          <w:p w14:paraId="0564650D">
            <w:pPr>
              <w:spacing w:after="0" w:line="360" w:lineRule="auto"/>
              <w:rPr>
                <w:rFonts w:hint="eastAsia" w:ascii="宋体" w:hAnsi="宋体" w:eastAsia="宋体" w:cs="宋体"/>
                <w:color w:val="auto"/>
                <w:szCs w:val="21"/>
                <w:highlight w:val="none"/>
              </w:rPr>
            </w:pPr>
          </w:p>
        </w:tc>
        <w:tc>
          <w:tcPr>
            <w:tcW w:w="1670" w:type="dxa"/>
          </w:tcPr>
          <w:p w14:paraId="6C05BA25">
            <w:pPr>
              <w:spacing w:after="0" w:line="360" w:lineRule="auto"/>
              <w:rPr>
                <w:rFonts w:hint="eastAsia" w:ascii="宋体" w:hAnsi="宋体" w:eastAsia="宋体" w:cs="宋体"/>
                <w:color w:val="auto"/>
                <w:szCs w:val="21"/>
                <w:highlight w:val="none"/>
              </w:rPr>
            </w:pPr>
          </w:p>
        </w:tc>
      </w:tr>
      <w:tr w14:paraId="0FFCA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DF25D25">
            <w:pPr>
              <w:spacing w:after="0" w:line="360" w:lineRule="auto"/>
              <w:rPr>
                <w:rFonts w:hint="eastAsia" w:ascii="宋体" w:hAnsi="宋体" w:eastAsia="宋体" w:cs="宋体"/>
                <w:color w:val="auto"/>
                <w:szCs w:val="21"/>
                <w:highlight w:val="none"/>
              </w:rPr>
            </w:pPr>
          </w:p>
        </w:tc>
        <w:tc>
          <w:tcPr>
            <w:tcW w:w="1276" w:type="dxa"/>
          </w:tcPr>
          <w:p w14:paraId="7971F84D">
            <w:pPr>
              <w:spacing w:after="0" w:line="360" w:lineRule="auto"/>
              <w:rPr>
                <w:rFonts w:hint="eastAsia" w:ascii="宋体" w:hAnsi="宋体" w:eastAsia="宋体" w:cs="宋体"/>
                <w:color w:val="auto"/>
                <w:szCs w:val="21"/>
                <w:highlight w:val="none"/>
              </w:rPr>
            </w:pPr>
          </w:p>
        </w:tc>
        <w:tc>
          <w:tcPr>
            <w:tcW w:w="1450" w:type="dxa"/>
          </w:tcPr>
          <w:p w14:paraId="5C6EBA6C">
            <w:pPr>
              <w:spacing w:after="0" w:line="360" w:lineRule="auto"/>
              <w:rPr>
                <w:rFonts w:hint="eastAsia" w:ascii="宋体" w:hAnsi="宋体" w:eastAsia="宋体" w:cs="宋体"/>
                <w:color w:val="auto"/>
                <w:szCs w:val="21"/>
                <w:highlight w:val="none"/>
              </w:rPr>
            </w:pPr>
          </w:p>
        </w:tc>
        <w:tc>
          <w:tcPr>
            <w:tcW w:w="1243" w:type="dxa"/>
          </w:tcPr>
          <w:p w14:paraId="37079C0A">
            <w:pPr>
              <w:spacing w:after="0" w:line="360" w:lineRule="auto"/>
              <w:rPr>
                <w:rFonts w:hint="eastAsia" w:ascii="宋体" w:hAnsi="宋体" w:eastAsia="宋体" w:cs="宋体"/>
                <w:color w:val="auto"/>
                <w:szCs w:val="21"/>
                <w:highlight w:val="none"/>
              </w:rPr>
            </w:pPr>
          </w:p>
        </w:tc>
        <w:tc>
          <w:tcPr>
            <w:tcW w:w="1450" w:type="dxa"/>
          </w:tcPr>
          <w:p w14:paraId="47FADD1D">
            <w:pPr>
              <w:spacing w:after="0" w:line="360" w:lineRule="auto"/>
              <w:rPr>
                <w:rFonts w:hint="eastAsia" w:ascii="宋体" w:hAnsi="宋体" w:eastAsia="宋体" w:cs="宋体"/>
                <w:color w:val="auto"/>
                <w:szCs w:val="21"/>
                <w:highlight w:val="none"/>
              </w:rPr>
            </w:pPr>
          </w:p>
        </w:tc>
        <w:tc>
          <w:tcPr>
            <w:tcW w:w="1670" w:type="dxa"/>
          </w:tcPr>
          <w:p w14:paraId="76E2E30A">
            <w:pPr>
              <w:spacing w:after="0" w:line="360" w:lineRule="auto"/>
              <w:rPr>
                <w:rFonts w:hint="eastAsia" w:ascii="宋体" w:hAnsi="宋体" w:eastAsia="宋体" w:cs="宋体"/>
                <w:color w:val="auto"/>
                <w:szCs w:val="21"/>
                <w:highlight w:val="none"/>
              </w:rPr>
            </w:pPr>
          </w:p>
        </w:tc>
      </w:tr>
      <w:tr w14:paraId="1E097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9A0A501">
            <w:pPr>
              <w:spacing w:after="0" w:line="360" w:lineRule="auto"/>
              <w:rPr>
                <w:rFonts w:hint="eastAsia" w:ascii="宋体" w:hAnsi="宋体" w:eastAsia="宋体" w:cs="宋体"/>
                <w:color w:val="auto"/>
                <w:szCs w:val="21"/>
                <w:highlight w:val="none"/>
              </w:rPr>
            </w:pPr>
          </w:p>
        </w:tc>
        <w:tc>
          <w:tcPr>
            <w:tcW w:w="1276" w:type="dxa"/>
          </w:tcPr>
          <w:p w14:paraId="7D27824C">
            <w:pPr>
              <w:spacing w:after="0" w:line="360" w:lineRule="auto"/>
              <w:rPr>
                <w:rFonts w:hint="eastAsia" w:ascii="宋体" w:hAnsi="宋体" w:eastAsia="宋体" w:cs="宋体"/>
                <w:color w:val="auto"/>
                <w:szCs w:val="21"/>
                <w:highlight w:val="none"/>
              </w:rPr>
            </w:pPr>
          </w:p>
        </w:tc>
        <w:tc>
          <w:tcPr>
            <w:tcW w:w="1450" w:type="dxa"/>
          </w:tcPr>
          <w:p w14:paraId="73D4A230">
            <w:pPr>
              <w:spacing w:after="0" w:line="360" w:lineRule="auto"/>
              <w:rPr>
                <w:rFonts w:hint="eastAsia" w:ascii="宋体" w:hAnsi="宋体" w:eastAsia="宋体" w:cs="宋体"/>
                <w:color w:val="auto"/>
                <w:szCs w:val="21"/>
                <w:highlight w:val="none"/>
              </w:rPr>
            </w:pPr>
          </w:p>
        </w:tc>
        <w:tc>
          <w:tcPr>
            <w:tcW w:w="1243" w:type="dxa"/>
          </w:tcPr>
          <w:p w14:paraId="5F66A242">
            <w:pPr>
              <w:spacing w:after="0" w:line="360" w:lineRule="auto"/>
              <w:rPr>
                <w:rFonts w:hint="eastAsia" w:ascii="宋体" w:hAnsi="宋体" w:eastAsia="宋体" w:cs="宋体"/>
                <w:color w:val="auto"/>
                <w:szCs w:val="21"/>
                <w:highlight w:val="none"/>
              </w:rPr>
            </w:pPr>
          </w:p>
        </w:tc>
        <w:tc>
          <w:tcPr>
            <w:tcW w:w="1450" w:type="dxa"/>
          </w:tcPr>
          <w:p w14:paraId="2F46D04F">
            <w:pPr>
              <w:spacing w:after="0" w:line="360" w:lineRule="auto"/>
              <w:rPr>
                <w:rFonts w:hint="eastAsia" w:ascii="宋体" w:hAnsi="宋体" w:eastAsia="宋体" w:cs="宋体"/>
                <w:color w:val="auto"/>
                <w:szCs w:val="21"/>
                <w:highlight w:val="none"/>
              </w:rPr>
            </w:pPr>
          </w:p>
        </w:tc>
        <w:tc>
          <w:tcPr>
            <w:tcW w:w="1670" w:type="dxa"/>
          </w:tcPr>
          <w:p w14:paraId="37CDA4EB">
            <w:pPr>
              <w:spacing w:after="0" w:line="360" w:lineRule="auto"/>
              <w:rPr>
                <w:rFonts w:hint="eastAsia" w:ascii="宋体" w:hAnsi="宋体" w:eastAsia="宋体" w:cs="宋体"/>
                <w:color w:val="auto"/>
                <w:szCs w:val="21"/>
                <w:highlight w:val="none"/>
              </w:rPr>
            </w:pPr>
          </w:p>
        </w:tc>
      </w:tr>
      <w:tr w14:paraId="39A436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87BF14D">
            <w:pPr>
              <w:spacing w:after="0" w:line="360" w:lineRule="auto"/>
              <w:rPr>
                <w:rFonts w:hint="eastAsia" w:ascii="宋体" w:hAnsi="宋体" w:eastAsia="宋体" w:cs="宋体"/>
                <w:color w:val="auto"/>
                <w:szCs w:val="21"/>
                <w:highlight w:val="none"/>
              </w:rPr>
            </w:pPr>
          </w:p>
        </w:tc>
        <w:tc>
          <w:tcPr>
            <w:tcW w:w="1276" w:type="dxa"/>
          </w:tcPr>
          <w:p w14:paraId="531EDFC8">
            <w:pPr>
              <w:spacing w:after="0" w:line="360" w:lineRule="auto"/>
              <w:rPr>
                <w:rFonts w:hint="eastAsia" w:ascii="宋体" w:hAnsi="宋体" w:eastAsia="宋体" w:cs="宋体"/>
                <w:color w:val="auto"/>
                <w:szCs w:val="21"/>
                <w:highlight w:val="none"/>
              </w:rPr>
            </w:pPr>
          </w:p>
        </w:tc>
        <w:tc>
          <w:tcPr>
            <w:tcW w:w="1450" w:type="dxa"/>
          </w:tcPr>
          <w:p w14:paraId="581A21E1">
            <w:pPr>
              <w:spacing w:after="0" w:line="360" w:lineRule="auto"/>
              <w:rPr>
                <w:rFonts w:hint="eastAsia" w:ascii="宋体" w:hAnsi="宋体" w:eastAsia="宋体" w:cs="宋体"/>
                <w:color w:val="auto"/>
                <w:szCs w:val="21"/>
                <w:highlight w:val="none"/>
              </w:rPr>
            </w:pPr>
          </w:p>
        </w:tc>
        <w:tc>
          <w:tcPr>
            <w:tcW w:w="1243" w:type="dxa"/>
          </w:tcPr>
          <w:p w14:paraId="400AEFEF">
            <w:pPr>
              <w:spacing w:after="0" w:line="360" w:lineRule="auto"/>
              <w:rPr>
                <w:rFonts w:hint="eastAsia" w:ascii="宋体" w:hAnsi="宋体" w:eastAsia="宋体" w:cs="宋体"/>
                <w:color w:val="auto"/>
                <w:szCs w:val="21"/>
                <w:highlight w:val="none"/>
              </w:rPr>
            </w:pPr>
          </w:p>
        </w:tc>
        <w:tc>
          <w:tcPr>
            <w:tcW w:w="1450" w:type="dxa"/>
          </w:tcPr>
          <w:p w14:paraId="33AD0FCB">
            <w:pPr>
              <w:spacing w:after="0" w:line="360" w:lineRule="auto"/>
              <w:rPr>
                <w:rFonts w:hint="eastAsia" w:ascii="宋体" w:hAnsi="宋体" w:eastAsia="宋体" w:cs="宋体"/>
                <w:color w:val="auto"/>
                <w:szCs w:val="21"/>
                <w:highlight w:val="none"/>
              </w:rPr>
            </w:pPr>
          </w:p>
        </w:tc>
        <w:tc>
          <w:tcPr>
            <w:tcW w:w="1670" w:type="dxa"/>
          </w:tcPr>
          <w:p w14:paraId="295B001C">
            <w:pPr>
              <w:spacing w:after="0" w:line="360" w:lineRule="auto"/>
              <w:rPr>
                <w:rFonts w:hint="eastAsia" w:ascii="宋体" w:hAnsi="宋体" w:eastAsia="宋体" w:cs="宋体"/>
                <w:color w:val="auto"/>
                <w:szCs w:val="21"/>
                <w:highlight w:val="none"/>
              </w:rPr>
            </w:pPr>
          </w:p>
        </w:tc>
      </w:tr>
      <w:tr w14:paraId="6B74A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D9B930C">
            <w:pPr>
              <w:spacing w:after="0" w:line="360" w:lineRule="auto"/>
              <w:rPr>
                <w:rFonts w:hint="eastAsia" w:ascii="宋体" w:hAnsi="宋体" w:eastAsia="宋体" w:cs="宋体"/>
                <w:color w:val="auto"/>
                <w:szCs w:val="21"/>
                <w:highlight w:val="none"/>
              </w:rPr>
            </w:pPr>
          </w:p>
        </w:tc>
        <w:tc>
          <w:tcPr>
            <w:tcW w:w="1276" w:type="dxa"/>
          </w:tcPr>
          <w:p w14:paraId="7F473DC1">
            <w:pPr>
              <w:spacing w:after="0" w:line="360" w:lineRule="auto"/>
              <w:rPr>
                <w:rFonts w:hint="eastAsia" w:ascii="宋体" w:hAnsi="宋体" w:eastAsia="宋体" w:cs="宋体"/>
                <w:color w:val="auto"/>
                <w:szCs w:val="21"/>
                <w:highlight w:val="none"/>
              </w:rPr>
            </w:pPr>
          </w:p>
        </w:tc>
        <w:tc>
          <w:tcPr>
            <w:tcW w:w="1450" w:type="dxa"/>
          </w:tcPr>
          <w:p w14:paraId="488C05D3">
            <w:pPr>
              <w:spacing w:after="0" w:line="360" w:lineRule="auto"/>
              <w:rPr>
                <w:rFonts w:hint="eastAsia" w:ascii="宋体" w:hAnsi="宋体" w:eastAsia="宋体" w:cs="宋体"/>
                <w:color w:val="auto"/>
                <w:szCs w:val="21"/>
                <w:highlight w:val="none"/>
              </w:rPr>
            </w:pPr>
          </w:p>
        </w:tc>
        <w:tc>
          <w:tcPr>
            <w:tcW w:w="1243" w:type="dxa"/>
          </w:tcPr>
          <w:p w14:paraId="323578A9">
            <w:pPr>
              <w:spacing w:after="0" w:line="360" w:lineRule="auto"/>
              <w:rPr>
                <w:rFonts w:hint="eastAsia" w:ascii="宋体" w:hAnsi="宋体" w:eastAsia="宋体" w:cs="宋体"/>
                <w:color w:val="auto"/>
                <w:szCs w:val="21"/>
                <w:highlight w:val="none"/>
              </w:rPr>
            </w:pPr>
          </w:p>
        </w:tc>
        <w:tc>
          <w:tcPr>
            <w:tcW w:w="1450" w:type="dxa"/>
          </w:tcPr>
          <w:p w14:paraId="2D348D21">
            <w:pPr>
              <w:spacing w:after="0" w:line="360" w:lineRule="auto"/>
              <w:rPr>
                <w:rFonts w:hint="eastAsia" w:ascii="宋体" w:hAnsi="宋体" w:eastAsia="宋体" w:cs="宋体"/>
                <w:color w:val="auto"/>
                <w:szCs w:val="21"/>
                <w:highlight w:val="none"/>
              </w:rPr>
            </w:pPr>
          </w:p>
        </w:tc>
        <w:tc>
          <w:tcPr>
            <w:tcW w:w="1670" w:type="dxa"/>
          </w:tcPr>
          <w:p w14:paraId="514F5E55">
            <w:pPr>
              <w:spacing w:after="0" w:line="360" w:lineRule="auto"/>
              <w:rPr>
                <w:rFonts w:hint="eastAsia" w:ascii="宋体" w:hAnsi="宋体" w:eastAsia="宋体" w:cs="宋体"/>
                <w:color w:val="auto"/>
                <w:szCs w:val="21"/>
                <w:highlight w:val="none"/>
              </w:rPr>
            </w:pPr>
          </w:p>
        </w:tc>
      </w:tr>
      <w:tr w14:paraId="253BD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669D3D4B">
            <w:pPr>
              <w:spacing w:after="0" w:line="360" w:lineRule="auto"/>
              <w:rPr>
                <w:rFonts w:hint="eastAsia" w:ascii="宋体" w:hAnsi="宋体" w:eastAsia="宋体" w:cs="宋体"/>
                <w:color w:val="auto"/>
                <w:szCs w:val="21"/>
                <w:highlight w:val="none"/>
              </w:rPr>
            </w:pPr>
          </w:p>
        </w:tc>
        <w:tc>
          <w:tcPr>
            <w:tcW w:w="1276" w:type="dxa"/>
          </w:tcPr>
          <w:p w14:paraId="2FDED4EB">
            <w:pPr>
              <w:spacing w:after="0" w:line="360" w:lineRule="auto"/>
              <w:rPr>
                <w:rFonts w:hint="eastAsia" w:ascii="宋体" w:hAnsi="宋体" w:eastAsia="宋体" w:cs="宋体"/>
                <w:color w:val="auto"/>
                <w:szCs w:val="21"/>
                <w:highlight w:val="none"/>
              </w:rPr>
            </w:pPr>
          </w:p>
        </w:tc>
        <w:tc>
          <w:tcPr>
            <w:tcW w:w="1450" w:type="dxa"/>
          </w:tcPr>
          <w:p w14:paraId="4FF623BF">
            <w:pPr>
              <w:spacing w:after="0" w:line="360" w:lineRule="auto"/>
              <w:rPr>
                <w:rFonts w:hint="eastAsia" w:ascii="宋体" w:hAnsi="宋体" w:eastAsia="宋体" w:cs="宋体"/>
                <w:color w:val="auto"/>
                <w:szCs w:val="21"/>
                <w:highlight w:val="none"/>
              </w:rPr>
            </w:pPr>
          </w:p>
        </w:tc>
        <w:tc>
          <w:tcPr>
            <w:tcW w:w="1243" w:type="dxa"/>
          </w:tcPr>
          <w:p w14:paraId="56A858CB">
            <w:pPr>
              <w:spacing w:after="0" w:line="360" w:lineRule="auto"/>
              <w:rPr>
                <w:rFonts w:hint="eastAsia" w:ascii="宋体" w:hAnsi="宋体" w:eastAsia="宋体" w:cs="宋体"/>
                <w:color w:val="auto"/>
                <w:szCs w:val="21"/>
                <w:highlight w:val="none"/>
              </w:rPr>
            </w:pPr>
          </w:p>
        </w:tc>
        <w:tc>
          <w:tcPr>
            <w:tcW w:w="1450" w:type="dxa"/>
          </w:tcPr>
          <w:p w14:paraId="174A8D0D">
            <w:pPr>
              <w:spacing w:after="0" w:line="360" w:lineRule="auto"/>
              <w:rPr>
                <w:rFonts w:hint="eastAsia" w:ascii="宋体" w:hAnsi="宋体" w:eastAsia="宋体" w:cs="宋体"/>
                <w:color w:val="auto"/>
                <w:szCs w:val="21"/>
                <w:highlight w:val="none"/>
              </w:rPr>
            </w:pPr>
          </w:p>
        </w:tc>
        <w:tc>
          <w:tcPr>
            <w:tcW w:w="1670" w:type="dxa"/>
          </w:tcPr>
          <w:p w14:paraId="66465D95">
            <w:pPr>
              <w:spacing w:after="0" w:line="360" w:lineRule="auto"/>
              <w:rPr>
                <w:rFonts w:hint="eastAsia" w:ascii="宋体" w:hAnsi="宋体" w:eastAsia="宋体" w:cs="宋体"/>
                <w:color w:val="auto"/>
                <w:szCs w:val="21"/>
                <w:highlight w:val="none"/>
              </w:rPr>
            </w:pPr>
          </w:p>
        </w:tc>
      </w:tr>
      <w:tr w14:paraId="0EA80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F2453DB">
            <w:pPr>
              <w:spacing w:after="0" w:line="360" w:lineRule="auto"/>
              <w:rPr>
                <w:rFonts w:hint="eastAsia" w:ascii="宋体" w:hAnsi="宋体" w:eastAsia="宋体" w:cs="宋体"/>
                <w:color w:val="auto"/>
                <w:szCs w:val="21"/>
                <w:highlight w:val="none"/>
              </w:rPr>
            </w:pPr>
          </w:p>
        </w:tc>
        <w:tc>
          <w:tcPr>
            <w:tcW w:w="1276" w:type="dxa"/>
          </w:tcPr>
          <w:p w14:paraId="30460B5F">
            <w:pPr>
              <w:spacing w:after="0" w:line="360" w:lineRule="auto"/>
              <w:rPr>
                <w:rFonts w:hint="eastAsia" w:ascii="宋体" w:hAnsi="宋体" w:eastAsia="宋体" w:cs="宋体"/>
                <w:color w:val="auto"/>
                <w:szCs w:val="21"/>
                <w:highlight w:val="none"/>
              </w:rPr>
            </w:pPr>
          </w:p>
        </w:tc>
        <w:tc>
          <w:tcPr>
            <w:tcW w:w="1450" w:type="dxa"/>
          </w:tcPr>
          <w:p w14:paraId="15B6AEA5">
            <w:pPr>
              <w:spacing w:after="0" w:line="360" w:lineRule="auto"/>
              <w:rPr>
                <w:rFonts w:hint="eastAsia" w:ascii="宋体" w:hAnsi="宋体" w:eastAsia="宋体" w:cs="宋体"/>
                <w:color w:val="auto"/>
                <w:szCs w:val="21"/>
                <w:highlight w:val="none"/>
              </w:rPr>
            </w:pPr>
          </w:p>
        </w:tc>
        <w:tc>
          <w:tcPr>
            <w:tcW w:w="1243" w:type="dxa"/>
          </w:tcPr>
          <w:p w14:paraId="4ACCE8EA">
            <w:pPr>
              <w:spacing w:after="0" w:line="360" w:lineRule="auto"/>
              <w:rPr>
                <w:rFonts w:hint="eastAsia" w:ascii="宋体" w:hAnsi="宋体" w:eastAsia="宋体" w:cs="宋体"/>
                <w:color w:val="auto"/>
                <w:szCs w:val="21"/>
                <w:highlight w:val="none"/>
              </w:rPr>
            </w:pPr>
          </w:p>
        </w:tc>
        <w:tc>
          <w:tcPr>
            <w:tcW w:w="1450" w:type="dxa"/>
          </w:tcPr>
          <w:p w14:paraId="026A4AC4">
            <w:pPr>
              <w:spacing w:after="0" w:line="360" w:lineRule="auto"/>
              <w:rPr>
                <w:rFonts w:hint="eastAsia" w:ascii="宋体" w:hAnsi="宋体" w:eastAsia="宋体" w:cs="宋体"/>
                <w:color w:val="auto"/>
                <w:szCs w:val="21"/>
                <w:highlight w:val="none"/>
              </w:rPr>
            </w:pPr>
          </w:p>
        </w:tc>
        <w:tc>
          <w:tcPr>
            <w:tcW w:w="1670" w:type="dxa"/>
          </w:tcPr>
          <w:p w14:paraId="241E3D87">
            <w:pPr>
              <w:spacing w:after="0" w:line="360" w:lineRule="auto"/>
              <w:rPr>
                <w:rFonts w:hint="eastAsia" w:ascii="宋体" w:hAnsi="宋体" w:eastAsia="宋体" w:cs="宋体"/>
                <w:color w:val="auto"/>
                <w:szCs w:val="21"/>
                <w:highlight w:val="none"/>
              </w:rPr>
            </w:pPr>
          </w:p>
        </w:tc>
      </w:tr>
      <w:tr w14:paraId="14BF1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51C20173">
            <w:pPr>
              <w:spacing w:after="0" w:line="360" w:lineRule="auto"/>
              <w:rPr>
                <w:rFonts w:hint="eastAsia" w:ascii="宋体" w:hAnsi="宋体" w:eastAsia="宋体" w:cs="宋体"/>
                <w:color w:val="auto"/>
                <w:szCs w:val="21"/>
                <w:highlight w:val="none"/>
              </w:rPr>
            </w:pPr>
          </w:p>
        </w:tc>
        <w:tc>
          <w:tcPr>
            <w:tcW w:w="1276" w:type="dxa"/>
          </w:tcPr>
          <w:p w14:paraId="1C5D5913">
            <w:pPr>
              <w:spacing w:after="0" w:line="360" w:lineRule="auto"/>
              <w:rPr>
                <w:rFonts w:hint="eastAsia" w:ascii="宋体" w:hAnsi="宋体" w:eastAsia="宋体" w:cs="宋体"/>
                <w:color w:val="auto"/>
                <w:szCs w:val="21"/>
                <w:highlight w:val="none"/>
              </w:rPr>
            </w:pPr>
          </w:p>
        </w:tc>
        <w:tc>
          <w:tcPr>
            <w:tcW w:w="1450" w:type="dxa"/>
          </w:tcPr>
          <w:p w14:paraId="193A6830">
            <w:pPr>
              <w:spacing w:after="0" w:line="360" w:lineRule="auto"/>
              <w:rPr>
                <w:rFonts w:hint="eastAsia" w:ascii="宋体" w:hAnsi="宋体" w:eastAsia="宋体" w:cs="宋体"/>
                <w:color w:val="auto"/>
                <w:szCs w:val="21"/>
                <w:highlight w:val="none"/>
              </w:rPr>
            </w:pPr>
          </w:p>
        </w:tc>
        <w:tc>
          <w:tcPr>
            <w:tcW w:w="1243" w:type="dxa"/>
          </w:tcPr>
          <w:p w14:paraId="513EB76E">
            <w:pPr>
              <w:spacing w:after="0" w:line="360" w:lineRule="auto"/>
              <w:rPr>
                <w:rFonts w:hint="eastAsia" w:ascii="宋体" w:hAnsi="宋体" w:eastAsia="宋体" w:cs="宋体"/>
                <w:color w:val="auto"/>
                <w:szCs w:val="21"/>
                <w:highlight w:val="none"/>
              </w:rPr>
            </w:pPr>
          </w:p>
        </w:tc>
        <w:tc>
          <w:tcPr>
            <w:tcW w:w="1450" w:type="dxa"/>
          </w:tcPr>
          <w:p w14:paraId="41EE859E">
            <w:pPr>
              <w:spacing w:after="0" w:line="360" w:lineRule="auto"/>
              <w:rPr>
                <w:rFonts w:hint="eastAsia" w:ascii="宋体" w:hAnsi="宋体" w:eastAsia="宋体" w:cs="宋体"/>
                <w:color w:val="auto"/>
                <w:szCs w:val="21"/>
                <w:highlight w:val="none"/>
              </w:rPr>
            </w:pPr>
          </w:p>
        </w:tc>
        <w:tc>
          <w:tcPr>
            <w:tcW w:w="1670" w:type="dxa"/>
          </w:tcPr>
          <w:p w14:paraId="2AF62D6E">
            <w:pPr>
              <w:spacing w:after="0" w:line="360" w:lineRule="auto"/>
              <w:rPr>
                <w:rFonts w:hint="eastAsia" w:ascii="宋体" w:hAnsi="宋体" w:eastAsia="宋体" w:cs="宋体"/>
                <w:color w:val="auto"/>
                <w:szCs w:val="21"/>
                <w:highlight w:val="none"/>
              </w:rPr>
            </w:pPr>
          </w:p>
        </w:tc>
      </w:tr>
    </w:tbl>
    <w:p w14:paraId="57766894">
      <w:pPr>
        <w:pStyle w:val="1057"/>
        <w:numPr>
          <w:ilvl w:val="0"/>
          <w:numId w:val="0"/>
        </w:numPr>
        <w:rPr>
          <w:rFonts w:hint="eastAsia" w:ascii="宋体" w:hAnsi="宋体" w:eastAsia="宋体" w:cs="宋体"/>
          <w:b/>
          <w:bCs/>
          <w:color w:val="auto"/>
          <w:kern w:val="2"/>
          <w:sz w:val="28"/>
          <w:szCs w:val="28"/>
          <w:highlight w:val="none"/>
          <w:lang w:val="en-US" w:eastAsia="zh-CN" w:bidi="ar-SA"/>
        </w:rPr>
      </w:pPr>
    </w:p>
    <w:p w14:paraId="0BCF28C0">
      <w:pPr>
        <w:pStyle w:val="1057"/>
        <w:numPr>
          <w:ilvl w:val="0"/>
          <w:numId w:val="0"/>
        </w:numP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附件4 承包人主要管理人员表</w:t>
      </w:r>
      <w:bookmarkEnd w:id="1681"/>
      <w:bookmarkEnd w:id="1682"/>
      <w:bookmarkEnd w:id="1683"/>
    </w:p>
    <w:tbl>
      <w:tblPr>
        <w:tblStyle w:val="88"/>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0E764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35" w:hRule="atLeast"/>
          <w:jc w:val="center"/>
        </w:trPr>
        <w:tc>
          <w:tcPr>
            <w:tcW w:w="1505" w:type="dxa"/>
            <w:tcBorders>
              <w:top w:val="single" w:color="auto" w:sz="12" w:space="0"/>
              <w:bottom w:val="double" w:color="auto" w:sz="6" w:space="0"/>
            </w:tcBorders>
            <w:vAlign w:val="center"/>
          </w:tcPr>
          <w:p w14:paraId="50C7AC8E">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名  称</w:t>
            </w:r>
          </w:p>
        </w:tc>
        <w:tc>
          <w:tcPr>
            <w:tcW w:w="1418" w:type="dxa"/>
            <w:tcBorders>
              <w:top w:val="single" w:color="auto" w:sz="12" w:space="0"/>
              <w:bottom w:val="double" w:color="auto" w:sz="6" w:space="0"/>
            </w:tcBorders>
            <w:vAlign w:val="center"/>
          </w:tcPr>
          <w:p w14:paraId="1A09B0C4">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姓名</w:t>
            </w:r>
          </w:p>
        </w:tc>
        <w:tc>
          <w:tcPr>
            <w:tcW w:w="1134" w:type="dxa"/>
            <w:tcBorders>
              <w:top w:val="single" w:color="auto" w:sz="12" w:space="0"/>
              <w:bottom w:val="double" w:color="auto" w:sz="6" w:space="0"/>
            </w:tcBorders>
            <w:vAlign w:val="center"/>
          </w:tcPr>
          <w:p w14:paraId="0783B8C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职务</w:t>
            </w:r>
          </w:p>
        </w:tc>
        <w:tc>
          <w:tcPr>
            <w:tcW w:w="1134" w:type="dxa"/>
            <w:tcBorders>
              <w:top w:val="single" w:color="auto" w:sz="12" w:space="0"/>
              <w:bottom w:val="double" w:color="auto" w:sz="6" w:space="0"/>
            </w:tcBorders>
            <w:vAlign w:val="center"/>
          </w:tcPr>
          <w:p w14:paraId="71F39F00">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职称</w:t>
            </w:r>
          </w:p>
        </w:tc>
        <w:tc>
          <w:tcPr>
            <w:tcW w:w="3896" w:type="dxa"/>
            <w:tcBorders>
              <w:top w:val="single" w:color="auto" w:sz="12" w:space="0"/>
              <w:bottom w:val="double" w:color="auto" w:sz="6" w:space="0"/>
            </w:tcBorders>
            <w:vAlign w:val="center"/>
          </w:tcPr>
          <w:p w14:paraId="45A3DB9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主要资历、经验及承担过的项目</w:t>
            </w:r>
          </w:p>
        </w:tc>
      </w:tr>
      <w:tr w14:paraId="2BC643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1" w:hRule="atLeast"/>
          <w:jc w:val="center"/>
        </w:trPr>
        <w:tc>
          <w:tcPr>
            <w:tcW w:w="9087" w:type="dxa"/>
            <w:gridSpan w:val="5"/>
            <w:tcBorders>
              <w:top w:val="double" w:color="auto" w:sz="6" w:space="0"/>
              <w:bottom w:val="single" w:color="auto" w:sz="6" w:space="0"/>
            </w:tcBorders>
            <w:vAlign w:val="center"/>
          </w:tcPr>
          <w:p w14:paraId="673D6196">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一、总部人员</w:t>
            </w:r>
          </w:p>
        </w:tc>
      </w:tr>
      <w:tr w14:paraId="215FC1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60D6843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项目主管</w:t>
            </w:r>
          </w:p>
        </w:tc>
        <w:tc>
          <w:tcPr>
            <w:tcW w:w="1418" w:type="dxa"/>
            <w:tcBorders>
              <w:top w:val="nil"/>
            </w:tcBorders>
            <w:vAlign w:val="center"/>
          </w:tcPr>
          <w:p w14:paraId="69D4D76E">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tcBorders>
              <w:top w:val="nil"/>
            </w:tcBorders>
            <w:vAlign w:val="center"/>
          </w:tcPr>
          <w:p w14:paraId="6DACFC79">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tcBorders>
              <w:top w:val="nil"/>
            </w:tcBorders>
            <w:vAlign w:val="center"/>
          </w:tcPr>
          <w:p w14:paraId="63332944">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3896" w:type="dxa"/>
            <w:tcBorders>
              <w:top w:val="nil"/>
            </w:tcBorders>
            <w:vAlign w:val="center"/>
          </w:tcPr>
          <w:p w14:paraId="7AA43B87">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r>
      <w:tr w14:paraId="5B2E2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vAlign w:val="center"/>
          </w:tcPr>
          <w:p w14:paraId="72F8A4F8">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418" w:type="dxa"/>
            <w:vAlign w:val="center"/>
          </w:tcPr>
          <w:p w14:paraId="169173E0">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vAlign w:val="center"/>
          </w:tcPr>
          <w:p w14:paraId="140EC260">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vAlign w:val="center"/>
          </w:tcPr>
          <w:p w14:paraId="27F98743">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3896" w:type="dxa"/>
            <w:vAlign w:val="center"/>
          </w:tcPr>
          <w:p w14:paraId="5D98EDA8">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r>
      <w:tr w14:paraId="10BB8E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328AFCB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其他人员</w:t>
            </w:r>
          </w:p>
        </w:tc>
        <w:tc>
          <w:tcPr>
            <w:tcW w:w="1418" w:type="dxa"/>
            <w:vAlign w:val="center"/>
          </w:tcPr>
          <w:p w14:paraId="3B185A95">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vAlign w:val="center"/>
          </w:tcPr>
          <w:p w14:paraId="6425A7B0">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vAlign w:val="center"/>
          </w:tcPr>
          <w:p w14:paraId="796C848D">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3896" w:type="dxa"/>
            <w:vAlign w:val="center"/>
          </w:tcPr>
          <w:p w14:paraId="23A8B1F8">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r>
      <w:tr w14:paraId="09D14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77F4FEF0">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418" w:type="dxa"/>
            <w:vAlign w:val="center"/>
          </w:tcPr>
          <w:p w14:paraId="19DF18F2">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vAlign w:val="center"/>
          </w:tcPr>
          <w:p w14:paraId="679DA862">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1134" w:type="dxa"/>
            <w:vAlign w:val="center"/>
          </w:tcPr>
          <w:p w14:paraId="58E9EB0F">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c>
          <w:tcPr>
            <w:tcW w:w="3896" w:type="dxa"/>
            <w:vAlign w:val="center"/>
          </w:tcPr>
          <w:p w14:paraId="4E56BF02">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p>
        </w:tc>
      </w:tr>
      <w:tr w14:paraId="2185D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9087" w:type="dxa"/>
            <w:gridSpan w:val="5"/>
            <w:tcBorders>
              <w:top w:val="single" w:color="auto" w:sz="6" w:space="0"/>
              <w:bottom w:val="single" w:color="auto" w:sz="6" w:space="0"/>
            </w:tcBorders>
            <w:vAlign w:val="center"/>
          </w:tcPr>
          <w:p w14:paraId="09D1EC4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二、现场人员</w:t>
            </w:r>
          </w:p>
        </w:tc>
      </w:tr>
      <w:tr w14:paraId="243F5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2BAF4823">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工程总承包</w:t>
            </w:r>
          </w:p>
          <w:p w14:paraId="565C5FB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项目经理</w:t>
            </w:r>
          </w:p>
        </w:tc>
        <w:tc>
          <w:tcPr>
            <w:tcW w:w="1418" w:type="dxa"/>
            <w:vAlign w:val="center"/>
          </w:tcPr>
          <w:p w14:paraId="029EF06D">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15B75119">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14F5BCD5">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51EC6E78">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p w14:paraId="09BB391B">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175FF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49E29B2A">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项目副经理</w:t>
            </w:r>
          </w:p>
        </w:tc>
        <w:tc>
          <w:tcPr>
            <w:tcW w:w="1418" w:type="dxa"/>
            <w:vAlign w:val="center"/>
          </w:tcPr>
          <w:p w14:paraId="09E67CDA">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0DF94BD8">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5B5D03CD">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68A0D9A0">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45D32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2C442362">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设计负责人</w:t>
            </w:r>
          </w:p>
        </w:tc>
        <w:tc>
          <w:tcPr>
            <w:tcW w:w="1418" w:type="dxa"/>
            <w:vAlign w:val="center"/>
          </w:tcPr>
          <w:p w14:paraId="151814EE">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2C14A1A6">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4216D3F7">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0EFE9487">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7FAB6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36231FD1">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采购负责人</w:t>
            </w:r>
          </w:p>
        </w:tc>
        <w:tc>
          <w:tcPr>
            <w:tcW w:w="1418" w:type="dxa"/>
            <w:vAlign w:val="center"/>
          </w:tcPr>
          <w:p w14:paraId="1B570BE0">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6D2A2563">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61F8F812">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780FC25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084177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C9DB634">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施工负责人</w:t>
            </w:r>
          </w:p>
        </w:tc>
        <w:tc>
          <w:tcPr>
            <w:tcW w:w="1418" w:type="dxa"/>
            <w:vAlign w:val="center"/>
          </w:tcPr>
          <w:p w14:paraId="1C864351">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3B1EA3C9">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29A39877">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586D94D7">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7E741A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270A02ED">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技术负责人</w:t>
            </w:r>
          </w:p>
        </w:tc>
        <w:tc>
          <w:tcPr>
            <w:tcW w:w="1418" w:type="dxa"/>
            <w:vAlign w:val="center"/>
          </w:tcPr>
          <w:p w14:paraId="560D1BC3">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35EF43BA">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084C6389">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735113ED">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654781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5E29B41E">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造价管理</w:t>
            </w:r>
          </w:p>
        </w:tc>
        <w:tc>
          <w:tcPr>
            <w:tcW w:w="1418" w:type="dxa"/>
            <w:vAlign w:val="center"/>
          </w:tcPr>
          <w:p w14:paraId="01DDED3B">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5C5A4D6C">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09EF080E">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2DD7225E">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1FE26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E6853DA">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质量管理</w:t>
            </w:r>
          </w:p>
        </w:tc>
        <w:tc>
          <w:tcPr>
            <w:tcW w:w="1418" w:type="dxa"/>
            <w:vAlign w:val="center"/>
          </w:tcPr>
          <w:p w14:paraId="39BE646B">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570BBD53">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6E65822B">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5B52F9B0">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39CF1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505" w:type="dxa"/>
            <w:tcBorders>
              <w:top w:val="single" w:color="auto" w:sz="6" w:space="0"/>
              <w:bottom w:val="single" w:color="auto" w:sz="6" w:space="0"/>
            </w:tcBorders>
            <w:vAlign w:val="center"/>
          </w:tcPr>
          <w:p w14:paraId="5DC3BD3B">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计划管理</w:t>
            </w:r>
          </w:p>
        </w:tc>
        <w:tc>
          <w:tcPr>
            <w:tcW w:w="1418" w:type="dxa"/>
            <w:vAlign w:val="center"/>
          </w:tcPr>
          <w:p w14:paraId="5426FBE6">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0EC3BB9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77B8A0B1">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39CCF82C">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5484F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362FD76">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安全管理</w:t>
            </w:r>
          </w:p>
        </w:tc>
        <w:tc>
          <w:tcPr>
            <w:tcW w:w="1418" w:type="dxa"/>
            <w:vAlign w:val="center"/>
          </w:tcPr>
          <w:p w14:paraId="2370D5F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271F3A8B">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0038DF1A">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407E92B0">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0F980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ACA3D04">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环境管理</w:t>
            </w:r>
          </w:p>
        </w:tc>
        <w:tc>
          <w:tcPr>
            <w:tcW w:w="1418" w:type="dxa"/>
            <w:vAlign w:val="center"/>
          </w:tcPr>
          <w:p w14:paraId="5FCE2A62">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0AFBA1B9">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73AD001D">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2F4D87C9">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70FDE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vAlign w:val="center"/>
          </w:tcPr>
          <w:p w14:paraId="1C09C323">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其他人员</w:t>
            </w:r>
          </w:p>
        </w:tc>
        <w:tc>
          <w:tcPr>
            <w:tcW w:w="1418" w:type="dxa"/>
            <w:vAlign w:val="center"/>
          </w:tcPr>
          <w:p w14:paraId="65B186DA">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1F5ED97E">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21105151">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77991AE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60FC46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620D5C18">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418" w:type="dxa"/>
            <w:tcBorders>
              <w:bottom w:val="nil"/>
            </w:tcBorders>
            <w:vAlign w:val="center"/>
          </w:tcPr>
          <w:p w14:paraId="4B5F4758">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tcBorders>
              <w:bottom w:val="nil"/>
            </w:tcBorders>
            <w:vAlign w:val="center"/>
          </w:tcPr>
          <w:p w14:paraId="4FF1E6E8">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tcBorders>
              <w:bottom w:val="nil"/>
            </w:tcBorders>
            <w:vAlign w:val="center"/>
          </w:tcPr>
          <w:p w14:paraId="4E649F8F">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tcBorders>
              <w:bottom w:val="nil"/>
            </w:tcBorders>
            <w:vAlign w:val="center"/>
          </w:tcPr>
          <w:p w14:paraId="36B4EE25">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08E36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35BDFA11">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418" w:type="dxa"/>
            <w:vAlign w:val="center"/>
          </w:tcPr>
          <w:p w14:paraId="46985629">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7CF55D1D">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2A3E8F3E">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69464546">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50FF4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1749946F">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418" w:type="dxa"/>
            <w:vAlign w:val="center"/>
          </w:tcPr>
          <w:p w14:paraId="7F2AD3F5">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35EC1B5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19628038">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4F7A72A3">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20058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5B5A9B9F">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418" w:type="dxa"/>
            <w:vAlign w:val="center"/>
          </w:tcPr>
          <w:p w14:paraId="22FF787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5944AFD3">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1134" w:type="dxa"/>
            <w:vAlign w:val="center"/>
          </w:tcPr>
          <w:p w14:paraId="26F2D964">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c>
          <w:tcPr>
            <w:tcW w:w="3896" w:type="dxa"/>
            <w:vAlign w:val="center"/>
          </w:tcPr>
          <w:p w14:paraId="02EFB9C5">
            <w:pPr>
              <w:pStyle w:val="34"/>
              <w:wordWrap/>
              <w:topLinePunct w:val="0"/>
              <w:spacing w:after="0" w:afterLines="0" w:line="360" w:lineRule="auto"/>
              <w:ind w:firstLine="420"/>
              <w:jc w:val="center"/>
              <w:rPr>
                <w:rFonts w:hint="eastAsia" w:ascii="宋体" w:hAnsi="宋体" w:eastAsia="宋体" w:cs="宋体"/>
                <w:color w:val="auto"/>
                <w:kern w:val="0"/>
                <w:sz w:val="21"/>
                <w:szCs w:val="21"/>
                <w:highlight w:val="none"/>
                <w:lang w:val="en-US" w:eastAsia="zh-CN"/>
              </w:rPr>
            </w:pPr>
          </w:p>
        </w:tc>
      </w:tr>
      <w:tr w14:paraId="32646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bottom w:val="single" w:color="auto" w:sz="12" w:space="0"/>
            </w:tcBorders>
            <w:vAlign w:val="center"/>
          </w:tcPr>
          <w:p w14:paraId="43D743E7">
            <w:pPr>
              <w:pStyle w:val="34"/>
              <w:wordWrap/>
              <w:topLinePunct w:val="0"/>
              <w:spacing w:line="360" w:lineRule="auto"/>
              <w:jc w:val="center"/>
              <w:rPr>
                <w:rFonts w:hint="eastAsia" w:ascii="宋体" w:hAnsi="宋体" w:eastAsia="宋体" w:cs="宋体"/>
                <w:color w:val="auto"/>
                <w:kern w:val="0"/>
                <w:sz w:val="21"/>
                <w:szCs w:val="21"/>
                <w:highlight w:val="none"/>
                <w:lang w:val="en-US" w:eastAsia="zh-CN"/>
              </w:rPr>
            </w:pPr>
          </w:p>
        </w:tc>
        <w:tc>
          <w:tcPr>
            <w:tcW w:w="1418" w:type="dxa"/>
            <w:tcBorders>
              <w:bottom w:val="single" w:color="auto" w:sz="12" w:space="0"/>
            </w:tcBorders>
            <w:vAlign w:val="center"/>
          </w:tcPr>
          <w:p w14:paraId="2D906781">
            <w:pPr>
              <w:pStyle w:val="34"/>
              <w:wordWrap/>
              <w:topLinePunct w:val="0"/>
              <w:spacing w:line="360" w:lineRule="auto"/>
              <w:jc w:val="center"/>
              <w:rPr>
                <w:rFonts w:hint="eastAsia" w:ascii="宋体" w:hAnsi="宋体" w:eastAsia="宋体" w:cs="宋体"/>
                <w:color w:val="auto"/>
                <w:kern w:val="0"/>
                <w:sz w:val="21"/>
                <w:szCs w:val="21"/>
                <w:highlight w:val="none"/>
                <w:lang w:val="en-US" w:eastAsia="zh-CN"/>
              </w:rPr>
            </w:pPr>
          </w:p>
        </w:tc>
        <w:tc>
          <w:tcPr>
            <w:tcW w:w="1134" w:type="dxa"/>
            <w:tcBorders>
              <w:bottom w:val="single" w:color="auto" w:sz="12" w:space="0"/>
            </w:tcBorders>
            <w:vAlign w:val="center"/>
          </w:tcPr>
          <w:p w14:paraId="7542FFFB">
            <w:pPr>
              <w:pStyle w:val="34"/>
              <w:wordWrap/>
              <w:topLinePunct w:val="0"/>
              <w:spacing w:line="360" w:lineRule="auto"/>
              <w:jc w:val="center"/>
              <w:rPr>
                <w:rFonts w:hint="eastAsia" w:ascii="宋体" w:hAnsi="宋体" w:eastAsia="宋体" w:cs="宋体"/>
                <w:color w:val="auto"/>
                <w:kern w:val="0"/>
                <w:sz w:val="21"/>
                <w:szCs w:val="21"/>
                <w:highlight w:val="none"/>
                <w:lang w:val="en-US" w:eastAsia="zh-CN"/>
              </w:rPr>
            </w:pPr>
          </w:p>
        </w:tc>
        <w:tc>
          <w:tcPr>
            <w:tcW w:w="1134" w:type="dxa"/>
            <w:tcBorders>
              <w:bottom w:val="single" w:color="auto" w:sz="12" w:space="0"/>
            </w:tcBorders>
            <w:vAlign w:val="center"/>
          </w:tcPr>
          <w:p w14:paraId="7A9E7A2D">
            <w:pPr>
              <w:pStyle w:val="34"/>
              <w:wordWrap/>
              <w:topLinePunct w:val="0"/>
              <w:spacing w:line="360" w:lineRule="auto"/>
              <w:jc w:val="center"/>
              <w:rPr>
                <w:rFonts w:hint="eastAsia" w:ascii="宋体" w:hAnsi="宋体" w:eastAsia="宋体" w:cs="宋体"/>
                <w:color w:val="auto"/>
                <w:kern w:val="0"/>
                <w:sz w:val="21"/>
                <w:szCs w:val="21"/>
                <w:highlight w:val="none"/>
                <w:lang w:val="en-US" w:eastAsia="zh-CN"/>
              </w:rPr>
            </w:pPr>
          </w:p>
        </w:tc>
        <w:tc>
          <w:tcPr>
            <w:tcW w:w="3896" w:type="dxa"/>
            <w:tcBorders>
              <w:bottom w:val="single" w:color="auto" w:sz="12" w:space="0"/>
            </w:tcBorders>
            <w:vAlign w:val="center"/>
          </w:tcPr>
          <w:p w14:paraId="2360346A">
            <w:pPr>
              <w:pStyle w:val="34"/>
              <w:wordWrap/>
              <w:topLinePunct w:val="0"/>
              <w:spacing w:line="360" w:lineRule="auto"/>
              <w:jc w:val="center"/>
              <w:rPr>
                <w:rFonts w:hint="eastAsia" w:ascii="宋体" w:hAnsi="宋体" w:eastAsia="宋体" w:cs="宋体"/>
                <w:color w:val="auto"/>
                <w:kern w:val="0"/>
                <w:sz w:val="21"/>
                <w:szCs w:val="21"/>
                <w:highlight w:val="none"/>
                <w:lang w:val="en-US" w:eastAsia="zh-CN"/>
              </w:rPr>
            </w:pPr>
          </w:p>
        </w:tc>
      </w:tr>
    </w:tbl>
    <w:p w14:paraId="36727578">
      <w:pPr>
        <w:wordWrap/>
        <w:topLinePunct w:val="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55F98CE">
      <w:pPr>
        <w:pStyle w:val="1057"/>
        <w:numPr>
          <w:ilvl w:val="0"/>
          <w:numId w:val="0"/>
        </w:numPr>
        <w:rPr>
          <w:rFonts w:hint="eastAsia" w:ascii="宋体" w:hAnsi="宋体" w:eastAsia="宋体" w:cs="宋体"/>
          <w:b/>
          <w:bCs/>
          <w:color w:val="auto"/>
          <w:kern w:val="2"/>
          <w:sz w:val="28"/>
          <w:szCs w:val="28"/>
          <w:highlight w:val="none"/>
          <w:lang w:val="en-US" w:eastAsia="zh-CN" w:bidi="ar-SA"/>
        </w:rPr>
      </w:pPr>
      <w:bookmarkStart w:id="1684" w:name="_Toc32141"/>
      <w:bookmarkStart w:id="1685" w:name="_Toc54862357"/>
      <w:r>
        <w:rPr>
          <w:rFonts w:hint="eastAsia" w:ascii="宋体" w:hAnsi="宋体" w:eastAsia="宋体" w:cs="宋体"/>
          <w:b/>
          <w:bCs/>
          <w:color w:val="auto"/>
          <w:kern w:val="2"/>
          <w:sz w:val="28"/>
          <w:szCs w:val="28"/>
          <w:highlight w:val="none"/>
          <w:lang w:val="en-US" w:eastAsia="zh-CN" w:bidi="ar-SA"/>
        </w:rPr>
        <w:t>附件5 价格指数权重表</w:t>
      </w:r>
      <w:bookmarkEnd w:id="1684"/>
      <w:bookmarkEnd w:id="1685"/>
    </w:p>
    <w:tbl>
      <w:tblPr>
        <w:tblStyle w:val="8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6767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829" w:type="dxa"/>
            <w:vMerge w:val="restart"/>
            <w:shd w:val="clear" w:color="auto" w:fill="auto"/>
            <w:vAlign w:val="center"/>
          </w:tcPr>
          <w:p w14:paraId="495EA524">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序号</w:t>
            </w:r>
          </w:p>
        </w:tc>
        <w:tc>
          <w:tcPr>
            <w:tcW w:w="1460" w:type="dxa"/>
            <w:gridSpan w:val="2"/>
            <w:vMerge w:val="restart"/>
            <w:shd w:val="clear" w:color="auto" w:fill="auto"/>
            <w:vAlign w:val="center"/>
          </w:tcPr>
          <w:p w14:paraId="5474262F">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名称</w:t>
            </w:r>
          </w:p>
        </w:tc>
        <w:tc>
          <w:tcPr>
            <w:tcW w:w="2295" w:type="dxa"/>
            <w:gridSpan w:val="2"/>
            <w:shd w:val="clear" w:color="auto" w:fill="auto"/>
            <w:vAlign w:val="center"/>
          </w:tcPr>
          <w:p w14:paraId="572CD685">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变更权重B</w:t>
            </w:r>
          </w:p>
        </w:tc>
        <w:tc>
          <w:tcPr>
            <w:tcW w:w="2445" w:type="dxa"/>
            <w:gridSpan w:val="2"/>
            <w:shd w:val="clear" w:color="auto" w:fill="auto"/>
            <w:vAlign w:val="center"/>
          </w:tcPr>
          <w:p w14:paraId="67888BB2">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基本价格指数F0</w:t>
            </w:r>
          </w:p>
        </w:tc>
        <w:tc>
          <w:tcPr>
            <w:tcW w:w="1380" w:type="dxa"/>
            <w:shd w:val="clear" w:color="auto" w:fill="auto"/>
            <w:vAlign w:val="center"/>
          </w:tcPr>
          <w:p w14:paraId="5F76706D">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备注</w:t>
            </w:r>
          </w:p>
        </w:tc>
      </w:tr>
      <w:tr w14:paraId="627E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29" w:type="dxa"/>
            <w:vMerge w:val="continue"/>
            <w:shd w:val="clear" w:color="auto" w:fill="auto"/>
            <w:vAlign w:val="center"/>
          </w:tcPr>
          <w:p w14:paraId="01A6F005">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460" w:type="dxa"/>
            <w:gridSpan w:val="2"/>
            <w:vMerge w:val="continue"/>
            <w:shd w:val="clear" w:color="auto" w:fill="auto"/>
            <w:vAlign w:val="center"/>
          </w:tcPr>
          <w:p w14:paraId="78B6A6BD">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468A804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代号</w:t>
            </w:r>
          </w:p>
        </w:tc>
        <w:tc>
          <w:tcPr>
            <w:tcW w:w="1080" w:type="dxa"/>
            <w:shd w:val="clear" w:color="auto" w:fill="auto"/>
            <w:vAlign w:val="center"/>
          </w:tcPr>
          <w:p w14:paraId="24DB7498">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权重</w:t>
            </w:r>
          </w:p>
        </w:tc>
        <w:tc>
          <w:tcPr>
            <w:tcW w:w="1215" w:type="dxa"/>
            <w:shd w:val="clear" w:color="auto" w:fill="auto"/>
            <w:vAlign w:val="center"/>
          </w:tcPr>
          <w:p w14:paraId="1B61FB0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代号</w:t>
            </w:r>
          </w:p>
        </w:tc>
        <w:tc>
          <w:tcPr>
            <w:tcW w:w="1230" w:type="dxa"/>
            <w:shd w:val="clear" w:color="auto" w:fill="auto"/>
            <w:vAlign w:val="center"/>
          </w:tcPr>
          <w:p w14:paraId="56603AE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指数</w:t>
            </w:r>
          </w:p>
        </w:tc>
        <w:tc>
          <w:tcPr>
            <w:tcW w:w="1380" w:type="dxa"/>
            <w:shd w:val="clear" w:color="auto" w:fill="auto"/>
            <w:vAlign w:val="center"/>
          </w:tcPr>
          <w:p w14:paraId="57469074">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2D04A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shd w:val="clear" w:color="auto" w:fill="auto"/>
            <w:vAlign w:val="center"/>
          </w:tcPr>
          <w:p w14:paraId="2E477EC0">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584" w:type="dxa"/>
            <w:vMerge w:val="restart"/>
            <w:shd w:val="clear" w:color="auto" w:fill="auto"/>
            <w:vAlign w:val="center"/>
          </w:tcPr>
          <w:p w14:paraId="22A42C77">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变</w:t>
            </w:r>
          </w:p>
          <w:p w14:paraId="458AFEF2">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值</w:t>
            </w:r>
          </w:p>
          <w:p w14:paraId="52A5A9A5">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部</w:t>
            </w:r>
          </w:p>
          <w:p w14:paraId="4D71AF36">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分</w:t>
            </w:r>
          </w:p>
        </w:tc>
        <w:tc>
          <w:tcPr>
            <w:tcW w:w="876" w:type="dxa"/>
            <w:shd w:val="clear" w:color="auto" w:fill="auto"/>
            <w:vAlign w:val="center"/>
          </w:tcPr>
          <w:p w14:paraId="1DE1C372">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1C37FE6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B1</w:t>
            </w:r>
          </w:p>
        </w:tc>
        <w:tc>
          <w:tcPr>
            <w:tcW w:w="1080" w:type="dxa"/>
            <w:shd w:val="clear" w:color="auto" w:fill="auto"/>
            <w:vAlign w:val="center"/>
          </w:tcPr>
          <w:p w14:paraId="2A056363">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646A9B6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F01</w:t>
            </w:r>
          </w:p>
        </w:tc>
        <w:tc>
          <w:tcPr>
            <w:tcW w:w="1230" w:type="dxa"/>
            <w:shd w:val="clear" w:color="auto" w:fill="auto"/>
            <w:vAlign w:val="center"/>
          </w:tcPr>
          <w:p w14:paraId="2AC59368">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6AC43E3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35D6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shd w:val="clear" w:color="auto" w:fill="auto"/>
            <w:vAlign w:val="center"/>
          </w:tcPr>
          <w:p w14:paraId="0521709E">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584" w:type="dxa"/>
            <w:vMerge w:val="continue"/>
            <w:shd w:val="clear" w:color="auto" w:fill="auto"/>
            <w:vAlign w:val="center"/>
          </w:tcPr>
          <w:p w14:paraId="55676EF8">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876" w:type="dxa"/>
            <w:shd w:val="clear" w:color="auto" w:fill="auto"/>
            <w:vAlign w:val="center"/>
          </w:tcPr>
          <w:p w14:paraId="77F5E414">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33BABC55">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B2</w:t>
            </w:r>
          </w:p>
        </w:tc>
        <w:tc>
          <w:tcPr>
            <w:tcW w:w="1080" w:type="dxa"/>
            <w:shd w:val="clear" w:color="auto" w:fill="auto"/>
            <w:vAlign w:val="center"/>
          </w:tcPr>
          <w:p w14:paraId="1E564EE3">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1BBC4B34">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F02</w:t>
            </w:r>
          </w:p>
        </w:tc>
        <w:tc>
          <w:tcPr>
            <w:tcW w:w="1230" w:type="dxa"/>
            <w:shd w:val="clear" w:color="auto" w:fill="auto"/>
            <w:vAlign w:val="center"/>
          </w:tcPr>
          <w:p w14:paraId="2E9FD4D0">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77BD9B5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45EF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shd w:val="clear" w:color="auto" w:fill="auto"/>
            <w:vAlign w:val="center"/>
          </w:tcPr>
          <w:p w14:paraId="7446E90A">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584" w:type="dxa"/>
            <w:vMerge w:val="continue"/>
            <w:shd w:val="clear" w:color="auto" w:fill="auto"/>
            <w:vAlign w:val="center"/>
          </w:tcPr>
          <w:p w14:paraId="61D35D86">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876" w:type="dxa"/>
            <w:shd w:val="clear" w:color="auto" w:fill="auto"/>
            <w:vAlign w:val="center"/>
          </w:tcPr>
          <w:p w14:paraId="085C3776">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0FB8B6E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B3</w:t>
            </w:r>
          </w:p>
        </w:tc>
        <w:tc>
          <w:tcPr>
            <w:tcW w:w="1080" w:type="dxa"/>
            <w:shd w:val="clear" w:color="auto" w:fill="auto"/>
            <w:vAlign w:val="center"/>
          </w:tcPr>
          <w:p w14:paraId="0DF887DA">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4CCD33A6">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F03</w:t>
            </w:r>
          </w:p>
        </w:tc>
        <w:tc>
          <w:tcPr>
            <w:tcW w:w="1230" w:type="dxa"/>
            <w:shd w:val="clear" w:color="auto" w:fill="auto"/>
            <w:vAlign w:val="center"/>
          </w:tcPr>
          <w:p w14:paraId="312EFEE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646A93F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5A9C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shd w:val="clear" w:color="auto" w:fill="auto"/>
            <w:vAlign w:val="center"/>
          </w:tcPr>
          <w:p w14:paraId="404ABB10">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584" w:type="dxa"/>
            <w:vMerge w:val="continue"/>
            <w:shd w:val="clear" w:color="auto" w:fill="auto"/>
            <w:vAlign w:val="center"/>
          </w:tcPr>
          <w:p w14:paraId="444B999A">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876" w:type="dxa"/>
            <w:shd w:val="clear" w:color="auto" w:fill="auto"/>
            <w:vAlign w:val="center"/>
          </w:tcPr>
          <w:p w14:paraId="0761EE22">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33717C67">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B4</w:t>
            </w:r>
          </w:p>
        </w:tc>
        <w:tc>
          <w:tcPr>
            <w:tcW w:w="1080" w:type="dxa"/>
            <w:shd w:val="clear" w:color="auto" w:fill="auto"/>
            <w:vAlign w:val="center"/>
          </w:tcPr>
          <w:p w14:paraId="715905D8">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5A9BDF78">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F04</w:t>
            </w:r>
          </w:p>
        </w:tc>
        <w:tc>
          <w:tcPr>
            <w:tcW w:w="1230" w:type="dxa"/>
            <w:shd w:val="clear" w:color="auto" w:fill="auto"/>
            <w:vAlign w:val="center"/>
          </w:tcPr>
          <w:p w14:paraId="03A0D865">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746374DB">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0BA0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shd w:val="clear" w:color="auto" w:fill="auto"/>
            <w:vAlign w:val="center"/>
          </w:tcPr>
          <w:p w14:paraId="3FFA2AE4">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584" w:type="dxa"/>
            <w:vMerge w:val="continue"/>
            <w:shd w:val="clear" w:color="auto" w:fill="auto"/>
            <w:vAlign w:val="center"/>
          </w:tcPr>
          <w:p w14:paraId="12A0C561">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876" w:type="dxa"/>
            <w:shd w:val="clear" w:color="auto" w:fill="auto"/>
            <w:vAlign w:val="center"/>
          </w:tcPr>
          <w:p w14:paraId="41F0F26B">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6EBF13A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080" w:type="dxa"/>
            <w:shd w:val="clear" w:color="auto" w:fill="auto"/>
            <w:vAlign w:val="center"/>
          </w:tcPr>
          <w:p w14:paraId="184AC3D0">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11AA9B0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30" w:type="dxa"/>
            <w:shd w:val="clear" w:color="auto" w:fill="auto"/>
            <w:vAlign w:val="center"/>
          </w:tcPr>
          <w:p w14:paraId="3253550A">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154B0CA0">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18929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shd w:val="clear" w:color="auto" w:fill="auto"/>
            <w:vAlign w:val="center"/>
          </w:tcPr>
          <w:p w14:paraId="6FB6FAFB">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584" w:type="dxa"/>
            <w:vMerge w:val="continue"/>
            <w:shd w:val="clear" w:color="auto" w:fill="auto"/>
            <w:vAlign w:val="center"/>
          </w:tcPr>
          <w:p w14:paraId="0F8CA9B8">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876" w:type="dxa"/>
            <w:shd w:val="clear" w:color="auto" w:fill="auto"/>
            <w:vAlign w:val="center"/>
          </w:tcPr>
          <w:p w14:paraId="412A0378">
            <w:pPr>
              <w:pStyle w:val="34"/>
              <w:wordWrap/>
              <w:topLinePunct w:val="0"/>
              <w:spacing w:after="0" w:afterLines="0" w:line="36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537C01CA">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080" w:type="dxa"/>
            <w:shd w:val="clear" w:color="auto" w:fill="auto"/>
            <w:vAlign w:val="center"/>
          </w:tcPr>
          <w:p w14:paraId="5E40F3BF">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0A12B45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30" w:type="dxa"/>
            <w:shd w:val="clear" w:color="auto" w:fill="auto"/>
            <w:vAlign w:val="center"/>
          </w:tcPr>
          <w:p w14:paraId="1D435C38">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1F3D2F45">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29A08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289" w:type="dxa"/>
            <w:gridSpan w:val="3"/>
            <w:shd w:val="clear" w:color="auto" w:fill="auto"/>
            <w:vAlign w:val="center"/>
          </w:tcPr>
          <w:p w14:paraId="7FF1B1CA">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定值部分权重A</w:t>
            </w:r>
          </w:p>
        </w:tc>
        <w:tc>
          <w:tcPr>
            <w:tcW w:w="1215" w:type="dxa"/>
            <w:shd w:val="clear" w:color="auto" w:fill="auto"/>
            <w:vAlign w:val="center"/>
          </w:tcPr>
          <w:p w14:paraId="3E5175D0">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080" w:type="dxa"/>
            <w:shd w:val="clear" w:color="auto" w:fill="auto"/>
            <w:vAlign w:val="center"/>
          </w:tcPr>
          <w:p w14:paraId="4F2F5F9C">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15" w:type="dxa"/>
            <w:shd w:val="clear" w:color="auto" w:fill="auto"/>
            <w:vAlign w:val="center"/>
          </w:tcPr>
          <w:p w14:paraId="766BB4AB">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230" w:type="dxa"/>
            <w:shd w:val="clear" w:color="auto" w:fill="auto"/>
            <w:vAlign w:val="center"/>
          </w:tcPr>
          <w:p w14:paraId="796690F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7D8A94A5">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r w14:paraId="1B85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289" w:type="dxa"/>
            <w:gridSpan w:val="3"/>
            <w:shd w:val="clear" w:color="auto" w:fill="auto"/>
            <w:vAlign w:val="center"/>
          </w:tcPr>
          <w:p w14:paraId="6F70BBA4">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合计</w:t>
            </w:r>
          </w:p>
        </w:tc>
        <w:tc>
          <w:tcPr>
            <w:tcW w:w="2295" w:type="dxa"/>
            <w:gridSpan w:val="2"/>
            <w:shd w:val="clear" w:color="auto" w:fill="auto"/>
            <w:vAlign w:val="center"/>
          </w:tcPr>
          <w:p w14:paraId="36A11CB6">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2445" w:type="dxa"/>
            <w:gridSpan w:val="2"/>
            <w:shd w:val="clear" w:color="auto" w:fill="auto"/>
            <w:vAlign w:val="center"/>
          </w:tcPr>
          <w:p w14:paraId="5F77AB8E">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c>
          <w:tcPr>
            <w:tcW w:w="1380" w:type="dxa"/>
            <w:shd w:val="clear" w:color="auto" w:fill="auto"/>
            <w:vAlign w:val="center"/>
          </w:tcPr>
          <w:p w14:paraId="437D8199">
            <w:pPr>
              <w:pStyle w:val="34"/>
              <w:wordWrap/>
              <w:topLinePunct w:val="0"/>
              <w:spacing w:after="0" w:afterLines="0" w:line="240" w:lineRule="auto"/>
              <w:ind w:firstLine="0" w:firstLineChars="0"/>
              <w:jc w:val="center"/>
              <w:rPr>
                <w:rFonts w:hint="eastAsia" w:ascii="宋体" w:hAnsi="宋体" w:eastAsia="宋体" w:cs="宋体"/>
                <w:b w:val="0"/>
                <w:bCs w:val="0"/>
                <w:color w:val="auto"/>
                <w:kern w:val="2"/>
                <w:sz w:val="24"/>
                <w:szCs w:val="24"/>
                <w:highlight w:val="none"/>
                <w:lang w:val="en-US" w:eastAsia="zh-CN" w:bidi="ar-SA"/>
              </w:rPr>
            </w:pPr>
          </w:p>
        </w:tc>
      </w:tr>
    </w:tbl>
    <w:p w14:paraId="336EA8B1">
      <w:pPr>
        <w:wordWrap/>
        <w:topLinePunct w:val="0"/>
        <w:rPr>
          <w:rFonts w:hint="eastAsia" w:ascii="宋体" w:hAnsi="宋体" w:eastAsia="宋体" w:cs="宋体"/>
          <w:color w:val="auto"/>
          <w:highlight w:val="none"/>
        </w:rPr>
      </w:pPr>
    </w:p>
    <w:p w14:paraId="37767F5B">
      <w:pPr>
        <w:wordWrap/>
        <w:topLinePunct w:val="0"/>
        <w:adjustRightInd/>
        <w:snapToGrid/>
        <w:spacing w:after="0" w:afterLines="0" w:line="240" w:lineRule="auto"/>
        <w:ind w:firstLine="0" w:firstLineChars="0"/>
        <w:jc w:val="left"/>
        <w:rPr>
          <w:rFonts w:hint="eastAsia" w:ascii="宋体" w:hAnsi="宋体" w:eastAsia="宋体" w:cs="宋体"/>
          <w:color w:val="auto"/>
          <w:highlight w:val="none"/>
        </w:rPr>
      </w:pPr>
    </w:p>
    <w:p w14:paraId="77B19299">
      <w:pPr>
        <w:jc w:val="center"/>
        <w:rPr>
          <w:rFonts w:hint="eastAsia" w:ascii="宋体" w:hAnsi="宋体" w:eastAsia="宋体" w:cs="宋体"/>
          <w:b/>
          <w:bCs/>
          <w:color w:val="auto"/>
          <w:sz w:val="44"/>
          <w:szCs w:val="44"/>
          <w:highlight w:val="none"/>
        </w:rPr>
      </w:pPr>
    </w:p>
    <w:p w14:paraId="593ADA8D">
      <w:pPr>
        <w:pStyle w:val="28"/>
        <w:rPr>
          <w:rFonts w:hint="eastAsia" w:ascii="宋体" w:hAnsi="宋体" w:eastAsia="宋体" w:cs="宋体"/>
          <w:color w:val="auto"/>
          <w:highlight w:val="none"/>
        </w:rPr>
      </w:pPr>
    </w:p>
    <w:p w14:paraId="1FC7402C">
      <w:pPr>
        <w:spacing w:before="120" w:beforeLines="50" w:after="120" w:afterLines="50"/>
        <w:rPr>
          <w:rFonts w:hint="eastAsia" w:ascii="宋体" w:hAnsi="宋体" w:eastAsia="宋体" w:cs="宋体"/>
          <w:b/>
          <w:bCs/>
          <w:color w:val="auto"/>
          <w:sz w:val="24"/>
          <w:szCs w:val="24"/>
          <w:highlight w:val="none"/>
        </w:rPr>
      </w:pPr>
    </w:p>
    <w:p w14:paraId="5EF6A06B">
      <w:pPr>
        <w:spacing w:line="360" w:lineRule="auto"/>
        <w:ind w:firstLine="883" w:firstLineChars="20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br w:type="page"/>
      </w:r>
    </w:p>
    <w:p w14:paraId="78C46EC1">
      <w:pPr>
        <w:pStyle w:val="1057"/>
        <w:numPr>
          <w:ilvl w:val="0"/>
          <w:numId w:val="0"/>
        </w:numPr>
        <w:rPr>
          <w:rFonts w:hint="eastAsia" w:ascii="宋体" w:hAnsi="宋体" w:eastAsia="宋体" w:cs="宋体"/>
          <w:b/>
          <w:bCs/>
          <w:color w:val="auto"/>
          <w:kern w:val="2"/>
          <w:sz w:val="28"/>
          <w:szCs w:val="28"/>
          <w:highlight w:val="none"/>
          <w:lang w:val="en-US" w:eastAsia="zh-CN" w:bidi="ar-SA"/>
        </w:rPr>
      </w:pPr>
      <w:bookmarkStart w:id="1686" w:name="_Toc12471_WPSOffice_Level2"/>
      <w:bookmarkStart w:id="1687" w:name="_Toc23693_WPSOffice_Level2"/>
      <w:r>
        <w:rPr>
          <w:rFonts w:hint="eastAsia" w:ascii="宋体" w:hAnsi="宋体" w:eastAsia="宋体" w:cs="宋体"/>
          <w:b/>
          <w:bCs/>
          <w:color w:val="auto"/>
          <w:kern w:val="2"/>
          <w:sz w:val="28"/>
          <w:szCs w:val="28"/>
          <w:highlight w:val="none"/>
          <w:lang w:val="en-US" w:eastAsia="zh-CN" w:bidi="ar-SA"/>
        </w:rPr>
        <w:t>附件6：安全生产合同</w:t>
      </w:r>
      <w:bookmarkEnd w:id="1686"/>
      <w:bookmarkEnd w:id="1687"/>
    </w:p>
    <w:p w14:paraId="0311EF8C">
      <w:pPr>
        <w:wordWrap/>
        <w:topLinePunct w:val="0"/>
        <w:spacing w:line="360" w:lineRule="auto"/>
        <w:ind w:right="-218" w:rightChars="-104" w:firstLine="600"/>
        <w:rPr>
          <w:rFonts w:hint="eastAsia" w:ascii="宋体" w:hAnsi="宋体" w:eastAsia="宋体" w:cs="宋体"/>
          <w:b/>
          <w:bCs/>
          <w:color w:val="auto"/>
          <w:kern w:val="2"/>
          <w:sz w:val="21"/>
          <w:szCs w:val="21"/>
          <w:highlight w:val="none"/>
          <w:lang w:val="en-US" w:eastAsia="zh-CN" w:bidi="ar-SA"/>
        </w:rPr>
      </w:pPr>
      <w:bookmarkStart w:id="1688" w:name="_Toc18700_WPSOffice_Level2"/>
      <w:bookmarkStart w:id="1689" w:name="_Toc32730_WPSOffice_Level2"/>
      <w:r>
        <w:rPr>
          <w:rFonts w:hint="eastAsia" w:ascii="宋体" w:hAnsi="宋体" w:eastAsia="宋体" w:cs="宋体"/>
          <w:b/>
          <w:bCs/>
          <w:color w:val="auto"/>
          <w:kern w:val="2"/>
          <w:sz w:val="21"/>
          <w:szCs w:val="21"/>
          <w:highlight w:val="none"/>
          <w:lang w:val="en-US" w:eastAsia="zh-CN" w:bidi="ar-SA"/>
        </w:rPr>
        <w:t>安全生产合同</w:t>
      </w:r>
      <w:bookmarkEnd w:id="1688"/>
      <w:bookmarkEnd w:id="1689"/>
    </w:p>
    <w:p w14:paraId="73D8EF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为在施工合同的实施过程中创造安全、高效的施工环境，切实搞好本项目的安全管理工作，本项目雇主（发包人全称）（以下简称“发包人”）与承包人（承包人全称）（以下简称“承包人”）特此签订安全生产合同：</w:t>
      </w:r>
    </w:p>
    <w:p w14:paraId="734C15B4">
      <w:pPr>
        <w:wordWrap/>
        <w:topLinePunct w:val="0"/>
        <w:spacing w:line="360" w:lineRule="auto"/>
        <w:ind w:right="-218" w:rightChars="-104" w:firstLine="600"/>
        <w:rPr>
          <w:rFonts w:hint="eastAsia" w:ascii="宋体" w:hAnsi="宋体" w:eastAsia="宋体" w:cs="宋体"/>
          <w:b/>
          <w:bCs/>
          <w:color w:val="auto"/>
          <w:kern w:val="2"/>
          <w:sz w:val="21"/>
          <w:szCs w:val="21"/>
          <w:highlight w:val="none"/>
          <w:lang w:val="en-US" w:eastAsia="zh-CN" w:bidi="ar-SA"/>
        </w:rPr>
      </w:pPr>
      <w:bookmarkStart w:id="1690" w:name="_Toc14200_WPSOffice_Level2"/>
      <w:bookmarkStart w:id="1691" w:name="_Toc15176_WPSOffice_Level2"/>
      <w:r>
        <w:rPr>
          <w:rFonts w:hint="eastAsia" w:ascii="宋体" w:hAnsi="宋体" w:eastAsia="宋体" w:cs="宋体"/>
          <w:b/>
          <w:bCs/>
          <w:color w:val="auto"/>
          <w:kern w:val="2"/>
          <w:sz w:val="21"/>
          <w:szCs w:val="21"/>
          <w:highlight w:val="none"/>
          <w:lang w:val="en-US" w:eastAsia="zh-CN" w:bidi="ar-SA"/>
        </w:rPr>
        <w:t>一、发包人职责</w:t>
      </w:r>
      <w:bookmarkEnd w:id="1690"/>
      <w:bookmarkEnd w:id="1691"/>
    </w:p>
    <w:p w14:paraId="67CA5AB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1．严格遵守国家有关安全生产的法律法规，认真执行工程承包合同中的有关安全要求。</w:t>
      </w:r>
    </w:p>
    <w:p w14:paraId="7D3C0C8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2．按照“安全第一、预防为主”和坚持“管生产必须管安全”的原则进行安全生产管理，做到生产与安全工作同时计划、布置、检查、总结和评比。</w:t>
      </w:r>
    </w:p>
    <w:p w14:paraId="2F1B67E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3．重要的安全设施必须坚持与主体工程“三同时”的原则，即：同时设计、审批，同时施工，同时验收，投入使用。</w:t>
      </w:r>
    </w:p>
    <w:p w14:paraId="0E162F1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4．定期召开安全生产调度会，及时传达中央及地方有关安全生产的精神。</w:t>
      </w:r>
    </w:p>
    <w:p w14:paraId="62D3DEA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5．组织对承包人施工现场安全生产检查，监督承包人及时处理发现的各种安全隐患。</w:t>
      </w:r>
    </w:p>
    <w:p w14:paraId="67C1B13A">
      <w:pPr>
        <w:wordWrap/>
        <w:topLinePunct w:val="0"/>
        <w:spacing w:line="360" w:lineRule="auto"/>
        <w:ind w:right="-218" w:rightChars="-104" w:firstLine="600"/>
        <w:rPr>
          <w:rFonts w:hint="eastAsia" w:ascii="宋体" w:hAnsi="宋体" w:eastAsia="宋体" w:cs="宋体"/>
          <w:b/>
          <w:bCs/>
          <w:color w:val="auto"/>
          <w:kern w:val="2"/>
          <w:sz w:val="21"/>
          <w:szCs w:val="21"/>
          <w:highlight w:val="none"/>
          <w:lang w:val="en-US" w:eastAsia="zh-CN" w:bidi="ar-SA"/>
        </w:rPr>
      </w:pPr>
      <w:bookmarkStart w:id="1692" w:name="_Toc22937_WPSOffice_Level2"/>
      <w:bookmarkStart w:id="1693" w:name="_Toc21435_WPSOffice_Level2"/>
      <w:r>
        <w:rPr>
          <w:rFonts w:hint="eastAsia" w:ascii="宋体" w:hAnsi="宋体" w:eastAsia="宋体" w:cs="宋体"/>
          <w:b/>
          <w:bCs/>
          <w:color w:val="auto"/>
          <w:kern w:val="2"/>
          <w:sz w:val="21"/>
          <w:szCs w:val="21"/>
          <w:highlight w:val="none"/>
          <w:lang w:val="en-US" w:eastAsia="zh-CN" w:bidi="ar-SA"/>
        </w:rPr>
        <w:t>二、承包人职责</w:t>
      </w:r>
      <w:bookmarkEnd w:id="1692"/>
      <w:bookmarkEnd w:id="1693"/>
    </w:p>
    <w:p w14:paraId="14B88F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1．严格遵守国务院第393号令《建设工程安全生产管理条例》中有关安全生产的规定，认真执行工程承包合同中的有关安全要求。</w:t>
      </w:r>
    </w:p>
    <w:p w14:paraId="7B3BCDA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0AA66B6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6783F3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4．承包人在任何时候都应采取各种合理的预防措施，防止其员工发生任何违法、违禁、暴力或妨碍治安的行为。</w:t>
      </w:r>
    </w:p>
    <w:p w14:paraId="13F49C0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258BD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7B65F61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7．操作人员上岗，必须按规定穿戴防护用品。施工负责人和安全检查员应随时检查劳动防护用品的穿戴情况，不按规定穿戴防护用品的人员不得上岗。</w:t>
      </w:r>
    </w:p>
    <w:p w14:paraId="2EDF5D5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8．所有施工机具设备和高空作业的设备均应定期检查，并有安全员的签字记录，保证其经常处于完好状态；不合格的机具、设备和劳动保护用品严禁使用。</w:t>
      </w:r>
    </w:p>
    <w:p w14:paraId="07556EB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9．施工中采用新技术、新工艺、新设备、新材料时，必须制定相应的安全技术措施，施工现场必须具有相关的安全标志牌。</w:t>
      </w:r>
    </w:p>
    <w:p w14:paraId="247399D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3DD3ADE6">
      <w:pPr>
        <w:wordWrap/>
        <w:topLinePunct w:val="0"/>
        <w:spacing w:line="360" w:lineRule="auto"/>
        <w:ind w:right="-218" w:rightChars="-104" w:firstLine="600"/>
        <w:rPr>
          <w:rFonts w:hint="eastAsia" w:ascii="宋体" w:hAnsi="宋体" w:eastAsia="宋体" w:cs="宋体"/>
          <w:b/>
          <w:bCs/>
          <w:color w:val="auto"/>
          <w:kern w:val="2"/>
          <w:sz w:val="21"/>
          <w:szCs w:val="21"/>
          <w:highlight w:val="none"/>
          <w:lang w:val="en-US" w:eastAsia="zh-CN" w:bidi="ar-SA"/>
        </w:rPr>
      </w:pPr>
      <w:bookmarkStart w:id="1694" w:name="_Toc2827_WPSOffice_Level2"/>
      <w:bookmarkStart w:id="1695" w:name="_Toc24335_WPSOffice_Level2"/>
      <w:r>
        <w:rPr>
          <w:rFonts w:hint="eastAsia" w:ascii="宋体" w:hAnsi="宋体" w:eastAsia="宋体" w:cs="宋体"/>
          <w:b/>
          <w:bCs/>
          <w:color w:val="auto"/>
          <w:kern w:val="2"/>
          <w:sz w:val="21"/>
          <w:szCs w:val="21"/>
          <w:highlight w:val="none"/>
          <w:lang w:val="en-US" w:eastAsia="zh-CN" w:bidi="ar-SA"/>
        </w:rPr>
        <w:t>三、违约责任</w:t>
      </w:r>
      <w:bookmarkEnd w:id="1694"/>
      <w:bookmarkEnd w:id="1695"/>
    </w:p>
    <w:p w14:paraId="115403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如因发包人或承包人违约造成安全事故，将依法追究责任。</w:t>
      </w:r>
    </w:p>
    <w:p w14:paraId="6A4DD4C6">
      <w:pPr>
        <w:wordWrap/>
        <w:topLinePunct w:val="0"/>
        <w:spacing w:line="360" w:lineRule="auto"/>
        <w:ind w:right="-218" w:rightChars="-104" w:firstLine="600"/>
        <w:rPr>
          <w:rFonts w:hint="eastAsia" w:ascii="宋体" w:hAnsi="宋体" w:eastAsia="宋体" w:cs="宋体"/>
          <w:b/>
          <w:bCs/>
          <w:color w:val="auto"/>
          <w:kern w:val="2"/>
          <w:sz w:val="21"/>
          <w:szCs w:val="21"/>
          <w:highlight w:val="none"/>
          <w:lang w:val="en-US" w:eastAsia="zh-CN" w:bidi="ar-SA"/>
        </w:rPr>
      </w:pPr>
      <w:bookmarkStart w:id="1696" w:name="_Toc20282_WPSOffice_Level2"/>
      <w:bookmarkStart w:id="1697" w:name="_Toc24684_WPSOffice_Level2"/>
      <w:r>
        <w:rPr>
          <w:rFonts w:hint="eastAsia" w:ascii="宋体" w:hAnsi="宋体" w:eastAsia="宋体" w:cs="宋体"/>
          <w:b/>
          <w:bCs/>
          <w:color w:val="auto"/>
          <w:kern w:val="2"/>
          <w:sz w:val="21"/>
          <w:szCs w:val="21"/>
          <w:highlight w:val="none"/>
          <w:lang w:val="en-US" w:eastAsia="zh-CN" w:bidi="ar-SA"/>
        </w:rPr>
        <w:t>四、其他</w:t>
      </w:r>
      <w:bookmarkEnd w:id="1696"/>
      <w:bookmarkEnd w:id="1697"/>
    </w:p>
    <w:p w14:paraId="0D6CA77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本《安全生产合同》与《建设项目工程总承包合同》同时签订，合同正本一式份，副本份，合同双方各执正本份，副本份。由双方法定代表人或委托代理人签字盖章后生效，全部工程竣工验收后失效。</w:t>
      </w:r>
    </w:p>
    <w:p w14:paraId="23D03BA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20914C91">
      <w:pPr>
        <w:pStyle w:val="116"/>
        <w:rPr>
          <w:rFonts w:hint="eastAsia" w:ascii="宋体" w:hAnsi="宋体" w:eastAsia="宋体" w:cs="宋体"/>
          <w:b w:val="0"/>
          <w:bCs w:val="0"/>
          <w:color w:val="auto"/>
          <w:kern w:val="2"/>
          <w:sz w:val="21"/>
          <w:szCs w:val="21"/>
          <w:highlight w:val="none"/>
          <w:lang w:val="en-US" w:eastAsia="zh-CN" w:bidi="ar-SA"/>
        </w:rPr>
      </w:pPr>
    </w:p>
    <w:p w14:paraId="7DEA15CA">
      <w:pPr>
        <w:pStyle w:val="116"/>
        <w:rPr>
          <w:rFonts w:hint="eastAsia" w:ascii="宋体" w:hAnsi="宋体" w:eastAsia="宋体" w:cs="宋体"/>
          <w:b w:val="0"/>
          <w:bCs w:val="0"/>
          <w:color w:val="auto"/>
          <w:kern w:val="2"/>
          <w:sz w:val="21"/>
          <w:szCs w:val="21"/>
          <w:highlight w:val="none"/>
          <w:lang w:val="en-US" w:eastAsia="zh-CN" w:bidi="ar-SA"/>
        </w:rPr>
      </w:pPr>
    </w:p>
    <w:p w14:paraId="4850BEA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发包人：（单位全称）（盖合同专用章）</w:t>
      </w:r>
    </w:p>
    <w:p w14:paraId="73551A2C">
      <w:pPr>
        <w:pStyle w:val="116"/>
        <w:rPr>
          <w:rFonts w:hint="eastAsia"/>
          <w:color w:val="auto"/>
          <w:highlight w:val="none"/>
          <w:lang w:val="en-US" w:eastAsia="zh-CN"/>
        </w:rPr>
      </w:pPr>
    </w:p>
    <w:p w14:paraId="438444A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法定代表人法定代表人或其授权的代理人：</w:t>
      </w:r>
    </w:p>
    <w:p w14:paraId="2CF2D61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000AE14B">
      <w:pPr>
        <w:pStyle w:val="116"/>
        <w:rPr>
          <w:rFonts w:hint="eastAsia"/>
          <w:color w:val="auto"/>
          <w:highlight w:val="none"/>
          <w:lang w:val="en-US" w:eastAsia="zh-CN"/>
        </w:rPr>
      </w:pPr>
    </w:p>
    <w:p w14:paraId="29BA4EB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承包人：（单位全称）（盖合同专用章）</w:t>
      </w:r>
    </w:p>
    <w:p w14:paraId="093C15F0">
      <w:pPr>
        <w:pStyle w:val="116"/>
        <w:rPr>
          <w:rFonts w:hint="eastAsia"/>
          <w:color w:val="auto"/>
          <w:highlight w:val="none"/>
          <w:lang w:val="en-US" w:eastAsia="zh-CN"/>
        </w:rPr>
      </w:pPr>
    </w:p>
    <w:p w14:paraId="070CD56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法定代表人法定代表人或其授权的代理人：</w:t>
      </w:r>
    </w:p>
    <w:p w14:paraId="4105C951">
      <w:pPr>
        <w:pStyle w:val="116"/>
        <w:rPr>
          <w:rFonts w:hint="eastAsia"/>
          <w:color w:val="auto"/>
          <w:highlight w:val="none"/>
          <w:lang w:val="en-US" w:eastAsia="zh-CN"/>
        </w:rPr>
      </w:pPr>
    </w:p>
    <w:p w14:paraId="1F681E9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日期： </w:t>
      </w:r>
    </w:p>
    <w:p w14:paraId="05D0AD5A">
      <w:pPr>
        <w:wordWrap/>
        <w:topLinePunct w:val="0"/>
        <w:ind w:right="-218" w:rightChars="-104" w:firstLine="600"/>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br w:type="page"/>
      </w:r>
      <w:bookmarkStart w:id="1698" w:name="_Toc26426_WPSOffice_Level2"/>
      <w:bookmarkStart w:id="1699" w:name="_Toc16398_WPSOffice_Level2"/>
      <w:r>
        <w:rPr>
          <w:rFonts w:hint="eastAsia" w:ascii="宋体" w:hAnsi="宋体" w:eastAsia="宋体" w:cs="宋体"/>
          <w:b/>
          <w:bCs/>
          <w:color w:val="auto"/>
          <w:kern w:val="2"/>
          <w:sz w:val="28"/>
          <w:szCs w:val="28"/>
          <w:highlight w:val="none"/>
          <w:lang w:val="en-US" w:eastAsia="zh-CN" w:bidi="ar-SA"/>
        </w:rPr>
        <w:t>附件</w:t>
      </w:r>
      <w:r>
        <w:rPr>
          <w:rFonts w:hint="eastAsia" w:ascii="宋体" w:hAnsi="宋体" w:cs="宋体"/>
          <w:b/>
          <w:bCs/>
          <w:color w:val="auto"/>
          <w:kern w:val="2"/>
          <w:sz w:val="28"/>
          <w:szCs w:val="28"/>
          <w:highlight w:val="none"/>
          <w:lang w:val="en-US" w:eastAsia="zh-CN" w:bidi="ar-SA"/>
        </w:rPr>
        <w:t>7</w:t>
      </w:r>
      <w:r>
        <w:rPr>
          <w:rFonts w:hint="eastAsia" w:ascii="宋体" w:hAnsi="宋体" w:eastAsia="宋体" w:cs="宋体"/>
          <w:b/>
          <w:bCs/>
          <w:color w:val="auto"/>
          <w:kern w:val="2"/>
          <w:sz w:val="28"/>
          <w:szCs w:val="28"/>
          <w:highlight w:val="none"/>
          <w:lang w:val="en-US" w:eastAsia="zh-CN" w:bidi="ar-SA"/>
        </w:rPr>
        <w:t>：安全承诺书</w:t>
      </w:r>
      <w:bookmarkEnd w:id="1698"/>
      <w:bookmarkEnd w:id="1699"/>
    </w:p>
    <w:p w14:paraId="44522524">
      <w:pPr>
        <w:wordWrap/>
        <w:topLinePunct w:val="0"/>
        <w:spacing w:line="360" w:lineRule="auto"/>
        <w:ind w:right="-218" w:rightChars="-104" w:firstLine="600"/>
        <w:jc w:val="both"/>
        <w:rPr>
          <w:rFonts w:hint="eastAsia" w:ascii="宋体" w:hAnsi="宋体" w:eastAsia="宋体" w:cs="宋体"/>
          <w:b/>
          <w:bCs/>
          <w:color w:val="auto"/>
          <w:kern w:val="2"/>
          <w:sz w:val="21"/>
          <w:szCs w:val="21"/>
          <w:highlight w:val="none"/>
          <w:lang w:val="en-US" w:eastAsia="zh-CN" w:bidi="ar-SA"/>
        </w:rPr>
      </w:pPr>
      <w:bookmarkStart w:id="1700" w:name="_Toc8350_WPSOffice_Level2"/>
      <w:bookmarkStart w:id="1701" w:name="_Toc4941_WPSOffice_Level2"/>
      <w:r>
        <w:rPr>
          <w:rFonts w:hint="eastAsia" w:ascii="宋体" w:hAnsi="宋体" w:eastAsia="宋体" w:cs="宋体"/>
          <w:b/>
          <w:bCs/>
          <w:color w:val="auto"/>
          <w:kern w:val="2"/>
          <w:sz w:val="21"/>
          <w:szCs w:val="21"/>
          <w:highlight w:val="none"/>
          <w:lang w:val="en-US" w:eastAsia="zh-CN" w:bidi="ar-SA"/>
        </w:rPr>
        <w:t>安全承诺书</w:t>
      </w:r>
      <w:bookmarkEnd w:id="1700"/>
      <w:bookmarkEnd w:id="1701"/>
    </w:p>
    <w:p w14:paraId="661B8BB7">
      <w:pPr>
        <w:wordWrap/>
        <w:topLinePunct w:val="0"/>
        <w:spacing w:line="360" w:lineRule="auto"/>
        <w:ind w:right="-218" w:rightChars="-104" w:firstLine="600"/>
        <w:rPr>
          <w:rFonts w:hint="eastAsia" w:ascii="宋体" w:hAnsi="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致：</w:t>
      </w:r>
      <w:r>
        <w:rPr>
          <w:rFonts w:hint="eastAsia" w:ascii="宋体" w:hAnsi="宋体" w:cs="宋体"/>
          <w:b w:val="0"/>
          <w:bCs w:val="0"/>
          <w:color w:val="auto"/>
          <w:kern w:val="2"/>
          <w:sz w:val="21"/>
          <w:szCs w:val="21"/>
          <w:highlight w:val="none"/>
          <w:u w:val="single"/>
          <w:lang w:val="en-US" w:eastAsia="zh-CN" w:bidi="ar-SA"/>
        </w:rPr>
        <w:t xml:space="preserve">                        </w:t>
      </w:r>
    </w:p>
    <w:p w14:paraId="740EFC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我公司对于本项目施工期间的施工安全，作出如下承诺：</w:t>
      </w:r>
    </w:p>
    <w:p w14:paraId="4DB54A7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一、认真组织施工人员、管理人员学习有关施工安全的知识，争取做到人人懂安全，事事保安全。</w:t>
      </w:r>
    </w:p>
    <w:p w14:paraId="489AB9B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二、严格执行安全施工的有关规定和规程，文明施工，安全施工。</w:t>
      </w:r>
    </w:p>
    <w:p w14:paraId="281B648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三、服从社会治安综合治理、环境保护等管理制度。</w:t>
      </w:r>
    </w:p>
    <w:p w14:paraId="23D3DE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四、建筑施工中需要的各种辅助材料（设备）要有产品合格证书，辅助设备的安装、使用要符合安全管理规定。并严格执行安全操作规程。</w:t>
      </w:r>
    </w:p>
    <w:p w14:paraId="2246AD5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五、承包人愿意自觉接受发包人、监理、监督单位（人）及社会各界对工程建设中安全生产的监督。涉及施工安全的个别部位采取安全措施和作出切实可行的安全施工方案后再进行施工。</w:t>
      </w:r>
    </w:p>
    <w:p w14:paraId="755BEF8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六、力争在施工期间不出安全事故，并对整个项目的施工安全工作负责任。如在工程建设施工期间发生任何安全责任事故，承包人愿承担一切责任。</w:t>
      </w:r>
    </w:p>
    <w:p w14:paraId="636EEBB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580761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3C85534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承包人（盖章）：</w:t>
      </w:r>
    </w:p>
    <w:p w14:paraId="3E7F87F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法定代表人或其授权的代理人（签字）：</w:t>
      </w:r>
    </w:p>
    <w:p w14:paraId="3294817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1283F7A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日期： 年 月 日</w:t>
      </w:r>
    </w:p>
    <w:p w14:paraId="369D9A72">
      <w:pPr>
        <w:spacing w:before="120" w:beforeLines="50" w:after="120" w:afterLines="50"/>
        <w:rPr>
          <w:rFonts w:hint="eastAsia" w:ascii="宋体" w:hAnsi="宋体" w:eastAsia="宋体" w:cs="宋体"/>
          <w:color w:val="auto"/>
          <w:sz w:val="24"/>
          <w:szCs w:val="24"/>
          <w:highlight w:val="none"/>
        </w:rPr>
      </w:pPr>
    </w:p>
    <w:p w14:paraId="72A4E59A">
      <w:pPr>
        <w:spacing w:before="120" w:beforeLines="50" w:after="120" w:afterLines="50"/>
        <w:rPr>
          <w:rFonts w:hint="eastAsia" w:ascii="宋体" w:hAnsi="宋体" w:eastAsia="宋体" w:cs="宋体"/>
          <w:color w:val="auto"/>
          <w:sz w:val="24"/>
          <w:szCs w:val="24"/>
          <w:highlight w:val="none"/>
        </w:rPr>
      </w:pPr>
    </w:p>
    <w:p w14:paraId="6B3418AF">
      <w:pPr>
        <w:pStyle w:val="116"/>
        <w:rPr>
          <w:rFonts w:hint="eastAsia" w:ascii="宋体" w:hAnsi="宋体" w:eastAsia="宋体" w:cs="宋体"/>
          <w:color w:val="auto"/>
          <w:highlight w:val="none"/>
        </w:rPr>
      </w:pPr>
    </w:p>
    <w:p w14:paraId="385F0077">
      <w:pPr>
        <w:pStyle w:val="116"/>
        <w:rPr>
          <w:rFonts w:hint="eastAsia" w:ascii="宋体" w:hAnsi="宋体" w:eastAsia="宋体" w:cs="宋体"/>
          <w:color w:val="auto"/>
          <w:highlight w:val="none"/>
        </w:rPr>
      </w:pPr>
    </w:p>
    <w:p w14:paraId="3AFB71EC">
      <w:pPr>
        <w:pStyle w:val="116"/>
        <w:rPr>
          <w:rFonts w:hint="eastAsia" w:ascii="宋体" w:hAnsi="宋体" w:eastAsia="宋体" w:cs="宋体"/>
          <w:color w:val="auto"/>
          <w:highlight w:val="none"/>
        </w:rPr>
      </w:pPr>
    </w:p>
    <w:p w14:paraId="066C5D0D">
      <w:pPr>
        <w:pStyle w:val="116"/>
        <w:rPr>
          <w:rFonts w:hint="eastAsia" w:ascii="宋体" w:hAnsi="宋体" w:eastAsia="宋体" w:cs="宋体"/>
          <w:color w:val="auto"/>
          <w:highlight w:val="none"/>
        </w:rPr>
      </w:pPr>
    </w:p>
    <w:p w14:paraId="5ACA7107">
      <w:pPr>
        <w:pStyle w:val="116"/>
        <w:rPr>
          <w:rFonts w:hint="eastAsia" w:ascii="宋体" w:hAnsi="宋体" w:eastAsia="宋体" w:cs="宋体"/>
          <w:color w:val="auto"/>
          <w:highlight w:val="none"/>
        </w:rPr>
      </w:pPr>
    </w:p>
    <w:p w14:paraId="76A1F3BA">
      <w:pPr>
        <w:pStyle w:val="116"/>
        <w:rPr>
          <w:rFonts w:hint="eastAsia" w:ascii="宋体" w:hAnsi="宋体" w:eastAsia="宋体" w:cs="宋体"/>
          <w:color w:val="auto"/>
          <w:highlight w:val="none"/>
        </w:rPr>
      </w:pPr>
    </w:p>
    <w:p w14:paraId="6EA4A261">
      <w:pPr>
        <w:pStyle w:val="116"/>
        <w:rPr>
          <w:rFonts w:hint="eastAsia" w:ascii="宋体" w:hAnsi="宋体" w:eastAsia="宋体" w:cs="宋体"/>
          <w:color w:val="auto"/>
          <w:highlight w:val="none"/>
        </w:rPr>
      </w:pPr>
    </w:p>
    <w:p w14:paraId="45C0FE05">
      <w:pPr>
        <w:pStyle w:val="116"/>
        <w:rPr>
          <w:rFonts w:hint="eastAsia" w:ascii="宋体" w:hAnsi="宋体" w:eastAsia="宋体" w:cs="宋体"/>
          <w:color w:val="auto"/>
          <w:highlight w:val="none"/>
        </w:rPr>
      </w:pPr>
    </w:p>
    <w:p w14:paraId="1D1727E9">
      <w:pPr>
        <w:pStyle w:val="116"/>
        <w:rPr>
          <w:rFonts w:hint="eastAsia" w:ascii="宋体" w:hAnsi="宋体" w:eastAsia="宋体" w:cs="宋体"/>
          <w:color w:val="auto"/>
          <w:highlight w:val="none"/>
        </w:rPr>
      </w:pPr>
    </w:p>
    <w:p w14:paraId="06CB9C87">
      <w:pPr>
        <w:pStyle w:val="116"/>
        <w:rPr>
          <w:rFonts w:hint="eastAsia" w:ascii="宋体" w:hAnsi="宋体" w:eastAsia="宋体" w:cs="宋体"/>
          <w:color w:val="auto"/>
          <w:highlight w:val="none"/>
        </w:rPr>
      </w:pPr>
    </w:p>
    <w:p w14:paraId="51C2080D">
      <w:pPr>
        <w:pStyle w:val="116"/>
        <w:rPr>
          <w:rFonts w:hint="eastAsia" w:ascii="宋体" w:hAnsi="宋体" w:eastAsia="宋体" w:cs="宋体"/>
          <w:color w:val="auto"/>
          <w:highlight w:val="none"/>
        </w:rPr>
      </w:pPr>
    </w:p>
    <w:p w14:paraId="485A5C72">
      <w:pPr>
        <w:pStyle w:val="116"/>
        <w:rPr>
          <w:rFonts w:hint="eastAsia" w:ascii="宋体" w:hAnsi="宋体" w:eastAsia="宋体" w:cs="宋体"/>
          <w:color w:val="auto"/>
          <w:highlight w:val="none"/>
        </w:rPr>
      </w:pPr>
    </w:p>
    <w:p w14:paraId="4511CBE8">
      <w:pPr>
        <w:pStyle w:val="5"/>
        <w:rPr>
          <w:rFonts w:hint="eastAsia" w:ascii="宋体" w:hAnsi="宋体" w:eastAsia="宋体" w:cs="宋体"/>
          <w:b/>
          <w:bCs/>
          <w:color w:val="auto"/>
          <w:kern w:val="2"/>
          <w:sz w:val="28"/>
          <w:szCs w:val="28"/>
          <w:highlight w:val="none"/>
          <w:lang w:val="en-US" w:eastAsia="zh-CN" w:bidi="ar-SA"/>
        </w:rPr>
      </w:pPr>
      <w:bookmarkStart w:id="1702" w:name="_Toc247514200"/>
      <w:bookmarkStart w:id="1703" w:name="_Toc300835202"/>
      <w:bookmarkStart w:id="1704" w:name="_Toc25069_WPSOffice_Level2"/>
      <w:bookmarkStart w:id="1705" w:name="_Toc45896866"/>
      <w:bookmarkStart w:id="1706" w:name="_Toc152042551"/>
      <w:bookmarkStart w:id="1707" w:name="_Toc2563"/>
      <w:bookmarkStart w:id="1708" w:name="_Toc247527801"/>
      <w:bookmarkStart w:id="1709" w:name="_Toc45897163"/>
      <w:bookmarkStart w:id="1710" w:name="_Toc17235_WPSOffice_Level2"/>
      <w:bookmarkStart w:id="1711" w:name="_Toc152045769"/>
      <w:r>
        <w:rPr>
          <w:rFonts w:hint="eastAsia" w:ascii="宋体" w:hAnsi="宋体" w:eastAsia="宋体" w:cs="宋体"/>
          <w:b/>
          <w:bCs/>
          <w:color w:val="auto"/>
          <w:kern w:val="2"/>
          <w:sz w:val="28"/>
          <w:szCs w:val="28"/>
          <w:highlight w:val="none"/>
          <w:lang w:val="en-US" w:eastAsia="zh-CN" w:bidi="ar-SA"/>
        </w:rPr>
        <w:t>附件</w:t>
      </w:r>
      <w:r>
        <w:rPr>
          <w:rFonts w:hint="eastAsia" w:ascii="宋体" w:eastAsia="宋体" w:cs="宋体"/>
          <w:b/>
          <w:bCs/>
          <w:color w:val="auto"/>
          <w:kern w:val="2"/>
          <w:sz w:val="28"/>
          <w:szCs w:val="28"/>
          <w:highlight w:val="none"/>
          <w:lang w:val="en-US" w:eastAsia="zh-CN" w:bidi="ar-SA"/>
        </w:rPr>
        <w:t>8</w:t>
      </w:r>
      <w:r>
        <w:rPr>
          <w:rFonts w:hint="eastAsia" w:ascii="宋体" w:hAnsi="宋体" w:eastAsia="宋体" w:cs="宋体"/>
          <w:b/>
          <w:bCs/>
          <w:color w:val="auto"/>
          <w:kern w:val="2"/>
          <w:sz w:val="28"/>
          <w:szCs w:val="28"/>
          <w:highlight w:val="none"/>
          <w:lang w:val="en-US" w:eastAsia="zh-CN" w:bidi="ar-SA"/>
        </w:rPr>
        <w:t>：</w:t>
      </w:r>
      <w:bookmarkEnd w:id="1702"/>
      <w:bookmarkEnd w:id="1703"/>
      <w:bookmarkEnd w:id="1704"/>
      <w:bookmarkEnd w:id="1705"/>
      <w:bookmarkEnd w:id="1706"/>
      <w:bookmarkEnd w:id="1707"/>
      <w:bookmarkEnd w:id="1708"/>
      <w:bookmarkEnd w:id="1709"/>
      <w:bookmarkEnd w:id="1710"/>
      <w:bookmarkEnd w:id="1711"/>
    </w:p>
    <w:p w14:paraId="7DFF25A0">
      <w:pPr>
        <w:pStyle w:val="5"/>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履约保函示范文本</w:t>
      </w:r>
    </w:p>
    <w:p w14:paraId="633E696B">
      <w:pPr>
        <w:wordWrap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 xml:space="preserve">编号： </w:t>
      </w:r>
      <w:r>
        <w:rPr>
          <w:rFonts w:hint="eastAsia" w:ascii="宋体" w:hAnsi="宋体" w:eastAsia="宋体" w:cs="宋体"/>
          <w:color w:val="auto"/>
          <w:sz w:val="21"/>
          <w:szCs w:val="21"/>
          <w:highlight w:val="none"/>
        </w:rPr>
        <w:t xml:space="preserve">          </w:t>
      </w:r>
    </w:p>
    <w:p w14:paraId="7F413B5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申请人：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1F654BF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E824E9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受益人：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4453B8F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894664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开立人：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B5897B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29BA070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w:t>
      </w:r>
    </w:p>
    <w:p w14:paraId="27677B23">
      <w:pPr>
        <w:wordWrap/>
        <w:topLinePunct w:val="0"/>
        <w:spacing w:line="360" w:lineRule="auto"/>
        <w:ind w:right="-218" w:rightChars="-104" w:firstLine="6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u w:val="single"/>
          <w:lang w:val="en-US" w:eastAsia="zh-CN" w:bidi="ar-SA"/>
        </w:rPr>
        <w:t xml:space="preserve"> </w:t>
      </w:r>
      <w:r>
        <w:rPr>
          <w:rFonts w:hint="eastAsia" w:ascii="宋体" w:hAnsi="宋体" w:cs="宋体"/>
          <w:b/>
          <w:bCs/>
          <w:color w:val="auto"/>
          <w:kern w:val="2"/>
          <w:sz w:val="21"/>
          <w:szCs w:val="21"/>
          <w:highlight w:val="none"/>
          <w:u w:val="single"/>
          <w:lang w:val="en-US" w:eastAsia="zh-CN" w:bidi="ar-SA"/>
        </w:rPr>
        <w:t xml:space="preserve">   </w:t>
      </w:r>
      <w:r>
        <w:rPr>
          <w:rFonts w:hint="eastAsia" w:ascii="宋体" w:hAnsi="宋体" w:eastAsia="宋体" w:cs="宋体"/>
          <w:b/>
          <w:bCs/>
          <w:color w:val="auto"/>
          <w:kern w:val="2"/>
          <w:sz w:val="21"/>
          <w:szCs w:val="21"/>
          <w:highlight w:val="none"/>
          <w:u w:val="single"/>
          <w:lang w:val="en-US" w:eastAsia="zh-CN" w:bidi="ar-SA"/>
        </w:rPr>
        <w:t>（受益人名称）</w:t>
      </w:r>
      <w:r>
        <w:rPr>
          <w:rFonts w:hint="eastAsia" w:ascii="宋体" w:hAnsi="宋体" w:cs="宋体"/>
          <w:b/>
          <w:bCs/>
          <w:color w:val="auto"/>
          <w:kern w:val="2"/>
          <w:sz w:val="21"/>
          <w:szCs w:val="21"/>
          <w:highlight w:val="none"/>
          <w:u w:val="single"/>
          <w:lang w:val="en-US" w:eastAsia="zh-CN" w:bidi="ar-SA"/>
        </w:rPr>
        <w:t xml:space="preserve">  </w:t>
      </w:r>
      <w:r>
        <w:rPr>
          <w:rFonts w:hint="eastAsia" w:ascii="宋体" w:hAnsi="宋体" w:eastAsia="宋体" w:cs="宋体"/>
          <w:b/>
          <w:bCs/>
          <w:color w:val="auto"/>
          <w:kern w:val="2"/>
          <w:sz w:val="21"/>
          <w:szCs w:val="21"/>
          <w:highlight w:val="none"/>
          <w:lang w:val="en-US" w:eastAsia="zh-CN" w:bidi="ar-SA"/>
        </w:rPr>
        <w:t>：</w:t>
      </w:r>
    </w:p>
    <w:p w14:paraId="7E625F60">
      <w:pPr>
        <w:pStyle w:val="116"/>
        <w:spacing w:line="360" w:lineRule="auto"/>
        <w:rPr>
          <w:rFonts w:hint="eastAsia" w:ascii="宋体" w:hAnsi="宋体" w:eastAsia="宋体" w:cs="宋体"/>
          <w:color w:val="auto"/>
          <w:sz w:val="21"/>
          <w:szCs w:val="21"/>
          <w:highlight w:val="none"/>
          <w:lang w:val="en-US" w:eastAsia="zh-CN"/>
        </w:rPr>
      </w:pPr>
    </w:p>
    <w:p w14:paraId="385D6D6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鉴于</w:t>
      </w:r>
      <w:r>
        <w:rPr>
          <w:rFonts w:hint="eastAsia" w:ascii="宋体" w:hAnsi="宋体" w:eastAsia="宋体" w:cs="宋体"/>
          <w:b w:val="0"/>
          <w:bCs w:val="0"/>
          <w:color w:val="auto"/>
          <w:kern w:val="2"/>
          <w:sz w:val="21"/>
          <w:szCs w:val="21"/>
          <w:highlight w:val="none"/>
          <w:u w:val="single"/>
          <w:lang w:val="en-US" w:eastAsia="zh-CN" w:bidi="ar-SA"/>
        </w:rPr>
        <w:t xml:space="preserve">        （以下简称“受益人”）</w:t>
      </w:r>
      <w:r>
        <w:rPr>
          <w:rFonts w:hint="eastAsia" w:ascii="宋体" w:hAnsi="宋体" w:eastAsia="宋体" w:cs="宋体"/>
          <w:b w:val="0"/>
          <w:bCs w:val="0"/>
          <w:color w:val="auto"/>
          <w:kern w:val="2"/>
          <w:sz w:val="21"/>
          <w:szCs w:val="21"/>
          <w:highlight w:val="none"/>
          <w:lang w:val="en-US" w:eastAsia="zh-CN" w:bidi="ar-SA"/>
        </w:rPr>
        <w:t xml:space="preserve">与 </w:t>
      </w:r>
      <w:r>
        <w:rPr>
          <w:rFonts w:hint="eastAsia" w:ascii="宋体" w:hAnsi="宋体" w:eastAsia="宋体" w:cs="宋体"/>
          <w:b w:val="0"/>
          <w:bCs w:val="0"/>
          <w:color w:val="auto"/>
          <w:kern w:val="2"/>
          <w:sz w:val="21"/>
          <w:szCs w:val="21"/>
          <w:highlight w:val="none"/>
          <w:u w:val="single"/>
          <w:lang w:val="en-US" w:eastAsia="zh-CN" w:bidi="ar-SA"/>
        </w:rPr>
        <w:t xml:space="preserve">        （以下简称“申请人”）</w:t>
      </w:r>
      <w:r>
        <w:rPr>
          <w:rFonts w:hint="eastAsia" w:ascii="宋体" w:hAnsi="宋体" w:eastAsia="宋体" w:cs="宋体"/>
          <w:b w:val="0"/>
          <w:bCs w:val="0"/>
          <w:color w:val="auto"/>
          <w:kern w:val="2"/>
          <w:sz w:val="21"/>
          <w:szCs w:val="21"/>
          <w:highlight w:val="none"/>
          <w:lang w:val="en-US" w:eastAsia="zh-CN" w:bidi="ar-SA"/>
        </w:rPr>
        <w:t>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   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工程（以下简称“本工程”）施工和有关事项协商一致共同签订《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p>
    <w:p w14:paraId="2E82B9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一、本保函担保范围：承包人未按照基础合同的约定履行义务，应当向贵方承担的违约责任和赔偿因此造成的损失、利息、律师费、诉讼费用等实现债权的费用。</w:t>
      </w:r>
    </w:p>
    <w:p w14:paraId="62DC044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二、本保函担保金额最高不超过人民币（大写）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19E3A94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三、本保函有效期自开立之日起至基础合同约定的缺陷责任期后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日止，最迟不超过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日。 </w:t>
      </w:r>
    </w:p>
    <w:p w14:paraId="45AD5E0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四、我方承诺，在收到受益人发来的书面付款通知后的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日内无条件支付，前述书面付款通知即为付款要求之单据，且应满足以下要求：</w:t>
      </w:r>
    </w:p>
    <w:p w14:paraId="7102980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（1）付款通知到达的日期在本保函的有效期内；</w:t>
      </w:r>
    </w:p>
    <w:p w14:paraId="0F96E55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（2）载明要求支付的金额；</w:t>
      </w:r>
    </w:p>
    <w:p w14:paraId="3DE1B4E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（3）载明申请人违反合同义务的条款和内容；</w:t>
      </w:r>
    </w:p>
    <w:p w14:paraId="3F5E898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（4）声明不存在合同文件约定或我国法律规定免除申请人或开立人支付责任的情形；</w:t>
      </w:r>
    </w:p>
    <w:p w14:paraId="0A4FDD6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（5）付款通知应在本保函有效期内到达的地址是：</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813EC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受益人发出的书面付款通知应由其为鉴明受益人法定代表人（负责人）或授权代理人签字并加盖公章。</w:t>
      </w:r>
    </w:p>
    <w:p w14:paraId="043DBA4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五、本保函项下的权利不得转让，不得设定担保。贵方未经我方书面同意转 让本保函或其项下任何权利，对我方不发生法律效力。 </w:t>
      </w:r>
    </w:p>
    <w:p w14:paraId="317E60A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六、与本保函有关的基础合同不成立、不生效、无效、被撤销、被解除，不影响本保函的独立有效。 </w:t>
      </w:r>
    </w:p>
    <w:p w14:paraId="7B90AE3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七、贵方应在本保函到期后的七日内将本保函正本退回我方注销，但是不论贵方是否按此要求将本保函正本退回我方，我方在本保函项下的义务和责任均在保函有效期到期后自动消灭。 </w:t>
      </w:r>
    </w:p>
    <w:p w14:paraId="39D455E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八、本保函适用的法律为中华人民共和国法律，争议裁判管辖地为中华人民共和国     。 </w:t>
      </w:r>
    </w:p>
    <w:p w14:paraId="4F1BCBD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九、本保函自我方法定代表人或授权代表签字并加盖公章之日起生效。 </w:t>
      </w:r>
    </w:p>
    <w:p w14:paraId="2948CD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开 立 人：</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（公章） </w:t>
      </w:r>
    </w:p>
    <w:p w14:paraId="144C1A1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法定代表人（或授权代表）：</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（签字） </w:t>
      </w:r>
    </w:p>
    <w:p w14:paraId="30DDF83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地    址：</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2E7B5B5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邮政编码：</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81D4982">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    话：</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75AEFB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传    真：</w:t>
      </w:r>
      <w:r>
        <w:rPr>
          <w:rFonts w:hint="eastAsia" w:ascii="宋体" w:hAnsi="宋体" w:eastAsia="宋体" w:cs="宋体"/>
          <w:b w:val="0"/>
          <w:bCs w:val="0"/>
          <w:color w:val="auto"/>
          <w:kern w:val="2"/>
          <w:sz w:val="21"/>
          <w:szCs w:val="21"/>
          <w:highlight w:val="none"/>
          <w:u w:val="single"/>
          <w:lang w:val="en-US" w:eastAsia="zh-CN" w:bidi="ar-SA"/>
        </w:rPr>
        <w:t xml:space="preserve">                 </w:t>
      </w:r>
    </w:p>
    <w:p w14:paraId="431818A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开立时间：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月    </w:t>
      </w:r>
    </w:p>
    <w:p w14:paraId="55C8867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309B6F68">
      <w:pPr>
        <w:pStyle w:val="5"/>
        <w:rPr>
          <w:rFonts w:hint="eastAsia" w:ascii="宋体" w:hAnsi="宋体" w:eastAsia="宋体" w:cs="宋体"/>
          <w:b/>
          <w:bCs/>
          <w:color w:val="auto"/>
          <w:kern w:val="2"/>
          <w:sz w:val="28"/>
          <w:szCs w:val="28"/>
          <w:highlight w:val="none"/>
          <w:lang w:val="en-US" w:eastAsia="zh-CN" w:bidi="ar-SA"/>
        </w:rPr>
      </w:pPr>
      <w:bookmarkStart w:id="1712" w:name="_Toc5008"/>
      <w:r>
        <w:rPr>
          <w:rFonts w:hint="eastAsia" w:ascii="宋体" w:hAnsi="宋体" w:eastAsia="宋体" w:cs="宋体"/>
          <w:b/>
          <w:bCs/>
          <w:color w:val="auto"/>
          <w:kern w:val="2"/>
          <w:sz w:val="28"/>
          <w:szCs w:val="28"/>
          <w:highlight w:val="none"/>
          <w:lang w:val="en-US" w:eastAsia="zh-CN" w:bidi="ar-SA"/>
        </w:rPr>
        <w:t>附件</w:t>
      </w:r>
      <w:r>
        <w:rPr>
          <w:rFonts w:hint="eastAsia" w:ascii="宋体" w:eastAsia="宋体" w:cs="宋体"/>
          <w:b/>
          <w:bCs/>
          <w:color w:val="auto"/>
          <w:kern w:val="2"/>
          <w:sz w:val="28"/>
          <w:szCs w:val="28"/>
          <w:highlight w:val="none"/>
          <w:lang w:val="en-US" w:eastAsia="zh-CN" w:bidi="ar-SA"/>
        </w:rPr>
        <w:t>9</w:t>
      </w:r>
      <w:r>
        <w:rPr>
          <w:rFonts w:hint="eastAsia" w:ascii="宋体" w:hAnsi="宋体" w:eastAsia="宋体" w:cs="宋体"/>
          <w:b/>
          <w:bCs/>
          <w:color w:val="auto"/>
          <w:kern w:val="2"/>
          <w:sz w:val="28"/>
          <w:szCs w:val="28"/>
          <w:highlight w:val="none"/>
          <w:lang w:val="en-US" w:eastAsia="zh-CN" w:bidi="ar-SA"/>
        </w:rPr>
        <w:t>：</w:t>
      </w:r>
      <w:bookmarkEnd w:id="1712"/>
    </w:p>
    <w:p w14:paraId="6FC9E240">
      <w:pPr>
        <w:pStyle w:val="5"/>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预付款保函示范文本</w:t>
      </w:r>
    </w:p>
    <w:p w14:paraId="44FCD343">
      <w:pPr>
        <w:wordWrap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编号：</w:t>
      </w:r>
      <w:r>
        <w:rPr>
          <w:rFonts w:hint="eastAsia" w:ascii="宋体" w:hAnsi="宋体" w:eastAsia="宋体" w:cs="宋体"/>
          <w:color w:val="auto"/>
          <w:sz w:val="21"/>
          <w:szCs w:val="21"/>
          <w:highlight w:val="none"/>
        </w:rPr>
        <w:t xml:space="preserve">           </w:t>
      </w:r>
    </w:p>
    <w:p w14:paraId="4DCB5375">
      <w:pPr>
        <w:spacing w:line="360" w:lineRule="auto"/>
        <w:rPr>
          <w:rFonts w:hint="eastAsia" w:ascii="宋体" w:hAnsi="宋体" w:eastAsia="宋体" w:cs="宋体"/>
          <w:color w:val="auto"/>
          <w:sz w:val="21"/>
          <w:szCs w:val="21"/>
          <w:highlight w:val="none"/>
        </w:rPr>
      </w:pPr>
    </w:p>
    <w:p w14:paraId="7480B81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申请人：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517D707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48EECFF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受益人：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221C8D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60F2C58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开立人：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7891197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5EB6531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w:t>
      </w:r>
    </w:p>
    <w:p w14:paraId="1190D1C3">
      <w:pPr>
        <w:wordWrap/>
        <w:topLinePunct w:val="0"/>
        <w:spacing w:line="360" w:lineRule="auto"/>
        <w:ind w:right="-218" w:rightChars="-104"/>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u w:val="single"/>
          <w:lang w:val="en-US" w:eastAsia="zh-CN" w:bidi="ar-SA"/>
        </w:rPr>
        <w:t xml:space="preserve">           （受益人名称）</w:t>
      </w:r>
      <w:r>
        <w:rPr>
          <w:rFonts w:hint="eastAsia" w:ascii="宋体" w:hAnsi="宋体" w:cs="宋体"/>
          <w:b/>
          <w:bCs/>
          <w:color w:val="auto"/>
          <w:kern w:val="2"/>
          <w:sz w:val="21"/>
          <w:szCs w:val="21"/>
          <w:highlight w:val="none"/>
          <w:u w:val="single"/>
          <w:lang w:val="en-US" w:eastAsia="zh-CN" w:bidi="ar-SA"/>
        </w:rPr>
        <w:t xml:space="preserve">   </w:t>
      </w:r>
      <w:r>
        <w:rPr>
          <w:rFonts w:hint="eastAsia" w:ascii="宋体" w:hAnsi="宋体" w:eastAsia="宋体" w:cs="宋体"/>
          <w:b/>
          <w:bCs/>
          <w:color w:val="auto"/>
          <w:kern w:val="2"/>
          <w:sz w:val="21"/>
          <w:szCs w:val="21"/>
          <w:highlight w:val="none"/>
          <w:lang w:val="en-US" w:eastAsia="zh-CN" w:bidi="ar-SA"/>
        </w:rPr>
        <w:t>：</w:t>
      </w:r>
    </w:p>
    <w:p w14:paraId="79FA196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7C2BD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鉴于</w:t>
      </w:r>
      <w:r>
        <w:rPr>
          <w:rFonts w:hint="eastAsia" w:ascii="宋体" w:hAnsi="宋体" w:eastAsia="宋体" w:cs="宋体"/>
          <w:b w:val="0"/>
          <w:bCs w:val="0"/>
          <w:color w:val="auto"/>
          <w:kern w:val="2"/>
          <w:sz w:val="21"/>
          <w:szCs w:val="21"/>
          <w:highlight w:val="none"/>
          <w:u w:val="single"/>
          <w:lang w:val="en-US" w:eastAsia="zh-CN" w:bidi="ar-SA"/>
        </w:rPr>
        <w:t xml:space="preserve">        （以下简称“受益人”）</w:t>
      </w:r>
      <w:r>
        <w:rPr>
          <w:rFonts w:hint="eastAsia" w:ascii="宋体" w:hAnsi="宋体" w:eastAsia="宋体" w:cs="宋体"/>
          <w:b w:val="0"/>
          <w:bCs w:val="0"/>
          <w:color w:val="auto"/>
          <w:kern w:val="2"/>
          <w:sz w:val="21"/>
          <w:szCs w:val="21"/>
          <w:highlight w:val="none"/>
          <w:lang w:val="en-US" w:eastAsia="zh-CN" w:bidi="ar-SA"/>
        </w:rPr>
        <w:t>与</w:t>
      </w:r>
      <w:r>
        <w:rPr>
          <w:rFonts w:hint="eastAsia" w:ascii="宋体" w:hAnsi="宋体" w:eastAsia="宋体" w:cs="宋体"/>
          <w:b w:val="0"/>
          <w:bCs w:val="0"/>
          <w:color w:val="auto"/>
          <w:kern w:val="2"/>
          <w:sz w:val="21"/>
          <w:szCs w:val="21"/>
          <w:highlight w:val="none"/>
          <w:u w:val="single"/>
          <w:lang w:val="en-US" w:eastAsia="zh-CN" w:bidi="ar-SA"/>
        </w:rPr>
        <w:t xml:space="preserve">         （以下简称“申请人”）</w:t>
      </w:r>
      <w:r>
        <w:rPr>
          <w:rFonts w:hint="eastAsia" w:ascii="宋体" w:hAnsi="宋体" w:eastAsia="宋体" w:cs="宋体"/>
          <w:b w:val="0"/>
          <w:bCs w:val="0"/>
          <w:color w:val="auto"/>
          <w:kern w:val="2"/>
          <w:sz w:val="21"/>
          <w:szCs w:val="21"/>
          <w:highlight w:val="none"/>
          <w:lang w:val="en-US" w:eastAsia="zh-CN" w:bidi="ar-SA"/>
        </w:rPr>
        <w:t>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   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工程（以下简称“本工程”）施工和有关事项协商一致共同签订《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以下简称“基础合同”），我方（即“开立人”）根据主合同了解到申请人为主合同项下之承包人，受益人为主合同项下之发包人，基于申请人的请求，我方同意就申请人按照合同约定正确和合理地为合同目的使用预付款，向贵方提供不可撤销、不可转让的见索即付独立保函（以下简称“本保函”）。 </w:t>
      </w:r>
    </w:p>
    <w:p w14:paraId="7F7A998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一、本保函担保范围：申请人未按照合同约定正确和合理地为合同目的使用预付款，应当向贵方承担的违约责任和赔偿因此造成的损失、利息、律师费、诉讼费用等实现债权的费用。</w:t>
      </w:r>
    </w:p>
    <w:p w14:paraId="73DAC04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二、本保函担保金额最高不超过人民币（大写）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45CE22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三、本保函有效期自开立之日起至发包人全额扣回预付款后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日止，最迟不超过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w:t>
      </w:r>
    </w:p>
    <w:p w14:paraId="330A7C2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四、我方承诺，在收到受益人发来的书面付款通知后的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日内无条件支付，前述书面付款通知即为付款要求之单据，且应满足以下要求：</w:t>
      </w:r>
    </w:p>
    <w:p w14:paraId="14367B4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（1）付款通知到达的日期在本保函的有效期内；</w:t>
      </w:r>
    </w:p>
    <w:p w14:paraId="3A09E3E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（2）载明要求支付的金额；</w:t>
      </w:r>
    </w:p>
    <w:p w14:paraId="1EEAF1B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（3）载明申请人违反合同义务的条款和内容；</w:t>
      </w:r>
    </w:p>
    <w:p w14:paraId="0AA4441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（4）声明不存在合同文件约定或我国法律规定免除申请人或开立人支付责任的情形；</w:t>
      </w:r>
    </w:p>
    <w:p w14:paraId="1A88D33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（5）付款通知应在本保函有效期内到达的地址是：</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w:t>
      </w:r>
    </w:p>
    <w:p w14:paraId="5DA549D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受益人发出的书面付款通知应由其为鉴明受益人法定代表人（负责人）或授权代理人签字并加盖公章。</w:t>
      </w:r>
    </w:p>
    <w:p w14:paraId="1BDE151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五、本保函项下的权利不得转让，不得设定担保。贵方未经我方书面同意转 让本保函或其项下任何权利，对我方不发生法律效力。 </w:t>
      </w:r>
    </w:p>
    <w:p w14:paraId="228CE72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六、与本保函有关的基础合同不成立、不生效、无效、被撤销、被解除，不影响本保函的独立有效。 </w:t>
      </w:r>
    </w:p>
    <w:p w14:paraId="576083A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七、贵方应在本保函到期后的七日内将本保函正本退回我方注销，但是不论贵方是否按此要求将本保函正本退回我方，我方在本保函项下的义务和责任均在保函有效期到期后自动消灭。 </w:t>
      </w:r>
    </w:p>
    <w:p w14:paraId="4175C6E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八、本保函适用的法律为中华人民共和国法律，争议裁判管辖地为中华人民共和国</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675B64B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九、本保函自我方法定代表人或授权代表签字并加盖公章之日起生效。 </w:t>
      </w:r>
    </w:p>
    <w:p w14:paraId="1517016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6A73A7A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4FB2530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开 立 人：                              （公章） </w:t>
      </w:r>
    </w:p>
    <w:p w14:paraId="2F9D1BF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法定代表人（或授权代表）：               （签字） </w:t>
      </w:r>
    </w:p>
    <w:p w14:paraId="119E77D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地    址：                                       </w:t>
      </w:r>
    </w:p>
    <w:p w14:paraId="73DC167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邮政编码：                 </w:t>
      </w:r>
    </w:p>
    <w:p w14:paraId="141C3B80">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电    话：                 </w:t>
      </w:r>
    </w:p>
    <w:p w14:paraId="01B6D30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传    真：                 </w:t>
      </w:r>
    </w:p>
    <w:p w14:paraId="3D5132A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开立时间：      年      月        日</w:t>
      </w:r>
    </w:p>
    <w:p w14:paraId="621D8B43">
      <w:pPr>
        <w:wordWrap/>
        <w:topLinePunct w:val="0"/>
        <w:ind w:right="-218" w:rightChars="-104" w:firstLine="600"/>
        <w:rPr>
          <w:rFonts w:hint="eastAsia" w:ascii="宋体" w:hAnsi="宋体" w:eastAsia="宋体" w:cs="宋体"/>
          <w:b w:val="0"/>
          <w:bCs w:val="0"/>
          <w:color w:val="auto"/>
          <w:kern w:val="2"/>
          <w:sz w:val="24"/>
          <w:szCs w:val="24"/>
          <w:highlight w:val="none"/>
          <w:lang w:val="en-US" w:eastAsia="zh-CN" w:bidi="ar-SA"/>
        </w:rPr>
      </w:pPr>
    </w:p>
    <w:p w14:paraId="59895008">
      <w:pPr>
        <w:widowControl/>
        <w:jc w:val="left"/>
        <w:rPr>
          <w:rFonts w:hint="eastAsia" w:ascii="宋体" w:hAnsi="宋体" w:eastAsia="宋体" w:cs="宋体"/>
          <w:color w:val="auto"/>
          <w:sz w:val="24"/>
          <w:szCs w:val="24"/>
          <w:highlight w:val="none"/>
        </w:rPr>
      </w:pPr>
    </w:p>
    <w:p w14:paraId="20030847">
      <w:pPr>
        <w:spacing w:line="360" w:lineRule="auto"/>
        <w:jc w:val="left"/>
        <w:rPr>
          <w:rFonts w:hint="eastAsia" w:ascii="宋体" w:hAnsi="宋体" w:eastAsia="宋体" w:cs="宋体"/>
          <w:color w:val="auto"/>
          <w:sz w:val="32"/>
          <w:szCs w:val="32"/>
          <w:highlight w:val="none"/>
        </w:rPr>
      </w:pPr>
    </w:p>
    <w:p w14:paraId="6E6521BC">
      <w:pPr>
        <w:spacing w:line="360" w:lineRule="auto"/>
        <w:jc w:val="left"/>
        <w:rPr>
          <w:rFonts w:hint="eastAsia" w:ascii="宋体" w:hAnsi="宋体" w:eastAsia="宋体" w:cs="宋体"/>
          <w:color w:val="auto"/>
          <w:sz w:val="32"/>
          <w:szCs w:val="32"/>
          <w:highlight w:val="none"/>
        </w:rPr>
      </w:pPr>
    </w:p>
    <w:p w14:paraId="1A335121">
      <w:pPr>
        <w:spacing w:line="360" w:lineRule="auto"/>
        <w:jc w:val="left"/>
        <w:rPr>
          <w:rFonts w:hint="eastAsia" w:ascii="宋体" w:hAnsi="宋体" w:eastAsia="宋体" w:cs="宋体"/>
          <w:color w:val="auto"/>
          <w:sz w:val="32"/>
          <w:szCs w:val="32"/>
          <w:highlight w:val="none"/>
        </w:rPr>
      </w:pPr>
    </w:p>
    <w:p w14:paraId="3212E2A0">
      <w:pPr>
        <w:pStyle w:val="116"/>
        <w:rPr>
          <w:rFonts w:hint="eastAsia" w:ascii="宋体" w:hAnsi="宋体" w:eastAsia="宋体" w:cs="宋体"/>
          <w:color w:val="auto"/>
          <w:sz w:val="32"/>
          <w:szCs w:val="32"/>
          <w:highlight w:val="none"/>
        </w:rPr>
      </w:pPr>
    </w:p>
    <w:p w14:paraId="6EC0A4CE">
      <w:pPr>
        <w:pStyle w:val="116"/>
        <w:rPr>
          <w:rFonts w:hint="eastAsia" w:ascii="宋体" w:hAnsi="宋体" w:eastAsia="宋体" w:cs="宋体"/>
          <w:color w:val="auto"/>
          <w:sz w:val="32"/>
          <w:szCs w:val="32"/>
          <w:highlight w:val="none"/>
        </w:rPr>
      </w:pPr>
    </w:p>
    <w:p w14:paraId="4B26A6C9">
      <w:pPr>
        <w:pStyle w:val="116"/>
        <w:rPr>
          <w:rFonts w:hint="eastAsia" w:ascii="宋体" w:hAnsi="宋体" w:eastAsia="宋体" w:cs="宋体"/>
          <w:color w:val="auto"/>
          <w:sz w:val="32"/>
          <w:szCs w:val="32"/>
          <w:highlight w:val="none"/>
        </w:rPr>
      </w:pPr>
    </w:p>
    <w:p w14:paraId="2D9B14E1">
      <w:pPr>
        <w:pStyle w:val="116"/>
        <w:rPr>
          <w:rFonts w:hint="eastAsia" w:ascii="宋体" w:hAnsi="宋体" w:eastAsia="宋体" w:cs="宋体"/>
          <w:color w:val="auto"/>
          <w:sz w:val="32"/>
          <w:szCs w:val="32"/>
          <w:highlight w:val="none"/>
        </w:rPr>
      </w:pPr>
    </w:p>
    <w:p w14:paraId="30470202">
      <w:pPr>
        <w:pStyle w:val="116"/>
        <w:rPr>
          <w:rFonts w:hint="eastAsia" w:ascii="宋体" w:hAnsi="宋体" w:eastAsia="宋体" w:cs="宋体"/>
          <w:color w:val="auto"/>
          <w:sz w:val="32"/>
          <w:szCs w:val="32"/>
          <w:highlight w:val="none"/>
        </w:rPr>
      </w:pPr>
    </w:p>
    <w:p w14:paraId="7169D3CD">
      <w:pPr>
        <w:pStyle w:val="116"/>
        <w:rPr>
          <w:rFonts w:hint="eastAsia" w:ascii="宋体" w:hAnsi="宋体" w:eastAsia="宋体" w:cs="宋体"/>
          <w:color w:val="auto"/>
          <w:sz w:val="32"/>
          <w:szCs w:val="32"/>
          <w:highlight w:val="none"/>
        </w:rPr>
      </w:pPr>
    </w:p>
    <w:p w14:paraId="731E7C02">
      <w:pPr>
        <w:pStyle w:val="116"/>
        <w:rPr>
          <w:rFonts w:hint="eastAsia" w:ascii="宋体" w:hAnsi="宋体" w:eastAsia="宋体" w:cs="宋体"/>
          <w:color w:val="auto"/>
          <w:sz w:val="32"/>
          <w:szCs w:val="32"/>
          <w:highlight w:val="none"/>
        </w:rPr>
      </w:pPr>
    </w:p>
    <w:p w14:paraId="46FB2F6E">
      <w:pPr>
        <w:pStyle w:val="116"/>
        <w:rPr>
          <w:rFonts w:hint="eastAsia" w:ascii="宋体" w:hAnsi="宋体" w:eastAsia="宋体" w:cs="宋体"/>
          <w:color w:val="auto"/>
          <w:sz w:val="32"/>
          <w:szCs w:val="32"/>
          <w:highlight w:val="none"/>
        </w:rPr>
      </w:pPr>
    </w:p>
    <w:p w14:paraId="4D794EC0">
      <w:pPr>
        <w:pStyle w:val="116"/>
        <w:rPr>
          <w:rFonts w:hint="eastAsia" w:ascii="宋体" w:hAnsi="宋体" w:eastAsia="宋体" w:cs="宋体"/>
          <w:color w:val="auto"/>
          <w:sz w:val="32"/>
          <w:szCs w:val="32"/>
          <w:highlight w:val="none"/>
        </w:rPr>
      </w:pPr>
    </w:p>
    <w:p w14:paraId="0D7B0F7F">
      <w:pPr>
        <w:pStyle w:val="5"/>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附件</w:t>
      </w:r>
      <w:r>
        <w:rPr>
          <w:rFonts w:hint="eastAsia" w:ascii="宋体" w:eastAsia="宋体" w:cs="宋体"/>
          <w:b/>
          <w:bCs/>
          <w:color w:val="auto"/>
          <w:kern w:val="2"/>
          <w:sz w:val="28"/>
          <w:szCs w:val="28"/>
          <w:highlight w:val="none"/>
          <w:lang w:val="en-US" w:eastAsia="zh-CN" w:bidi="ar-SA"/>
        </w:rPr>
        <w:t>10</w:t>
      </w:r>
      <w:r>
        <w:rPr>
          <w:rFonts w:hint="eastAsia" w:ascii="宋体" w:hAnsi="宋体" w:eastAsia="宋体" w:cs="宋体"/>
          <w:b/>
          <w:bCs/>
          <w:color w:val="auto"/>
          <w:kern w:val="2"/>
          <w:sz w:val="28"/>
          <w:szCs w:val="28"/>
          <w:highlight w:val="none"/>
          <w:lang w:val="en-US" w:eastAsia="zh-CN" w:bidi="ar-SA"/>
        </w:rPr>
        <w:t>:</w:t>
      </w:r>
    </w:p>
    <w:p w14:paraId="21714D99">
      <w:pPr>
        <w:pStyle w:val="5"/>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支付保函示范文本</w:t>
      </w:r>
    </w:p>
    <w:p w14:paraId="18FAAC8B">
      <w:pPr>
        <w:wordWrap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编号：</w:t>
      </w:r>
      <w:r>
        <w:rPr>
          <w:rFonts w:hint="eastAsia" w:ascii="宋体" w:hAnsi="宋体" w:eastAsia="宋体" w:cs="宋体"/>
          <w:color w:val="auto"/>
          <w:sz w:val="21"/>
          <w:szCs w:val="21"/>
          <w:highlight w:val="none"/>
        </w:rPr>
        <w:t xml:space="preserve">           </w:t>
      </w:r>
    </w:p>
    <w:p w14:paraId="18C1E0C5">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申请人：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1E93F3C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277A761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受益人：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1E1E20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1CE53751">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开立人：</w:t>
      </w:r>
      <w:r>
        <w:rPr>
          <w:rFonts w:hint="eastAsia" w:ascii="宋体" w:hAnsi="宋体" w:eastAsia="宋体" w:cs="宋体"/>
          <w:b w:val="0"/>
          <w:bCs w:val="0"/>
          <w:color w:val="auto"/>
          <w:kern w:val="2"/>
          <w:sz w:val="21"/>
          <w:szCs w:val="21"/>
          <w:highlight w:val="none"/>
          <w:u w:val="single"/>
          <w:lang w:val="en-US" w:eastAsia="zh-CN" w:bidi="ar-SA"/>
        </w:rPr>
        <w:t xml:space="preserve">                                        </w:t>
      </w:r>
    </w:p>
    <w:p w14:paraId="0E05BEFD">
      <w:pPr>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 xml:space="preserve">       地址：</w:t>
      </w:r>
      <w:r>
        <w:rPr>
          <w:rFonts w:hint="eastAsia" w:ascii="宋体" w:hAnsi="宋体" w:eastAsia="宋体" w:cs="宋体"/>
          <w:b w:val="0"/>
          <w:bCs w:val="0"/>
          <w:color w:val="auto"/>
          <w:kern w:val="2"/>
          <w:sz w:val="21"/>
          <w:szCs w:val="21"/>
          <w:highlight w:val="none"/>
          <w:u w:val="single"/>
          <w:lang w:val="en-US" w:eastAsia="zh-CN" w:bidi="ar-SA"/>
        </w:rPr>
        <w:t xml:space="preserve">                                       </w:t>
      </w:r>
    </w:p>
    <w:p w14:paraId="322527A3">
      <w:pPr>
        <w:wordWrap/>
        <w:topLinePunct w:val="0"/>
        <w:spacing w:line="360" w:lineRule="auto"/>
        <w:ind w:right="-218" w:rightChars="-104"/>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致：</w:t>
      </w:r>
      <w:r>
        <w:rPr>
          <w:rFonts w:hint="eastAsia" w:ascii="宋体" w:hAnsi="宋体" w:eastAsia="宋体" w:cs="宋体"/>
          <w:b w:val="0"/>
          <w:bCs w:val="0"/>
          <w:color w:val="auto"/>
          <w:kern w:val="2"/>
          <w:sz w:val="21"/>
          <w:szCs w:val="21"/>
          <w:highlight w:val="none"/>
          <w:u w:val="single"/>
          <w:lang w:val="en-US" w:eastAsia="zh-CN" w:bidi="ar-SA"/>
        </w:rPr>
        <w:t xml:space="preserve">（受益人名称）    </w:t>
      </w:r>
    </w:p>
    <w:p w14:paraId="1566A0D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鉴于</w:t>
      </w:r>
      <w:r>
        <w:rPr>
          <w:rFonts w:hint="eastAsia" w:ascii="宋体" w:hAnsi="宋体" w:eastAsia="宋体" w:cs="宋体"/>
          <w:b w:val="0"/>
          <w:bCs w:val="0"/>
          <w:color w:val="auto"/>
          <w:kern w:val="2"/>
          <w:sz w:val="21"/>
          <w:szCs w:val="21"/>
          <w:highlight w:val="none"/>
          <w:u w:val="single"/>
          <w:lang w:val="en-US" w:eastAsia="zh-CN" w:bidi="ar-SA"/>
        </w:rPr>
        <w:t xml:space="preserve">        （以下简称“受益人”）</w:t>
      </w:r>
      <w:r>
        <w:rPr>
          <w:rFonts w:hint="eastAsia" w:ascii="宋体" w:hAnsi="宋体" w:eastAsia="宋体" w:cs="宋体"/>
          <w:b w:val="0"/>
          <w:bCs w:val="0"/>
          <w:color w:val="auto"/>
          <w:kern w:val="2"/>
          <w:sz w:val="21"/>
          <w:szCs w:val="21"/>
          <w:highlight w:val="none"/>
          <w:lang w:val="en-US" w:eastAsia="zh-CN" w:bidi="ar-SA"/>
        </w:rPr>
        <w:t>与</w:t>
      </w:r>
      <w:r>
        <w:rPr>
          <w:rFonts w:hint="eastAsia" w:ascii="宋体" w:hAnsi="宋体" w:eastAsia="宋体" w:cs="宋体"/>
          <w:b w:val="0"/>
          <w:bCs w:val="0"/>
          <w:color w:val="auto"/>
          <w:kern w:val="2"/>
          <w:sz w:val="21"/>
          <w:szCs w:val="21"/>
          <w:highlight w:val="none"/>
          <w:u w:val="single"/>
          <w:lang w:val="en-US" w:eastAsia="zh-CN" w:bidi="ar-SA"/>
        </w:rPr>
        <w:t xml:space="preserve">         （以下简称“申请人”）</w:t>
      </w:r>
      <w:r>
        <w:rPr>
          <w:rFonts w:hint="eastAsia" w:ascii="宋体" w:hAnsi="宋体" w:eastAsia="宋体" w:cs="宋体"/>
          <w:b w:val="0"/>
          <w:bCs w:val="0"/>
          <w:color w:val="auto"/>
          <w:kern w:val="2"/>
          <w:sz w:val="21"/>
          <w:szCs w:val="21"/>
          <w:highlight w:val="none"/>
          <w:lang w:val="en-US" w:eastAsia="zh-CN" w:bidi="ar-SA"/>
        </w:rPr>
        <w:t>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   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日就</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工程（以下简称“本工程”）施工和有关事项协商一致共同签订《</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以下简称基础合同”），我方（即“开立人”）根据基础合同了解到申请人为基础合同项下之发包人，受益人为基础合同项下之承包人，基于申请人的请求，我方同意就申请人履行与贵方签订的基础合同项下的工程款（指基础合同约定的除工程质量保修金以外的工程款）付款义务，向贵方提供不可撤销、不可转让的见索即付独立保函（以下简称“本保函”）。 </w:t>
      </w:r>
    </w:p>
    <w:p w14:paraId="3BEE738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一、本保函担保范围：申请人未履行基础合同约定的工程款支付义务，应当向贵方承担的违约责任和赔偿因此造成的损失、利息、律师费、诉讼费用等实现债权的费用。</w:t>
      </w:r>
    </w:p>
    <w:p w14:paraId="13DDE29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二、本保函担保金额最高不超过人民币（大写）</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元（¥</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2ECF808">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三、本保函有效期自开立之日起至基础合同约定的除工程质量保修金以外的全部工程结算款项支付之日后</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日止，最迟不超过</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年</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月</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日。 </w:t>
      </w:r>
    </w:p>
    <w:p w14:paraId="582A037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四、我方承诺，在收到受益人发来的书面付款通知后的</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日内无条件支付，前述书面付款通知即为付款要求之单据，且应满足以下要求：</w:t>
      </w:r>
    </w:p>
    <w:p w14:paraId="11E09B9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（1）付款通知到达的日期在本保函的有效期内；</w:t>
      </w:r>
    </w:p>
    <w:p w14:paraId="6F6D0E1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（2）载明要求支付的金额；</w:t>
      </w:r>
    </w:p>
    <w:p w14:paraId="547D775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（3）载明申请人违反合同义务的条款和内容；</w:t>
      </w:r>
    </w:p>
    <w:p w14:paraId="361E4D5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（4）声明不存在合同文件约定或我国法律规定免除申请人或开立人支付责任的情形；</w:t>
      </w:r>
    </w:p>
    <w:p w14:paraId="24A9DEC7">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（5）付款通知应在本保函有效期内到达的地址是：             。</w:t>
      </w:r>
    </w:p>
    <w:p w14:paraId="6055A3AF">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受益人发出的书面付款通知应由其为鉴明受益人法定代表人（负责人）或授权代理人签字并加盖公章。</w:t>
      </w:r>
    </w:p>
    <w:p w14:paraId="2880426D">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五、本保函项下的权利不得转让，不得设定担保。贵方未经我方书面同意转 让本保函或其项下任何权利，对我方不发生法律效力。 </w:t>
      </w:r>
    </w:p>
    <w:p w14:paraId="667293D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六、与本保函有关的基础合同不成立、不生效、无效、被撤销、被解除，不影响本保函的独立有效。 </w:t>
      </w:r>
    </w:p>
    <w:p w14:paraId="3AD3222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七、贵方应在本保函到期后的七日内将本保函正本退回我方注销，但是不论贵方是否按此要求将本保函正本退回我方，我方在本保函项下的义务和责任均在保函有效期到期后自动消灭。 </w:t>
      </w:r>
    </w:p>
    <w:p w14:paraId="064F6A3E">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八、本保函适用的法律为中华人民共和国法律，争议裁判管辖地为中华人民共和国</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 xml:space="preserve">。 </w:t>
      </w:r>
    </w:p>
    <w:p w14:paraId="0458B1F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九、本保函自我方法定代表人</w:t>
      </w:r>
      <w:bookmarkStart w:id="1713" w:name="_Hlk58487855"/>
      <w:r>
        <w:rPr>
          <w:rFonts w:hint="eastAsia" w:ascii="宋体" w:hAnsi="宋体" w:eastAsia="宋体" w:cs="宋体"/>
          <w:b w:val="0"/>
          <w:bCs w:val="0"/>
          <w:color w:val="auto"/>
          <w:kern w:val="2"/>
          <w:sz w:val="21"/>
          <w:szCs w:val="21"/>
          <w:highlight w:val="none"/>
          <w:lang w:val="en-US" w:eastAsia="zh-CN" w:bidi="ar-SA"/>
        </w:rPr>
        <w:t>或授权代表</w:t>
      </w:r>
      <w:bookmarkEnd w:id="1713"/>
      <w:r>
        <w:rPr>
          <w:rFonts w:hint="eastAsia" w:ascii="宋体" w:hAnsi="宋体" w:eastAsia="宋体" w:cs="宋体"/>
          <w:b w:val="0"/>
          <w:bCs w:val="0"/>
          <w:color w:val="auto"/>
          <w:kern w:val="2"/>
          <w:sz w:val="21"/>
          <w:szCs w:val="21"/>
          <w:highlight w:val="none"/>
          <w:lang w:val="en-US" w:eastAsia="zh-CN" w:bidi="ar-SA"/>
        </w:rPr>
        <w:t xml:space="preserve">签字并加盖公章之日起生效。 </w:t>
      </w:r>
    </w:p>
    <w:p w14:paraId="65E13BE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199C2CC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p>
    <w:p w14:paraId="72F9F63B">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开 立 人：                              （公章） </w:t>
      </w:r>
    </w:p>
    <w:p w14:paraId="2E34F14A">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法定代表人（或授权代表）：               （签字） </w:t>
      </w:r>
    </w:p>
    <w:p w14:paraId="1F6F9B73">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地    址：                                       </w:t>
      </w:r>
    </w:p>
    <w:p w14:paraId="21A555CC">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邮政编码：                 </w:t>
      </w:r>
    </w:p>
    <w:p w14:paraId="313F6374">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电    话：                 </w:t>
      </w:r>
    </w:p>
    <w:p w14:paraId="58B53FC6">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传    真：                 </w:t>
      </w:r>
    </w:p>
    <w:p w14:paraId="5F646359">
      <w:pPr>
        <w:wordWrap/>
        <w:topLinePunct w:val="0"/>
        <w:spacing w:line="360" w:lineRule="auto"/>
        <w:ind w:right="-218" w:rightChars="-104" w:firstLine="6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开立时间：      年      月        日</w:t>
      </w:r>
    </w:p>
    <w:p w14:paraId="6ED03CEB">
      <w:pPr>
        <w:pStyle w:val="116"/>
        <w:rPr>
          <w:rFonts w:hint="eastAsia" w:ascii="宋体" w:hAnsi="宋体"/>
          <w:color w:val="auto"/>
          <w:sz w:val="24"/>
          <w:highlight w:val="none"/>
        </w:rPr>
      </w:pPr>
    </w:p>
    <w:p w14:paraId="6C1161DE">
      <w:pPr>
        <w:spacing w:line="400" w:lineRule="exact"/>
        <w:rPr>
          <w:rFonts w:cs="Times New Roman"/>
          <w:color w:val="auto"/>
          <w:highlight w:val="none"/>
        </w:rPr>
      </w:pPr>
    </w:p>
    <w:p w14:paraId="3A4E2C8C">
      <w:pPr>
        <w:pStyle w:val="3"/>
        <w:rPr>
          <w:rFonts w:cs="Times New Roman"/>
          <w:color w:val="auto"/>
          <w:highlight w:val="none"/>
        </w:rPr>
      </w:pPr>
      <w:bookmarkStart w:id="1714" w:name="_Toc5731"/>
      <w:bookmarkStart w:id="1715" w:name="_Toc247527819"/>
      <w:bookmarkStart w:id="1716" w:name="_Toc247514232"/>
      <w:bookmarkStart w:id="1717" w:name="_Toc446574741"/>
    </w:p>
    <w:p w14:paraId="06EC72CA">
      <w:pPr>
        <w:rPr>
          <w:rFonts w:cs="Times New Roman"/>
          <w:color w:val="auto"/>
          <w:highlight w:val="none"/>
        </w:rPr>
      </w:pPr>
    </w:p>
    <w:p w14:paraId="45324C64">
      <w:pPr>
        <w:pStyle w:val="116"/>
        <w:rPr>
          <w:rFonts w:cs="Times New Roman"/>
          <w:color w:val="auto"/>
          <w:highlight w:val="none"/>
        </w:rPr>
      </w:pPr>
    </w:p>
    <w:p w14:paraId="59E86C99">
      <w:pPr>
        <w:pStyle w:val="116"/>
        <w:rPr>
          <w:rFonts w:cs="Times New Roman"/>
          <w:color w:val="auto"/>
          <w:highlight w:val="none"/>
        </w:rPr>
      </w:pPr>
    </w:p>
    <w:p w14:paraId="3BA3102C">
      <w:pPr>
        <w:pStyle w:val="116"/>
        <w:rPr>
          <w:rFonts w:cs="Times New Roman"/>
          <w:color w:val="auto"/>
          <w:highlight w:val="none"/>
        </w:rPr>
      </w:pPr>
    </w:p>
    <w:p w14:paraId="1748C922">
      <w:pPr>
        <w:pStyle w:val="116"/>
        <w:rPr>
          <w:rFonts w:cs="Times New Roman"/>
          <w:color w:val="auto"/>
          <w:highlight w:val="none"/>
        </w:rPr>
      </w:pPr>
    </w:p>
    <w:p w14:paraId="68324DCE">
      <w:pPr>
        <w:pStyle w:val="116"/>
        <w:rPr>
          <w:rFonts w:cs="Times New Roman"/>
          <w:color w:val="auto"/>
          <w:highlight w:val="none"/>
        </w:rPr>
      </w:pPr>
    </w:p>
    <w:p w14:paraId="0386D1D9">
      <w:pPr>
        <w:pStyle w:val="116"/>
        <w:rPr>
          <w:rFonts w:cs="Times New Roman"/>
          <w:color w:val="auto"/>
          <w:highlight w:val="none"/>
        </w:rPr>
      </w:pPr>
    </w:p>
    <w:p w14:paraId="3B604382">
      <w:pPr>
        <w:pStyle w:val="116"/>
        <w:rPr>
          <w:rFonts w:cs="Times New Roman"/>
          <w:color w:val="auto"/>
          <w:highlight w:val="none"/>
        </w:rPr>
      </w:pPr>
    </w:p>
    <w:p w14:paraId="79D33CF5">
      <w:pPr>
        <w:pStyle w:val="116"/>
        <w:rPr>
          <w:rFonts w:cs="Times New Roman"/>
          <w:color w:val="auto"/>
          <w:highlight w:val="none"/>
        </w:rPr>
      </w:pPr>
    </w:p>
    <w:p w14:paraId="4EEEE080">
      <w:pPr>
        <w:pStyle w:val="116"/>
        <w:rPr>
          <w:rFonts w:cs="Times New Roman"/>
          <w:color w:val="auto"/>
          <w:highlight w:val="none"/>
        </w:rPr>
      </w:pPr>
    </w:p>
    <w:p w14:paraId="72E5504B">
      <w:pPr>
        <w:pStyle w:val="116"/>
        <w:rPr>
          <w:rFonts w:cs="Times New Roman"/>
          <w:color w:val="auto"/>
          <w:highlight w:val="none"/>
        </w:rPr>
      </w:pPr>
    </w:p>
    <w:p w14:paraId="1D040B01">
      <w:pPr>
        <w:pStyle w:val="116"/>
        <w:rPr>
          <w:rFonts w:cs="Times New Roman"/>
          <w:color w:val="auto"/>
          <w:highlight w:val="none"/>
        </w:rPr>
      </w:pPr>
    </w:p>
    <w:p w14:paraId="7243055B">
      <w:pPr>
        <w:pStyle w:val="117"/>
        <w:rPr>
          <w:color w:val="auto"/>
          <w:highlight w:val="none"/>
        </w:rPr>
      </w:pPr>
    </w:p>
    <w:p w14:paraId="0F542A9B">
      <w:pPr>
        <w:pStyle w:val="116"/>
        <w:rPr>
          <w:rFonts w:cs="Times New Roman"/>
          <w:color w:val="auto"/>
          <w:highlight w:val="none"/>
        </w:rPr>
      </w:pPr>
    </w:p>
    <w:p w14:paraId="53429C15">
      <w:pPr>
        <w:pStyle w:val="116"/>
        <w:rPr>
          <w:rFonts w:cs="Times New Roman"/>
          <w:color w:val="auto"/>
          <w:highlight w:val="none"/>
        </w:rPr>
      </w:pPr>
    </w:p>
    <w:p w14:paraId="46F9B403">
      <w:pPr>
        <w:pStyle w:val="116"/>
        <w:rPr>
          <w:rFonts w:cs="Times New Roman"/>
          <w:color w:val="auto"/>
          <w:highlight w:val="none"/>
        </w:rPr>
      </w:pPr>
    </w:p>
    <w:p w14:paraId="74B3D48F">
      <w:pPr>
        <w:pageBreakBefore w:val="0"/>
        <w:kinsoku/>
        <w:wordWrap/>
        <w:overflowPunct/>
        <w:topLinePunct w:val="0"/>
        <w:bidi w:val="0"/>
        <w:adjustRightInd w:val="0"/>
        <w:snapToGrid w:val="0"/>
        <w:spacing w:line="440" w:lineRule="exact"/>
        <w:ind w:left="0" w:leftChars="0" w:right="0"/>
        <w:jc w:val="center"/>
        <w:textAlignment w:val="auto"/>
        <w:rPr>
          <w:rFonts w:hint="eastAsia" w:ascii="宋体" w:hAnsi="宋体" w:eastAsia="宋体" w:cs="宋体"/>
          <w:b/>
          <w:bCs/>
          <w:color w:val="auto"/>
          <w:kern w:val="0"/>
          <w:sz w:val="32"/>
          <w:szCs w:val="32"/>
          <w:highlight w:val="none"/>
        </w:rPr>
      </w:pPr>
      <w:bookmarkStart w:id="1718" w:name="_Toc19810"/>
      <w:bookmarkStart w:id="1719" w:name="_Toc45896868"/>
      <w:r>
        <w:rPr>
          <w:rFonts w:hint="eastAsia" w:ascii="宋体" w:hAnsi="宋体" w:eastAsia="宋体" w:cs="宋体"/>
          <w:b/>
          <w:bCs/>
          <w:color w:val="auto"/>
          <w:kern w:val="0"/>
          <w:sz w:val="32"/>
          <w:szCs w:val="32"/>
          <w:highlight w:val="none"/>
        </w:rPr>
        <w:t>项目运营协议</w:t>
      </w:r>
    </w:p>
    <w:p w14:paraId="2D7E21AD">
      <w:pPr>
        <w:pStyle w:val="58"/>
        <w:pageBreakBefore w:val="0"/>
        <w:tabs>
          <w:tab w:val="right" w:leader="dot" w:pos="9639"/>
        </w:tabs>
        <w:kinsoku/>
        <w:wordWrap/>
        <w:overflowPunct/>
        <w:topLinePunct w:val="0"/>
        <w:bidi w:val="0"/>
        <w:adjustRightInd w:val="0"/>
        <w:snapToGrid w:val="0"/>
        <w:spacing w:line="440" w:lineRule="exact"/>
        <w:ind w:left="0" w:leftChars="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（由中标单位在与招标人协商完成后，根据中标单位的投标的运营方案和承诺的主要内容签订协议）</w:t>
      </w:r>
    </w:p>
    <w:p w14:paraId="489AAB47">
      <w:pPr>
        <w:pStyle w:val="3"/>
        <w:jc w:val="center"/>
        <w:rPr>
          <w:rFonts w:hint="eastAsia" w:cs="宋体"/>
          <w:color w:val="auto"/>
          <w:highlight w:val="none"/>
        </w:rPr>
      </w:pPr>
    </w:p>
    <w:p w14:paraId="5D9BC9F6">
      <w:pPr>
        <w:rPr>
          <w:rFonts w:hint="eastAsia" w:cs="宋体"/>
          <w:color w:val="auto"/>
          <w:highlight w:val="none"/>
        </w:rPr>
      </w:pPr>
    </w:p>
    <w:p w14:paraId="72FE5B4B">
      <w:pPr>
        <w:pStyle w:val="34"/>
        <w:rPr>
          <w:rFonts w:hint="eastAsia" w:cs="宋体"/>
          <w:color w:val="auto"/>
          <w:highlight w:val="none"/>
        </w:rPr>
      </w:pPr>
    </w:p>
    <w:p w14:paraId="5F134D68">
      <w:pPr>
        <w:rPr>
          <w:rFonts w:hint="eastAsia" w:cs="宋体"/>
          <w:color w:val="auto"/>
          <w:highlight w:val="none"/>
        </w:rPr>
      </w:pPr>
    </w:p>
    <w:p w14:paraId="69CECCF5">
      <w:pPr>
        <w:pStyle w:val="34"/>
        <w:rPr>
          <w:rFonts w:hint="eastAsia" w:cs="宋体"/>
          <w:color w:val="auto"/>
          <w:highlight w:val="none"/>
        </w:rPr>
      </w:pPr>
    </w:p>
    <w:p w14:paraId="6B2DF141">
      <w:pPr>
        <w:rPr>
          <w:rFonts w:hint="eastAsia" w:cs="宋体"/>
          <w:color w:val="auto"/>
          <w:highlight w:val="none"/>
        </w:rPr>
      </w:pPr>
    </w:p>
    <w:p w14:paraId="677912EB">
      <w:pPr>
        <w:pStyle w:val="34"/>
        <w:rPr>
          <w:rFonts w:hint="eastAsia" w:cs="宋体"/>
          <w:color w:val="auto"/>
          <w:highlight w:val="none"/>
        </w:rPr>
      </w:pPr>
    </w:p>
    <w:p w14:paraId="3BAC63FE">
      <w:pPr>
        <w:rPr>
          <w:rFonts w:hint="eastAsia" w:cs="宋体"/>
          <w:color w:val="auto"/>
          <w:highlight w:val="none"/>
        </w:rPr>
      </w:pPr>
    </w:p>
    <w:p w14:paraId="25192829">
      <w:pPr>
        <w:pStyle w:val="34"/>
        <w:rPr>
          <w:rFonts w:hint="eastAsia" w:cs="宋体"/>
          <w:color w:val="auto"/>
          <w:highlight w:val="none"/>
        </w:rPr>
      </w:pPr>
    </w:p>
    <w:p w14:paraId="75F4F6C8">
      <w:pPr>
        <w:rPr>
          <w:rFonts w:hint="eastAsia" w:cs="宋体"/>
          <w:color w:val="auto"/>
          <w:highlight w:val="none"/>
        </w:rPr>
      </w:pPr>
    </w:p>
    <w:p w14:paraId="53466168">
      <w:pPr>
        <w:pStyle w:val="34"/>
        <w:rPr>
          <w:rFonts w:hint="eastAsia" w:cs="宋体"/>
          <w:color w:val="auto"/>
          <w:highlight w:val="none"/>
        </w:rPr>
      </w:pPr>
    </w:p>
    <w:p w14:paraId="4468BCF7">
      <w:pPr>
        <w:rPr>
          <w:rFonts w:hint="eastAsia" w:cs="宋体"/>
          <w:color w:val="auto"/>
          <w:highlight w:val="none"/>
        </w:rPr>
      </w:pPr>
    </w:p>
    <w:p w14:paraId="621F28F4">
      <w:pPr>
        <w:pStyle w:val="34"/>
        <w:rPr>
          <w:rFonts w:hint="eastAsia" w:cs="宋体"/>
          <w:color w:val="auto"/>
          <w:highlight w:val="none"/>
        </w:rPr>
      </w:pPr>
    </w:p>
    <w:p w14:paraId="624CE850">
      <w:pPr>
        <w:rPr>
          <w:rFonts w:hint="eastAsia" w:cs="宋体"/>
          <w:color w:val="auto"/>
          <w:highlight w:val="none"/>
        </w:rPr>
      </w:pPr>
    </w:p>
    <w:p w14:paraId="2462F01E">
      <w:pPr>
        <w:pStyle w:val="34"/>
        <w:rPr>
          <w:rFonts w:hint="eastAsia" w:cs="宋体"/>
          <w:color w:val="auto"/>
          <w:highlight w:val="none"/>
        </w:rPr>
      </w:pPr>
    </w:p>
    <w:p w14:paraId="6059B8E9">
      <w:pPr>
        <w:rPr>
          <w:rFonts w:hint="eastAsia" w:cs="宋体"/>
          <w:color w:val="auto"/>
          <w:highlight w:val="none"/>
        </w:rPr>
      </w:pPr>
    </w:p>
    <w:p w14:paraId="376DE61C">
      <w:pPr>
        <w:pStyle w:val="34"/>
        <w:rPr>
          <w:rFonts w:hint="eastAsia" w:cs="宋体"/>
          <w:color w:val="auto"/>
          <w:highlight w:val="none"/>
        </w:rPr>
      </w:pPr>
    </w:p>
    <w:p w14:paraId="6A2DF8F5">
      <w:pPr>
        <w:rPr>
          <w:rFonts w:hint="eastAsia" w:cs="宋体"/>
          <w:color w:val="auto"/>
          <w:highlight w:val="none"/>
        </w:rPr>
      </w:pPr>
    </w:p>
    <w:p w14:paraId="50535B37">
      <w:pPr>
        <w:pStyle w:val="34"/>
        <w:rPr>
          <w:rFonts w:hint="eastAsia" w:cs="宋体"/>
          <w:color w:val="auto"/>
          <w:highlight w:val="none"/>
        </w:rPr>
      </w:pPr>
    </w:p>
    <w:p w14:paraId="19763170">
      <w:pPr>
        <w:rPr>
          <w:rFonts w:hint="eastAsia" w:cs="宋体"/>
          <w:color w:val="auto"/>
          <w:highlight w:val="none"/>
        </w:rPr>
      </w:pPr>
    </w:p>
    <w:p w14:paraId="6C2EF6E7">
      <w:pPr>
        <w:pStyle w:val="34"/>
        <w:rPr>
          <w:rFonts w:hint="eastAsia" w:cs="宋体"/>
          <w:color w:val="auto"/>
          <w:highlight w:val="none"/>
        </w:rPr>
      </w:pPr>
    </w:p>
    <w:p w14:paraId="19FE5CEC">
      <w:pPr>
        <w:rPr>
          <w:rFonts w:hint="eastAsia" w:cs="宋体"/>
          <w:color w:val="auto"/>
          <w:highlight w:val="none"/>
        </w:rPr>
      </w:pPr>
    </w:p>
    <w:p w14:paraId="1D027B98">
      <w:pPr>
        <w:pStyle w:val="34"/>
        <w:rPr>
          <w:rFonts w:hint="eastAsia" w:cs="宋体"/>
          <w:color w:val="auto"/>
          <w:highlight w:val="none"/>
        </w:rPr>
      </w:pPr>
    </w:p>
    <w:p w14:paraId="42D94226">
      <w:pPr>
        <w:rPr>
          <w:rFonts w:hint="eastAsia" w:cs="宋体"/>
          <w:color w:val="auto"/>
          <w:highlight w:val="none"/>
        </w:rPr>
      </w:pPr>
    </w:p>
    <w:p w14:paraId="302EFA62">
      <w:pPr>
        <w:pStyle w:val="34"/>
        <w:rPr>
          <w:rFonts w:hint="eastAsia" w:cs="宋体"/>
          <w:color w:val="auto"/>
          <w:highlight w:val="none"/>
        </w:rPr>
      </w:pPr>
    </w:p>
    <w:p w14:paraId="1D165C9F">
      <w:pPr>
        <w:rPr>
          <w:rFonts w:hint="eastAsia" w:cs="宋体"/>
          <w:color w:val="auto"/>
          <w:highlight w:val="none"/>
        </w:rPr>
      </w:pPr>
    </w:p>
    <w:p w14:paraId="392CA42D">
      <w:pPr>
        <w:pStyle w:val="34"/>
        <w:rPr>
          <w:rFonts w:hint="eastAsia" w:cs="宋体"/>
          <w:color w:val="auto"/>
          <w:highlight w:val="none"/>
        </w:rPr>
      </w:pPr>
    </w:p>
    <w:p w14:paraId="2BEC09D4">
      <w:pPr>
        <w:rPr>
          <w:rFonts w:hint="eastAsia"/>
          <w:color w:val="auto"/>
          <w:highlight w:val="none"/>
        </w:rPr>
      </w:pPr>
    </w:p>
    <w:p w14:paraId="08295B8E">
      <w:pPr>
        <w:pStyle w:val="3"/>
        <w:jc w:val="both"/>
        <w:rPr>
          <w:rFonts w:hint="eastAsia" w:cs="宋体"/>
          <w:color w:val="auto"/>
          <w:highlight w:val="none"/>
        </w:rPr>
      </w:pPr>
    </w:p>
    <w:p w14:paraId="56CF0D08">
      <w:pPr>
        <w:rPr>
          <w:rFonts w:hint="eastAsia" w:cs="宋体"/>
          <w:color w:val="auto"/>
          <w:highlight w:val="none"/>
        </w:rPr>
      </w:pPr>
    </w:p>
    <w:p w14:paraId="67E0FCE6">
      <w:pPr>
        <w:pStyle w:val="34"/>
        <w:rPr>
          <w:rFonts w:hint="eastAsia" w:cs="宋体"/>
          <w:color w:val="auto"/>
          <w:highlight w:val="none"/>
        </w:rPr>
      </w:pPr>
    </w:p>
    <w:p w14:paraId="74DD1530">
      <w:pPr>
        <w:rPr>
          <w:rFonts w:hint="eastAsia"/>
          <w:color w:val="auto"/>
          <w:highlight w:val="none"/>
        </w:rPr>
      </w:pPr>
    </w:p>
    <w:p w14:paraId="1E7BA449">
      <w:pPr>
        <w:pStyle w:val="3"/>
        <w:jc w:val="center"/>
        <w:rPr>
          <w:rFonts w:hint="eastAsia" w:cs="宋体"/>
          <w:color w:val="auto"/>
          <w:highlight w:val="none"/>
        </w:rPr>
      </w:pPr>
      <w:r>
        <w:rPr>
          <w:rFonts w:hint="eastAsia" w:cs="宋体"/>
          <w:color w:val="auto"/>
          <w:highlight w:val="none"/>
        </w:rPr>
        <w:t>第二卷</w:t>
      </w:r>
      <w:bookmarkEnd w:id="1714"/>
      <w:bookmarkEnd w:id="1715"/>
      <w:bookmarkEnd w:id="1716"/>
      <w:bookmarkEnd w:id="1717"/>
      <w:bookmarkEnd w:id="1718"/>
      <w:bookmarkEnd w:id="1719"/>
      <w:bookmarkStart w:id="1720" w:name="_Toc247527820"/>
      <w:bookmarkStart w:id="1721" w:name="_Toc144974851"/>
      <w:bookmarkStart w:id="1722" w:name="_Toc446574742"/>
      <w:bookmarkStart w:id="1723" w:name="_Toc152045782"/>
      <w:bookmarkStart w:id="1724" w:name="_Toc152042571"/>
      <w:bookmarkStart w:id="1725" w:name="_Toc247514233"/>
    </w:p>
    <w:p w14:paraId="77820339">
      <w:pPr>
        <w:rPr>
          <w:rFonts w:hint="eastAsia" w:cs="宋体"/>
          <w:color w:val="auto"/>
          <w:highlight w:val="none"/>
        </w:rPr>
      </w:pPr>
    </w:p>
    <w:p w14:paraId="4E2A3F27">
      <w:pPr>
        <w:pStyle w:val="116"/>
        <w:rPr>
          <w:rFonts w:hint="eastAsia" w:cs="宋体"/>
          <w:color w:val="auto"/>
          <w:highlight w:val="none"/>
        </w:rPr>
      </w:pPr>
    </w:p>
    <w:p w14:paraId="4FA64E97">
      <w:pPr>
        <w:pStyle w:val="116"/>
        <w:rPr>
          <w:rFonts w:hint="eastAsia" w:cs="宋体"/>
          <w:color w:val="auto"/>
          <w:highlight w:val="none"/>
        </w:rPr>
      </w:pPr>
    </w:p>
    <w:p w14:paraId="08DFD5A2">
      <w:pPr>
        <w:pStyle w:val="3"/>
        <w:jc w:val="center"/>
        <w:rPr>
          <w:rFonts w:hint="eastAsia" w:cs="宋体"/>
          <w:color w:val="auto"/>
          <w:highlight w:val="none"/>
        </w:rPr>
      </w:pPr>
      <w:bookmarkStart w:id="1726" w:name="_Toc28275"/>
      <w:bookmarkStart w:id="1727" w:name="_Toc8104_WPSOffice_Level1"/>
      <w:bookmarkStart w:id="1728" w:name="_Toc17087_WPSOffice_Level1"/>
      <w:bookmarkStart w:id="1729" w:name="_Toc1444557"/>
    </w:p>
    <w:p w14:paraId="5AC5828B">
      <w:pPr>
        <w:rPr>
          <w:rFonts w:hint="eastAsia" w:cs="宋体"/>
          <w:color w:val="auto"/>
          <w:highlight w:val="none"/>
        </w:rPr>
      </w:pPr>
    </w:p>
    <w:p w14:paraId="39C4ED4C">
      <w:pPr>
        <w:pStyle w:val="116"/>
        <w:rPr>
          <w:rFonts w:hint="eastAsia" w:cs="宋体"/>
          <w:color w:val="auto"/>
          <w:highlight w:val="none"/>
        </w:rPr>
      </w:pPr>
    </w:p>
    <w:p w14:paraId="0E7F868C">
      <w:pPr>
        <w:pStyle w:val="116"/>
        <w:rPr>
          <w:rFonts w:hint="eastAsia" w:cs="宋体"/>
          <w:color w:val="auto"/>
          <w:highlight w:val="none"/>
        </w:rPr>
      </w:pPr>
    </w:p>
    <w:p w14:paraId="0346A4A8">
      <w:pPr>
        <w:pStyle w:val="117"/>
        <w:rPr>
          <w:rFonts w:hint="eastAsia" w:cs="宋体"/>
          <w:color w:val="auto"/>
          <w:highlight w:val="none"/>
        </w:rPr>
      </w:pPr>
    </w:p>
    <w:p w14:paraId="6FA890A7">
      <w:pPr>
        <w:pStyle w:val="68"/>
        <w:rPr>
          <w:rFonts w:hint="eastAsia" w:cs="宋体"/>
          <w:color w:val="auto"/>
          <w:highlight w:val="none"/>
        </w:rPr>
      </w:pPr>
    </w:p>
    <w:p w14:paraId="07BA7ED5">
      <w:pPr>
        <w:pStyle w:val="69"/>
        <w:rPr>
          <w:rFonts w:hint="eastAsia" w:cs="宋体"/>
          <w:color w:val="auto"/>
          <w:highlight w:val="none"/>
        </w:rPr>
      </w:pPr>
    </w:p>
    <w:p w14:paraId="4A563D3E">
      <w:pPr>
        <w:rPr>
          <w:rFonts w:hint="eastAsia" w:cs="宋体"/>
          <w:color w:val="auto"/>
          <w:highlight w:val="none"/>
        </w:rPr>
      </w:pPr>
    </w:p>
    <w:p w14:paraId="6273EFF6">
      <w:pPr>
        <w:pStyle w:val="4"/>
        <w:rPr>
          <w:rFonts w:hint="eastAsia" w:cs="宋体"/>
          <w:color w:val="auto"/>
          <w:highlight w:val="none"/>
        </w:rPr>
      </w:pPr>
    </w:p>
    <w:p w14:paraId="6BC72C6C">
      <w:pPr>
        <w:rPr>
          <w:rFonts w:hint="eastAsia" w:cs="宋体"/>
          <w:color w:val="auto"/>
          <w:highlight w:val="none"/>
        </w:rPr>
      </w:pPr>
    </w:p>
    <w:p w14:paraId="7E1C8CA7">
      <w:pPr>
        <w:pStyle w:val="4"/>
        <w:rPr>
          <w:rFonts w:hint="eastAsia" w:cs="宋体"/>
          <w:color w:val="auto"/>
          <w:highlight w:val="none"/>
        </w:rPr>
      </w:pPr>
    </w:p>
    <w:p w14:paraId="26E28749">
      <w:pPr>
        <w:rPr>
          <w:rFonts w:hint="eastAsia" w:cs="宋体"/>
          <w:color w:val="auto"/>
          <w:highlight w:val="none"/>
        </w:rPr>
      </w:pPr>
    </w:p>
    <w:p w14:paraId="1BB5B2AE">
      <w:pPr>
        <w:pStyle w:val="34"/>
        <w:rPr>
          <w:rFonts w:hint="eastAsia" w:cs="宋体"/>
          <w:color w:val="auto"/>
          <w:highlight w:val="none"/>
        </w:rPr>
      </w:pPr>
    </w:p>
    <w:p w14:paraId="29B82F85">
      <w:pPr>
        <w:rPr>
          <w:rFonts w:hint="eastAsia" w:cs="宋体"/>
          <w:color w:val="auto"/>
          <w:highlight w:val="none"/>
        </w:rPr>
      </w:pPr>
    </w:p>
    <w:p w14:paraId="55B64FFA">
      <w:pPr>
        <w:pStyle w:val="34"/>
        <w:rPr>
          <w:rFonts w:hint="eastAsia"/>
          <w:color w:val="auto"/>
          <w:highlight w:val="none"/>
        </w:rPr>
      </w:pPr>
    </w:p>
    <w:p w14:paraId="7FB6FC79">
      <w:pPr>
        <w:rPr>
          <w:rFonts w:hint="eastAsia"/>
          <w:color w:val="auto"/>
          <w:highlight w:val="none"/>
        </w:rPr>
      </w:pPr>
    </w:p>
    <w:p w14:paraId="7819DDB7">
      <w:pPr>
        <w:pStyle w:val="116"/>
        <w:rPr>
          <w:rFonts w:hint="eastAsia" w:cs="宋体"/>
          <w:color w:val="auto"/>
          <w:highlight w:val="none"/>
        </w:rPr>
      </w:pPr>
    </w:p>
    <w:p w14:paraId="77D63804">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cs="Times New Roman"/>
          <w:color w:val="auto"/>
          <w:highlight w:val="none"/>
        </w:rPr>
      </w:pPr>
      <w:r>
        <w:rPr>
          <w:rFonts w:hint="eastAsia" w:cs="宋体"/>
          <w:color w:val="auto"/>
          <w:highlight w:val="none"/>
        </w:rPr>
        <w:t>第五章</w:t>
      </w:r>
      <w:r>
        <w:rPr>
          <w:color w:val="auto"/>
          <w:highlight w:val="none"/>
        </w:rPr>
        <w:t xml:space="preserve"> </w:t>
      </w:r>
      <w:r>
        <w:rPr>
          <w:rFonts w:hint="eastAsia" w:cs="宋体"/>
          <w:color w:val="auto"/>
          <w:highlight w:val="none"/>
        </w:rPr>
        <w:t>发包人要求</w:t>
      </w:r>
      <w:bookmarkEnd w:id="1726"/>
      <w:bookmarkEnd w:id="1727"/>
      <w:bookmarkEnd w:id="1728"/>
      <w:bookmarkEnd w:id="1729"/>
    </w:p>
    <w:p w14:paraId="69DB0B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1、项目名称：</w:t>
      </w:r>
      <w:r>
        <w:rPr>
          <w:rFonts w:hint="eastAsia" w:ascii="宋体" w:hAnsi="宋体" w:cs="宋体"/>
          <w:color w:val="auto"/>
          <w:highlight w:val="none"/>
          <w:lang w:val="en-US" w:eastAsia="zh-CN"/>
        </w:rPr>
        <w:t>2026年上海市对口帮扶龙陵县龙山镇横山村石斛鲜切花种植试验示范基地建设项目（EPC+O）</w:t>
      </w:r>
    </w:p>
    <w:p w14:paraId="3A82D0ED">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2、建设地点：</w:t>
      </w:r>
      <w:r>
        <w:rPr>
          <w:rFonts w:hint="eastAsia" w:ascii="宋体" w:hAnsi="宋体" w:cs="宋体"/>
          <w:color w:val="auto"/>
          <w:highlight w:val="none"/>
          <w:lang w:val="zh-CN" w:eastAsia="zh-CN"/>
        </w:rPr>
        <w:t>龙陵县龙山镇横山村</w:t>
      </w:r>
      <w:r>
        <w:rPr>
          <w:rFonts w:hint="eastAsia" w:ascii="宋体" w:hAnsi="宋体" w:eastAsia="宋体" w:cs="宋体"/>
          <w:color w:val="auto"/>
          <w:highlight w:val="none"/>
          <w:lang w:val="en-US" w:eastAsia="zh-CN"/>
        </w:rPr>
        <w:t>。</w:t>
      </w:r>
    </w:p>
    <w:p w14:paraId="21D05093">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3、工期要求：总工期为</w:t>
      </w:r>
      <w:r>
        <w:rPr>
          <w:rFonts w:hint="eastAsia" w:ascii="宋体" w:hAnsi="宋体" w:cs="宋体"/>
          <w:color w:val="auto"/>
          <w:highlight w:val="none"/>
          <w:lang w:val="en-US" w:eastAsia="zh-CN"/>
        </w:rPr>
        <w:t>180日历天</w:t>
      </w:r>
      <w:r>
        <w:rPr>
          <w:rFonts w:hint="eastAsia" w:ascii="宋体" w:hAnsi="宋体" w:eastAsia="宋体" w:cs="宋体"/>
          <w:color w:val="auto"/>
          <w:highlight w:val="none"/>
          <w:lang w:val="en-US" w:eastAsia="zh-CN"/>
        </w:rPr>
        <w:t>。</w:t>
      </w:r>
    </w:p>
    <w:p w14:paraId="183C1779">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设计工期：合同签订后</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历天内</w:t>
      </w:r>
      <w:r>
        <w:rPr>
          <w:rFonts w:hint="eastAsia" w:ascii="宋体" w:hAnsi="宋体" w:eastAsia="宋体" w:cs="宋体"/>
          <w:color w:val="auto"/>
          <w:highlight w:val="none"/>
        </w:rPr>
        <w:t>完成施工图设计。</w:t>
      </w:r>
    </w:p>
    <w:p w14:paraId="4E264C57">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3.2</w:t>
      </w:r>
      <w:r>
        <w:rPr>
          <w:rFonts w:hint="eastAsia" w:ascii="宋体" w:hAnsi="宋体" w:eastAsia="宋体" w:cs="宋体"/>
          <w:color w:val="auto"/>
          <w:highlight w:val="none"/>
        </w:rPr>
        <w:t>施工工期：</w:t>
      </w:r>
      <w:r>
        <w:rPr>
          <w:rFonts w:hint="eastAsia" w:ascii="宋体" w:hAnsi="宋体" w:cs="宋体"/>
          <w:color w:val="auto"/>
          <w:highlight w:val="none"/>
          <w:lang w:val="en-US" w:eastAsia="zh-CN"/>
        </w:rPr>
        <w:t>150</w:t>
      </w:r>
      <w:r>
        <w:rPr>
          <w:rFonts w:hint="eastAsia" w:ascii="宋体" w:hAnsi="宋体" w:eastAsia="宋体" w:cs="宋体"/>
          <w:color w:val="auto"/>
          <w:highlight w:val="none"/>
          <w:lang w:val="en-US" w:eastAsia="zh-CN"/>
        </w:rPr>
        <w:t>日历天</w:t>
      </w:r>
      <w:r>
        <w:rPr>
          <w:rFonts w:hint="eastAsia" w:ascii="宋体" w:hAnsi="宋体" w:cs="宋体"/>
          <w:color w:val="auto"/>
          <w:highlight w:val="none"/>
          <w:lang w:val="en-US" w:eastAsia="zh-CN"/>
        </w:rPr>
        <w:t>，</w:t>
      </w:r>
      <w:r>
        <w:rPr>
          <w:rFonts w:hint="eastAsia" w:ascii="宋体" w:hAnsi="宋体" w:eastAsia="宋体" w:cs="宋体"/>
          <w:color w:val="auto"/>
          <w:highlight w:val="none"/>
          <w:lang w:val="zh-CN" w:eastAsia="zh-CN"/>
        </w:rPr>
        <w:t>项目开工至完成建设并通过竣工验收</w:t>
      </w:r>
      <w:r>
        <w:rPr>
          <w:rFonts w:hint="eastAsia" w:ascii="宋体" w:hAnsi="宋体" w:eastAsia="宋体" w:cs="宋体"/>
          <w:color w:val="auto"/>
          <w:highlight w:val="none"/>
        </w:rPr>
        <w:t>。</w:t>
      </w:r>
    </w:p>
    <w:p w14:paraId="4178DE65">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4、发包范围：</w:t>
      </w:r>
    </w:p>
    <w:p w14:paraId="76E7D3FF">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本项目范围内全部工程的设计、施工直至竣工验收合格及整体移交、工程缺陷责任期内的缺陷修复和保修期内的保修工作</w:t>
      </w:r>
      <w:r>
        <w:rPr>
          <w:rFonts w:hint="eastAsia" w:ascii="宋体" w:hAnsi="宋体" w:cs="宋体"/>
          <w:color w:val="auto"/>
          <w:highlight w:val="none"/>
          <w:lang w:val="zh-CN"/>
        </w:rPr>
        <w:t>及运营</w:t>
      </w:r>
      <w:r>
        <w:rPr>
          <w:rFonts w:hint="eastAsia" w:ascii="宋体" w:hAnsi="宋体" w:eastAsia="宋体" w:cs="宋体"/>
          <w:color w:val="auto"/>
          <w:highlight w:val="none"/>
          <w:lang w:val="zh-CN" w:eastAsia="zh-CN"/>
        </w:rPr>
        <w:t>。</w:t>
      </w:r>
    </w:p>
    <w:p w14:paraId="20717068">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val="zh-CN"/>
        </w:rPr>
        <w:t>设计：</w:t>
      </w:r>
      <w:r>
        <w:rPr>
          <w:rFonts w:hint="eastAsia" w:ascii="宋体" w:hAnsi="宋体" w:cs="宋体"/>
          <w:color w:val="auto"/>
          <w:highlight w:val="none"/>
        </w:rPr>
        <w:t>完成本项目施工图设计，完成设计全套成果资料制作；施工图设计阶段专项技术审查，配合甲方完成施工图审定；配合甲方报批报建、专家咨询、资料收集等相关工作；以及施工过程中的全过程设计服务及协调工作，设计后期的跟踪服务等，具体工作范围以设计任务书及合同为准</w:t>
      </w:r>
      <w:r>
        <w:rPr>
          <w:rFonts w:hint="eastAsia" w:ascii="宋体" w:hAnsi="宋体" w:eastAsia="宋体" w:cs="宋体"/>
          <w:color w:val="auto"/>
          <w:highlight w:val="none"/>
          <w:lang w:val="en-US" w:eastAsia="zh-CN"/>
        </w:rPr>
        <w:t>；</w:t>
      </w:r>
    </w:p>
    <w:p w14:paraId="3216FDE8">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highlight w:val="none"/>
          <w:lang w:val="zh-CN" w:eastAsia="zh-CN"/>
        </w:rPr>
      </w:pPr>
      <w:r>
        <w:rPr>
          <w:rFonts w:hint="eastAsia" w:ascii="宋体" w:hAnsi="宋体" w:cs="宋体"/>
          <w:color w:val="auto"/>
          <w:highlight w:val="none"/>
          <w:lang w:val="en-US" w:eastAsia="zh-CN"/>
        </w:rPr>
        <w:t>4</w:t>
      </w:r>
      <w:r>
        <w:rPr>
          <w:rFonts w:hint="eastAsia" w:ascii="宋体" w:hAnsi="宋体" w:cs="宋体"/>
          <w:color w:val="auto"/>
          <w:highlight w:val="none"/>
          <w:lang w:val="zh-CN"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val="zh-CN" w:eastAsia="zh-CN"/>
        </w:rPr>
        <w:t>施工：完</w:t>
      </w:r>
      <w:r>
        <w:rPr>
          <w:rFonts w:hint="eastAsia" w:ascii="宋体" w:hAnsi="宋体" w:cs="宋体"/>
          <w:color w:val="auto"/>
          <w:highlight w:val="none"/>
          <w:lang w:val="en-US" w:eastAsia="zh-CN"/>
        </w:rPr>
        <w:t>成本项目经审查通过的施工图设计包含的全部施工内容，包括材料、设备采购及安装、调试等相关工作，配合招标人组织的验收工作</w:t>
      </w:r>
      <w:r>
        <w:rPr>
          <w:rFonts w:hint="eastAsia" w:ascii="宋体" w:hAnsi="宋体" w:cs="宋体"/>
          <w:color w:val="auto"/>
          <w:highlight w:val="none"/>
          <w:lang w:val="zh-CN" w:eastAsia="zh-CN"/>
        </w:rPr>
        <w:t>（含各阶段的报批等工作及工程检测费用，以及各种工程资料的编制），配合办理工程建设相关行政审批等服务、工程保修期内的缺陷修复和保修工作；</w:t>
      </w:r>
    </w:p>
    <w:p w14:paraId="48D1E5DB">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highlight w:val="none"/>
          <w:lang w:val="zh-CN"/>
        </w:rPr>
      </w:pPr>
      <w:r>
        <w:rPr>
          <w:rFonts w:hint="eastAsia" w:ascii="宋体" w:hAnsi="宋体" w:cs="宋体"/>
          <w:color w:val="auto"/>
          <w:highlight w:val="none"/>
          <w:lang w:val="en-US" w:eastAsia="zh-CN"/>
        </w:rPr>
        <w:t>4.3运营：</w:t>
      </w:r>
      <w:r>
        <w:rPr>
          <w:rFonts w:hint="eastAsia" w:ascii="宋体" w:hAnsi="宋体" w:cs="宋体"/>
          <w:color w:val="auto"/>
          <w:highlight w:val="none"/>
          <w:lang w:val="zh-CN"/>
        </w:rPr>
        <w:t>项目竣工验收并具备运营条件后，提供运营托管服务，包括但不限于</w:t>
      </w:r>
      <w:r>
        <w:rPr>
          <w:rFonts w:hint="eastAsia" w:ascii="宋体" w:hAnsi="宋体" w:cs="宋体"/>
          <w:color w:val="auto"/>
          <w:highlight w:val="none"/>
          <w:lang w:val="zh-CN" w:eastAsia="zh-CN"/>
        </w:rPr>
        <w:t>①</w:t>
      </w:r>
      <w:r>
        <w:rPr>
          <w:rFonts w:hint="eastAsia" w:ascii="宋体" w:hAnsi="宋体" w:cs="宋体"/>
          <w:color w:val="auto"/>
          <w:highlight w:val="none"/>
          <w:lang w:val="zh-CN"/>
        </w:rPr>
        <w:t>为本项目提供以运营的需求为导向组织设计方、施工方的设计、建设时序和内容</w:t>
      </w:r>
      <w:r>
        <w:rPr>
          <w:rFonts w:hint="eastAsia" w:ascii="宋体" w:hAnsi="宋体" w:cs="宋体"/>
          <w:color w:val="auto"/>
          <w:highlight w:val="none"/>
          <w:lang w:val="zh-CN" w:eastAsia="zh-CN"/>
        </w:rPr>
        <w:t>；</w:t>
      </w:r>
      <w:r>
        <w:rPr>
          <w:rFonts w:hint="eastAsia" w:ascii="宋体" w:hAnsi="宋体" w:cs="宋体"/>
          <w:color w:val="auto"/>
          <w:highlight w:val="none"/>
          <w:lang w:val="zh-CN"/>
        </w:rPr>
        <w:t>②运营方负责统筹项目资金计划、开发时序；③组织实施项目建设范围内运营服务、经营性项目及活动策划</w:t>
      </w:r>
      <w:r>
        <w:rPr>
          <w:rFonts w:hint="eastAsia" w:ascii="宋体" w:hAnsi="宋体" w:cs="宋体"/>
          <w:color w:val="auto"/>
          <w:highlight w:val="none"/>
          <w:lang w:val="en-US" w:eastAsia="zh-CN"/>
        </w:rPr>
        <w:t>等</w:t>
      </w:r>
      <w:r>
        <w:rPr>
          <w:rFonts w:hint="eastAsia" w:ascii="宋体" w:hAnsi="宋体" w:cs="宋体"/>
          <w:color w:val="auto"/>
          <w:highlight w:val="none"/>
          <w:lang w:val="zh-CN" w:eastAsia="zh-CN"/>
        </w:rPr>
        <w:t>；</w:t>
      </w:r>
      <w:r>
        <w:rPr>
          <w:rFonts w:hint="eastAsia" w:ascii="宋体" w:hAnsi="宋体" w:cs="宋体"/>
          <w:color w:val="auto"/>
          <w:highlight w:val="none"/>
          <w:lang w:val="zh-CN"/>
        </w:rPr>
        <w:t>④负责与招标人签订代运营协议，按时缴纳招标人的投资收益。</w:t>
      </w:r>
    </w:p>
    <w:p w14:paraId="7C83E334">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default"/>
          <w:color w:val="auto"/>
          <w:highlight w:val="none"/>
          <w:lang w:val="en-US" w:eastAsia="zh-CN"/>
        </w:rPr>
      </w:pPr>
      <w:r>
        <w:rPr>
          <w:rFonts w:hint="eastAsia" w:ascii="宋体" w:hAnsi="宋体" w:cs="宋体"/>
          <w:color w:val="auto"/>
          <w:highlight w:val="none"/>
          <w:lang w:val="zh-CN"/>
        </w:rPr>
        <w:t>招标人保留对招标范围及服务内容进行调整的权利，具体内容以招标人实际委托为准。</w:t>
      </w:r>
    </w:p>
    <w:p w14:paraId="681B2F60">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4.4</w:t>
      </w:r>
      <w:r>
        <w:rPr>
          <w:rFonts w:hint="eastAsia" w:ascii="宋体" w:hAnsi="宋体" w:cs="宋体"/>
          <w:color w:val="auto"/>
          <w:highlight w:val="none"/>
          <w:lang w:val="zh-CN"/>
        </w:rPr>
        <w:t>运营期限</w:t>
      </w:r>
      <w:r>
        <w:rPr>
          <w:rFonts w:hint="eastAsia" w:ascii="宋体" w:hAnsi="宋体" w:cs="宋体"/>
          <w:color w:val="auto"/>
          <w:highlight w:val="none"/>
          <w:lang w:val="en-US" w:eastAsia="zh-CN"/>
        </w:rPr>
        <w:t>及合作方式</w:t>
      </w:r>
    </w:p>
    <w:p w14:paraId="0A39AFAC">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highlight w:val="none"/>
          <w:lang w:val="en-US" w:eastAsia="zh-CN"/>
        </w:rPr>
      </w:pPr>
      <w:r>
        <w:rPr>
          <w:rFonts w:hint="eastAsia" w:ascii="宋体" w:hAnsi="宋体" w:cs="宋体"/>
          <w:color w:val="auto"/>
          <w:highlight w:val="none"/>
          <w:lang w:val="zh-CN" w:eastAsia="zh-CN"/>
        </w:rPr>
        <w:t>本项目合作期限不低于</w:t>
      </w:r>
      <w:r>
        <w:rPr>
          <w:rFonts w:hint="eastAsia" w:ascii="宋体" w:hAnsi="宋体" w:cs="宋体"/>
          <w:color w:val="auto"/>
          <w:highlight w:val="none"/>
          <w:lang w:val="en-US" w:eastAsia="zh-CN"/>
        </w:rPr>
        <w:t>5</w:t>
      </w:r>
      <w:r>
        <w:rPr>
          <w:rFonts w:hint="eastAsia" w:ascii="宋体" w:hAnsi="宋体" w:cs="宋体"/>
          <w:color w:val="auto"/>
          <w:highlight w:val="none"/>
          <w:lang w:val="zh-CN" w:eastAsia="zh-CN"/>
        </w:rPr>
        <w:t>年</w:t>
      </w:r>
      <w:r>
        <w:rPr>
          <w:rFonts w:hint="eastAsia" w:ascii="宋体" w:hAnsi="宋体" w:cs="宋体"/>
          <w:color w:val="auto"/>
          <w:highlight w:val="none"/>
          <w:lang w:val="zh-CN" w:eastAsia="zh-CN"/>
        </w:rPr>
        <w:t>，自项目竣工验收交付使用之日起算。项目建成后，产权归横山村集体所有，支持发展石斛鲜切花及石斛产业，建立联农带农机制，通过租赁方式产生收益，带动村集体经济发展，收益主要用于常态化帮扶下支持带动群众就业增收，壮大村集体经济等。中标方作为本项目资产的运营主体；招标人不参与日常运营管理，除</w:t>
      </w:r>
      <w:r>
        <w:rPr>
          <w:rFonts w:hint="eastAsia" w:ascii="宋体" w:hAnsi="宋体" w:cs="宋体"/>
          <w:color w:val="auto"/>
          <w:highlight w:val="none"/>
          <w:lang w:val="en-US" w:eastAsia="zh-CN"/>
        </w:rPr>
        <w:t>800万元</w:t>
      </w:r>
      <w:r>
        <w:rPr>
          <w:rFonts w:hint="eastAsia" w:ascii="宋体" w:hAnsi="宋体" w:cs="宋体"/>
          <w:color w:val="auto"/>
          <w:highlight w:val="none"/>
          <w:lang w:val="zh-CN" w:eastAsia="zh-CN"/>
        </w:rPr>
        <w:t>之外不再投入其他资金，不承担项目运营亏损</w:t>
      </w:r>
      <w:r>
        <w:rPr>
          <w:rFonts w:hint="eastAsia" w:ascii="宋体" w:hAnsi="宋体" w:cs="宋体"/>
          <w:color w:val="auto"/>
          <w:highlight w:val="none"/>
          <w:lang w:val="en-US" w:eastAsia="zh-CN"/>
        </w:rPr>
        <w:t>。</w:t>
      </w:r>
      <w:r>
        <w:rPr>
          <w:rFonts w:hint="eastAsia" w:ascii="宋体" w:hAnsi="宋体" w:cs="宋体"/>
          <w:color w:val="auto"/>
          <w:highlight w:val="none"/>
          <w:lang w:val="zh-CN" w:eastAsia="zh-CN"/>
        </w:rPr>
        <w:t>项目投产运营后，招标人按每年不低于租赁产权的投入资金的</w:t>
      </w:r>
      <w:r>
        <w:rPr>
          <w:rFonts w:hint="eastAsia" w:ascii="宋体" w:hAnsi="宋体" w:cs="宋体"/>
          <w:color w:val="auto"/>
          <w:highlight w:val="none"/>
          <w:lang w:val="en-US" w:eastAsia="zh-CN"/>
        </w:rPr>
        <w:t>5</w:t>
      </w:r>
      <w:r>
        <w:rPr>
          <w:rFonts w:hint="eastAsia" w:ascii="宋体" w:hAnsi="宋体" w:cs="宋体"/>
          <w:color w:val="auto"/>
          <w:highlight w:val="none"/>
          <w:lang w:val="zh-CN" w:eastAsia="zh-CN"/>
        </w:rPr>
        <w:t>%进</w:t>
      </w:r>
      <w:r>
        <w:rPr>
          <w:rFonts w:hint="eastAsia" w:ascii="宋体" w:hAnsi="宋体" w:cs="宋体"/>
          <w:color w:val="auto"/>
          <w:highlight w:val="none"/>
          <w:lang w:val="zh-CN" w:eastAsia="zh-CN"/>
        </w:rPr>
        <w:t>行收益，</w:t>
      </w:r>
      <w:r>
        <w:rPr>
          <w:rFonts w:hint="eastAsia" w:ascii="宋体" w:hAnsi="宋体" w:cs="宋体"/>
          <w:color w:val="auto"/>
          <w:highlight w:val="none"/>
          <w:lang w:val="en-US" w:eastAsia="zh-CN"/>
        </w:rPr>
        <w:t>项目的收益留在村集体合作社。</w:t>
      </w:r>
    </w:p>
    <w:p w14:paraId="3E630683">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5、质量要求：</w:t>
      </w:r>
    </w:p>
    <w:p w14:paraId="774941BF">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zh-CN" w:eastAsia="zh-CN"/>
        </w:rPr>
      </w:pPr>
      <w:bookmarkStart w:id="1730" w:name="_Toc521453791"/>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1设计：在满足招标人提出的本项目使用功能要求的前提下进行限额设计，符合国家、行业及地方现行的相关标准及强制性规范；确保设计成果资料完整、真实准确、清晰有据、符合项目实际，并对提供的设计成果质量终身负责。</w:t>
      </w:r>
    </w:p>
    <w:p w14:paraId="6EEB08D4">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.2施工：符合设计要求，执行</w:t>
      </w:r>
      <w:r>
        <w:rPr>
          <w:rFonts w:hint="eastAsia" w:ascii="宋体" w:hAnsi="宋体" w:cs="宋体"/>
          <w:color w:val="auto"/>
          <w:highlight w:val="none"/>
          <w:lang w:val="zh-CN" w:eastAsia="zh-CN"/>
        </w:rPr>
        <w:t>国家、省、市</w:t>
      </w:r>
      <w:r>
        <w:rPr>
          <w:rFonts w:hint="eastAsia" w:ascii="宋体" w:hAnsi="宋体" w:eastAsia="宋体" w:cs="宋体"/>
          <w:color w:val="auto"/>
          <w:highlight w:val="none"/>
          <w:lang w:val="zh-CN" w:eastAsia="zh-CN"/>
        </w:rPr>
        <w:t>现行的质量验收标准，一次性验收合格，并保证各专项工程验收通过、</w:t>
      </w:r>
      <w:r>
        <w:rPr>
          <w:rFonts w:hint="eastAsia" w:ascii="宋体" w:hAnsi="宋体" w:eastAsia="宋体" w:cs="宋体"/>
          <w:color w:val="auto"/>
          <w:highlight w:val="none"/>
          <w:lang w:val="en-US" w:eastAsia="zh-CN"/>
        </w:rPr>
        <w:t>整体通过竣工验收合格。</w:t>
      </w:r>
    </w:p>
    <w:p w14:paraId="352EB720">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.3总承包承诺：执行《建设项目工程总承包管理规范》（GB-T50358-2017）及</w:t>
      </w:r>
      <w:r>
        <w:rPr>
          <w:rFonts w:hint="eastAsia" w:ascii="宋体" w:hAnsi="宋体" w:cs="宋体"/>
          <w:color w:val="auto"/>
          <w:highlight w:val="none"/>
          <w:lang w:val="zh-CN" w:eastAsia="zh-CN"/>
        </w:rPr>
        <w:t>国家、省、市</w:t>
      </w:r>
      <w:r>
        <w:rPr>
          <w:rFonts w:hint="eastAsia" w:ascii="宋体" w:hAnsi="宋体" w:eastAsia="宋体" w:cs="宋体"/>
          <w:color w:val="auto"/>
          <w:highlight w:val="none"/>
          <w:lang w:val="zh-CN" w:eastAsia="zh-CN"/>
        </w:rPr>
        <w:t>现行法规、规范的相关规定。</w:t>
      </w:r>
    </w:p>
    <w:p w14:paraId="7DA41ECC">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5.4运营：</w:t>
      </w:r>
      <w:r>
        <w:rPr>
          <w:rFonts w:hint="eastAsia" w:ascii="宋体" w:hAnsi="宋体" w:eastAsia="宋体" w:cs="宋体"/>
          <w:color w:val="auto"/>
          <w:highlight w:val="none"/>
          <w:lang w:val="zh-CN" w:eastAsia="zh-CN"/>
        </w:rPr>
        <w:t>按现行国家、行业及地方相应规范、标准执行，满足招标人的要求</w:t>
      </w:r>
      <w:r>
        <w:rPr>
          <w:rFonts w:hint="eastAsia" w:ascii="宋体" w:hAnsi="宋体" w:cs="宋体"/>
          <w:color w:val="auto"/>
          <w:highlight w:val="none"/>
          <w:lang w:val="zh-CN" w:eastAsia="zh-CN"/>
        </w:rPr>
        <w:t>。</w:t>
      </w:r>
    </w:p>
    <w:p w14:paraId="03366F7B">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6、设计任务成果要求</w:t>
      </w:r>
    </w:p>
    <w:p w14:paraId="145F3B72">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cs="宋体"/>
          <w:color w:val="auto"/>
          <w:highlight w:val="none"/>
          <w:lang w:val="en-US" w:eastAsia="zh-CN"/>
        </w:rPr>
        <w:t>1</w:t>
      </w:r>
      <w:r>
        <w:rPr>
          <w:rFonts w:hint="eastAsia" w:ascii="宋体" w:hAnsi="宋体" w:eastAsia="宋体" w:cs="宋体"/>
          <w:color w:val="auto"/>
          <w:highlight w:val="none"/>
        </w:rPr>
        <w:t>施工图阶段根据项目建议书审批情况进行深化，均包括</w:t>
      </w:r>
      <w:r>
        <w:rPr>
          <w:rFonts w:hint="eastAsia" w:ascii="宋体" w:hAnsi="宋体" w:cs="宋体"/>
          <w:color w:val="auto"/>
          <w:highlight w:val="none"/>
          <w:lang w:eastAsia="zh-CN"/>
        </w:rPr>
        <w:t>建筑、结构</w:t>
      </w:r>
      <w:r>
        <w:rPr>
          <w:rFonts w:hint="eastAsia" w:ascii="宋体" w:hAnsi="宋体" w:eastAsia="宋体" w:cs="宋体"/>
          <w:color w:val="auto"/>
          <w:highlight w:val="none"/>
        </w:rPr>
        <w:t>、</w:t>
      </w:r>
      <w:r>
        <w:rPr>
          <w:rFonts w:hint="eastAsia" w:ascii="宋体" w:hAnsi="宋体" w:cs="宋体"/>
          <w:color w:val="auto"/>
          <w:highlight w:val="none"/>
          <w:lang w:eastAsia="zh-CN"/>
        </w:rPr>
        <w:t>剖面、施工、给排水、电气</w:t>
      </w:r>
      <w:r>
        <w:rPr>
          <w:rFonts w:hint="eastAsia" w:ascii="宋体" w:hAnsi="宋体" w:eastAsia="宋体" w:cs="宋体"/>
          <w:color w:val="auto"/>
          <w:highlight w:val="none"/>
        </w:rPr>
        <w:t>等项，设计人员应考虑包括电力等管线位置的预留。</w:t>
      </w:r>
    </w:p>
    <w:p w14:paraId="7419A0B1">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6.2</w:t>
      </w:r>
      <w:r>
        <w:rPr>
          <w:rFonts w:hint="eastAsia" w:ascii="宋体" w:hAnsi="宋体" w:eastAsia="宋体" w:cs="宋体"/>
          <w:color w:val="auto"/>
          <w:highlight w:val="none"/>
        </w:rPr>
        <w:t>各阶段设计深度必须满足国家、行业及项目所在地方的有关规定，符合国家、行业及地方现行的相关标准及强制性规范及施工图审查机构的要求。</w:t>
      </w:r>
    </w:p>
    <w:p w14:paraId="3B8F8C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6.3</w:t>
      </w:r>
      <w:r>
        <w:rPr>
          <w:rFonts w:hint="eastAsia" w:ascii="宋体" w:hAnsi="宋体" w:eastAsia="宋体" w:cs="宋体"/>
          <w:color w:val="auto"/>
          <w:sz w:val="21"/>
          <w:szCs w:val="21"/>
          <w:highlight w:val="none"/>
        </w:rPr>
        <w:t>设计人在工程设计工作中应严格按照《工程建设标准强制性条文》的规定，认真落实国务院《建设工程质量管理条例》，使人民生命财产安全、人体健康、环境保护、节能和社会公共利益得到切实保障。</w:t>
      </w:r>
    </w:p>
    <w:p w14:paraId="3F0C50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rPr>
        <w:t>设计人在工程设计工作中，应对工程设计项目所在地区的建设条件、环境充分考虑招标文件对项目使用功能及要求，充分体现招标人对项目使用的意愿。</w:t>
      </w:r>
    </w:p>
    <w:p w14:paraId="728A2D5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6.5</w:t>
      </w:r>
      <w:r>
        <w:rPr>
          <w:rFonts w:hint="eastAsia" w:ascii="宋体" w:hAnsi="宋体" w:eastAsia="宋体" w:cs="宋体"/>
          <w:color w:val="auto"/>
          <w:sz w:val="21"/>
          <w:szCs w:val="21"/>
          <w:highlight w:val="none"/>
        </w:rPr>
        <w:t>设计人在工程设计工作中，应结合本地区的地理环境和实情，使新技术，新工艺，新材料及当地建材资源得到科学合理充分</w:t>
      </w:r>
      <w:r>
        <w:rPr>
          <w:rFonts w:hint="eastAsia" w:ascii="宋体" w:hAnsi="宋体" w:eastAsia="宋体" w:cs="宋体"/>
          <w:color w:val="auto"/>
          <w:sz w:val="21"/>
          <w:szCs w:val="21"/>
          <w:highlight w:val="none"/>
          <w:lang w:eastAsia="zh-CN"/>
        </w:rPr>
        <w:t>地</w:t>
      </w:r>
      <w:r>
        <w:rPr>
          <w:rFonts w:hint="eastAsia" w:ascii="宋体" w:hAnsi="宋体" w:eastAsia="宋体" w:cs="宋体"/>
          <w:color w:val="auto"/>
          <w:sz w:val="21"/>
          <w:szCs w:val="21"/>
          <w:highlight w:val="none"/>
        </w:rPr>
        <w:t>应用。</w:t>
      </w:r>
    </w:p>
    <w:p w14:paraId="22A14A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6.6</w:t>
      </w:r>
      <w:r>
        <w:rPr>
          <w:rFonts w:hint="eastAsia" w:ascii="宋体" w:hAnsi="宋体" w:eastAsia="宋体" w:cs="宋体"/>
          <w:color w:val="auto"/>
          <w:sz w:val="21"/>
          <w:szCs w:val="21"/>
          <w:highlight w:val="none"/>
        </w:rPr>
        <w:t>设计人在工程设计工作中使用或参考上述标准、规范以外的技术标准、规范时，应征得业主的同意。</w:t>
      </w:r>
    </w:p>
    <w:p w14:paraId="6BCE3B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ascii="宋体" w:hAnsi="宋体" w:cs="宋体"/>
          <w:color w:val="auto"/>
          <w:sz w:val="21"/>
          <w:szCs w:val="21"/>
          <w:highlight w:val="none"/>
          <w:lang w:val="en-US" w:eastAsia="zh-CN"/>
        </w:rPr>
        <w:t>6.7</w:t>
      </w:r>
      <w:r>
        <w:rPr>
          <w:rFonts w:hint="eastAsia" w:ascii="宋体" w:hAnsi="宋体" w:eastAsia="宋体" w:cs="宋体"/>
          <w:color w:val="auto"/>
          <w:sz w:val="21"/>
          <w:szCs w:val="21"/>
          <w:highlight w:val="none"/>
        </w:rPr>
        <w:t>设计人在工程设计过程中，如果国家或有关部门颁布了新的技术标准或规范，则设计人应采用新的标准或规范进行工程设计。</w:t>
      </w:r>
    </w:p>
    <w:p w14:paraId="30A58200">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7、</w:t>
      </w:r>
      <w:bookmarkEnd w:id="1730"/>
      <w:bookmarkStart w:id="1731" w:name="_Toc25170"/>
      <w:r>
        <w:rPr>
          <w:rFonts w:hint="eastAsia" w:ascii="宋体" w:hAnsi="宋体" w:eastAsia="宋体" w:cs="宋体"/>
          <w:color w:val="auto"/>
          <w:highlight w:val="none"/>
        </w:rPr>
        <w:t>施工技术标准</w:t>
      </w:r>
      <w:bookmarkEnd w:id="1731"/>
    </w:p>
    <w:p w14:paraId="04DD1396">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7.1本招标工程的材料、设备、施工必须达到现行中华人民共和国以及省、自治区、直辖市或行业的工程建设标准、规范的要求。</w:t>
      </w:r>
    </w:p>
    <w:p w14:paraId="3D3C3003">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7.2本招标工程的安全生产、文明施工、环境保护措施应符合中华人民共和国以及省、市、自治区、直辖市或行业以及当地政府的有关法律、法规的要求。</w:t>
      </w:r>
    </w:p>
    <w:p w14:paraId="4E30DA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highlight w:val="none"/>
          <w:lang w:val="en-US" w:eastAsia="zh-CN"/>
        </w:rPr>
        <w:t>7.3</w:t>
      </w:r>
      <w:r>
        <w:rPr>
          <w:rFonts w:hint="eastAsia" w:ascii="宋体" w:hAnsi="宋体" w:eastAsia="宋体" w:cs="宋体"/>
          <w:color w:val="auto"/>
          <w:sz w:val="21"/>
          <w:szCs w:val="21"/>
          <w:highlight w:val="none"/>
        </w:rPr>
        <w:t>根据工程设计要求及所处地域当地政府的相关规定，</w:t>
      </w:r>
      <w:r>
        <w:rPr>
          <w:rFonts w:hint="eastAsia" w:ascii="宋体" w:hAnsi="宋体" w:eastAsia="宋体" w:cs="宋体"/>
          <w:color w:val="auto"/>
          <w:sz w:val="21"/>
          <w:szCs w:val="21"/>
          <w:highlight w:val="none"/>
          <w:lang w:eastAsia="zh-CN"/>
        </w:rPr>
        <w:t>适用</w:t>
      </w:r>
      <w:r>
        <w:rPr>
          <w:rFonts w:hint="eastAsia" w:ascii="宋体" w:hAnsi="宋体" w:eastAsia="宋体" w:cs="宋体"/>
          <w:color w:val="auto"/>
          <w:sz w:val="21"/>
          <w:szCs w:val="21"/>
          <w:highlight w:val="none"/>
        </w:rPr>
        <w:t>本招标工程项目的材料、设备、施工必须达到以下现行标准或规范及其最新版本的要求。</w:t>
      </w:r>
    </w:p>
    <w:p w14:paraId="183B2102">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highlight w:val="none"/>
          <w:lang w:val="en-US" w:eastAsia="zh-CN"/>
        </w:rPr>
        <w:t>8</w:t>
      </w:r>
      <w:r>
        <w:rPr>
          <w:rFonts w:hint="eastAsia" w:ascii="宋体" w:hAnsi="宋体" w:eastAsia="宋体" w:cs="宋体"/>
          <w:b w:val="0"/>
          <w:bCs w:val="0"/>
          <w:color w:val="auto"/>
          <w:highlight w:val="none"/>
        </w:rPr>
        <w:t>、</w:t>
      </w:r>
      <w:r>
        <w:rPr>
          <w:rFonts w:hint="eastAsia" w:ascii="宋体" w:hAnsi="宋体" w:eastAsia="宋体" w:cs="宋体"/>
          <w:b w:val="0"/>
          <w:bCs w:val="0"/>
          <w:color w:val="auto"/>
          <w:sz w:val="21"/>
          <w:szCs w:val="21"/>
          <w:highlight w:val="none"/>
        </w:rPr>
        <w:t>运营模式及相关要求</w:t>
      </w:r>
    </w:p>
    <w:p w14:paraId="7D56DE8B">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8.1</w:t>
      </w:r>
      <w:bookmarkStart w:id="1732" w:name="_Toc5377_WPSOffice_Level1"/>
      <w:bookmarkStart w:id="1733" w:name="_Toc10115_WPSOffice_Level1"/>
      <w:bookmarkStart w:id="1734" w:name="_Toc27570"/>
      <w:bookmarkStart w:id="1735" w:name="_Toc300835206"/>
      <w:r>
        <w:rPr>
          <w:rFonts w:hint="eastAsia" w:ascii="宋体" w:hAnsi="宋体" w:cs="宋体"/>
          <w:color w:val="auto"/>
          <w:highlight w:val="none"/>
          <w:lang w:val="zh-CN" w:eastAsia="zh-CN"/>
        </w:rPr>
        <w:t>本项目合作期限</w:t>
      </w:r>
      <w:r>
        <w:rPr>
          <w:rFonts w:hint="eastAsia" w:ascii="宋体" w:hAnsi="宋体" w:cs="宋体"/>
          <w:color w:val="auto"/>
          <w:highlight w:val="none"/>
          <w:lang w:val="zh-CN" w:eastAsia="zh-CN"/>
        </w:rPr>
        <w:t>不低于</w:t>
      </w:r>
      <w:r>
        <w:rPr>
          <w:rFonts w:hint="eastAsia" w:ascii="宋体" w:hAnsi="宋体" w:cs="宋体"/>
          <w:color w:val="auto"/>
          <w:highlight w:val="none"/>
          <w:lang w:val="en-US" w:eastAsia="zh-CN"/>
        </w:rPr>
        <w:t>5</w:t>
      </w:r>
      <w:r>
        <w:rPr>
          <w:rFonts w:hint="eastAsia" w:ascii="宋体" w:hAnsi="宋体" w:cs="宋体"/>
          <w:color w:val="auto"/>
          <w:highlight w:val="none"/>
          <w:lang w:val="zh-CN" w:eastAsia="zh-CN"/>
        </w:rPr>
        <w:t>年</w:t>
      </w:r>
      <w:r>
        <w:rPr>
          <w:rFonts w:hint="eastAsia" w:ascii="宋体" w:hAnsi="宋体" w:cs="宋体"/>
          <w:color w:val="auto"/>
          <w:highlight w:val="none"/>
          <w:lang w:val="zh-CN" w:eastAsia="zh-CN"/>
        </w:rPr>
        <w:t>，自项目竣工验收交付使用之日起算。项目建成后，产权归横山村集体所有，支持发展石斛鲜切花及石斛产业，建立联农带农机制，通过租赁方式产生收益，带动村集体经济发展，收益主要用于常态化帮扶下支持带动群众就业增收，壮大村集体经济等。中标方作为本项目资产的运营主体；招标人不参与日常运营管理，除</w:t>
      </w:r>
      <w:r>
        <w:rPr>
          <w:rFonts w:hint="eastAsia" w:ascii="宋体" w:hAnsi="宋体" w:cs="宋体"/>
          <w:color w:val="auto"/>
          <w:highlight w:val="none"/>
          <w:lang w:val="en-US" w:eastAsia="zh-CN"/>
        </w:rPr>
        <w:t>800万元</w:t>
      </w:r>
      <w:r>
        <w:rPr>
          <w:rFonts w:hint="eastAsia" w:ascii="宋体" w:hAnsi="宋体" w:cs="宋体"/>
          <w:color w:val="auto"/>
          <w:highlight w:val="none"/>
          <w:lang w:val="zh-CN" w:eastAsia="zh-CN"/>
        </w:rPr>
        <w:t>之外不再投入其他资金，不承担项目运营亏损</w:t>
      </w:r>
      <w:r>
        <w:rPr>
          <w:rFonts w:hint="eastAsia" w:ascii="宋体" w:hAnsi="宋体" w:cs="宋体"/>
          <w:color w:val="auto"/>
          <w:highlight w:val="none"/>
          <w:lang w:val="en-US" w:eastAsia="zh-CN"/>
        </w:rPr>
        <w:t>。</w:t>
      </w:r>
      <w:r>
        <w:rPr>
          <w:rFonts w:hint="eastAsia" w:ascii="宋体" w:hAnsi="宋体" w:cs="宋体"/>
          <w:color w:val="auto"/>
          <w:highlight w:val="none"/>
          <w:lang w:val="zh-CN" w:eastAsia="zh-CN"/>
        </w:rPr>
        <w:t>项目投产运营后，招标人按每年不低于租赁产权的投入资金的</w:t>
      </w:r>
      <w:r>
        <w:rPr>
          <w:rFonts w:hint="eastAsia" w:ascii="宋体" w:hAnsi="宋体" w:cs="宋体"/>
          <w:color w:val="auto"/>
          <w:highlight w:val="none"/>
          <w:lang w:val="en-US" w:eastAsia="zh-CN"/>
        </w:rPr>
        <w:t>5</w:t>
      </w:r>
      <w:r>
        <w:rPr>
          <w:rFonts w:hint="eastAsia" w:ascii="宋体" w:hAnsi="宋体" w:cs="宋体"/>
          <w:color w:val="auto"/>
          <w:highlight w:val="none"/>
          <w:lang w:val="zh-CN" w:eastAsia="zh-CN"/>
        </w:rPr>
        <w:t>%</w:t>
      </w:r>
      <w:r>
        <w:rPr>
          <w:rFonts w:hint="eastAsia" w:ascii="宋体" w:hAnsi="宋体" w:cs="宋体"/>
          <w:color w:val="auto"/>
          <w:highlight w:val="none"/>
          <w:lang w:val="zh-CN" w:eastAsia="zh-CN"/>
        </w:rPr>
        <w:t>进行收益，</w:t>
      </w:r>
      <w:r>
        <w:rPr>
          <w:rFonts w:hint="eastAsia" w:ascii="宋体" w:hAnsi="宋体" w:cs="宋体"/>
          <w:color w:val="auto"/>
          <w:highlight w:val="none"/>
          <w:lang w:val="en-US" w:eastAsia="zh-CN"/>
        </w:rPr>
        <w:t>项目的收益留在村集体合作社。</w:t>
      </w:r>
    </w:p>
    <w:p w14:paraId="357C5718">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highlight w:val="none"/>
          <w:lang w:val="en-US" w:eastAsia="zh-CN"/>
        </w:rPr>
        <w:t>8.</w:t>
      </w:r>
      <w:r>
        <w:rPr>
          <w:rFonts w:hint="eastAsia" w:ascii="宋体" w:hAnsi="宋体" w:cs="宋体"/>
          <w:color w:val="auto"/>
          <w:highlight w:val="none"/>
          <w:lang w:val="en-US" w:eastAsia="zh-CN"/>
        </w:rPr>
        <w:t>2项目建成后采用“党组织+合作社+运营公司+农户”的经营模式。由党组织领办成立合作社组织统筹社区资源，农户负责石斛鲜切花种植，由运营公司提供种苗、技术指导及包回收服务，合作社与企业在产品收购、销售上开展合作，由合作社组织农民统一生产，收购后再销售至运营企业。</w:t>
      </w:r>
    </w:p>
    <w:p w14:paraId="531A37F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8.3项目建成后，产权归集体所有，建立联农带农机制，通过企业租赁后运营等方式产生收益，保底收益率不低于租赁产权的投资资金的</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带动村集体经济发展，项目的收益留在村集体合作社</w:t>
      </w:r>
      <w:r>
        <w:rPr>
          <w:rFonts w:hint="eastAsia" w:ascii="宋体" w:hAnsi="宋体" w:eastAsia="宋体" w:cs="宋体"/>
          <w:color w:val="auto"/>
          <w:sz w:val="21"/>
          <w:szCs w:val="21"/>
          <w:highlight w:val="none"/>
          <w:lang w:val="en-US" w:eastAsia="zh-CN"/>
        </w:rPr>
        <w:t>。</w:t>
      </w:r>
    </w:p>
    <w:p w14:paraId="0B4E435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8.4</w:t>
      </w:r>
      <w:r>
        <w:rPr>
          <w:rFonts w:hint="eastAsia" w:ascii="宋体" w:hAnsi="宋体" w:eastAsia="宋体" w:cs="宋体"/>
          <w:color w:val="auto"/>
          <w:sz w:val="21"/>
          <w:szCs w:val="21"/>
          <w:highlight w:val="none"/>
          <w:lang w:val="en-US" w:eastAsia="zh-CN"/>
        </w:rPr>
        <w:t>运营期限：</w:t>
      </w:r>
      <w:r>
        <w:rPr>
          <w:rFonts w:hint="eastAsia" w:ascii="宋体" w:hAnsi="宋体" w:eastAsia="宋体" w:cs="宋体"/>
          <w:color w:val="auto"/>
          <w:sz w:val="21"/>
          <w:szCs w:val="21"/>
          <w:highlight w:val="none"/>
          <w:lang w:val="zh-CN" w:eastAsia="zh-CN"/>
        </w:rPr>
        <w:t>自项目竣工验收交付使用之日起</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年</w:t>
      </w:r>
      <w:r>
        <w:rPr>
          <w:rFonts w:hint="eastAsia" w:ascii="宋体" w:hAnsi="宋体" w:eastAsia="宋体" w:cs="宋体"/>
          <w:color w:val="auto"/>
          <w:sz w:val="21"/>
          <w:szCs w:val="21"/>
          <w:highlight w:val="none"/>
          <w:lang w:val="zh-CN" w:eastAsia="zh-CN"/>
        </w:rPr>
        <w:t>，运营期间自主经营、自负盈亏。</w:t>
      </w:r>
    </w:p>
    <w:p w14:paraId="31273775">
      <w:pPr>
        <w:pStyle w:val="34"/>
        <w:rPr>
          <w:color w:val="auto"/>
          <w:highlight w:val="none"/>
        </w:rPr>
      </w:pPr>
    </w:p>
    <w:p w14:paraId="77987127">
      <w:pPr>
        <w:pStyle w:val="21"/>
        <w:rPr>
          <w:color w:val="auto"/>
          <w:highlight w:val="none"/>
        </w:rPr>
      </w:pPr>
    </w:p>
    <w:p w14:paraId="4CCA237A">
      <w:pPr>
        <w:pStyle w:val="21"/>
        <w:rPr>
          <w:color w:val="auto"/>
          <w:highlight w:val="none"/>
        </w:rPr>
      </w:pPr>
    </w:p>
    <w:p w14:paraId="6BF1B250">
      <w:pPr>
        <w:rPr>
          <w:color w:val="auto"/>
          <w:highlight w:val="none"/>
        </w:rPr>
      </w:pPr>
    </w:p>
    <w:p w14:paraId="52EB7AAA">
      <w:pPr>
        <w:pStyle w:val="34"/>
        <w:rPr>
          <w:color w:val="auto"/>
          <w:highlight w:val="none"/>
        </w:rPr>
      </w:pPr>
    </w:p>
    <w:p w14:paraId="35FFA4BE">
      <w:pPr>
        <w:rPr>
          <w:color w:val="auto"/>
          <w:highlight w:val="none"/>
        </w:rPr>
      </w:pPr>
    </w:p>
    <w:p w14:paraId="2816F825">
      <w:pPr>
        <w:pStyle w:val="34"/>
        <w:rPr>
          <w:color w:val="auto"/>
          <w:highlight w:val="none"/>
        </w:rPr>
      </w:pPr>
    </w:p>
    <w:p w14:paraId="2E6CFEEE">
      <w:pPr>
        <w:rPr>
          <w:color w:val="auto"/>
          <w:highlight w:val="none"/>
        </w:rPr>
      </w:pPr>
    </w:p>
    <w:p w14:paraId="2B069410">
      <w:pPr>
        <w:pStyle w:val="34"/>
        <w:rPr>
          <w:color w:val="auto"/>
          <w:highlight w:val="none"/>
        </w:rPr>
      </w:pPr>
    </w:p>
    <w:p w14:paraId="2C9682CA">
      <w:pPr>
        <w:rPr>
          <w:color w:val="auto"/>
          <w:highlight w:val="none"/>
        </w:rPr>
      </w:pPr>
    </w:p>
    <w:p w14:paraId="003F8DD7">
      <w:pPr>
        <w:pStyle w:val="34"/>
        <w:rPr>
          <w:color w:val="auto"/>
          <w:highlight w:val="none"/>
        </w:rPr>
      </w:pPr>
    </w:p>
    <w:p w14:paraId="6D6339FE">
      <w:pPr>
        <w:rPr>
          <w:color w:val="auto"/>
          <w:highlight w:val="none"/>
        </w:rPr>
      </w:pPr>
    </w:p>
    <w:p w14:paraId="0B87BEBB">
      <w:pPr>
        <w:pStyle w:val="34"/>
        <w:rPr>
          <w:color w:val="auto"/>
          <w:highlight w:val="none"/>
        </w:rPr>
      </w:pPr>
    </w:p>
    <w:p w14:paraId="6AB08066">
      <w:pPr>
        <w:rPr>
          <w:color w:val="auto"/>
          <w:highlight w:val="none"/>
        </w:rPr>
      </w:pPr>
    </w:p>
    <w:p w14:paraId="731BFE34">
      <w:pPr>
        <w:pStyle w:val="34"/>
        <w:rPr>
          <w:color w:val="auto"/>
          <w:highlight w:val="none"/>
        </w:rPr>
      </w:pPr>
    </w:p>
    <w:p w14:paraId="585AA648">
      <w:pPr>
        <w:rPr>
          <w:color w:val="auto"/>
          <w:highlight w:val="none"/>
        </w:rPr>
      </w:pPr>
    </w:p>
    <w:p w14:paraId="4196DB6C">
      <w:pPr>
        <w:pStyle w:val="34"/>
        <w:rPr>
          <w:color w:val="auto"/>
          <w:highlight w:val="none"/>
        </w:rPr>
      </w:pPr>
    </w:p>
    <w:p w14:paraId="4E57AA0E">
      <w:pPr>
        <w:rPr>
          <w:color w:val="auto"/>
          <w:highlight w:val="none"/>
        </w:rPr>
      </w:pPr>
    </w:p>
    <w:p w14:paraId="76BCD730">
      <w:pPr>
        <w:pStyle w:val="34"/>
        <w:rPr>
          <w:color w:val="auto"/>
          <w:highlight w:val="none"/>
        </w:rPr>
      </w:pPr>
    </w:p>
    <w:p w14:paraId="7F42EA55">
      <w:pPr>
        <w:rPr>
          <w:color w:val="auto"/>
          <w:highlight w:val="none"/>
        </w:rPr>
      </w:pPr>
    </w:p>
    <w:p w14:paraId="021B5FFE">
      <w:pPr>
        <w:pStyle w:val="34"/>
        <w:rPr>
          <w:color w:val="auto"/>
          <w:highlight w:val="none"/>
        </w:rPr>
      </w:pPr>
    </w:p>
    <w:p w14:paraId="2EE1D27C">
      <w:pPr>
        <w:rPr>
          <w:color w:val="auto"/>
          <w:highlight w:val="none"/>
        </w:rPr>
      </w:pPr>
    </w:p>
    <w:p w14:paraId="0410C65B">
      <w:pPr>
        <w:pStyle w:val="34"/>
        <w:rPr>
          <w:color w:val="auto"/>
          <w:highlight w:val="none"/>
        </w:rPr>
      </w:pPr>
    </w:p>
    <w:p w14:paraId="59902148">
      <w:pPr>
        <w:rPr>
          <w:color w:val="auto"/>
          <w:highlight w:val="none"/>
        </w:rPr>
      </w:pPr>
    </w:p>
    <w:p w14:paraId="7FD82613">
      <w:pPr>
        <w:pStyle w:val="34"/>
        <w:rPr>
          <w:color w:val="auto"/>
          <w:highlight w:val="none"/>
        </w:rPr>
      </w:pPr>
    </w:p>
    <w:p w14:paraId="679D2F9A">
      <w:pPr>
        <w:rPr>
          <w:color w:val="auto"/>
          <w:highlight w:val="none"/>
        </w:rPr>
      </w:pPr>
    </w:p>
    <w:p w14:paraId="3E61F71B">
      <w:pPr>
        <w:pStyle w:val="34"/>
        <w:rPr>
          <w:color w:val="auto"/>
          <w:highlight w:val="none"/>
        </w:rPr>
      </w:pPr>
    </w:p>
    <w:p w14:paraId="2956D6F9">
      <w:pPr>
        <w:rPr>
          <w:color w:val="auto"/>
          <w:highlight w:val="none"/>
        </w:rPr>
      </w:pPr>
    </w:p>
    <w:p w14:paraId="1D473695">
      <w:pPr>
        <w:pStyle w:val="34"/>
        <w:rPr>
          <w:color w:val="auto"/>
          <w:highlight w:val="none"/>
        </w:rPr>
      </w:pPr>
    </w:p>
    <w:p w14:paraId="16043378">
      <w:pPr>
        <w:rPr>
          <w:color w:val="auto"/>
          <w:highlight w:val="none"/>
        </w:rPr>
      </w:pPr>
    </w:p>
    <w:p w14:paraId="53784BC4">
      <w:pPr>
        <w:pStyle w:val="34"/>
        <w:rPr>
          <w:color w:val="auto"/>
          <w:highlight w:val="none"/>
        </w:rPr>
      </w:pPr>
    </w:p>
    <w:p w14:paraId="02942ED8">
      <w:pPr>
        <w:rPr>
          <w:color w:val="auto"/>
          <w:highlight w:val="none"/>
        </w:rPr>
      </w:pPr>
    </w:p>
    <w:p w14:paraId="5BCD8B3D">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color w:val="auto"/>
          <w:highlight w:val="none"/>
        </w:rPr>
      </w:pPr>
      <w:r>
        <w:rPr>
          <w:rFonts w:hint="eastAsia"/>
          <w:color w:val="auto"/>
          <w:highlight w:val="none"/>
        </w:rPr>
        <w:t>第六章</w:t>
      </w:r>
      <w:r>
        <w:rPr>
          <w:color w:val="auto"/>
          <w:highlight w:val="none"/>
        </w:rPr>
        <w:t xml:space="preserve">  </w:t>
      </w:r>
      <w:r>
        <w:rPr>
          <w:rFonts w:hint="eastAsia"/>
          <w:color w:val="auto"/>
          <w:highlight w:val="none"/>
        </w:rPr>
        <w:t>发包人提供的资料</w:t>
      </w:r>
      <w:bookmarkEnd w:id="1732"/>
      <w:bookmarkEnd w:id="1733"/>
      <w:bookmarkEnd w:id="1734"/>
      <w:bookmarkEnd w:id="1735"/>
    </w:p>
    <w:p w14:paraId="13BFFAD6">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cs="Times New Roman"/>
          <w:color w:val="auto"/>
          <w:sz w:val="24"/>
          <w:szCs w:val="24"/>
          <w:highlight w:val="none"/>
          <w:lang w:val="en-US" w:eastAsia="zh-CN"/>
        </w:rPr>
      </w:pPr>
      <w:bookmarkStart w:id="1736" w:name="_Toc27223"/>
      <w:bookmarkStart w:id="1737" w:name="_Toc45897171"/>
    </w:p>
    <w:p w14:paraId="0549888D">
      <w:pPr>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Calibri" w:hAnsi="Calibri" w:eastAsia="宋体" w:cs="Times New Roman"/>
          <w:b/>
          <w:bCs/>
          <w:color w:val="auto"/>
          <w:kern w:val="44"/>
          <w:sz w:val="24"/>
          <w:szCs w:val="24"/>
          <w:highlight w:val="none"/>
          <w:lang w:val="en-US" w:eastAsia="zh-CN" w:bidi="ar-SA"/>
        </w:rPr>
      </w:pPr>
      <w:r>
        <w:rPr>
          <w:rFonts w:hint="eastAsia" w:cs="Times New Roman"/>
          <w:b/>
          <w:bCs/>
          <w:color w:val="auto"/>
          <w:kern w:val="44"/>
          <w:sz w:val="24"/>
          <w:szCs w:val="24"/>
          <w:highlight w:val="none"/>
          <w:lang w:val="en-US" w:eastAsia="zh-CN" w:bidi="ar-SA"/>
        </w:rPr>
        <w:t>1.</w:t>
      </w:r>
      <w:r>
        <w:rPr>
          <w:rFonts w:hint="eastAsia" w:ascii="Calibri" w:hAnsi="Calibri" w:eastAsia="宋体" w:cs="Times New Roman"/>
          <w:b/>
          <w:bCs/>
          <w:color w:val="auto"/>
          <w:kern w:val="44"/>
          <w:sz w:val="24"/>
          <w:szCs w:val="24"/>
          <w:highlight w:val="none"/>
          <w:lang w:val="en-US" w:eastAsia="zh-CN" w:bidi="ar-SA"/>
        </w:rPr>
        <w:t>地形图</w:t>
      </w:r>
      <w:r>
        <w:rPr>
          <w:rFonts w:hint="eastAsia" w:cs="Times New Roman"/>
          <w:b/>
          <w:bCs/>
          <w:color w:val="auto"/>
          <w:kern w:val="44"/>
          <w:sz w:val="24"/>
          <w:szCs w:val="24"/>
          <w:highlight w:val="none"/>
          <w:lang w:val="en-US" w:eastAsia="zh-CN" w:bidi="ar-SA"/>
        </w:rPr>
        <w:t>（涉密文件中标后投标人提供）</w:t>
      </w:r>
    </w:p>
    <w:p w14:paraId="60C14DCB">
      <w:pPr>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cs="Times New Roman"/>
          <w:b/>
          <w:bCs/>
          <w:color w:val="auto"/>
          <w:sz w:val="24"/>
          <w:szCs w:val="24"/>
          <w:highlight w:val="none"/>
        </w:rPr>
      </w:pPr>
      <w:r>
        <w:rPr>
          <w:rFonts w:hint="eastAsia" w:cs="宋体"/>
          <w:b/>
          <w:bCs/>
          <w:color w:val="auto"/>
          <w:sz w:val="24"/>
          <w:szCs w:val="24"/>
          <w:highlight w:val="none"/>
          <w:lang w:val="en-US" w:eastAsia="zh-CN"/>
        </w:rPr>
        <w:t>2.</w:t>
      </w:r>
      <w:r>
        <w:rPr>
          <w:rFonts w:hint="eastAsia" w:cs="宋体"/>
          <w:b/>
          <w:bCs/>
          <w:color w:val="auto"/>
          <w:sz w:val="24"/>
          <w:szCs w:val="24"/>
          <w:highlight w:val="none"/>
        </w:rPr>
        <w:t>其他发包人认为有必要提供的资料</w:t>
      </w:r>
      <w:bookmarkEnd w:id="1736"/>
      <w:bookmarkEnd w:id="1737"/>
    </w:p>
    <w:p w14:paraId="76549462">
      <w:pPr>
        <w:rPr>
          <w:rFonts w:cs="Times New Roman"/>
          <w:color w:val="auto"/>
          <w:sz w:val="24"/>
          <w:szCs w:val="24"/>
          <w:highlight w:val="none"/>
        </w:rPr>
      </w:pPr>
    </w:p>
    <w:p w14:paraId="423601BF">
      <w:pPr>
        <w:pStyle w:val="3"/>
        <w:rPr>
          <w:rFonts w:cs="Times New Roman"/>
          <w:color w:val="auto"/>
          <w:highlight w:val="none"/>
        </w:rPr>
      </w:pPr>
    </w:p>
    <w:p w14:paraId="233DC908">
      <w:pPr>
        <w:rPr>
          <w:rFonts w:cs="Times New Roman"/>
          <w:color w:val="auto"/>
          <w:highlight w:val="none"/>
        </w:rPr>
      </w:pPr>
    </w:p>
    <w:p w14:paraId="0B8122D0">
      <w:pPr>
        <w:pStyle w:val="3"/>
        <w:rPr>
          <w:rFonts w:cs="Times New Roman"/>
          <w:color w:val="auto"/>
          <w:highlight w:val="none"/>
        </w:rPr>
      </w:pPr>
    </w:p>
    <w:p w14:paraId="70D04FCF">
      <w:pPr>
        <w:rPr>
          <w:rFonts w:cs="Times New Roman"/>
          <w:color w:val="auto"/>
          <w:highlight w:val="none"/>
        </w:rPr>
      </w:pPr>
    </w:p>
    <w:p w14:paraId="65543895">
      <w:pPr>
        <w:pStyle w:val="3"/>
        <w:rPr>
          <w:rFonts w:cs="Times New Roman"/>
          <w:color w:val="auto"/>
          <w:highlight w:val="none"/>
        </w:rPr>
      </w:pPr>
    </w:p>
    <w:p w14:paraId="6981E038">
      <w:pPr>
        <w:rPr>
          <w:rFonts w:cs="Times New Roman"/>
          <w:color w:val="auto"/>
          <w:highlight w:val="none"/>
        </w:rPr>
      </w:pPr>
    </w:p>
    <w:p w14:paraId="7F90B36D">
      <w:pPr>
        <w:rPr>
          <w:rFonts w:cs="Times New Roman"/>
          <w:color w:val="auto"/>
          <w:highlight w:val="none"/>
        </w:rPr>
      </w:pPr>
      <w:r>
        <w:rPr>
          <w:rFonts w:cs="Times New Roman"/>
          <w:color w:val="auto"/>
          <w:highlight w:val="none"/>
        </w:rPr>
        <w:br w:type="page"/>
      </w:r>
    </w:p>
    <w:p w14:paraId="0E6E3CC9">
      <w:pPr>
        <w:rPr>
          <w:color w:val="auto"/>
          <w:highlight w:val="none"/>
        </w:rPr>
      </w:pPr>
    </w:p>
    <w:p w14:paraId="058FD0C2">
      <w:pPr>
        <w:pStyle w:val="34"/>
        <w:rPr>
          <w:color w:val="auto"/>
          <w:highlight w:val="none"/>
        </w:rPr>
      </w:pPr>
    </w:p>
    <w:p w14:paraId="28A54B52">
      <w:pPr>
        <w:rPr>
          <w:color w:val="auto"/>
          <w:highlight w:val="none"/>
        </w:rPr>
      </w:pPr>
    </w:p>
    <w:p w14:paraId="397BCE26">
      <w:pPr>
        <w:pStyle w:val="34"/>
        <w:rPr>
          <w:color w:val="auto"/>
          <w:highlight w:val="none"/>
        </w:rPr>
      </w:pPr>
    </w:p>
    <w:p w14:paraId="2F8E2436">
      <w:pPr>
        <w:rPr>
          <w:color w:val="auto"/>
          <w:highlight w:val="none"/>
        </w:rPr>
      </w:pPr>
    </w:p>
    <w:p w14:paraId="3A22148C">
      <w:pPr>
        <w:pStyle w:val="34"/>
        <w:rPr>
          <w:color w:val="auto"/>
          <w:highlight w:val="none"/>
        </w:rPr>
      </w:pPr>
    </w:p>
    <w:p w14:paraId="079B2D4A">
      <w:pPr>
        <w:rPr>
          <w:color w:val="auto"/>
          <w:highlight w:val="none"/>
        </w:rPr>
      </w:pPr>
    </w:p>
    <w:p w14:paraId="1B7E2994">
      <w:pPr>
        <w:pStyle w:val="34"/>
        <w:rPr>
          <w:color w:val="auto"/>
          <w:highlight w:val="none"/>
        </w:rPr>
      </w:pPr>
    </w:p>
    <w:p w14:paraId="550D1A07">
      <w:pPr>
        <w:ind w:left="420" w:leftChars="200"/>
        <w:rPr>
          <w:rFonts w:cs="Times New Roman"/>
          <w:color w:val="auto"/>
          <w:highlight w:val="none"/>
        </w:rPr>
      </w:pPr>
    </w:p>
    <w:p w14:paraId="774EB7A5">
      <w:pPr>
        <w:pStyle w:val="3"/>
        <w:jc w:val="center"/>
        <w:rPr>
          <w:rFonts w:cs="Times New Roman"/>
          <w:color w:val="auto"/>
          <w:highlight w:val="none"/>
        </w:rPr>
        <w:sectPr>
          <w:headerReference r:id="rId10" w:type="default"/>
          <w:footerReference r:id="rId11" w:type="default"/>
          <w:pgSz w:w="11910" w:h="16850"/>
          <w:pgMar w:top="1440" w:right="1440" w:bottom="1440" w:left="1440" w:header="876" w:footer="860" w:gutter="0"/>
          <w:pgNumType w:fmt="decimal"/>
          <w:cols w:space="720" w:num="1"/>
        </w:sectPr>
      </w:pPr>
      <w:bookmarkStart w:id="1738" w:name="_Toc247514244"/>
      <w:bookmarkStart w:id="1739" w:name="_Toc300835207"/>
      <w:bookmarkStart w:id="1740" w:name="_Toc8011"/>
      <w:bookmarkStart w:id="1741" w:name="_Toc247527825"/>
      <w:r>
        <w:rPr>
          <w:rFonts w:hint="eastAsia" w:cs="宋体"/>
          <w:color w:val="auto"/>
          <w:highlight w:val="none"/>
        </w:rPr>
        <w:t>第三卷</w:t>
      </w:r>
      <w:bookmarkEnd w:id="1738"/>
      <w:bookmarkEnd w:id="1739"/>
      <w:bookmarkEnd w:id="1740"/>
      <w:bookmarkEnd w:id="1741"/>
    </w:p>
    <w:p w14:paraId="1A8D16EC">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highlight w:val="none"/>
        </w:rPr>
      </w:pPr>
      <w:bookmarkStart w:id="1742" w:name="_Toc10049"/>
      <w:bookmarkStart w:id="1743" w:name="_Toc9497_WPSOffice_Level1"/>
      <w:bookmarkStart w:id="1744" w:name="_Toc4043_WPSOffice_Level1"/>
      <w:r>
        <w:rPr>
          <w:rFonts w:hint="eastAsia"/>
          <w:color w:val="auto"/>
          <w:highlight w:val="none"/>
        </w:rPr>
        <w:t>第七章</w:t>
      </w:r>
      <w:r>
        <w:rPr>
          <w:color w:val="auto"/>
          <w:highlight w:val="none"/>
        </w:rPr>
        <w:t xml:space="preserve">  </w:t>
      </w:r>
      <w:bookmarkEnd w:id="1720"/>
      <w:bookmarkEnd w:id="1721"/>
      <w:bookmarkEnd w:id="1722"/>
      <w:bookmarkEnd w:id="1723"/>
      <w:bookmarkEnd w:id="1724"/>
      <w:bookmarkEnd w:id="1725"/>
      <w:bookmarkStart w:id="1745" w:name="_Toc1261"/>
      <w:bookmarkStart w:id="1746" w:name="_Ref318967872"/>
      <w:bookmarkStart w:id="1747" w:name="_Ref318969888"/>
      <w:bookmarkStart w:id="1748" w:name="_Ref319050087"/>
      <w:bookmarkStart w:id="1749" w:name="_Ref318968019"/>
      <w:r>
        <w:rPr>
          <w:rFonts w:hint="eastAsia"/>
          <w:color w:val="auto"/>
          <w:highlight w:val="none"/>
        </w:rPr>
        <w:t>投标文件格式</w:t>
      </w:r>
      <w:bookmarkEnd w:id="1742"/>
      <w:bookmarkEnd w:id="1743"/>
      <w:bookmarkEnd w:id="1744"/>
      <w:bookmarkEnd w:id="1745"/>
      <w:bookmarkEnd w:id="1746"/>
      <w:bookmarkEnd w:id="1747"/>
      <w:bookmarkEnd w:id="1748"/>
      <w:bookmarkEnd w:id="1749"/>
    </w:p>
    <w:p w14:paraId="56957CB6">
      <w:pPr>
        <w:rPr>
          <w:rFonts w:hint="eastAsia"/>
          <w:color w:val="auto"/>
          <w:highlight w:val="none"/>
        </w:rPr>
      </w:pPr>
    </w:p>
    <w:p w14:paraId="41E60512">
      <w:pPr>
        <w:rPr>
          <w:color w:val="auto"/>
          <w:highlight w:val="none"/>
        </w:rPr>
      </w:pPr>
    </w:p>
    <w:p w14:paraId="02F9F3C8">
      <w:pPr>
        <w:adjustRightInd w:val="0"/>
        <w:snapToGrid w:val="0"/>
        <w:spacing w:line="360" w:lineRule="auto"/>
        <w:jc w:val="center"/>
        <w:rPr>
          <w:rFonts w:ascii="宋体" w:cs="Times New Roman"/>
          <w:b/>
          <w:bCs/>
          <w:color w:val="auto"/>
          <w:sz w:val="40"/>
          <w:szCs w:val="40"/>
          <w:highlight w:val="none"/>
        </w:rPr>
      </w:pPr>
      <w:bookmarkStart w:id="1750" w:name="_Toc2710_WPSOffice_Level1"/>
      <w:bookmarkStart w:id="1751" w:name="_Toc25385_WPSOffice_Level1"/>
      <w:r>
        <w:rPr>
          <w:rFonts w:hint="eastAsia" w:ascii="宋体" w:hAnsi="宋体" w:cs="宋体"/>
          <w:b/>
          <w:bCs/>
          <w:color w:val="auto"/>
          <w:sz w:val="40"/>
          <w:szCs w:val="40"/>
          <w:highlight w:val="none"/>
          <w:lang w:val="en-US" w:eastAsia="zh-CN"/>
        </w:rPr>
        <w:t xml:space="preserve">   </w:t>
      </w:r>
      <w:r>
        <w:rPr>
          <w:rFonts w:ascii="宋体" w:hAnsi="宋体" w:cs="宋体"/>
          <w:b/>
          <w:bCs/>
          <w:color w:val="auto"/>
          <w:sz w:val="40"/>
          <w:szCs w:val="40"/>
          <w:highlight w:val="none"/>
        </w:rPr>
        <w:t>_________________</w:t>
      </w:r>
      <w:r>
        <w:rPr>
          <w:rFonts w:hint="eastAsia" w:ascii="宋体" w:hAnsi="宋体" w:cs="宋体"/>
          <w:b/>
          <w:bCs/>
          <w:color w:val="auto"/>
          <w:sz w:val="40"/>
          <w:szCs w:val="40"/>
          <w:highlight w:val="none"/>
        </w:rPr>
        <w:t>（项目名称）</w:t>
      </w:r>
      <w:bookmarkEnd w:id="1750"/>
      <w:bookmarkEnd w:id="1751"/>
    </w:p>
    <w:p w14:paraId="625BCF90">
      <w:pPr>
        <w:adjustRightInd w:val="0"/>
        <w:snapToGrid w:val="0"/>
        <w:spacing w:line="360" w:lineRule="auto"/>
        <w:rPr>
          <w:rFonts w:ascii="宋体" w:cs="Times New Roman"/>
          <w:color w:val="auto"/>
          <w:sz w:val="40"/>
          <w:szCs w:val="40"/>
          <w:highlight w:val="none"/>
        </w:rPr>
      </w:pPr>
      <w:r>
        <w:rPr>
          <w:rFonts w:ascii="宋体" w:hAnsi="宋体" w:cs="宋体"/>
          <w:color w:val="auto"/>
          <w:sz w:val="40"/>
          <w:szCs w:val="40"/>
          <w:highlight w:val="none"/>
        </w:rPr>
        <w:t xml:space="preserve"> </w:t>
      </w:r>
    </w:p>
    <w:p w14:paraId="417D6A61">
      <w:pPr>
        <w:pStyle w:val="116"/>
        <w:rPr>
          <w:rFonts w:cs="Times New Roman"/>
          <w:color w:val="auto"/>
          <w:highlight w:val="none"/>
        </w:rPr>
      </w:pPr>
    </w:p>
    <w:p w14:paraId="747CD3D6">
      <w:pPr>
        <w:pStyle w:val="117"/>
        <w:rPr>
          <w:color w:val="auto"/>
          <w:highlight w:val="none"/>
        </w:rPr>
      </w:pPr>
    </w:p>
    <w:p w14:paraId="6314206B">
      <w:pPr>
        <w:pStyle w:val="116"/>
        <w:rPr>
          <w:rFonts w:cs="Times New Roman"/>
          <w:color w:val="auto"/>
          <w:highlight w:val="none"/>
        </w:rPr>
      </w:pPr>
    </w:p>
    <w:p w14:paraId="2DA9AEFE">
      <w:pPr>
        <w:adjustRightInd w:val="0"/>
        <w:snapToGrid w:val="0"/>
        <w:spacing w:line="360" w:lineRule="auto"/>
        <w:rPr>
          <w:rFonts w:ascii="宋体" w:cs="Times New Roman"/>
          <w:color w:val="auto"/>
          <w:sz w:val="28"/>
          <w:szCs w:val="28"/>
          <w:highlight w:val="none"/>
        </w:rPr>
      </w:pPr>
    </w:p>
    <w:p w14:paraId="439A1795">
      <w:pPr>
        <w:adjustRightInd w:val="0"/>
        <w:snapToGrid w:val="0"/>
        <w:spacing w:line="360" w:lineRule="auto"/>
        <w:jc w:val="center"/>
        <w:rPr>
          <w:rFonts w:ascii="宋体" w:cs="Times New Roman"/>
          <w:color w:val="auto"/>
          <w:sz w:val="80"/>
          <w:szCs w:val="80"/>
          <w:highlight w:val="none"/>
        </w:rPr>
      </w:pPr>
      <w:bookmarkStart w:id="1752" w:name="_Toc19723_WPSOffice_Level1"/>
      <w:bookmarkStart w:id="1753" w:name="_Toc1669_WPSOffice_Level1"/>
      <w:r>
        <w:rPr>
          <w:rFonts w:hint="eastAsia" w:ascii="宋体" w:hAnsi="宋体" w:cs="宋体"/>
          <w:color w:val="auto"/>
          <w:sz w:val="80"/>
          <w:szCs w:val="80"/>
          <w:highlight w:val="none"/>
        </w:rPr>
        <w:t>投</w:t>
      </w:r>
      <w:r>
        <w:rPr>
          <w:rFonts w:ascii="宋体" w:hAnsi="宋体" w:cs="宋体"/>
          <w:color w:val="auto"/>
          <w:sz w:val="80"/>
          <w:szCs w:val="80"/>
          <w:highlight w:val="none"/>
        </w:rPr>
        <w:t xml:space="preserve"> </w:t>
      </w:r>
      <w:r>
        <w:rPr>
          <w:rFonts w:hint="eastAsia" w:ascii="宋体" w:hAnsi="宋体" w:cs="宋体"/>
          <w:color w:val="auto"/>
          <w:sz w:val="80"/>
          <w:szCs w:val="80"/>
          <w:highlight w:val="none"/>
        </w:rPr>
        <w:t>标</w:t>
      </w:r>
      <w:r>
        <w:rPr>
          <w:rFonts w:ascii="宋体" w:hAnsi="宋体" w:cs="宋体"/>
          <w:color w:val="auto"/>
          <w:sz w:val="80"/>
          <w:szCs w:val="80"/>
          <w:highlight w:val="none"/>
        </w:rPr>
        <w:t xml:space="preserve"> </w:t>
      </w:r>
      <w:r>
        <w:rPr>
          <w:rFonts w:hint="eastAsia" w:ascii="宋体" w:hAnsi="宋体" w:cs="宋体"/>
          <w:color w:val="auto"/>
          <w:sz w:val="80"/>
          <w:szCs w:val="80"/>
          <w:highlight w:val="none"/>
        </w:rPr>
        <w:t>文</w:t>
      </w:r>
      <w:r>
        <w:rPr>
          <w:rFonts w:ascii="宋体" w:hAnsi="宋体" w:cs="宋体"/>
          <w:color w:val="auto"/>
          <w:sz w:val="80"/>
          <w:szCs w:val="80"/>
          <w:highlight w:val="none"/>
        </w:rPr>
        <w:t xml:space="preserve"> </w:t>
      </w:r>
      <w:r>
        <w:rPr>
          <w:rFonts w:hint="eastAsia" w:ascii="宋体" w:hAnsi="宋体" w:cs="宋体"/>
          <w:color w:val="auto"/>
          <w:sz w:val="80"/>
          <w:szCs w:val="80"/>
          <w:highlight w:val="none"/>
        </w:rPr>
        <w:t>件</w:t>
      </w:r>
      <w:bookmarkEnd w:id="1752"/>
      <w:bookmarkEnd w:id="1753"/>
    </w:p>
    <w:p w14:paraId="199E21A7">
      <w:pPr>
        <w:adjustRightInd w:val="0"/>
        <w:snapToGrid w:val="0"/>
        <w:spacing w:line="360" w:lineRule="auto"/>
        <w:jc w:val="center"/>
        <w:rPr>
          <w:rFonts w:hint="eastAsia" w:ascii="宋体" w:cs="Times New Roman"/>
          <w:color w:val="auto"/>
          <w:sz w:val="28"/>
          <w:szCs w:val="28"/>
          <w:highlight w:val="none"/>
          <w:lang w:val="en-US" w:eastAsia="zh-CN"/>
        </w:rPr>
      </w:pPr>
    </w:p>
    <w:p w14:paraId="0561E2E8">
      <w:pPr>
        <w:adjustRightInd w:val="0"/>
        <w:snapToGrid w:val="0"/>
        <w:spacing w:line="360" w:lineRule="auto"/>
        <w:jc w:val="center"/>
        <w:rPr>
          <w:rFonts w:hint="default" w:ascii="宋体" w:eastAsia="宋体" w:cs="Times New Roman"/>
          <w:b/>
          <w:bCs/>
          <w:color w:val="auto"/>
          <w:sz w:val="28"/>
          <w:szCs w:val="28"/>
          <w:highlight w:val="none"/>
          <w:lang w:val="en-US" w:eastAsia="zh-CN"/>
        </w:rPr>
      </w:pPr>
      <w:r>
        <w:rPr>
          <w:rFonts w:hint="eastAsia" w:ascii="宋体" w:cs="Times New Roman"/>
          <w:b/>
          <w:bCs/>
          <w:color w:val="auto"/>
          <w:sz w:val="28"/>
          <w:szCs w:val="28"/>
          <w:highlight w:val="none"/>
          <w:lang w:val="en-US" w:eastAsia="zh-CN"/>
        </w:rPr>
        <w:t>项目编号：</w:t>
      </w:r>
      <w:r>
        <w:rPr>
          <w:rFonts w:ascii="宋体" w:hAnsi="宋体" w:cs="宋体"/>
          <w:b/>
          <w:bCs/>
          <w:color w:val="auto"/>
          <w:sz w:val="40"/>
          <w:szCs w:val="40"/>
          <w:highlight w:val="none"/>
        </w:rPr>
        <w:t>____________</w:t>
      </w:r>
    </w:p>
    <w:p w14:paraId="4D50B05E">
      <w:pPr>
        <w:adjustRightInd w:val="0"/>
        <w:snapToGrid w:val="0"/>
        <w:spacing w:line="360" w:lineRule="auto"/>
        <w:rPr>
          <w:rFonts w:ascii="宋体" w:cs="Times New Roman"/>
          <w:color w:val="auto"/>
          <w:sz w:val="28"/>
          <w:szCs w:val="28"/>
          <w:highlight w:val="none"/>
        </w:rPr>
      </w:pPr>
    </w:p>
    <w:p w14:paraId="09B2C422">
      <w:pPr>
        <w:adjustRightInd w:val="0"/>
        <w:snapToGrid w:val="0"/>
        <w:spacing w:line="360" w:lineRule="auto"/>
        <w:rPr>
          <w:rFonts w:ascii="宋体" w:cs="Times New Roman"/>
          <w:color w:val="auto"/>
          <w:sz w:val="28"/>
          <w:szCs w:val="28"/>
          <w:highlight w:val="none"/>
        </w:rPr>
      </w:pPr>
    </w:p>
    <w:p w14:paraId="70936737">
      <w:pPr>
        <w:adjustRightInd w:val="0"/>
        <w:snapToGrid w:val="0"/>
        <w:spacing w:line="360" w:lineRule="auto"/>
        <w:rPr>
          <w:rFonts w:ascii="宋体" w:cs="Times New Roman"/>
          <w:color w:val="auto"/>
          <w:sz w:val="28"/>
          <w:szCs w:val="28"/>
          <w:highlight w:val="none"/>
        </w:rPr>
      </w:pPr>
    </w:p>
    <w:p w14:paraId="4537DAD4">
      <w:pPr>
        <w:adjustRightInd w:val="0"/>
        <w:snapToGrid w:val="0"/>
        <w:spacing w:line="360" w:lineRule="auto"/>
        <w:rPr>
          <w:rFonts w:ascii="宋体" w:cs="Times New Roman"/>
          <w:color w:val="auto"/>
          <w:sz w:val="28"/>
          <w:szCs w:val="28"/>
          <w:highlight w:val="none"/>
        </w:rPr>
      </w:pPr>
    </w:p>
    <w:p w14:paraId="6A5D74FE">
      <w:pPr>
        <w:pStyle w:val="116"/>
        <w:rPr>
          <w:rFonts w:ascii="宋体" w:cs="Times New Roman"/>
          <w:color w:val="auto"/>
          <w:sz w:val="28"/>
          <w:szCs w:val="28"/>
          <w:highlight w:val="none"/>
        </w:rPr>
      </w:pPr>
    </w:p>
    <w:p w14:paraId="7411E112">
      <w:pPr>
        <w:pStyle w:val="116"/>
        <w:rPr>
          <w:rFonts w:ascii="宋体" w:cs="Times New Roman"/>
          <w:color w:val="auto"/>
          <w:sz w:val="28"/>
          <w:szCs w:val="28"/>
          <w:highlight w:val="none"/>
        </w:rPr>
      </w:pPr>
    </w:p>
    <w:p w14:paraId="2EF3429C">
      <w:pPr>
        <w:pStyle w:val="117"/>
        <w:rPr>
          <w:rFonts w:ascii="宋体" w:cs="Times New Roman"/>
          <w:color w:val="auto"/>
          <w:sz w:val="28"/>
          <w:szCs w:val="28"/>
          <w:highlight w:val="none"/>
        </w:rPr>
      </w:pPr>
    </w:p>
    <w:p w14:paraId="7F1BF138">
      <w:pPr>
        <w:adjustRightInd w:val="0"/>
        <w:snapToGrid w:val="0"/>
        <w:spacing w:line="360" w:lineRule="auto"/>
        <w:rPr>
          <w:rFonts w:ascii="宋体" w:cs="Times New Roman"/>
          <w:b/>
          <w:bCs/>
          <w:color w:val="auto"/>
          <w:sz w:val="28"/>
          <w:szCs w:val="28"/>
          <w:highlight w:val="none"/>
        </w:rPr>
      </w:pPr>
    </w:p>
    <w:p w14:paraId="1A60400A">
      <w:pPr>
        <w:adjustRightInd w:val="0"/>
        <w:snapToGrid w:val="0"/>
        <w:spacing w:line="480" w:lineRule="auto"/>
        <w:jc w:val="center"/>
        <w:rPr>
          <w:rFonts w:hint="eastAsia" w:ascii="宋体" w:hAnsi="宋体" w:eastAsia="宋体" w:cs="宋体"/>
          <w:b/>
          <w:bCs/>
          <w:color w:val="auto"/>
          <w:sz w:val="28"/>
          <w:szCs w:val="28"/>
          <w:highlight w:val="none"/>
        </w:rPr>
      </w:pPr>
      <w:bookmarkStart w:id="1754" w:name="_Toc17617_WPSOffice_Level1"/>
      <w:bookmarkStart w:id="1755" w:name="_Toc3861_WPSOffice_Level1"/>
      <w:r>
        <w:rPr>
          <w:rFonts w:hint="eastAsia" w:ascii="宋体" w:hAnsi="宋体" w:eastAsia="宋体" w:cs="宋体"/>
          <w:b/>
          <w:bCs/>
          <w:color w:val="auto"/>
          <w:sz w:val="28"/>
          <w:szCs w:val="28"/>
          <w:highlight w:val="none"/>
        </w:rPr>
        <w:t>投标人（牵头单位）：__________________（电子签章）</w:t>
      </w:r>
      <w:bookmarkEnd w:id="1754"/>
      <w:bookmarkEnd w:id="1755"/>
    </w:p>
    <w:p w14:paraId="4364697F">
      <w:pPr>
        <w:adjustRightInd w:val="0"/>
        <w:snapToGrid w:val="0"/>
        <w:spacing w:line="480" w:lineRule="auto"/>
        <w:ind w:firstLine="281" w:firstLineChars="100"/>
        <w:rPr>
          <w:rFonts w:hint="eastAsia" w:ascii="宋体" w:hAnsi="宋体" w:eastAsia="宋体" w:cs="宋体"/>
          <w:b/>
          <w:bCs/>
          <w:color w:val="auto"/>
          <w:sz w:val="28"/>
          <w:szCs w:val="28"/>
          <w:highlight w:val="none"/>
        </w:rPr>
      </w:pPr>
      <w:bookmarkStart w:id="1756" w:name="_Toc19835_WPSOffice_Level2"/>
      <w:bookmarkStart w:id="1757" w:name="_Toc27735_WPSOffice_Level2"/>
      <w:r>
        <w:rPr>
          <w:rFonts w:hint="eastAsia" w:ascii="宋体" w:hAnsi="宋体" w:eastAsia="宋体" w:cs="宋体"/>
          <w:b/>
          <w:bCs/>
          <w:color w:val="auto"/>
          <w:sz w:val="28"/>
          <w:szCs w:val="28"/>
          <w:highlight w:val="none"/>
        </w:rPr>
        <w:t>法定代表人或其委托代理人：______________ （电子签章）</w:t>
      </w:r>
      <w:bookmarkEnd w:id="1756"/>
      <w:bookmarkEnd w:id="1757"/>
    </w:p>
    <w:p w14:paraId="3640DD43">
      <w:pPr>
        <w:adjustRightInd w:val="0"/>
        <w:snapToGrid w:val="0"/>
        <w:spacing w:line="360" w:lineRule="auto"/>
        <w:jc w:val="center"/>
        <w:rPr>
          <w:rFonts w:ascii="宋体" w:cs="Times New Roman"/>
          <w:b/>
          <w:bCs/>
          <w:color w:val="auto"/>
          <w:sz w:val="28"/>
          <w:szCs w:val="28"/>
          <w:highlight w:val="none"/>
        </w:rPr>
      </w:pPr>
    </w:p>
    <w:p w14:paraId="5637A2E4">
      <w:pPr>
        <w:adjustRightInd w:val="0"/>
        <w:snapToGrid w:val="0"/>
        <w:spacing w:line="360" w:lineRule="auto"/>
        <w:jc w:val="center"/>
        <w:rPr>
          <w:rFonts w:hint="eastAsia" w:ascii="宋体" w:hAnsi="宋体" w:cs="宋体"/>
          <w:b/>
          <w:bCs/>
          <w:color w:val="auto"/>
          <w:sz w:val="28"/>
          <w:szCs w:val="28"/>
          <w:highlight w:val="none"/>
        </w:rPr>
      </w:pPr>
      <w:bookmarkStart w:id="1758" w:name="_Toc20964_WPSOffice_Level1"/>
      <w:bookmarkStart w:id="1759" w:name="_Toc16868_WPSOffice_Level1"/>
      <w:r>
        <w:rPr>
          <w:rFonts w:ascii="宋体" w:hAnsi="宋体" w:cs="宋体"/>
          <w:b/>
          <w:bCs/>
          <w:color w:val="auto"/>
          <w:sz w:val="28"/>
          <w:szCs w:val="28"/>
          <w:highlight w:val="none"/>
        </w:rPr>
        <w:t>______</w:t>
      </w:r>
      <w:r>
        <w:rPr>
          <w:rFonts w:hint="eastAsia" w:ascii="宋体" w:hAnsi="宋体" w:cs="宋体"/>
          <w:b/>
          <w:bCs/>
          <w:color w:val="auto"/>
          <w:sz w:val="28"/>
          <w:szCs w:val="28"/>
          <w:highlight w:val="none"/>
        </w:rPr>
        <w:t>年</w:t>
      </w:r>
      <w:r>
        <w:rPr>
          <w:rFonts w:ascii="宋体" w:hAnsi="宋体" w:cs="宋体"/>
          <w:b/>
          <w:bCs/>
          <w:color w:val="auto"/>
          <w:sz w:val="28"/>
          <w:szCs w:val="28"/>
          <w:highlight w:val="none"/>
        </w:rPr>
        <w:t>___</w:t>
      </w:r>
      <w:r>
        <w:rPr>
          <w:rFonts w:hint="eastAsia" w:ascii="宋体" w:hAnsi="宋体" w:cs="宋体"/>
          <w:b/>
          <w:bCs/>
          <w:color w:val="auto"/>
          <w:sz w:val="28"/>
          <w:szCs w:val="28"/>
          <w:highlight w:val="none"/>
        </w:rPr>
        <w:t>月</w:t>
      </w:r>
      <w:r>
        <w:rPr>
          <w:rFonts w:ascii="宋体" w:hAnsi="宋体" w:cs="宋体"/>
          <w:b/>
          <w:bCs/>
          <w:color w:val="auto"/>
          <w:sz w:val="28"/>
          <w:szCs w:val="28"/>
          <w:highlight w:val="none"/>
        </w:rPr>
        <w:t>____</w:t>
      </w:r>
      <w:r>
        <w:rPr>
          <w:rFonts w:hint="eastAsia" w:ascii="宋体" w:hAnsi="宋体" w:cs="宋体"/>
          <w:b/>
          <w:bCs/>
          <w:color w:val="auto"/>
          <w:sz w:val="28"/>
          <w:szCs w:val="28"/>
          <w:highlight w:val="none"/>
        </w:rPr>
        <w:t>日</w:t>
      </w:r>
      <w:bookmarkEnd w:id="1758"/>
      <w:bookmarkEnd w:id="1759"/>
      <w:bookmarkStart w:id="1760" w:name="_Toc340045852"/>
      <w:bookmarkStart w:id="1761" w:name="_Toc338054971"/>
      <w:bookmarkStart w:id="1762" w:name="_Toc4051_WPSOffice_Level2"/>
      <w:bookmarkStart w:id="1763" w:name="_Toc3003_WPSOffice_Level2"/>
      <w:bookmarkStart w:id="1764" w:name="_Toc336336050"/>
    </w:p>
    <w:p w14:paraId="45E27698">
      <w:pPr>
        <w:adjustRightInd w:val="0"/>
        <w:snapToGrid w:val="0"/>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bookmarkEnd w:id="1760"/>
    <w:bookmarkEnd w:id="1761"/>
    <w:bookmarkEnd w:id="1762"/>
    <w:bookmarkEnd w:id="1763"/>
    <w:bookmarkEnd w:id="1764"/>
    <w:p w14:paraId="54D91CB6">
      <w:pPr>
        <w:pStyle w:val="589"/>
        <w:numPr>
          <w:ilvl w:val="0"/>
          <w:numId w:val="0"/>
        </w:numPr>
        <w:snapToGrid w:val="0"/>
        <w:spacing w:before="120" w:beforeLines="50" w:after="240" w:afterLines="100" w:line="360" w:lineRule="auto"/>
        <w:jc w:val="center"/>
        <w:rPr>
          <w:rFonts w:cs="Times New Roman"/>
          <w:b/>
          <w:bCs/>
          <w:color w:val="auto"/>
          <w:sz w:val="28"/>
          <w:szCs w:val="28"/>
          <w:highlight w:val="none"/>
        </w:rPr>
      </w:pPr>
      <w:bookmarkStart w:id="1765" w:name="_Toc16605"/>
      <w:bookmarkStart w:id="1766" w:name="_Toc45897174"/>
      <w:r>
        <w:rPr>
          <w:rFonts w:hint="eastAsia" w:cs="宋体"/>
          <w:b/>
          <w:bCs/>
          <w:color w:val="auto"/>
          <w:sz w:val="28"/>
          <w:szCs w:val="28"/>
          <w:highlight w:val="none"/>
        </w:rPr>
        <w:t>第</w:t>
      </w:r>
      <w:r>
        <w:rPr>
          <w:rFonts w:hint="eastAsia" w:cs="宋体"/>
          <w:b/>
          <w:bCs/>
          <w:color w:val="auto"/>
          <w:sz w:val="28"/>
          <w:szCs w:val="28"/>
          <w:highlight w:val="none"/>
          <w:lang w:eastAsia="zh-CN"/>
        </w:rPr>
        <w:t>一</w:t>
      </w:r>
      <w:r>
        <w:rPr>
          <w:rFonts w:hint="eastAsia" w:cs="宋体"/>
          <w:b/>
          <w:bCs/>
          <w:color w:val="auto"/>
          <w:sz w:val="28"/>
          <w:szCs w:val="28"/>
          <w:highlight w:val="none"/>
        </w:rPr>
        <w:t>部分</w:t>
      </w:r>
      <w:r>
        <w:rPr>
          <w:rFonts w:hint="eastAsia"/>
          <w:b/>
          <w:bCs/>
          <w:color w:val="auto"/>
          <w:sz w:val="28"/>
          <w:szCs w:val="28"/>
          <w:highlight w:val="none"/>
          <w:lang w:val="en-US" w:eastAsia="zh-CN"/>
        </w:rPr>
        <w:t xml:space="preserve">  </w:t>
      </w:r>
      <w:r>
        <w:rPr>
          <w:rFonts w:hint="eastAsia" w:cs="宋体"/>
          <w:b/>
          <w:bCs/>
          <w:color w:val="auto"/>
          <w:sz w:val="28"/>
          <w:szCs w:val="28"/>
          <w:highlight w:val="none"/>
        </w:rPr>
        <w:t>商务部分</w:t>
      </w:r>
    </w:p>
    <w:p w14:paraId="29306DE6">
      <w:pPr>
        <w:pStyle w:val="589"/>
        <w:numPr>
          <w:ilvl w:val="0"/>
          <w:numId w:val="0"/>
        </w:numPr>
        <w:snapToGrid w:val="0"/>
        <w:spacing w:before="120" w:beforeLines="50" w:after="240" w:afterLines="100" w:line="360" w:lineRule="auto"/>
        <w:jc w:val="center"/>
        <w:rPr>
          <w:rFonts w:cs="Times New Roman"/>
          <w:b/>
          <w:bCs/>
          <w:color w:val="auto"/>
          <w:sz w:val="28"/>
          <w:szCs w:val="28"/>
          <w:highlight w:val="none"/>
        </w:rPr>
      </w:pPr>
      <w:r>
        <w:rPr>
          <w:rFonts w:hint="eastAsia" w:cs="宋体"/>
          <w:b/>
          <w:bCs/>
          <w:color w:val="auto"/>
          <w:sz w:val="28"/>
          <w:szCs w:val="28"/>
          <w:highlight w:val="none"/>
        </w:rPr>
        <w:t>投标（唱标）一览表</w:t>
      </w:r>
    </w:p>
    <w:p w14:paraId="37139810">
      <w:pPr>
        <w:spacing w:line="360" w:lineRule="auto"/>
        <w:ind w:left="-410" w:firstLine="360"/>
        <w:rPr>
          <w:color w:val="auto"/>
          <w:highlight w:val="none"/>
        </w:rPr>
      </w:pPr>
      <w:r>
        <w:rPr>
          <w:rFonts w:hint="eastAsia" w:cs="宋体"/>
          <w:color w:val="auto"/>
          <w:highlight w:val="none"/>
        </w:rPr>
        <w:t>工程名称：</w:t>
      </w:r>
      <w:r>
        <w:rPr>
          <w:color w:val="auto"/>
          <w:highlight w:val="none"/>
        </w:rPr>
        <w:t xml:space="preserve">                       </w:t>
      </w:r>
    </w:p>
    <w:p w14:paraId="443466AD">
      <w:pPr>
        <w:spacing w:line="360" w:lineRule="auto"/>
        <w:ind w:left="-410" w:firstLine="360"/>
        <w:rPr>
          <w:color w:val="auto"/>
          <w:highlight w:val="none"/>
        </w:rPr>
      </w:pPr>
      <w:r>
        <w:rPr>
          <w:rFonts w:hint="eastAsia" w:cs="宋体"/>
          <w:color w:val="auto"/>
          <w:highlight w:val="none"/>
        </w:rPr>
        <w:t>投标单位：</w:t>
      </w:r>
      <w:r>
        <w:rPr>
          <w:color w:val="auto"/>
          <w:highlight w:val="none"/>
        </w:rPr>
        <w:t xml:space="preserve">                       </w:t>
      </w:r>
    </w:p>
    <w:tbl>
      <w:tblPr>
        <w:tblStyle w:val="88"/>
        <w:tblW w:w="9345" w:type="dxa"/>
        <w:tblInd w:w="108" w:type="dxa"/>
        <w:tblLayout w:type="fixed"/>
        <w:tblCellMar>
          <w:top w:w="0" w:type="dxa"/>
          <w:left w:w="108" w:type="dxa"/>
          <w:bottom w:w="0" w:type="dxa"/>
          <w:right w:w="108" w:type="dxa"/>
        </w:tblCellMar>
      </w:tblPr>
      <w:tblGrid>
        <w:gridCol w:w="1054"/>
        <w:gridCol w:w="3789"/>
        <w:gridCol w:w="4502"/>
      </w:tblGrid>
      <w:tr w14:paraId="10B78B54">
        <w:tblPrEx>
          <w:tblCellMar>
            <w:top w:w="0" w:type="dxa"/>
            <w:left w:w="108" w:type="dxa"/>
            <w:bottom w:w="0" w:type="dxa"/>
            <w:right w:w="108" w:type="dxa"/>
          </w:tblCellMar>
        </w:tblPrEx>
        <w:trPr>
          <w:trHeight w:val="907"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0DB4292E">
            <w:pPr>
              <w:spacing w:line="360" w:lineRule="auto"/>
              <w:jc w:val="center"/>
              <w:rPr>
                <w:rFonts w:cs="Times New Roman"/>
                <w:color w:val="auto"/>
                <w:highlight w:val="none"/>
              </w:rPr>
            </w:pPr>
            <w:r>
              <w:rPr>
                <w:rFonts w:hint="eastAsia" w:cs="宋体"/>
                <w:color w:val="auto"/>
                <w:highlight w:val="none"/>
              </w:rPr>
              <w:t>序号</w:t>
            </w:r>
          </w:p>
        </w:tc>
        <w:tc>
          <w:tcPr>
            <w:tcW w:w="3789" w:type="dxa"/>
            <w:tcBorders>
              <w:top w:val="single" w:color="000000" w:sz="4" w:space="0"/>
              <w:bottom w:val="single" w:color="000000" w:sz="4" w:space="0"/>
              <w:right w:val="single" w:color="000000" w:sz="4" w:space="0"/>
            </w:tcBorders>
            <w:vAlign w:val="center"/>
          </w:tcPr>
          <w:p w14:paraId="580BE7E3">
            <w:pPr>
              <w:spacing w:line="360" w:lineRule="auto"/>
              <w:jc w:val="center"/>
              <w:rPr>
                <w:rFonts w:cs="Times New Roman"/>
                <w:color w:val="auto"/>
                <w:highlight w:val="none"/>
              </w:rPr>
            </w:pPr>
            <w:r>
              <w:rPr>
                <w:rFonts w:hint="eastAsia" w:cs="宋体"/>
                <w:color w:val="auto"/>
                <w:highlight w:val="none"/>
              </w:rPr>
              <w:t>项目</w:t>
            </w:r>
          </w:p>
        </w:tc>
        <w:tc>
          <w:tcPr>
            <w:tcW w:w="4502" w:type="dxa"/>
            <w:tcBorders>
              <w:top w:val="single" w:color="000000" w:sz="4" w:space="0"/>
              <w:bottom w:val="single" w:color="000000" w:sz="4" w:space="0"/>
              <w:right w:val="single" w:color="000000" w:sz="4" w:space="0"/>
            </w:tcBorders>
            <w:vAlign w:val="center"/>
          </w:tcPr>
          <w:p w14:paraId="71CD8811">
            <w:pPr>
              <w:spacing w:line="360" w:lineRule="auto"/>
              <w:jc w:val="center"/>
              <w:rPr>
                <w:rFonts w:cs="Times New Roman"/>
                <w:color w:val="auto"/>
                <w:highlight w:val="none"/>
              </w:rPr>
            </w:pPr>
            <w:r>
              <w:rPr>
                <w:rFonts w:hint="eastAsia" w:cs="宋体"/>
                <w:color w:val="auto"/>
                <w:highlight w:val="none"/>
              </w:rPr>
              <w:t>填报内容</w:t>
            </w:r>
          </w:p>
        </w:tc>
      </w:tr>
      <w:tr w14:paraId="746880B2">
        <w:tblPrEx>
          <w:tblCellMar>
            <w:top w:w="0" w:type="dxa"/>
            <w:left w:w="108" w:type="dxa"/>
            <w:bottom w:w="0" w:type="dxa"/>
            <w:right w:w="108" w:type="dxa"/>
          </w:tblCellMar>
        </w:tblPrEx>
        <w:trPr>
          <w:trHeight w:val="55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18526882">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789" w:type="dxa"/>
            <w:tcBorders>
              <w:top w:val="single" w:color="000000" w:sz="4" w:space="0"/>
              <w:bottom w:val="single" w:color="000000" w:sz="4" w:space="0"/>
              <w:right w:val="single" w:color="000000" w:sz="4" w:space="0"/>
            </w:tcBorders>
            <w:vAlign w:val="center"/>
          </w:tcPr>
          <w:p w14:paraId="4C71A0A4">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投标人（牵头人和联合体成员）</w:t>
            </w:r>
          </w:p>
        </w:tc>
        <w:tc>
          <w:tcPr>
            <w:tcW w:w="4502" w:type="dxa"/>
            <w:tcBorders>
              <w:top w:val="single" w:color="000000" w:sz="4" w:space="0"/>
              <w:bottom w:val="single" w:color="000000" w:sz="4" w:space="0"/>
              <w:right w:val="single" w:color="000000" w:sz="4" w:space="0"/>
            </w:tcBorders>
            <w:vAlign w:val="center"/>
          </w:tcPr>
          <w:p w14:paraId="59AF271C">
            <w:pPr>
              <w:spacing w:line="360" w:lineRule="auto"/>
              <w:jc w:val="left"/>
              <w:rPr>
                <w:rFonts w:cs="Times New Roman"/>
                <w:color w:val="auto"/>
                <w:highlight w:val="none"/>
              </w:rPr>
            </w:pPr>
          </w:p>
        </w:tc>
      </w:tr>
      <w:tr w14:paraId="7AA8BE0B">
        <w:tblPrEx>
          <w:tblCellMar>
            <w:top w:w="0" w:type="dxa"/>
            <w:left w:w="108" w:type="dxa"/>
            <w:bottom w:w="0" w:type="dxa"/>
            <w:right w:w="108" w:type="dxa"/>
          </w:tblCellMar>
        </w:tblPrEx>
        <w:trPr>
          <w:trHeight w:val="501"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71697F52">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789" w:type="dxa"/>
            <w:tcBorders>
              <w:top w:val="single" w:color="000000" w:sz="4" w:space="0"/>
              <w:bottom w:val="single" w:color="000000" w:sz="4" w:space="0"/>
              <w:right w:val="single" w:color="000000" w:sz="4" w:space="0"/>
            </w:tcBorders>
            <w:vAlign w:val="center"/>
          </w:tcPr>
          <w:p w14:paraId="1C1A8C44">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4502" w:type="dxa"/>
            <w:tcBorders>
              <w:top w:val="single" w:color="000000" w:sz="4" w:space="0"/>
              <w:bottom w:val="single" w:color="000000" w:sz="4" w:space="0"/>
              <w:right w:val="single" w:color="000000" w:sz="4" w:space="0"/>
            </w:tcBorders>
            <w:vAlign w:val="center"/>
          </w:tcPr>
          <w:p w14:paraId="67912CBB">
            <w:pPr>
              <w:spacing w:line="240" w:lineRule="auto"/>
              <w:jc w:val="center"/>
              <w:rPr>
                <w:rFonts w:cs="Times New Roman"/>
                <w:color w:val="auto"/>
                <w:highlight w:val="none"/>
              </w:rPr>
            </w:pPr>
          </w:p>
        </w:tc>
      </w:tr>
      <w:tr w14:paraId="0E37433A">
        <w:tblPrEx>
          <w:tblCellMar>
            <w:top w:w="0" w:type="dxa"/>
            <w:left w:w="108" w:type="dxa"/>
            <w:bottom w:w="0" w:type="dxa"/>
            <w:right w:w="108" w:type="dxa"/>
          </w:tblCellMar>
        </w:tblPrEx>
        <w:trPr>
          <w:trHeight w:val="56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0485CC40">
            <w:pPr>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3789" w:type="dxa"/>
            <w:tcBorders>
              <w:top w:val="single" w:color="000000" w:sz="4" w:space="0"/>
              <w:bottom w:val="single" w:color="000000" w:sz="4" w:space="0"/>
              <w:right w:val="single" w:color="000000" w:sz="4" w:space="0"/>
            </w:tcBorders>
            <w:vAlign w:val="center"/>
          </w:tcPr>
          <w:p w14:paraId="191AE219">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投资收益率（</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w:t>
            </w:r>
          </w:p>
        </w:tc>
        <w:tc>
          <w:tcPr>
            <w:tcW w:w="4502" w:type="dxa"/>
            <w:tcBorders>
              <w:top w:val="single" w:color="000000" w:sz="4" w:space="0"/>
              <w:bottom w:val="single" w:color="000000" w:sz="4" w:space="0"/>
              <w:right w:val="single" w:color="000000" w:sz="4" w:space="0"/>
            </w:tcBorders>
            <w:vAlign w:val="center"/>
          </w:tcPr>
          <w:p w14:paraId="00E50E6C">
            <w:pPr>
              <w:spacing w:line="240" w:lineRule="auto"/>
              <w:jc w:val="center"/>
              <w:rPr>
                <w:rFonts w:cs="Times New Roman"/>
                <w:color w:val="auto"/>
                <w:highlight w:val="none"/>
              </w:rPr>
            </w:pPr>
          </w:p>
        </w:tc>
      </w:tr>
      <w:tr w14:paraId="56B1B833">
        <w:tblPrEx>
          <w:tblCellMar>
            <w:top w:w="0" w:type="dxa"/>
            <w:left w:w="108" w:type="dxa"/>
            <w:bottom w:w="0" w:type="dxa"/>
            <w:right w:w="108" w:type="dxa"/>
          </w:tblCellMar>
        </w:tblPrEx>
        <w:trPr>
          <w:trHeight w:val="56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708D43D2">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3789" w:type="dxa"/>
            <w:tcBorders>
              <w:top w:val="single" w:color="000000" w:sz="4" w:space="0"/>
              <w:bottom w:val="single" w:color="000000" w:sz="4" w:space="0"/>
              <w:right w:val="single" w:color="000000" w:sz="4" w:space="0"/>
            </w:tcBorders>
            <w:vAlign w:val="center"/>
          </w:tcPr>
          <w:p w14:paraId="6703147E">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工程设计费</w:t>
            </w:r>
            <w:r>
              <w:rPr>
                <w:rFonts w:hint="eastAsia" w:ascii="宋体" w:hAnsi="宋体" w:eastAsia="宋体" w:cs="宋体"/>
                <w:color w:val="auto"/>
                <w:sz w:val="21"/>
                <w:szCs w:val="21"/>
                <w:highlight w:val="none"/>
                <w:lang w:eastAsia="zh-CN"/>
              </w:rPr>
              <w:t>费率（</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p>
        </w:tc>
        <w:tc>
          <w:tcPr>
            <w:tcW w:w="4502" w:type="dxa"/>
            <w:tcBorders>
              <w:top w:val="single" w:color="000000" w:sz="4" w:space="0"/>
              <w:bottom w:val="single" w:color="000000" w:sz="4" w:space="0"/>
              <w:right w:val="single" w:color="000000" w:sz="4" w:space="0"/>
            </w:tcBorders>
            <w:vAlign w:val="center"/>
          </w:tcPr>
          <w:p w14:paraId="15EF7C82">
            <w:pPr>
              <w:spacing w:line="240" w:lineRule="auto"/>
              <w:jc w:val="center"/>
              <w:rPr>
                <w:rFonts w:cs="Times New Roman"/>
                <w:color w:val="auto"/>
                <w:highlight w:val="none"/>
              </w:rPr>
            </w:pPr>
          </w:p>
        </w:tc>
      </w:tr>
      <w:tr w14:paraId="7BC03E8D">
        <w:tblPrEx>
          <w:tblCellMar>
            <w:top w:w="0" w:type="dxa"/>
            <w:left w:w="108" w:type="dxa"/>
            <w:bottom w:w="0" w:type="dxa"/>
            <w:right w:w="108" w:type="dxa"/>
          </w:tblCellMar>
        </w:tblPrEx>
        <w:trPr>
          <w:trHeight w:val="599"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60AB16D6">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3789" w:type="dxa"/>
            <w:tcBorders>
              <w:top w:val="single" w:color="000000" w:sz="4" w:space="0"/>
              <w:bottom w:val="single" w:color="000000" w:sz="4" w:space="0"/>
              <w:right w:val="single" w:color="000000" w:sz="4" w:space="0"/>
            </w:tcBorders>
            <w:vAlign w:val="center"/>
          </w:tcPr>
          <w:p w14:paraId="05659546">
            <w:pPr>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建安工程施工费</w:t>
            </w:r>
            <w:r>
              <w:rPr>
                <w:rFonts w:hint="eastAsia" w:ascii="宋体" w:hAnsi="宋体" w:eastAsia="宋体" w:cs="宋体"/>
                <w:color w:val="auto"/>
                <w:sz w:val="21"/>
                <w:szCs w:val="21"/>
                <w:highlight w:val="none"/>
              </w:rPr>
              <w:t>下浮率（%）</w:t>
            </w:r>
          </w:p>
        </w:tc>
        <w:tc>
          <w:tcPr>
            <w:tcW w:w="4502" w:type="dxa"/>
            <w:tcBorders>
              <w:top w:val="single" w:color="000000" w:sz="4" w:space="0"/>
              <w:bottom w:val="single" w:color="000000" w:sz="4" w:space="0"/>
              <w:right w:val="single" w:color="000000" w:sz="4" w:space="0"/>
            </w:tcBorders>
            <w:vAlign w:val="center"/>
          </w:tcPr>
          <w:p w14:paraId="31957FE9">
            <w:pPr>
              <w:spacing w:line="240" w:lineRule="auto"/>
              <w:jc w:val="center"/>
              <w:rPr>
                <w:rFonts w:cs="Times New Roman"/>
                <w:color w:val="auto"/>
                <w:highlight w:val="none"/>
              </w:rPr>
            </w:pPr>
          </w:p>
        </w:tc>
      </w:tr>
      <w:tr w14:paraId="09300F98">
        <w:tblPrEx>
          <w:tblCellMar>
            <w:top w:w="0" w:type="dxa"/>
            <w:left w:w="108" w:type="dxa"/>
            <w:bottom w:w="0" w:type="dxa"/>
            <w:right w:w="108" w:type="dxa"/>
          </w:tblCellMar>
        </w:tblPrEx>
        <w:trPr>
          <w:trHeight w:val="47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171F9361">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3789" w:type="dxa"/>
            <w:tcBorders>
              <w:top w:val="single" w:color="000000" w:sz="4" w:space="0"/>
              <w:bottom w:val="single" w:color="000000" w:sz="4" w:space="0"/>
              <w:right w:val="single" w:color="000000" w:sz="4" w:space="0"/>
            </w:tcBorders>
            <w:vAlign w:val="center"/>
          </w:tcPr>
          <w:p w14:paraId="5234275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设计质量标准</w:t>
            </w:r>
          </w:p>
        </w:tc>
        <w:tc>
          <w:tcPr>
            <w:tcW w:w="4502" w:type="dxa"/>
            <w:tcBorders>
              <w:top w:val="single" w:color="000000" w:sz="4" w:space="0"/>
              <w:bottom w:val="single" w:color="000000" w:sz="4" w:space="0"/>
              <w:right w:val="single" w:color="000000" w:sz="4" w:space="0"/>
            </w:tcBorders>
            <w:vAlign w:val="center"/>
          </w:tcPr>
          <w:p w14:paraId="1C462CA0">
            <w:pPr>
              <w:spacing w:line="240" w:lineRule="auto"/>
              <w:jc w:val="center"/>
              <w:rPr>
                <w:rFonts w:cs="Times New Roman"/>
                <w:color w:val="auto"/>
                <w:highlight w:val="none"/>
              </w:rPr>
            </w:pPr>
          </w:p>
        </w:tc>
      </w:tr>
      <w:tr w14:paraId="4C9242BA">
        <w:tblPrEx>
          <w:tblCellMar>
            <w:top w:w="0" w:type="dxa"/>
            <w:left w:w="108" w:type="dxa"/>
            <w:bottom w:w="0" w:type="dxa"/>
            <w:right w:w="108" w:type="dxa"/>
          </w:tblCellMar>
        </w:tblPrEx>
        <w:trPr>
          <w:trHeight w:val="55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5239E33A">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3789" w:type="dxa"/>
            <w:tcBorders>
              <w:top w:val="single" w:color="000000" w:sz="4" w:space="0"/>
              <w:bottom w:val="single" w:color="000000" w:sz="4" w:space="0"/>
              <w:right w:val="single" w:color="000000" w:sz="4" w:space="0"/>
            </w:tcBorders>
            <w:vAlign w:val="center"/>
          </w:tcPr>
          <w:p w14:paraId="1AC3DD2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施工质量标准</w:t>
            </w:r>
          </w:p>
        </w:tc>
        <w:tc>
          <w:tcPr>
            <w:tcW w:w="4502" w:type="dxa"/>
            <w:tcBorders>
              <w:top w:val="single" w:color="000000" w:sz="4" w:space="0"/>
              <w:bottom w:val="single" w:color="000000" w:sz="4" w:space="0"/>
              <w:right w:val="single" w:color="000000" w:sz="4" w:space="0"/>
            </w:tcBorders>
            <w:vAlign w:val="center"/>
          </w:tcPr>
          <w:p w14:paraId="15A260E1">
            <w:pPr>
              <w:numPr>
                <w:ilvl w:val="0"/>
                <w:numId w:val="0"/>
              </w:numPr>
              <w:spacing w:line="240" w:lineRule="auto"/>
              <w:jc w:val="center"/>
              <w:rPr>
                <w:rFonts w:ascii="宋体" w:cs="Times New Roman"/>
                <w:b/>
                <w:bCs/>
                <w:color w:val="auto"/>
                <w:highlight w:val="none"/>
              </w:rPr>
            </w:pPr>
          </w:p>
        </w:tc>
      </w:tr>
      <w:tr w14:paraId="547D4B46">
        <w:tblPrEx>
          <w:tblCellMar>
            <w:top w:w="0" w:type="dxa"/>
            <w:left w:w="108" w:type="dxa"/>
            <w:bottom w:w="0" w:type="dxa"/>
            <w:right w:w="108" w:type="dxa"/>
          </w:tblCellMar>
        </w:tblPrEx>
        <w:trPr>
          <w:trHeight w:val="527"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10C6EF65">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p>
        </w:tc>
        <w:tc>
          <w:tcPr>
            <w:tcW w:w="3789" w:type="dxa"/>
            <w:tcBorders>
              <w:top w:val="single" w:color="000000" w:sz="4" w:space="0"/>
              <w:bottom w:val="single" w:color="000000" w:sz="4" w:space="0"/>
              <w:right w:val="single" w:color="000000" w:sz="4" w:space="0"/>
            </w:tcBorders>
            <w:vAlign w:val="center"/>
          </w:tcPr>
          <w:p w14:paraId="0D97D339">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总承包质量标准</w:t>
            </w:r>
          </w:p>
        </w:tc>
        <w:tc>
          <w:tcPr>
            <w:tcW w:w="4502" w:type="dxa"/>
            <w:tcBorders>
              <w:top w:val="single" w:color="000000" w:sz="4" w:space="0"/>
              <w:bottom w:val="single" w:color="000000" w:sz="4" w:space="0"/>
              <w:right w:val="single" w:color="000000" w:sz="4" w:space="0"/>
            </w:tcBorders>
            <w:vAlign w:val="center"/>
          </w:tcPr>
          <w:p w14:paraId="691B2EFC">
            <w:pPr>
              <w:spacing w:line="240" w:lineRule="auto"/>
              <w:jc w:val="center"/>
              <w:rPr>
                <w:rFonts w:cs="Times New Roman"/>
                <w:b/>
                <w:bCs/>
                <w:color w:val="auto"/>
                <w:highlight w:val="none"/>
              </w:rPr>
            </w:pPr>
          </w:p>
        </w:tc>
      </w:tr>
      <w:tr w14:paraId="3B8E8F05">
        <w:tblPrEx>
          <w:tblCellMar>
            <w:top w:w="0" w:type="dxa"/>
            <w:left w:w="108" w:type="dxa"/>
            <w:bottom w:w="0" w:type="dxa"/>
            <w:right w:w="108" w:type="dxa"/>
          </w:tblCellMar>
        </w:tblPrEx>
        <w:trPr>
          <w:trHeight w:val="567"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6768BFC1">
            <w:pPr>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p>
        </w:tc>
        <w:tc>
          <w:tcPr>
            <w:tcW w:w="3789" w:type="dxa"/>
            <w:tcBorders>
              <w:top w:val="single" w:color="000000" w:sz="4" w:space="0"/>
              <w:bottom w:val="single" w:color="000000" w:sz="4" w:space="0"/>
              <w:right w:val="single" w:color="000000" w:sz="4" w:space="0"/>
            </w:tcBorders>
            <w:vAlign w:val="center"/>
          </w:tcPr>
          <w:p w14:paraId="35135C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Times New Roman"/>
                <w:color w:val="auto"/>
                <w:sz w:val="21"/>
                <w:szCs w:val="21"/>
                <w:highlight w:val="none"/>
              </w:rPr>
            </w:pPr>
            <w:r>
              <w:rPr>
                <w:rFonts w:hint="eastAsia"/>
                <w:color w:val="auto"/>
                <w:sz w:val="21"/>
                <w:szCs w:val="21"/>
                <w:highlight w:val="none"/>
              </w:rPr>
              <w:t>项目负责人及证书编号</w:t>
            </w:r>
          </w:p>
        </w:tc>
        <w:tc>
          <w:tcPr>
            <w:tcW w:w="4502" w:type="dxa"/>
            <w:tcBorders>
              <w:top w:val="single" w:color="000000" w:sz="4" w:space="0"/>
              <w:bottom w:val="single" w:color="000000" w:sz="4" w:space="0"/>
              <w:right w:val="single" w:color="000000" w:sz="4" w:space="0"/>
            </w:tcBorders>
            <w:vAlign w:val="center"/>
          </w:tcPr>
          <w:p w14:paraId="64F19562">
            <w:pPr>
              <w:spacing w:line="240" w:lineRule="exact"/>
              <w:jc w:val="center"/>
              <w:rPr>
                <w:rFonts w:cs="Times New Roman"/>
                <w:color w:val="auto"/>
                <w:highlight w:val="none"/>
              </w:rPr>
            </w:pPr>
          </w:p>
        </w:tc>
      </w:tr>
      <w:tr w14:paraId="2EFA3B63">
        <w:tblPrEx>
          <w:tblCellMar>
            <w:top w:w="0" w:type="dxa"/>
            <w:left w:w="108" w:type="dxa"/>
            <w:bottom w:w="0" w:type="dxa"/>
            <w:right w:w="108" w:type="dxa"/>
          </w:tblCellMar>
        </w:tblPrEx>
        <w:trPr>
          <w:trHeight w:val="463"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22AF0D26">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3789" w:type="dxa"/>
            <w:tcBorders>
              <w:top w:val="single" w:color="000000" w:sz="4" w:space="0"/>
              <w:bottom w:val="single" w:color="000000" w:sz="4" w:space="0"/>
              <w:right w:val="single" w:color="000000" w:sz="4" w:space="0"/>
            </w:tcBorders>
            <w:vAlign w:val="center"/>
          </w:tcPr>
          <w:p w14:paraId="4503CF6E">
            <w:pPr>
              <w:spacing w:line="240" w:lineRule="exact"/>
              <w:jc w:val="center"/>
              <w:rPr>
                <w:rFonts w:cs="Times New Roman"/>
                <w:color w:val="auto"/>
                <w:sz w:val="21"/>
                <w:szCs w:val="21"/>
                <w:highlight w:val="none"/>
              </w:rPr>
            </w:pPr>
            <w:r>
              <w:rPr>
                <w:rFonts w:hint="eastAsia"/>
                <w:color w:val="auto"/>
                <w:sz w:val="21"/>
                <w:szCs w:val="21"/>
                <w:highlight w:val="none"/>
              </w:rPr>
              <w:t>设计负责人</w:t>
            </w:r>
          </w:p>
        </w:tc>
        <w:tc>
          <w:tcPr>
            <w:tcW w:w="4502" w:type="dxa"/>
            <w:tcBorders>
              <w:top w:val="single" w:color="000000" w:sz="4" w:space="0"/>
              <w:bottom w:val="single" w:color="000000" w:sz="4" w:space="0"/>
              <w:right w:val="single" w:color="000000" w:sz="4" w:space="0"/>
            </w:tcBorders>
            <w:vAlign w:val="center"/>
          </w:tcPr>
          <w:p w14:paraId="2420F517">
            <w:pPr>
              <w:spacing w:line="360" w:lineRule="auto"/>
              <w:rPr>
                <w:rFonts w:cs="Times New Roman"/>
                <w:color w:val="auto"/>
                <w:highlight w:val="none"/>
              </w:rPr>
            </w:pPr>
          </w:p>
        </w:tc>
      </w:tr>
      <w:tr w14:paraId="60C71DC0">
        <w:tblPrEx>
          <w:tblCellMar>
            <w:top w:w="0" w:type="dxa"/>
            <w:left w:w="108" w:type="dxa"/>
            <w:bottom w:w="0" w:type="dxa"/>
            <w:right w:w="108" w:type="dxa"/>
          </w:tblCellMar>
        </w:tblPrEx>
        <w:trPr>
          <w:trHeight w:val="493"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4A9F0F9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p>
        </w:tc>
        <w:tc>
          <w:tcPr>
            <w:tcW w:w="3789" w:type="dxa"/>
            <w:tcBorders>
              <w:top w:val="single" w:color="000000" w:sz="4" w:space="0"/>
              <w:bottom w:val="single" w:color="000000" w:sz="4" w:space="0"/>
              <w:right w:val="single" w:color="000000" w:sz="4" w:space="0"/>
            </w:tcBorders>
            <w:vAlign w:val="center"/>
          </w:tcPr>
          <w:p w14:paraId="3E8EF0F9">
            <w:pPr>
              <w:spacing w:line="240" w:lineRule="exact"/>
              <w:jc w:val="center"/>
              <w:rPr>
                <w:rFonts w:cs="Times New Roman"/>
                <w:color w:val="auto"/>
                <w:sz w:val="21"/>
                <w:szCs w:val="21"/>
                <w:highlight w:val="none"/>
              </w:rPr>
            </w:pPr>
            <w:r>
              <w:rPr>
                <w:rFonts w:hint="eastAsia"/>
                <w:color w:val="auto"/>
                <w:sz w:val="21"/>
                <w:szCs w:val="21"/>
                <w:highlight w:val="none"/>
              </w:rPr>
              <w:t>施工负责人（项目经理）</w:t>
            </w:r>
          </w:p>
        </w:tc>
        <w:tc>
          <w:tcPr>
            <w:tcW w:w="4502" w:type="dxa"/>
            <w:tcBorders>
              <w:top w:val="single" w:color="000000" w:sz="4" w:space="0"/>
              <w:bottom w:val="single" w:color="000000" w:sz="4" w:space="0"/>
              <w:right w:val="single" w:color="000000" w:sz="4" w:space="0"/>
            </w:tcBorders>
            <w:vAlign w:val="center"/>
          </w:tcPr>
          <w:p w14:paraId="42B9D62A">
            <w:pPr>
              <w:spacing w:line="360" w:lineRule="auto"/>
              <w:rPr>
                <w:rFonts w:cs="Times New Roman"/>
                <w:color w:val="auto"/>
                <w:highlight w:val="none"/>
              </w:rPr>
            </w:pPr>
          </w:p>
        </w:tc>
      </w:tr>
      <w:tr w14:paraId="4F2B4DF2">
        <w:tblPrEx>
          <w:tblCellMar>
            <w:top w:w="0" w:type="dxa"/>
            <w:left w:w="108" w:type="dxa"/>
            <w:bottom w:w="0" w:type="dxa"/>
            <w:right w:w="108" w:type="dxa"/>
          </w:tblCellMar>
        </w:tblPrEx>
        <w:trPr>
          <w:trHeight w:val="565"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3B1096D0">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p>
        </w:tc>
        <w:tc>
          <w:tcPr>
            <w:tcW w:w="3789" w:type="dxa"/>
            <w:tcBorders>
              <w:top w:val="single" w:color="000000" w:sz="4" w:space="0"/>
              <w:bottom w:val="single" w:color="000000" w:sz="4" w:space="0"/>
              <w:right w:val="single" w:color="000000" w:sz="4" w:space="0"/>
            </w:tcBorders>
            <w:vAlign w:val="center"/>
          </w:tcPr>
          <w:p w14:paraId="3DF3894A">
            <w:pPr>
              <w:spacing w:line="240" w:lineRule="auto"/>
              <w:jc w:val="center"/>
              <w:rPr>
                <w:rFonts w:cs="Times New Roman"/>
                <w:color w:val="auto"/>
                <w:sz w:val="21"/>
                <w:szCs w:val="21"/>
                <w:highlight w:val="none"/>
              </w:rPr>
            </w:pPr>
            <w:r>
              <w:rPr>
                <w:rFonts w:hint="eastAsia"/>
                <w:color w:val="auto"/>
                <w:sz w:val="21"/>
                <w:szCs w:val="21"/>
                <w:highlight w:val="none"/>
              </w:rPr>
              <w:t>工期</w:t>
            </w:r>
          </w:p>
        </w:tc>
        <w:tc>
          <w:tcPr>
            <w:tcW w:w="4502" w:type="dxa"/>
            <w:tcBorders>
              <w:top w:val="single" w:color="000000" w:sz="4" w:space="0"/>
              <w:bottom w:val="single" w:color="000000" w:sz="4" w:space="0"/>
              <w:right w:val="single" w:color="000000" w:sz="4" w:space="0"/>
            </w:tcBorders>
            <w:vAlign w:val="center"/>
          </w:tcPr>
          <w:p w14:paraId="316EC134">
            <w:pPr>
              <w:spacing w:line="240" w:lineRule="auto"/>
              <w:jc w:val="center"/>
              <w:rPr>
                <w:rFonts w:cs="Times New Roman"/>
                <w:color w:val="auto"/>
                <w:highlight w:val="none"/>
              </w:rPr>
            </w:pPr>
          </w:p>
        </w:tc>
      </w:tr>
      <w:tr w14:paraId="2F3E3F8A">
        <w:trPr>
          <w:trHeight w:val="563"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49FC8F9A">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3</w:t>
            </w:r>
          </w:p>
        </w:tc>
        <w:tc>
          <w:tcPr>
            <w:tcW w:w="3789" w:type="dxa"/>
            <w:tcBorders>
              <w:top w:val="single" w:color="000000" w:sz="4" w:space="0"/>
              <w:bottom w:val="single" w:color="000000" w:sz="4" w:space="0"/>
              <w:right w:val="single" w:color="000000" w:sz="4" w:space="0"/>
            </w:tcBorders>
            <w:vAlign w:val="center"/>
          </w:tcPr>
          <w:p w14:paraId="2D1CD21E">
            <w:pPr>
              <w:spacing w:line="240" w:lineRule="auto"/>
              <w:jc w:val="center"/>
              <w:rPr>
                <w:rFonts w:cs="Times New Roman"/>
                <w:color w:val="auto"/>
                <w:sz w:val="21"/>
                <w:szCs w:val="21"/>
                <w:highlight w:val="none"/>
              </w:rPr>
            </w:pPr>
            <w:r>
              <w:rPr>
                <w:rFonts w:hint="eastAsia"/>
                <w:color w:val="auto"/>
                <w:sz w:val="21"/>
                <w:szCs w:val="21"/>
                <w:highlight w:val="none"/>
              </w:rPr>
              <w:t>备注</w:t>
            </w:r>
          </w:p>
        </w:tc>
        <w:tc>
          <w:tcPr>
            <w:tcW w:w="4502" w:type="dxa"/>
            <w:tcBorders>
              <w:top w:val="single" w:color="000000" w:sz="4" w:space="0"/>
              <w:bottom w:val="single" w:color="000000" w:sz="4" w:space="0"/>
              <w:right w:val="single" w:color="000000" w:sz="4" w:space="0"/>
            </w:tcBorders>
            <w:vAlign w:val="center"/>
          </w:tcPr>
          <w:p w14:paraId="4497C158">
            <w:pPr>
              <w:spacing w:line="240" w:lineRule="auto"/>
              <w:jc w:val="center"/>
              <w:rPr>
                <w:rFonts w:cs="Times New Roman"/>
                <w:color w:val="auto"/>
                <w:highlight w:val="none"/>
              </w:rPr>
            </w:pPr>
          </w:p>
        </w:tc>
      </w:tr>
    </w:tbl>
    <w:p w14:paraId="6169E32D">
      <w:pPr>
        <w:spacing w:line="300" w:lineRule="auto"/>
        <w:rPr>
          <w:rFonts w:ascii="宋体" w:cs="Times New Roman"/>
          <w:color w:val="auto"/>
          <w:highlight w:val="none"/>
        </w:rPr>
      </w:pPr>
    </w:p>
    <w:p w14:paraId="4E7FB1EE">
      <w:pPr>
        <w:spacing w:line="300" w:lineRule="auto"/>
        <w:ind w:firstLine="490"/>
        <w:rPr>
          <w:rFonts w:ascii="宋体" w:cs="Times New Roman"/>
          <w:color w:val="auto"/>
          <w:highlight w:val="none"/>
        </w:rPr>
      </w:pPr>
      <w:r>
        <w:rPr>
          <w:rFonts w:hint="eastAsia" w:ascii="宋体" w:hAnsi="宋体" w:cs="宋体"/>
          <w:color w:val="auto"/>
          <w:highlight w:val="none"/>
        </w:rPr>
        <w:t>投</w:t>
      </w:r>
      <w:r>
        <w:rPr>
          <w:rFonts w:ascii="宋体" w:hAnsi="宋体" w:cs="宋体"/>
          <w:color w:val="auto"/>
          <w:highlight w:val="none"/>
        </w:rPr>
        <w:t xml:space="preserve"> </w:t>
      </w:r>
      <w:r>
        <w:rPr>
          <w:rFonts w:hint="eastAsia" w:ascii="宋体" w:hAnsi="宋体" w:cs="宋体"/>
          <w:color w:val="auto"/>
          <w:highlight w:val="none"/>
        </w:rPr>
        <w:t>标</w:t>
      </w:r>
      <w:r>
        <w:rPr>
          <w:rFonts w:ascii="宋体" w:hAnsi="宋体" w:cs="宋体"/>
          <w:color w:val="auto"/>
          <w:highlight w:val="none"/>
        </w:rPr>
        <w:t xml:space="preserve"> </w:t>
      </w:r>
      <w:r>
        <w:rPr>
          <w:rFonts w:hint="eastAsia" w:ascii="宋体" w:hAnsi="宋体" w:cs="宋体"/>
          <w:color w:val="auto"/>
          <w:highlight w:val="none"/>
        </w:rPr>
        <w:t>人（牵头人单位）：</w:t>
      </w:r>
      <w:r>
        <w:rPr>
          <w:rFonts w:ascii="宋体" w:hAnsi="宋体" w:cs="宋体"/>
          <w:color w:val="auto"/>
          <w:highlight w:val="none"/>
          <w:u w:val="single"/>
        </w:rPr>
        <w:t xml:space="preserve">                  </w:t>
      </w:r>
      <w:r>
        <w:rPr>
          <w:rFonts w:hint="eastAsia" w:ascii="宋体" w:hAnsi="宋体" w:cs="宋体"/>
          <w:color w:val="auto"/>
          <w:highlight w:val="none"/>
        </w:rPr>
        <w:t>（电子签章）</w:t>
      </w:r>
    </w:p>
    <w:p w14:paraId="0FB59FC1">
      <w:pPr>
        <w:spacing w:line="300" w:lineRule="auto"/>
        <w:ind w:firstLine="490"/>
        <w:rPr>
          <w:rFonts w:ascii="宋体" w:cs="Times New Roman"/>
          <w:color w:val="auto"/>
          <w:highlight w:val="none"/>
        </w:rPr>
      </w:pPr>
    </w:p>
    <w:p w14:paraId="5B5CCBEE">
      <w:pPr>
        <w:spacing w:line="300" w:lineRule="auto"/>
        <w:ind w:firstLine="490"/>
        <w:rPr>
          <w:rFonts w:ascii="宋体" w:cs="Times New Roman"/>
          <w:color w:val="auto"/>
          <w:highlight w:val="none"/>
        </w:rPr>
      </w:pPr>
      <w:r>
        <w:rPr>
          <w:rFonts w:hint="eastAsia" w:ascii="宋体" w:hAnsi="宋体" w:cs="宋体"/>
          <w:color w:val="auto"/>
          <w:highlight w:val="none"/>
        </w:rPr>
        <w:t>法定代表人或</w:t>
      </w:r>
      <w:r>
        <w:rPr>
          <w:rFonts w:hint="eastAsia" w:cs="宋体"/>
          <w:color w:val="auto"/>
          <w:highlight w:val="none"/>
        </w:rPr>
        <w:t>其委托代理人</w:t>
      </w:r>
      <w:r>
        <w:rPr>
          <w:rFonts w:hint="eastAsia" w:ascii="宋体" w:hAnsi="宋体" w:cs="宋体"/>
          <w:color w:val="auto"/>
          <w:highlight w:val="none"/>
          <w:u w:val="single"/>
        </w:rPr>
        <w:t>：</w:t>
      </w:r>
      <w:r>
        <w:rPr>
          <w:rFonts w:ascii="宋体" w:hAnsi="宋体" w:cs="宋体"/>
          <w:color w:val="auto"/>
          <w:highlight w:val="none"/>
          <w:u w:val="single"/>
        </w:rPr>
        <w:t xml:space="preserve">                </w:t>
      </w:r>
      <w:r>
        <w:rPr>
          <w:rFonts w:hint="eastAsia" w:ascii="宋体" w:hAnsi="宋体" w:cs="宋体"/>
          <w:color w:val="auto"/>
          <w:highlight w:val="none"/>
        </w:rPr>
        <w:t>（电子签章）</w:t>
      </w:r>
    </w:p>
    <w:p w14:paraId="2A2AB104">
      <w:pPr>
        <w:spacing w:line="300" w:lineRule="auto"/>
        <w:ind w:firstLine="490"/>
        <w:rPr>
          <w:rFonts w:ascii="宋体" w:cs="Times New Roman"/>
          <w:color w:val="auto"/>
          <w:highlight w:val="none"/>
        </w:rPr>
      </w:pPr>
    </w:p>
    <w:p w14:paraId="6C57AB19">
      <w:pPr>
        <w:spacing w:line="440" w:lineRule="exact"/>
        <w:ind w:firstLine="420" w:firstLineChars="200"/>
        <w:rPr>
          <w:rFonts w:cs="Times New Roman"/>
          <w:color w:val="auto"/>
          <w:highlight w:val="none"/>
        </w:rPr>
      </w:pPr>
      <w:r>
        <w:rPr>
          <w:rFonts w:hint="eastAsia" w:ascii="宋体" w:hAnsi="宋体" w:cs="宋体"/>
          <w:color w:val="auto"/>
          <w:highlight w:val="none"/>
        </w:rPr>
        <w:t>日</w:t>
      </w:r>
      <w:r>
        <w:rPr>
          <w:rFonts w:ascii="宋体" w:hAnsi="宋体" w:cs="宋体"/>
          <w:color w:val="auto"/>
          <w:highlight w:val="none"/>
        </w:rPr>
        <w:t xml:space="preserve">   </w:t>
      </w:r>
      <w:r>
        <w:rPr>
          <w:rFonts w:hint="eastAsia" w:ascii="宋体" w:hAnsi="宋体" w:cs="宋体"/>
          <w:color w:val="auto"/>
          <w:highlight w:val="none"/>
        </w:rPr>
        <w:t>期：</w:t>
      </w:r>
      <w:r>
        <w:rPr>
          <w:rFonts w:hint="eastAsia" w:ascii="宋体" w:hAnsi="宋体" w:cs="宋体"/>
          <w:color w:val="auto"/>
          <w:highlight w:val="none"/>
          <w:lang w:val="en-US" w:eastAsia="zh-CN"/>
        </w:rPr>
        <w:t xml:space="preserve">      </w:t>
      </w:r>
      <w:r>
        <w:rPr>
          <w:rFonts w:hint="eastAsia" w:cs="宋体"/>
          <w:color w:val="auto"/>
          <w:highlight w:val="none"/>
        </w:rPr>
        <w:t>年</w:t>
      </w:r>
      <w:r>
        <w:rPr>
          <w:color w:val="auto"/>
          <w:highlight w:val="none"/>
        </w:rPr>
        <w:t xml:space="preserve">   </w:t>
      </w:r>
      <w:r>
        <w:rPr>
          <w:rFonts w:hint="eastAsia" w:cs="宋体"/>
          <w:color w:val="auto"/>
          <w:highlight w:val="none"/>
        </w:rPr>
        <w:t>月</w:t>
      </w:r>
      <w:r>
        <w:rPr>
          <w:color w:val="auto"/>
          <w:highlight w:val="none"/>
        </w:rPr>
        <w:t xml:space="preserve">    </w:t>
      </w:r>
      <w:r>
        <w:rPr>
          <w:rFonts w:hint="eastAsia" w:cs="宋体"/>
          <w:color w:val="auto"/>
          <w:highlight w:val="none"/>
        </w:rPr>
        <w:t>日</w:t>
      </w:r>
    </w:p>
    <w:p w14:paraId="4C7C904D">
      <w:pPr>
        <w:spacing w:line="300" w:lineRule="auto"/>
        <w:ind w:firstLine="490"/>
        <w:rPr>
          <w:rFonts w:hint="default" w:ascii="宋体" w:eastAsia="宋体" w:cs="Times New Roman"/>
          <w:color w:val="auto"/>
          <w:highlight w:val="none"/>
          <w:lang w:val="en-US" w:eastAsia="zh-CN"/>
        </w:rPr>
      </w:pPr>
    </w:p>
    <w:p w14:paraId="3F97BD09">
      <w:pPr>
        <w:spacing w:line="300" w:lineRule="auto"/>
        <w:ind w:firstLine="490"/>
        <w:rPr>
          <w:rFonts w:ascii="宋体" w:cs="Times New Roman"/>
          <w:color w:val="auto"/>
          <w:highlight w:val="none"/>
        </w:rPr>
      </w:pPr>
    </w:p>
    <w:p w14:paraId="14F3CED6">
      <w:pPr>
        <w:pStyle w:val="116"/>
        <w:rPr>
          <w:rFonts w:ascii="宋体" w:cs="Times New Roman"/>
          <w:color w:val="auto"/>
          <w:highlight w:val="none"/>
        </w:rPr>
      </w:pPr>
    </w:p>
    <w:p w14:paraId="75D228F5">
      <w:pPr>
        <w:pStyle w:val="116"/>
        <w:rPr>
          <w:rFonts w:ascii="宋体" w:cs="Times New Roman"/>
          <w:color w:val="auto"/>
          <w:highlight w:val="none"/>
        </w:rPr>
      </w:pPr>
    </w:p>
    <w:p w14:paraId="6C456661">
      <w:pPr>
        <w:pStyle w:val="589"/>
        <w:numPr>
          <w:ilvl w:val="0"/>
          <w:numId w:val="0"/>
        </w:numPr>
        <w:snapToGrid w:val="0"/>
        <w:spacing w:before="120" w:beforeLines="50" w:after="240" w:afterLines="100" w:line="360" w:lineRule="auto"/>
        <w:jc w:val="center"/>
        <w:rPr>
          <w:rFonts w:cs="Times New Roman"/>
          <w:b/>
          <w:bCs/>
          <w:color w:val="auto"/>
          <w:sz w:val="28"/>
          <w:szCs w:val="28"/>
          <w:highlight w:val="none"/>
        </w:rPr>
      </w:pPr>
      <w:r>
        <w:rPr>
          <w:rFonts w:hint="eastAsia" w:cs="宋体"/>
          <w:b/>
          <w:bCs/>
          <w:color w:val="auto"/>
          <w:sz w:val="28"/>
          <w:szCs w:val="28"/>
          <w:highlight w:val="none"/>
          <w:lang w:eastAsia="zh-CN"/>
        </w:rPr>
        <w:t>一、</w:t>
      </w:r>
      <w:r>
        <w:rPr>
          <w:rFonts w:hint="eastAsia" w:cs="宋体"/>
          <w:b/>
          <w:bCs/>
          <w:color w:val="auto"/>
          <w:sz w:val="28"/>
          <w:szCs w:val="28"/>
          <w:highlight w:val="none"/>
        </w:rPr>
        <w:t>投标函及投标函附录</w:t>
      </w:r>
    </w:p>
    <w:p w14:paraId="4D2E82CA">
      <w:pPr>
        <w:pStyle w:val="453"/>
        <w:numPr>
          <w:ilvl w:val="2"/>
          <w:numId w:val="17"/>
        </w:numPr>
        <w:snapToGrid w:val="0"/>
        <w:spacing w:after="120" w:afterLines="50" w:line="360" w:lineRule="auto"/>
        <w:ind w:left="1" w:firstLine="0"/>
        <w:jc w:val="center"/>
        <w:rPr>
          <w:rFonts w:cs="Times New Roman"/>
          <w:b/>
          <w:bCs/>
          <w:color w:val="auto"/>
          <w:sz w:val="28"/>
          <w:szCs w:val="28"/>
          <w:highlight w:val="none"/>
        </w:rPr>
      </w:pPr>
      <w:r>
        <w:rPr>
          <w:rFonts w:hint="eastAsia" w:cs="宋体"/>
          <w:b/>
          <w:bCs/>
          <w:color w:val="auto"/>
          <w:sz w:val="28"/>
          <w:szCs w:val="28"/>
          <w:highlight w:val="none"/>
        </w:rPr>
        <w:t>投标函</w:t>
      </w:r>
    </w:p>
    <w:p w14:paraId="167C47D4">
      <w:pPr>
        <w:spacing w:line="440" w:lineRule="exact"/>
        <w:rPr>
          <w:rFonts w:cs="Times New Roman"/>
          <w:color w:val="auto"/>
          <w:highlight w:val="none"/>
        </w:rPr>
      </w:pPr>
      <w:r>
        <w:rPr>
          <w:rFonts w:hint="eastAsia" w:cs="宋体"/>
          <w:color w:val="auto"/>
          <w:highlight w:val="none"/>
          <w:u w:val="single"/>
        </w:rPr>
        <w:t>（招标人名称）</w:t>
      </w:r>
      <w:r>
        <w:rPr>
          <w:rFonts w:hint="eastAsia" w:cs="宋体"/>
          <w:color w:val="auto"/>
          <w:highlight w:val="none"/>
          <w:u w:val="single"/>
          <w:lang w:val="en-US" w:eastAsia="zh-CN"/>
        </w:rPr>
        <w:t xml:space="preserve">      </w:t>
      </w:r>
      <w:r>
        <w:rPr>
          <w:rFonts w:hint="eastAsia" w:cs="宋体"/>
          <w:color w:val="auto"/>
          <w:highlight w:val="none"/>
        </w:rPr>
        <w:t>：</w:t>
      </w:r>
    </w:p>
    <w:p w14:paraId="2E540C47">
      <w:pPr>
        <w:spacing w:line="440" w:lineRule="exact"/>
        <w:ind w:left="-193" w:leftChars="-92" w:firstLine="613" w:firstLineChars="292"/>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w:t>
      </w:r>
      <w:r>
        <w:rPr>
          <w:rFonts w:hint="eastAsia" w:ascii="宋体" w:hAnsi="宋体" w:eastAsia="宋体" w:cs="宋体"/>
          <w:color w:val="auto"/>
          <w:highlight w:val="none"/>
        </w:rPr>
        <w:t>我方已仔细研究了</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招标文件的全部内容，愿意以</w:t>
      </w:r>
      <w:r>
        <w:rPr>
          <w:rFonts w:hint="eastAsia" w:ascii="宋体" w:hAnsi="宋体" w:cs="宋体"/>
          <w:color w:val="auto"/>
          <w:highlight w:val="none"/>
          <w:lang w:eastAsia="zh-CN"/>
        </w:rPr>
        <w:t>投资收益率</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w:t>
      </w:r>
      <w:r>
        <w:rPr>
          <w:rFonts w:hint="eastAsia" w:ascii="宋体" w:hAnsi="宋体" w:eastAsia="宋体" w:cs="宋体"/>
          <w:color w:val="auto"/>
          <w:szCs w:val="21"/>
          <w:highlight w:val="none"/>
        </w:rPr>
        <w:t>工程设计费</w:t>
      </w:r>
      <w:r>
        <w:rPr>
          <w:rFonts w:hint="eastAsia" w:ascii="宋体" w:hAnsi="宋体" w:eastAsia="宋体" w:cs="宋体"/>
          <w:color w:val="auto"/>
          <w:szCs w:val="21"/>
          <w:highlight w:val="none"/>
          <w:lang w:eastAsia="zh-CN"/>
        </w:rPr>
        <w:t>费率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w:t>
      </w:r>
      <w:r>
        <w:rPr>
          <w:rFonts w:hint="eastAsia" w:ascii="宋体" w:hAnsi="宋体" w:eastAsia="宋体" w:cs="宋体"/>
          <w:color w:val="auto"/>
          <w:highlight w:val="none"/>
        </w:rPr>
        <w:t>，</w:t>
      </w:r>
      <w:r>
        <w:rPr>
          <w:rFonts w:hint="eastAsia" w:ascii="宋体" w:hAnsi="宋体" w:cs="宋体"/>
          <w:color w:val="auto"/>
          <w:highlight w:val="none"/>
          <w:lang w:eastAsia="zh-CN"/>
        </w:rPr>
        <w:t>建安工程施工费</w:t>
      </w:r>
      <w:r>
        <w:rPr>
          <w:rFonts w:hint="eastAsia" w:ascii="宋体" w:hAnsi="宋体" w:eastAsia="宋体" w:cs="宋体"/>
          <w:color w:val="auto"/>
          <w:sz w:val="21"/>
          <w:szCs w:val="21"/>
          <w:highlight w:val="none"/>
          <w:lang w:eastAsia="zh-CN"/>
        </w:rPr>
        <w:t>（含设备购置费）</w:t>
      </w:r>
      <w:r>
        <w:rPr>
          <w:rFonts w:hint="eastAsia" w:ascii="宋体" w:hAnsi="宋体" w:eastAsia="宋体" w:cs="宋体"/>
          <w:color w:val="auto"/>
          <w:highlight w:val="none"/>
        </w:rPr>
        <w:t>下浮</w:t>
      </w:r>
      <w:r>
        <w:rPr>
          <w:rFonts w:hint="eastAsia" w:ascii="宋体" w:hAnsi="宋体" w:eastAsia="宋体" w:cs="宋体"/>
          <w:color w:val="auto"/>
          <w:highlight w:val="none"/>
          <w:lang w:eastAsia="zh-CN"/>
        </w:rPr>
        <w:t>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%，设计工期（周期）______日历天，施工工期______日历天，按合同约定进行设计、施工总承包工程，修补工程中的任何缺陷，设计质量达到</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eastAsia="zh-CN"/>
        </w:rPr>
        <w:t>，</w:t>
      </w:r>
      <w:r>
        <w:rPr>
          <w:rFonts w:hint="eastAsia" w:ascii="宋体" w:hAnsi="宋体" w:eastAsia="宋体" w:cs="宋体"/>
          <w:color w:val="auto"/>
          <w:highlight w:val="none"/>
        </w:rPr>
        <w:t>施工工程质量达到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1451BCA">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val="en-US" w:eastAsia="zh-CN"/>
        </w:rPr>
        <w:t>.</w:t>
      </w:r>
      <w:r>
        <w:rPr>
          <w:rFonts w:hint="eastAsia" w:ascii="宋体" w:hAnsi="宋体" w:eastAsia="宋体" w:cs="宋体"/>
          <w:color w:val="auto"/>
          <w:highlight w:val="none"/>
        </w:rPr>
        <w:t>我方承诺在招标文件规定的投标有效期内不修改、撤销投标文件。</w:t>
      </w:r>
    </w:p>
    <w:p w14:paraId="24AC982F">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cs="宋体"/>
          <w:color w:val="auto"/>
          <w:highlight w:val="none"/>
          <w:lang w:val="en-US" w:eastAsia="zh-CN"/>
        </w:rPr>
        <w:t>.</w:t>
      </w:r>
      <w:r>
        <w:rPr>
          <w:rFonts w:hint="eastAsia" w:ascii="宋体" w:hAnsi="宋体" w:eastAsia="宋体" w:cs="宋体"/>
          <w:color w:val="auto"/>
          <w:highlight w:val="none"/>
        </w:rPr>
        <w:t>随同本投标函提交投标保证金一份，金额为人民币（大写）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4738A99">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cs="宋体"/>
          <w:color w:val="auto"/>
          <w:highlight w:val="none"/>
          <w:lang w:val="en-US" w:eastAsia="zh-CN"/>
        </w:rPr>
        <w:t>.</w:t>
      </w:r>
      <w:r>
        <w:rPr>
          <w:rFonts w:hint="eastAsia" w:ascii="宋体" w:hAnsi="宋体" w:eastAsia="宋体" w:cs="宋体"/>
          <w:color w:val="auto"/>
          <w:highlight w:val="none"/>
        </w:rPr>
        <w:t>如我方中标：</w:t>
      </w:r>
    </w:p>
    <w:p w14:paraId="1B51ABB8">
      <w:pPr>
        <w:spacing w:line="440" w:lineRule="exact"/>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（1）我方承诺在收到中标通知书后，在中标通知书规定的期限内与你方签订合同。</w:t>
      </w:r>
    </w:p>
    <w:p w14:paraId="1B8F11BD">
      <w:pPr>
        <w:spacing w:line="440" w:lineRule="exact"/>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（2）随同本投标函递交的投标函附录属于合同文件的组成部分。</w:t>
      </w:r>
    </w:p>
    <w:p w14:paraId="5B8E96EB">
      <w:pPr>
        <w:spacing w:line="440" w:lineRule="exact"/>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（3）我方承诺按照招标文件规定向你方递交履约担保。</w:t>
      </w:r>
    </w:p>
    <w:p w14:paraId="175342F3">
      <w:pPr>
        <w:spacing w:line="440" w:lineRule="exact"/>
        <w:ind w:left="-199" w:leftChars="-95" w:firstLine="924" w:firstLineChars="440"/>
        <w:rPr>
          <w:rFonts w:hint="eastAsia" w:ascii="宋体" w:hAnsi="宋体" w:eastAsia="宋体" w:cs="宋体"/>
          <w:color w:val="auto"/>
          <w:highlight w:val="none"/>
        </w:rPr>
      </w:pPr>
      <w:r>
        <w:rPr>
          <w:rFonts w:hint="eastAsia" w:ascii="宋体" w:hAnsi="宋体" w:eastAsia="宋体" w:cs="宋体"/>
          <w:color w:val="auto"/>
          <w:highlight w:val="none"/>
        </w:rPr>
        <w:t>（4）我方承诺在合同约定的期限内保质保量完成并移交全部合同工程，否则按我方违约承担一切责任。</w:t>
      </w:r>
    </w:p>
    <w:p w14:paraId="4A9DF4CA">
      <w:pPr>
        <w:spacing w:line="440" w:lineRule="exact"/>
        <w:ind w:left="-199" w:leftChars="-95" w:firstLine="630" w:firstLineChars="30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cs="宋体"/>
          <w:color w:val="auto"/>
          <w:highlight w:val="none"/>
          <w:lang w:val="en-US" w:eastAsia="zh-CN"/>
        </w:rPr>
        <w:t>.</w:t>
      </w:r>
      <w:r>
        <w:rPr>
          <w:rFonts w:hint="eastAsia" w:ascii="宋体" w:hAnsi="宋体" w:eastAsia="宋体" w:cs="宋体"/>
          <w:color w:val="auto"/>
          <w:highlight w:val="none"/>
        </w:rPr>
        <w:t>我方在此声明，所递交的投标文件及有关资料内容完整、真实和准确，且不存在第二章“投标人须知”第1.4.3项和第1.4.4项规定的任何一种情形。</w:t>
      </w:r>
    </w:p>
    <w:p w14:paraId="6FF0E670">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cs="宋体"/>
          <w:color w:val="auto"/>
          <w:highlight w:val="none"/>
          <w:lang w:val="en-US" w:eastAsia="zh-CN"/>
        </w:rPr>
        <w:t>.</w:t>
      </w:r>
      <w:r>
        <w:rPr>
          <w:rFonts w:hint="eastAsia" w:ascii="宋体" w:hAnsi="宋体" w:eastAsia="宋体" w:cs="宋体"/>
          <w:color w:val="auto"/>
          <w:highlight w:val="none"/>
          <w:u w:val="single"/>
        </w:rPr>
        <w:t xml:space="preserve">（其他补充说明）   </w:t>
      </w:r>
      <w:r>
        <w:rPr>
          <w:rFonts w:hint="eastAsia" w:ascii="宋体" w:hAnsi="宋体" w:eastAsia="宋体" w:cs="宋体"/>
          <w:color w:val="auto"/>
          <w:highlight w:val="none"/>
        </w:rPr>
        <w:t>。</w:t>
      </w:r>
    </w:p>
    <w:p w14:paraId="1DD1FC7B">
      <w:pPr>
        <w:spacing w:line="440" w:lineRule="exact"/>
        <w:ind w:firstLine="3675" w:firstLineChars="1750"/>
        <w:rPr>
          <w:rFonts w:cs="Times New Roman"/>
          <w:color w:val="auto"/>
          <w:highlight w:val="none"/>
        </w:rPr>
      </w:pPr>
      <w:r>
        <w:rPr>
          <w:rFonts w:hint="eastAsia" w:cs="宋体"/>
          <w:color w:val="auto"/>
          <w:highlight w:val="none"/>
        </w:rPr>
        <w:t>投标人</w:t>
      </w:r>
      <w:r>
        <w:rPr>
          <w:rFonts w:hint="eastAsia" w:ascii="宋体" w:hAnsi="宋体" w:cs="宋体"/>
          <w:color w:val="auto"/>
          <w:highlight w:val="none"/>
        </w:rPr>
        <w:t>（牵头人单位）</w:t>
      </w:r>
      <w:r>
        <w:rPr>
          <w:rFonts w:hint="eastAsia" w:cs="宋体"/>
          <w:color w:val="auto"/>
          <w:highlight w:val="none"/>
        </w:rPr>
        <w:t>：</w:t>
      </w:r>
      <w:r>
        <w:rPr>
          <w:rFonts w:hint="eastAsia" w:cs="宋体"/>
          <w:color w:val="auto"/>
          <w:highlight w:val="none"/>
          <w:u w:val="single"/>
          <w:lang w:val="en-US" w:eastAsia="zh-CN"/>
        </w:rPr>
        <w:t xml:space="preserve">                   </w:t>
      </w:r>
      <w:r>
        <w:rPr>
          <w:rFonts w:hint="eastAsia" w:ascii="宋体" w:hAnsi="宋体" w:cs="宋体"/>
          <w:color w:val="auto"/>
          <w:highlight w:val="none"/>
        </w:rPr>
        <w:t>（电子签章）</w:t>
      </w:r>
    </w:p>
    <w:p w14:paraId="1E5BCF57">
      <w:pPr>
        <w:spacing w:line="440" w:lineRule="exact"/>
        <w:ind w:firstLine="3675" w:firstLineChars="1750"/>
        <w:rPr>
          <w:rFonts w:cs="Times New Roman"/>
          <w:color w:val="auto"/>
          <w:highlight w:val="none"/>
        </w:rPr>
      </w:pPr>
      <w:r>
        <w:rPr>
          <w:rFonts w:hint="eastAsia" w:cs="宋体"/>
          <w:color w:val="auto"/>
          <w:highlight w:val="none"/>
        </w:rPr>
        <w:t>法定代表人或其委托代理人：</w:t>
      </w:r>
      <w:r>
        <w:rPr>
          <w:rFonts w:hint="eastAsia" w:cs="宋体"/>
          <w:color w:val="auto"/>
          <w:highlight w:val="none"/>
          <w:u w:val="single"/>
          <w:lang w:val="en-US" w:eastAsia="zh-CN"/>
        </w:rPr>
        <w:t xml:space="preserve">               </w:t>
      </w:r>
      <w:r>
        <w:rPr>
          <w:rFonts w:hint="eastAsia" w:ascii="宋体" w:hAnsi="宋体" w:cs="宋体"/>
          <w:color w:val="auto"/>
          <w:highlight w:val="none"/>
        </w:rPr>
        <w:t>（电子签章）</w:t>
      </w:r>
    </w:p>
    <w:p w14:paraId="2856F3C2">
      <w:pPr>
        <w:spacing w:line="440" w:lineRule="exact"/>
        <w:ind w:firstLine="3675" w:firstLineChars="1750"/>
        <w:rPr>
          <w:rFonts w:cs="Times New Roman"/>
          <w:color w:val="auto"/>
          <w:highlight w:val="none"/>
        </w:rPr>
      </w:pPr>
      <w:r>
        <w:rPr>
          <w:rFonts w:hint="eastAsia" w:cs="宋体"/>
          <w:color w:val="auto"/>
          <w:highlight w:val="none"/>
        </w:rPr>
        <w:t>地址：</w:t>
      </w:r>
    </w:p>
    <w:p w14:paraId="727A0E6E">
      <w:pPr>
        <w:spacing w:line="440" w:lineRule="exact"/>
        <w:ind w:firstLine="3675" w:firstLineChars="1750"/>
        <w:rPr>
          <w:rFonts w:cs="Times New Roman"/>
          <w:color w:val="auto"/>
          <w:highlight w:val="none"/>
        </w:rPr>
      </w:pPr>
      <w:r>
        <w:rPr>
          <w:rFonts w:hint="eastAsia" w:cs="宋体"/>
          <w:color w:val="auto"/>
          <w:highlight w:val="none"/>
        </w:rPr>
        <w:t>网址：</w:t>
      </w:r>
    </w:p>
    <w:p w14:paraId="1F9B3A78">
      <w:pPr>
        <w:spacing w:line="440" w:lineRule="exact"/>
        <w:ind w:firstLine="3675" w:firstLineChars="1750"/>
        <w:rPr>
          <w:rFonts w:cs="Times New Roman"/>
          <w:color w:val="auto"/>
          <w:highlight w:val="none"/>
        </w:rPr>
      </w:pPr>
      <w:r>
        <w:rPr>
          <w:rFonts w:hint="eastAsia" w:cs="宋体"/>
          <w:color w:val="auto"/>
          <w:highlight w:val="none"/>
        </w:rPr>
        <w:t>电话：</w:t>
      </w:r>
    </w:p>
    <w:p w14:paraId="4B54342C">
      <w:pPr>
        <w:spacing w:line="440" w:lineRule="exact"/>
        <w:ind w:firstLine="3675" w:firstLineChars="1750"/>
        <w:rPr>
          <w:rFonts w:cs="Times New Roman"/>
          <w:color w:val="auto"/>
          <w:highlight w:val="none"/>
        </w:rPr>
      </w:pPr>
      <w:r>
        <w:rPr>
          <w:rFonts w:hint="eastAsia" w:cs="宋体"/>
          <w:color w:val="auto"/>
          <w:highlight w:val="none"/>
        </w:rPr>
        <w:t>传真：</w:t>
      </w:r>
    </w:p>
    <w:p w14:paraId="6232719A">
      <w:pPr>
        <w:spacing w:line="440" w:lineRule="exact"/>
        <w:ind w:firstLine="3675" w:firstLineChars="1750"/>
        <w:rPr>
          <w:rFonts w:cs="Times New Roman"/>
          <w:color w:val="auto"/>
          <w:highlight w:val="none"/>
        </w:rPr>
      </w:pPr>
      <w:r>
        <w:rPr>
          <w:rFonts w:hint="eastAsia" w:cs="宋体"/>
          <w:color w:val="auto"/>
          <w:highlight w:val="none"/>
        </w:rPr>
        <w:t>邮政编码：</w:t>
      </w:r>
    </w:p>
    <w:p w14:paraId="147581CD">
      <w:pPr>
        <w:spacing w:line="440" w:lineRule="exact"/>
        <w:ind w:firstLine="4725" w:firstLineChars="2250"/>
        <w:rPr>
          <w:rFonts w:cs="Times New Roman"/>
          <w:color w:val="auto"/>
          <w:highlight w:val="none"/>
        </w:rPr>
      </w:pPr>
      <w:r>
        <w:rPr>
          <w:rFonts w:hint="eastAsia" w:cs="宋体"/>
          <w:color w:val="auto"/>
          <w:highlight w:val="none"/>
        </w:rPr>
        <w:t>年</w:t>
      </w:r>
      <w:r>
        <w:rPr>
          <w:color w:val="auto"/>
          <w:highlight w:val="none"/>
        </w:rPr>
        <w:t xml:space="preserve">   </w:t>
      </w:r>
      <w:r>
        <w:rPr>
          <w:rFonts w:hint="eastAsia" w:cs="宋体"/>
          <w:color w:val="auto"/>
          <w:highlight w:val="none"/>
        </w:rPr>
        <w:t>月</w:t>
      </w:r>
      <w:r>
        <w:rPr>
          <w:color w:val="auto"/>
          <w:highlight w:val="none"/>
        </w:rPr>
        <w:t xml:space="preserve">    </w:t>
      </w:r>
      <w:r>
        <w:rPr>
          <w:rFonts w:hint="eastAsia" w:cs="宋体"/>
          <w:color w:val="auto"/>
          <w:highlight w:val="none"/>
        </w:rPr>
        <w:t>日</w:t>
      </w:r>
    </w:p>
    <w:p w14:paraId="06610B48">
      <w:pPr>
        <w:pStyle w:val="453"/>
        <w:numPr>
          <w:ilvl w:val="2"/>
          <w:numId w:val="17"/>
        </w:numPr>
        <w:snapToGrid w:val="0"/>
        <w:spacing w:after="120" w:afterLines="50" w:line="360" w:lineRule="auto"/>
        <w:ind w:left="1" w:firstLine="0"/>
        <w:jc w:val="center"/>
        <w:rPr>
          <w:rFonts w:cs="Times New Roman"/>
          <w:b/>
          <w:bCs/>
          <w:color w:val="auto"/>
          <w:sz w:val="28"/>
          <w:szCs w:val="28"/>
          <w:highlight w:val="none"/>
        </w:rPr>
      </w:pPr>
      <w:r>
        <w:rPr>
          <w:rFonts w:cs="Times New Roman"/>
          <w:color w:val="auto"/>
          <w:highlight w:val="none"/>
        </w:rPr>
        <w:br w:type="page"/>
      </w:r>
      <w:r>
        <w:rPr>
          <w:rFonts w:hint="eastAsia" w:cs="宋体"/>
          <w:b/>
          <w:bCs/>
          <w:color w:val="auto"/>
          <w:sz w:val="28"/>
          <w:szCs w:val="28"/>
          <w:highlight w:val="none"/>
        </w:rPr>
        <w:t>投标函附录</w:t>
      </w:r>
    </w:p>
    <w:tbl>
      <w:tblPr>
        <w:tblStyle w:val="88"/>
        <w:tblW w:w="936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93"/>
        <w:gridCol w:w="1320"/>
        <w:gridCol w:w="3350"/>
        <w:gridCol w:w="1343"/>
      </w:tblGrid>
      <w:tr w14:paraId="4DEFE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tcBorders>
              <w:top w:val="single" w:color="auto" w:sz="12" w:space="0"/>
            </w:tcBorders>
            <w:vAlign w:val="center"/>
          </w:tcPr>
          <w:p w14:paraId="5B7B2E81">
            <w:pPr>
              <w:snapToGrid w:val="0"/>
              <w:jc w:val="center"/>
              <w:rPr>
                <w:rFonts w:ascii="宋体" w:cs="Times New Roman"/>
                <w:color w:val="auto"/>
                <w:highlight w:val="none"/>
              </w:rPr>
            </w:pPr>
            <w:r>
              <w:rPr>
                <w:rFonts w:hint="eastAsia" w:ascii="宋体" w:hAnsi="宋体" w:cs="宋体"/>
                <w:color w:val="auto"/>
                <w:highlight w:val="none"/>
              </w:rPr>
              <w:t>序号</w:t>
            </w:r>
          </w:p>
        </w:tc>
        <w:tc>
          <w:tcPr>
            <w:tcW w:w="2593" w:type="dxa"/>
            <w:tcBorders>
              <w:top w:val="single" w:color="auto" w:sz="12" w:space="0"/>
            </w:tcBorders>
            <w:vAlign w:val="center"/>
          </w:tcPr>
          <w:p w14:paraId="3F320337">
            <w:pPr>
              <w:snapToGrid w:val="0"/>
              <w:jc w:val="center"/>
              <w:rPr>
                <w:rFonts w:ascii="宋体" w:cs="Times New Roman"/>
                <w:color w:val="auto"/>
                <w:highlight w:val="none"/>
              </w:rPr>
            </w:pPr>
            <w:r>
              <w:rPr>
                <w:rFonts w:hint="eastAsia" w:ascii="宋体" w:hAnsi="宋体" w:cs="宋体"/>
                <w:color w:val="auto"/>
                <w:highlight w:val="none"/>
              </w:rPr>
              <w:t>条款名称</w:t>
            </w:r>
          </w:p>
        </w:tc>
        <w:tc>
          <w:tcPr>
            <w:tcW w:w="1320" w:type="dxa"/>
            <w:tcBorders>
              <w:top w:val="single" w:color="auto" w:sz="12" w:space="0"/>
            </w:tcBorders>
            <w:vAlign w:val="center"/>
          </w:tcPr>
          <w:p w14:paraId="4662B9DB">
            <w:pPr>
              <w:snapToGrid w:val="0"/>
              <w:jc w:val="center"/>
              <w:rPr>
                <w:rFonts w:ascii="宋体" w:cs="Times New Roman"/>
                <w:color w:val="auto"/>
                <w:highlight w:val="none"/>
              </w:rPr>
            </w:pPr>
            <w:r>
              <w:rPr>
                <w:rFonts w:hint="eastAsia" w:ascii="宋体" w:hAnsi="宋体" w:cs="宋体"/>
                <w:color w:val="auto"/>
                <w:highlight w:val="none"/>
              </w:rPr>
              <w:t>合同条款号</w:t>
            </w:r>
          </w:p>
        </w:tc>
        <w:tc>
          <w:tcPr>
            <w:tcW w:w="3350" w:type="dxa"/>
            <w:tcBorders>
              <w:top w:val="single" w:color="auto" w:sz="12" w:space="0"/>
            </w:tcBorders>
            <w:vAlign w:val="center"/>
          </w:tcPr>
          <w:p w14:paraId="271276CF">
            <w:pPr>
              <w:snapToGrid w:val="0"/>
              <w:jc w:val="center"/>
              <w:rPr>
                <w:rFonts w:ascii="宋体" w:cs="Times New Roman"/>
                <w:color w:val="auto"/>
                <w:highlight w:val="none"/>
              </w:rPr>
            </w:pPr>
            <w:r>
              <w:rPr>
                <w:rFonts w:hint="eastAsia" w:ascii="宋体" w:hAnsi="宋体" w:cs="宋体"/>
                <w:color w:val="auto"/>
                <w:highlight w:val="none"/>
              </w:rPr>
              <w:t>约定内容</w:t>
            </w:r>
          </w:p>
        </w:tc>
        <w:tc>
          <w:tcPr>
            <w:tcW w:w="1343" w:type="dxa"/>
            <w:tcBorders>
              <w:top w:val="single" w:color="auto" w:sz="12" w:space="0"/>
            </w:tcBorders>
            <w:vAlign w:val="center"/>
          </w:tcPr>
          <w:p w14:paraId="65EAAAC7">
            <w:pPr>
              <w:snapToGrid w:val="0"/>
              <w:jc w:val="center"/>
              <w:rPr>
                <w:rFonts w:ascii="宋体" w:cs="Times New Roman"/>
                <w:color w:val="auto"/>
                <w:highlight w:val="none"/>
              </w:rPr>
            </w:pPr>
            <w:r>
              <w:rPr>
                <w:rFonts w:hint="eastAsia" w:cs="宋体"/>
                <w:color w:val="auto"/>
                <w:highlight w:val="none"/>
              </w:rPr>
              <w:t>备注</w:t>
            </w:r>
          </w:p>
        </w:tc>
      </w:tr>
      <w:tr w14:paraId="0BD4E4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60" w:type="dxa"/>
            <w:vAlign w:val="center"/>
          </w:tcPr>
          <w:p w14:paraId="41599537">
            <w:pPr>
              <w:adjustRightInd w:val="0"/>
              <w:snapToGrid w:val="0"/>
              <w:jc w:val="center"/>
              <w:rPr>
                <w:rFonts w:ascii="宋体" w:cs="Times New Roman"/>
                <w:color w:val="auto"/>
                <w:highlight w:val="none"/>
                <w:lang w:val="zh-TW"/>
              </w:rPr>
            </w:pPr>
            <w:r>
              <w:rPr>
                <w:rFonts w:ascii="宋体" w:hAnsi="宋体" w:cs="宋体"/>
                <w:color w:val="auto"/>
                <w:highlight w:val="none"/>
                <w:lang w:val="zh-TW"/>
              </w:rPr>
              <w:t>1</w:t>
            </w:r>
          </w:p>
        </w:tc>
        <w:tc>
          <w:tcPr>
            <w:tcW w:w="2593" w:type="dxa"/>
            <w:vAlign w:val="center"/>
          </w:tcPr>
          <w:p w14:paraId="27086302">
            <w:pPr>
              <w:adjustRightInd w:val="0"/>
              <w:snapToGrid w:val="0"/>
              <w:jc w:val="center"/>
              <w:rPr>
                <w:rFonts w:ascii="宋体" w:cs="Times New Roman"/>
                <w:color w:val="auto"/>
                <w:highlight w:val="none"/>
              </w:rPr>
            </w:pPr>
            <w:r>
              <w:rPr>
                <w:rFonts w:hint="eastAsia" w:ascii="宋体" w:hAnsi="宋体" w:cs="宋体"/>
                <w:color w:val="auto"/>
                <w:highlight w:val="none"/>
              </w:rPr>
              <w:t>项目负责人</w:t>
            </w:r>
          </w:p>
          <w:p w14:paraId="33056125">
            <w:pPr>
              <w:adjustRightInd w:val="0"/>
              <w:snapToGrid w:val="0"/>
              <w:jc w:val="center"/>
              <w:rPr>
                <w:rFonts w:ascii="宋体" w:cs="Times New Roman"/>
                <w:color w:val="auto"/>
                <w:highlight w:val="none"/>
              </w:rPr>
            </w:pPr>
            <w:r>
              <w:rPr>
                <w:rFonts w:hint="eastAsia" w:ascii="宋体" w:hAnsi="宋体" w:cs="宋体"/>
                <w:color w:val="auto"/>
                <w:highlight w:val="none"/>
              </w:rPr>
              <w:t>设计负责人</w:t>
            </w:r>
          </w:p>
          <w:p w14:paraId="63B69C20">
            <w:pPr>
              <w:adjustRightInd w:val="0"/>
              <w:snapToGrid w:val="0"/>
              <w:jc w:val="center"/>
              <w:rPr>
                <w:rFonts w:ascii="宋体" w:cs="Times New Roman"/>
                <w:color w:val="auto"/>
                <w:highlight w:val="none"/>
                <w:lang w:val="zh-TW"/>
              </w:rPr>
            </w:pPr>
            <w:r>
              <w:rPr>
                <w:rFonts w:hint="eastAsia" w:ascii="宋体" w:hAnsi="宋体" w:cs="宋体"/>
                <w:color w:val="auto"/>
                <w:highlight w:val="none"/>
                <w:lang w:val="zh-TW"/>
              </w:rPr>
              <w:t>施工负责人</w:t>
            </w:r>
            <w:r>
              <w:rPr>
                <w:rFonts w:hint="eastAsia" w:ascii="宋体" w:hAnsi="宋体" w:cs="宋体"/>
                <w:color w:val="auto"/>
                <w:highlight w:val="none"/>
              </w:rPr>
              <w:t>（项目经理）</w:t>
            </w:r>
          </w:p>
        </w:tc>
        <w:tc>
          <w:tcPr>
            <w:tcW w:w="1320" w:type="dxa"/>
            <w:vAlign w:val="center"/>
          </w:tcPr>
          <w:p w14:paraId="71599E50">
            <w:pPr>
              <w:snapToGrid w:val="0"/>
              <w:jc w:val="center"/>
              <w:rPr>
                <w:rFonts w:ascii="宋体" w:cs="Times New Roman"/>
                <w:color w:val="auto"/>
                <w:highlight w:val="none"/>
              </w:rPr>
            </w:pPr>
          </w:p>
        </w:tc>
        <w:tc>
          <w:tcPr>
            <w:tcW w:w="3350" w:type="dxa"/>
            <w:vAlign w:val="center"/>
          </w:tcPr>
          <w:p w14:paraId="57007F0F">
            <w:pPr>
              <w:snapToGrid w:val="0"/>
              <w:jc w:val="center"/>
              <w:rPr>
                <w:rFonts w:ascii="宋体" w:cs="Times New Roman"/>
                <w:color w:val="auto"/>
                <w:highlight w:val="none"/>
              </w:rPr>
            </w:pPr>
            <w:r>
              <w:rPr>
                <w:rFonts w:hint="eastAsia" w:ascii="宋体" w:hAnsi="宋体" w:cs="宋体"/>
                <w:color w:val="auto"/>
                <w:highlight w:val="none"/>
              </w:rPr>
              <w:t>姓名：</w:t>
            </w:r>
            <w:r>
              <w:rPr>
                <w:rFonts w:ascii="宋体" w:hAnsi="宋体" w:cs="宋体"/>
                <w:color w:val="auto"/>
                <w:highlight w:val="none"/>
              </w:rPr>
              <w:t>_______</w:t>
            </w:r>
          </w:p>
          <w:p w14:paraId="55B3B7C3">
            <w:pPr>
              <w:snapToGrid w:val="0"/>
              <w:jc w:val="center"/>
              <w:rPr>
                <w:rFonts w:ascii="宋体" w:cs="Times New Roman"/>
                <w:color w:val="auto"/>
                <w:highlight w:val="none"/>
              </w:rPr>
            </w:pPr>
            <w:r>
              <w:rPr>
                <w:rFonts w:hint="eastAsia" w:ascii="宋体" w:hAnsi="宋体" w:cs="宋体"/>
                <w:color w:val="auto"/>
                <w:highlight w:val="none"/>
              </w:rPr>
              <w:t>姓名：</w:t>
            </w:r>
            <w:r>
              <w:rPr>
                <w:rFonts w:ascii="宋体" w:hAnsi="宋体" w:cs="宋体"/>
                <w:color w:val="auto"/>
                <w:highlight w:val="none"/>
              </w:rPr>
              <w:t>_______</w:t>
            </w:r>
          </w:p>
          <w:p w14:paraId="784EFF8D">
            <w:pPr>
              <w:snapToGrid w:val="0"/>
              <w:jc w:val="center"/>
              <w:rPr>
                <w:rFonts w:ascii="宋体" w:cs="Times New Roman"/>
                <w:color w:val="auto"/>
                <w:highlight w:val="none"/>
              </w:rPr>
            </w:pPr>
            <w:r>
              <w:rPr>
                <w:rFonts w:hint="eastAsia" w:ascii="宋体" w:hAnsi="宋体" w:cs="宋体"/>
                <w:color w:val="auto"/>
                <w:highlight w:val="none"/>
              </w:rPr>
              <w:t>姓名：</w:t>
            </w:r>
            <w:r>
              <w:rPr>
                <w:rFonts w:ascii="宋体" w:hAnsi="宋体" w:cs="宋体"/>
                <w:color w:val="auto"/>
                <w:highlight w:val="none"/>
              </w:rPr>
              <w:t>_______</w:t>
            </w:r>
          </w:p>
        </w:tc>
        <w:tc>
          <w:tcPr>
            <w:tcW w:w="1343" w:type="dxa"/>
            <w:vAlign w:val="center"/>
          </w:tcPr>
          <w:p w14:paraId="243F61F7">
            <w:pPr>
              <w:snapToGrid w:val="0"/>
              <w:jc w:val="center"/>
              <w:rPr>
                <w:rFonts w:ascii="宋体" w:cs="Times New Roman"/>
                <w:color w:val="auto"/>
                <w:highlight w:val="none"/>
              </w:rPr>
            </w:pPr>
          </w:p>
        </w:tc>
      </w:tr>
      <w:tr w14:paraId="02E525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9B6823F">
            <w:pPr>
              <w:snapToGrid w:val="0"/>
              <w:jc w:val="center"/>
              <w:rPr>
                <w:rFonts w:ascii="宋体" w:cs="Times New Roman"/>
                <w:color w:val="auto"/>
                <w:highlight w:val="none"/>
              </w:rPr>
            </w:pPr>
            <w:r>
              <w:rPr>
                <w:rFonts w:ascii="宋体" w:hAnsi="宋体" w:cs="宋体"/>
                <w:color w:val="auto"/>
                <w:highlight w:val="none"/>
              </w:rPr>
              <w:t>2</w:t>
            </w:r>
          </w:p>
        </w:tc>
        <w:tc>
          <w:tcPr>
            <w:tcW w:w="2593" w:type="dxa"/>
            <w:vAlign w:val="center"/>
          </w:tcPr>
          <w:p w14:paraId="687EF011">
            <w:pPr>
              <w:snapToGrid w:val="0"/>
              <w:jc w:val="center"/>
              <w:rPr>
                <w:rFonts w:ascii="宋体" w:cs="Times New Roman"/>
                <w:color w:val="auto"/>
                <w:highlight w:val="none"/>
              </w:rPr>
            </w:pPr>
            <w:r>
              <w:rPr>
                <w:rFonts w:hint="eastAsia" w:ascii="宋体" w:hAnsi="宋体" w:cs="宋体"/>
                <w:color w:val="auto"/>
                <w:highlight w:val="none"/>
              </w:rPr>
              <w:t>工期</w:t>
            </w:r>
          </w:p>
        </w:tc>
        <w:tc>
          <w:tcPr>
            <w:tcW w:w="1320" w:type="dxa"/>
            <w:vAlign w:val="center"/>
          </w:tcPr>
          <w:p w14:paraId="6978348E">
            <w:pPr>
              <w:snapToGrid w:val="0"/>
              <w:jc w:val="center"/>
              <w:rPr>
                <w:rFonts w:ascii="宋体" w:cs="Times New Roman"/>
                <w:color w:val="auto"/>
                <w:highlight w:val="none"/>
              </w:rPr>
            </w:pPr>
          </w:p>
        </w:tc>
        <w:tc>
          <w:tcPr>
            <w:tcW w:w="3350" w:type="dxa"/>
            <w:vAlign w:val="center"/>
          </w:tcPr>
          <w:p w14:paraId="5EF24099">
            <w:pPr>
              <w:snapToGrid w:val="0"/>
              <w:jc w:val="center"/>
              <w:rPr>
                <w:rFonts w:ascii="宋体" w:cs="宋体"/>
                <w:color w:val="auto"/>
                <w:highlight w:val="none"/>
              </w:rPr>
            </w:pPr>
            <w:r>
              <w:rPr>
                <w:rFonts w:hint="eastAsia" w:ascii="宋体" w:hAnsi="宋体" w:cs="宋体"/>
                <w:color w:val="auto"/>
                <w:highlight w:val="none"/>
              </w:rPr>
              <w:t>总工期：</w:t>
            </w:r>
          </w:p>
          <w:p w14:paraId="53718581">
            <w:pPr>
              <w:snapToGrid w:val="0"/>
              <w:jc w:val="center"/>
              <w:rPr>
                <w:rFonts w:ascii="宋体" w:cs="Times New Roman"/>
                <w:color w:val="auto"/>
                <w:highlight w:val="none"/>
              </w:rPr>
            </w:pPr>
            <w:r>
              <w:rPr>
                <w:rFonts w:hint="eastAsia" w:ascii="宋体" w:hAnsi="宋体" w:cs="宋体"/>
                <w:color w:val="auto"/>
                <w:highlight w:val="none"/>
              </w:rPr>
              <w:t>设计工期（周期）：</w:t>
            </w:r>
            <w:r>
              <w:rPr>
                <w:rFonts w:ascii="宋体" w:hAnsi="宋体" w:cs="宋体"/>
                <w:color w:val="auto"/>
                <w:highlight w:val="none"/>
              </w:rPr>
              <w:t xml:space="preserve">  </w:t>
            </w:r>
            <w:r>
              <w:rPr>
                <w:rFonts w:hint="eastAsia" w:ascii="宋体" w:hAnsi="宋体" w:cs="宋体"/>
                <w:color w:val="auto"/>
                <w:highlight w:val="none"/>
              </w:rPr>
              <w:t>日历天</w:t>
            </w:r>
          </w:p>
          <w:p w14:paraId="57CE723F">
            <w:pPr>
              <w:snapToGrid w:val="0"/>
              <w:jc w:val="center"/>
              <w:rPr>
                <w:rFonts w:ascii="宋体" w:cs="Times New Roman"/>
                <w:color w:val="auto"/>
                <w:highlight w:val="none"/>
              </w:rPr>
            </w:pPr>
            <w:r>
              <w:rPr>
                <w:rFonts w:ascii="宋体" w:hAnsi="宋体" w:cs="宋体"/>
                <w:color w:val="auto"/>
                <w:highlight w:val="none"/>
              </w:rPr>
              <w:t xml:space="preserve">       </w:t>
            </w:r>
            <w:r>
              <w:rPr>
                <w:rFonts w:hint="eastAsia" w:ascii="宋体" w:hAnsi="宋体" w:cs="宋体"/>
                <w:color w:val="auto"/>
                <w:highlight w:val="none"/>
              </w:rPr>
              <w:t>施工工期：</w:t>
            </w:r>
            <w:r>
              <w:rPr>
                <w:rFonts w:ascii="宋体" w:hAnsi="宋体" w:cs="宋体"/>
                <w:color w:val="auto"/>
                <w:highlight w:val="none"/>
              </w:rPr>
              <w:t xml:space="preserve">   </w:t>
            </w:r>
            <w:r>
              <w:rPr>
                <w:rFonts w:hint="eastAsia" w:ascii="宋体" w:hAnsi="宋体" w:cs="宋体"/>
                <w:color w:val="auto"/>
                <w:highlight w:val="none"/>
              </w:rPr>
              <w:t>日历天</w:t>
            </w:r>
          </w:p>
        </w:tc>
        <w:tc>
          <w:tcPr>
            <w:tcW w:w="1343" w:type="dxa"/>
            <w:vAlign w:val="center"/>
          </w:tcPr>
          <w:p w14:paraId="36A96BEF">
            <w:pPr>
              <w:snapToGrid w:val="0"/>
              <w:ind w:firstLine="718" w:firstLineChars="342"/>
              <w:jc w:val="center"/>
              <w:rPr>
                <w:rFonts w:ascii="宋体" w:cs="Times New Roman"/>
                <w:color w:val="auto"/>
                <w:highlight w:val="none"/>
              </w:rPr>
            </w:pPr>
          </w:p>
        </w:tc>
      </w:tr>
      <w:tr w14:paraId="25F21F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7B0887D1">
            <w:pPr>
              <w:snapToGrid w:val="0"/>
              <w:jc w:val="center"/>
              <w:rPr>
                <w:rFonts w:ascii="宋体" w:cs="Times New Roman"/>
                <w:color w:val="auto"/>
                <w:highlight w:val="none"/>
              </w:rPr>
            </w:pPr>
            <w:r>
              <w:rPr>
                <w:rFonts w:ascii="宋体" w:hAnsi="宋体" w:cs="宋体"/>
                <w:color w:val="auto"/>
                <w:highlight w:val="none"/>
              </w:rPr>
              <w:t>3</w:t>
            </w:r>
          </w:p>
        </w:tc>
        <w:tc>
          <w:tcPr>
            <w:tcW w:w="2593" w:type="dxa"/>
            <w:vAlign w:val="center"/>
          </w:tcPr>
          <w:p w14:paraId="3DA3B9B0">
            <w:pPr>
              <w:snapToGrid w:val="0"/>
              <w:jc w:val="center"/>
              <w:rPr>
                <w:rFonts w:ascii="宋体" w:cs="Times New Roman"/>
                <w:color w:val="auto"/>
                <w:highlight w:val="none"/>
              </w:rPr>
            </w:pPr>
            <w:r>
              <w:rPr>
                <w:rFonts w:hint="eastAsia" w:ascii="宋体" w:hAnsi="宋体" w:cs="宋体"/>
                <w:color w:val="auto"/>
                <w:highlight w:val="none"/>
              </w:rPr>
              <w:t>缺陷责任期</w:t>
            </w:r>
          </w:p>
        </w:tc>
        <w:tc>
          <w:tcPr>
            <w:tcW w:w="1320" w:type="dxa"/>
            <w:vAlign w:val="center"/>
          </w:tcPr>
          <w:p w14:paraId="40471461">
            <w:pPr>
              <w:snapToGrid w:val="0"/>
              <w:jc w:val="center"/>
              <w:rPr>
                <w:rFonts w:ascii="宋体" w:cs="Times New Roman"/>
                <w:color w:val="auto"/>
                <w:highlight w:val="none"/>
              </w:rPr>
            </w:pPr>
          </w:p>
        </w:tc>
        <w:tc>
          <w:tcPr>
            <w:tcW w:w="3350" w:type="dxa"/>
            <w:vAlign w:val="center"/>
          </w:tcPr>
          <w:p w14:paraId="2631C4D1">
            <w:pPr>
              <w:snapToGrid w:val="0"/>
              <w:jc w:val="center"/>
              <w:rPr>
                <w:rFonts w:ascii="宋体" w:cs="Times New Roman"/>
                <w:color w:val="auto"/>
                <w:highlight w:val="none"/>
              </w:rPr>
            </w:pPr>
            <w:r>
              <w:rPr>
                <w:rFonts w:hint="eastAsia" w:ascii="宋体" w:hAnsi="宋体" w:cs="宋体"/>
                <w:color w:val="auto"/>
                <w:highlight w:val="none"/>
              </w:rPr>
              <w:t>自竣工验收合格之日起计算，期限为</w:t>
            </w:r>
            <w:r>
              <w:rPr>
                <w:rFonts w:ascii="宋体" w:hAnsi="宋体" w:cs="宋体"/>
                <w:color w:val="auto"/>
                <w:highlight w:val="none"/>
              </w:rPr>
              <w:t>1</w:t>
            </w:r>
            <w:r>
              <w:rPr>
                <w:rFonts w:hint="eastAsia" w:ascii="宋体" w:hAnsi="宋体" w:cs="宋体"/>
                <w:color w:val="auto"/>
                <w:highlight w:val="none"/>
              </w:rPr>
              <w:t>年</w:t>
            </w:r>
          </w:p>
        </w:tc>
        <w:tc>
          <w:tcPr>
            <w:tcW w:w="1343" w:type="dxa"/>
            <w:vAlign w:val="center"/>
          </w:tcPr>
          <w:p w14:paraId="6B300D2D">
            <w:pPr>
              <w:snapToGrid w:val="0"/>
              <w:jc w:val="center"/>
              <w:rPr>
                <w:rFonts w:ascii="宋体" w:cs="Times New Roman"/>
                <w:color w:val="auto"/>
                <w:highlight w:val="none"/>
              </w:rPr>
            </w:pPr>
          </w:p>
        </w:tc>
      </w:tr>
      <w:tr w14:paraId="28FA57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356D4936">
            <w:pPr>
              <w:snapToGrid w:val="0"/>
              <w:jc w:val="center"/>
              <w:rPr>
                <w:rFonts w:ascii="宋体" w:cs="Times New Roman"/>
                <w:color w:val="auto"/>
                <w:highlight w:val="none"/>
              </w:rPr>
            </w:pPr>
            <w:r>
              <w:rPr>
                <w:rFonts w:ascii="宋体" w:hAnsi="宋体" w:cs="宋体"/>
                <w:color w:val="auto"/>
                <w:highlight w:val="none"/>
              </w:rPr>
              <w:t>4</w:t>
            </w:r>
          </w:p>
        </w:tc>
        <w:tc>
          <w:tcPr>
            <w:tcW w:w="2593" w:type="dxa"/>
            <w:vAlign w:val="center"/>
          </w:tcPr>
          <w:p w14:paraId="41F76835">
            <w:pPr>
              <w:snapToGrid w:val="0"/>
              <w:jc w:val="center"/>
              <w:rPr>
                <w:rFonts w:ascii="宋体" w:cs="Times New Roman"/>
                <w:color w:val="auto"/>
                <w:highlight w:val="none"/>
              </w:rPr>
            </w:pPr>
            <w:r>
              <w:rPr>
                <w:rFonts w:hint="eastAsia" w:ascii="宋体" w:hAnsi="宋体" w:cs="宋体"/>
                <w:color w:val="auto"/>
                <w:highlight w:val="none"/>
                <w:lang w:val="zh-TW" w:eastAsia="zh-TW"/>
              </w:rPr>
              <w:t>承包人履约担保金额</w:t>
            </w:r>
          </w:p>
        </w:tc>
        <w:tc>
          <w:tcPr>
            <w:tcW w:w="1320" w:type="dxa"/>
            <w:vAlign w:val="center"/>
          </w:tcPr>
          <w:p w14:paraId="5773B8D8">
            <w:pPr>
              <w:snapToGrid w:val="0"/>
              <w:jc w:val="center"/>
              <w:rPr>
                <w:rFonts w:ascii="宋体" w:cs="Times New Roman"/>
                <w:color w:val="auto"/>
                <w:highlight w:val="none"/>
              </w:rPr>
            </w:pPr>
          </w:p>
        </w:tc>
        <w:tc>
          <w:tcPr>
            <w:tcW w:w="3350" w:type="dxa"/>
            <w:vAlign w:val="center"/>
          </w:tcPr>
          <w:p w14:paraId="57837795">
            <w:pPr>
              <w:snapToGrid w:val="0"/>
              <w:jc w:val="left"/>
              <w:rPr>
                <w:rFonts w:ascii="宋体" w:cs="Times New Roman"/>
                <w:color w:val="auto"/>
                <w:highlight w:val="none"/>
              </w:rPr>
            </w:pPr>
            <w:r>
              <w:rPr>
                <w:rFonts w:hint="eastAsia" w:cs="宋体"/>
                <w:color w:val="auto"/>
                <w:highlight w:val="none"/>
              </w:rPr>
              <w:t>按招标文件相关规定执行</w:t>
            </w:r>
          </w:p>
        </w:tc>
        <w:tc>
          <w:tcPr>
            <w:tcW w:w="1343" w:type="dxa"/>
            <w:vAlign w:val="center"/>
          </w:tcPr>
          <w:p w14:paraId="23710F32">
            <w:pPr>
              <w:snapToGrid w:val="0"/>
              <w:jc w:val="center"/>
              <w:rPr>
                <w:rFonts w:ascii="宋体" w:cs="Times New Roman"/>
                <w:color w:val="auto"/>
                <w:highlight w:val="none"/>
              </w:rPr>
            </w:pPr>
          </w:p>
        </w:tc>
      </w:tr>
      <w:tr w14:paraId="6B190C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4E76FBA1">
            <w:pPr>
              <w:snapToGrid w:val="0"/>
              <w:jc w:val="center"/>
              <w:rPr>
                <w:rFonts w:ascii="宋体" w:cs="Times New Roman"/>
                <w:color w:val="auto"/>
                <w:highlight w:val="none"/>
              </w:rPr>
            </w:pPr>
            <w:r>
              <w:rPr>
                <w:rFonts w:ascii="宋体" w:hAnsi="宋体" w:cs="宋体"/>
                <w:color w:val="auto"/>
                <w:highlight w:val="none"/>
              </w:rPr>
              <w:t>5</w:t>
            </w:r>
          </w:p>
        </w:tc>
        <w:tc>
          <w:tcPr>
            <w:tcW w:w="2593" w:type="dxa"/>
            <w:vAlign w:val="center"/>
          </w:tcPr>
          <w:p w14:paraId="3AA54C19">
            <w:pPr>
              <w:snapToGrid w:val="0"/>
              <w:jc w:val="center"/>
              <w:rPr>
                <w:rFonts w:ascii="宋体" w:cs="Times New Roman"/>
                <w:color w:val="auto"/>
                <w:highlight w:val="none"/>
              </w:rPr>
            </w:pPr>
            <w:r>
              <w:rPr>
                <w:rFonts w:hint="eastAsia" w:ascii="宋体" w:hAnsi="宋体" w:cs="宋体"/>
                <w:color w:val="auto"/>
                <w:highlight w:val="none"/>
                <w:lang w:val="zh-TW"/>
              </w:rPr>
              <w:t>逾期竣工违约金最高限额</w:t>
            </w:r>
          </w:p>
        </w:tc>
        <w:tc>
          <w:tcPr>
            <w:tcW w:w="1320" w:type="dxa"/>
            <w:vAlign w:val="center"/>
          </w:tcPr>
          <w:p w14:paraId="25761073">
            <w:pPr>
              <w:snapToGrid w:val="0"/>
              <w:jc w:val="center"/>
              <w:rPr>
                <w:rFonts w:ascii="宋体" w:cs="Times New Roman"/>
                <w:color w:val="auto"/>
                <w:highlight w:val="none"/>
              </w:rPr>
            </w:pPr>
          </w:p>
        </w:tc>
        <w:tc>
          <w:tcPr>
            <w:tcW w:w="3350" w:type="dxa"/>
            <w:vAlign w:val="center"/>
          </w:tcPr>
          <w:p w14:paraId="2FCCAEC9">
            <w:pPr>
              <w:snapToGrid w:val="0"/>
              <w:jc w:val="center"/>
              <w:rPr>
                <w:rFonts w:ascii="宋体" w:cs="Times New Roman"/>
                <w:color w:val="auto"/>
                <w:highlight w:val="none"/>
              </w:rPr>
            </w:pPr>
            <w:r>
              <w:rPr>
                <w:rFonts w:hint="eastAsia" w:ascii="宋体" w:hAnsi="宋体" w:cs="宋体"/>
                <w:color w:val="auto"/>
                <w:highlight w:val="none"/>
              </w:rPr>
              <w:t>签约合同价的</w:t>
            </w:r>
            <w:r>
              <w:rPr>
                <w:rFonts w:ascii="宋体" w:hAnsi="宋体" w:cs="宋体"/>
                <w:color w:val="auto"/>
                <w:highlight w:val="none"/>
              </w:rPr>
              <w:t xml:space="preserve">   </w:t>
            </w:r>
            <w:r>
              <w:rPr>
                <w:rFonts w:hint="eastAsia" w:ascii="宋体" w:hAnsi="宋体" w:cs="宋体"/>
                <w:color w:val="auto"/>
                <w:highlight w:val="none"/>
              </w:rPr>
              <w:t>﹪</w:t>
            </w:r>
          </w:p>
        </w:tc>
        <w:tc>
          <w:tcPr>
            <w:tcW w:w="1343" w:type="dxa"/>
            <w:vAlign w:val="center"/>
          </w:tcPr>
          <w:p w14:paraId="73919AE9">
            <w:pPr>
              <w:snapToGrid w:val="0"/>
              <w:ind w:firstLine="718" w:firstLineChars="342"/>
              <w:jc w:val="center"/>
              <w:rPr>
                <w:rFonts w:ascii="宋体" w:cs="Times New Roman"/>
                <w:color w:val="auto"/>
                <w:highlight w:val="none"/>
              </w:rPr>
            </w:pPr>
          </w:p>
        </w:tc>
      </w:tr>
      <w:tr w14:paraId="012C28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7F20EA0F">
            <w:pPr>
              <w:snapToGrid w:val="0"/>
              <w:jc w:val="center"/>
              <w:rPr>
                <w:rFonts w:ascii="宋体" w:cs="Times New Roman"/>
                <w:color w:val="auto"/>
                <w:highlight w:val="none"/>
              </w:rPr>
            </w:pPr>
            <w:r>
              <w:rPr>
                <w:rFonts w:ascii="宋体" w:hAnsi="宋体" w:cs="宋体"/>
                <w:color w:val="auto"/>
                <w:highlight w:val="none"/>
              </w:rPr>
              <w:t>6</w:t>
            </w:r>
          </w:p>
        </w:tc>
        <w:tc>
          <w:tcPr>
            <w:tcW w:w="2593" w:type="dxa"/>
            <w:vAlign w:val="center"/>
          </w:tcPr>
          <w:p w14:paraId="37D01D4F">
            <w:pPr>
              <w:snapToGrid w:val="0"/>
              <w:jc w:val="center"/>
              <w:rPr>
                <w:rFonts w:ascii="宋体" w:cs="Times New Roman"/>
                <w:color w:val="auto"/>
                <w:highlight w:val="none"/>
              </w:rPr>
            </w:pPr>
            <w:r>
              <w:rPr>
                <w:rFonts w:hint="eastAsia" w:ascii="宋体" w:hAnsi="宋体" w:cs="宋体"/>
                <w:color w:val="auto"/>
                <w:highlight w:val="none"/>
                <w:lang w:val="zh-TW" w:eastAsia="zh-TW"/>
              </w:rPr>
              <w:t>质量标准</w:t>
            </w:r>
          </w:p>
        </w:tc>
        <w:tc>
          <w:tcPr>
            <w:tcW w:w="1320" w:type="dxa"/>
            <w:vAlign w:val="center"/>
          </w:tcPr>
          <w:p w14:paraId="0A01626A">
            <w:pPr>
              <w:snapToGrid w:val="0"/>
              <w:jc w:val="center"/>
              <w:rPr>
                <w:rFonts w:ascii="宋体" w:cs="Times New Roman"/>
                <w:color w:val="auto"/>
                <w:highlight w:val="none"/>
              </w:rPr>
            </w:pPr>
          </w:p>
        </w:tc>
        <w:tc>
          <w:tcPr>
            <w:tcW w:w="3350" w:type="dxa"/>
            <w:vAlign w:val="center"/>
          </w:tcPr>
          <w:p w14:paraId="0FFC349D">
            <w:pPr>
              <w:snapToGrid w:val="0"/>
              <w:jc w:val="center"/>
              <w:rPr>
                <w:rFonts w:cs="Times New Roman"/>
                <w:color w:val="auto"/>
                <w:highlight w:val="none"/>
              </w:rPr>
            </w:pPr>
            <w:r>
              <w:rPr>
                <w:rFonts w:hint="eastAsia" w:cs="宋体"/>
                <w:color w:val="auto"/>
                <w:highlight w:val="none"/>
              </w:rPr>
              <w:t>工程设计质量标准：</w:t>
            </w:r>
          </w:p>
          <w:p w14:paraId="07D96068">
            <w:pPr>
              <w:snapToGrid w:val="0"/>
              <w:jc w:val="center"/>
              <w:rPr>
                <w:rFonts w:cs="Times New Roman"/>
                <w:color w:val="auto"/>
                <w:highlight w:val="none"/>
              </w:rPr>
            </w:pPr>
            <w:r>
              <w:rPr>
                <w:rFonts w:hint="eastAsia" w:cs="宋体"/>
                <w:color w:val="auto"/>
                <w:highlight w:val="none"/>
              </w:rPr>
              <w:t>工程施工质量标准：</w:t>
            </w:r>
          </w:p>
          <w:p w14:paraId="75A97EB7">
            <w:pPr>
              <w:snapToGrid w:val="0"/>
              <w:jc w:val="center"/>
              <w:rPr>
                <w:rFonts w:ascii="宋体" w:cs="Times New Roman"/>
                <w:color w:val="auto"/>
                <w:highlight w:val="none"/>
              </w:rPr>
            </w:pPr>
            <w:r>
              <w:rPr>
                <w:rFonts w:hint="eastAsia" w:cs="宋体"/>
                <w:color w:val="auto"/>
                <w:highlight w:val="none"/>
              </w:rPr>
              <w:t>总承包质量标准：</w:t>
            </w:r>
          </w:p>
        </w:tc>
        <w:tc>
          <w:tcPr>
            <w:tcW w:w="1343" w:type="dxa"/>
            <w:vAlign w:val="center"/>
          </w:tcPr>
          <w:p w14:paraId="4FFB3A5D">
            <w:pPr>
              <w:snapToGrid w:val="0"/>
              <w:jc w:val="center"/>
              <w:rPr>
                <w:rFonts w:ascii="宋体" w:cs="Times New Roman"/>
                <w:color w:val="auto"/>
                <w:highlight w:val="none"/>
              </w:rPr>
            </w:pPr>
          </w:p>
        </w:tc>
      </w:tr>
      <w:tr w14:paraId="3F9599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67334FF6">
            <w:pPr>
              <w:snapToGrid w:val="0"/>
              <w:jc w:val="center"/>
              <w:rPr>
                <w:rFonts w:ascii="宋体" w:cs="Times New Roman"/>
                <w:color w:val="auto"/>
                <w:highlight w:val="none"/>
              </w:rPr>
            </w:pPr>
            <w:r>
              <w:rPr>
                <w:rFonts w:ascii="宋体" w:hAnsi="宋体" w:cs="宋体"/>
                <w:color w:val="auto"/>
                <w:highlight w:val="none"/>
              </w:rPr>
              <w:t>7</w:t>
            </w:r>
          </w:p>
        </w:tc>
        <w:tc>
          <w:tcPr>
            <w:tcW w:w="2593" w:type="dxa"/>
            <w:vAlign w:val="center"/>
          </w:tcPr>
          <w:p w14:paraId="4707E83D">
            <w:pPr>
              <w:snapToGrid w:val="0"/>
              <w:jc w:val="center"/>
              <w:rPr>
                <w:rFonts w:ascii="宋体" w:cs="Times New Roman"/>
                <w:color w:val="auto"/>
                <w:highlight w:val="none"/>
              </w:rPr>
            </w:pPr>
            <w:r>
              <w:rPr>
                <w:rFonts w:hint="eastAsia" w:ascii="宋体" w:hAnsi="宋体" w:cs="宋体"/>
                <w:color w:val="auto"/>
                <w:highlight w:val="none"/>
              </w:rPr>
              <w:t>提前交工的奖金</w:t>
            </w:r>
          </w:p>
        </w:tc>
        <w:tc>
          <w:tcPr>
            <w:tcW w:w="1320" w:type="dxa"/>
            <w:vAlign w:val="center"/>
          </w:tcPr>
          <w:p w14:paraId="02AE46D3">
            <w:pPr>
              <w:snapToGrid w:val="0"/>
              <w:jc w:val="center"/>
              <w:rPr>
                <w:rFonts w:ascii="宋体" w:cs="Times New Roman"/>
                <w:color w:val="auto"/>
                <w:highlight w:val="none"/>
              </w:rPr>
            </w:pPr>
          </w:p>
        </w:tc>
        <w:tc>
          <w:tcPr>
            <w:tcW w:w="3350" w:type="dxa"/>
            <w:vAlign w:val="center"/>
          </w:tcPr>
          <w:p w14:paraId="1B7597E0">
            <w:pPr>
              <w:snapToGrid w:val="0"/>
              <w:jc w:val="center"/>
              <w:rPr>
                <w:rFonts w:ascii="宋体" w:cs="Times New Roman"/>
                <w:color w:val="auto"/>
                <w:highlight w:val="none"/>
              </w:rPr>
            </w:pPr>
            <w:r>
              <w:rPr>
                <w:rFonts w:hint="eastAsia" w:ascii="宋体" w:hAnsi="宋体" w:cs="宋体"/>
                <w:color w:val="auto"/>
                <w:highlight w:val="none"/>
              </w:rPr>
              <w:t>无</w:t>
            </w:r>
          </w:p>
        </w:tc>
        <w:tc>
          <w:tcPr>
            <w:tcW w:w="1343" w:type="dxa"/>
            <w:vAlign w:val="center"/>
          </w:tcPr>
          <w:p w14:paraId="7D06E675">
            <w:pPr>
              <w:snapToGrid w:val="0"/>
              <w:jc w:val="center"/>
              <w:rPr>
                <w:rFonts w:ascii="宋体" w:cs="Times New Roman"/>
                <w:color w:val="auto"/>
                <w:highlight w:val="none"/>
              </w:rPr>
            </w:pPr>
          </w:p>
        </w:tc>
      </w:tr>
      <w:tr w14:paraId="75E4B9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663164CD">
            <w:pPr>
              <w:snapToGrid w:val="0"/>
              <w:jc w:val="center"/>
              <w:rPr>
                <w:rFonts w:ascii="宋体" w:cs="Times New Roman"/>
                <w:color w:val="auto"/>
                <w:highlight w:val="none"/>
              </w:rPr>
            </w:pPr>
            <w:r>
              <w:rPr>
                <w:rFonts w:ascii="宋体" w:hAnsi="宋体" w:cs="宋体"/>
                <w:color w:val="auto"/>
                <w:highlight w:val="none"/>
              </w:rPr>
              <w:t>8</w:t>
            </w:r>
          </w:p>
        </w:tc>
        <w:tc>
          <w:tcPr>
            <w:tcW w:w="2593" w:type="dxa"/>
            <w:vAlign w:val="center"/>
          </w:tcPr>
          <w:p w14:paraId="69D900F5">
            <w:pPr>
              <w:snapToGrid w:val="0"/>
              <w:jc w:val="center"/>
              <w:rPr>
                <w:rFonts w:ascii="宋体" w:cs="Times New Roman"/>
                <w:color w:val="auto"/>
                <w:highlight w:val="none"/>
              </w:rPr>
            </w:pPr>
            <w:r>
              <w:rPr>
                <w:rFonts w:hint="eastAsia" w:ascii="宋体" w:hAnsi="宋体" w:cs="宋体"/>
                <w:color w:val="auto"/>
                <w:highlight w:val="none"/>
              </w:rPr>
              <w:t>开工预付款金额</w:t>
            </w:r>
          </w:p>
        </w:tc>
        <w:tc>
          <w:tcPr>
            <w:tcW w:w="1320" w:type="dxa"/>
            <w:vAlign w:val="center"/>
          </w:tcPr>
          <w:p w14:paraId="441280E2">
            <w:pPr>
              <w:snapToGrid w:val="0"/>
              <w:jc w:val="center"/>
              <w:rPr>
                <w:rFonts w:ascii="宋体" w:cs="Times New Roman"/>
                <w:color w:val="auto"/>
                <w:highlight w:val="none"/>
              </w:rPr>
            </w:pPr>
          </w:p>
        </w:tc>
        <w:tc>
          <w:tcPr>
            <w:tcW w:w="3350" w:type="dxa"/>
            <w:vAlign w:val="center"/>
          </w:tcPr>
          <w:p w14:paraId="548310C7">
            <w:pPr>
              <w:snapToGrid w:val="0"/>
              <w:jc w:val="center"/>
              <w:rPr>
                <w:rFonts w:ascii="宋体" w:cs="Times New Roman"/>
                <w:color w:val="auto"/>
                <w:highlight w:val="none"/>
              </w:rPr>
            </w:pPr>
            <w:r>
              <w:rPr>
                <w:rFonts w:hint="eastAsia" w:ascii="宋体" w:hAnsi="宋体" w:cs="宋体"/>
                <w:color w:val="auto"/>
                <w:highlight w:val="none"/>
              </w:rPr>
              <w:t>无</w:t>
            </w:r>
          </w:p>
        </w:tc>
        <w:tc>
          <w:tcPr>
            <w:tcW w:w="1343" w:type="dxa"/>
            <w:vAlign w:val="center"/>
          </w:tcPr>
          <w:p w14:paraId="72CC5D06">
            <w:pPr>
              <w:snapToGrid w:val="0"/>
              <w:jc w:val="center"/>
              <w:rPr>
                <w:rFonts w:ascii="宋体" w:cs="Times New Roman"/>
                <w:color w:val="auto"/>
                <w:highlight w:val="none"/>
              </w:rPr>
            </w:pPr>
          </w:p>
        </w:tc>
      </w:tr>
      <w:tr w14:paraId="1ABABC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3703FB41">
            <w:pPr>
              <w:snapToGrid w:val="0"/>
              <w:jc w:val="center"/>
              <w:rPr>
                <w:rFonts w:ascii="宋体" w:cs="Times New Roman"/>
                <w:color w:val="auto"/>
                <w:highlight w:val="none"/>
              </w:rPr>
            </w:pPr>
            <w:r>
              <w:rPr>
                <w:rFonts w:ascii="宋体" w:hAnsi="宋体" w:cs="宋体"/>
                <w:color w:val="auto"/>
                <w:highlight w:val="none"/>
              </w:rPr>
              <w:t>9</w:t>
            </w:r>
          </w:p>
        </w:tc>
        <w:tc>
          <w:tcPr>
            <w:tcW w:w="2593" w:type="dxa"/>
            <w:vAlign w:val="center"/>
          </w:tcPr>
          <w:p w14:paraId="787E5E0A">
            <w:pPr>
              <w:snapToGrid w:val="0"/>
              <w:jc w:val="center"/>
              <w:rPr>
                <w:rFonts w:ascii="宋体" w:cs="Times New Roman"/>
                <w:color w:val="auto"/>
                <w:highlight w:val="none"/>
              </w:rPr>
            </w:pPr>
            <w:r>
              <w:rPr>
                <w:rFonts w:hint="eastAsia" w:ascii="宋体" w:hAnsi="宋体" w:cs="宋体"/>
                <w:color w:val="auto"/>
                <w:highlight w:val="none"/>
              </w:rPr>
              <w:t>逾期交工违约金（包含设计工期和施工工期）</w:t>
            </w:r>
          </w:p>
        </w:tc>
        <w:tc>
          <w:tcPr>
            <w:tcW w:w="1320" w:type="dxa"/>
            <w:vAlign w:val="center"/>
          </w:tcPr>
          <w:p w14:paraId="6DFE3637">
            <w:pPr>
              <w:snapToGrid w:val="0"/>
              <w:jc w:val="center"/>
              <w:rPr>
                <w:rFonts w:ascii="宋体" w:cs="Times New Roman"/>
                <w:color w:val="auto"/>
                <w:highlight w:val="none"/>
              </w:rPr>
            </w:pPr>
          </w:p>
        </w:tc>
        <w:tc>
          <w:tcPr>
            <w:tcW w:w="3350" w:type="dxa"/>
            <w:vAlign w:val="center"/>
          </w:tcPr>
          <w:p w14:paraId="6A9B5318">
            <w:pPr>
              <w:snapToGrid w:val="0"/>
              <w:jc w:val="center"/>
              <w:rPr>
                <w:rFonts w:hint="eastAsia" w:ascii="宋体" w:eastAsia="宋体" w:cs="Times New Roman"/>
                <w:color w:val="auto"/>
                <w:highlight w:val="none"/>
                <w:lang w:eastAsia="zh-CN"/>
              </w:rPr>
            </w:pPr>
            <w:r>
              <w:rPr>
                <w:rFonts w:hint="eastAsia" w:ascii="宋体" w:cs="Times New Roman"/>
                <w:color w:val="auto"/>
                <w:highlight w:val="none"/>
                <w:lang w:eastAsia="zh-CN"/>
              </w:rPr>
              <w:t>投标人自行承诺</w:t>
            </w:r>
          </w:p>
        </w:tc>
        <w:tc>
          <w:tcPr>
            <w:tcW w:w="1343" w:type="dxa"/>
            <w:vAlign w:val="center"/>
          </w:tcPr>
          <w:p w14:paraId="5E884F40">
            <w:pPr>
              <w:snapToGrid w:val="0"/>
              <w:jc w:val="center"/>
              <w:rPr>
                <w:rFonts w:ascii="宋体" w:cs="Times New Roman"/>
                <w:color w:val="auto"/>
                <w:highlight w:val="none"/>
              </w:rPr>
            </w:pPr>
          </w:p>
        </w:tc>
      </w:tr>
      <w:tr w14:paraId="0F5245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8CFEFDB">
            <w:pPr>
              <w:snapToGrid w:val="0"/>
              <w:jc w:val="center"/>
              <w:rPr>
                <w:rFonts w:ascii="宋体" w:cs="Times New Roman"/>
                <w:color w:val="auto"/>
                <w:highlight w:val="none"/>
              </w:rPr>
            </w:pPr>
            <w:r>
              <w:rPr>
                <w:rFonts w:ascii="宋体" w:hAnsi="宋体" w:cs="宋体"/>
                <w:color w:val="auto"/>
                <w:highlight w:val="none"/>
              </w:rPr>
              <w:t>10</w:t>
            </w:r>
          </w:p>
        </w:tc>
        <w:tc>
          <w:tcPr>
            <w:tcW w:w="2593" w:type="dxa"/>
            <w:vAlign w:val="center"/>
          </w:tcPr>
          <w:p w14:paraId="33D816C7">
            <w:pPr>
              <w:snapToGrid w:val="0"/>
              <w:jc w:val="center"/>
              <w:rPr>
                <w:rFonts w:ascii="宋体" w:cs="Times New Roman"/>
                <w:color w:val="auto"/>
                <w:highlight w:val="none"/>
              </w:rPr>
            </w:pPr>
            <w:r>
              <w:rPr>
                <w:rFonts w:hint="eastAsia" w:ascii="宋体" w:hAnsi="宋体" w:cs="宋体"/>
                <w:color w:val="auto"/>
                <w:highlight w:val="none"/>
              </w:rPr>
              <w:t>质量保证金金额</w:t>
            </w:r>
          </w:p>
        </w:tc>
        <w:tc>
          <w:tcPr>
            <w:tcW w:w="1320" w:type="dxa"/>
            <w:vAlign w:val="center"/>
          </w:tcPr>
          <w:p w14:paraId="2A421936">
            <w:pPr>
              <w:snapToGrid w:val="0"/>
              <w:jc w:val="center"/>
              <w:rPr>
                <w:rFonts w:ascii="宋体" w:cs="Times New Roman"/>
                <w:color w:val="auto"/>
                <w:highlight w:val="none"/>
              </w:rPr>
            </w:pPr>
          </w:p>
        </w:tc>
        <w:tc>
          <w:tcPr>
            <w:tcW w:w="3350" w:type="dxa"/>
            <w:vAlign w:val="center"/>
          </w:tcPr>
          <w:p w14:paraId="51D51FD0">
            <w:pPr>
              <w:snapToGrid w:val="0"/>
              <w:jc w:val="center"/>
              <w:rPr>
                <w:rFonts w:ascii="宋体" w:cs="Times New Roman"/>
                <w:color w:val="auto"/>
                <w:highlight w:val="none"/>
              </w:rPr>
            </w:pPr>
            <w:r>
              <w:rPr>
                <w:rFonts w:hint="eastAsia" w:ascii="宋体" w:hAnsi="宋体" w:cs="宋体"/>
                <w:color w:val="auto"/>
                <w:highlight w:val="none"/>
                <w:lang w:eastAsia="zh-CN"/>
              </w:rPr>
              <w:t>经审定的竣工结算款的</w:t>
            </w:r>
            <w:r>
              <w:rPr>
                <w:rFonts w:hint="eastAsia" w:ascii="宋体" w:hAnsi="宋体" w:cs="宋体"/>
                <w:color w:val="auto"/>
                <w:highlight w:val="none"/>
                <w:lang w:val="en-US" w:eastAsia="zh-CN"/>
              </w:rPr>
              <w:t>3%</w:t>
            </w:r>
            <w:r>
              <w:rPr>
                <w:rFonts w:hint="eastAsia" w:ascii="宋体" w:hAnsi="宋体" w:cs="宋体"/>
                <w:color w:val="auto"/>
                <w:highlight w:val="none"/>
              </w:rPr>
              <w:t>，形式为现金</w:t>
            </w:r>
            <w:r>
              <w:rPr>
                <w:rFonts w:hint="eastAsia" w:ascii="宋体" w:hAnsi="宋体" w:cs="宋体"/>
                <w:color w:val="auto"/>
                <w:highlight w:val="none"/>
                <w:lang w:eastAsia="zh-CN"/>
              </w:rPr>
              <w:t>或转账</w:t>
            </w:r>
            <w:r>
              <w:rPr>
                <w:rFonts w:hint="eastAsia" w:ascii="宋体" w:hAnsi="宋体" w:cs="宋体"/>
                <w:color w:val="auto"/>
                <w:highlight w:val="none"/>
              </w:rPr>
              <w:t>，且质量保证金不计付利息</w:t>
            </w:r>
          </w:p>
        </w:tc>
        <w:tc>
          <w:tcPr>
            <w:tcW w:w="1343" w:type="dxa"/>
            <w:vAlign w:val="center"/>
          </w:tcPr>
          <w:p w14:paraId="6D19223B">
            <w:pPr>
              <w:snapToGrid w:val="0"/>
              <w:jc w:val="center"/>
              <w:rPr>
                <w:rFonts w:ascii="宋体" w:cs="Times New Roman"/>
                <w:color w:val="auto"/>
                <w:highlight w:val="none"/>
              </w:rPr>
            </w:pPr>
          </w:p>
        </w:tc>
      </w:tr>
      <w:tr w14:paraId="02A547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BEB34E4">
            <w:pPr>
              <w:snapToGrid w:val="0"/>
              <w:jc w:val="center"/>
              <w:rPr>
                <w:rFonts w:ascii="宋体" w:cs="Times New Roman"/>
                <w:color w:val="auto"/>
                <w:highlight w:val="none"/>
              </w:rPr>
            </w:pPr>
            <w:r>
              <w:rPr>
                <w:rFonts w:ascii="宋体" w:hAnsi="宋体" w:cs="宋体"/>
                <w:color w:val="auto"/>
                <w:highlight w:val="none"/>
              </w:rPr>
              <w:t>11</w:t>
            </w:r>
          </w:p>
        </w:tc>
        <w:tc>
          <w:tcPr>
            <w:tcW w:w="2593" w:type="dxa"/>
            <w:vAlign w:val="center"/>
          </w:tcPr>
          <w:p w14:paraId="44A207A0">
            <w:pPr>
              <w:snapToGrid w:val="0"/>
              <w:jc w:val="center"/>
              <w:rPr>
                <w:rFonts w:ascii="宋体" w:cs="Times New Roman"/>
                <w:color w:val="auto"/>
                <w:highlight w:val="none"/>
              </w:rPr>
            </w:pPr>
            <w:r>
              <w:rPr>
                <w:rFonts w:hint="eastAsia" w:ascii="宋体" w:hAnsi="宋体" w:cs="宋体"/>
                <w:color w:val="auto"/>
                <w:highlight w:val="none"/>
              </w:rPr>
              <w:t>保修期</w:t>
            </w:r>
          </w:p>
        </w:tc>
        <w:tc>
          <w:tcPr>
            <w:tcW w:w="1320" w:type="dxa"/>
            <w:vAlign w:val="center"/>
          </w:tcPr>
          <w:p w14:paraId="0A8833D9">
            <w:pPr>
              <w:snapToGrid w:val="0"/>
              <w:jc w:val="center"/>
              <w:rPr>
                <w:rFonts w:ascii="宋体" w:cs="Times New Roman"/>
                <w:color w:val="auto"/>
                <w:highlight w:val="none"/>
              </w:rPr>
            </w:pPr>
          </w:p>
        </w:tc>
        <w:tc>
          <w:tcPr>
            <w:tcW w:w="3350" w:type="dxa"/>
            <w:vAlign w:val="center"/>
          </w:tcPr>
          <w:p w14:paraId="16B87EE6">
            <w:pPr>
              <w:snapToGrid w:val="0"/>
              <w:jc w:val="center"/>
              <w:rPr>
                <w:rFonts w:ascii="宋体" w:cs="Times New Roman"/>
                <w:color w:val="auto"/>
                <w:highlight w:val="none"/>
              </w:rPr>
            </w:pPr>
            <w:r>
              <w:rPr>
                <w:rFonts w:hint="eastAsia" w:ascii="宋体" w:hAnsi="宋体" w:cs="宋体"/>
                <w:color w:val="auto"/>
                <w:highlight w:val="none"/>
              </w:rPr>
              <w:t>按国家规定执行</w:t>
            </w:r>
          </w:p>
        </w:tc>
        <w:tc>
          <w:tcPr>
            <w:tcW w:w="1343" w:type="dxa"/>
            <w:vAlign w:val="center"/>
          </w:tcPr>
          <w:p w14:paraId="7E7469C8">
            <w:pPr>
              <w:snapToGrid w:val="0"/>
              <w:jc w:val="center"/>
              <w:rPr>
                <w:rFonts w:ascii="宋体" w:cs="Times New Roman"/>
                <w:color w:val="auto"/>
                <w:highlight w:val="none"/>
              </w:rPr>
            </w:pPr>
          </w:p>
        </w:tc>
      </w:tr>
      <w:tr w14:paraId="10B6B9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7AAA6BBB">
            <w:pPr>
              <w:snapToGrid w:val="0"/>
              <w:jc w:val="center"/>
              <w:rPr>
                <w:rFonts w:ascii="宋体" w:cs="Times New Roman"/>
                <w:color w:val="auto"/>
                <w:highlight w:val="none"/>
              </w:rPr>
            </w:pPr>
            <w:r>
              <w:rPr>
                <w:rFonts w:ascii="宋体" w:hAnsi="宋体" w:cs="宋体"/>
                <w:color w:val="auto"/>
                <w:highlight w:val="none"/>
              </w:rPr>
              <w:t>12</w:t>
            </w:r>
          </w:p>
        </w:tc>
        <w:tc>
          <w:tcPr>
            <w:tcW w:w="2593" w:type="dxa"/>
            <w:vAlign w:val="center"/>
          </w:tcPr>
          <w:p w14:paraId="72A3391F">
            <w:pPr>
              <w:snapToGrid w:val="0"/>
              <w:jc w:val="center"/>
              <w:rPr>
                <w:rFonts w:ascii="宋体" w:cs="Times New Roman"/>
                <w:color w:val="auto"/>
                <w:highlight w:val="none"/>
              </w:rPr>
            </w:pPr>
            <w:r>
              <w:rPr>
                <w:rFonts w:hint="eastAsia" w:cs="宋体"/>
                <w:color w:val="auto"/>
                <w:highlight w:val="none"/>
              </w:rPr>
              <w:t>价格调整的差额计算</w:t>
            </w:r>
          </w:p>
        </w:tc>
        <w:tc>
          <w:tcPr>
            <w:tcW w:w="1320" w:type="dxa"/>
            <w:vAlign w:val="center"/>
          </w:tcPr>
          <w:p w14:paraId="7251F622">
            <w:pPr>
              <w:snapToGrid w:val="0"/>
              <w:jc w:val="center"/>
              <w:rPr>
                <w:rFonts w:ascii="宋体" w:cs="Times New Roman"/>
                <w:color w:val="auto"/>
                <w:highlight w:val="none"/>
              </w:rPr>
            </w:pPr>
          </w:p>
        </w:tc>
        <w:tc>
          <w:tcPr>
            <w:tcW w:w="3350" w:type="dxa"/>
            <w:vAlign w:val="center"/>
          </w:tcPr>
          <w:p w14:paraId="64C40B28">
            <w:p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合同期内不调价差</w:t>
            </w:r>
          </w:p>
        </w:tc>
        <w:tc>
          <w:tcPr>
            <w:tcW w:w="1343" w:type="dxa"/>
            <w:vAlign w:val="center"/>
          </w:tcPr>
          <w:p w14:paraId="3EF58310">
            <w:pPr>
              <w:snapToGrid w:val="0"/>
              <w:jc w:val="center"/>
              <w:rPr>
                <w:rFonts w:ascii="宋体" w:cs="Times New Roman"/>
                <w:color w:val="auto"/>
                <w:highlight w:val="none"/>
              </w:rPr>
            </w:pPr>
          </w:p>
        </w:tc>
      </w:tr>
      <w:tr w14:paraId="5543B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6E8EA3C5">
            <w:pPr>
              <w:snapToGrid w:val="0"/>
              <w:jc w:val="center"/>
              <w:rPr>
                <w:rFonts w:ascii="宋体" w:cs="Times New Roman"/>
                <w:color w:val="auto"/>
                <w:highlight w:val="none"/>
              </w:rPr>
            </w:pPr>
            <w:r>
              <w:rPr>
                <w:rFonts w:ascii="宋体" w:hAnsi="宋体" w:cs="宋体"/>
                <w:color w:val="auto"/>
                <w:highlight w:val="none"/>
              </w:rPr>
              <w:t>13</w:t>
            </w:r>
          </w:p>
        </w:tc>
        <w:tc>
          <w:tcPr>
            <w:tcW w:w="2593" w:type="dxa"/>
            <w:vAlign w:val="center"/>
          </w:tcPr>
          <w:p w14:paraId="491C0E6F">
            <w:pPr>
              <w:snapToGrid w:val="0"/>
              <w:jc w:val="center"/>
              <w:rPr>
                <w:rFonts w:cs="Times New Roman"/>
                <w:color w:val="auto"/>
                <w:highlight w:val="none"/>
              </w:rPr>
            </w:pPr>
            <w:r>
              <w:rPr>
                <w:rFonts w:hint="eastAsia" w:cs="宋体"/>
                <w:color w:val="auto"/>
                <w:highlight w:val="none"/>
              </w:rPr>
              <w:t>逾期完工违约金限额</w:t>
            </w:r>
          </w:p>
        </w:tc>
        <w:tc>
          <w:tcPr>
            <w:tcW w:w="1320" w:type="dxa"/>
            <w:vAlign w:val="center"/>
          </w:tcPr>
          <w:p w14:paraId="48817247">
            <w:pPr>
              <w:snapToGrid w:val="0"/>
              <w:jc w:val="center"/>
              <w:rPr>
                <w:rFonts w:ascii="宋体" w:cs="Times New Roman"/>
                <w:color w:val="auto"/>
                <w:highlight w:val="none"/>
              </w:rPr>
            </w:pPr>
          </w:p>
        </w:tc>
        <w:tc>
          <w:tcPr>
            <w:tcW w:w="3350" w:type="dxa"/>
            <w:vAlign w:val="center"/>
          </w:tcPr>
          <w:p w14:paraId="3E441385">
            <w:p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5%签约合同价</w:t>
            </w:r>
          </w:p>
        </w:tc>
        <w:tc>
          <w:tcPr>
            <w:tcW w:w="1343" w:type="dxa"/>
            <w:vAlign w:val="center"/>
          </w:tcPr>
          <w:p w14:paraId="607913D5">
            <w:pPr>
              <w:snapToGrid w:val="0"/>
              <w:jc w:val="center"/>
              <w:rPr>
                <w:rFonts w:ascii="宋体" w:cs="Times New Roman"/>
                <w:color w:val="auto"/>
                <w:highlight w:val="none"/>
              </w:rPr>
            </w:pPr>
          </w:p>
        </w:tc>
      </w:tr>
      <w:tr w14:paraId="67AC1A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58021372">
            <w:pPr>
              <w:snapToGrid w:val="0"/>
              <w:jc w:val="center"/>
              <w:rPr>
                <w:rFonts w:ascii="宋体" w:cs="Times New Roman"/>
                <w:color w:val="auto"/>
                <w:highlight w:val="none"/>
              </w:rPr>
            </w:pPr>
            <w:r>
              <w:rPr>
                <w:rFonts w:ascii="宋体" w:hAnsi="宋体" w:cs="宋体"/>
                <w:color w:val="auto"/>
                <w:highlight w:val="none"/>
              </w:rPr>
              <w:t>14</w:t>
            </w:r>
          </w:p>
        </w:tc>
        <w:tc>
          <w:tcPr>
            <w:tcW w:w="2593" w:type="dxa"/>
            <w:vAlign w:val="center"/>
          </w:tcPr>
          <w:p w14:paraId="49E91E29">
            <w:pPr>
              <w:snapToGrid w:val="0"/>
              <w:jc w:val="center"/>
              <w:rPr>
                <w:rFonts w:cs="Times New Roman"/>
                <w:color w:val="auto"/>
                <w:highlight w:val="none"/>
              </w:rPr>
            </w:pPr>
            <w:r>
              <w:rPr>
                <w:rFonts w:hint="eastAsia" w:cs="宋体"/>
                <w:color w:val="auto"/>
                <w:highlight w:val="none"/>
              </w:rPr>
              <w:t>逾期付款违约金的比例</w:t>
            </w:r>
          </w:p>
        </w:tc>
        <w:tc>
          <w:tcPr>
            <w:tcW w:w="1320" w:type="dxa"/>
            <w:vAlign w:val="center"/>
          </w:tcPr>
          <w:p w14:paraId="4240E2E3">
            <w:pPr>
              <w:snapToGrid w:val="0"/>
              <w:jc w:val="center"/>
              <w:rPr>
                <w:rFonts w:ascii="宋体" w:cs="Times New Roman"/>
                <w:color w:val="auto"/>
                <w:highlight w:val="none"/>
              </w:rPr>
            </w:pPr>
          </w:p>
        </w:tc>
        <w:tc>
          <w:tcPr>
            <w:tcW w:w="3350" w:type="dxa"/>
            <w:vAlign w:val="center"/>
          </w:tcPr>
          <w:p w14:paraId="211D12A0">
            <w:p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无</w:t>
            </w:r>
          </w:p>
        </w:tc>
        <w:tc>
          <w:tcPr>
            <w:tcW w:w="1343" w:type="dxa"/>
            <w:vAlign w:val="center"/>
          </w:tcPr>
          <w:p w14:paraId="4F1DE71D">
            <w:pPr>
              <w:snapToGrid w:val="0"/>
              <w:jc w:val="center"/>
              <w:rPr>
                <w:rFonts w:ascii="宋体" w:cs="Times New Roman"/>
                <w:color w:val="auto"/>
                <w:highlight w:val="none"/>
              </w:rPr>
            </w:pPr>
          </w:p>
        </w:tc>
      </w:tr>
    </w:tbl>
    <w:p w14:paraId="6137AC23">
      <w:pPr>
        <w:adjustRightInd w:val="0"/>
        <w:snapToGrid w:val="0"/>
        <w:spacing w:line="360" w:lineRule="auto"/>
        <w:ind w:firstLine="420" w:firstLineChars="200"/>
        <w:rPr>
          <w:rFonts w:ascii="宋体" w:cs="Times New Roman"/>
          <w:color w:val="auto"/>
          <w:highlight w:val="none"/>
        </w:rPr>
      </w:pPr>
    </w:p>
    <w:p w14:paraId="20A12292">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投标人（牵头人单位）：</w:t>
      </w:r>
      <w:r>
        <w:rPr>
          <w:rFonts w:ascii="宋体" w:hAnsi="宋体" w:cs="宋体"/>
          <w:color w:val="auto"/>
          <w:highlight w:val="none"/>
        </w:rPr>
        <w:t>___________</w:t>
      </w:r>
      <w:r>
        <w:rPr>
          <w:rFonts w:hint="eastAsia" w:ascii="宋体" w:hAnsi="宋体" w:cs="宋体"/>
          <w:color w:val="auto"/>
          <w:highlight w:val="none"/>
        </w:rPr>
        <w:t>（电子签章）</w:t>
      </w:r>
    </w:p>
    <w:p w14:paraId="657E8BEB">
      <w:pPr>
        <w:spacing w:line="480" w:lineRule="exact"/>
        <w:ind w:firstLine="420" w:firstLineChars="200"/>
        <w:jc w:val="left"/>
        <w:rPr>
          <w:rFonts w:ascii="宋体" w:cs="Times New Roman"/>
          <w:color w:val="auto"/>
          <w:highlight w:val="none"/>
        </w:rPr>
      </w:pPr>
      <w:r>
        <w:rPr>
          <w:rFonts w:ascii="宋体" w:hAnsi="宋体" w:cs="宋体"/>
          <w:color w:val="auto"/>
          <w:highlight w:val="none"/>
        </w:rPr>
        <w:t xml:space="preserve">                               </w:t>
      </w:r>
      <w:r>
        <w:rPr>
          <w:rFonts w:hint="eastAsia" w:ascii="宋体" w:hAnsi="宋体" w:cs="宋体"/>
          <w:color w:val="auto"/>
          <w:highlight w:val="none"/>
        </w:rPr>
        <w:t>法定代表人</w:t>
      </w:r>
      <w:r>
        <w:rPr>
          <w:rFonts w:hint="eastAsia" w:cs="宋体"/>
          <w:color w:val="auto"/>
          <w:highlight w:val="none"/>
        </w:rPr>
        <w:t>或其委托代理人</w:t>
      </w:r>
      <w:r>
        <w:rPr>
          <w:rFonts w:hint="eastAsia" w:ascii="宋体" w:hAnsi="宋体" w:cs="宋体"/>
          <w:color w:val="auto"/>
          <w:highlight w:val="none"/>
        </w:rPr>
        <w:t>：</w:t>
      </w:r>
      <w:r>
        <w:rPr>
          <w:rFonts w:ascii="宋体" w:hAnsi="宋体" w:cs="宋体"/>
          <w:color w:val="auto"/>
          <w:highlight w:val="none"/>
        </w:rPr>
        <w:t>_________</w:t>
      </w:r>
      <w:r>
        <w:rPr>
          <w:rFonts w:hint="eastAsia" w:ascii="宋体" w:hAnsi="宋体" w:cs="宋体"/>
          <w:color w:val="auto"/>
          <w:highlight w:val="none"/>
        </w:rPr>
        <w:t>（电子签章）</w:t>
      </w:r>
    </w:p>
    <w:p w14:paraId="12538508">
      <w:pPr>
        <w:adjustRightInd w:val="0"/>
        <w:snapToGrid w:val="0"/>
        <w:spacing w:line="360" w:lineRule="auto"/>
        <w:ind w:firstLine="420" w:firstLineChars="200"/>
        <w:rPr>
          <w:rFonts w:ascii="宋体" w:cs="Times New Roman"/>
          <w:color w:val="auto"/>
          <w:highlight w:val="none"/>
        </w:rPr>
      </w:pPr>
    </w:p>
    <w:p w14:paraId="61682704">
      <w:pPr>
        <w:adjustRightInd w:val="0"/>
        <w:snapToGrid w:val="0"/>
        <w:spacing w:line="360" w:lineRule="auto"/>
        <w:ind w:firstLine="420" w:firstLineChars="200"/>
        <w:jc w:val="center"/>
        <w:rPr>
          <w:rFonts w:ascii="宋体" w:cs="Times New Roman"/>
          <w:color w:val="auto"/>
          <w:highlight w:val="none"/>
        </w:rPr>
      </w:pPr>
      <w:r>
        <w:rPr>
          <w:rFonts w:hint="eastAsia" w:ascii="宋体" w:hAnsi="宋体" w:cs="宋体"/>
          <w:color w:val="auto"/>
          <w:highlight w:val="none"/>
          <w:lang w:val="en-US" w:eastAsia="zh-CN"/>
        </w:rPr>
        <w:t xml:space="preserve">                            </w:t>
      </w:r>
      <w:r>
        <w:rPr>
          <w:rFonts w:ascii="宋体" w:hAnsi="宋体" w:cs="宋体"/>
          <w:color w:val="auto"/>
          <w:highlight w:val="none"/>
        </w:rPr>
        <w:t>_____</w:t>
      </w:r>
      <w:r>
        <w:rPr>
          <w:rFonts w:hint="eastAsia" w:ascii="宋体" w:hAnsi="宋体" w:cs="宋体"/>
          <w:color w:val="auto"/>
          <w:highlight w:val="none"/>
        </w:rPr>
        <w:t>年</w:t>
      </w:r>
      <w:r>
        <w:rPr>
          <w:rFonts w:ascii="宋体" w:hAnsi="宋体" w:cs="宋体"/>
          <w:color w:val="auto"/>
          <w:highlight w:val="none"/>
        </w:rPr>
        <w:t>___</w:t>
      </w:r>
      <w:r>
        <w:rPr>
          <w:rFonts w:hint="eastAsia" w:ascii="宋体" w:hAnsi="宋体" w:cs="宋体"/>
          <w:color w:val="auto"/>
          <w:highlight w:val="none"/>
        </w:rPr>
        <w:t>月</w:t>
      </w:r>
      <w:r>
        <w:rPr>
          <w:rFonts w:ascii="宋体" w:hAnsi="宋体" w:cs="宋体"/>
          <w:color w:val="auto"/>
          <w:highlight w:val="none"/>
        </w:rPr>
        <w:t>___</w:t>
      </w:r>
      <w:r>
        <w:rPr>
          <w:rFonts w:hint="eastAsia" w:ascii="宋体" w:hAnsi="宋体" w:cs="宋体"/>
          <w:color w:val="auto"/>
          <w:highlight w:val="none"/>
        </w:rPr>
        <w:t>日</w:t>
      </w:r>
    </w:p>
    <w:p w14:paraId="0FCF5D0C">
      <w:pPr>
        <w:pStyle w:val="81"/>
        <w:spacing w:line="380" w:lineRule="exact"/>
        <w:rPr>
          <w:rFonts w:cs="Times New Roman"/>
          <w:b/>
          <w:bCs/>
          <w:color w:val="auto"/>
          <w:sz w:val="21"/>
          <w:szCs w:val="21"/>
          <w:highlight w:val="none"/>
        </w:rPr>
      </w:pPr>
      <w:r>
        <w:rPr>
          <w:rFonts w:hint="eastAsia"/>
          <w:color w:val="auto"/>
          <w:sz w:val="21"/>
          <w:szCs w:val="21"/>
          <w:highlight w:val="none"/>
        </w:rPr>
        <w:t>备注：投标人在响应招标文件中规定的实质性要求和条件的基础上，可做出其他有利于招标人的承诺。此类承诺可在本表中予以补充填写。</w:t>
      </w:r>
    </w:p>
    <w:p w14:paraId="3716B63F">
      <w:pPr>
        <w:adjustRightInd w:val="0"/>
        <w:snapToGrid w:val="0"/>
        <w:spacing w:line="360" w:lineRule="auto"/>
        <w:jc w:val="center"/>
        <w:rPr>
          <w:rFonts w:hint="eastAsia"/>
          <w:color w:val="auto"/>
          <w:sz w:val="30"/>
          <w:szCs w:val="30"/>
          <w:highlight w:val="none"/>
          <w:lang w:eastAsia="zh-CN"/>
        </w:rPr>
      </w:pPr>
    </w:p>
    <w:p w14:paraId="0D24CC5E">
      <w:pPr>
        <w:adjustRightInd w:val="0"/>
        <w:snapToGrid w:val="0"/>
        <w:spacing w:line="360" w:lineRule="auto"/>
        <w:jc w:val="center"/>
        <w:rPr>
          <w:rFonts w:ascii="宋体" w:cs="Times New Roman"/>
          <w:color w:val="auto"/>
          <w:highlight w:val="none"/>
        </w:rPr>
      </w:pPr>
      <w:r>
        <w:rPr>
          <w:rFonts w:hint="eastAsia"/>
          <w:color w:val="auto"/>
          <w:sz w:val="30"/>
          <w:szCs w:val="30"/>
          <w:highlight w:val="none"/>
          <w:lang w:eastAsia="zh-CN"/>
        </w:rPr>
        <w:t>二、</w:t>
      </w:r>
      <w:r>
        <w:rPr>
          <w:rFonts w:hint="eastAsia" w:ascii="宋体" w:hAnsi="宋体" w:cs="宋体"/>
          <w:b/>
          <w:bCs/>
          <w:color w:val="auto"/>
          <w:sz w:val="28"/>
          <w:szCs w:val="28"/>
          <w:highlight w:val="none"/>
        </w:rPr>
        <w:t>法定代表人身份证明</w:t>
      </w:r>
    </w:p>
    <w:p w14:paraId="4AAB136A">
      <w:pPr>
        <w:adjustRightInd w:val="0"/>
        <w:snapToGrid w:val="0"/>
        <w:spacing w:line="360" w:lineRule="auto"/>
        <w:ind w:firstLine="420" w:firstLineChars="200"/>
        <w:rPr>
          <w:rFonts w:ascii="宋体" w:cs="Times New Roman"/>
          <w:color w:val="auto"/>
          <w:highlight w:val="none"/>
        </w:rPr>
      </w:pPr>
    </w:p>
    <w:p w14:paraId="5C018643">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投 标 人：_________________________________________________________</w:t>
      </w:r>
    </w:p>
    <w:p w14:paraId="048538D9">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单位性质：_________________________________________________________</w:t>
      </w:r>
    </w:p>
    <w:p w14:paraId="6CBFD89E">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地    址：_________________________________________________________</w:t>
      </w:r>
    </w:p>
    <w:p w14:paraId="6CD8CA27">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成立时间：____________年____________月_______________日</w:t>
      </w:r>
    </w:p>
    <w:p w14:paraId="4A68FCF4">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经营期限：_________________________________________________________</w:t>
      </w:r>
    </w:p>
    <w:p w14:paraId="0E3A18DA">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姓    名：____________________________   性  别：__________________</w:t>
      </w:r>
    </w:p>
    <w:p w14:paraId="15D69E29">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年    龄：____________________________   职  务：__________________</w:t>
      </w:r>
    </w:p>
    <w:p w14:paraId="5BA0231B">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系__________________________________________（投标人名称）的法定代表人。</w:t>
      </w:r>
    </w:p>
    <w:p w14:paraId="5EA7B860">
      <w:pPr>
        <w:spacing w:line="5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0690793E">
      <w:pPr>
        <w:spacing w:line="500" w:lineRule="exact"/>
        <w:jc w:val="left"/>
        <w:rPr>
          <w:rFonts w:hint="eastAsia" w:ascii="宋体" w:hAnsi="宋体" w:eastAsia="宋体" w:cs="宋体"/>
          <w:color w:val="auto"/>
          <w:highlight w:val="none"/>
        </w:rPr>
      </w:pPr>
    </w:p>
    <w:p w14:paraId="7DE075C2">
      <w:pPr>
        <w:spacing w:line="500" w:lineRule="exact"/>
        <w:jc w:val="left"/>
        <w:rPr>
          <w:rFonts w:hint="eastAsia" w:ascii="宋体" w:hAnsi="宋体" w:eastAsia="宋体" w:cs="宋体"/>
          <w:color w:val="auto"/>
          <w:highlight w:val="none"/>
        </w:rPr>
      </w:pPr>
    </w:p>
    <w:p w14:paraId="16B45388">
      <w:pPr>
        <w:spacing w:line="500" w:lineRule="exact"/>
        <w:ind w:right="420"/>
        <w:rPr>
          <w:rFonts w:hint="eastAsia" w:ascii="宋体" w:hAnsi="宋体" w:eastAsia="宋体" w:cs="宋体"/>
          <w:color w:val="auto"/>
          <w:highlight w:val="none"/>
        </w:rPr>
      </w:pPr>
      <w:r>
        <w:rPr>
          <w:rFonts w:hint="eastAsia" w:ascii="宋体" w:hAnsi="宋体" w:eastAsia="宋体" w:cs="宋体"/>
          <w:color w:val="auto"/>
          <w:highlight w:val="none"/>
        </w:rPr>
        <w:t>注：附法定代表人身份证扫描件（正反面）。</w:t>
      </w:r>
    </w:p>
    <w:p w14:paraId="2709818F">
      <w:pPr>
        <w:adjustRightInd w:val="0"/>
        <w:snapToGrid w:val="0"/>
        <w:spacing w:line="360" w:lineRule="auto"/>
        <w:ind w:firstLine="420" w:firstLineChars="200"/>
        <w:rPr>
          <w:rFonts w:hint="eastAsia" w:ascii="宋体" w:hAnsi="宋体" w:eastAsia="宋体" w:cs="宋体"/>
          <w:color w:val="auto"/>
          <w:highlight w:val="none"/>
        </w:rPr>
      </w:pPr>
    </w:p>
    <w:p w14:paraId="3943CC1B">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（以联合体形式参加投标的，由联合体牵头方提供）</w:t>
      </w:r>
    </w:p>
    <w:p w14:paraId="67FFE92B">
      <w:pPr>
        <w:adjustRightInd w:val="0"/>
        <w:snapToGrid w:val="0"/>
        <w:spacing w:line="360" w:lineRule="auto"/>
        <w:ind w:firstLine="420" w:firstLineChars="200"/>
        <w:rPr>
          <w:rFonts w:hint="eastAsia" w:ascii="宋体" w:hAnsi="宋体" w:eastAsia="宋体" w:cs="宋体"/>
          <w:color w:val="auto"/>
          <w:highlight w:val="none"/>
        </w:rPr>
      </w:pPr>
    </w:p>
    <w:p w14:paraId="6AA3B67D">
      <w:pPr>
        <w:adjustRightInd w:val="0"/>
        <w:snapToGrid w:val="0"/>
        <w:spacing w:line="360" w:lineRule="auto"/>
        <w:ind w:firstLine="420" w:firstLineChars="200"/>
        <w:jc w:val="righ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投标人（牵头人单位）：_______________（电子签章）</w:t>
      </w:r>
      <w:r>
        <w:rPr>
          <w:rFonts w:hint="eastAsia" w:ascii="宋体" w:hAnsi="宋体" w:eastAsia="宋体" w:cs="宋体"/>
          <w:color w:val="auto"/>
          <w:highlight w:val="none"/>
          <w:lang w:val="en-US" w:eastAsia="zh-CN"/>
        </w:rPr>
        <w:t xml:space="preserve">                                   </w:t>
      </w:r>
    </w:p>
    <w:p w14:paraId="32FED0DC">
      <w:pPr>
        <w:adjustRightInd w:val="0"/>
        <w:snapToGrid w:val="0"/>
        <w:spacing w:line="360" w:lineRule="auto"/>
        <w:ind w:firstLine="420" w:firstLineChars="200"/>
        <w:jc w:val="right"/>
        <w:rPr>
          <w:rFonts w:hint="eastAsia" w:ascii="宋体" w:hAnsi="宋体" w:eastAsia="宋体" w:cs="宋体"/>
          <w:color w:val="auto"/>
          <w:highlight w:val="none"/>
          <w:lang w:val="en-US" w:eastAsia="zh-CN"/>
        </w:rPr>
      </w:pPr>
    </w:p>
    <w:p w14:paraId="5A7A41EE">
      <w:pPr>
        <w:adjustRightInd w:val="0"/>
        <w:snapToGrid w:val="0"/>
        <w:spacing w:line="360" w:lineRule="auto"/>
        <w:ind w:firstLine="420" w:firstLineChars="200"/>
        <w:jc w:val="center"/>
        <w:rPr>
          <w:rFonts w:hint="eastAsia" w:eastAsia="黑体"/>
          <w:color w:val="auto"/>
          <w:sz w:val="30"/>
          <w:szCs w:val="30"/>
          <w:highlight w:val="none"/>
          <w:lang w:eastAsia="zh-CN"/>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______年___月____日</w:t>
      </w:r>
    </w:p>
    <w:p w14:paraId="76F5E90D">
      <w:pPr>
        <w:adjustRightInd w:val="0"/>
        <w:snapToGrid w:val="0"/>
        <w:spacing w:line="360" w:lineRule="auto"/>
        <w:jc w:val="center"/>
        <w:rPr>
          <w:rFonts w:hint="eastAsia"/>
          <w:color w:val="auto"/>
          <w:sz w:val="30"/>
          <w:szCs w:val="30"/>
          <w:highlight w:val="none"/>
          <w:lang w:eastAsia="zh-CN"/>
        </w:rPr>
      </w:pPr>
    </w:p>
    <w:p w14:paraId="0997171A">
      <w:pPr>
        <w:adjustRightInd w:val="0"/>
        <w:snapToGrid w:val="0"/>
        <w:spacing w:line="360" w:lineRule="auto"/>
        <w:jc w:val="center"/>
        <w:rPr>
          <w:rFonts w:hint="eastAsia"/>
          <w:color w:val="auto"/>
          <w:sz w:val="30"/>
          <w:szCs w:val="30"/>
          <w:highlight w:val="none"/>
          <w:lang w:eastAsia="zh-CN"/>
        </w:rPr>
      </w:pPr>
    </w:p>
    <w:p w14:paraId="121A772B">
      <w:pPr>
        <w:adjustRightInd w:val="0"/>
        <w:snapToGrid w:val="0"/>
        <w:spacing w:line="360" w:lineRule="auto"/>
        <w:jc w:val="center"/>
        <w:rPr>
          <w:rFonts w:hint="eastAsia"/>
          <w:color w:val="auto"/>
          <w:sz w:val="30"/>
          <w:szCs w:val="30"/>
          <w:highlight w:val="none"/>
          <w:lang w:eastAsia="zh-CN"/>
        </w:rPr>
      </w:pPr>
    </w:p>
    <w:p w14:paraId="14AADB8A">
      <w:pPr>
        <w:adjustRightInd w:val="0"/>
        <w:snapToGrid w:val="0"/>
        <w:spacing w:line="360" w:lineRule="auto"/>
        <w:jc w:val="center"/>
        <w:rPr>
          <w:rFonts w:hint="eastAsia"/>
          <w:color w:val="auto"/>
          <w:sz w:val="30"/>
          <w:szCs w:val="30"/>
          <w:highlight w:val="none"/>
          <w:lang w:eastAsia="zh-CN"/>
        </w:rPr>
      </w:pPr>
    </w:p>
    <w:p w14:paraId="6C6FAA43">
      <w:pPr>
        <w:adjustRightInd w:val="0"/>
        <w:snapToGrid w:val="0"/>
        <w:spacing w:line="360" w:lineRule="auto"/>
        <w:jc w:val="center"/>
        <w:rPr>
          <w:rFonts w:hint="eastAsia"/>
          <w:color w:val="auto"/>
          <w:sz w:val="30"/>
          <w:szCs w:val="30"/>
          <w:highlight w:val="none"/>
          <w:lang w:eastAsia="zh-CN"/>
        </w:rPr>
      </w:pPr>
    </w:p>
    <w:p w14:paraId="617C248E">
      <w:pPr>
        <w:adjustRightInd w:val="0"/>
        <w:snapToGrid w:val="0"/>
        <w:spacing w:line="360" w:lineRule="auto"/>
        <w:jc w:val="center"/>
        <w:rPr>
          <w:rFonts w:hint="eastAsia"/>
          <w:color w:val="auto"/>
          <w:sz w:val="30"/>
          <w:szCs w:val="30"/>
          <w:highlight w:val="none"/>
          <w:lang w:eastAsia="zh-CN"/>
        </w:rPr>
      </w:pPr>
    </w:p>
    <w:p w14:paraId="0CFC5884">
      <w:pPr>
        <w:adjustRightInd w:val="0"/>
        <w:snapToGrid w:val="0"/>
        <w:spacing w:line="360" w:lineRule="auto"/>
        <w:jc w:val="center"/>
        <w:rPr>
          <w:rFonts w:hint="eastAsia"/>
          <w:color w:val="auto"/>
          <w:sz w:val="30"/>
          <w:szCs w:val="30"/>
          <w:highlight w:val="none"/>
          <w:lang w:eastAsia="zh-CN"/>
        </w:rPr>
      </w:pPr>
    </w:p>
    <w:p w14:paraId="7825A3F9">
      <w:pPr>
        <w:pStyle w:val="21"/>
        <w:rPr>
          <w:rFonts w:hint="eastAsia"/>
          <w:color w:val="auto"/>
          <w:highlight w:val="none"/>
          <w:lang w:eastAsia="zh-CN"/>
        </w:rPr>
      </w:pPr>
    </w:p>
    <w:p w14:paraId="719F5591">
      <w:pPr>
        <w:adjustRightInd w:val="0"/>
        <w:snapToGrid w:val="0"/>
        <w:spacing w:line="360" w:lineRule="auto"/>
        <w:jc w:val="center"/>
        <w:rPr>
          <w:rFonts w:hint="eastAsia"/>
          <w:color w:val="auto"/>
          <w:sz w:val="30"/>
          <w:szCs w:val="30"/>
          <w:highlight w:val="none"/>
          <w:lang w:eastAsia="zh-CN"/>
        </w:rPr>
      </w:pPr>
    </w:p>
    <w:p w14:paraId="18AD55D9">
      <w:pPr>
        <w:adjustRightInd w:val="0"/>
        <w:snapToGrid w:val="0"/>
        <w:spacing w:line="360" w:lineRule="auto"/>
        <w:jc w:val="center"/>
        <w:rPr>
          <w:rFonts w:ascii="宋体" w:cs="Times New Roman"/>
          <w:b/>
          <w:bCs/>
          <w:color w:val="auto"/>
          <w:sz w:val="28"/>
          <w:szCs w:val="28"/>
          <w:highlight w:val="none"/>
        </w:rPr>
      </w:pPr>
      <w:r>
        <w:rPr>
          <w:rFonts w:hint="eastAsia"/>
          <w:color w:val="auto"/>
          <w:sz w:val="30"/>
          <w:szCs w:val="30"/>
          <w:highlight w:val="none"/>
          <w:lang w:eastAsia="zh-CN"/>
        </w:rPr>
        <w:t>三、</w:t>
      </w:r>
      <w:r>
        <w:rPr>
          <w:rFonts w:hint="eastAsia" w:ascii="宋体" w:hAnsi="宋体" w:cs="宋体"/>
          <w:b/>
          <w:bCs/>
          <w:color w:val="auto"/>
          <w:sz w:val="28"/>
          <w:szCs w:val="28"/>
          <w:highlight w:val="none"/>
        </w:rPr>
        <w:t>授权委托书</w:t>
      </w:r>
    </w:p>
    <w:p w14:paraId="5EE7B253">
      <w:pPr>
        <w:adjustRightInd w:val="0"/>
        <w:snapToGrid w:val="0"/>
        <w:spacing w:line="360" w:lineRule="auto"/>
        <w:ind w:firstLine="420" w:firstLineChars="200"/>
        <w:rPr>
          <w:rFonts w:ascii="宋体" w:cs="Times New Roman"/>
          <w:color w:val="auto"/>
          <w:highlight w:val="none"/>
        </w:rPr>
      </w:pPr>
    </w:p>
    <w:p w14:paraId="7F632D1E">
      <w:pPr>
        <w:adjustRightInd w:val="0"/>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本人</w:t>
      </w:r>
      <w:r>
        <w:rPr>
          <w:rFonts w:ascii="宋体" w:hAnsi="宋体" w:cs="宋体"/>
          <w:color w:val="auto"/>
          <w:highlight w:val="none"/>
        </w:rPr>
        <w:t>________</w:t>
      </w:r>
      <w:r>
        <w:rPr>
          <w:rFonts w:hint="eastAsia" w:ascii="宋体" w:hAnsi="宋体" w:cs="宋体"/>
          <w:color w:val="auto"/>
          <w:highlight w:val="none"/>
        </w:rPr>
        <w:t>（姓名）系</w:t>
      </w:r>
      <w:r>
        <w:rPr>
          <w:rFonts w:ascii="宋体" w:hAnsi="宋体" w:cs="宋体"/>
          <w:color w:val="auto"/>
          <w:highlight w:val="none"/>
        </w:rPr>
        <w:t>__________________</w:t>
      </w:r>
      <w:r>
        <w:rPr>
          <w:rFonts w:hint="eastAsia" w:ascii="宋体" w:hAnsi="宋体" w:cs="宋体"/>
          <w:color w:val="auto"/>
          <w:highlight w:val="none"/>
        </w:rPr>
        <w:t>（投标人名称）的法定代表人，现委托</w:t>
      </w:r>
      <w:r>
        <w:rPr>
          <w:rFonts w:ascii="宋体" w:hAnsi="宋体" w:cs="宋体"/>
          <w:color w:val="auto"/>
          <w:highlight w:val="none"/>
        </w:rPr>
        <w:t>________</w:t>
      </w:r>
      <w:r>
        <w:rPr>
          <w:rFonts w:hint="eastAsia" w:ascii="宋体" w:hAnsi="宋体" w:cs="宋体"/>
          <w:color w:val="auto"/>
          <w:highlight w:val="none"/>
        </w:rPr>
        <w:t>（姓名）为我方代理人。代理人根据授权，以我方名义签署、澄清、说明、补正、递交、撤回、修改</w:t>
      </w:r>
      <w:r>
        <w:rPr>
          <w:rFonts w:ascii="宋体" w:hAnsi="宋体" w:cs="宋体"/>
          <w:color w:val="auto"/>
          <w:highlight w:val="none"/>
        </w:rPr>
        <w:t>__________________________</w:t>
      </w:r>
      <w:r>
        <w:rPr>
          <w:rFonts w:hint="eastAsia" w:ascii="宋体" w:hAnsi="宋体" w:cs="宋体"/>
          <w:color w:val="auto"/>
          <w:highlight w:val="none"/>
        </w:rPr>
        <w:t>（项目名称）招标的投标文件、签订合同和处理有关事宜，其法律后果由我方承担。</w:t>
      </w:r>
    </w:p>
    <w:p w14:paraId="36A32914">
      <w:pPr>
        <w:adjustRightInd w:val="0"/>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委托期限：</w:t>
      </w:r>
      <w:r>
        <w:rPr>
          <w:rFonts w:ascii="宋体" w:hAnsi="宋体" w:cs="宋体"/>
          <w:color w:val="auto"/>
          <w:highlight w:val="none"/>
        </w:rPr>
        <w:t>________</w:t>
      </w:r>
      <w:r>
        <w:rPr>
          <w:rFonts w:hint="eastAsia" w:ascii="宋体" w:hAnsi="宋体" w:cs="宋体"/>
          <w:color w:val="auto"/>
          <w:highlight w:val="none"/>
        </w:rPr>
        <w:t>。</w:t>
      </w:r>
    </w:p>
    <w:p w14:paraId="0F2BFF78">
      <w:pPr>
        <w:adjustRightInd w:val="0"/>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代理人无转委托权。</w:t>
      </w:r>
    </w:p>
    <w:p w14:paraId="51D578EB">
      <w:pPr>
        <w:adjustRightInd w:val="0"/>
        <w:snapToGrid w:val="0"/>
        <w:spacing w:line="360" w:lineRule="auto"/>
        <w:ind w:firstLine="420" w:firstLineChars="200"/>
        <w:rPr>
          <w:rFonts w:ascii="宋体" w:cs="Times New Roman"/>
          <w:color w:val="auto"/>
          <w:highlight w:val="none"/>
        </w:rPr>
      </w:pPr>
    </w:p>
    <w:p w14:paraId="53C50629">
      <w:pPr>
        <w:adjustRightInd w:val="0"/>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附：</w:t>
      </w:r>
      <w:r>
        <w:rPr>
          <w:rFonts w:hint="eastAsia" w:cs="宋体"/>
          <w:color w:val="auto"/>
          <w:highlight w:val="none"/>
        </w:rPr>
        <w:t>委托代理人身份证扫描件（正反面）</w:t>
      </w:r>
    </w:p>
    <w:p w14:paraId="527560AF">
      <w:pPr>
        <w:adjustRightInd w:val="0"/>
        <w:snapToGrid w:val="0"/>
        <w:spacing w:line="360" w:lineRule="auto"/>
        <w:ind w:firstLine="210" w:firstLineChars="10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p>
    <w:p w14:paraId="75EF779A">
      <w:pPr>
        <w:pStyle w:val="113"/>
        <w:rPr>
          <w:rFonts w:hint="eastAsia"/>
          <w:color w:val="auto"/>
          <w:highlight w:val="none"/>
          <w:lang w:eastAsia="zh-CN"/>
        </w:rPr>
      </w:pPr>
    </w:p>
    <w:p w14:paraId="30884F1E">
      <w:pPr>
        <w:adjustRightInd w:val="0"/>
        <w:snapToGrid w:val="0"/>
        <w:spacing w:line="360" w:lineRule="auto"/>
        <w:ind w:firstLine="420" w:firstLineChars="200"/>
        <w:rPr>
          <w:rFonts w:hint="eastAsia" w:ascii="宋体" w:hAnsi="宋体" w:eastAsia="宋体" w:cs="宋体"/>
          <w:color w:val="auto"/>
          <w:highlight w:val="none"/>
        </w:rPr>
      </w:pPr>
    </w:p>
    <w:p w14:paraId="5BC7B986">
      <w:pPr>
        <w:pStyle w:val="21"/>
        <w:ind w:firstLine="3360" w:firstLineChars="16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投标人（牵头人单位）：_______________（电子签章）</w:t>
      </w:r>
    </w:p>
    <w:p w14:paraId="14814CC7">
      <w:pPr>
        <w:rPr>
          <w:rFonts w:hint="eastAsia"/>
          <w:color w:val="auto"/>
          <w:highlight w:val="none"/>
          <w:lang w:val="en-US" w:eastAsia="zh-CN"/>
        </w:rPr>
      </w:pPr>
    </w:p>
    <w:p w14:paraId="646FFDB4">
      <w:pPr>
        <w:rPr>
          <w:rFonts w:hint="eastAsia"/>
          <w:color w:val="auto"/>
          <w:highlight w:val="none"/>
          <w:lang w:val="en-US" w:eastAsia="zh-CN"/>
        </w:rPr>
      </w:pPr>
    </w:p>
    <w:p w14:paraId="6D69D047">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法定代表人：</w:t>
      </w:r>
      <w:r>
        <w:rPr>
          <w:rFonts w:ascii="宋体" w:hAnsi="宋体" w:cs="宋体"/>
          <w:color w:val="auto"/>
          <w:highlight w:val="none"/>
        </w:rPr>
        <w:t>________________________</w:t>
      </w:r>
      <w:r>
        <w:rPr>
          <w:rFonts w:hint="eastAsia" w:ascii="宋体" w:hAnsi="宋体" w:cs="宋体"/>
          <w:color w:val="auto"/>
          <w:highlight w:val="none"/>
        </w:rPr>
        <w:t>（电子签章）</w:t>
      </w:r>
    </w:p>
    <w:p w14:paraId="7D547D96">
      <w:pPr>
        <w:adjustRightInd w:val="0"/>
        <w:snapToGrid w:val="0"/>
        <w:spacing w:line="360" w:lineRule="auto"/>
        <w:ind w:firstLine="420" w:firstLineChars="200"/>
        <w:jc w:val="right"/>
        <w:rPr>
          <w:rFonts w:ascii="宋体" w:cs="Times New Roman"/>
          <w:color w:val="auto"/>
          <w:highlight w:val="none"/>
        </w:rPr>
      </w:pPr>
    </w:p>
    <w:p w14:paraId="66BB3672">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身份证号码：</w:t>
      </w:r>
      <w:r>
        <w:rPr>
          <w:rFonts w:ascii="宋体" w:hAnsi="宋体" w:cs="宋体"/>
          <w:color w:val="auto"/>
          <w:highlight w:val="none"/>
        </w:rPr>
        <w:t>____________________________________</w:t>
      </w:r>
    </w:p>
    <w:p w14:paraId="4EDD241E">
      <w:pPr>
        <w:adjustRightInd w:val="0"/>
        <w:snapToGrid w:val="0"/>
        <w:spacing w:line="360" w:lineRule="auto"/>
        <w:ind w:firstLine="420" w:firstLineChars="200"/>
        <w:jc w:val="right"/>
        <w:rPr>
          <w:rFonts w:ascii="宋体" w:cs="Times New Roman"/>
          <w:color w:val="auto"/>
          <w:highlight w:val="none"/>
        </w:rPr>
      </w:pPr>
    </w:p>
    <w:p w14:paraId="447F4C8C">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委托代理人：</w:t>
      </w:r>
      <w:r>
        <w:rPr>
          <w:rFonts w:ascii="宋体" w:hAnsi="宋体" w:cs="宋体"/>
          <w:color w:val="auto"/>
          <w:highlight w:val="none"/>
        </w:rPr>
        <w:t>____________________________________</w:t>
      </w:r>
    </w:p>
    <w:p w14:paraId="5F291FC0">
      <w:pPr>
        <w:adjustRightInd w:val="0"/>
        <w:snapToGrid w:val="0"/>
        <w:spacing w:line="360" w:lineRule="auto"/>
        <w:ind w:firstLine="420" w:firstLineChars="200"/>
        <w:jc w:val="right"/>
        <w:rPr>
          <w:rFonts w:ascii="宋体" w:cs="Times New Roman"/>
          <w:color w:val="auto"/>
          <w:highlight w:val="none"/>
        </w:rPr>
      </w:pPr>
    </w:p>
    <w:p w14:paraId="52A0926A">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身份证号码：</w:t>
      </w:r>
      <w:r>
        <w:rPr>
          <w:rFonts w:ascii="宋体" w:hAnsi="宋体" w:cs="宋体"/>
          <w:color w:val="auto"/>
          <w:highlight w:val="none"/>
        </w:rPr>
        <w:t>____________________________________</w:t>
      </w:r>
    </w:p>
    <w:p w14:paraId="50FCB9FB">
      <w:pPr>
        <w:pStyle w:val="5"/>
        <w:ind w:firstLine="147"/>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_________年_______月_______日</w:t>
      </w:r>
    </w:p>
    <w:p w14:paraId="6713AFD4">
      <w:pPr>
        <w:pStyle w:val="5"/>
        <w:ind w:firstLine="147"/>
        <w:jc w:val="center"/>
        <w:rPr>
          <w:rFonts w:hint="eastAsia"/>
          <w:color w:val="auto"/>
          <w:sz w:val="30"/>
          <w:szCs w:val="30"/>
          <w:highlight w:val="none"/>
        </w:rPr>
      </w:pPr>
      <w:r>
        <w:rPr>
          <w:rFonts w:hint="eastAsia" w:ascii="宋体" w:hAnsi="宋体" w:eastAsia="宋体" w:cs="宋体"/>
          <w:b/>
          <w:bCs/>
          <w:color w:val="auto"/>
          <w:sz w:val="21"/>
          <w:szCs w:val="21"/>
          <w:highlight w:val="none"/>
        </w:rPr>
        <w:t>注：以联合体形式参加投标的，由联合体牵头单位授权委托人提供。</w:t>
      </w:r>
    </w:p>
    <w:p w14:paraId="48D06DD4">
      <w:pPr>
        <w:pStyle w:val="5"/>
        <w:ind w:firstLine="147"/>
        <w:jc w:val="center"/>
        <w:rPr>
          <w:rFonts w:hint="eastAsia"/>
          <w:color w:val="auto"/>
          <w:sz w:val="30"/>
          <w:szCs w:val="30"/>
          <w:highlight w:val="none"/>
        </w:rPr>
      </w:pPr>
    </w:p>
    <w:p w14:paraId="3D4C75D3">
      <w:pPr>
        <w:pStyle w:val="5"/>
        <w:ind w:firstLine="147"/>
        <w:jc w:val="center"/>
        <w:rPr>
          <w:rFonts w:hint="eastAsia"/>
          <w:color w:val="auto"/>
          <w:sz w:val="30"/>
          <w:szCs w:val="30"/>
          <w:highlight w:val="none"/>
        </w:rPr>
      </w:pPr>
    </w:p>
    <w:p w14:paraId="25F49CBA">
      <w:pPr>
        <w:rPr>
          <w:rFonts w:hint="eastAsia"/>
          <w:color w:val="auto"/>
          <w:sz w:val="30"/>
          <w:szCs w:val="30"/>
          <w:highlight w:val="none"/>
        </w:rPr>
      </w:pPr>
    </w:p>
    <w:p w14:paraId="52B53059">
      <w:pPr>
        <w:pStyle w:val="21"/>
        <w:rPr>
          <w:rFonts w:hint="eastAsia"/>
          <w:color w:val="auto"/>
          <w:sz w:val="30"/>
          <w:szCs w:val="30"/>
          <w:highlight w:val="none"/>
        </w:rPr>
      </w:pPr>
    </w:p>
    <w:p w14:paraId="316C4CF5">
      <w:pPr>
        <w:pStyle w:val="21"/>
        <w:ind w:left="0" w:leftChars="0" w:firstLine="0" w:firstLineChars="0"/>
        <w:rPr>
          <w:color w:val="auto"/>
          <w:highlight w:val="none"/>
        </w:rPr>
      </w:pPr>
    </w:p>
    <w:p w14:paraId="5AE5174B">
      <w:pPr>
        <w:adjustRightInd w:val="0"/>
        <w:snapToGrid w:val="0"/>
        <w:spacing w:line="360" w:lineRule="auto"/>
        <w:jc w:val="center"/>
        <w:rPr>
          <w:rFonts w:ascii="宋体" w:cs="Times New Roman"/>
          <w:b/>
          <w:bCs/>
          <w:color w:val="auto"/>
          <w:sz w:val="28"/>
          <w:szCs w:val="28"/>
          <w:highlight w:val="none"/>
        </w:rPr>
      </w:pPr>
      <w:r>
        <w:rPr>
          <w:rFonts w:hint="eastAsia" w:ascii="宋体" w:hAnsi="宋体" w:cs="宋体"/>
          <w:b/>
          <w:bCs/>
          <w:color w:val="auto"/>
          <w:sz w:val="28"/>
          <w:szCs w:val="28"/>
          <w:highlight w:val="none"/>
          <w:lang w:val="en-US" w:eastAsia="zh-CN"/>
        </w:rPr>
        <w:t>四</w:t>
      </w: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rPr>
        <w:t>联合体协议书</w:t>
      </w:r>
    </w:p>
    <w:p w14:paraId="16E5CA32">
      <w:pPr>
        <w:adjustRightInd w:val="0"/>
        <w:snapToGrid w:val="0"/>
        <w:spacing w:line="360" w:lineRule="auto"/>
        <w:ind w:firstLine="420" w:firstLineChars="200"/>
        <w:rPr>
          <w:rFonts w:ascii="宋体" w:cs="Times New Roman"/>
          <w:color w:val="auto"/>
          <w:highlight w:val="none"/>
        </w:rPr>
      </w:pPr>
    </w:p>
    <w:p w14:paraId="2517BD02">
      <w:pPr>
        <w:adjustRightInd w:val="0"/>
        <w:snapToGrid w:val="0"/>
        <w:spacing w:line="360" w:lineRule="auto"/>
        <w:ind w:firstLine="630" w:firstLineChars="300"/>
        <w:rPr>
          <w:rFonts w:ascii="宋体" w:cs="Times New Roman"/>
          <w:color w:val="auto"/>
          <w:highlight w:val="none"/>
        </w:rPr>
      </w:pPr>
      <w:r>
        <w:rPr>
          <w:rFonts w:ascii="宋体" w:hAnsi="宋体" w:cs="宋体"/>
          <w:color w:val="auto"/>
          <w:highlight w:val="none"/>
        </w:rPr>
        <w:t>______________________________</w:t>
      </w:r>
      <w:r>
        <w:rPr>
          <w:rFonts w:hint="eastAsia" w:ascii="宋体" w:hAnsi="宋体" w:cs="宋体"/>
          <w:color w:val="auto"/>
          <w:highlight w:val="none"/>
        </w:rPr>
        <w:t>（所有成员单位名称）自愿组成</w:t>
      </w:r>
      <w:r>
        <w:rPr>
          <w:rFonts w:ascii="宋体" w:hAnsi="宋体" w:cs="宋体"/>
          <w:color w:val="auto"/>
          <w:highlight w:val="none"/>
        </w:rPr>
        <w:t>________________</w:t>
      </w:r>
      <w:r>
        <w:rPr>
          <w:rFonts w:hint="eastAsia" w:ascii="宋体" w:hAnsi="宋体" w:cs="宋体"/>
          <w:color w:val="auto"/>
          <w:highlight w:val="none"/>
        </w:rPr>
        <w:t>（联合体名称）联合体，共同参加</w:t>
      </w:r>
      <w:r>
        <w:rPr>
          <w:rFonts w:ascii="宋体" w:hAnsi="宋体" w:cs="宋体"/>
          <w:color w:val="auto"/>
          <w:highlight w:val="none"/>
        </w:rPr>
        <w:t>______________________</w:t>
      </w:r>
      <w:r>
        <w:rPr>
          <w:rFonts w:hint="eastAsia" w:ascii="宋体" w:hAnsi="宋体" w:cs="宋体"/>
          <w:color w:val="auto"/>
          <w:highlight w:val="none"/>
        </w:rPr>
        <w:t>（项目名称）投标。现就联合体投标事宜订立如下协议。</w:t>
      </w:r>
    </w:p>
    <w:p w14:paraId="5A5497D9">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1</w:t>
      </w:r>
      <w:r>
        <w:rPr>
          <w:rFonts w:hint="eastAsia" w:ascii="宋体" w:hAnsi="宋体" w:cs="宋体"/>
          <w:color w:val="auto"/>
          <w:highlight w:val="none"/>
          <w:lang w:val="en-US" w:eastAsia="zh-CN"/>
        </w:rPr>
        <w:t>.</w:t>
      </w:r>
      <w:r>
        <w:rPr>
          <w:rFonts w:ascii="宋体" w:hAnsi="宋体" w:cs="宋体"/>
          <w:color w:val="auto"/>
          <w:highlight w:val="none"/>
        </w:rPr>
        <w:t>_____________________</w:t>
      </w:r>
      <w:r>
        <w:rPr>
          <w:rFonts w:hint="eastAsia" w:ascii="宋体" w:hAnsi="宋体" w:cs="宋体"/>
          <w:color w:val="auto"/>
          <w:highlight w:val="none"/>
        </w:rPr>
        <w:t>（某成员单位名称）为联合体名称牵头人。</w:t>
      </w:r>
    </w:p>
    <w:p w14:paraId="6EAE7707">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2</w:t>
      </w:r>
      <w:r>
        <w:rPr>
          <w:rFonts w:hint="eastAsia" w:ascii="宋体" w:hAnsi="宋体" w:cs="宋体"/>
          <w:color w:val="auto"/>
          <w:highlight w:val="none"/>
          <w:lang w:val="en-US" w:eastAsia="zh-CN"/>
        </w:rPr>
        <w:t>.</w:t>
      </w:r>
      <w:r>
        <w:rPr>
          <w:rFonts w:hint="eastAsia" w:ascii="宋体" w:hAnsi="宋体" w:cs="宋体"/>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31EF28E">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3</w:t>
      </w:r>
      <w:r>
        <w:rPr>
          <w:rFonts w:hint="eastAsia" w:ascii="宋体" w:hAnsi="宋体" w:cs="宋体"/>
          <w:color w:val="auto"/>
          <w:highlight w:val="none"/>
          <w:lang w:val="en-US" w:eastAsia="zh-CN"/>
        </w:rPr>
        <w:t>.</w:t>
      </w:r>
      <w:r>
        <w:rPr>
          <w:rFonts w:hint="eastAsia" w:ascii="宋体" w:hAnsi="宋体" w:cs="宋体"/>
          <w:color w:val="auto"/>
          <w:highlight w:val="none"/>
        </w:rPr>
        <w:t>联合体将严格按照招标文件的各项要求，递交投标文件，履行合同，并对外承担连带责任。</w:t>
      </w:r>
    </w:p>
    <w:p w14:paraId="3E3C3A07">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4</w:t>
      </w:r>
      <w:r>
        <w:rPr>
          <w:rFonts w:hint="eastAsia" w:ascii="宋体" w:hAnsi="宋体" w:cs="宋体"/>
          <w:color w:val="auto"/>
          <w:highlight w:val="none"/>
          <w:lang w:val="en-US" w:eastAsia="zh-CN"/>
        </w:rPr>
        <w:t>.</w:t>
      </w:r>
      <w:r>
        <w:rPr>
          <w:rFonts w:hint="eastAsia" w:ascii="宋体" w:hAnsi="宋体" w:cs="宋体"/>
          <w:color w:val="auto"/>
          <w:highlight w:val="none"/>
        </w:rPr>
        <w:t>联合体各成员单位内部的职责分工如下：</w:t>
      </w:r>
    </w:p>
    <w:p w14:paraId="22BF6E0F">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___________________________________________________________________________________________________________________________________</w:t>
      </w:r>
    </w:p>
    <w:p w14:paraId="3FCB9ADB">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5</w:t>
      </w:r>
      <w:r>
        <w:rPr>
          <w:rFonts w:hint="eastAsia" w:ascii="宋体" w:hAnsi="宋体" w:cs="宋体"/>
          <w:color w:val="auto"/>
          <w:highlight w:val="none"/>
          <w:lang w:val="en-US" w:eastAsia="zh-CN"/>
        </w:rPr>
        <w:t>.</w:t>
      </w:r>
      <w:r>
        <w:rPr>
          <w:rFonts w:hint="eastAsia" w:ascii="宋体" w:hAnsi="宋体" w:cs="宋体"/>
          <w:color w:val="auto"/>
          <w:highlight w:val="none"/>
        </w:rPr>
        <w:t>本协议书自签署之日起生效，合同履行完毕后自动失效。</w:t>
      </w:r>
      <w:r>
        <w:rPr>
          <w:rFonts w:ascii="宋体" w:hAnsi="宋体" w:cs="宋体"/>
          <w:color w:val="auto"/>
          <w:highlight w:val="none"/>
        </w:rPr>
        <w:t xml:space="preserve"> </w:t>
      </w:r>
    </w:p>
    <w:p w14:paraId="768543C5">
      <w:pPr>
        <w:adjustRightInd w:val="0"/>
        <w:snapToGrid w:val="0"/>
        <w:spacing w:line="360" w:lineRule="auto"/>
        <w:ind w:firstLine="420" w:firstLineChars="200"/>
        <w:rPr>
          <w:rFonts w:ascii="宋体" w:cs="Times New Roman"/>
          <w:color w:val="auto"/>
          <w:highlight w:val="none"/>
        </w:rPr>
      </w:pPr>
      <w:r>
        <w:rPr>
          <w:rFonts w:ascii="宋体" w:hAnsi="宋体" w:cs="宋体"/>
          <w:color w:val="auto"/>
          <w:highlight w:val="none"/>
        </w:rPr>
        <w:t>6</w:t>
      </w:r>
      <w:r>
        <w:rPr>
          <w:rFonts w:hint="eastAsia" w:ascii="宋体" w:hAnsi="宋体" w:cs="宋体"/>
          <w:color w:val="auto"/>
          <w:highlight w:val="none"/>
          <w:lang w:val="en-US" w:eastAsia="zh-CN"/>
        </w:rPr>
        <w:t>.</w:t>
      </w:r>
      <w:r>
        <w:rPr>
          <w:rFonts w:hint="eastAsia" w:ascii="宋体" w:hAnsi="宋体" w:cs="宋体"/>
          <w:color w:val="auto"/>
          <w:highlight w:val="none"/>
        </w:rPr>
        <w:t>本协议书一式</w:t>
      </w:r>
      <w:r>
        <w:rPr>
          <w:rFonts w:ascii="宋体" w:hAnsi="宋体" w:cs="宋体"/>
          <w:color w:val="auto"/>
          <w:highlight w:val="none"/>
        </w:rPr>
        <w:t>_____</w:t>
      </w:r>
      <w:r>
        <w:rPr>
          <w:rFonts w:hint="eastAsia" w:ascii="宋体" w:hAnsi="宋体" w:cs="宋体"/>
          <w:color w:val="auto"/>
          <w:highlight w:val="none"/>
        </w:rPr>
        <w:t>份，联合体成员和招标人各执一份。</w:t>
      </w:r>
    </w:p>
    <w:p w14:paraId="5059B1BD">
      <w:pPr>
        <w:adjustRightInd w:val="0"/>
        <w:snapToGrid w:val="0"/>
        <w:spacing w:line="360" w:lineRule="auto"/>
        <w:ind w:firstLine="420" w:firstLineChars="200"/>
        <w:rPr>
          <w:rFonts w:ascii="宋体" w:cs="Times New Roman"/>
          <w:color w:val="auto"/>
          <w:highlight w:val="none"/>
        </w:rPr>
      </w:pPr>
    </w:p>
    <w:p w14:paraId="093EEBB7">
      <w:pPr>
        <w:adjustRightInd w:val="0"/>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注：本协议书由委托代理人签字的，应附法定代表人签字的授权委托书。</w:t>
      </w:r>
    </w:p>
    <w:p w14:paraId="6B6D8B90">
      <w:pPr>
        <w:adjustRightInd w:val="0"/>
        <w:snapToGrid w:val="0"/>
        <w:spacing w:line="360" w:lineRule="auto"/>
        <w:ind w:firstLine="420" w:firstLineChars="200"/>
        <w:rPr>
          <w:rFonts w:ascii="宋体" w:cs="Times New Roman"/>
          <w:color w:val="auto"/>
          <w:highlight w:val="none"/>
        </w:rPr>
      </w:pPr>
    </w:p>
    <w:p w14:paraId="6B16C603">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牵头人名称：</w:t>
      </w:r>
      <w:r>
        <w:rPr>
          <w:rFonts w:ascii="宋体" w:hAnsi="宋体" w:cs="宋体"/>
          <w:color w:val="auto"/>
          <w:highlight w:val="none"/>
        </w:rPr>
        <w:t>_________________________________</w:t>
      </w:r>
      <w:r>
        <w:rPr>
          <w:rFonts w:hint="eastAsia" w:ascii="宋体" w:hAnsi="宋体" w:cs="宋体"/>
          <w:color w:val="auto"/>
          <w:highlight w:val="none"/>
        </w:rPr>
        <w:t>（单位盖章）</w:t>
      </w:r>
    </w:p>
    <w:p w14:paraId="71950DD5">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rPr>
        <w:t>法定代表人或其委托代理人：</w:t>
      </w:r>
      <w:r>
        <w:rPr>
          <w:rFonts w:ascii="宋体" w:hAnsi="宋体" w:cs="宋体"/>
          <w:color w:val="auto"/>
          <w:highlight w:val="none"/>
        </w:rPr>
        <w:t>_______________________</w:t>
      </w:r>
      <w:r>
        <w:rPr>
          <w:rFonts w:hint="eastAsia" w:ascii="宋体" w:hAnsi="宋体" w:cs="宋体"/>
          <w:color w:val="auto"/>
          <w:highlight w:val="none"/>
        </w:rPr>
        <w:t>（签字）</w:t>
      </w:r>
    </w:p>
    <w:p w14:paraId="0D8605C3">
      <w:pPr>
        <w:adjustRightInd w:val="0"/>
        <w:snapToGrid w:val="0"/>
        <w:spacing w:line="360" w:lineRule="auto"/>
        <w:ind w:firstLine="420" w:firstLineChars="200"/>
        <w:jc w:val="right"/>
        <w:rPr>
          <w:rFonts w:ascii="宋体" w:cs="Times New Roman"/>
          <w:color w:val="auto"/>
          <w:highlight w:val="none"/>
        </w:rPr>
      </w:pPr>
    </w:p>
    <w:p w14:paraId="52AEA84B">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lang w:eastAsia="zh-CN"/>
        </w:rPr>
        <w:t>联合体</w:t>
      </w:r>
      <w:r>
        <w:rPr>
          <w:rFonts w:hint="eastAsia" w:ascii="宋体" w:hAnsi="宋体" w:cs="宋体"/>
          <w:color w:val="auto"/>
          <w:highlight w:val="none"/>
        </w:rPr>
        <w:t>成员名称：</w:t>
      </w:r>
      <w:r>
        <w:rPr>
          <w:rFonts w:ascii="宋体" w:hAnsi="宋体" w:cs="宋体"/>
          <w:color w:val="auto"/>
          <w:highlight w:val="none"/>
        </w:rPr>
        <w:t>_________________________________</w:t>
      </w:r>
      <w:r>
        <w:rPr>
          <w:rFonts w:hint="eastAsia" w:ascii="宋体" w:hAnsi="宋体" w:cs="宋体"/>
          <w:color w:val="auto"/>
          <w:highlight w:val="none"/>
        </w:rPr>
        <w:t>（单位盖章）</w:t>
      </w:r>
    </w:p>
    <w:p w14:paraId="49B376B6">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法定代表人或其委托代理人：</w:t>
      </w:r>
      <w:r>
        <w:rPr>
          <w:rFonts w:ascii="宋体" w:hAnsi="宋体" w:cs="宋体"/>
          <w:color w:val="auto"/>
          <w:highlight w:val="none"/>
        </w:rPr>
        <w:t>_______________________</w:t>
      </w:r>
      <w:r>
        <w:rPr>
          <w:rFonts w:hint="eastAsia" w:ascii="宋体" w:hAnsi="宋体" w:cs="宋体"/>
          <w:color w:val="auto"/>
          <w:highlight w:val="none"/>
        </w:rPr>
        <w:t>（签字）</w:t>
      </w:r>
    </w:p>
    <w:p w14:paraId="0611C631">
      <w:pPr>
        <w:adjustRightInd w:val="0"/>
        <w:snapToGrid w:val="0"/>
        <w:spacing w:line="360" w:lineRule="auto"/>
        <w:jc w:val="both"/>
        <w:rPr>
          <w:rFonts w:ascii="宋体" w:cs="Times New Roman"/>
          <w:color w:val="auto"/>
          <w:highlight w:val="none"/>
        </w:rPr>
      </w:pPr>
    </w:p>
    <w:p w14:paraId="7B9550F8">
      <w:pPr>
        <w:adjustRightInd w:val="0"/>
        <w:snapToGrid w:val="0"/>
        <w:spacing w:line="360" w:lineRule="auto"/>
        <w:ind w:firstLine="420" w:firstLineChars="200"/>
        <w:jc w:val="right"/>
        <w:rPr>
          <w:rFonts w:ascii="宋体" w:cs="Times New Roman"/>
          <w:color w:val="auto"/>
          <w:highlight w:val="none"/>
        </w:rPr>
      </w:pPr>
      <w:r>
        <w:rPr>
          <w:rFonts w:hint="eastAsia" w:ascii="宋体" w:hAnsi="宋体" w:cs="宋体"/>
          <w:color w:val="auto"/>
          <w:highlight w:val="none"/>
          <w:lang w:eastAsia="zh-CN"/>
        </w:rPr>
        <w:t>联合体</w:t>
      </w:r>
      <w:r>
        <w:rPr>
          <w:rFonts w:hint="eastAsia" w:ascii="宋体" w:hAnsi="宋体" w:cs="宋体"/>
          <w:color w:val="auto"/>
          <w:highlight w:val="none"/>
        </w:rPr>
        <w:t>成员名称：</w:t>
      </w:r>
      <w:r>
        <w:rPr>
          <w:rFonts w:ascii="宋体" w:hAnsi="宋体" w:cs="宋体"/>
          <w:color w:val="auto"/>
          <w:highlight w:val="none"/>
        </w:rPr>
        <w:t>_________________________________</w:t>
      </w:r>
      <w:r>
        <w:rPr>
          <w:rFonts w:hint="eastAsia" w:ascii="宋体" w:hAnsi="宋体" w:cs="宋体"/>
          <w:color w:val="auto"/>
          <w:highlight w:val="none"/>
        </w:rPr>
        <w:t>（单位盖章）</w:t>
      </w:r>
    </w:p>
    <w:p w14:paraId="2E872AF7">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法定代表人或其委托代理人：</w:t>
      </w:r>
      <w:r>
        <w:rPr>
          <w:rFonts w:ascii="宋体" w:hAnsi="宋体" w:cs="宋体"/>
          <w:color w:val="auto"/>
          <w:highlight w:val="none"/>
        </w:rPr>
        <w:t>_______________________</w:t>
      </w:r>
      <w:r>
        <w:rPr>
          <w:rFonts w:hint="eastAsia" w:ascii="宋体" w:hAnsi="宋体" w:cs="宋体"/>
          <w:color w:val="auto"/>
          <w:highlight w:val="none"/>
        </w:rPr>
        <w:t>（签字）</w:t>
      </w:r>
    </w:p>
    <w:p w14:paraId="02B804CD">
      <w:pPr>
        <w:adjustRightInd w:val="0"/>
        <w:snapToGrid w:val="0"/>
        <w:spacing w:line="360" w:lineRule="auto"/>
        <w:jc w:val="both"/>
        <w:rPr>
          <w:rFonts w:ascii="宋体" w:cs="Times New Roman"/>
          <w:color w:val="auto"/>
          <w:highlight w:val="none"/>
        </w:rPr>
      </w:pPr>
    </w:p>
    <w:p w14:paraId="20E5D41D">
      <w:pPr>
        <w:adjustRightInd w:val="0"/>
        <w:snapToGrid w:val="0"/>
        <w:spacing w:line="360" w:lineRule="auto"/>
        <w:ind w:firstLine="5880" w:firstLineChars="2800"/>
        <w:rPr>
          <w:rFonts w:hint="eastAsia" w:ascii="宋体" w:eastAsia="宋体" w:cs="Times New Roman"/>
          <w:color w:val="auto"/>
          <w:highlight w:val="none"/>
          <w:lang w:eastAsia="zh-CN"/>
        </w:rPr>
      </w:pPr>
      <w:r>
        <w:rPr>
          <w:rFonts w:ascii="宋体" w:hAnsi="宋体" w:cs="宋体"/>
          <w:color w:val="auto"/>
          <w:highlight w:val="none"/>
        </w:rPr>
        <w:t>_____</w:t>
      </w:r>
      <w:r>
        <w:rPr>
          <w:rFonts w:hint="eastAsia" w:ascii="宋体" w:hAnsi="宋体" w:cs="宋体"/>
          <w:color w:val="auto"/>
          <w:highlight w:val="none"/>
        </w:rPr>
        <w:t>年</w:t>
      </w:r>
      <w:r>
        <w:rPr>
          <w:rFonts w:ascii="宋体" w:hAnsi="宋体" w:cs="宋体"/>
          <w:color w:val="auto"/>
          <w:highlight w:val="none"/>
        </w:rPr>
        <w:t>___</w:t>
      </w:r>
      <w:r>
        <w:rPr>
          <w:rFonts w:hint="eastAsia" w:ascii="宋体" w:hAnsi="宋体" w:cs="宋体"/>
          <w:color w:val="auto"/>
          <w:highlight w:val="none"/>
        </w:rPr>
        <w:t>月</w:t>
      </w:r>
      <w:r>
        <w:rPr>
          <w:rFonts w:ascii="宋体" w:hAnsi="宋体" w:cs="宋体"/>
          <w:color w:val="auto"/>
          <w:highlight w:val="none"/>
        </w:rPr>
        <w:t>____</w:t>
      </w:r>
      <w:r>
        <w:rPr>
          <w:rFonts w:hint="eastAsia" w:ascii="宋体" w:hAnsi="宋体" w:cs="宋体"/>
          <w:color w:val="auto"/>
          <w:highlight w:val="none"/>
          <w:lang w:eastAsia="zh-CN"/>
        </w:rPr>
        <w:t>日</w:t>
      </w:r>
    </w:p>
    <w:p w14:paraId="3E56A4B8">
      <w:pPr>
        <w:adjustRightInd w:val="0"/>
        <w:snapToGrid w:val="0"/>
        <w:spacing w:line="360" w:lineRule="auto"/>
        <w:rPr>
          <w:rFonts w:hint="eastAsia" w:ascii="宋体" w:hAnsi="宋体" w:cs="宋体"/>
          <w:b/>
          <w:bCs/>
          <w:color w:val="auto"/>
          <w:highlight w:val="none"/>
        </w:rPr>
      </w:pPr>
      <w:r>
        <w:rPr>
          <w:rFonts w:hint="eastAsia" w:ascii="宋体" w:hAnsi="宋体" w:cs="宋体"/>
          <w:b/>
          <w:bCs/>
          <w:color w:val="auto"/>
          <w:highlight w:val="none"/>
        </w:rPr>
        <w:t>注：如为联合体投标的需附此协议书原件扫描件，由</w:t>
      </w:r>
      <w:r>
        <w:rPr>
          <w:rFonts w:hint="eastAsia" w:ascii="宋体" w:hAnsi="宋体" w:cs="宋体"/>
          <w:b/>
          <w:bCs/>
          <w:color w:val="auto"/>
          <w:highlight w:val="none"/>
          <w:lang w:eastAsia="zh-CN"/>
        </w:rPr>
        <w:t>联合体各方</w:t>
      </w:r>
      <w:r>
        <w:rPr>
          <w:rFonts w:hint="eastAsia" w:ascii="宋体" w:hAnsi="宋体" w:cs="宋体"/>
          <w:b/>
          <w:bCs/>
          <w:color w:val="auto"/>
          <w:highlight w:val="none"/>
        </w:rPr>
        <w:t>签字盖章后确认无误扫描上传</w:t>
      </w:r>
    </w:p>
    <w:p w14:paraId="2BF2E4DC">
      <w:pPr>
        <w:adjustRightInd w:val="0"/>
        <w:snapToGrid w:val="0"/>
        <w:spacing w:line="360" w:lineRule="auto"/>
        <w:rPr>
          <w:rFonts w:hint="eastAsia" w:ascii="宋体" w:hAnsi="宋体" w:cs="宋体"/>
          <w:b/>
          <w:bCs/>
          <w:color w:val="auto"/>
          <w:highlight w:val="none"/>
        </w:rPr>
      </w:pPr>
    </w:p>
    <w:p w14:paraId="58927676">
      <w:pPr>
        <w:adjustRightInd w:val="0"/>
        <w:snapToGrid w:val="0"/>
        <w:spacing w:line="360" w:lineRule="auto"/>
        <w:rPr>
          <w:rFonts w:hint="eastAsia" w:ascii="宋体" w:hAnsi="宋体" w:cs="宋体"/>
          <w:b/>
          <w:bCs/>
          <w:color w:val="auto"/>
          <w:highlight w:val="none"/>
        </w:rPr>
      </w:pPr>
    </w:p>
    <w:p w14:paraId="02D79F81">
      <w:pPr>
        <w:pStyle w:val="5"/>
        <w:ind w:firstLine="147"/>
        <w:jc w:val="center"/>
        <w:rPr>
          <w:rFonts w:cs="Times New Roman"/>
          <w:color w:val="auto"/>
          <w:sz w:val="30"/>
          <w:szCs w:val="30"/>
          <w:highlight w:val="none"/>
        </w:rPr>
      </w:pPr>
      <w:r>
        <w:rPr>
          <w:rFonts w:hint="eastAsia"/>
          <w:color w:val="auto"/>
          <w:sz w:val="30"/>
          <w:szCs w:val="30"/>
          <w:highlight w:val="none"/>
        </w:rPr>
        <w:t>第</w:t>
      </w:r>
      <w:r>
        <w:rPr>
          <w:rFonts w:hint="eastAsia"/>
          <w:color w:val="auto"/>
          <w:sz w:val="30"/>
          <w:szCs w:val="30"/>
          <w:highlight w:val="none"/>
          <w:lang w:eastAsia="zh-CN"/>
        </w:rPr>
        <w:t>二</w:t>
      </w:r>
      <w:r>
        <w:rPr>
          <w:rFonts w:hint="eastAsia"/>
          <w:color w:val="auto"/>
          <w:sz w:val="30"/>
          <w:szCs w:val="30"/>
          <w:highlight w:val="none"/>
        </w:rPr>
        <w:t>部分</w:t>
      </w:r>
      <w:r>
        <w:rPr>
          <w:color w:val="auto"/>
          <w:sz w:val="30"/>
          <w:szCs w:val="30"/>
          <w:highlight w:val="none"/>
        </w:rPr>
        <w:t xml:space="preserve">  </w:t>
      </w:r>
      <w:r>
        <w:rPr>
          <w:rFonts w:hint="eastAsia"/>
          <w:color w:val="auto"/>
          <w:sz w:val="30"/>
          <w:szCs w:val="30"/>
          <w:highlight w:val="none"/>
        </w:rPr>
        <w:t>资格审查部分</w:t>
      </w:r>
      <w:bookmarkEnd w:id="1765"/>
      <w:bookmarkEnd w:id="1766"/>
    </w:p>
    <w:p w14:paraId="55EF6AB6">
      <w:pPr>
        <w:jc w:val="center"/>
        <w:rPr>
          <w:rFonts w:ascii="黑体" w:hAnsi="黑体" w:eastAsia="黑体" w:cs="Times New Roman"/>
          <w:color w:val="auto"/>
          <w:sz w:val="32"/>
          <w:szCs w:val="32"/>
          <w:highlight w:val="none"/>
        </w:rPr>
      </w:pPr>
      <w:r>
        <w:rPr>
          <w:rFonts w:hint="eastAsia" w:ascii="黑体" w:hAnsi="黑体" w:eastAsia="黑体" w:cs="黑体"/>
          <w:color w:val="auto"/>
          <w:sz w:val="32"/>
          <w:szCs w:val="32"/>
          <w:highlight w:val="none"/>
        </w:rPr>
        <w:t>一、投标人基本情况及业绩</w:t>
      </w:r>
    </w:p>
    <w:p w14:paraId="15E745EE">
      <w:pPr>
        <w:pStyle w:val="453"/>
        <w:numPr>
          <w:ilvl w:val="0"/>
          <w:numId w:val="0"/>
        </w:numPr>
        <w:snapToGrid w:val="0"/>
        <w:spacing w:after="120" w:afterLines="50" w:line="360" w:lineRule="auto"/>
        <w:jc w:val="center"/>
        <w:rPr>
          <w:rFonts w:cs="Times New Roman"/>
          <w:b/>
          <w:bCs/>
          <w:color w:val="auto"/>
          <w:sz w:val="28"/>
          <w:szCs w:val="28"/>
          <w:highlight w:val="none"/>
        </w:rPr>
      </w:pPr>
      <w:r>
        <w:rPr>
          <w:rFonts w:hint="eastAsia" w:cs="宋体"/>
          <w:b/>
          <w:bCs/>
          <w:color w:val="auto"/>
          <w:sz w:val="28"/>
          <w:szCs w:val="28"/>
          <w:highlight w:val="none"/>
        </w:rPr>
        <w:t>（一）投标人基本情况表</w:t>
      </w:r>
    </w:p>
    <w:tbl>
      <w:tblPr>
        <w:tblStyle w:val="88"/>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183"/>
        <w:gridCol w:w="592"/>
        <w:gridCol w:w="592"/>
        <w:gridCol w:w="1184"/>
        <w:gridCol w:w="769"/>
        <w:gridCol w:w="414"/>
        <w:gridCol w:w="592"/>
        <w:gridCol w:w="592"/>
        <w:gridCol w:w="1184"/>
      </w:tblGrid>
      <w:tr w14:paraId="24128C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86" w:hRule="atLeast"/>
          <w:jc w:val="center"/>
        </w:trPr>
        <w:tc>
          <w:tcPr>
            <w:tcW w:w="2370" w:type="dxa"/>
            <w:tcBorders>
              <w:top w:val="single" w:color="auto" w:sz="12" w:space="0"/>
            </w:tcBorders>
            <w:vAlign w:val="center"/>
          </w:tcPr>
          <w:p w14:paraId="19E4EE2E">
            <w:pPr>
              <w:topLinePunct/>
              <w:adjustRightInd w:val="0"/>
              <w:snapToGrid w:val="0"/>
              <w:jc w:val="center"/>
              <w:rPr>
                <w:rFonts w:ascii="宋体" w:cs="Times New Roman"/>
                <w:color w:val="auto"/>
                <w:highlight w:val="none"/>
              </w:rPr>
            </w:pPr>
            <w:r>
              <w:rPr>
                <w:rFonts w:hint="eastAsia" w:ascii="宋体" w:hAnsi="宋体" w:cs="宋体"/>
                <w:color w:val="auto"/>
                <w:highlight w:val="none"/>
              </w:rPr>
              <w:t>投标人名称</w:t>
            </w:r>
          </w:p>
        </w:tc>
        <w:tc>
          <w:tcPr>
            <w:tcW w:w="7102" w:type="dxa"/>
            <w:gridSpan w:val="9"/>
            <w:tcBorders>
              <w:top w:val="single" w:color="auto" w:sz="12" w:space="0"/>
            </w:tcBorders>
            <w:vAlign w:val="center"/>
          </w:tcPr>
          <w:p w14:paraId="6C8C5C57">
            <w:pPr>
              <w:topLinePunct/>
              <w:adjustRightInd w:val="0"/>
              <w:snapToGrid w:val="0"/>
              <w:jc w:val="center"/>
              <w:rPr>
                <w:rFonts w:ascii="宋体" w:cs="Times New Roman"/>
                <w:color w:val="auto"/>
                <w:highlight w:val="none"/>
              </w:rPr>
            </w:pPr>
          </w:p>
        </w:tc>
      </w:tr>
      <w:tr w14:paraId="680785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711C98C5">
            <w:pPr>
              <w:topLinePunct/>
              <w:adjustRightInd w:val="0"/>
              <w:snapToGrid w:val="0"/>
              <w:jc w:val="center"/>
              <w:rPr>
                <w:rFonts w:ascii="宋体" w:cs="Times New Roman"/>
                <w:color w:val="auto"/>
                <w:highlight w:val="none"/>
              </w:rPr>
            </w:pPr>
            <w:r>
              <w:rPr>
                <w:rFonts w:hint="eastAsia" w:ascii="宋体" w:hAnsi="宋体" w:cs="宋体"/>
                <w:color w:val="auto"/>
                <w:highlight w:val="none"/>
              </w:rPr>
              <w:t>注册地址</w:t>
            </w:r>
          </w:p>
        </w:tc>
        <w:tc>
          <w:tcPr>
            <w:tcW w:w="3551" w:type="dxa"/>
            <w:gridSpan w:val="4"/>
            <w:vAlign w:val="center"/>
          </w:tcPr>
          <w:p w14:paraId="26094C8C">
            <w:pPr>
              <w:topLinePunct/>
              <w:adjustRightInd w:val="0"/>
              <w:snapToGrid w:val="0"/>
              <w:jc w:val="center"/>
              <w:rPr>
                <w:rFonts w:ascii="宋体" w:cs="Times New Roman"/>
                <w:color w:val="auto"/>
                <w:highlight w:val="none"/>
              </w:rPr>
            </w:pPr>
          </w:p>
        </w:tc>
        <w:tc>
          <w:tcPr>
            <w:tcW w:w="1775" w:type="dxa"/>
            <w:gridSpan w:val="3"/>
            <w:vAlign w:val="center"/>
          </w:tcPr>
          <w:p w14:paraId="2032AF37">
            <w:pPr>
              <w:topLinePunct/>
              <w:adjustRightInd w:val="0"/>
              <w:snapToGrid w:val="0"/>
              <w:jc w:val="center"/>
              <w:rPr>
                <w:rFonts w:ascii="宋体" w:cs="Times New Roman"/>
                <w:color w:val="auto"/>
                <w:highlight w:val="none"/>
              </w:rPr>
            </w:pPr>
            <w:r>
              <w:rPr>
                <w:rFonts w:hint="eastAsia" w:ascii="宋体" w:hAnsi="宋体" w:cs="宋体"/>
                <w:color w:val="auto"/>
                <w:highlight w:val="none"/>
              </w:rPr>
              <w:t>邮政编码</w:t>
            </w:r>
          </w:p>
        </w:tc>
        <w:tc>
          <w:tcPr>
            <w:tcW w:w="1776" w:type="dxa"/>
            <w:gridSpan w:val="2"/>
            <w:vAlign w:val="center"/>
          </w:tcPr>
          <w:p w14:paraId="32865C5A">
            <w:pPr>
              <w:topLinePunct/>
              <w:adjustRightInd w:val="0"/>
              <w:snapToGrid w:val="0"/>
              <w:jc w:val="center"/>
              <w:rPr>
                <w:rFonts w:ascii="宋体" w:cs="Times New Roman"/>
                <w:color w:val="auto"/>
                <w:highlight w:val="none"/>
              </w:rPr>
            </w:pPr>
          </w:p>
        </w:tc>
      </w:tr>
      <w:tr w14:paraId="235B76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Merge w:val="restart"/>
            <w:vAlign w:val="center"/>
          </w:tcPr>
          <w:p w14:paraId="1CC239EA">
            <w:pPr>
              <w:topLinePunct/>
              <w:adjustRightInd w:val="0"/>
              <w:snapToGrid w:val="0"/>
              <w:jc w:val="center"/>
              <w:rPr>
                <w:rFonts w:ascii="宋体" w:cs="Times New Roman"/>
                <w:color w:val="auto"/>
                <w:highlight w:val="none"/>
              </w:rPr>
            </w:pPr>
            <w:r>
              <w:rPr>
                <w:rFonts w:hint="eastAsia" w:ascii="宋体" w:hAnsi="宋体" w:cs="宋体"/>
                <w:color w:val="auto"/>
                <w:highlight w:val="none"/>
              </w:rPr>
              <w:t>联系方式</w:t>
            </w:r>
          </w:p>
        </w:tc>
        <w:tc>
          <w:tcPr>
            <w:tcW w:w="1775" w:type="dxa"/>
            <w:gridSpan w:val="2"/>
            <w:vAlign w:val="center"/>
          </w:tcPr>
          <w:p w14:paraId="531B845C">
            <w:pPr>
              <w:topLinePunct/>
              <w:adjustRightInd w:val="0"/>
              <w:snapToGrid w:val="0"/>
              <w:jc w:val="center"/>
              <w:rPr>
                <w:rFonts w:ascii="宋体" w:cs="Times New Roman"/>
                <w:color w:val="auto"/>
                <w:highlight w:val="none"/>
              </w:rPr>
            </w:pPr>
            <w:r>
              <w:rPr>
                <w:rFonts w:hint="eastAsia" w:ascii="宋体" w:hAnsi="宋体" w:cs="宋体"/>
                <w:color w:val="auto"/>
                <w:highlight w:val="none"/>
              </w:rPr>
              <w:t>联系人</w:t>
            </w:r>
          </w:p>
        </w:tc>
        <w:tc>
          <w:tcPr>
            <w:tcW w:w="1776" w:type="dxa"/>
            <w:gridSpan w:val="2"/>
            <w:vAlign w:val="center"/>
          </w:tcPr>
          <w:p w14:paraId="69E4021F">
            <w:pPr>
              <w:topLinePunct/>
              <w:adjustRightInd w:val="0"/>
              <w:snapToGrid w:val="0"/>
              <w:jc w:val="center"/>
              <w:rPr>
                <w:rFonts w:ascii="宋体" w:cs="Times New Roman"/>
                <w:color w:val="auto"/>
                <w:highlight w:val="none"/>
              </w:rPr>
            </w:pPr>
          </w:p>
        </w:tc>
        <w:tc>
          <w:tcPr>
            <w:tcW w:w="1775" w:type="dxa"/>
            <w:gridSpan w:val="3"/>
            <w:vAlign w:val="center"/>
          </w:tcPr>
          <w:p w14:paraId="21D9ECDD">
            <w:pPr>
              <w:topLinePunct/>
              <w:adjustRightInd w:val="0"/>
              <w:snapToGrid w:val="0"/>
              <w:jc w:val="center"/>
              <w:rPr>
                <w:rFonts w:ascii="宋体" w:cs="Times New Roman"/>
                <w:color w:val="auto"/>
                <w:highlight w:val="none"/>
              </w:rPr>
            </w:pPr>
            <w:r>
              <w:rPr>
                <w:rFonts w:hint="eastAsia" w:ascii="宋体" w:hAnsi="宋体" w:cs="宋体"/>
                <w:color w:val="auto"/>
                <w:highlight w:val="none"/>
              </w:rPr>
              <w:t>电</w:t>
            </w:r>
            <w:r>
              <w:rPr>
                <w:rFonts w:ascii="宋体" w:hAnsi="宋体" w:cs="宋体"/>
                <w:color w:val="auto"/>
                <w:highlight w:val="none"/>
              </w:rPr>
              <w:t xml:space="preserve"> </w:t>
            </w:r>
            <w:r>
              <w:rPr>
                <w:rFonts w:hint="eastAsia" w:ascii="宋体" w:hAnsi="宋体" w:cs="宋体"/>
                <w:color w:val="auto"/>
                <w:highlight w:val="none"/>
              </w:rPr>
              <w:t>话</w:t>
            </w:r>
          </w:p>
        </w:tc>
        <w:tc>
          <w:tcPr>
            <w:tcW w:w="1776" w:type="dxa"/>
            <w:gridSpan w:val="2"/>
            <w:vAlign w:val="center"/>
          </w:tcPr>
          <w:p w14:paraId="1366B4E3">
            <w:pPr>
              <w:topLinePunct/>
              <w:adjustRightInd w:val="0"/>
              <w:snapToGrid w:val="0"/>
              <w:jc w:val="center"/>
              <w:rPr>
                <w:rFonts w:ascii="宋体" w:cs="Times New Roman"/>
                <w:color w:val="auto"/>
                <w:highlight w:val="none"/>
              </w:rPr>
            </w:pPr>
          </w:p>
        </w:tc>
      </w:tr>
      <w:tr w14:paraId="7EE986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Merge w:val="continue"/>
            <w:vAlign w:val="center"/>
          </w:tcPr>
          <w:p w14:paraId="1ABEA56A">
            <w:pPr>
              <w:topLinePunct/>
              <w:adjustRightInd w:val="0"/>
              <w:snapToGrid w:val="0"/>
              <w:jc w:val="center"/>
              <w:rPr>
                <w:rFonts w:ascii="宋体" w:cs="Times New Roman"/>
                <w:color w:val="auto"/>
                <w:highlight w:val="none"/>
              </w:rPr>
            </w:pPr>
          </w:p>
        </w:tc>
        <w:tc>
          <w:tcPr>
            <w:tcW w:w="1775" w:type="dxa"/>
            <w:gridSpan w:val="2"/>
            <w:vAlign w:val="center"/>
          </w:tcPr>
          <w:p w14:paraId="08971A27">
            <w:pPr>
              <w:topLinePunct/>
              <w:adjustRightInd w:val="0"/>
              <w:snapToGrid w:val="0"/>
              <w:jc w:val="center"/>
              <w:rPr>
                <w:rFonts w:ascii="宋体" w:cs="Times New Roman"/>
                <w:color w:val="auto"/>
                <w:highlight w:val="none"/>
              </w:rPr>
            </w:pPr>
            <w:r>
              <w:rPr>
                <w:rFonts w:hint="eastAsia" w:ascii="宋体" w:hAnsi="宋体" w:cs="宋体"/>
                <w:color w:val="auto"/>
                <w:highlight w:val="none"/>
              </w:rPr>
              <w:t>传</w:t>
            </w:r>
            <w:r>
              <w:rPr>
                <w:rFonts w:ascii="宋体" w:hAnsi="宋体" w:cs="宋体"/>
                <w:color w:val="auto"/>
                <w:highlight w:val="none"/>
              </w:rPr>
              <w:t xml:space="preserve">  </w:t>
            </w:r>
            <w:r>
              <w:rPr>
                <w:rFonts w:hint="eastAsia" w:ascii="宋体" w:hAnsi="宋体" w:cs="宋体"/>
                <w:color w:val="auto"/>
                <w:highlight w:val="none"/>
              </w:rPr>
              <w:t>真</w:t>
            </w:r>
          </w:p>
        </w:tc>
        <w:tc>
          <w:tcPr>
            <w:tcW w:w="1776" w:type="dxa"/>
            <w:gridSpan w:val="2"/>
            <w:vAlign w:val="center"/>
          </w:tcPr>
          <w:p w14:paraId="61C908E3">
            <w:pPr>
              <w:topLinePunct/>
              <w:adjustRightInd w:val="0"/>
              <w:snapToGrid w:val="0"/>
              <w:jc w:val="center"/>
              <w:rPr>
                <w:rFonts w:ascii="宋体" w:cs="Times New Roman"/>
                <w:color w:val="auto"/>
                <w:highlight w:val="none"/>
              </w:rPr>
            </w:pPr>
          </w:p>
        </w:tc>
        <w:tc>
          <w:tcPr>
            <w:tcW w:w="1775" w:type="dxa"/>
            <w:gridSpan w:val="3"/>
            <w:vAlign w:val="center"/>
          </w:tcPr>
          <w:p w14:paraId="5C6449AE">
            <w:pPr>
              <w:topLinePunct/>
              <w:adjustRightInd w:val="0"/>
              <w:snapToGrid w:val="0"/>
              <w:jc w:val="center"/>
              <w:rPr>
                <w:rFonts w:ascii="宋体" w:cs="Times New Roman"/>
                <w:color w:val="auto"/>
                <w:highlight w:val="none"/>
              </w:rPr>
            </w:pPr>
            <w:r>
              <w:rPr>
                <w:rFonts w:hint="eastAsia" w:ascii="宋体" w:hAnsi="宋体" w:cs="宋体"/>
                <w:color w:val="auto"/>
                <w:highlight w:val="none"/>
              </w:rPr>
              <w:t>网</w:t>
            </w:r>
            <w:r>
              <w:rPr>
                <w:rFonts w:ascii="宋体" w:hAnsi="宋体" w:cs="宋体"/>
                <w:color w:val="auto"/>
                <w:highlight w:val="none"/>
              </w:rPr>
              <w:t xml:space="preserve"> </w:t>
            </w:r>
            <w:r>
              <w:rPr>
                <w:rFonts w:hint="eastAsia" w:ascii="宋体" w:hAnsi="宋体" w:cs="宋体"/>
                <w:color w:val="auto"/>
                <w:highlight w:val="none"/>
              </w:rPr>
              <w:t>址</w:t>
            </w:r>
          </w:p>
        </w:tc>
        <w:tc>
          <w:tcPr>
            <w:tcW w:w="1776" w:type="dxa"/>
            <w:gridSpan w:val="2"/>
            <w:vAlign w:val="center"/>
          </w:tcPr>
          <w:p w14:paraId="2D03FFD2">
            <w:pPr>
              <w:topLinePunct/>
              <w:adjustRightInd w:val="0"/>
              <w:snapToGrid w:val="0"/>
              <w:jc w:val="center"/>
              <w:rPr>
                <w:rFonts w:ascii="宋体" w:cs="Times New Roman"/>
                <w:color w:val="auto"/>
                <w:highlight w:val="none"/>
              </w:rPr>
            </w:pPr>
          </w:p>
        </w:tc>
      </w:tr>
      <w:tr w14:paraId="23DBD5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vAlign w:val="center"/>
          </w:tcPr>
          <w:p w14:paraId="6C4B14EC">
            <w:pPr>
              <w:topLinePunct/>
              <w:adjustRightInd w:val="0"/>
              <w:snapToGrid w:val="0"/>
              <w:jc w:val="center"/>
              <w:rPr>
                <w:rFonts w:ascii="宋体" w:cs="Times New Roman"/>
                <w:color w:val="auto"/>
                <w:highlight w:val="none"/>
              </w:rPr>
            </w:pPr>
            <w:r>
              <w:rPr>
                <w:rFonts w:hint="eastAsia" w:ascii="宋体" w:hAnsi="宋体" w:cs="宋体"/>
                <w:color w:val="auto"/>
                <w:highlight w:val="none"/>
              </w:rPr>
              <w:t>组织结构</w:t>
            </w:r>
          </w:p>
        </w:tc>
        <w:tc>
          <w:tcPr>
            <w:tcW w:w="7102" w:type="dxa"/>
            <w:gridSpan w:val="9"/>
            <w:vAlign w:val="center"/>
          </w:tcPr>
          <w:p w14:paraId="5B686C32">
            <w:pPr>
              <w:topLinePunct/>
              <w:adjustRightInd w:val="0"/>
              <w:snapToGrid w:val="0"/>
              <w:jc w:val="center"/>
              <w:rPr>
                <w:rFonts w:ascii="宋体" w:cs="Times New Roman"/>
                <w:color w:val="auto"/>
                <w:highlight w:val="none"/>
              </w:rPr>
            </w:pPr>
          </w:p>
        </w:tc>
      </w:tr>
      <w:tr w14:paraId="04CF62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5C379356">
            <w:pPr>
              <w:topLinePunct/>
              <w:adjustRightInd w:val="0"/>
              <w:snapToGrid w:val="0"/>
              <w:jc w:val="center"/>
              <w:rPr>
                <w:rFonts w:ascii="宋体" w:cs="Times New Roman"/>
                <w:color w:val="auto"/>
                <w:highlight w:val="none"/>
              </w:rPr>
            </w:pPr>
            <w:r>
              <w:rPr>
                <w:rFonts w:hint="eastAsia" w:ascii="宋体" w:hAnsi="宋体" w:cs="宋体"/>
                <w:color w:val="auto"/>
                <w:highlight w:val="none"/>
              </w:rPr>
              <w:t>法定代表人</w:t>
            </w:r>
          </w:p>
        </w:tc>
        <w:tc>
          <w:tcPr>
            <w:tcW w:w="1183" w:type="dxa"/>
            <w:vAlign w:val="center"/>
          </w:tcPr>
          <w:p w14:paraId="604B1DD9">
            <w:pPr>
              <w:topLinePunct/>
              <w:adjustRightInd w:val="0"/>
              <w:snapToGrid w:val="0"/>
              <w:jc w:val="center"/>
              <w:rPr>
                <w:rFonts w:ascii="宋体" w:cs="Times New Roman"/>
                <w:color w:val="auto"/>
                <w:highlight w:val="none"/>
              </w:rPr>
            </w:pPr>
            <w:r>
              <w:rPr>
                <w:rFonts w:hint="eastAsia" w:ascii="宋体" w:hAnsi="宋体" w:cs="宋体"/>
                <w:color w:val="auto"/>
                <w:highlight w:val="none"/>
              </w:rPr>
              <w:t>姓名</w:t>
            </w:r>
          </w:p>
        </w:tc>
        <w:tc>
          <w:tcPr>
            <w:tcW w:w="1184" w:type="dxa"/>
            <w:gridSpan w:val="2"/>
            <w:vAlign w:val="center"/>
          </w:tcPr>
          <w:p w14:paraId="7D6F7926">
            <w:pPr>
              <w:topLinePunct/>
              <w:adjustRightInd w:val="0"/>
              <w:snapToGrid w:val="0"/>
              <w:jc w:val="center"/>
              <w:rPr>
                <w:rFonts w:ascii="宋体" w:cs="Times New Roman"/>
                <w:color w:val="auto"/>
                <w:highlight w:val="none"/>
              </w:rPr>
            </w:pPr>
          </w:p>
        </w:tc>
        <w:tc>
          <w:tcPr>
            <w:tcW w:w="1184" w:type="dxa"/>
            <w:vAlign w:val="center"/>
          </w:tcPr>
          <w:p w14:paraId="33DD6329">
            <w:pPr>
              <w:topLinePunct/>
              <w:adjustRightInd w:val="0"/>
              <w:snapToGrid w:val="0"/>
              <w:jc w:val="center"/>
              <w:rPr>
                <w:rFonts w:ascii="宋体" w:cs="Times New Roman"/>
                <w:color w:val="auto"/>
                <w:highlight w:val="none"/>
              </w:rPr>
            </w:pPr>
            <w:r>
              <w:rPr>
                <w:rFonts w:hint="eastAsia" w:ascii="宋体" w:hAnsi="宋体" w:cs="宋体"/>
                <w:color w:val="auto"/>
                <w:highlight w:val="none"/>
              </w:rPr>
              <w:t>技术职称</w:t>
            </w:r>
          </w:p>
        </w:tc>
        <w:tc>
          <w:tcPr>
            <w:tcW w:w="1183" w:type="dxa"/>
            <w:gridSpan w:val="2"/>
            <w:vAlign w:val="center"/>
          </w:tcPr>
          <w:p w14:paraId="34D7A8B3">
            <w:pPr>
              <w:topLinePunct/>
              <w:adjustRightInd w:val="0"/>
              <w:snapToGrid w:val="0"/>
              <w:jc w:val="center"/>
              <w:rPr>
                <w:rFonts w:ascii="宋体" w:cs="Times New Roman"/>
                <w:color w:val="auto"/>
                <w:highlight w:val="none"/>
              </w:rPr>
            </w:pPr>
          </w:p>
        </w:tc>
        <w:tc>
          <w:tcPr>
            <w:tcW w:w="1184" w:type="dxa"/>
            <w:gridSpan w:val="2"/>
            <w:vAlign w:val="center"/>
          </w:tcPr>
          <w:p w14:paraId="0F7746A0">
            <w:pPr>
              <w:topLinePunct/>
              <w:adjustRightInd w:val="0"/>
              <w:snapToGrid w:val="0"/>
              <w:jc w:val="center"/>
              <w:rPr>
                <w:rFonts w:ascii="宋体" w:cs="Times New Roman"/>
                <w:color w:val="auto"/>
                <w:highlight w:val="none"/>
              </w:rPr>
            </w:pPr>
            <w:r>
              <w:rPr>
                <w:rFonts w:hint="eastAsia" w:ascii="宋体" w:hAnsi="宋体" w:cs="宋体"/>
                <w:color w:val="auto"/>
                <w:highlight w:val="none"/>
              </w:rPr>
              <w:t>电话</w:t>
            </w:r>
          </w:p>
        </w:tc>
        <w:tc>
          <w:tcPr>
            <w:tcW w:w="1184" w:type="dxa"/>
            <w:vAlign w:val="center"/>
          </w:tcPr>
          <w:p w14:paraId="38BD621E">
            <w:pPr>
              <w:topLinePunct/>
              <w:adjustRightInd w:val="0"/>
              <w:snapToGrid w:val="0"/>
              <w:jc w:val="center"/>
              <w:rPr>
                <w:rFonts w:ascii="宋体" w:cs="Times New Roman"/>
                <w:color w:val="auto"/>
                <w:highlight w:val="none"/>
              </w:rPr>
            </w:pPr>
          </w:p>
        </w:tc>
      </w:tr>
      <w:tr w14:paraId="4CA329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0E193ABB">
            <w:pPr>
              <w:topLinePunct/>
              <w:adjustRightInd w:val="0"/>
              <w:snapToGrid w:val="0"/>
              <w:jc w:val="center"/>
              <w:rPr>
                <w:rFonts w:ascii="宋体" w:cs="Times New Roman"/>
                <w:color w:val="auto"/>
                <w:highlight w:val="none"/>
              </w:rPr>
            </w:pPr>
            <w:r>
              <w:rPr>
                <w:rFonts w:hint="eastAsia" w:ascii="宋体" w:hAnsi="宋体" w:cs="宋体"/>
                <w:color w:val="auto"/>
                <w:highlight w:val="none"/>
              </w:rPr>
              <w:t>技术负责人</w:t>
            </w:r>
          </w:p>
        </w:tc>
        <w:tc>
          <w:tcPr>
            <w:tcW w:w="1183" w:type="dxa"/>
            <w:vAlign w:val="center"/>
          </w:tcPr>
          <w:p w14:paraId="66920509">
            <w:pPr>
              <w:topLinePunct/>
              <w:adjustRightInd w:val="0"/>
              <w:snapToGrid w:val="0"/>
              <w:jc w:val="center"/>
              <w:rPr>
                <w:rFonts w:ascii="宋体" w:cs="Times New Roman"/>
                <w:color w:val="auto"/>
                <w:highlight w:val="none"/>
              </w:rPr>
            </w:pPr>
            <w:r>
              <w:rPr>
                <w:rFonts w:hint="eastAsia" w:ascii="宋体" w:hAnsi="宋体" w:cs="宋体"/>
                <w:color w:val="auto"/>
                <w:highlight w:val="none"/>
              </w:rPr>
              <w:t>姓名</w:t>
            </w:r>
          </w:p>
        </w:tc>
        <w:tc>
          <w:tcPr>
            <w:tcW w:w="1184" w:type="dxa"/>
            <w:gridSpan w:val="2"/>
            <w:vAlign w:val="center"/>
          </w:tcPr>
          <w:p w14:paraId="1938CF8F">
            <w:pPr>
              <w:topLinePunct/>
              <w:adjustRightInd w:val="0"/>
              <w:snapToGrid w:val="0"/>
              <w:jc w:val="center"/>
              <w:rPr>
                <w:rFonts w:ascii="宋体" w:cs="Times New Roman"/>
                <w:color w:val="auto"/>
                <w:highlight w:val="none"/>
              </w:rPr>
            </w:pPr>
          </w:p>
        </w:tc>
        <w:tc>
          <w:tcPr>
            <w:tcW w:w="1184" w:type="dxa"/>
            <w:vAlign w:val="center"/>
          </w:tcPr>
          <w:p w14:paraId="3EBB3AFB">
            <w:pPr>
              <w:topLinePunct/>
              <w:adjustRightInd w:val="0"/>
              <w:snapToGrid w:val="0"/>
              <w:jc w:val="center"/>
              <w:rPr>
                <w:rFonts w:ascii="宋体" w:cs="Times New Roman"/>
                <w:color w:val="auto"/>
                <w:highlight w:val="none"/>
              </w:rPr>
            </w:pPr>
            <w:r>
              <w:rPr>
                <w:rFonts w:hint="eastAsia" w:ascii="宋体" w:hAnsi="宋体" w:cs="宋体"/>
                <w:color w:val="auto"/>
                <w:highlight w:val="none"/>
              </w:rPr>
              <w:t>技术职称</w:t>
            </w:r>
          </w:p>
        </w:tc>
        <w:tc>
          <w:tcPr>
            <w:tcW w:w="1183" w:type="dxa"/>
            <w:gridSpan w:val="2"/>
            <w:vAlign w:val="center"/>
          </w:tcPr>
          <w:p w14:paraId="124BCFC0">
            <w:pPr>
              <w:topLinePunct/>
              <w:adjustRightInd w:val="0"/>
              <w:snapToGrid w:val="0"/>
              <w:jc w:val="center"/>
              <w:rPr>
                <w:rFonts w:ascii="宋体" w:cs="Times New Roman"/>
                <w:color w:val="auto"/>
                <w:highlight w:val="none"/>
              </w:rPr>
            </w:pPr>
          </w:p>
        </w:tc>
        <w:tc>
          <w:tcPr>
            <w:tcW w:w="1184" w:type="dxa"/>
            <w:gridSpan w:val="2"/>
            <w:vAlign w:val="center"/>
          </w:tcPr>
          <w:p w14:paraId="5F245272">
            <w:pPr>
              <w:topLinePunct/>
              <w:adjustRightInd w:val="0"/>
              <w:snapToGrid w:val="0"/>
              <w:jc w:val="center"/>
              <w:rPr>
                <w:rFonts w:ascii="宋体" w:cs="Times New Roman"/>
                <w:color w:val="auto"/>
                <w:highlight w:val="none"/>
              </w:rPr>
            </w:pPr>
            <w:r>
              <w:rPr>
                <w:rFonts w:hint="eastAsia" w:ascii="宋体" w:hAnsi="宋体" w:cs="宋体"/>
                <w:color w:val="auto"/>
                <w:highlight w:val="none"/>
              </w:rPr>
              <w:t>电话</w:t>
            </w:r>
          </w:p>
        </w:tc>
        <w:tc>
          <w:tcPr>
            <w:tcW w:w="1184" w:type="dxa"/>
            <w:vAlign w:val="center"/>
          </w:tcPr>
          <w:p w14:paraId="2948EF26">
            <w:pPr>
              <w:topLinePunct/>
              <w:adjustRightInd w:val="0"/>
              <w:snapToGrid w:val="0"/>
              <w:jc w:val="center"/>
              <w:rPr>
                <w:rFonts w:ascii="宋体" w:cs="Times New Roman"/>
                <w:color w:val="auto"/>
                <w:highlight w:val="none"/>
              </w:rPr>
            </w:pPr>
          </w:p>
        </w:tc>
      </w:tr>
      <w:tr w14:paraId="583A10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02CF8777">
            <w:pPr>
              <w:topLinePunct/>
              <w:adjustRightInd w:val="0"/>
              <w:snapToGrid w:val="0"/>
              <w:jc w:val="center"/>
              <w:rPr>
                <w:rFonts w:ascii="宋体" w:cs="Times New Roman"/>
                <w:color w:val="auto"/>
                <w:highlight w:val="none"/>
              </w:rPr>
            </w:pPr>
            <w:r>
              <w:rPr>
                <w:rFonts w:hint="eastAsia" w:ascii="宋体" w:hAnsi="宋体" w:cs="宋体"/>
                <w:color w:val="auto"/>
                <w:highlight w:val="none"/>
              </w:rPr>
              <w:t>成立时间</w:t>
            </w:r>
          </w:p>
        </w:tc>
        <w:tc>
          <w:tcPr>
            <w:tcW w:w="3551" w:type="dxa"/>
            <w:gridSpan w:val="4"/>
            <w:vAlign w:val="center"/>
          </w:tcPr>
          <w:p w14:paraId="11DF4F02">
            <w:pPr>
              <w:topLinePunct/>
              <w:adjustRightInd w:val="0"/>
              <w:snapToGrid w:val="0"/>
              <w:jc w:val="center"/>
              <w:rPr>
                <w:rFonts w:ascii="宋体" w:cs="Times New Roman"/>
                <w:color w:val="auto"/>
                <w:highlight w:val="none"/>
              </w:rPr>
            </w:pPr>
          </w:p>
        </w:tc>
        <w:tc>
          <w:tcPr>
            <w:tcW w:w="3551" w:type="dxa"/>
            <w:gridSpan w:val="5"/>
            <w:vAlign w:val="center"/>
          </w:tcPr>
          <w:p w14:paraId="135ACF8F">
            <w:pPr>
              <w:topLinePunct/>
              <w:adjustRightInd w:val="0"/>
              <w:snapToGrid w:val="0"/>
              <w:ind w:firstLine="105" w:firstLineChars="50"/>
              <w:jc w:val="center"/>
              <w:rPr>
                <w:rFonts w:ascii="宋体" w:cs="Times New Roman"/>
                <w:color w:val="auto"/>
                <w:highlight w:val="none"/>
              </w:rPr>
            </w:pPr>
            <w:r>
              <w:rPr>
                <w:rFonts w:hint="eastAsia" w:ascii="宋体" w:hAnsi="宋体" w:cs="宋体"/>
                <w:color w:val="auto"/>
                <w:highlight w:val="none"/>
              </w:rPr>
              <w:t>员工总人数：</w:t>
            </w:r>
            <w:r>
              <w:rPr>
                <w:rFonts w:ascii="宋体" w:hAnsi="宋体" w:cs="宋体"/>
                <w:color w:val="auto"/>
                <w:highlight w:val="none"/>
              </w:rPr>
              <w:t>______________</w:t>
            </w:r>
          </w:p>
        </w:tc>
      </w:tr>
      <w:tr w14:paraId="1EC16A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3067249A">
            <w:pPr>
              <w:topLinePunct/>
              <w:adjustRightInd w:val="0"/>
              <w:snapToGrid w:val="0"/>
              <w:jc w:val="center"/>
              <w:rPr>
                <w:rFonts w:ascii="宋体" w:cs="Times New Roman"/>
                <w:color w:val="auto"/>
                <w:highlight w:val="none"/>
              </w:rPr>
            </w:pPr>
            <w:r>
              <w:rPr>
                <w:rFonts w:hint="eastAsia" w:ascii="宋体" w:hAnsi="宋体" w:cs="宋体"/>
                <w:color w:val="auto"/>
                <w:highlight w:val="none"/>
              </w:rPr>
              <w:t>企业资质等级</w:t>
            </w:r>
          </w:p>
        </w:tc>
        <w:tc>
          <w:tcPr>
            <w:tcW w:w="3551" w:type="dxa"/>
            <w:gridSpan w:val="4"/>
            <w:vAlign w:val="center"/>
          </w:tcPr>
          <w:p w14:paraId="59F79F51">
            <w:pPr>
              <w:topLinePunct/>
              <w:adjustRightInd w:val="0"/>
              <w:snapToGrid w:val="0"/>
              <w:jc w:val="center"/>
              <w:rPr>
                <w:rFonts w:ascii="宋体" w:cs="Times New Roman"/>
                <w:color w:val="auto"/>
                <w:highlight w:val="none"/>
              </w:rPr>
            </w:pPr>
          </w:p>
        </w:tc>
        <w:tc>
          <w:tcPr>
            <w:tcW w:w="769" w:type="dxa"/>
            <w:vMerge w:val="restart"/>
            <w:vAlign w:val="center"/>
          </w:tcPr>
          <w:p w14:paraId="04092262">
            <w:pPr>
              <w:topLinePunct/>
              <w:adjustRightInd w:val="0"/>
              <w:snapToGrid w:val="0"/>
              <w:jc w:val="center"/>
              <w:rPr>
                <w:rFonts w:ascii="宋体" w:cs="Times New Roman"/>
                <w:color w:val="auto"/>
                <w:highlight w:val="none"/>
              </w:rPr>
            </w:pPr>
            <w:r>
              <w:rPr>
                <w:rFonts w:hint="eastAsia" w:ascii="宋体" w:hAnsi="宋体" w:cs="宋体"/>
                <w:color w:val="auto"/>
                <w:highlight w:val="none"/>
              </w:rPr>
              <w:t>其</w:t>
            </w:r>
          </w:p>
          <w:p w14:paraId="110F5E11">
            <w:pPr>
              <w:topLinePunct/>
              <w:adjustRightInd w:val="0"/>
              <w:snapToGrid w:val="0"/>
              <w:jc w:val="center"/>
              <w:rPr>
                <w:rFonts w:ascii="宋体" w:cs="Times New Roman"/>
                <w:color w:val="auto"/>
                <w:highlight w:val="none"/>
              </w:rPr>
            </w:pPr>
          </w:p>
          <w:p w14:paraId="0A60F346">
            <w:pPr>
              <w:topLinePunct/>
              <w:adjustRightInd w:val="0"/>
              <w:snapToGrid w:val="0"/>
              <w:jc w:val="center"/>
              <w:rPr>
                <w:rFonts w:ascii="宋体" w:cs="Times New Roman"/>
                <w:color w:val="auto"/>
                <w:highlight w:val="none"/>
              </w:rPr>
            </w:pPr>
            <w:r>
              <w:rPr>
                <w:rFonts w:hint="eastAsia" w:ascii="宋体" w:hAnsi="宋体" w:cs="宋体"/>
                <w:color w:val="auto"/>
                <w:highlight w:val="none"/>
              </w:rPr>
              <w:t>中</w:t>
            </w:r>
          </w:p>
        </w:tc>
        <w:tc>
          <w:tcPr>
            <w:tcW w:w="1598" w:type="dxa"/>
            <w:gridSpan w:val="3"/>
            <w:vAlign w:val="center"/>
          </w:tcPr>
          <w:p w14:paraId="34CDB065">
            <w:pPr>
              <w:topLinePunct/>
              <w:adjustRightInd w:val="0"/>
              <w:snapToGrid w:val="0"/>
              <w:jc w:val="center"/>
              <w:rPr>
                <w:rFonts w:ascii="宋体" w:cs="Times New Roman"/>
                <w:color w:val="auto"/>
                <w:highlight w:val="none"/>
              </w:rPr>
            </w:pPr>
            <w:r>
              <w:rPr>
                <w:rFonts w:hint="eastAsia" w:ascii="宋体" w:hAnsi="宋体" w:cs="宋体"/>
                <w:color w:val="auto"/>
                <w:highlight w:val="none"/>
              </w:rPr>
              <w:t>项目</w:t>
            </w:r>
            <w:r>
              <w:rPr>
                <w:rFonts w:hint="eastAsia" w:ascii="宋体" w:cs="宋体"/>
                <w:color w:val="auto"/>
                <w:highlight w:val="none"/>
              </w:rPr>
              <w:t>负责人</w:t>
            </w:r>
          </w:p>
        </w:tc>
        <w:tc>
          <w:tcPr>
            <w:tcW w:w="1184" w:type="dxa"/>
            <w:vAlign w:val="center"/>
          </w:tcPr>
          <w:p w14:paraId="20D34AF8">
            <w:pPr>
              <w:topLinePunct/>
              <w:adjustRightInd w:val="0"/>
              <w:snapToGrid w:val="0"/>
              <w:jc w:val="center"/>
              <w:rPr>
                <w:rFonts w:ascii="宋体" w:cs="Times New Roman"/>
                <w:color w:val="auto"/>
                <w:highlight w:val="none"/>
              </w:rPr>
            </w:pPr>
          </w:p>
        </w:tc>
      </w:tr>
      <w:tr w14:paraId="0787ED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7A8BC6ED">
            <w:pPr>
              <w:topLinePunct/>
              <w:adjustRightInd w:val="0"/>
              <w:snapToGrid w:val="0"/>
              <w:jc w:val="center"/>
              <w:rPr>
                <w:rFonts w:ascii="宋体" w:cs="Times New Roman"/>
                <w:color w:val="auto"/>
                <w:highlight w:val="none"/>
              </w:rPr>
            </w:pPr>
            <w:r>
              <w:rPr>
                <w:rFonts w:hint="eastAsia" w:ascii="宋体" w:hAnsi="宋体" w:cs="宋体"/>
                <w:color w:val="auto"/>
                <w:highlight w:val="none"/>
              </w:rPr>
              <w:t>营业执照号</w:t>
            </w:r>
          </w:p>
        </w:tc>
        <w:tc>
          <w:tcPr>
            <w:tcW w:w="3551" w:type="dxa"/>
            <w:gridSpan w:val="4"/>
            <w:vAlign w:val="center"/>
          </w:tcPr>
          <w:p w14:paraId="78A3256F">
            <w:pPr>
              <w:topLinePunct/>
              <w:adjustRightInd w:val="0"/>
              <w:snapToGrid w:val="0"/>
              <w:jc w:val="center"/>
              <w:rPr>
                <w:rFonts w:ascii="宋体" w:cs="Times New Roman"/>
                <w:color w:val="auto"/>
                <w:highlight w:val="none"/>
              </w:rPr>
            </w:pPr>
          </w:p>
        </w:tc>
        <w:tc>
          <w:tcPr>
            <w:tcW w:w="769" w:type="dxa"/>
            <w:vMerge w:val="continue"/>
            <w:vAlign w:val="center"/>
          </w:tcPr>
          <w:p w14:paraId="65D9DBBC">
            <w:pPr>
              <w:topLinePunct/>
              <w:adjustRightInd w:val="0"/>
              <w:snapToGrid w:val="0"/>
              <w:jc w:val="center"/>
              <w:rPr>
                <w:rFonts w:ascii="宋体" w:cs="Times New Roman"/>
                <w:color w:val="auto"/>
                <w:highlight w:val="none"/>
              </w:rPr>
            </w:pPr>
          </w:p>
        </w:tc>
        <w:tc>
          <w:tcPr>
            <w:tcW w:w="1598" w:type="dxa"/>
            <w:gridSpan w:val="3"/>
            <w:vAlign w:val="center"/>
          </w:tcPr>
          <w:p w14:paraId="03C3D7DD">
            <w:pPr>
              <w:topLinePunct/>
              <w:adjustRightInd w:val="0"/>
              <w:snapToGrid w:val="0"/>
              <w:jc w:val="center"/>
              <w:rPr>
                <w:rFonts w:ascii="宋体" w:cs="Times New Roman"/>
                <w:color w:val="auto"/>
                <w:highlight w:val="none"/>
              </w:rPr>
            </w:pPr>
            <w:r>
              <w:rPr>
                <w:rFonts w:hint="eastAsia" w:ascii="宋体" w:hAnsi="宋体" w:cs="宋体"/>
                <w:color w:val="auto"/>
                <w:highlight w:val="none"/>
              </w:rPr>
              <w:t>高级职称人员</w:t>
            </w:r>
          </w:p>
        </w:tc>
        <w:tc>
          <w:tcPr>
            <w:tcW w:w="1184" w:type="dxa"/>
            <w:vAlign w:val="center"/>
          </w:tcPr>
          <w:p w14:paraId="683E33DE">
            <w:pPr>
              <w:topLinePunct/>
              <w:adjustRightInd w:val="0"/>
              <w:snapToGrid w:val="0"/>
              <w:jc w:val="center"/>
              <w:rPr>
                <w:rFonts w:ascii="宋体" w:cs="Times New Roman"/>
                <w:color w:val="auto"/>
                <w:highlight w:val="none"/>
              </w:rPr>
            </w:pPr>
          </w:p>
        </w:tc>
      </w:tr>
      <w:tr w14:paraId="2CF4CE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60931A44">
            <w:pPr>
              <w:topLinePunct/>
              <w:adjustRightInd w:val="0"/>
              <w:snapToGrid w:val="0"/>
              <w:jc w:val="center"/>
              <w:rPr>
                <w:rFonts w:ascii="宋体" w:cs="Times New Roman"/>
                <w:color w:val="auto"/>
                <w:highlight w:val="none"/>
              </w:rPr>
            </w:pPr>
            <w:r>
              <w:rPr>
                <w:rFonts w:hint="eastAsia" w:ascii="宋体" w:hAnsi="宋体" w:cs="宋体"/>
                <w:color w:val="auto"/>
                <w:highlight w:val="none"/>
              </w:rPr>
              <w:t>注册资金</w:t>
            </w:r>
          </w:p>
        </w:tc>
        <w:tc>
          <w:tcPr>
            <w:tcW w:w="3551" w:type="dxa"/>
            <w:gridSpan w:val="4"/>
            <w:vAlign w:val="center"/>
          </w:tcPr>
          <w:p w14:paraId="20AE941D">
            <w:pPr>
              <w:topLinePunct/>
              <w:adjustRightInd w:val="0"/>
              <w:snapToGrid w:val="0"/>
              <w:jc w:val="center"/>
              <w:rPr>
                <w:rFonts w:ascii="宋体" w:cs="Times New Roman"/>
                <w:color w:val="auto"/>
                <w:highlight w:val="none"/>
              </w:rPr>
            </w:pPr>
          </w:p>
        </w:tc>
        <w:tc>
          <w:tcPr>
            <w:tcW w:w="769" w:type="dxa"/>
            <w:vMerge w:val="continue"/>
            <w:vAlign w:val="center"/>
          </w:tcPr>
          <w:p w14:paraId="208875FE">
            <w:pPr>
              <w:topLinePunct/>
              <w:adjustRightInd w:val="0"/>
              <w:snapToGrid w:val="0"/>
              <w:jc w:val="center"/>
              <w:rPr>
                <w:rFonts w:ascii="宋体" w:cs="Times New Roman"/>
                <w:color w:val="auto"/>
                <w:highlight w:val="none"/>
              </w:rPr>
            </w:pPr>
          </w:p>
        </w:tc>
        <w:tc>
          <w:tcPr>
            <w:tcW w:w="1598" w:type="dxa"/>
            <w:gridSpan w:val="3"/>
            <w:vAlign w:val="center"/>
          </w:tcPr>
          <w:p w14:paraId="17EA1BCB">
            <w:pPr>
              <w:topLinePunct/>
              <w:adjustRightInd w:val="0"/>
              <w:snapToGrid w:val="0"/>
              <w:jc w:val="center"/>
              <w:rPr>
                <w:rFonts w:ascii="宋体" w:cs="Times New Roman"/>
                <w:color w:val="auto"/>
                <w:highlight w:val="none"/>
              </w:rPr>
            </w:pPr>
            <w:r>
              <w:rPr>
                <w:rFonts w:hint="eastAsia" w:ascii="宋体" w:hAnsi="宋体" w:cs="宋体"/>
                <w:color w:val="auto"/>
                <w:highlight w:val="none"/>
              </w:rPr>
              <w:t>中级职称人员</w:t>
            </w:r>
          </w:p>
        </w:tc>
        <w:tc>
          <w:tcPr>
            <w:tcW w:w="1184" w:type="dxa"/>
            <w:vAlign w:val="center"/>
          </w:tcPr>
          <w:p w14:paraId="4FA92705">
            <w:pPr>
              <w:topLinePunct/>
              <w:adjustRightInd w:val="0"/>
              <w:snapToGrid w:val="0"/>
              <w:jc w:val="center"/>
              <w:rPr>
                <w:rFonts w:ascii="宋体" w:cs="Times New Roman"/>
                <w:color w:val="auto"/>
                <w:highlight w:val="none"/>
              </w:rPr>
            </w:pPr>
          </w:p>
        </w:tc>
      </w:tr>
      <w:tr w14:paraId="434281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4449CF23">
            <w:pPr>
              <w:topLinePunct/>
              <w:adjustRightInd w:val="0"/>
              <w:snapToGrid w:val="0"/>
              <w:jc w:val="center"/>
              <w:rPr>
                <w:rFonts w:ascii="宋体" w:cs="Times New Roman"/>
                <w:color w:val="auto"/>
                <w:highlight w:val="none"/>
              </w:rPr>
            </w:pPr>
            <w:r>
              <w:rPr>
                <w:rFonts w:hint="eastAsia" w:ascii="宋体" w:hAnsi="宋体" w:cs="宋体"/>
                <w:color w:val="auto"/>
                <w:highlight w:val="none"/>
              </w:rPr>
              <w:t>开户银行</w:t>
            </w:r>
          </w:p>
        </w:tc>
        <w:tc>
          <w:tcPr>
            <w:tcW w:w="3551" w:type="dxa"/>
            <w:gridSpan w:val="4"/>
            <w:vAlign w:val="center"/>
          </w:tcPr>
          <w:p w14:paraId="770D506F">
            <w:pPr>
              <w:topLinePunct/>
              <w:adjustRightInd w:val="0"/>
              <w:snapToGrid w:val="0"/>
              <w:jc w:val="center"/>
              <w:rPr>
                <w:rFonts w:ascii="宋体" w:cs="Times New Roman"/>
                <w:color w:val="auto"/>
                <w:highlight w:val="none"/>
              </w:rPr>
            </w:pPr>
          </w:p>
        </w:tc>
        <w:tc>
          <w:tcPr>
            <w:tcW w:w="769" w:type="dxa"/>
            <w:vMerge w:val="continue"/>
            <w:vAlign w:val="center"/>
          </w:tcPr>
          <w:p w14:paraId="057C14AB">
            <w:pPr>
              <w:topLinePunct/>
              <w:adjustRightInd w:val="0"/>
              <w:snapToGrid w:val="0"/>
              <w:jc w:val="center"/>
              <w:rPr>
                <w:rFonts w:ascii="宋体" w:cs="Times New Roman"/>
                <w:color w:val="auto"/>
                <w:highlight w:val="none"/>
              </w:rPr>
            </w:pPr>
          </w:p>
        </w:tc>
        <w:tc>
          <w:tcPr>
            <w:tcW w:w="1598" w:type="dxa"/>
            <w:gridSpan w:val="3"/>
            <w:vAlign w:val="center"/>
          </w:tcPr>
          <w:p w14:paraId="4D353A8E">
            <w:pPr>
              <w:topLinePunct/>
              <w:adjustRightInd w:val="0"/>
              <w:snapToGrid w:val="0"/>
              <w:jc w:val="center"/>
              <w:rPr>
                <w:rFonts w:ascii="宋体" w:cs="Times New Roman"/>
                <w:color w:val="auto"/>
                <w:highlight w:val="none"/>
              </w:rPr>
            </w:pPr>
            <w:r>
              <w:rPr>
                <w:rFonts w:hint="eastAsia" w:ascii="宋体" w:hAnsi="宋体" w:cs="宋体"/>
                <w:color w:val="auto"/>
                <w:highlight w:val="none"/>
              </w:rPr>
              <w:t>初级职称人员</w:t>
            </w:r>
          </w:p>
        </w:tc>
        <w:tc>
          <w:tcPr>
            <w:tcW w:w="1184" w:type="dxa"/>
            <w:vAlign w:val="center"/>
          </w:tcPr>
          <w:p w14:paraId="29DB7C1C">
            <w:pPr>
              <w:topLinePunct/>
              <w:adjustRightInd w:val="0"/>
              <w:snapToGrid w:val="0"/>
              <w:jc w:val="center"/>
              <w:rPr>
                <w:rFonts w:ascii="宋体" w:cs="Times New Roman"/>
                <w:color w:val="auto"/>
                <w:highlight w:val="none"/>
              </w:rPr>
            </w:pPr>
          </w:p>
        </w:tc>
      </w:tr>
      <w:tr w14:paraId="736B5C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69FDF00F">
            <w:pPr>
              <w:topLinePunct/>
              <w:adjustRightInd w:val="0"/>
              <w:snapToGrid w:val="0"/>
              <w:jc w:val="center"/>
              <w:rPr>
                <w:rFonts w:ascii="宋体" w:cs="Times New Roman"/>
                <w:color w:val="auto"/>
                <w:highlight w:val="none"/>
              </w:rPr>
            </w:pPr>
            <w:r>
              <w:rPr>
                <w:rFonts w:hint="eastAsia" w:ascii="宋体" w:hAnsi="宋体" w:cs="宋体"/>
                <w:color w:val="auto"/>
                <w:highlight w:val="none"/>
              </w:rPr>
              <w:t>账号</w:t>
            </w:r>
          </w:p>
        </w:tc>
        <w:tc>
          <w:tcPr>
            <w:tcW w:w="3551" w:type="dxa"/>
            <w:gridSpan w:val="4"/>
            <w:vAlign w:val="center"/>
          </w:tcPr>
          <w:p w14:paraId="6018C43E">
            <w:pPr>
              <w:topLinePunct/>
              <w:adjustRightInd w:val="0"/>
              <w:snapToGrid w:val="0"/>
              <w:jc w:val="center"/>
              <w:rPr>
                <w:rFonts w:ascii="宋体" w:cs="Times New Roman"/>
                <w:color w:val="auto"/>
                <w:highlight w:val="none"/>
              </w:rPr>
            </w:pPr>
          </w:p>
        </w:tc>
        <w:tc>
          <w:tcPr>
            <w:tcW w:w="769" w:type="dxa"/>
            <w:vMerge w:val="continue"/>
            <w:vAlign w:val="center"/>
          </w:tcPr>
          <w:p w14:paraId="13B3D8F3">
            <w:pPr>
              <w:topLinePunct/>
              <w:adjustRightInd w:val="0"/>
              <w:snapToGrid w:val="0"/>
              <w:jc w:val="center"/>
              <w:rPr>
                <w:rFonts w:ascii="宋体" w:cs="Times New Roman"/>
                <w:color w:val="auto"/>
                <w:highlight w:val="none"/>
              </w:rPr>
            </w:pPr>
          </w:p>
        </w:tc>
        <w:tc>
          <w:tcPr>
            <w:tcW w:w="1598" w:type="dxa"/>
            <w:gridSpan w:val="3"/>
            <w:vAlign w:val="center"/>
          </w:tcPr>
          <w:p w14:paraId="7F47A064">
            <w:pPr>
              <w:topLinePunct/>
              <w:adjustRightInd w:val="0"/>
              <w:snapToGrid w:val="0"/>
              <w:jc w:val="center"/>
              <w:rPr>
                <w:rFonts w:ascii="宋体" w:cs="Times New Roman"/>
                <w:color w:val="auto"/>
                <w:highlight w:val="none"/>
              </w:rPr>
            </w:pPr>
            <w:r>
              <w:rPr>
                <w:rFonts w:hint="eastAsia" w:ascii="宋体" w:hAnsi="宋体" w:cs="宋体"/>
                <w:color w:val="auto"/>
                <w:highlight w:val="none"/>
              </w:rPr>
              <w:t>技工</w:t>
            </w:r>
          </w:p>
        </w:tc>
        <w:tc>
          <w:tcPr>
            <w:tcW w:w="1184" w:type="dxa"/>
            <w:vAlign w:val="center"/>
          </w:tcPr>
          <w:p w14:paraId="12A628C0">
            <w:pPr>
              <w:topLinePunct/>
              <w:adjustRightInd w:val="0"/>
              <w:snapToGrid w:val="0"/>
              <w:jc w:val="center"/>
              <w:rPr>
                <w:rFonts w:ascii="宋体" w:cs="Times New Roman"/>
                <w:color w:val="auto"/>
                <w:highlight w:val="none"/>
              </w:rPr>
            </w:pPr>
          </w:p>
        </w:tc>
      </w:tr>
      <w:tr w14:paraId="054CCB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370" w:type="dxa"/>
            <w:vAlign w:val="center"/>
          </w:tcPr>
          <w:p w14:paraId="21367987">
            <w:pPr>
              <w:topLinePunct/>
              <w:adjustRightInd w:val="0"/>
              <w:snapToGrid w:val="0"/>
              <w:ind w:firstLine="210" w:firstLineChars="100"/>
              <w:jc w:val="center"/>
              <w:rPr>
                <w:rFonts w:ascii="宋体" w:cs="Times New Roman"/>
                <w:color w:val="auto"/>
                <w:highlight w:val="none"/>
              </w:rPr>
            </w:pPr>
            <w:r>
              <w:rPr>
                <w:rFonts w:hint="eastAsia" w:ascii="宋体" w:hAnsi="宋体" w:cs="宋体"/>
                <w:color w:val="auto"/>
                <w:highlight w:val="none"/>
              </w:rPr>
              <w:t>经营范围</w:t>
            </w:r>
          </w:p>
        </w:tc>
        <w:tc>
          <w:tcPr>
            <w:tcW w:w="7102" w:type="dxa"/>
            <w:gridSpan w:val="9"/>
            <w:vAlign w:val="center"/>
          </w:tcPr>
          <w:p w14:paraId="44091B5D">
            <w:pPr>
              <w:topLinePunct/>
              <w:adjustRightInd w:val="0"/>
              <w:snapToGrid w:val="0"/>
              <w:jc w:val="center"/>
              <w:rPr>
                <w:rFonts w:ascii="宋体" w:cs="Times New Roman"/>
                <w:color w:val="auto"/>
                <w:highlight w:val="none"/>
              </w:rPr>
            </w:pPr>
          </w:p>
        </w:tc>
      </w:tr>
      <w:tr w14:paraId="68161D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370" w:type="dxa"/>
            <w:tcBorders>
              <w:bottom w:val="single" w:color="auto" w:sz="12" w:space="0"/>
            </w:tcBorders>
            <w:vAlign w:val="center"/>
          </w:tcPr>
          <w:p w14:paraId="3E9D4971">
            <w:pPr>
              <w:topLinePunct/>
              <w:adjustRightInd w:val="0"/>
              <w:snapToGrid w:val="0"/>
              <w:jc w:val="center"/>
              <w:rPr>
                <w:rFonts w:ascii="宋体" w:cs="Times New Roman"/>
                <w:color w:val="auto"/>
                <w:highlight w:val="none"/>
              </w:rPr>
            </w:pPr>
            <w:r>
              <w:rPr>
                <w:rFonts w:hint="eastAsia" w:ascii="宋体" w:hAnsi="宋体" w:cs="宋体"/>
                <w:color w:val="auto"/>
                <w:highlight w:val="none"/>
              </w:rPr>
              <w:t>备注</w:t>
            </w:r>
          </w:p>
        </w:tc>
        <w:tc>
          <w:tcPr>
            <w:tcW w:w="7102" w:type="dxa"/>
            <w:gridSpan w:val="9"/>
            <w:tcBorders>
              <w:bottom w:val="single" w:color="auto" w:sz="12" w:space="0"/>
            </w:tcBorders>
            <w:vAlign w:val="center"/>
          </w:tcPr>
          <w:p w14:paraId="4DD31D5B">
            <w:pPr>
              <w:topLinePunct/>
              <w:adjustRightInd w:val="0"/>
              <w:snapToGrid w:val="0"/>
              <w:jc w:val="center"/>
              <w:rPr>
                <w:rFonts w:ascii="宋体" w:cs="Times New Roman"/>
                <w:color w:val="auto"/>
                <w:highlight w:val="none"/>
              </w:rPr>
            </w:pPr>
          </w:p>
        </w:tc>
      </w:tr>
    </w:tbl>
    <w:p w14:paraId="1902F593">
      <w:pPr>
        <w:pStyle w:val="451"/>
        <w:adjustRightInd w:val="0"/>
        <w:snapToGrid w:val="0"/>
        <w:spacing w:before="120" w:beforeLines="50" w:line="360" w:lineRule="auto"/>
        <w:rPr>
          <w:rFonts w:ascii="宋体" w:hAnsi="宋体" w:eastAsia="宋体" w:cs="Times New Roman"/>
          <w:color w:val="auto"/>
          <w:highlight w:val="none"/>
        </w:rPr>
      </w:pPr>
      <w:r>
        <w:rPr>
          <w:rFonts w:hint="eastAsia" w:ascii="宋体" w:hAnsi="宋体" w:eastAsia="宋体" w:cs="宋体"/>
          <w:color w:val="auto"/>
          <w:highlight w:val="none"/>
          <w:lang w:val="zh-TW"/>
        </w:rPr>
        <w:t>备注：</w:t>
      </w:r>
      <w:r>
        <w:rPr>
          <w:rFonts w:ascii="宋体" w:hAnsi="宋体" w:eastAsia="宋体" w:cs="宋体"/>
          <w:color w:val="auto"/>
          <w:highlight w:val="none"/>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本表后须附投标人营业执照副本及其年检合格的证明材料原件扫描件（如为联合体则各成员均须提供）、资质证书副本原件扫描件（如为联合体则</w:t>
      </w:r>
      <w:r>
        <w:rPr>
          <w:rFonts w:hint="eastAsia" w:ascii="宋体" w:hAnsi="宋体" w:eastAsia="宋体" w:cs="宋体"/>
          <w:color w:val="auto"/>
          <w:highlight w:val="none"/>
          <w:lang w:eastAsia="zh-CN"/>
        </w:rPr>
        <w:t>由施工单位和设计单位</w:t>
      </w:r>
      <w:r>
        <w:rPr>
          <w:rFonts w:hint="eastAsia" w:ascii="宋体" w:hAnsi="宋体" w:eastAsia="宋体" w:cs="宋体"/>
          <w:color w:val="auto"/>
          <w:highlight w:val="none"/>
        </w:rPr>
        <w:t>提供），安全生产许可证副本原件扫描件（如为联合体则由施工单位提供）；</w:t>
      </w:r>
    </w:p>
    <w:p w14:paraId="34A6AE39">
      <w:pPr>
        <w:pStyle w:val="451"/>
        <w:adjustRightInd w:val="0"/>
        <w:snapToGrid w:val="0"/>
        <w:spacing w:line="360" w:lineRule="auto"/>
        <w:ind w:firstLine="420" w:firstLineChars="200"/>
        <w:rPr>
          <w:rFonts w:ascii="宋体" w:hAnsi="宋体" w:eastAsia="宋体" w:cs="Times New Roman"/>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如为联合体投标，联合体各成员须分别填写和附相关资料原件扫描件；</w:t>
      </w:r>
    </w:p>
    <w:p w14:paraId="485BF543">
      <w:pPr>
        <w:pStyle w:val="451"/>
        <w:adjustRightInd w:val="0"/>
        <w:snapToGrid w:val="0"/>
        <w:spacing w:line="360" w:lineRule="auto"/>
        <w:ind w:firstLine="420" w:firstLineChars="200"/>
        <w:rPr>
          <w:rFonts w:hint="eastAsia" w:ascii="宋体" w:hAnsi="宋体" w:cs="宋体"/>
          <w:color w:val="auto"/>
          <w:highlight w:val="none"/>
          <w:lang w:val="zh-CN"/>
        </w:rPr>
      </w:pPr>
      <w:bookmarkStart w:id="1767" w:name="_Toc45897175"/>
      <w:bookmarkStart w:id="1768" w:name="_Toc11711"/>
      <w:bookmarkStart w:id="1769" w:name="_Toc15268_WPSOffice_Level2"/>
      <w:bookmarkStart w:id="1770" w:name="_Toc16377_WPSOffice_Level2"/>
    </w:p>
    <w:p w14:paraId="7A0A4DC2">
      <w:pPr>
        <w:pStyle w:val="451"/>
        <w:adjustRightInd w:val="0"/>
        <w:snapToGrid w:val="0"/>
        <w:spacing w:line="360" w:lineRule="auto"/>
        <w:ind w:firstLine="420" w:firstLineChars="200"/>
        <w:rPr>
          <w:rFonts w:hint="eastAsia" w:ascii="宋体" w:hAnsi="宋体" w:cs="宋体"/>
          <w:color w:val="auto"/>
          <w:highlight w:val="none"/>
          <w:lang w:val="zh-CN"/>
        </w:rPr>
      </w:pPr>
    </w:p>
    <w:p w14:paraId="164B3596">
      <w:pPr>
        <w:pStyle w:val="5"/>
        <w:ind w:firstLine="0" w:firstLineChars="0"/>
        <w:jc w:val="center"/>
        <w:rPr>
          <w:rFonts w:cs="Times New Roman"/>
          <w:color w:val="auto"/>
          <w:highlight w:val="none"/>
        </w:rPr>
      </w:pPr>
      <w:r>
        <w:rPr>
          <w:rFonts w:hint="eastAsia"/>
          <w:color w:val="auto"/>
          <w:highlight w:val="none"/>
        </w:rPr>
        <w:t>（二）主要人员简历表</w:t>
      </w:r>
      <w:bookmarkEnd w:id="1767"/>
      <w:bookmarkEnd w:id="1768"/>
      <w:bookmarkEnd w:id="1769"/>
      <w:bookmarkEnd w:id="1770"/>
    </w:p>
    <w:p w14:paraId="7EFA3727">
      <w:pPr>
        <w:spacing w:line="400" w:lineRule="exact"/>
        <w:ind w:firstLine="420" w:firstLineChars="200"/>
        <w:rPr>
          <w:rFonts w:hint="eastAsia" w:ascii="宋体" w:hAnsi="宋体" w:eastAsia="宋体" w:cs="宋体"/>
          <w:color w:val="auto"/>
          <w:sz w:val="23"/>
          <w:szCs w:val="23"/>
          <w:highlight w:val="none"/>
        </w:rPr>
      </w:pPr>
      <w:r>
        <w:rPr>
          <w:rFonts w:hint="eastAsia" w:ascii="宋体" w:hAnsi="宋体" w:eastAsia="宋体" w:cs="宋体"/>
          <w:color w:val="auto"/>
          <w:highlight w:val="none"/>
        </w:rPr>
        <w:t>“主要人员简历表”中的项目负责人应附注册建造师证、安全生产考核合格证（B证）身份证、社保缴费证明等原件扫描件；设计负责人应附</w:t>
      </w:r>
      <w:r>
        <w:rPr>
          <w:rFonts w:hint="eastAsia" w:ascii="宋体" w:hAnsi="宋体" w:eastAsia="宋体" w:cs="宋体"/>
          <w:color w:val="auto"/>
          <w:highlight w:val="none"/>
          <w:lang w:eastAsia="zh-CN"/>
        </w:rPr>
        <w:t>职称证</w:t>
      </w:r>
      <w:r>
        <w:rPr>
          <w:rFonts w:hint="eastAsia" w:ascii="宋体" w:hAnsi="宋体" w:eastAsia="宋体" w:cs="宋体"/>
          <w:color w:val="auto"/>
          <w:highlight w:val="none"/>
        </w:rPr>
        <w:t>、身份证、社保缴费证明等原件扫描件；施工负责人应附注册建造师证、安全生产考核合格证（B证）、身份证、社保缴费证明等原件扫描件。</w:t>
      </w:r>
    </w:p>
    <w:tbl>
      <w:tblPr>
        <w:tblStyle w:val="88"/>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357"/>
        <w:gridCol w:w="722"/>
        <w:gridCol w:w="927"/>
        <w:gridCol w:w="1065"/>
        <w:gridCol w:w="706"/>
        <w:gridCol w:w="1261"/>
        <w:gridCol w:w="163"/>
        <w:gridCol w:w="2413"/>
      </w:tblGrid>
      <w:tr w14:paraId="79D74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6" w:hRule="atLeast"/>
          <w:jc w:val="center"/>
        </w:trPr>
        <w:tc>
          <w:tcPr>
            <w:tcW w:w="1480" w:type="dxa"/>
            <w:vAlign w:val="center"/>
          </w:tcPr>
          <w:p w14:paraId="5A9225A0">
            <w:pPr>
              <w:spacing w:line="240" w:lineRule="auto"/>
              <w:jc w:val="center"/>
              <w:rPr>
                <w:rFonts w:ascii="宋体" w:cs="Times New Roman"/>
                <w:color w:val="auto"/>
                <w:highlight w:val="none"/>
              </w:rPr>
            </w:pPr>
            <w:r>
              <w:rPr>
                <w:rFonts w:hint="eastAsia" w:ascii="宋体" w:hAnsi="宋体" w:cs="宋体"/>
                <w:color w:val="auto"/>
                <w:highlight w:val="none"/>
              </w:rPr>
              <w:t>姓</w:t>
            </w:r>
            <w:r>
              <w:rPr>
                <w:rFonts w:ascii="宋体" w:hAnsi="宋体" w:cs="宋体"/>
                <w:color w:val="auto"/>
                <w:highlight w:val="none"/>
              </w:rPr>
              <w:t xml:space="preserve">  </w:t>
            </w:r>
            <w:r>
              <w:rPr>
                <w:rFonts w:hint="eastAsia" w:ascii="宋体" w:hAnsi="宋体" w:cs="宋体"/>
                <w:color w:val="auto"/>
                <w:highlight w:val="none"/>
              </w:rPr>
              <w:t>名</w:t>
            </w:r>
          </w:p>
        </w:tc>
        <w:tc>
          <w:tcPr>
            <w:tcW w:w="1079" w:type="dxa"/>
            <w:gridSpan w:val="2"/>
            <w:vAlign w:val="center"/>
          </w:tcPr>
          <w:p w14:paraId="79E098EC">
            <w:pPr>
              <w:spacing w:line="240" w:lineRule="auto"/>
              <w:jc w:val="center"/>
              <w:rPr>
                <w:rFonts w:ascii="宋体" w:cs="Times New Roman"/>
                <w:color w:val="auto"/>
                <w:highlight w:val="none"/>
              </w:rPr>
            </w:pPr>
          </w:p>
        </w:tc>
        <w:tc>
          <w:tcPr>
            <w:tcW w:w="927" w:type="dxa"/>
            <w:vAlign w:val="center"/>
          </w:tcPr>
          <w:p w14:paraId="5DAAAF56">
            <w:pPr>
              <w:spacing w:line="240" w:lineRule="auto"/>
              <w:jc w:val="center"/>
              <w:rPr>
                <w:rFonts w:ascii="宋体" w:cs="Times New Roman"/>
                <w:color w:val="auto"/>
                <w:highlight w:val="none"/>
              </w:rPr>
            </w:pPr>
            <w:r>
              <w:rPr>
                <w:rFonts w:hint="eastAsia" w:ascii="宋体" w:hAnsi="宋体" w:cs="宋体"/>
                <w:color w:val="auto"/>
                <w:highlight w:val="none"/>
              </w:rPr>
              <w:t>年</w:t>
            </w:r>
            <w:r>
              <w:rPr>
                <w:rFonts w:ascii="宋体" w:hAnsi="宋体" w:cs="宋体"/>
                <w:color w:val="auto"/>
                <w:highlight w:val="none"/>
              </w:rPr>
              <w:t xml:space="preserve"> </w:t>
            </w:r>
            <w:r>
              <w:rPr>
                <w:rFonts w:hint="eastAsia" w:ascii="宋体" w:hAnsi="宋体" w:cs="宋体"/>
                <w:color w:val="auto"/>
                <w:highlight w:val="none"/>
              </w:rPr>
              <w:t>龄</w:t>
            </w:r>
          </w:p>
        </w:tc>
        <w:tc>
          <w:tcPr>
            <w:tcW w:w="1065" w:type="dxa"/>
            <w:vAlign w:val="center"/>
          </w:tcPr>
          <w:p w14:paraId="577A2F04">
            <w:pPr>
              <w:spacing w:line="240" w:lineRule="auto"/>
              <w:jc w:val="center"/>
              <w:rPr>
                <w:rFonts w:ascii="宋体" w:cs="Times New Roman"/>
                <w:color w:val="auto"/>
                <w:highlight w:val="none"/>
              </w:rPr>
            </w:pPr>
          </w:p>
        </w:tc>
        <w:tc>
          <w:tcPr>
            <w:tcW w:w="2130" w:type="dxa"/>
            <w:gridSpan w:val="3"/>
            <w:vAlign w:val="center"/>
          </w:tcPr>
          <w:p w14:paraId="63718D51">
            <w:pPr>
              <w:spacing w:line="240" w:lineRule="auto"/>
              <w:jc w:val="center"/>
              <w:rPr>
                <w:rFonts w:ascii="宋体" w:cs="Times New Roman"/>
                <w:color w:val="auto"/>
                <w:highlight w:val="none"/>
              </w:rPr>
            </w:pPr>
            <w:r>
              <w:rPr>
                <w:rFonts w:hint="eastAsia" w:ascii="宋体" w:hAnsi="宋体" w:cs="宋体"/>
                <w:color w:val="auto"/>
                <w:highlight w:val="none"/>
              </w:rPr>
              <w:t>学历</w:t>
            </w:r>
          </w:p>
        </w:tc>
        <w:tc>
          <w:tcPr>
            <w:tcW w:w="2413" w:type="dxa"/>
            <w:vAlign w:val="center"/>
          </w:tcPr>
          <w:p w14:paraId="06E53992">
            <w:pPr>
              <w:spacing w:line="240" w:lineRule="auto"/>
              <w:jc w:val="center"/>
              <w:rPr>
                <w:rFonts w:ascii="宋体" w:cs="Times New Roman"/>
                <w:color w:val="auto"/>
                <w:highlight w:val="none"/>
              </w:rPr>
            </w:pPr>
          </w:p>
        </w:tc>
      </w:tr>
      <w:tr w14:paraId="63959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80" w:type="dxa"/>
            <w:vAlign w:val="center"/>
          </w:tcPr>
          <w:p w14:paraId="7391DB61">
            <w:pPr>
              <w:spacing w:line="240" w:lineRule="auto"/>
              <w:jc w:val="center"/>
              <w:rPr>
                <w:rFonts w:ascii="宋体" w:cs="Times New Roman"/>
                <w:color w:val="auto"/>
                <w:highlight w:val="none"/>
              </w:rPr>
            </w:pPr>
            <w:r>
              <w:rPr>
                <w:rFonts w:hint="eastAsia" w:ascii="宋体" w:hAnsi="宋体" w:cs="宋体"/>
                <w:color w:val="auto"/>
                <w:highlight w:val="none"/>
              </w:rPr>
              <w:t>职</w:t>
            </w:r>
            <w:r>
              <w:rPr>
                <w:rFonts w:ascii="宋体" w:hAnsi="宋体" w:cs="宋体"/>
                <w:color w:val="auto"/>
                <w:highlight w:val="none"/>
              </w:rPr>
              <w:t xml:space="preserve">  </w:t>
            </w:r>
            <w:r>
              <w:rPr>
                <w:rFonts w:hint="eastAsia" w:ascii="宋体" w:hAnsi="宋体" w:cs="宋体"/>
                <w:color w:val="auto"/>
                <w:highlight w:val="none"/>
              </w:rPr>
              <w:t>称</w:t>
            </w:r>
          </w:p>
        </w:tc>
        <w:tc>
          <w:tcPr>
            <w:tcW w:w="1079" w:type="dxa"/>
            <w:gridSpan w:val="2"/>
            <w:vAlign w:val="center"/>
          </w:tcPr>
          <w:p w14:paraId="0CC386CF">
            <w:pPr>
              <w:spacing w:line="240" w:lineRule="auto"/>
              <w:jc w:val="center"/>
              <w:rPr>
                <w:rFonts w:ascii="宋体" w:cs="Times New Roman"/>
                <w:color w:val="auto"/>
                <w:highlight w:val="none"/>
              </w:rPr>
            </w:pPr>
          </w:p>
        </w:tc>
        <w:tc>
          <w:tcPr>
            <w:tcW w:w="927" w:type="dxa"/>
            <w:vAlign w:val="center"/>
          </w:tcPr>
          <w:p w14:paraId="66AE05A9">
            <w:pPr>
              <w:spacing w:line="240" w:lineRule="auto"/>
              <w:jc w:val="center"/>
              <w:rPr>
                <w:rFonts w:ascii="宋体" w:cs="Times New Roman"/>
                <w:color w:val="auto"/>
                <w:highlight w:val="none"/>
              </w:rPr>
            </w:pPr>
            <w:r>
              <w:rPr>
                <w:rFonts w:hint="eastAsia" w:ascii="宋体" w:hAnsi="宋体" w:cs="宋体"/>
                <w:color w:val="auto"/>
                <w:highlight w:val="none"/>
              </w:rPr>
              <w:t>职</w:t>
            </w:r>
            <w:r>
              <w:rPr>
                <w:rFonts w:ascii="宋体" w:hAnsi="宋体" w:cs="宋体"/>
                <w:color w:val="auto"/>
                <w:highlight w:val="none"/>
              </w:rPr>
              <w:t xml:space="preserve"> </w:t>
            </w:r>
            <w:r>
              <w:rPr>
                <w:rFonts w:hint="eastAsia" w:ascii="宋体" w:hAnsi="宋体" w:cs="宋体"/>
                <w:color w:val="auto"/>
                <w:highlight w:val="none"/>
              </w:rPr>
              <w:t>务</w:t>
            </w:r>
          </w:p>
        </w:tc>
        <w:tc>
          <w:tcPr>
            <w:tcW w:w="1065" w:type="dxa"/>
            <w:vAlign w:val="center"/>
          </w:tcPr>
          <w:p w14:paraId="03DB4F55">
            <w:pPr>
              <w:spacing w:line="240" w:lineRule="auto"/>
              <w:jc w:val="center"/>
              <w:rPr>
                <w:rFonts w:ascii="宋体" w:cs="Times New Roman"/>
                <w:color w:val="auto"/>
                <w:highlight w:val="none"/>
              </w:rPr>
            </w:pPr>
          </w:p>
        </w:tc>
        <w:tc>
          <w:tcPr>
            <w:tcW w:w="2130" w:type="dxa"/>
            <w:gridSpan w:val="3"/>
            <w:vAlign w:val="center"/>
          </w:tcPr>
          <w:p w14:paraId="3ED174D4">
            <w:pPr>
              <w:spacing w:line="240" w:lineRule="auto"/>
              <w:jc w:val="center"/>
              <w:rPr>
                <w:rFonts w:ascii="宋体" w:cs="Times New Roman"/>
                <w:color w:val="auto"/>
                <w:highlight w:val="none"/>
              </w:rPr>
            </w:pPr>
            <w:r>
              <w:rPr>
                <w:rFonts w:hint="eastAsia" w:ascii="宋体" w:hAnsi="宋体" w:cs="宋体"/>
                <w:color w:val="auto"/>
                <w:highlight w:val="none"/>
              </w:rPr>
              <w:t>拟在本合同担任职务</w:t>
            </w:r>
          </w:p>
        </w:tc>
        <w:tc>
          <w:tcPr>
            <w:tcW w:w="2413" w:type="dxa"/>
            <w:vAlign w:val="center"/>
          </w:tcPr>
          <w:p w14:paraId="3A2588B8">
            <w:pPr>
              <w:spacing w:line="240" w:lineRule="auto"/>
              <w:jc w:val="center"/>
              <w:rPr>
                <w:rFonts w:ascii="宋体" w:cs="Times New Roman"/>
                <w:color w:val="auto"/>
                <w:highlight w:val="none"/>
              </w:rPr>
            </w:pPr>
          </w:p>
        </w:tc>
      </w:tr>
      <w:tr w14:paraId="20765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480" w:type="dxa"/>
            <w:vAlign w:val="center"/>
          </w:tcPr>
          <w:p w14:paraId="0CC73F67">
            <w:pPr>
              <w:spacing w:line="240" w:lineRule="auto"/>
              <w:jc w:val="center"/>
              <w:rPr>
                <w:rFonts w:ascii="宋体" w:cs="Times New Roman"/>
                <w:color w:val="auto"/>
                <w:highlight w:val="none"/>
              </w:rPr>
            </w:pPr>
            <w:r>
              <w:rPr>
                <w:rFonts w:hint="eastAsia" w:ascii="宋体" w:hAnsi="宋体" w:cs="宋体"/>
                <w:color w:val="auto"/>
                <w:highlight w:val="none"/>
              </w:rPr>
              <w:t>毕业学校</w:t>
            </w:r>
          </w:p>
        </w:tc>
        <w:tc>
          <w:tcPr>
            <w:tcW w:w="7614" w:type="dxa"/>
            <w:gridSpan w:val="8"/>
            <w:vAlign w:val="center"/>
          </w:tcPr>
          <w:p w14:paraId="3460AB71">
            <w:pPr>
              <w:spacing w:line="240" w:lineRule="auto"/>
              <w:ind w:firstLine="945" w:firstLineChars="450"/>
              <w:jc w:val="center"/>
              <w:rPr>
                <w:rFonts w:ascii="宋体" w:cs="Times New Roman"/>
                <w:color w:val="auto"/>
                <w:highlight w:val="none"/>
              </w:rPr>
            </w:pPr>
            <w:r>
              <w:rPr>
                <w:rFonts w:hint="eastAsia" w:ascii="宋体" w:hAnsi="宋体" w:cs="宋体"/>
                <w:color w:val="auto"/>
                <w:highlight w:val="none"/>
              </w:rPr>
              <w:t>年毕业于</w:t>
            </w:r>
            <w:r>
              <w:rPr>
                <w:rFonts w:ascii="宋体" w:hAnsi="宋体" w:cs="宋体"/>
                <w:color w:val="auto"/>
                <w:highlight w:val="none"/>
              </w:rPr>
              <w:t xml:space="preserve">            </w:t>
            </w:r>
            <w:r>
              <w:rPr>
                <w:rFonts w:hint="eastAsia" w:ascii="宋体" w:hAnsi="宋体" w:cs="宋体"/>
                <w:color w:val="auto"/>
                <w:highlight w:val="none"/>
              </w:rPr>
              <w:t>学校</w:t>
            </w:r>
            <w:r>
              <w:rPr>
                <w:rFonts w:ascii="宋体" w:hAnsi="宋体" w:cs="宋体"/>
                <w:color w:val="auto"/>
                <w:highlight w:val="none"/>
              </w:rPr>
              <w:t xml:space="preserve">        </w:t>
            </w:r>
            <w:r>
              <w:rPr>
                <w:rFonts w:hint="eastAsia" w:ascii="宋体" w:hAnsi="宋体" w:cs="宋体"/>
                <w:color w:val="auto"/>
                <w:highlight w:val="none"/>
              </w:rPr>
              <w:t>专业</w:t>
            </w:r>
          </w:p>
        </w:tc>
      </w:tr>
      <w:tr w14:paraId="033B2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094" w:type="dxa"/>
            <w:gridSpan w:val="9"/>
            <w:vAlign w:val="center"/>
          </w:tcPr>
          <w:p w14:paraId="45B2EFDC">
            <w:pPr>
              <w:spacing w:line="240" w:lineRule="auto"/>
              <w:jc w:val="center"/>
              <w:rPr>
                <w:rFonts w:ascii="宋体" w:cs="Times New Roman"/>
                <w:color w:val="auto"/>
                <w:highlight w:val="none"/>
              </w:rPr>
            </w:pPr>
            <w:r>
              <w:rPr>
                <w:rFonts w:hint="eastAsia" w:ascii="宋体" w:hAnsi="宋体" w:cs="宋体"/>
                <w:color w:val="auto"/>
                <w:highlight w:val="none"/>
              </w:rPr>
              <w:t>主要工作经历</w:t>
            </w:r>
          </w:p>
        </w:tc>
      </w:tr>
      <w:tr w14:paraId="2508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837" w:type="dxa"/>
            <w:gridSpan w:val="2"/>
            <w:vAlign w:val="center"/>
          </w:tcPr>
          <w:p w14:paraId="5115EBCA">
            <w:pPr>
              <w:spacing w:line="240" w:lineRule="auto"/>
              <w:jc w:val="center"/>
              <w:rPr>
                <w:rFonts w:ascii="宋体" w:cs="Times New Roman"/>
                <w:color w:val="auto"/>
                <w:highlight w:val="none"/>
              </w:rPr>
            </w:pPr>
            <w:r>
              <w:rPr>
                <w:rFonts w:hint="eastAsia" w:ascii="宋体" w:hAnsi="宋体" w:cs="宋体"/>
                <w:color w:val="auto"/>
                <w:highlight w:val="none"/>
              </w:rPr>
              <w:t>时</w:t>
            </w:r>
            <w:r>
              <w:rPr>
                <w:rFonts w:ascii="宋体" w:hAnsi="宋体" w:cs="宋体"/>
                <w:color w:val="auto"/>
                <w:highlight w:val="none"/>
              </w:rPr>
              <w:t xml:space="preserve">  </w:t>
            </w:r>
            <w:r>
              <w:rPr>
                <w:rFonts w:hint="eastAsia" w:ascii="宋体" w:hAnsi="宋体" w:cs="宋体"/>
                <w:color w:val="auto"/>
                <w:highlight w:val="none"/>
              </w:rPr>
              <w:t>间</w:t>
            </w:r>
          </w:p>
        </w:tc>
        <w:tc>
          <w:tcPr>
            <w:tcW w:w="3420" w:type="dxa"/>
            <w:gridSpan w:val="4"/>
            <w:vAlign w:val="center"/>
          </w:tcPr>
          <w:p w14:paraId="350636C4">
            <w:pPr>
              <w:spacing w:line="240" w:lineRule="auto"/>
              <w:jc w:val="center"/>
              <w:rPr>
                <w:rFonts w:ascii="宋体" w:cs="Times New Roman"/>
                <w:color w:val="auto"/>
                <w:highlight w:val="none"/>
              </w:rPr>
            </w:pPr>
            <w:r>
              <w:rPr>
                <w:rFonts w:hint="eastAsia" w:ascii="宋体" w:hAnsi="宋体" w:cs="宋体"/>
                <w:color w:val="auto"/>
                <w:highlight w:val="none"/>
              </w:rPr>
              <w:t>参加过的类似项目</w:t>
            </w:r>
          </w:p>
        </w:tc>
        <w:tc>
          <w:tcPr>
            <w:tcW w:w="1261" w:type="dxa"/>
            <w:vAlign w:val="center"/>
          </w:tcPr>
          <w:p w14:paraId="3938205E">
            <w:pPr>
              <w:spacing w:line="240" w:lineRule="auto"/>
              <w:jc w:val="center"/>
              <w:rPr>
                <w:rFonts w:ascii="宋体" w:cs="Times New Roman"/>
                <w:color w:val="auto"/>
                <w:highlight w:val="none"/>
              </w:rPr>
            </w:pPr>
            <w:r>
              <w:rPr>
                <w:rFonts w:hint="eastAsia" w:ascii="宋体" w:hAnsi="宋体" w:cs="宋体"/>
                <w:color w:val="auto"/>
                <w:highlight w:val="none"/>
              </w:rPr>
              <w:t>担任职务</w:t>
            </w:r>
          </w:p>
        </w:tc>
        <w:tc>
          <w:tcPr>
            <w:tcW w:w="2576" w:type="dxa"/>
            <w:gridSpan w:val="2"/>
            <w:vAlign w:val="center"/>
          </w:tcPr>
          <w:p w14:paraId="1C940B1E">
            <w:pPr>
              <w:spacing w:line="240" w:lineRule="auto"/>
              <w:jc w:val="center"/>
              <w:rPr>
                <w:rFonts w:ascii="宋体" w:cs="Times New Roman"/>
                <w:color w:val="auto"/>
                <w:highlight w:val="none"/>
              </w:rPr>
            </w:pPr>
            <w:r>
              <w:rPr>
                <w:rFonts w:hint="eastAsia" w:ascii="宋体" w:hAnsi="宋体" w:cs="宋体"/>
                <w:color w:val="auto"/>
                <w:highlight w:val="none"/>
              </w:rPr>
              <w:t>发包人及联系电话</w:t>
            </w:r>
          </w:p>
        </w:tc>
      </w:tr>
      <w:tr w14:paraId="0487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tcPr>
          <w:p w14:paraId="2ACA0B2D">
            <w:pPr>
              <w:spacing w:line="440" w:lineRule="exact"/>
              <w:rPr>
                <w:rFonts w:eastAsia="黑体" w:cs="Times New Roman"/>
                <w:color w:val="auto"/>
                <w:highlight w:val="none"/>
              </w:rPr>
            </w:pPr>
          </w:p>
        </w:tc>
        <w:tc>
          <w:tcPr>
            <w:tcW w:w="3420" w:type="dxa"/>
            <w:gridSpan w:val="4"/>
          </w:tcPr>
          <w:p w14:paraId="2B1CDFC5">
            <w:pPr>
              <w:spacing w:line="440" w:lineRule="exact"/>
              <w:rPr>
                <w:rFonts w:eastAsia="黑体" w:cs="Times New Roman"/>
                <w:color w:val="auto"/>
                <w:highlight w:val="none"/>
              </w:rPr>
            </w:pPr>
          </w:p>
        </w:tc>
        <w:tc>
          <w:tcPr>
            <w:tcW w:w="1261" w:type="dxa"/>
          </w:tcPr>
          <w:p w14:paraId="0F03BC0C">
            <w:pPr>
              <w:spacing w:line="440" w:lineRule="exact"/>
              <w:rPr>
                <w:rFonts w:eastAsia="黑体" w:cs="Times New Roman"/>
                <w:color w:val="auto"/>
                <w:highlight w:val="none"/>
              </w:rPr>
            </w:pPr>
          </w:p>
        </w:tc>
        <w:tc>
          <w:tcPr>
            <w:tcW w:w="2576" w:type="dxa"/>
            <w:gridSpan w:val="2"/>
          </w:tcPr>
          <w:p w14:paraId="6874DFA0">
            <w:pPr>
              <w:spacing w:line="440" w:lineRule="exact"/>
              <w:rPr>
                <w:rFonts w:eastAsia="黑体" w:cs="Times New Roman"/>
                <w:color w:val="auto"/>
                <w:highlight w:val="none"/>
              </w:rPr>
            </w:pPr>
          </w:p>
        </w:tc>
      </w:tr>
      <w:tr w14:paraId="1250F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tcPr>
          <w:p w14:paraId="6183C4B8">
            <w:pPr>
              <w:spacing w:line="440" w:lineRule="exact"/>
              <w:rPr>
                <w:rFonts w:eastAsia="黑体" w:cs="Times New Roman"/>
                <w:color w:val="auto"/>
                <w:highlight w:val="none"/>
              </w:rPr>
            </w:pPr>
          </w:p>
        </w:tc>
        <w:tc>
          <w:tcPr>
            <w:tcW w:w="3420" w:type="dxa"/>
            <w:gridSpan w:val="4"/>
          </w:tcPr>
          <w:p w14:paraId="6F269379">
            <w:pPr>
              <w:spacing w:line="440" w:lineRule="exact"/>
              <w:rPr>
                <w:rFonts w:eastAsia="黑体" w:cs="Times New Roman"/>
                <w:color w:val="auto"/>
                <w:highlight w:val="none"/>
              </w:rPr>
            </w:pPr>
          </w:p>
        </w:tc>
        <w:tc>
          <w:tcPr>
            <w:tcW w:w="1261" w:type="dxa"/>
          </w:tcPr>
          <w:p w14:paraId="0228DC66">
            <w:pPr>
              <w:spacing w:line="440" w:lineRule="exact"/>
              <w:rPr>
                <w:rFonts w:eastAsia="黑体" w:cs="Times New Roman"/>
                <w:color w:val="auto"/>
                <w:highlight w:val="none"/>
              </w:rPr>
            </w:pPr>
          </w:p>
        </w:tc>
        <w:tc>
          <w:tcPr>
            <w:tcW w:w="2576" w:type="dxa"/>
            <w:gridSpan w:val="2"/>
          </w:tcPr>
          <w:p w14:paraId="5BEAC2AC">
            <w:pPr>
              <w:spacing w:line="440" w:lineRule="exact"/>
              <w:rPr>
                <w:rFonts w:eastAsia="黑体" w:cs="Times New Roman"/>
                <w:color w:val="auto"/>
                <w:highlight w:val="none"/>
              </w:rPr>
            </w:pPr>
          </w:p>
        </w:tc>
      </w:tr>
      <w:tr w14:paraId="36BF8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tcPr>
          <w:p w14:paraId="23F0858E">
            <w:pPr>
              <w:spacing w:line="440" w:lineRule="exact"/>
              <w:rPr>
                <w:rFonts w:eastAsia="黑体" w:cs="Times New Roman"/>
                <w:color w:val="auto"/>
                <w:highlight w:val="none"/>
              </w:rPr>
            </w:pPr>
          </w:p>
        </w:tc>
        <w:tc>
          <w:tcPr>
            <w:tcW w:w="3420" w:type="dxa"/>
            <w:gridSpan w:val="4"/>
          </w:tcPr>
          <w:p w14:paraId="2B9EFD3A">
            <w:pPr>
              <w:spacing w:line="440" w:lineRule="exact"/>
              <w:rPr>
                <w:rFonts w:eastAsia="黑体" w:cs="Times New Roman"/>
                <w:color w:val="auto"/>
                <w:highlight w:val="none"/>
              </w:rPr>
            </w:pPr>
          </w:p>
        </w:tc>
        <w:tc>
          <w:tcPr>
            <w:tcW w:w="1261" w:type="dxa"/>
          </w:tcPr>
          <w:p w14:paraId="3418AF2F">
            <w:pPr>
              <w:spacing w:line="440" w:lineRule="exact"/>
              <w:rPr>
                <w:rFonts w:eastAsia="黑体" w:cs="Times New Roman"/>
                <w:color w:val="auto"/>
                <w:highlight w:val="none"/>
              </w:rPr>
            </w:pPr>
          </w:p>
        </w:tc>
        <w:tc>
          <w:tcPr>
            <w:tcW w:w="2576" w:type="dxa"/>
            <w:gridSpan w:val="2"/>
          </w:tcPr>
          <w:p w14:paraId="55695BF9">
            <w:pPr>
              <w:spacing w:line="440" w:lineRule="exact"/>
              <w:rPr>
                <w:rFonts w:eastAsia="黑体" w:cs="Times New Roman"/>
                <w:color w:val="auto"/>
                <w:highlight w:val="none"/>
              </w:rPr>
            </w:pPr>
          </w:p>
        </w:tc>
      </w:tr>
      <w:tr w14:paraId="5F36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vAlign w:val="center"/>
          </w:tcPr>
          <w:p w14:paraId="69183000">
            <w:pPr>
              <w:spacing w:line="440" w:lineRule="exact"/>
              <w:rPr>
                <w:rFonts w:eastAsia="黑体" w:cs="Times New Roman"/>
                <w:color w:val="auto"/>
                <w:highlight w:val="none"/>
              </w:rPr>
            </w:pPr>
          </w:p>
        </w:tc>
        <w:tc>
          <w:tcPr>
            <w:tcW w:w="3420" w:type="dxa"/>
            <w:gridSpan w:val="4"/>
            <w:vAlign w:val="center"/>
          </w:tcPr>
          <w:p w14:paraId="5A02614A">
            <w:pPr>
              <w:spacing w:line="440" w:lineRule="exact"/>
              <w:rPr>
                <w:rFonts w:eastAsia="黑体" w:cs="Times New Roman"/>
                <w:color w:val="auto"/>
                <w:highlight w:val="none"/>
              </w:rPr>
            </w:pPr>
          </w:p>
        </w:tc>
        <w:tc>
          <w:tcPr>
            <w:tcW w:w="1261" w:type="dxa"/>
            <w:vAlign w:val="center"/>
          </w:tcPr>
          <w:p w14:paraId="281B59B3">
            <w:pPr>
              <w:spacing w:line="440" w:lineRule="exact"/>
              <w:rPr>
                <w:rFonts w:eastAsia="黑体" w:cs="Times New Roman"/>
                <w:color w:val="auto"/>
                <w:highlight w:val="none"/>
              </w:rPr>
            </w:pPr>
          </w:p>
        </w:tc>
        <w:tc>
          <w:tcPr>
            <w:tcW w:w="2576" w:type="dxa"/>
            <w:gridSpan w:val="2"/>
            <w:vAlign w:val="center"/>
          </w:tcPr>
          <w:p w14:paraId="1DBCE4E1">
            <w:pPr>
              <w:spacing w:line="440" w:lineRule="exact"/>
              <w:rPr>
                <w:rFonts w:eastAsia="黑体" w:cs="Times New Roman"/>
                <w:color w:val="auto"/>
                <w:highlight w:val="none"/>
              </w:rPr>
            </w:pPr>
          </w:p>
        </w:tc>
      </w:tr>
      <w:tr w14:paraId="6107D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vAlign w:val="center"/>
          </w:tcPr>
          <w:p w14:paraId="73846CE6">
            <w:pPr>
              <w:spacing w:line="440" w:lineRule="exact"/>
              <w:rPr>
                <w:rFonts w:eastAsia="黑体" w:cs="Times New Roman"/>
                <w:color w:val="auto"/>
                <w:highlight w:val="none"/>
              </w:rPr>
            </w:pPr>
          </w:p>
        </w:tc>
        <w:tc>
          <w:tcPr>
            <w:tcW w:w="3420" w:type="dxa"/>
            <w:gridSpan w:val="4"/>
            <w:vAlign w:val="center"/>
          </w:tcPr>
          <w:p w14:paraId="567C3DEB">
            <w:pPr>
              <w:spacing w:line="440" w:lineRule="exact"/>
              <w:rPr>
                <w:rFonts w:eastAsia="黑体" w:cs="Times New Roman"/>
                <w:color w:val="auto"/>
                <w:highlight w:val="none"/>
              </w:rPr>
            </w:pPr>
          </w:p>
        </w:tc>
        <w:tc>
          <w:tcPr>
            <w:tcW w:w="1261" w:type="dxa"/>
            <w:vAlign w:val="center"/>
          </w:tcPr>
          <w:p w14:paraId="6253591E">
            <w:pPr>
              <w:spacing w:line="440" w:lineRule="exact"/>
              <w:rPr>
                <w:rFonts w:eastAsia="黑体" w:cs="Times New Roman"/>
                <w:color w:val="auto"/>
                <w:highlight w:val="none"/>
              </w:rPr>
            </w:pPr>
          </w:p>
        </w:tc>
        <w:tc>
          <w:tcPr>
            <w:tcW w:w="2576" w:type="dxa"/>
            <w:gridSpan w:val="2"/>
            <w:vAlign w:val="center"/>
          </w:tcPr>
          <w:p w14:paraId="0CADC9F7">
            <w:pPr>
              <w:spacing w:line="440" w:lineRule="exact"/>
              <w:rPr>
                <w:rFonts w:eastAsia="黑体" w:cs="Times New Roman"/>
                <w:color w:val="auto"/>
                <w:highlight w:val="none"/>
              </w:rPr>
            </w:pPr>
          </w:p>
        </w:tc>
      </w:tr>
      <w:tr w14:paraId="25E7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vAlign w:val="center"/>
          </w:tcPr>
          <w:p w14:paraId="48C3A461">
            <w:pPr>
              <w:spacing w:line="440" w:lineRule="exact"/>
              <w:rPr>
                <w:rFonts w:eastAsia="黑体" w:cs="Times New Roman"/>
                <w:color w:val="auto"/>
                <w:highlight w:val="none"/>
              </w:rPr>
            </w:pPr>
          </w:p>
        </w:tc>
        <w:tc>
          <w:tcPr>
            <w:tcW w:w="3420" w:type="dxa"/>
            <w:gridSpan w:val="4"/>
            <w:vAlign w:val="center"/>
          </w:tcPr>
          <w:p w14:paraId="1431FBEE">
            <w:pPr>
              <w:spacing w:line="440" w:lineRule="exact"/>
              <w:rPr>
                <w:rFonts w:eastAsia="黑体" w:cs="Times New Roman"/>
                <w:color w:val="auto"/>
                <w:highlight w:val="none"/>
              </w:rPr>
            </w:pPr>
          </w:p>
        </w:tc>
        <w:tc>
          <w:tcPr>
            <w:tcW w:w="1261" w:type="dxa"/>
            <w:vAlign w:val="center"/>
          </w:tcPr>
          <w:p w14:paraId="72E352B1">
            <w:pPr>
              <w:spacing w:line="440" w:lineRule="exact"/>
              <w:rPr>
                <w:rFonts w:eastAsia="黑体" w:cs="Times New Roman"/>
                <w:color w:val="auto"/>
                <w:highlight w:val="none"/>
              </w:rPr>
            </w:pPr>
          </w:p>
        </w:tc>
        <w:tc>
          <w:tcPr>
            <w:tcW w:w="2576" w:type="dxa"/>
            <w:gridSpan w:val="2"/>
            <w:vAlign w:val="center"/>
          </w:tcPr>
          <w:p w14:paraId="179449E3">
            <w:pPr>
              <w:spacing w:line="440" w:lineRule="exact"/>
              <w:rPr>
                <w:rFonts w:eastAsia="黑体" w:cs="Times New Roman"/>
                <w:color w:val="auto"/>
                <w:highlight w:val="none"/>
              </w:rPr>
            </w:pPr>
          </w:p>
        </w:tc>
      </w:tr>
      <w:tr w14:paraId="34E1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vAlign w:val="center"/>
          </w:tcPr>
          <w:p w14:paraId="389E8370">
            <w:pPr>
              <w:spacing w:line="440" w:lineRule="exact"/>
              <w:rPr>
                <w:rFonts w:eastAsia="黑体" w:cs="Times New Roman"/>
                <w:color w:val="auto"/>
                <w:highlight w:val="none"/>
              </w:rPr>
            </w:pPr>
          </w:p>
        </w:tc>
        <w:tc>
          <w:tcPr>
            <w:tcW w:w="3420" w:type="dxa"/>
            <w:gridSpan w:val="4"/>
            <w:vAlign w:val="center"/>
          </w:tcPr>
          <w:p w14:paraId="06F86E7A">
            <w:pPr>
              <w:spacing w:line="440" w:lineRule="exact"/>
              <w:rPr>
                <w:rFonts w:eastAsia="黑体" w:cs="Times New Roman"/>
                <w:color w:val="auto"/>
                <w:highlight w:val="none"/>
              </w:rPr>
            </w:pPr>
          </w:p>
        </w:tc>
        <w:tc>
          <w:tcPr>
            <w:tcW w:w="1261" w:type="dxa"/>
            <w:vAlign w:val="center"/>
          </w:tcPr>
          <w:p w14:paraId="30A4F183">
            <w:pPr>
              <w:spacing w:line="440" w:lineRule="exact"/>
              <w:rPr>
                <w:rFonts w:eastAsia="黑体" w:cs="Times New Roman"/>
                <w:color w:val="auto"/>
                <w:highlight w:val="none"/>
              </w:rPr>
            </w:pPr>
          </w:p>
        </w:tc>
        <w:tc>
          <w:tcPr>
            <w:tcW w:w="2576" w:type="dxa"/>
            <w:gridSpan w:val="2"/>
            <w:vAlign w:val="center"/>
          </w:tcPr>
          <w:p w14:paraId="6F7840E6">
            <w:pPr>
              <w:spacing w:line="440" w:lineRule="exact"/>
              <w:rPr>
                <w:rFonts w:eastAsia="黑体" w:cs="Times New Roman"/>
                <w:color w:val="auto"/>
                <w:highlight w:val="none"/>
              </w:rPr>
            </w:pPr>
          </w:p>
        </w:tc>
      </w:tr>
      <w:tr w14:paraId="73354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vAlign w:val="center"/>
          </w:tcPr>
          <w:p w14:paraId="128480A0">
            <w:pPr>
              <w:spacing w:line="440" w:lineRule="exact"/>
              <w:rPr>
                <w:rFonts w:eastAsia="黑体" w:cs="Times New Roman"/>
                <w:color w:val="auto"/>
                <w:highlight w:val="none"/>
              </w:rPr>
            </w:pPr>
          </w:p>
        </w:tc>
        <w:tc>
          <w:tcPr>
            <w:tcW w:w="3420" w:type="dxa"/>
            <w:gridSpan w:val="4"/>
            <w:vAlign w:val="center"/>
          </w:tcPr>
          <w:p w14:paraId="46A57A1E">
            <w:pPr>
              <w:spacing w:line="440" w:lineRule="exact"/>
              <w:rPr>
                <w:rFonts w:eastAsia="黑体" w:cs="Times New Roman"/>
                <w:color w:val="auto"/>
                <w:highlight w:val="none"/>
              </w:rPr>
            </w:pPr>
          </w:p>
        </w:tc>
        <w:tc>
          <w:tcPr>
            <w:tcW w:w="1261" w:type="dxa"/>
            <w:vAlign w:val="center"/>
          </w:tcPr>
          <w:p w14:paraId="3D59FA90">
            <w:pPr>
              <w:spacing w:line="440" w:lineRule="exact"/>
              <w:rPr>
                <w:rFonts w:eastAsia="黑体" w:cs="Times New Roman"/>
                <w:color w:val="auto"/>
                <w:highlight w:val="none"/>
              </w:rPr>
            </w:pPr>
          </w:p>
        </w:tc>
        <w:tc>
          <w:tcPr>
            <w:tcW w:w="2576" w:type="dxa"/>
            <w:gridSpan w:val="2"/>
            <w:vAlign w:val="center"/>
          </w:tcPr>
          <w:p w14:paraId="27890124">
            <w:pPr>
              <w:spacing w:line="440" w:lineRule="exact"/>
              <w:rPr>
                <w:rFonts w:eastAsia="黑体" w:cs="Times New Roman"/>
                <w:color w:val="auto"/>
                <w:highlight w:val="none"/>
              </w:rPr>
            </w:pPr>
          </w:p>
        </w:tc>
      </w:tr>
      <w:tr w14:paraId="4D77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37" w:type="dxa"/>
            <w:gridSpan w:val="2"/>
            <w:vAlign w:val="center"/>
          </w:tcPr>
          <w:p w14:paraId="0A6648CF">
            <w:pPr>
              <w:spacing w:line="440" w:lineRule="exact"/>
              <w:rPr>
                <w:rFonts w:eastAsia="黑体" w:cs="Times New Roman"/>
                <w:color w:val="auto"/>
                <w:highlight w:val="none"/>
              </w:rPr>
            </w:pPr>
          </w:p>
        </w:tc>
        <w:tc>
          <w:tcPr>
            <w:tcW w:w="3420" w:type="dxa"/>
            <w:gridSpan w:val="4"/>
            <w:vAlign w:val="center"/>
          </w:tcPr>
          <w:p w14:paraId="3CD47298">
            <w:pPr>
              <w:spacing w:line="440" w:lineRule="exact"/>
              <w:rPr>
                <w:rFonts w:eastAsia="黑体" w:cs="Times New Roman"/>
                <w:color w:val="auto"/>
                <w:highlight w:val="none"/>
              </w:rPr>
            </w:pPr>
          </w:p>
        </w:tc>
        <w:tc>
          <w:tcPr>
            <w:tcW w:w="1261" w:type="dxa"/>
            <w:vAlign w:val="center"/>
          </w:tcPr>
          <w:p w14:paraId="4F2231E5">
            <w:pPr>
              <w:spacing w:line="440" w:lineRule="exact"/>
              <w:rPr>
                <w:rFonts w:eastAsia="黑体" w:cs="Times New Roman"/>
                <w:color w:val="auto"/>
                <w:highlight w:val="none"/>
              </w:rPr>
            </w:pPr>
          </w:p>
        </w:tc>
        <w:tc>
          <w:tcPr>
            <w:tcW w:w="2576" w:type="dxa"/>
            <w:gridSpan w:val="2"/>
            <w:vAlign w:val="center"/>
          </w:tcPr>
          <w:p w14:paraId="0A44FEE8">
            <w:pPr>
              <w:spacing w:line="440" w:lineRule="exact"/>
              <w:rPr>
                <w:rFonts w:eastAsia="黑体" w:cs="Times New Roman"/>
                <w:color w:val="auto"/>
                <w:highlight w:val="none"/>
              </w:rPr>
            </w:pPr>
          </w:p>
        </w:tc>
      </w:tr>
    </w:tbl>
    <w:p w14:paraId="546E7239">
      <w:pPr>
        <w:pStyle w:val="453"/>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highlight w:val="none"/>
        </w:rPr>
      </w:pPr>
      <w:r>
        <w:rPr>
          <w:rFonts w:hint="eastAsia" w:cs="宋体"/>
          <w:b/>
          <w:bCs/>
          <w:color w:val="auto"/>
          <w:highlight w:val="none"/>
        </w:rPr>
        <w:t>备注</w:t>
      </w:r>
      <w:r>
        <w:rPr>
          <w:rFonts w:hint="eastAsia" w:cs="宋体"/>
          <w:color w:val="auto"/>
          <w:highlight w:val="none"/>
        </w:rPr>
        <w:t>：</w:t>
      </w:r>
      <w:r>
        <w:rPr>
          <w:rFonts w:hint="eastAsia" w:ascii="宋体" w:hAnsi="宋体" w:eastAsia="宋体" w:cs="宋体"/>
          <w:color w:val="auto"/>
          <w:highlight w:val="none"/>
        </w:rPr>
        <w:t>1.项目负责人、设计负责人、施工负责人分别填写，若项目负责人和施工负责人为同一人的，只需填写项目负责人、设计负责人。</w:t>
      </w:r>
    </w:p>
    <w:p w14:paraId="354903B0">
      <w:pPr>
        <w:pStyle w:val="453"/>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2.若为退休人员不需提供社保证明扫描件，提供退休证及聘用合同原件扫描件即可。</w:t>
      </w:r>
    </w:p>
    <w:p w14:paraId="46FCF6CD">
      <w:pPr>
        <w:pStyle w:val="453"/>
        <w:keepNext w:val="0"/>
        <w:keepLines w:val="0"/>
        <w:pageBreakBefore w:val="0"/>
        <w:widowControl w:val="0"/>
        <w:numPr>
          <w:ilvl w:val="2"/>
          <w:numId w:val="0"/>
        </w:numPr>
        <w:tabs>
          <w:tab w:val="clear" w:pos="2160"/>
        </w:tabs>
        <w:kinsoku/>
        <w:wordWrap/>
        <w:overflowPunct/>
        <w:topLinePunct w:val="0"/>
        <w:autoSpaceDE/>
        <w:autoSpaceDN/>
        <w:bidi w:val="0"/>
        <w:adjustRightInd/>
        <w:snapToGrid w:val="0"/>
        <w:spacing w:line="360" w:lineRule="auto"/>
        <w:ind w:leftChars="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此表须符合招标文件中“设计和施工现场专业（管理）人员配备表”的要求</w:t>
      </w:r>
      <w:r>
        <w:rPr>
          <w:rFonts w:hint="eastAsia" w:ascii="宋体" w:hAnsi="宋体" w:eastAsia="宋体" w:cs="宋体"/>
          <w:color w:val="auto"/>
          <w:szCs w:val="21"/>
          <w:highlight w:val="none"/>
          <w:lang w:eastAsia="zh-CN"/>
        </w:rPr>
        <w:t>。</w:t>
      </w:r>
    </w:p>
    <w:p w14:paraId="69564ED1">
      <w:pPr>
        <w:pStyle w:val="453"/>
        <w:numPr>
          <w:ilvl w:val="0"/>
          <w:numId w:val="0"/>
        </w:numPr>
        <w:snapToGrid w:val="0"/>
        <w:spacing w:after="120" w:afterLines="50" w:line="360" w:lineRule="auto"/>
        <w:rPr>
          <w:rFonts w:cs="Times New Roman"/>
          <w:b/>
          <w:bCs/>
          <w:color w:val="auto"/>
          <w:sz w:val="28"/>
          <w:szCs w:val="28"/>
          <w:highlight w:val="none"/>
        </w:rPr>
      </w:pPr>
    </w:p>
    <w:p w14:paraId="5BBEF176">
      <w:pPr>
        <w:pStyle w:val="453"/>
        <w:numPr>
          <w:ilvl w:val="0"/>
          <w:numId w:val="0"/>
        </w:numPr>
        <w:snapToGrid w:val="0"/>
        <w:spacing w:after="120" w:afterLines="50" w:line="360" w:lineRule="auto"/>
        <w:rPr>
          <w:rFonts w:cs="Times New Roman"/>
          <w:b/>
          <w:bCs/>
          <w:color w:val="auto"/>
          <w:sz w:val="28"/>
          <w:szCs w:val="28"/>
          <w:highlight w:val="none"/>
        </w:rPr>
      </w:pPr>
    </w:p>
    <w:p w14:paraId="3CFFFA69">
      <w:pPr>
        <w:pStyle w:val="453"/>
        <w:numPr>
          <w:ilvl w:val="0"/>
          <w:numId w:val="0"/>
        </w:numPr>
        <w:snapToGrid w:val="0"/>
        <w:spacing w:after="120" w:afterLines="50" w:line="360" w:lineRule="auto"/>
        <w:rPr>
          <w:rFonts w:cs="Times New Roman"/>
          <w:b/>
          <w:bCs/>
          <w:color w:val="auto"/>
          <w:sz w:val="28"/>
          <w:szCs w:val="28"/>
          <w:highlight w:val="none"/>
        </w:rPr>
      </w:pPr>
    </w:p>
    <w:p w14:paraId="1131D533">
      <w:pPr>
        <w:pStyle w:val="677"/>
        <w:adjustRightInd w:val="0"/>
        <w:snapToGrid w:val="0"/>
        <w:spacing w:after="200" w:line="360" w:lineRule="auto"/>
        <w:jc w:val="center"/>
        <w:rPr>
          <w:rStyle w:val="207"/>
          <w:rFonts w:ascii="宋体" w:cs="Times New Roman"/>
          <w:b/>
          <w:bCs/>
          <w:color w:val="auto"/>
          <w:kern w:val="2"/>
          <w:sz w:val="32"/>
          <w:szCs w:val="32"/>
          <w:highlight w:val="none"/>
        </w:rPr>
      </w:pPr>
      <w:r>
        <w:rPr>
          <w:rStyle w:val="207"/>
          <w:rFonts w:hint="eastAsia" w:ascii="宋体" w:hAnsi="宋体" w:cs="宋体"/>
          <w:b/>
          <w:bCs/>
          <w:color w:val="auto"/>
          <w:kern w:val="2"/>
          <w:sz w:val="28"/>
          <w:szCs w:val="28"/>
          <w:highlight w:val="none"/>
        </w:rPr>
        <w:t>附：承</w:t>
      </w:r>
      <w:r>
        <w:rPr>
          <w:rStyle w:val="207"/>
          <w:rFonts w:ascii="宋体" w:hAnsi="宋体" w:cs="宋体"/>
          <w:b/>
          <w:bCs/>
          <w:color w:val="auto"/>
          <w:kern w:val="2"/>
          <w:sz w:val="28"/>
          <w:szCs w:val="28"/>
          <w:highlight w:val="none"/>
        </w:rPr>
        <w:t xml:space="preserve">  </w:t>
      </w:r>
      <w:r>
        <w:rPr>
          <w:rStyle w:val="207"/>
          <w:rFonts w:hint="eastAsia" w:ascii="宋体" w:hAnsi="宋体" w:cs="宋体"/>
          <w:b/>
          <w:bCs/>
          <w:color w:val="auto"/>
          <w:kern w:val="2"/>
          <w:sz w:val="28"/>
          <w:szCs w:val="28"/>
          <w:highlight w:val="none"/>
        </w:rPr>
        <w:t>诺</w:t>
      </w:r>
      <w:r>
        <w:rPr>
          <w:rStyle w:val="207"/>
          <w:rFonts w:ascii="宋体" w:hAnsi="宋体" w:cs="宋体"/>
          <w:b/>
          <w:bCs/>
          <w:color w:val="auto"/>
          <w:kern w:val="2"/>
          <w:sz w:val="28"/>
          <w:szCs w:val="28"/>
          <w:highlight w:val="none"/>
        </w:rPr>
        <w:t xml:space="preserve">  </w:t>
      </w:r>
      <w:r>
        <w:rPr>
          <w:rStyle w:val="207"/>
          <w:rFonts w:hint="eastAsia" w:ascii="宋体" w:hAnsi="宋体" w:cs="宋体"/>
          <w:b/>
          <w:bCs/>
          <w:color w:val="auto"/>
          <w:kern w:val="2"/>
          <w:sz w:val="28"/>
          <w:szCs w:val="28"/>
          <w:highlight w:val="none"/>
        </w:rPr>
        <w:t>书</w:t>
      </w:r>
    </w:p>
    <w:p w14:paraId="42245988">
      <w:pPr>
        <w:pStyle w:val="536"/>
        <w:adjustRightInd w:val="0"/>
        <w:snapToGrid w:val="0"/>
        <w:spacing w:after="200" w:line="360" w:lineRule="auto"/>
        <w:jc w:val="both"/>
        <w:rPr>
          <w:rStyle w:val="207"/>
          <w:rFonts w:ascii="宋体" w:cs="Times New Roman"/>
          <w:color w:val="auto"/>
          <w:kern w:val="2"/>
          <w:sz w:val="21"/>
          <w:szCs w:val="21"/>
          <w:highlight w:val="none"/>
        </w:rPr>
      </w:pPr>
      <w:r>
        <w:rPr>
          <w:rStyle w:val="207"/>
          <w:rFonts w:hint="eastAsia" w:ascii="宋体" w:hAnsi="宋体" w:cs="宋体"/>
          <w:color w:val="auto"/>
          <w:kern w:val="2"/>
          <w:sz w:val="21"/>
          <w:szCs w:val="21"/>
          <w:highlight w:val="none"/>
          <w:u w:val="single"/>
        </w:rPr>
        <w:t>（招标人名称）</w:t>
      </w:r>
      <w:r>
        <w:rPr>
          <w:rStyle w:val="207"/>
          <w:rFonts w:ascii="宋体" w:hAnsi="宋体" w:cs="宋体"/>
          <w:color w:val="auto"/>
          <w:kern w:val="2"/>
          <w:sz w:val="21"/>
          <w:szCs w:val="21"/>
          <w:highlight w:val="none"/>
          <w:u w:val="single"/>
        </w:rPr>
        <w:t xml:space="preserve">  </w:t>
      </w:r>
      <w:r>
        <w:rPr>
          <w:rStyle w:val="207"/>
          <w:rFonts w:hint="eastAsia" w:ascii="宋体" w:hAnsi="宋体" w:cs="宋体"/>
          <w:color w:val="auto"/>
          <w:kern w:val="2"/>
          <w:sz w:val="21"/>
          <w:szCs w:val="21"/>
          <w:highlight w:val="none"/>
        </w:rPr>
        <w:t>：</w:t>
      </w:r>
    </w:p>
    <w:p w14:paraId="29939CB7">
      <w:pPr>
        <w:spacing w:line="440" w:lineRule="exact"/>
        <w:ind w:firstLine="420" w:firstLineChars="200"/>
        <w:jc w:val="left"/>
        <w:rPr>
          <w:rFonts w:ascii="宋体" w:cs="Times New Roman"/>
          <w:color w:val="auto"/>
          <w:highlight w:val="none"/>
        </w:rPr>
      </w:pPr>
      <w:r>
        <w:rPr>
          <w:rStyle w:val="207"/>
          <w:rFonts w:hint="eastAsia" w:ascii="宋体" w:hAnsi="宋体" w:cs="宋体"/>
          <w:color w:val="auto"/>
          <w:highlight w:val="none"/>
        </w:rPr>
        <w:t>我方在此声明，我方拟派往</w:t>
      </w:r>
      <w:r>
        <w:rPr>
          <w:rStyle w:val="207"/>
          <w:rFonts w:hint="eastAsia" w:ascii="宋体" w:hAnsi="宋体" w:cs="宋体"/>
          <w:color w:val="auto"/>
          <w:highlight w:val="none"/>
          <w:u w:val="single"/>
        </w:rPr>
        <w:t>（项目名称）</w:t>
      </w:r>
      <w:r>
        <w:rPr>
          <w:rStyle w:val="207"/>
          <w:rFonts w:ascii="宋体" w:hAnsi="宋体" w:cs="宋体"/>
          <w:color w:val="auto"/>
          <w:highlight w:val="none"/>
          <w:u w:val="single"/>
        </w:rPr>
        <w:t xml:space="preserve">  </w:t>
      </w:r>
      <w:r>
        <w:rPr>
          <w:rFonts w:hint="eastAsia" w:ascii="宋体" w:hAnsi="宋体" w:cs="宋体"/>
          <w:color w:val="auto"/>
          <w:highlight w:val="none"/>
        </w:rPr>
        <w:t>（以下简称“本工程”）的项目负责人</w:t>
      </w:r>
      <w:r>
        <w:rPr>
          <w:rFonts w:ascii="宋体" w:hAnsi="宋体" w:cs="宋体"/>
          <w:color w:val="auto"/>
          <w:highlight w:val="none"/>
          <w:u w:val="single"/>
        </w:rPr>
        <w:t xml:space="preserve">  </w:t>
      </w:r>
      <w:r>
        <w:rPr>
          <w:rFonts w:hint="eastAsia" w:ascii="宋体" w:hAnsi="宋体" w:cs="宋体"/>
          <w:color w:val="auto"/>
          <w:highlight w:val="none"/>
          <w:u w:val="single"/>
        </w:rPr>
        <w:t>施工负责人（项目经理）姓名</w:t>
      </w:r>
      <w:r>
        <w:rPr>
          <w:rFonts w:ascii="宋体" w:hAnsi="宋体" w:cs="宋体"/>
          <w:color w:val="auto"/>
          <w:highlight w:val="none"/>
          <w:u w:val="single"/>
        </w:rPr>
        <w:t xml:space="preserve">  </w:t>
      </w:r>
      <w:r>
        <w:rPr>
          <w:rFonts w:hint="eastAsia" w:ascii="宋体" w:hAnsi="宋体" w:cs="宋体"/>
          <w:color w:val="auto"/>
          <w:highlight w:val="none"/>
        </w:rPr>
        <w:t>现阶段没有担任任何在建建设工程项目的项目负责人。</w:t>
      </w:r>
    </w:p>
    <w:p w14:paraId="3A99C2C8">
      <w:pPr>
        <w:spacing w:line="440" w:lineRule="exact"/>
        <w:ind w:firstLine="420" w:firstLineChars="200"/>
        <w:jc w:val="left"/>
        <w:rPr>
          <w:rFonts w:ascii="宋体" w:cs="Times New Roman"/>
          <w:color w:val="auto"/>
          <w:highlight w:val="none"/>
        </w:rPr>
      </w:pPr>
      <w:r>
        <w:rPr>
          <w:rFonts w:hint="eastAsia" w:ascii="宋体" w:hAnsi="宋体" w:cs="宋体"/>
          <w:color w:val="auto"/>
          <w:highlight w:val="none"/>
        </w:rPr>
        <w:t>我方保证上述信息的真实和准确，并愿意承担因我方就此弄虚作假所引起的一切法律后果。</w:t>
      </w:r>
    </w:p>
    <w:p w14:paraId="272C5670">
      <w:pPr>
        <w:pStyle w:val="536"/>
        <w:adjustRightInd w:val="0"/>
        <w:snapToGrid w:val="0"/>
        <w:spacing w:after="200" w:line="360" w:lineRule="auto"/>
        <w:ind w:firstLine="420" w:firstLineChars="200"/>
        <w:jc w:val="both"/>
        <w:rPr>
          <w:rStyle w:val="207"/>
          <w:rFonts w:ascii="宋体" w:cs="Times New Roman"/>
          <w:color w:val="auto"/>
          <w:kern w:val="2"/>
          <w:sz w:val="21"/>
          <w:szCs w:val="21"/>
          <w:highlight w:val="none"/>
        </w:rPr>
      </w:pPr>
    </w:p>
    <w:p w14:paraId="0B448894">
      <w:pPr>
        <w:pStyle w:val="701"/>
        <w:adjustRightInd w:val="0"/>
        <w:snapToGrid w:val="0"/>
        <w:spacing w:after="200" w:line="360" w:lineRule="auto"/>
        <w:ind w:firstLine="420" w:firstLineChars="200"/>
        <w:rPr>
          <w:rFonts w:ascii="宋体" w:cs="Times New Roman"/>
          <w:color w:val="auto"/>
          <w:sz w:val="21"/>
          <w:szCs w:val="21"/>
          <w:highlight w:val="none"/>
        </w:rPr>
      </w:pPr>
      <w:r>
        <w:rPr>
          <w:rStyle w:val="207"/>
          <w:rFonts w:hint="eastAsia" w:ascii="宋体" w:hAnsi="宋体" w:cs="宋体"/>
          <w:color w:val="auto"/>
          <w:sz w:val="21"/>
          <w:szCs w:val="21"/>
          <w:highlight w:val="none"/>
        </w:rPr>
        <w:t>特此承诺</w:t>
      </w:r>
    </w:p>
    <w:p w14:paraId="74396636">
      <w:pPr>
        <w:spacing w:line="440" w:lineRule="exact"/>
        <w:ind w:firstLine="420" w:firstLineChars="200"/>
        <w:rPr>
          <w:rFonts w:ascii="宋体" w:cs="Times New Roman"/>
          <w:color w:val="auto"/>
          <w:highlight w:val="none"/>
        </w:rPr>
      </w:pPr>
    </w:p>
    <w:p w14:paraId="59D3970C">
      <w:pPr>
        <w:spacing w:line="440" w:lineRule="exact"/>
        <w:ind w:firstLine="420" w:firstLineChars="200"/>
        <w:rPr>
          <w:rFonts w:ascii="宋体" w:cs="Times New Roman"/>
          <w:color w:val="auto"/>
          <w:highlight w:val="none"/>
        </w:rPr>
      </w:pPr>
    </w:p>
    <w:p w14:paraId="51F651E9">
      <w:pPr>
        <w:spacing w:line="440" w:lineRule="exact"/>
        <w:ind w:firstLine="420" w:firstLineChars="200"/>
        <w:rPr>
          <w:rFonts w:ascii="宋体" w:cs="Times New Roman"/>
          <w:color w:val="auto"/>
          <w:highlight w:val="none"/>
        </w:rPr>
      </w:pPr>
    </w:p>
    <w:p w14:paraId="6AB63048">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hAnsi="宋体" w:eastAsia="宋体" w:cs="宋体"/>
          <w:color w:val="auto"/>
          <w:highlight w:val="none"/>
        </w:rPr>
        <w:t>投标单位（牵头人单位）：___________________（电子签章）</w:t>
      </w:r>
    </w:p>
    <w:p w14:paraId="7F5166E6">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p>
    <w:p w14:paraId="007163B1">
      <w:pPr>
        <w:pStyle w:val="677"/>
        <w:spacing w:after="200" w:line="276" w:lineRule="auto"/>
        <w:ind w:firstLine="2310" w:firstLineChars="1100"/>
        <w:rPr>
          <w:rStyle w:val="207"/>
          <w:rFonts w:hint="eastAsia" w:ascii="宋体" w:hAnsi="宋体" w:cs="宋体"/>
          <w:color w:val="auto"/>
          <w:sz w:val="21"/>
          <w:szCs w:val="21"/>
          <w:highlight w:val="none"/>
        </w:rPr>
      </w:pPr>
      <w:r>
        <w:rPr>
          <w:rFonts w:hint="eastAsia" w:ascii="宋体" w:hAnsi="宋体" w:eastAsia="宋体" w:cs="宋体"/>
          <w:color w:val="auto"/>
          <w:sz w:val="21"/>
          <w:szCs w:val="21"/>
          <w:highlight w:val="none"/>
        </w:rPr>
        <w:t>年   月   日</w:t>
      </w:r>
    </w:p>
    <w:p w14:paraId="718DD352">
      <w:pPr>
        <w:pStyle w:val="677"/>
        <w:spacing w:after="200" w:line="276" w:lineRule="auto"/>
        <w:ind w:firstLine="3614" w:firstLineChars="1721"/>
        <w:rPr>
          <w:rStyle w:val="207"/>
          <w:rFonts w:ascii="宋体" w:cs="Times New Roman"/>
          <w:color w:val="auto"/>
          <w:sz w:val="21"/>
          <w:szCs w:val="21"/>
          <w:highlight w:val="none"/>
          <w:u w:val="single"/>
        </w:rPr>
      </w:pPr>
    </w:p>
    <w:p w14:paraId="0BF79B58">
      <w:pPr>
        <w:pStyle w:val="453"/>
        <w:numPr>
          <w:ilvl w:val="0"/>
          <w:numId w:val="0"/>
        </w:numPr>
        <w:snapToGrid w:val="0"/>
        <w:spacing w:after="120" w:afterLines="50" w:line="360" w:lineRule="auto"/>
        <w:rPr>
          <w:rFonts w:cs="Times New Roman"/>
          <w:b/>
          <w:bCs/>
          <w:color w:val="auto"/>
          <w:sz w:val="28"/>
          <w:szCs w:val="28"/>
          <w:highlight w:val="none"/>
        </w:rPr>
      </w:pPr>
    </w:p>
    <w:p w14:paraId="0CCFC5CF">
      <w:pPr>
        <w:pStyle w:val="453"/>
        <w:numPr>
          <w:ilvl w:val="0"/>
          <w:numId w:val="0"/>
        </w:numPr>
        <w:snapToGrid w:val="0"/>
        <w:spacing w:after="120" w:afterLines="50" w:line="360" w:lineRule="auto"/>
        <w:rPr>
          <w:rFonts w:cs="Times New Roman"/>
          <w:b/>
          <w:bCs/>
          <w:color w:val="auto"/>
          <w:sz w:val="28"/>
          <w:szCs w:val="28"/>
          <w:highlight w:val="none"/>
        </w:rPr>
      </w:pPr>
    </w:p>
    <w:p w14:paraId="40360BDB">
      <w:pPr>
        <w:pStyle w:val="453"/>
        <w:numPr>
          <w:ilvl w:val="0"/>
          <w:numId w:val="0"/>
        </w:numPr>
        <w:snapToGrid w:val="0"/>
        <w:spacing w:after="120" w:afterLines="50" w:line="360" w:lineRule="auto"/>
        <w:rPr>
          <w:rFonts w:cs="Times New Roman"/>
          <w:b/>
          <w:bCs/>
          <w:color w:val="auto"/>
          <w:sz w:val="28"/>
          <w:szCs w:val="28"/>
          <w:highlight w:val="none"/>
        </w:rPr>
      </w:pPr>
    </w:p>
    <w:p w14:paraId="181AFA77">
      <w:pPr>
        <w:pStyle w:val="453"/>
        <w:numPr>
          <w:ilvl w:val="0"/>
          <w:numId w:val="0"/>
        </w:numPr>
        <w:snapToGrid w:val="0"/>
        <w:spacing w:after="120" w:afterLines="50" w:line="360" w:lineRule="auto"/>
        <w:rPr>
          <w:rFonts w:cs="Times New Roman"/>
          <w:b/>
          <w:bCs/>
          <w:color w:val="auto"/>
          <w:sz w:val="28"/>
          <w:szCs w:val="28"/>
          <w:highlight w:val="none"/>
        </w:rPr>
      </w:pPr>
    </w:p>
    <w:p w14:paraId="68EB54E9">
      <w:pPr>
        <w:pStyle w:val="453"/>
        <w:numPr>
          <w:ilvl w:val="0"/>
          <w:numId w:val="0"/>
        </w:numPr>
        <w:snapToGrid w:val="0"/>
        <w:spacing w:after="120" w:afterLines="50" w:line="360" w:lineRule="auto"/>
        <w:rPr>
          <w:rFonts w:cs="Times New Roman"/>
          <w:b/>
          <w:bCs/>
          <w:color w:val="auto"/>
          <w:sz w:val="28"/>
          <w:szCs w:val="28"/>
          <w:highlight w:val="none"/>
        </w:rPr>
      </w:pPr>
    </w:p>
    <w:p w14:paraId="0ED54F8D">
      <w:pPr>
        <w:pStyle w:val="453"/>
        <w:numPr>
          <w:ilvl w:val="0"/>
          <w:numId w:val="0"/>
        </w:numPr>
        <w:snapToGrid w:val="0"/>
        <w:spacing w:after="120" w:afterLines="50" w:line="360" w:lineRule="auto"/>
        <w:rPr>
          <w:rFonts w:cs="Times New Roman"/>
          <w:b/>
          <w:bCs/>
          <w:color w:val="auto"/>
          <w:sz w:val="28"/>
          <w:szCs w:val="28"/>
          <w:highlight w:val="none"/>
        </w:rPr>
      </w:pPr>
    </w:p>
    <w:p w14:paraId="4A4DC77E">
      <w:pPr>
        <w:pStyle w:val="453"/>
        <w:numPr>
          <w:ilvl w:val="0"/>
          <w:numId w:val="0"/>
        </w:numPr>
        <w:snapToGrid w:val="0"/>
        <w:spacing w:after="120" w:afterLines="50" w:line="360" w:lineRule="auto"/>
        <w:rPr>
          <w:rFonts w:cs="Times New Roman"/>
          <w:b/>
          <w:bCs/>
          <w:color w:val="auto"/>
          <w:sz w:val="28"/>
          <w:szCs w:val="28"/>
          <w:highlight w:val="none"/>
        </w:rPr>
      </w:pPr>
    </w:p>
    <w:p w14:paraId="142A1E83">
      <w:pPr>
        <w:pStyle w:val="453"/>
        <w:numPr>
          <w:ilvl w:val="0"/>
          <w:numId w:val="0"/>
        </w:numPr>
        <w:snapToGrid w:val="0"/>
        <w:spacing w:after="120" w:afterLines="50" w:line="360" w:lineRule="auto"/>
        <w:rPr>
          <w:rFonts w:cs="Times New Roman"/>
          <w:b/>
          <w:bCs/>
          <w:color w:val="auto"/>
          <w:sz w:val="28"/>
          <w:szCs w:val="28"/>
          <w:highlight w:val="none"/>
        </w:rPr>
      </w:pPr>
    </w:p>
    <w:p w14:paraId="2CA36148">
      <w:pPr>
        <w:pStyle w:val="453"/>
        <w:numPr>
          <w:ilvl w:val="0"/>
          <w:numId w:val="0"/>
        </w:numPr>
        <w:snapToGrid w:val="0"/>
        <w:spacing w:after="120" w:afterLines="50" w:line="360" w:lineRule="auto"/>
        <w:rPr>
          <w:rFonts w:cs="Times New Roman"/>
          <w:b/>
          <w:bCs/>
          <w:color w:val="auto"/>
          <w:sz w:val="28"/>
          <w:szCs w:val="28"/>
          <w:highlight w:val="none"/>
        </w:rPr>
      </w:pPr>
    </w:p>
    <w:p w14:paraId="4A1D3D11">
      <w:pPr>
        <w:pStyle w:val="453"/>
        <w:numPr>
          <w:ilvl w:val="0"/>
          <w:numId w:val="0"/>
        </w:numPr>
        <w:snapToGrid w:val="0"/>
        <w:spacing w:after="120" w:afterLines="50" w:line="360" w:lineRule="auto"/>
        <w:rPr>
          <w:rFonts w:cs="Times New Roman"/>
          <w:b/>
          <w:bCs/>
          <w:color w:val="auto"/>
          <w:sz w:val="28"/>
          <w:szCs w:val="28"/>
          <w:highlight w:val="none"/>
        </w:rPr>
      </w:pPr>
    </w:p>
    <w:p w14:paraId="4E6B5002">
      <w:pPr>
        <w:pStyle w:val="45"/>
        <w:tabs>
          <w:tab w:val="center" w:pos="4677"/>
          <w:tab w:val="left" w:pos="7485"/>
        </w:tabs>
        <w:snapToGrid w:val="0"/>
        <w:spacing w:line="360" w:lineRule="auto"/>
        <w:jc w:val="center"/>
        <w:rPr>
          <w:rFonts w:hint="eastAsia" w:ascii="黑体" w:hAnsi="宋体" w:eastAsia="黑体" w:cs="黑体"/>
          <w:color w:val="auto"/>
          <w:kern w:val="2"/>
          <w:sz w:val="28"/>
          <w:szCs w:val="28"/>
          <w:highlight w:val="none"/>
          <w:lang w:val="en-US" w:eastAsia="zh-CN" w:bidi="ar-SA"/>
        </w:rPr>
      </w:pPr>
      <w:r>
        <w:rPr>
          <w:rFonts w:hint="eastAsia" w:ascii="黑体" w:hAnsi="宋体" w:eastAsia="黑体" w:cs="黑体"/>
          <w:color w:val="auto"/>
          <w:kern w:val="2"/>
          <w:sz w:val="28"/>
          <w:szCs w:val="28"/>
          <w:highlight w:val="none"/>
          <w:lang w:val="en-US" w:eastAsia="zh-CN" w:bidi="ar-SA"/>
        </w:rPr>
        <w:t>项目运营负责人简历表</w:t>
      </w:r>
    </w:p>
    <w:tbl>
      <w:tblPr>
        <w:tblStyle w:val="88"/>
        <w:tblW w:w="888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59"/>
        <w:gridCol w:w="289"/>
        <w:gridCol w:w="434"/>
        <w:gridCol w:w="723"/>
        <w:gridCol w:w="578"/>
        <w:gridCol w:w="867"/>
        <w:gridCol w:w="867"/>
        <w:gridCol w:w="579"/>
        <w:gridCol w:w="1445"/>
        <w:gridCol w:w="11"/>
        <w:gridCol w:w="1435"/>
      </w:tblGrid>
      <w:tr w14:paraId="53A505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59" w:type="dxa"/>
            <w:tcBorders>
              <w:top w:val="single" w:color="000000" w:sz="4" w:space="0"/>
              <w:left w:val="single" w:color="000000" w:sz="4" w:space="0"/>
              <w:bottom w:val="single" w:color="000000" w:sz="4" w:space="0"/>
              <w:right w:val="single" w:color="000000" w:sz="4" w:space="0"/>
            </w:tcBorders>
            <w:vAlign w:val="center"/>
          </w:tcPr>
          <w:p w14:paraId="26FDECBA">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姓名</w:t>
            </w:r>
          </w:p>
        </w:tc>
        <w:tc>
          <w:tcPr>
            <w:tcW w:w="1446" w:type="dxa"/>
            <w:gridSpan w:val="3"/>
            <w:tcBorders>
              <w:top w:val="single" w:color="000000" w:sz="4" w:space="0"/>
              <w:left w:val="single" w:color="000000" w:sz="4" w:space="0"/>
              <w:bottom w:val="single" w:color="000000" w:sz="4" w:space="0"/>
              <w:right w:val="single" w:color="000000" w:sz="4" w:space="0"/>
            </w:tcBorders>
            <w:vAlign w:val="center"/>
          </w:tcPr>
          <w:p w14:paraId="030DB937">
            <w:pPr>
              <w:pStyle w:val="45"/>
              <w:jc w:val="center"/>
              <w:rPr>
                <w:rFonts w:hint="eastAsia" w:ascii="宋体" w:hAnsi="宋体" w:eastAsia="宋体" w:cs="宋体"/>
                <w:color w:val="auto"/>
                <w:highlight w:val="none"/>
                <w:lang w:val="en-US" w:eastAsia="zh-CN"/>
              </w:rPr>
            </w:pPr>
          </w:p>
        </w:tc>
        <w:tc>
          <w:tcPr>
            <w:tcW w:w="1445" w:type="dxa"/>
            <w:gridSpan w:val="2"/>
            <w:tcBorders>
              <w:top w:val="single" w:color="000000" w:sz="4" w:space="0"/>
              <w:left w:val="single" w:color="000000" w:sz="4" w:space="0"/>
              <w:bottom w:val="single" w:color="000000" w:sz="4" w:space="0"/>
              <w:right w:val="single" w:color="000000" w:sz="4" w:space="0"/>
            </w:tcBorders>
            <w:vAlign w:val="center"/>
          </w:tcPr>
          <w:p w14:paraId="3A01E0E7">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性别</w:t>
            </w:r>
          </w:p>
        </w:tc>
        <w:tc>
          <w:tcPr>
            <w:tcW w:w="1446" w:type="dxa"/>
            <w:gridSpan w:val="2"/>
            <w:tcBorders>
              <w:top w:val="single" w:color="000000" w:sz="4" w:space="0"/>
              <w:left w:val="single" w:color="000000" w:sz="4" w:space="0"/>
              <w:bottom w:val="single" w:color="000000" w:sz="4" w:space="0"/>
              <w:right w:val="single" w:color="000000" w:sz="4" w:space="0"/>
            </w:tcBorders>
            <w:vAlign w:val="center"/>
          </w:tcPr>
          <w:p w14:paraId="53D2FEA6">
            <w:pPr>
              <w:pStyle w:val="45"/>
              <w:jc w:val="center"/>
              <w:rPr>
                <w:rFonts w:hint="eastAsia" w:ascii="宋体" w:hAnsi="宋体" w:eastAsia="宋体" w:cs="宋体"/>
                <w:color w:val="auto"/>
                <w:highlight w:val="none"/>
                <w:lang w:val="en-US" w:eastAsia="zh-CN"/>
              </w:rPr>
            </w:pPr>
          </w:p>
        </w:tc>
        <w:tc>
          <w:tcPr>
            <w:tcW w:w="1445" w:type="dxa"/>
            <w:tcBorders>
              <w:top w:val="single" w:color="000000" w:sz="4" w:space="0"/>
              <w:left w:val="single" w:color="000000" w:sz="4" w:space="0"/>
              <w:bottom w:val="single" w:color="000000" w:sz="4" w:space="0"/>
              <w:right w:val="single" w:color="000000" w:sz="4" w:space="0"/>
            </w:tcBorders>
            <w:vAlign w:val="center"/>
          </w:tcPr>
          <w:p w14:paraId="06B8AE6C">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年龄</w:t>
            </w:r>
          </w:p>
        </w:tc>
        <w:tc>
          <w:tcPr>
            <w:tcW w:w="1446" w:type="dxa"/>
            <w:gridSpan w:val="2"/>
            <w:tcBorders>
              <w:top w:val="single" w:color="000000" w:sz="4" w:space="0"/>
              <w:left w:val="single" w:color="000000" w:sz="4" w:space="0"/>
              <w:bottom w:val="single" w:color="000000" w:sz="4" w:space="0"/>
              <w:right w:val="single" w:color="000000" w:sz="4" w:space="0"/>
            </w:tcBorders>
            <w:vAlign w:val="center"/>
          </w:tcPr>
          <w:p w14:paraId="4FB1E8EB">
            <w:pPr>
              <w:pStyle w:val="45"/>
              <w:jc w:val="center"/>
              <w:rPr>
                <w:rFonts w:hint="eastAsia" w:ascii="宋体" w:hAnsi="宋体" w:eastAsia="宋体" w:cs="宋体"/>
                <w:color w:val="auto"/>
                <w:highlight w:val="none"/>
                <w:lang w:val="en-US" w:eastAsia="zh-CN"/>
              </w:rPr>
            </w:pPr>
          </w:p>
        </w:tc>
      </w:tr>
      <w:tr w14:paraId="6FD0B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59" w:type="dxa"/>
            <w:tcBorders>
              <w:top w:val="single" w:color="000000" w:sz="4" w:space="0"/>
              <w:left w:val="single" w:color="000000" w:sz="4" w:space="0"/>
              <w:bottom w:val="single" w:color="000000" w:sz="4" w:space="0"/>
              <w:right w:val="single" w:color="000000" w:sz="4" w:space="0"/>
            </w:tcBorders>
            <w:vAlign w:val="center"/>
          </w:tcPr>
          <w:p w14:paraId="62D332A8">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学历</w:t>
            </w:r>
          </w:p>
        </w:tc>
        <w:tc>
          <w:tcPr>
            <w:tcW w:w="1446" w:type="dxa"/>
            <w:gridSpan w:val="3"/>
            <w:tcBorders>
              <w:top w:val="single" w:color="000000" w:sz="4" w:space="0"/>
              <w:left w:val="single" w:color="000000" w:sz="4" w:space="0"/>
              <w:bottom w:val="single" w:color="000000" w:sz="4" w:space="0"/>
              <w:right w:val="single" w:color="000000" w:sz="4" w:space="0"/>
            </w:tcBorders>
            <w:vAlign w:val="center"/>
          </w:tcPr>
          <w:p w14:paraId="28EE6F3B">
            <w:pPr>
              <w:pStyle w:val="45"/>
              <w:jc w:val="center"/>
              <w:rPr>
                <w:rFonts w:hint="eastAsia" w:ascii="宋体" w:hAnsi="宋体" w:eastAsia="宋体" w:cs="宋体"/>
                <w:color w:val="auto"/>
                <w:highlight w:val="none"/>
                <w:lang w:val="en-US" w:eastAsia="zh-CN"/>
              </w:rPr>
            </w:pPr>
          </w:p>
        </w:tc>
        <w:tc>
          <w:tcPr>
            <w:tcW w:w="1445" w:type="dxa"/>
            <w:gridSpan w:val="2"/>
            <w:tcBorders>
              <w:top w:val="single" w:color="000000" w:sz="4" w:space="0"/>
              <w:left w:val="single" w:color="000000" w:sz="4" w:space="0"/>
              <w:bottom w:val="single" w:color="000000" w:sz="4" w:space="0"/>
              <w:right w:val="single" w:color="000000" w:sz="4" w:space="0"/>
            </w:tcBorders>
            <w:vAlign w:val="center"/>
          </w:tcPr>
          <w:p w14:paraId="50017CC0">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毕业院校</w:t>
            </w:r>
          </w:p>
        </w:tc>
        <w:tc>
          <w:tcPr>
            <w:tcW w:w="1446" w:type="dxa"/>
            <w:gridSpan w:val="2"/>
            <w:tcBorders>
              <w:top w:val="single" w:color="000000" w:sz="4" w:space="0"/>
              <w:left w:val="single" w:color="000000" w:sz="4" w:space="0"/>
              <w:bottom w:val="single" w:color="000000" w:sz="4" w:space="0"/>
              <w:right w:val="single" w:color="000000" w:sz="4" w:space="0"/>
            </w:tcBorders>
            <w:vAlign w:val="center"/>
          </w:tcPr>
          <w:p w14:paraId="32EF59CC">
            <w:pPr>
              <w:pStyle w:val="45"/>
              <w:jc w:val="center"/>
              <w:rPr>
                <w:rFonts w:hint="eastAsia" w:ascii="宋体" w:hAnsi="宋体" w:eastAsia="宋体" w:cs="宋体"/>
                <w:color w:val="auto"/>
                <w:highlight w:val="none"/>
                <w:lang w:val="en-US" w:eastAsia="zh-CN"/>
              </w:rPr>
            </w:pPr>
          </w:p>
        </w:tc>
        <w:tc>
          <w:tcPr>
            <w:tcW w:w="1445" w:type="dxa"/>
            <w:tcBorders>
              <w:top w:val="single" w:color="000000" w:sz="4" w:space="0"/>
              <w:left w:val="single" w:color="000000" w:sz="4" w:space="0"/>
              <w:bottom w:val="single" w:color="000000" w:sz="4" w:space="0"/>
              <w:right w:val="single" w:color="000000" w:sz="4" w:space="0"/>
            </w:tcBorders>
            <w:vAlign w:val="center"/>
          </w:tcPr>
          <w:p w14:paraId="215347F5">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专业</w:t>
            </w:r>
          </w:p>
        </w:tc>
        <w:tc>
          <w:tcPr>
            <w:tcW w:w="1446" w:type="dxa"/>
            <w:gridSpan w:val="2"/>
            <w:tcBorders>
              <w:top w:val="single" w:color="000000" w:sz="4" w:space="0"/>
              <w:left w:val="single" w:color="000000" w:sz="4" w:space="0"/>
              <w:bottom w:val="single" w:color="000000" w:sz="4" w:space="0"/>
              <w:right w:val="single" w:color="000000" w:sz="4" w:space="0"/>
            </w:tcBorders>
            <w:vAlign w:val="center"/>
          </w:tcPr>
          <w:p w14:paraId="409FDC05">
            <w:pPr>
              <w:pStyle w:val="45"/>
              <w:jc w:val="center"/>
              <w:rPr>
                <w:rFonts w:hint="eastAsia" w:ascii="宋体" w:hAnsi="宋体" w:eastAsia="宋体" w:cs="宋体"/>
                <w:color w:val="auto"/>
                <w:highlight w:val="none"/>
                <w:lang w:val="en-US" w:eastAsia="zh-CN"/>
              </w:rPr>
            </w:pPr>
          </w:p>
        </w:tc>
      </w:tr>
      <w:tr w14:paraId="2CAD9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59" w:type="dxa"/>
            <w:tcBorders>
              <w:top w:val="single" w:color="000000" w:sz="4" w:space="0"/>
              <w:left w:val="single" w:color="000000" w:sz="4" w:space="0"/>
              <w:bottom w:val="single" w:color="000000" w:sz="4" w:space="0"/>
              <w:right w:val="single" w:color="000000" w:sz="4" w:space="0"/>
            </w:tcBorders>
            <w:vAlign w:val="center"/>
          </w:tcPr>
          <w:p w14:paraId="13948805">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职务</w:t>
            </w:r>
          </w:p>
        </w:tc>
        <w:tc>
          <w:tcPr>
            <w:tcW w:w="1446" w:type="dxa"/>
            <w:gridSpan w:val="3"/>
            <w:tcBorders>
              <w:top w:val="single" w:color="000000" w:sz="4" w:space="0"/>
              <w:left w:val="single" w:color="000000" w:sz="4" w:space="0"/>
              <w:bottom w:val="single" w:color="000000" w:sz="4" w:space="0"/>
              <w:right w:val="single" w:color="000000" w:sz="4" w:space="0"/>
            </w:tcBorders>
            <w:vAlign w:val="center"/>
          </w:tcPr>
          <w:p w14:paraId="5CA8014B">
            <w:pPr>
              <w:pStyle w:val="45"/>
              <w:jc w:val="center"/>
              <w:rPr>
                <w:rFonts w:hint="eastAsia" w:ascii="宋体" w:hAnsi="宋体" w:eastAsia="宋体" w:cs="宋体"/>
                <w:color w:val="auto"/>
                <w:highlight w:val="none"/>
                <w:lang w:val="en-US" w:eastAsia="zh-CN"/>
              </w:rPr>
            </w:pPr>
          </w:p>
        </w:tc>
        <w:tc>
          <w:tcPr>
            <w:tcW w:w="1445" w:type="dxa"/>
            <w:gridSpan w:val="2"/>
            <w:tcBorders>
              <w:top w:val="single" w:color="000000" w:sz="4" w:space="0"/>
              <w:left w:val="single" w:color="000000" w:sz="4" w:space="0"/>
              <w:bottom w:val="single" w:color="000000" w:sz="4" w:space="0"/>
              <w:right w:val="single" w:color="000000" w:sz="4" w:space="0"/>
            </w:tcBorders>
            <w:vAlign w:val="center"/>
          </w:tcPr>
          <w:p w14:paraId="6248963B">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职称</w:t>
            </w:r>
          </w:p>
        </w:tc>
        <w:tc>
          <w:tcPr>
            <w:tcW w:w="1446" w:type="dxa"/>
            <w:gridSpan w:val="2"/>
            <w:tcBorders>
              <w:top w:val="single" w:color="000000" w:sz="4" w:space="0"/>
              <w:left w:val="single" w:color="000000" w:sz="4" w:space="0"/>
              <w:bottom w:val="single" w:color="000000" w:sz="4" w:space="0"/>
              <w:right w:val="single" w:color="000000" w:sz="4" w:space="0"/>
            </w:tcBorders>
            <w:vAlign w:val="center"/>
          </w:tcPr>
          <w:p w14:paraId="2BEB560B">
            <w:pPr>
              <w:pStyle w:val="45"/>
              <w:jc w:val="center"/>
              <w:rPr>
                <w:rFonts w:hint="eastAsia" w:ascii="宋体" w:hAnsi="宋体" w:eastAsia="宋体" w:cs="宋体"/>
                <w:color w:val="auto"/>
                <w:highlight w:val="none"/>
                <w:lang w:val="en-US" w:eastAsia="zh-CN"/>
              </w:rPr>
            </w:pPr>
          </w:p>
        </w:tc>
        <w:tc>
          <w:tcPr>
            <w:tcW w:w="1445" w:type="dxa"/>
            <w:tcBorders>
              <w:top w:val="single" w:color="000000" w:sz="4" w:space="0"/>
              <w:left w:val="single" w:color="000000" w:sz="4" w:space="0"/>
              <w:bottom w:val="single" w:color="000000" w:sz="4" w:space="0"/>
              <w:right w:val="single" w:color="000000" w:sz="4" w:space="0"/>
            </w:tcBorders>
            <w:vAlign w:val="center"/>
          </w:tcPr>
          <w:p w14:paraId="7F40B57D">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注册情况</w:t>
            </w:r>
          </w:p>
        </w:tc>
        <w:tc>
          <w:tcPr>
            <w:tcW w:w="1446" w:type="dxa"/>
            <w:gridSpan w:val="2"/>
            <w:tcBorders>
              <w:top w:val="single" w:color="000000" w:sz="4" w:space="0"/>
              <w:left w:val="single" w:color="000000" w:sz="4" w:space="0"/>
              <w:bottom w:val="single" w:color="000000" w:sz="4" w:space="0"/>
              <w:right w:val="single" w:color="000000" w:sz="4" w:space="0"/>
            </w:tcBorders>
            <w:vAlign w:val="center"/>
          </w:tcPr>
          <w:p w14:paraId="1D412153">
            <w:pPr>
              <w:pStyle w:val="45"/>
              <w:jc w:val="center"/>
              <w:rPr>
                <w:rFonts w:hint="eastAsia" w:ascii="宋体" w:hAnsi="宋体" w:eastAsia="宋体" w:cs="宋体"/>
                <w:color w:val="auto"/>
                <w:highlight w:val="none"/>
                <w:lang w:val="en-US" w:eastAsia="zh-CN"/>
              </w:rPr>
            </w:pPr>
          </w:p>
        </w:tc>
      </w:tr>
      <w:tr w14:paraId="7CD184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382" w:type="dxa"/>
            <w:gridSpan w:val="3"/>
            <w:tcBorders>
              <w:top w:val="single" w:color="000000" w:sz="4" w:space="0"/>
              <w:left w:val="single" w:color="000000" w:sz="4" w:space="0"/>
              <w:bottom w:val="single" w:color="000000" w:sz="4" w:space="0"/>
              <w:right w:val="single" w:color="000000" w:sz="4" w:space="0"/>
            </w:tcBorders>
            <w:vAlign w:val="center"/>
          </w:tcPr>
          <w:p w14:paraId="17A1BEA2">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参加工作时间</w:t>
            </w:r>
          </w:p>
        </w:tc>
        <w:tc>
          <w:tcPr>
            <w:tcW w:w="2168" w:type="dxa"/>
            <w:gridSpan w:val="3"/>
            <w:tcBorders>
              <w:top w:val="single" w:color="000000" w:sz="4" w:space="0"/>
              <w:left w:val="single" w:color="000000" w:sz="4" w:space="0"/>
              <w:bottom w:val="single" w:color="000000" w:sz="4" w:space="0"/>
              <w:right w:val="single" w:color="000000" w:sz="4" w:space="0"/>
            </w:tcBorders>
            <w:vAlign w:val="center"/>
          </w:tcPr>
          <w:p w14:paraId="6CC73ABE">
            <w:pPr>
              <w:pStyle w:val="45"/>
              <w:jc w:val="center"/>
              <w:rPr>
                <w:rFonts w:hint="eastAsia" w:ascii="宋体" w:hAnsi="宋体" w:eastAsia="宋体" w:cs="宋体"/>
                <w:color w:val="auto"/>
                <w:highlight w:val="none"/>
                <w:lang w:val="en-US" w:eastAsia="zh-CN"/>
              </w:rPr>
            </w:pPr>
          </w:p>
        </w:tc>
        <w:tc>
          <w:tcPr>
            <w:tcW w:w="2902" w:type="dxa"/>
            <w:gridSpan w:val="4"/>
            <w:tcBorders>
              <w:top w:val="single" w:color="000000" w:sz="4" w:space="0"/>
              <w:left w:val="single" w:color="000000" w:sz="4" w:space="0"/>
              <w:bottom w:val="single" w:color="000000" w:sz="4" w:space="0"/>
              <w:right w:val="single" w:color="000000" w:sz="4" w:space="0"/>
            </w:tcBorders>
            <w:vAlign w:val="center"/>
          </w:tcPr>
          <w:p w14:paraId="69C442D7">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从事项目负责人年限</w:t>
            </w:r>
          </w:p>
        </w:tc>
        <w:tc>
          <w:tcPr>
            <w:tcW w:w="1435" w:type="dxa"/>
            <w:tcBorders>
              <w:top w:val="single" w:color="000000" w:sz="4" w:space="0"/>
              <w:left w:val="single" w:color="000000" w:sz="4" w:space="0"/>
              <w:bottom w:val="single" w:color="000000" w:sz="4" w:space="0"/>
              <w:right w:val="single" w:color="000000" w:sz="4" w:space="0"/>
            </w:tcBorders>
            <w:vAlign w:val="center"/>
          </w:tcPr>
          <w:p w14:paraId="0229E2A9">
            <w:pPr>
              <w:pStyle w:val="45"/>
              <w:jc w:val="center"/>
              <w:rPr>
                <w:rFonts w:hint="eastAsia" w:ascii="宋体" w:hAnsi="宋体" w:eastAsia="宋体" w:cs="宋体"/>
                <w:color w:val="auto"/>
                <w:highlight w:val="none"/>
                <w:lang w:val="en-US" w:eastAsia="zh-CN"/>
              </w:rPr>
            </w:pPr>
          </w:p>
        </w:tc>
      </w:tr>
      <w:tr w14:paraId="05A0A5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8887" w:type="dxa"/>
            <w:gridSpan w:val="11"/>
            <w:tcBorders>
              <w:top w:val="single" w:color="000000" w:sz="4" w:space="0"/>
              <w:left w:val="single" w:color="000000" w:sz="4" w:space="0"/>
              <w:bottom w:val="single" w:color="000000" w:sz="4" w:space="0"/>
              <w:right w:val="single" w:color="000000" w:sz="4" w:space="0"/>
            </w:tcBorders>
            <w:vAlign w:val="center"/>
          </w:tcPr>
          <w:p w14:paraId="018EF614">
            <w:pPr>
              <w:pStyle w:val="4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主要工作经历</w:t>
            </w:r>
          </w:p>
        </w:tc>
      </w:tr>
      <w:tr w14:paraId="3560D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948" w:type="dxa"/>
            <w:gridSpan w:val="2"/>
            <w:tcBorders>
              <w:top w:val="single" w:color="000000" w:sz="4" w:space="0"/>
              <w:left w:val="single" w:color="000000" w:sz="4" w:space="0"/>
              <w:bottom w:val="single" w:color="000000" w:sz="4" w:space="0"/>
              <w:right w:val="single" w:color="000000" w:sz="4" w:space="0"/>
            </w:tcBorders>
            <w:vAlign w:val="center"/>
          </w:tcPr>
          <w:p w14:paraId="53D8653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1735" w:type="dxa"/>
            <w:gridSpan w:val="3"/>
            <w:tcBorders>
              <w:top w:val="single" w:color="000000" w:sz="4" w:space="0"/>
              <w:left w:val="single" w:color="000000" w:sz="4" w:space="0"/>
              <w:bottom w:val="single" w:color="000000" w:sz="4" w:space="0"/>
              <w:right w:val="single" w:color="000000" w:sz="4" w:space="0"/>
            </w:tcBorders>
            <w:vAlign w:val="center"/>
          </w:tcPr>
          <w:p w14:paraId="1FB3278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规模/工作内容</w:t>
            </w:r>
          </w:p>
        </w:tc>
        <w:tc>
          <w:tcPr>
            <w:tcW w:w="1734" w:type="dxa"/>
            <w:gridSpan w:val="2"/>
            <w:tcBorders>
              <w:top w:val="single" w:color="000000" w:sz="4" w:space="0"/>
              <w:left w:val="single" w:color="000000" w:sz="4" w:space="0"/>
              <w:bottom w:val="single" w:color="000000" w:sz="4" w:space="0"/>
              <w:right w:val="single" w:color="000000" w:sz="4" w:space="0"/>
            </w:tcBorders>
            <w:vAlign w:val="center"/>
          </w:tcPr>
          <w:p w14:paraId="2B20B37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服务时间</w:t>
            </w:r>
          </w:p>
        </w:tc>
        <w:tc>
          <w:tcPr>
            <w:tcW w:w="2035" w:type="dxa"/>
            <w:gridSpan w:val="3"/>
            <w:tcBorders>
              <w:top w:val="single" w:color="000000" w:sz="4" w:space="0"/>
              <w:left w:val="single" w:color="000000" w:sz="4" w:space="0"/>
              <w:bottom w:val="single" w:color="000000" w:sz="4" w:space="0"/>
              <w:right w:val="single" w:color="000000" w:sz="4" w:space="0"/>
            </w:tcBorders>
            <w:vAlign w:val="center"/>
          </w:tcPr>
          <w:p w14:paraId="7C58472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合同金额</w:t>
            </w:r>
          </w:p>
        </w:tc>
        <w:tc>
          <w:tcPr>
            <w:tcW w:w="1435" w:type="dxa"/>
            <w:tcBorders>
              <w:top w:val="single" w:color="000000" w:sz="4" w:space="0"/>
              <w:left w:val="single" w:color="000000" w:sz="4" w:space="0"/>
              <w:bottom w:val="single" w:color="000000" w:sz="4" w:space="0"/>
              <w:right w:val="single" w:color="000000" w:sz="4" w:space="0"/>
            </w:tcBorders>
            <w:vAlign w:val="center"/>
          </w:tcPr>
          <w:p w14:paraId="2359167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24464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948" w:type="dxa"/>
            <w:gridSpan w:val="2"/>
            <w:tcBorders>
              <w:top w:val="single" w:color="000000" w:sz="4" w:space="0"/>
              <w:left w:val="single" w:color="000000" w:sz="4" w:space="0"/>
              <w:bottom w:val="single" w:color="000000" w:sz="4" w:space="0"/>
              <w:right w:val="single" w:color="000000" w:sz="4" w:space="0"/>
            </w:tcBorders>
            <w:vAlign w:val="center"/>
          </w:tcPr>
          <w:p w14:paraId="3E57180B">
            <w:pPr>
              <w:pStyle w:val="45"/>
              <w:jc w:val="center"/>
              <w:rPr>
                <w:rFonts w:hint="eastAsia" w:ascii="仿宋" w:hAnsi="仿宋" w:eastAsia="仿宋" w:cs="仿宋"/>
                <w:color w:val="auto"/>
                <w:highlight w:val="none"/>
                <w:lang w:val="en-US" w:eastAsia="zh-CN"/>
              </w:rPr>
            </w:pPr>
          </w:p>
        </w:tc>
        <w:tc>
          <w:tcPr>
            <w:tcW w:w="1735" w:type="dxa"/>
            <w:gridSpan w:val="3"/>
            <w:tcBorders>
              <w:top w:val="single" w:color="000000" w:sz="4" w:space="0"/>
              <w:left w:val="single" w:color="000000" w:sz="4" w:space="0"/>
              <w:bottom w:val="single" w:color="000000" w:sz="4" w:space="0"/>
              <w:right w:val="single" w:color="000000" w:sz="4" w:space="0"/>
            </w:tcBorders>
            <w:vAlign w:val="center"/>
          </w:tcPr>
          <w:p w14:paraId="24446B56">
            <w:pPr>
              <w:pStyle w:val="45"/>
              <w:jc w:val="center"/>
              <w:rPr>
                <w:rFonts w:hint="eastAsia" w:ascii="仿宋" w:hAnsi="仿宋" w:eastAsia="仿宋" w:cs="仿宋"/>
                <w:color w:val="auto"/>
                <w:highlight w:val="none"/>
                <w:lang w:val="en-US" w:eastAsia="zh-CN"/>
              </w:rPr>
            </w:pPr>
          </w:p>
        </w:tc>
        <w:tc>
          <w:tcPr>
            <w:tcW w:w="1734" w:type="dxa"/>
            <w:gridSpan w:val="2"/>
            <w:tcBorders>
              <w:top w:val="single" w:color="000000" w:sz="4" w:space="0"/>
              <w:left w:val="single" w:color="000000" w:sz="4" w:space="0"/>
              <w:bottom w:val="single" w:color="000000" w:sz="4" w:space="0"/>
              <w:right w:val="single" w:color="000000" w:sz="4" w:space="0"/>
            </w:tcBorders>
            <w:vAlign w:val="center"/>
          </w:tcPr>
          <w:p w14:paraId="451158C3">
            <w:pPr>
              <w:pStyle w:val="45"/>
              <w:jc w:val="center"/>
              <w:rPr>
                <w:rFonts w:hint="eastAsia" w:ascii="仿宋" w:hAnsi="仿宋" w:eastAsia="仿宋" w:cs="仿宋"/>
                <w:color w:val="auto"/>
                <w:highlight w:val="none"/>
                <w:lang w:val="en-US" w:eastAsia="zh-CN"/>
              </w:rPr>
            </w:pPr>
          </w:p>
        </w:tc>
        <w:tc>
          <w:tcPr>
            <w:tcW w:w="2035" w:type="dxa"/>
            <w:gridSpan w:val="3"/>
            <w:tcBorders>
              <w:top w:val="single" w:color="000000" w:sz="4" w:space="0"/>
              <w:left w:val="single" w:color="000000" w:sz="4" w:space="0"/>
              <w:bottom w:val="single" w:color="000000" w:sz="4" w:space="0"/>
              <w:right w:val="single" w:color="000000" w:sz="4" w:space="0"/>
            </w:tcBorders>
            <w:vAlign w:val="center"/>
          </w:tcPr>
          <w:p w14:paraId="6C553D92">
            <w:pPr>
              <w:pStyle w:val="45"/>
              <w:jc w:val="center"/>
              <w:rPr>
                <w:rFonts w:hint="eastAsia" w:ascii="仿宋" w:hAnsi="仿宋" w:eastAsia="仿宋" w:cs="仿宋"/>
                <w:color w:val="auto"/>
                <w:highlight w:val="none"/>
                <w:lang w:val="en-US" w:eastAsia="zh-CN"/>
              </w:rPr>
            </w:pPr>
          </w:p>
        </w:tc>
        <w:tc>
          <w:tcPr>
            <w:tcW w:w="1435" w:type="dxa"/>
            <w:tcBorders>
              <w:top w:val="single" w:color="000000" w:sz="4" w:space="0"/>
              <w:left w:val="single" w:color="000000" w:sz="4" w:space="0"/>
              <w:bottom w:val="single" w:color="000000" w:sz="4" w:space="0"/>
              <w:right w:val="single" w:color="000000" w:sz="4" w:space="0"/>
            </w:tcBorders>
            <w:vAlign w:val="center"/>
          </w:tcPr>
          <w:p w14:paraId="5DD05585">
            <w:pPr>
              <w:pStyle w:val="45"/>
              <w:jc w:val="center"/>
              <w:rPr>
                <w:rFonts w:hint="eastAsia" w:ascii="仿宋" w:hAnsi="仿宋" w:eastAsia="仿宋" w:cs="仿宋"/>
                <w:color w:val="auto"/>
                <w:highlight w:val="none"/>
                <w:lang w:val="en-US" w:eastAsia="zh-CN"/>
              </w:rPr>
            </w:pPr>
          </w:p>
        </w:tc>
      </w:tr>
      <w:tr w14:paraId="09D618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948" w:type="dxa"/>
            <w:gridSpan w:val="2"/>
            <w:tcBorders>
              <w:top w:val="single" w:color="000000" w:sz="4" w:space="0"/>
              <w:left w:val="single" w:color="000000" w:sz="4" w:space="0"/>
              <w:bottom w:val="single" w:color="000000" w:sz="4" w:space="0"/>
              <w:right w:val="single" w:color="000000" w:sz="4" w:space="0"/>
            </w:tcBorders>
            <w:vAlign w:val="center"/>
          </w:tcPr>
          <w:p w14:paraId="53232793">
            <w:pPr>
              <w:pStyle w:val="45"/>
              <w:jc w:val="center"/>
              <w:rPr>
                <w:rFonts w:hint="eastAsia" w:ascii="仿宋" w:hAnsi="仿宋" w:eastAsia="仿宋" w:cs="仿宋"/>
                <w:color w:val="auto"/>
                <w:highlight w:val="none"/>
                <w:lang w:val="en-US" w:eastAsia="zh-CN"/>
              </w:rPr>
            </w:pPr>
          </w:p>
        </w:tc>
        <w:tc>
          <w:tcPr>
            <w:tcW w:w="1735" w:type="dxa"/>
            <w:gridSpan w:val="3"/>
            <w:tcBorders>
              <w:top w:val="single" w:color="000000" w:sz="4" w:space="0"/>
              <w:left w:val="single" w:color="000000" w:sz="4" w:space="0"/>
              <w:bottom w:val="single" w:color="000000" w:sz="4" w:space="0"/>
              <w:right w:val="single" w:color="000000" w:sz="4" w:space="0"/>
            </w:tcBorders>
            <w:vAlign w:val="center"/>
          </w:tcPr>
          <w:p w14:paraId="2C73D387">
            <w:pPr>
              <w:pStyle w:val="45"/>
              <w:jc w:val="center"/>
              <w:rPr>
                <w:rFonts w:hint="eastAsia" w:ascii="仿宋" w:hAnsi="仿宋" w:eastAsia="仿宋" w:cs="仿宋"/>
                <w:color w:val="auto"/>
                <w:highlight w:val="none"/>
                <w:lang w:val="en-US" w:eastAsia="zh-CN"/>
              </w:rPr>
            </w:pPr>
          </w:p>
        </w:tc>
        <w:tc>
          <w:tcPr>
            <w:tcW w:w="1734" w:type="dxa"/>
            <w:gridSpan w:val="2"/>
            <w:tcBorders>
              <w:top w:val="single" w:color="000000" w:sz="4" w:space="0"/>
              <w:left w:val="single" w:color="000000" w:sz="4" w:space="0"/>
              <w:bottom w:val="single" w:color="000000" w:sz="4" w:space="0"/>
              <w:right w:val="single" w:color="000000" w:sz="4" w:space="0"/>
            </w:tcBorders>
            <w:vAlign w:val="center"/>
          </w:tcPr>
          <w:p w14:paraId="1C5B5E1C">
            <w:pPr>
              <w:pStyle w:val="45"/>
              <w:jc w:val="center"/>
              <w:rPr>
                <w:rFonts w:hint="eastAsia" w:ascii="仿宋" w:hAnsi="仿宋" w:eastAsia="仿宋" w:cs="仿宋"/>
                <w:color w:val="auto"/>
                <w:highlight w:val="none"/>
                <w:lang w:val="en-US" w:eastAsia="zh-CN"/>
              </w:rPr>
            </w:pPr>
          </w:p>
        </w:tc>
        <w:tc>
          <w:tcPr>
            <w:tcW w:w="2035" w:type="dxa"/>
            <w:gridSpan w:val="3"/>
            <w:tcBorders>
              <w:top w:val="single" w:color="000000" w:sz="4" w:space="0"/>
              <w:left w:val="single" w:color="000000" w:sz="4" w:space="0"/>
              <w:bottom w:val="single" w:color="000000" w:sz="4" w:space="0"/>
              <w:right w:val="single" w:color="000000" w:sz="4" w:space="0"/>
            </w:tcBorders>
            <w:vAlign w:val="center"/>
          </w:tcPr>
          <w:p w14:paraId="0B7B84F5">
            <w:pPr>
              <w:pStyle w:val="45"/>
              <w:jc w:val="center"/>
              <w:rPr>
                <w:rFonts w:hint="eastAsia" w:ascii="仿宋" w:hAnsi="仿宋" w:eastAsia="仿宋" w:cs="仿宋"/>
                <w:color w:val="auto"/>
                <w:highlight w:val="none"/>
                <w:lang w:val="en-US" w:eastAsia="zh-CN"/>
              </w:rPr>
            </w:pPr>
          </w:p>
        </w:tc>
        <w:tc>
          <w:tcPr>
            <w:tcW w:w="1435" w:type="dxa"/>
            <w:tcBorders>
              <w:top w:val="single" w:color="000000" w:sz="4" w:space="0"/>
              <w:left w:val="single" w:color="000000" w:sz="4" w:space="0"/>
              <w:bottom w:val="single" w:color="000000" w:sz="4" w:space="0"/>
              <w:right w:val="single" w:color="000000" w:sz="4" w:space="0"/>
            </w:tcBorders>
            <w:vAlign w:val="center"/>
          </w:tcPr>
          <w:p w14:paraId="695BD5B9">
            <w:pPr>
              <w:pStyle w:val="45"/>
              <w:jc w:val="center"/>
              <w:rPr>
                <w:rFonts w:hint="eastAsia" w:ascii="仿宋" w:hAnsi="仿宋" w:eastAsia="仿宋" w:cs="仿宋"/>
                <w:color w:val="auto"/>
                <w:highlight w:val="none"/>
                <w:lang w:val="en-US" w:eastAsia="zh-CN"/>
              </w:rPr>
            </w:pPr>
          </w:p>
        </w:tc>
      </w:tr>
      <w:tr w14:paraId="0FF3E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948" w:type="dxa"/>
            <w:gridSpan w:val="2"/>
            <w:tcBorders>
              <w:top w:val="single" w:color="000000" w:sz="4" w:space="0"/>
              <w:left w:val="single" w:color="000000" w:sz="4" w:space="0"/>
              <w:bottom w:val="single" w:color="000000" w:sz="4" w:space="0"/>
              <w:right w:val="single" w:color="000000" w:sz="4" w:space="0"/>
            </w:tcBorders>
            <w:vAlign w:val="center"/>
          </w:tcPr>
          <w:p w14:paraId="2D3E3F1D">
            <w:pPr>
              <w:pStyle w:val="45"/>
              <w:jc w:val="center"/>
              <w:rPr>
                <w:rFonts w:hint="eastAsia" w:ascii="仿宋" w:hAnsi="仿宋" w:eastAsia="仿宋" w:cs="仿宋"/>
                <w:color w:val="auto"/>
                <w:highlight w:val="none"/>
                <w:lang w:val="en-US" w:eastAsia="zh-CN"/>
              </w:rPr>
            </w:pPr>
          </w:p>
        </w:tc>
        <w:tc>
          <w:tcPr>
            <w:tcW w:w="1735" w:type="dxa"/>
            <w:gridSpan w:val="3"/>
            <w:tcBorders>
              <w:top w:val="single" w:color="000000" w:sz="4" w:space="0"/>
              <w:left w:val="single" w:color="000000" w:sz="4" w:space="0"/>
              <w:bottom w:val="single" w:color="000000" w:sz="4" w:space="0"/>
              <w:right w:val="single" w:color="000000" w:sz="4" w:space="0"/>
            </w:tcBorders>
            <w:vAlign w:val="center"/>
          </w:tcPr>
          <w:p w14:paraId="7C1DF5E4">
            <w:pPr>
              <w:pStyle w:val="45"/>
              <w:jc w:val="center"/>
              <w:rPr>
                <w:rFonts w:hint="eastAsia" w:ascii="仿宋" w:hAnsi="仿宋" w:eastAsia="仿宋" w:cs="仿宋"/>
                <w:color w:val="auto"/>
                <w:highlight w:val="none"/>
                <w:lang w:val="en-US" w:eastAsia="zh-CN"/>
              </w:rPr>
            </w:pPr>
          </w:p>
        </w:tc>
        <w:tc>
          <w:tcPr>
            <w:tcW w:w="1734" w:type="dxa"/>
            <w:gridSpan w:val="2"/>
            <w:tcBorders>
              <w:top w:val="single" w:color="000000" w:sz="4" w:space="0"/>
              <w:left w:val="single" w:color="000000" w:sz="4" w:space="0"/>
              <w:bottom w:val="single" w:color="000000" w:sz="4" w:space="0"/>
              <w:right w:val="single" w:color="000000" w:sz="4" w:space="0"/>
            </w:tcBorders>
            <w:vAlign w:val="center"/>
          </w:tcPr>
          <w:p w14:paraId="58C73C94">
            <w:pPr>
              <w:pStyle w:val="45"/>
              <w:jc w:val="center"/>
              <w:rPr>
                <w:rFonts w:hint="eastAsia" w:ascii="仿宋" w:hAnsi="仿宋" w:eastAsia="仿宋" w:cs="仿宋"/>
                <w:color w:val="auto"/>
                <w:highlight w:val="none"/>
                <w:lang w:val="en-US" w:eastAsia="zh-CN"/>
              </w:rPr>
            </w:pPr>
          </w:p>
        </w:tc>
        <w:tc>
          <w:tcPr>
            <w:tcW w:w="2035" w:type="dxa"/>
            <w:gridSpan w:val="3"/>
            <w:tcBorders>
              <w:top w:val="single" w:color="000000" w:sz="4" w:space="0"/>
              <w:left w:val="single" w:color="000000" w:sz="4" w:space="0"/>
              <w:bottom w:val="single" w:color="000000" w:sz="4" w:space="0"/>
              <w:right w:val="single" w:color="000000" w:sz="4" w:space="0"/>
            </w:tcBorders>
            <w:vAlign w:val="center"/>
          </w:tcPr>
          <w:p w14:paraId="19184FE3">
            <w:pPr>
              <w:pStyle w:val="45"/>
              <w:jc w:val="center"/>
              <w:rPr>
                <w:rFonts w:hint="eastAsia" w:ascii="仿宋" w:hAnsi="仿宋" w:eastAsia="仿宋" w:cs="仿宋"/>
                <w:color w:val="auto"/>
                <w:highlight w:val="none"/>
                <w:lang w:val="en-US" w:eastAsia="zh-CN"/>
              </w:rPr>
            </w:pPr>
          </w:p>
        </w:tc>
        <w:tc>
          <w:tcPr>
            <w:tcW w:w="1435" w:type="dxa"/>
            <w:tcBorders>
              <w:top w:val="single" w:color="000000" w:sz="4" w:space="0"/>
              <w:left w:val="single" w:color="000000" w:sz="4" w:space="0"/>
              <w:bottom w:val="single" w:color="000000" w:sz="4" w:space="0"/>
              <w:right w:val="single" w:color="000000" w:sz="4" w:space="0"/>
            </w:tcBorders>
            <w:vAlign w:val="center"/>
          </w:tcPr>
          <w:p w14:paraId="3CB58FAB">
            <w:pPr>
              <w:pStyle w:val="45"/>
              <w:jc w:val="center"/>
              <w:rPr>
                <w:rFonts w:hint="eastAsia" w:ascii="仿宋" w:hAnsi="仿宋" w:eastAsia="仿宋" w:cs="仿宋"/>
                <w:color w:val="auto"/>
                <w:highlight w:val="none"/>
                <w:lang w:val="en-US" w:eastAsia="zh-CN"/>
              </w:rPr>
            </w:pPr>
          </w:p>
        </w:tc>
      </w:tr>
      <w:tr w14:paraId="6426B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948" w:type="dxa"/>
            <w:gridSpan w:val="2"/>
            <w:tcBorders>
              <w:top w:val="single" w:color="000000" w:sz="4" w:space="0"/>
              <w:left w:val="single" w:color="000000" w:sz="4" w:space="0"/>
              <w:bottom w:val="single" w:color="000000" w:sz="4" w:space="0"/>
              <w:right w:val="single" w:color="000000" w:sz="4" w:space="0"/>
            </w:tcBorders>
            <w:vAlign w:val="center"/>
          </w:tcPr>
          <w:p w14:paraId="55E3E9BF">
            <w:pPr>
              <w:pStyle w:val="45"/>
              <w:jc w:val="center"/>
              <w:rPr>
                <w:rFonts w:hint="eastAsia" w:ascii="仿宋" w:hAnsi="仿宋" w:eastAsia="仿宋" w:cs="仿宋"/>
                <w:color w:val="auto"/>
                <w:highlight w:val="none"/>
                <w:lang w:val="en-US" w:eastAsia="zh-CN"/>
              </w:rPr>
            </w:pPr>
          </w:p>
        </w:tc>
        <w:tc>
          <w:tcPr>
            <w:tcW w:w="1735" w:type="dxa"/>
            <w:gridSpan w:val="3"/>
            <w:tcBorders>
              <w:top w:val="single" w:color="000000" w:sz="4" w:space="0"/>
              <w:left w:val="single" w:color="000000" w:sz="4" w:space="0"/>
              <w:bottom w:val="single" w:color="000000" w:sz="4" w:space="0"/>
              <w:right w:val="single" w:color="000000" w:sz="4" w:space="0"/>
            </w:tcBorders>
            <w:vAlign w:val="center"/>
          </w:tcPr>
          <w:p w14:paraId="100A3584">
            <w:pPr>
              <w:pStyle w:val="45"/>
              <w:jc w:val="center"/>
              <w:rPr>
                <w:rFonts w:hint="eastAsia" w:ascii="仿宋" w:hAnsi="仿宋" w:eastAsia="仿宋" w:cs="仿宋"/>
                <w:color w:val="auto"/>
                <w:highlight w:val="none"/>
                <w:lang w:val="en-US" w:eastAsia="zh-CN"/>
              </w:rPr>
            </w:pPr>
          </w:p>
        </w:tc>
        <w:tc>
          <w:tcPr>
            <w:tcW w:w="1734" w:type="dxa"/>
            <w:gridSpan w:val="2"/>
            <w:tcBorders>
              <w:top w:val="single" w:color="000000" w:sz="4" w:space="0"/>
              <w:left w:val="single" w:color="000000" w:sz="4" w:space="0"/>
              <w:bottom w:val="single" w:color="000000" w:sz="4" w:space="0"/>
              <w:right w:val="single" w:color="000000" w:sz="4" w:space="0"/>
            </w:tcBorders>
            <w:vAlign w:val="center"/>
          </w:tcPr>
          <w:p w14:paraId="7415EFC0">
            <w:pPr>
              <w:pStyle w:val="45"/>
              <w:jc w:val="center"/>
              <w:rPr>
                <w:rFonts w:hint="eastAsia" w:ascii="仿宋" w:hAnsi="仿宋" w:eastAsia="仿宋" w:cs="仿宋"/>
                <w:color w:val="auto"/>
                <w:highlight w:val="none"/>
                <w:lang w:val="en-US" w:eastAsia="zh-CN"/>
              </w:rPr>
            </w:pPr>
          </w:p>
        </w:tc>
        <w:tc>
          <w:tcPr>
            <w:tcW w:w="2035" w:type="dxa"/>
            <w:gridSpan w:val="3"/>
            <w:tcBorders>
              <w:top w:val="single" w:color="000000" w:sz="4" w:space="0"/>
              <w:left w:val="single" w:color="000000" w:sz="4" w:space="0"/>
              <w:bottom w:val="single" w:color="000000" w:sz="4" w:space="0"/>
              <w:right w:val="single" w:color="000000" w:sz="4" w:space="0"/>
            </w:tcBorders>
            <w:vAlign w:val="center"/>
          </w:tcPr>
          <w:p w14:paraId="460280ED">
            <w:pPr>
              <w:pStyle w:val="45"/>
              <w:jc w:val="center"/>
              <w:rPr>
                <w:rFonts w:hint="eastAsia" w:ascii="仿宋" w:hAnsi="仿宋" w:eastAsia="仿宋" w:cs="仿宋"/>
                <w:color w:val="auto"/>
                <w:highlight w:val="none"/>
                <w:lang w:val="en-US" w:eastAsia="zh-CN"/>
              </w:rPr>
            </w:pPr>
          </w:p>
        </w:tc>
        <w:tc>
          <w:tcPr>
            <w:tcW w:w="1435" w:type="dxa"/>
            <w:tcBorders>
              <w:top w:val="single" w:color="000000" w:sz="4" w:space="0"/>
              <w:left w:val="single" w:color="000000" w:sz="4" w:space="0"/>
              <w:bottom w:val="single" w:color="000000" w:sz="4" w:space="0"/>
              <w:right w:val="single" w:color="000000" w:sz="4" w:space="0"/>
            </w:tcBorders>
            <w:vAlign w:val="center"/>
          </w:tcPr>
          <w:p w14:paraId="24706146">
            <w:pPr>
              <w:pStyle w:val="45"/>
              <w:jc w:val="center"/>
              <w:rPr>
                <w:rFonts w:hint="eastAsia" w:ascii="仿宋" w:hAnsi="仿宋" w:eastAsia="仿宋" w:cs="仿宋"/>
                <w:color w:val="auto"/>
                <w:highlight w:val="none"/>
                <w:lang w:val="en-US" w:eastAsia="zh-CN"/>
              </w:rPr>
            </w:pPr>
          </w:p>
        </w:tc>
      </w:tr>
      <w:tr w14:paraId="11A070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8887" w:type="dxa"/>
            <w:gridSpan w:val="11"/>
            <w:tcBorders>
              <w:top w:val="single" w:color="000000" w:sz="4" w:space="0"/>
              <w:left w:val="single" w:color="000000" w:sz="4" w:space="0"/>
              <w:bottom w:val="single" w:color="000000" w:sz="4" w:space="0"/>
              <w:right w:val="single" w:color="000000" w:sz="4" w:space="0"/>
            </w:tcBorders>
            <w:vAlign w:val="center"/>
          </w:tcPr>
          <w:p w14:paraId="6E589A87">
            <w:pPr>
              <w:pStyle w:val="45"/>
              <w:jc w:val="center"/>
              <w:rPr>
                <w:rFonts w:hint="eastAsia" w:ascii="仿宋" w:hAnsi="仿宋" w:eastAsia="仿宋" w:cs="仿宋"/>
                <w:color w:val="auto"/>
                <w:highlight w:val="none"/>
                <w:lang w:val="en-US" w:eastAsia="zh-CN"/>
              </w:rPr>
            </w:pPr>
          </w:p>
          <w:p w14:paraId="5690BE5F">
            <w:pPr>
              <w:pStyle w:val="45"/>
              <w:jc w:val="center"/>
              <w:rPr>
                <w:rFonts w:hint="eastAsia" w:ascii="仿宋" w:hAnsi="仿宋" w:eastAsia="仿宋" w:cs="仿宋"/>
                <w:color w:val="auto"/>
                <w:highlight w:val="none"/>
                <w:lang w:val="en-US" w:eastAsia="zh-CN"/>
              </w:rPr>
            </w:pPr>
          </w:p>
          <w:p w14:paraId="49206A48">
            <w:pPr>
              <w:pStyle w:val="45"/>
              <w:jc w:val="center"/>
              <w:rPr>
                <w:rFonts w:hint="eastAsia" w:ascii="仿宋" w:hAnsi="仿宋" w:eastAsia="仿宋" w:cs="仿宋"/>
                <w:color w:val="auto"/>
                <w:highlight w:val="none"/>
                <w:lang w:val="en-US" w:eastAsia="zh-CN"/>
              </w:rPr>
            </w:pPr>
          </w:p>
          <w:p w14:paraId="71B759A7">
            <w:pPr>
              <w:pStyle w:val="45"/>
              <w:jc w:val="center"/>
              <w:rPr>
                <w:rFonts w:hint="eastAsia" w:ascii="仿宋" w:hAnsi="仿宋" w:eastAsia="仿宋" w:cs="仿宋"/>
                <w:color w:val="auto"/>
                <w:highlight w:val="none"/>
                <w:lang w:val="en-US" w:eastAsia="zh-CN"/>
              </w:rPr>
            </w:pPr>
          </w:p>
          <w:p w14:paraId="1567685C">
            <w:pPr>
              <w:pStyle w:val="45"/>
              <w:rPr>
                <w:rFonts w:hint="eastAsia" w:ascii="仿宋" w:hAnsi="仿宋" w:eastAsia="仿宋" w:cs="仿宋"/>
                <w:color w:val="auto"/>
                <w:highlight w:val="none"/>
                <w:lang w:val="en-US" w:eastAsia="zh-CN"/>
              </w:rPr>
            </w:pPr>
          </w:p>
        </w:tc>
      </w:tr>
    </w:tbl>
    <w:p w14:paraId="794B31C7">
      <w:pPr>
        <w:pStyle w:val="45"/>
        <w:snapToGrid w:val="0"/>
        <w:spacing w:line="360" w:lineRule="auto"/>
        <w:ind w:firstLine="210" w:firstLineChars="100"/>
        <w:rPr>
          <w:rFonts w:hint="eastAsia" w:ascii="宋体" w:hAnsi="宋体" w:eastAsia="宋体" w:cs="宋体"/>
          <w:color w:val="auto"/>
          <w:highlight w:val="none"/>
          <w:lang w:eastAsia="zh-CN"/>
        </w:rPr>
      </w:pPr>
      <w:r>
        <w:rPr>
          <w:rFonts w:hint="eastAsia" w:ascii="宋体" w:hAnsi="宋体" w:eastAsia="宋体" w:cs="宋体"/>
          <w:color w:val="auto"/>
          <w:highlight w:val="none"/>
        </w:rPr>
        <w:t>说明：如为联合体投标</w:t>
      </w:r>
      <w:r>
        <w:rPr>
          <w:rFonts w:hint="eastAsia" w:ascii="宋体" w:hAnsi="宋体" w:eastAsia="宋体" w:cs="宋体"/>
          <w:color w:val="auto"/>
          <w:highlight w:val="none"/>
          <w:lang w:eastAsia="zh-CN"/>
        </w:rPr>
        <w:t>的</w:t>
      </w:r>
      <w:r>
        <w:rPr>
          <w:rFonts w:hint="eastAsia" w:ascii="宋体" w:hAnsi="宋体" w:eastAsia="宋体" w:cs="宋体"/>
          <w:color w:val="auto"/>
          <w:highlight w:val="none"/>
        </w:rPr>
        <w:t>，运营方提供</w:t>
      </w:r>
      <w:r>
        <w:rPr>
          <w:rFonts w:hint="eastAsia" w:ascii="宋体" w:hAnsi="宋体" w:eastAsia="宋体" w:cs="宋体"/>
          <w:color w:val="auto"/>
          <w:highlight w:val="none"/>
          <w:lang w:eastAsia="zh-CN"/>
        </w:rPr>
        <w:t>，后附运营负责人</w:t>
      </w:r>
      <w:r>
        <w:rPr>
          <w:rFonts w:hint="eastAsia" w:ascii="宋体" w:hAnsi="宋体" w:eastAsia="宋体" w:cs="宋体"/>
          <w:color w:val="auto"/>
          <w:sz w:val="21"/>
          <w:szCs w:val="21"/>
          <w:highlight w:val="none"/>
          <w:lang w:eastAsia="zh-CN"/>
        </w:rPr>
        <w:t>身份证原件扫描件、社保缴费证明、毕业证书、劳动合同、执业资格证书或职称证书（若有）</w:t>
      </w:r>
      <w:r>
        <w:rPr>
          <w:rFonts w:hint="eastAsia" w:ascii="宋体" w:hAnsi="宋体" w:eastAsia="宋体" w:cs="宋体"/>
          <w:color w:val="auto"/>
          <w:highlight w:val="none"/>
          <w:lang w:eastAsia="zh-CN"/>
        </w:rPr>
        <w:t>。</w:t>
      </w:r>
    </w:p>
    <w:p w14:paraId="2571DBCA">
      <w:pPr>
        <w:pStyle w:val="5"/>
        <w:ind w:firstLine="0" w:firstLineChars="0"/>
        <w:jc w:val="center"/>
        <w:rPr>
          <w:rFonts w:hint="eastAsia" w:ascii="黑体" w:hAnsi="宋体" w:eastAsia="黑体" w:cs="黑体"/>
          <w:color w:val="auto"/>
          <w:sz w:val="28"/>
          <w:szCs w:val="28"/>
          <w:highlight w:val="none"/>
        </w:rPr>
      </w:pPr>
    </w:p>
    <w:p w14:paraId="14B910DC">
      <w:pPr>
        <w:rPr>
          <w:rFonts w:hint="eastAsia" w:ascii="黑体" w:hAnsi="宋体" w:eastAsia="黑体" w:cs="黑体"/>
          <w:color w:val="auto"/>
          <w:sz w:val="28"/>
          <w:szCs w:val="28"/>
          <w:highlight w:val="none"/>
        </w:rPr>
      </w:pPr>
    </w:p>
    <w:p w14:paraId="1380926D">
      <w:pPr>
        <w:pStyle w:val="113"/>
        <w:rPr>
          <w:rFonts w:hint="eastAsia" w:ascii="黑体" w:hAnsi="宋体" w:eastAsia="黑体" w:cs="黑体"/>
          <w:color w:val="auto"/>
          <w:sz w:val="28"/>
          <w:szCs w:val="28"/>
          <w:highlight w:val="none"/>
        </w:rPr>
      </w:pPr>
    </w:p>
    <w:p w14:paraId="0338D02C">
      <w:pPr>
        <w:pStyle w:val="113"/>
        <w:rPr>
          <w:rFonts w:hint="eastAsia" w:ascii="黑体" w:hAnsi="宋体" w:eastAsia="黑体" w:cs="黑体"/>
          <w:color w:val="auto"/>
          <w:sz w:val="28"/>
          <w:szCs w:val="28"/>
          <w:highlight w:val="none"/>
        </w:rPr>
      </w:pPr>
    </w:p>
    <w:p w14:paraId="7ADAA9A6">
      <w:pPr>
        <w:pStyle w:val="113"/>
        <w:rPr>
          <w:rFonts w:hint="eastAsia" w:ascii="黑体" w:hAnsi="宋体" w:eastAsia="黑体" w:cs="黑体"/>
          <w:color w:val="auto"/>
          <w:sz w:val="28"/>
          <w:szCs w:val="28"/>
          <w:highlight w:val="none"/>
        </w:rPr>
      </w:pPr>
    </w:p>
    <w:p w14:paraId="2DC34331">
      <w:pPr>
        <w:pStyle w:val="113"/>
        <w:rPr>
          <w:rFonts w:hint="eastAsia" w:ascii="黑体" w:hAnsi="宋体" w:eastAsia="黑体" w:cs="黑体"/>
          <w:color w:val="auto"/>
          <w:sz w:val="28"/>
          <w:szCs w:val="28"/>
          <w:highlight w:val="none"/>
        </w:rPr>
      </w:pPr>
    </w:p>
    <w:p w14:paraId="500A940A">
      <w:pPr>
        <w:pStyle w:val="113"/>
        <w:rPr>
          <w:rFonts w:hint="eastAsia" w:ascii="黑体" w:hAnsi="宋体" w:eastAsia="黑体" w:cs="黑体"/>
          <w:color w:val="auto"/>
          <w:sz w:val="28"/>
          <w:szCs w:val="28"/>
          <w:highlight w:val="none"/>
        </w:rPr>
      </w:pPr>
    </w:p>
    <w:p w14:paraId="1497000F">
      <w:pPr>
        <w:pStyle w:val="113"/>
        <w:rPr>
          <w:rFonts w:hint="eastAsia" w:ascii="黑体" w:hAnsi="宋体" w:eastAsia="黑体" w:cs="黑体"/>
          <w:color w:val="auto"/>
          <w:sz w:val="28"/>
          <w:szCs w:val="28"/>
          <w:highlight w:val="none"/>
        </w:rPr>
      </w:pPr>
    </w:p>
    <w:p w14:paraId="17C12BE4">
      <w:pPr>
        <w:pStyle w:val="113"/>
        <w:rPr>
          <w:rFonts w:hint="eastAsia" w:ascii="黑体" w:hAnsi="宋体" w:eastAsia="黑体" w:cs="黑体"/>
          <w:color w:val="auto"/>
          <w:sz w:val="28"/>
          <w:szCs w:val="28"/>
          <w:highlight w:val="none"/>
        </w:rPr>
      </w:pPr>
    </w:p>
    <w:p w14:paraId="6ABB78D4">
      <w:pPr>
        <w:pStyle w:val="5"/>
        <w:ind w:firstLine="0" w:firstLineChars="0"/>
        <w:jc w:val="center"/>
        <w:rPr>
          <w:rFonts w:hint="default" w:eastAsia="黑体"/>
          <w:color w:val="auto"/>
          <w:highlight w:val="none"/>
          <w:lang w:val="en-US" w:eastAsia="zh-CN"/>
        </w:rPr>
      </w:pPr>
      <w:r>
        <w:rPr>
          <w:rFonts w:hint="eastAsia" w:ascii="黑体" w:hAnsi="宋体" w:eastAsia="黑体" w:cs="黑体"/>
          <w:color w:val="auto"/>
          <w:sz w:val="28"/>
          <w:szCs w:val="28"/>
          <w:highlight w:val="none"/>
        </w:rPr>
        <w:t>（三）</w:t>
      </w:r>
      <w:r>
        <w:rPr>
          <w:rFonts w:hint="eastAsia"/>
          <w:color w:val="auto"/>
          <w:highlight w:val="none"/>
        </w:rPr>
        <w:t>拟配备的施工现场专业（管理）人员</w:t>
      </w:r>
      <w:r>
        <w:rPr>
          <w:rFonts w:hint="eastAsia"/>
          <w:color w:val="auto"/>
          <w:highlight w:val="none"/>
          <w:lang w:val="en-US" w:eastAsia="zh-CN"/>
        </w:rPr>
        <w:t>配备表</w:t>
      </w:r>
    </w:p>
    <w:tbl>
      <w:tblPr>
        <w:tblStyle w:val="8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702"/>
      </w:tblGrid>
      <w:tr w14:paraId="0849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vAlign w:val="center"/>
          </w:tcPr>
          <w:p w14:paraId="6B013779">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专业岗位</w:t>
            </w:r>
          </w:p>
        </w:tc>
        <w:tc>
          <w:tcPr>
            <w:tcW w:w="709" w:type="dxa"/>
            <w:vAlign w:val="center"/>
          </w:tcPr>
          <w:p w14:paraId="7F8537F5">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姓名</w:t>
            </w:r>
          </w:p>
        </w:tc>
        <w:tc>
          <w:tcPr>
            <w:tcW w:w="709" w:type="dxa"/>
            <w:vAlign w:val="center"/>
          </w:tcPr>
          <w:p w14:paraId="2CA39FAE">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性别</w:t>
            </w:r>
          </w:p>
        </w:tc>
        <w:tc>
          <w:tcPr>
            <w:tcW w:w="1276" w:type="dxa"/>
            <w:vAlign w:val="center"/>
          </w:tcPr>
          <w:p w14:paraId="5835FD69">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出生年月</w:t>
            </w:r>
          </w:p>
        </w:tc>
        <w:tc>
          <w:tcPr>
            <w:tcW w:w="1135" w:type="dxa"/>
            <w:vAlign w:val="center"/>
          </w:tcPr>
          <w:p w14:paraId="3AA548D9">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工作年限</w:t>
            </w:r>
          </w:p>
        </w:tc>
        <w:tc>
          <w:tcPr>
            <w:tcW w:w="709" w:type="dxa"/>
            <w:vAlign w:val="center"/>
          </w:tcPr>
          <w:p w14:paraId="67C8A2A4">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职称</w:t>
            </w:r>
          </w:p>
        </w:tc>
        <w:tc>
          <w:tcPr>
            <w:tcW w:w="803" w:type="dxa"/>
            <w:vAlign w:val="center"/>
          </w:tcPr>
          <w:p w14:paraId="7F0B752E">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学历</w:t>
            </w:r>
          </w:p>
        </w:tc>
        <w:tc>
          <w:tcPr>
            <w:tcW w:w="1702" w:type="dxa"/>
            <w:vAlign w:val="center"/>
          </w:tcPr>
          <w:p w14:paraId="05586F9C">
            <w:pPr>
              <w:autoSpaceDE w:val="0"/>
              <w:autoSpaceDN w:val="0"/>
              <w:adjustRightInd w:val="0"/>
              <w:jc w:val="center"/>
              <w:rPr>
                <w:rFonts w:ascii="宋体" w:hAnsi="宋体" w:cs="宋体"/>
                <w:color w:val="auto"/>
                <w:highlight w:val="none"/>
              </w:rPr>
            </w:pPr>
            <w:r>
              <w:rPr>
                <w:rFonts w:hint="eastAsia" w:ascii="宋体" w:hAnsi="宋体" w:cs="宋体"/>
                <w:color w:val="auto"/>
                <w:highlight w:val="none"/>
              </w:rPr>
              <w:t>（相关证书）及编号</w:t>
            </w:r>
          </w:p>
        </w:tc>
        <w:tc>
          <w:tcPr>
            <w:tcW w:w="1702" w:type="dxa"/>
            <w:vAlign w:val="center"/>
          </w:tcPr>
          <w:p w14:paraId="126B4041">
            <w:pPr>
              <w:autoSpaceDE w:val="0"/>
              <w:autoSpaceDN w:val="0"/>
              <w:adjustRightInd w:val="0"/>
              <w:jc w:val="center"/>
              <w:rPr>
                <w:rFonts w:ascii="宋体" w:cs="Times New Roman"/>
                <w:color w:val="auto"/>
                <w:highlight w:val="none"/>
              </w:rPr>
            </w:pPr>
            <w:r>
              <w:rPr>
                <w:rFonts w:hint="eastAsia" w:ascii="宋体" w:hAnsi="宋体"/>
                <w:color w:val="auto"/>
                <w:highlight w:val="none"/>
              </w:rPr>
              <w:t>岗位要求</w:t>
            </w:r>
          </w:p>
        </w:tc>
      </w:tr>
      <w:tr w14:paraId="7980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6623463E">
            <w:pPr>
              <w:autoSpaceDE w:val="0"/>
              <w:autoSpaceDN w:val="0"/>
              <w:adjustRightInd w:val="0"/>
              <w:jc w:val="center"/>
              <w:rPr>
                <w:rFonts w:ascii="宋体" w:cs="Times New Roman"/>
                <w:color w:val="auto"/>
                <w:highlight w:val="none"/>
              </w:rPr>
            </w:pPr>
          </w:p>
        </w:tc>
        <w:tc>
          <w:tcPr>
            <w:tcW w:w="709" w:type="dxa"/>
            <w:vAlign w:val="center"/>
          </w:tcPr>
          <w:p w14:paraId="213556C2">
            <w:pPr>
              <w:autoSpaceDE w:val="0"/>
              <w:autoSpaceDN w:val="0"/>
              <w:adjustRightInd w:val="0"/>
              <w:jc w:val="center"/>
              <w:rPr>
                <w:rFonts w:ascii="宋体" w:cs="Times New Roman"/>
                <w:color w:val="auto"/>
                <w:highlight w:val="none"/>
              </w:rPr>
            </w:pPr>
          </w:p>
        </w:tc>
        <w:tc>
          <w:tcPr>
            <w:tcW w:w="709" w:type="dxa"/>
            <w:vAlign w:val="center"/>
          </w:tcPr>
          <w:p w14:paraId="06CDBC7D">
            <w:pPr>
              <w:autoSpaceDE w:val="0"/>
              <w:autoSpaceDN w:val="0"/>
              <w:adjustRightInd w:val="0"/>
              <w:jc w:val="center"/>
              <w:rPr>
                <w:rFonts w:ascii="宋体" w:cs="Times New Roman"/>
                <w:color w:val="auto"/>
                <w:highlight w:val="none"/>
              </w:rPr>
            </w:pPr>
          </w:p>
        </w:tc>
        <w:tc>
          <w:tcPr>
            <w:tcW w:w="1276" w:type="dxa"/>
            <w:vAlign w:val="center"/>
          </w:tcPr>
          <w:p w14:paraId="494F6D43">
            <w:pPr>
              <w:autoSpaceDE w:val="0"/>
              <w:autoSpaceDN w:val="0"/>
              <w:adjustRightInd w:val="0"/>
              <w:jc w:val="center"/>
              <w:rPr>
                <w:rFonts w:ascii="宋体" w:cs="Times New Roman"/>
                <w:color w:val="auto"/>
                <w:highlight w:val="none"/>
              </w:rPr>
            </w:pPr>
          </w:p>
        </w:tc>
        <w:tc>
          <w:tcPr>
            <w:tcW w:w="1135" w:type="dxa"/>
            <w:vAlign w:val="center"/>
          </w:tcPr>
          <w:p w14:paraId="7E948FC0">
            <w:pPr>
              <w:autoSpaceDE w:val="0"/>
              <w:autoSpaceDN w:val="0"/>
              <w:adjustRightInd w:val="0"/>
              <w:jc w:val="center"/>
              <w:rPr>
                <w:rFonts w:ascii="宋体" w:cs="Times New Roman"/>
                <w:color w:val="auto"/>
                <w:highlight w:val="none"/>
              </w:rPr>
            </w:pPr>
          </w:p>
        </w:tc>
        <w:tc>
          <w:tcPr>
            <w:tcW w:w="709" w:type="dxa"/>
            <w:vAlign w:val="center"/>
          </w:tcPr>
          <w:p w14:paraId="7FD20DC3">
            <w:pPr>
              <w:autoSpaceDE w:val="0"/>
              <w:autoSpaceDN w:val="0"/>
              <w:adjustRightInd w:val="0"/>
              <w:jc w:val="center"/>
              <w:rPr>
                <w:rFonts w:ascii="宋体" w:cs="Times New Roman"/>
                <w:color w:val="auto"/>
                <w:highlight w:val="none"/>
              </w:rPr>
            </w:pPr>
          </w:p>
        </w:tc>
        <w:tc>
          <w:tcPr>
            <w:tcW w:w="803" w:type="dxa"/>
            <w:vAlign w:val="center"/>
          </w:tcPr>
          <w:p w14:paraId="5FF0B31E">
            <w:pPr>
              <w:autoSpaceDE w:val="0"/>
              <w:autoSpaceDN w:val="0"/>
              <w:adjustRightInd w:val="0"/>
              <w:jc w:val="center"/>
              <w:rPr>
                <w:rFonts w:ascii="宋体" w:cs="Times New Roman"/>
                <w:color w:val="auto"/>
                <w:highlight w:val="none"/>
              </w:rPr>
            </w:pPr>
          </w:p>
        </w:tc>
        <w:tc>
          <w:tcPr>
            <w:tcW w:w="1702" w:type="dxa"/>
            <w:vAlign w:val="center"/>
          </w:tcPr>
          <w:p w14:paraId="01DE5E1D">
            <w:pPr>
              <w:autoSpaceDE w:val="0"/>
              <w:autoSpaceDN w:val="0"/>
              <w:adjustRightInd w:val="0"/>
              <w:jc w:val="center"/>
              <w:rPr>
                <w:rFonts w:ascii="宋体" w:cs="Times New Roman"/>
                <w:color w:val="auto"/>
                <w:highlight w:val="none"/>
              </w:rPr>
            </w:pPr>
          </w:p>
        </w:tc>
        <w:tc>
          <w:tcPr>
            <w:tcW w:w="1702" w:type="dxa"/>
            <w:vAlign w:val="center"/>
          </w:tcPr>
          <w:p w14:paraId="5450D35F">
            <w:pPr>
              <w:autoSpaceDE w:val="0"/>
              <w:autoSpaceDN w:val="0"/>
              <w:adjustRightInd w:val="0"/>
              <w:jc w:val="center"/>
              <w:rPr>
                <w:rFonts w:ascii="宋体" w:cs="Times New Roman"/>
                <w:color w:val="auto"/>
                <w:highlight w:val="none"/>
              </w:rPr>
            </w:pPr>
          </w:p>
        </w:tc>
      </w:tr>
      <w:tr w14:paraId="201F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613AC3B2">
            <w:pPr>
              <w:autoSpaceDE w:val="0"/>
              <w:autoSpaceDN w:val="0"/>
              <w:adjustRightInd w:val="0"/>
              <w:jc w:val="center"/>
              <w:rPr>
                <w:rFonts w:ascii="宋体" w:cs="Times New Roman"/>
                <w:color w:val="auto"/>
                <w:highlight w:val="none"/>
              </w:rPr>
            </w:pPr>
          </w:p>
        </w:tc>
        <w:tc>
          <w:tcPr>
            <w:tcW w:w="709" w:type="dxa"/>
            <w:vAlign w:val="center"/>
          </w:tcPr>
          <w:p w14:paraId="3CF5D7A1">
            <w:pPr>
              <w:autoSpaceDE w:val="0"/>
              <w:autoSpaceDN w:val="0"/>
              <w:adjustRightInd w:val="0"/>
              <w:jc w:val="center"/>
              <w:rPr>
                <w:rFonts w:ascii="宋体" w:cs="Times New Roman"/>
                <w:color w:val="auto"/>
                <w:highlight w:val="none"/>
              </w:rPr>
            </w:pPr>
          </w:p>
        </w:tc>
        <w:tc>
          <w:tcPr>
            <w:tcW w:w="709" w:type="dxa"/>
            <w:vAlign w:val="center"/>
          </w:tcPr>
          <w:p w14:paraId="01813833">
            <w:pPr>
              <w:autoSpaceDE w:val="0"/>
              <w:autoSpaceDN w:val="0"/>
              <w:adjustRightInd w:val="0"/>
              <w:jc w:val="center"/>
              <w:rPr>
                <w:rFonts w:ascii="宋体" w:cs="Times New Roman"/>
                <w:color w:val="auto"/>
                <w:highlight w:val="none"/>
              </w:rPr>
            </w:pPr>
          </w:p>
        </w:tc>
        <w:tc>
          <w:tcPr>
            <w:tcW w:w="1276" w:type="dxa"/>
            <w:vAlign w:val="center"/>
          </w:tcPr>
          <w:p w14:paraId="7FE3FF2D">
            <w:pPr>
              <w:autoSpaceDE w:val="0"/>
              <w:autoSpaceDN w:val="0"/>
              <w:adjustRightInd w:val="0"/>
              <w:jc w:val="center"/>
              <w:rPr>
                <w:rFonts w:ascii="宋体" w:cs="Times New Roman"/>
                <w:color w:val="auto"/>
                <w:highlight w:val="none"/>
              </w:rPr>
            </w:pPr>
          </w:p>
        </w:tc>
        <w:tc>
          <w:tcPr>
            <w:tcW w:w="1135" w:type="dxa"/>
            <w:vAlign w:val="center"/>
          </w:tcPr>
          <w:p w14:paraId="10DE9FBB">
            <w:pPr>
              <w:autoSpaceDE w:val="0"/>
              <w:autoSpaceDN w:val="0"/>
              <w:adjustRightInd w:val="0"/>
              <w:jc w:val="center"/>
              <w:rPr>
                <w:rFonts w:ascii="宋体" w:cs="Times New Roman"/>
                <w:color w:val="auto"/>
                <w:highlight w:val="none"/>
              </w:rPr>
            </w:pPr>
          </w:p>
        </w:tc>
        <w:tc>
          <w:tcPr>
            <w:tcW w:w="709" w:type="dxa"/>
            <w:vAlign w:val="center"/>
          </w:tcPr>
          <w:p w14:paraId="03E042C3">
            <w:pPr>
              <w:autoSpaceDE w:val="0"/>
              <w:autoSpaceDN w:val="0"/>
              <w:adjustRightInd w:val="0"/>
              <w:jc w:val="center"/>
              <w:rPr>
                <w:rFonts w:ascii="宋体" w:cs="Times New Roman"/>
                <w:color w:val="auto"/>
                <w:highlight w:val="none"/>
              </w:rPr>
            </w:pPr>
          </w:p>
        </w:tc>
        <w:tc>
          <w:tcPr>
            <w:tcW w:w="803" w:type="dxa"/>
            <w:vAlign w:val="center"/>
          </w:tcPr>
          <w:p w14:paraId="7FFB50D9">
            <w:pPr>
              <w:autoSpaceDE w:val="0"/>
              <w:autoSpaceDN w:val="0"/>
              <w:adjustRightInd w:val="0"/>
              <w:jc w:val="center"/>
              <w:rPr>
                <w:rFonts w:ascii="宋体" w:cs="Times New Roman"/>
                <w:color w:val="auto"/>
                <w:highlight w:val="none"/>
              </w:rPr>
            </w:pPr>
          </w:p>
        </w:tc>
        <w:tc>
          <w:tcPr>
            <w:tcW w:w="1702" w:type="dxa"/>
            <w:vAlign w:val="center"/>
          </w:tcPr>
          <w:p w14:paraId="47A1A3C6">
            <w:pPr>
              <w:autoSpaceDE w:val="0"/>
              <w:autoSpaceDN w:val="0"/>
              <w:adjustRightInd w:val="0"/>
              <w:jc w:val="center"/>
              <w:rPr>
                <w:rFonts w:ascii="宋体" w:cs="Times New Roman"/>
                <w:color w:val="auto"/>
                <w:highlight w:val="none"/>
              </w:rPr>
            </w:pPr>
          </w:p>
        </w:tc>
        <w:tc>
          <w:tcPr>
            <w:tcW w:w="1702" w:type="dxa"/>
            <w:vAlign w:val="center"/>
          </w:tcPr>
          <w:p w14:paraId="7A985639">
            <w:pPr>
              <w:autoSpaceDE w:val="0"/>
              <w:autoSpaceDN w:val="0"/>
              <w:adjustRightInd w:val="0"/>
              <w:jc w:val="center"/>
              <w:rPr>
                <w:rFonts w:ascii="宋体" w:cs="Times New Roman"/>
                <w:color w:val="auto"/>
                <w:highlight w:val="none"/>
              </w:rPr>
            </w:pPr>
          </w:p>
        </w:tc>
      </w:tr>
      <w:tr w14:paraId="1EA54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0CD1BC4E">
            <w:pPr>
              <w:autoSpaceDE w:val="0"/>
              <w:autoSpaceDN w:val="0"/>
              <w:adjustRightInd w:val="0"/>
              <w:jc w:val="center"/>
              <w:rPr>
                <w:rFonts w:ascii="宋体" w:cs="Times New Roman"/>
                <w:color w:val="auto"/>
                <w:highlight w:val="none"/>
              </w:rPr>
            </w:pPr>
          </w:p>
        </w:tc>
        <w:tc>
          <w:tcPr>
            <w:tcW w:w="709" w:type="dxa"/>
            <w:vAlign w:val="center"/>
          </w:tcPr>
          <w:p w14:paraId="2D279195">
            <w:pPr>
              <w:autoSpaceDE w:val="0"/>
              <w:autoSpaceDN w:val="0"/>
              <w:adjustRightInd w:val="0"/>
              <w:jc w:val="center"/>
              <w:rPr>
                <w:rFonts w:ascii="宋体" w:cs="Times New Roman"/>
                <w:color w:val="auto"/>
                <w:highlight w:val="none"/>
              </w:rPr>
            </w:pPr>
          </w:p>
        </w:tc>
        <w:tc>
          <w:tcPr>
            <w:tcW w:w="709" w:type="dxa"/>
            <w:vAlign w:val="center"/>
          </w:tcPr>
          <w:p w14:paraId="047B1AF6">
            <w:pPr>
              <w:autoSpaceDE w:val="0"/>
              <w:autoSpaceDN w:val="0"/>
              <w:adjustRightInd w:val="0"/>
              <w:jc w:val="center"/>
              <w:rPr>
                <w:rFonts w:ascii="宋体" w:cs="Times New Roman"/>
                <w:color w:val="auto"/>
                <w:highlight w:val="none"/>
              </w:rPr>
            </w:pPr>
          </w:p>
        </w:tc>
        <w:tc>
          <w:tcPr>
            <w:tcW w:w="1276" w:type="dxa"/>
            <w:vAlign w:val="center"/>
          </w:tcPr>
          <w:p w14:paraId="77CA44C9">
            <w:pPr>
              <w:autoSpaceDE w:val="0"/>
              <w:autoSpaceDN w:val="0"/>
              <w:adjustRightInd w:val="0"/>
              <w:jc w:val="center"/>
              <w:rPr>
                <w:rFonts w:ascii="宋体" w:cs="Times New Roman"/>
                <w:color w:val="auto"/>
                <w:highlight w:val="none"/>
              </w:rPr>
            </w:pPr>
          </w:p>
        </w:tc>
        <w:tc>
          <w:tcPr>
            <w:tcW w:w="1135" w:type="dxa"/>
            <w:vAlign w:val="center"/>
          </w:tcPr>
          <w:p w14:paraId="58451900">
            <w:pPr>
              <w:autoSpaceDE w:val="0"/>
              <w:autoSpaceDN w:val="0"/>
              <w:adjustRightInd w:val="0"/>
              <w:jc w:val="center"/>
              <w:rPr>
                <w:rFonts w:ascii="宋体" w:cs="Times New Roman"/>
                <w:color w:val="auto"/>
                <w:highlight w:val="none"/>
              </w:rPr>
            </w:pPr>
          </w:p>
        </w:tc>
        <w:tc>
          <w:tcPr>
            <w:tcW w:w="709" w:type="dxa"/>
            <w:vAlign w:val="center"/>
          </w:tcPr>
          <w:p w14:paraId="2DC92734">
            <w:pPr>
              <w:autoSpaceDE w:val="0"/>
              <w:autoSpaceDN w:val="0"/>
              <w:adjustRightInd w:val="0"/>
              <w:jc w:val="center"/>
              <w:rPr>
                <w:rFonts w:ascii="宋体" w:cs="Times New Roman"/>
                <w:color w:val="auto"/>
                <w:highlight w:val="none"/>
              </w:rPr>
            </w:pPr>
          </w:p>
        </w:tc>
        <w:tc>
          <w:tcPr>
            <w:tcW w:w="803" w:type="dxa"/>
            <w:vAlign w:val="center"/>
          </w:tcPr>
          <w:p w14:paraId="75DAA416">
            <w:pPr>
              <w:autoSpaceDE w:val="0"/>
              <w:autoSpaceDN w:val="0"/>
              <w:adjustRightInd w:val="0"/>
              <w:jc w:val="center"/>
              <w:rPr>
                <w:rFonts w:ascii="宋体" w:cs="Times New Roman"/>
                <w:color w:val="auto"/>
                <w:highlight w:val="none"/>
              </w:rPr>
            </w:pPr>
          </w:p>
        </w:tc>
        <w:tc>
          <w:tcPr>
            <w:tcW w:w="1702" w:type="dxa"/>
            <w:vAlign w:val="center"/>
          </w:tcPr>
          <w:p w14:paraId="46511656">
            <w:pPr>
              <w:autoSpaceDE w:val="0"/>
              <w:autoSpaceDN w:val="0"/>
              <w:adjustRightInd w:val="0"/>
              <w:jc w:val="center"/>
              <w:rPr>
                <w:rFonts w:ascii="宋体" w:cs="Times New Roman"/>
                <w:color w:val="auto"/>
                <w:highlight w:val="none"/>
              </w:rPr>
            </w:pPr>
          </w:p>
        </w:tc>
        <w:tc>
          <w:tcPr>
            <w:tcW w:w="1702" w:type="dxa"/>
            <w:vAlign w:val="center"/>
          </w:tcPr>
          <w:p w14:paraId="4C9B0129">
            <w:pPr>
              <w:autoSpaceDE w:val="0"/>
              <w:autoSpaceDN w:val="0"/>
              <w:adjustRightInd w:val="0"/>
              <w:jc w:val="center"/>
              <w:rPr>
                <w:rFonts w:ascii="宋体" w:cs="Times New Roman"/>
                <w:color w:val="auto"/>
                <w:highlight w:val="none"/>
              </w:rPr>
            </w:pPr>
          </w:p>
        </w:tc>
      </w:tr>
      <w:tr w14:paraId="35A4B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5E64A154">
            <w:pPr>
              <w:autoSpaceDE w:val="0"/>
              <w:autoSpaceDN w:val="0"/>
              <w:adjustRightInd w:val="0"/>
              <w:jc w:val="center"/>
              <w:rPr>
                <w:rFonts w:ascii="宋体" w:cs="Times New Roman"/>
                <w:color w:val="auto"/>
                <w:highlight w:val="none"/>
              </w:rPr>
            </w:pPr>
          </w:p>
        </w:tc>
        <w:tc>
          <w:tcPr>
            <w:tcW w:w="709" w:type="dxa"/>
            <w:vAlign w:val="center"/>
          </w:tcPr>
          <w:p w14:paraId="3C6797C2">
            <w:pPr>
              <w:autoSpaceDE w:val="0"/>
              <w:autoSpaceDN w:val="0"/>
              <w:adjustRightInd w:val="0"/>
              <w:jc w:val="center"/>
              <w:rPr>
                <w:rFonts w:ascii="宋体" w:cs="Times New Roman"/>
                <w:color w:val="auto"/>
                <w:highlight w:val="none"/>
              </w:rPr>
            </w:pPr>
          </w:p>
        </w:tc>
        <w:tc>
          <w:tcPr>
            <w:tcW w:w="709" w:type="dxa"/>
            <w:vAlign w:val="center"/>
          </w:tcPr>
          <w:p w14:paraId="39A3D478">
            <w:pPr>
              <w:autoSpaceDE w:val="0"/>
              <w:autoSpaceDN w:val="0"/>
              <w:adjustRightInd w:val="0"/>
              <w:jc w:val="center"/>
              <w:rPr>
                <w:rFonts w:ascii="宋体" w:cs="Times New Roman"/>
                <w:color w:val="auto"/>
                <w:highlight w:val="none"/>
              </w:rPr>
            </w:pPr>
          </w:p>
        </w:tc>
        <w:tc>
          <w:tcPr>
            <w:tcW w:w="1276" w:type="dxa"/>
            <w:vAlign w:val="center"/>
          </w:tcPr>
          <w:p w14:paraId="4483CAF5">
            <w:pPr>
              <w:autoSpaceDE w:val="0"/>
              <w:autoSpaceDN w:val="0"/>
              <w:adjustRightInd w:val="0"/>
              <w:jc w:val="center"/>
              <w:rPr>
                <w:rFonts w:ascii="宋体" w:cs="Times New Roman"/>
                <w:color w:val="auto"/>
                <w:highlight w:val="none"/>
              </w:rPr>
            </w:pPr>
          </w:p>
        </w:tc>
        <w:tc>
          <w:tcPr>
            <w:tcW w:w="1135" w:type="dxa"/>
            <w:vAlign w:val="center"/>
          </w:tcPr>
          <w:p w14:paraId="6883B3C6">
            <w:pPr>
              <w:autoSpaceDE w:val="0"/>
              <w:autoSpaceDN w:val="0"/>
              <w:adjustRightInd w:val="0"/>
              <w:jc w:val="center"/>
              <w:rPr>
                <w:rFonts w:ascii="宋体" w:cs="Times New Roman"/>
                <w:color w:val="auto"/>
                <w:highlight w:val="none"/>
              </w:rPr>
            </w:pPr>
          </w:p>
        </w:tc>
        <w:tc>
          <w:tcPr>
            <w:tcW w:w="709" w:type="dxa"/>
            <w:vAlign w:val="center"/>
          </w:tcPr>
          <w:p w14:paraId="12BAABF9">
            <w:pPr>
              <w:autoSpaceDE w:val="0"/>
              <w:autoSpaceDN w:val="0"/>
              <w:adjustRightInd w:val="0"/>
              <w:jc w:val="center"/>
              <w:rPr>
                <w:rFonts w:ascii="宋体" w:cs="Times New Roman"/>
                <w:color w:val="auto"/>
                <w:highlight w:val="none"/>
              </w:rPr>
            </w:pPr>
          </w:p>
        </w:tc>
        <w:tc>
          <w:tcPr>
            <w:tcW w:w="803" w:type="dxa"/>
            <w:vAlign w:val="center"/>
          </w:tcPr>
          <w:p w14:paraId="474D2C1E">
            <w:pPr>
              <w:autoSpaceDE w:val="0"/>
              <w:autoSpaceDN w:val="0"/>
              <w:adjustRightInd w:val="0"/>
              <w:jc w:val="center"/>
              <w:rPr>
                <w:rFonts w:ascii="宋体" w:cs="Times New Roman"/>
                <w:color w:val="auto"/>
                <w:highlight w:val="none"/>
              </w:rPr>
            </w:pPr>
          </w:p>
        </w:tc>
        <w:tc>
          <w:tcPr>
            <w:tcW w:w="1702" w:type="dxa"/>
            <w:vAlign w:val="center"/>
          </w:tcPr>
          <w:p w14:paraId="17647853">
            <w:pPr>
              <w:autoSpaceDE w:val="0"/>
              <w:autoSpaceDN w:val="0"/>
              <w:adjustRightInd w:val="0"/>
              <w:jc w:val="center"/>
              <w:rPr>
                <w:rFonts w:ascii="宋体" w:cs="Times New Roman"/>
                <w:color w:val="auto"/>
                <w:highlight w:val="none"/>
              </w:rPr>
            </w:pPr>
          </w:p>
        </w:tc>
        <w:tc>
          <w:tcPr>
            <w:tcW w:w="1702" w:type="dxa"/>
            <w:vAlign w:val="center"/>
          </w:tcPr>
          <w:p w14:paraId="55E90DD5">
            <w:pPr>
              <w:autoSpaceDE w:val="0"/>
              <w:autoSpaceDN w:val="0"/>
              <w:adjustRightInd w:val="0"/>
              <w:jc w:val="center"/>
              <w:rPr>
                <w:rFonts w:ascii="宋体" w:cs="Times New Roman"/>
                <w:color w:val="auto"/>
                <w:highlight w:val="none"/>
              </w:rPr>
            </w:pPr>
          </w:p>
        </w:tc>
      </w:tr>
      <w:tr w14:paraId="47FCD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jc w:val="center"/>
        </w:trPr>
        <w:tc>
          <w:tcPr>
            <w:tcW w:w="1454" w:type="dxa"/>
            <w:vAlign w:val="center"/>
          </w:tcPr>
          <w:p w14:paraId="3B4FFE9B">
            <w:pPr>
              <w:autoSpaceDE w:val="0"/>
              <w:autoSpaceDN w:val="0"/>
              <w:adjustRightInd w:val="0"/>
              <w:jc w:val="center"/>
              <w:rPr>
                <w:rFonts w:ascii="宋体" w:cs="Times New Roman"/>
                <w:color w:val="auto"/>
                <w:highlight w:val="none"/>
              </w:rPr>
            </w:pPr>
          </w:p>
        </w:tc>
        <w:tc>
          <w:tcPr>
            <w:tcW w:w="709" w:type="dxa"/>
            <w:vAlign w:val="center"/>
          </w:tcPr>
          <w:p w14:paraId="2B072F54">
            <w:pPr>
              <w:autoSpaceDE w:val="0"/>
              <w:autoSpaceDN w:val="0"/>
              <w:adjustRightInd w:val="0"/>
              <w:jc w:val="center"/>
              <w:rPr>
                <w:rFonts w:ascii="宋体" w:cs="Times New Roman"/>
                <w:color w:val="auto"/>
                <w:highlight w:val="none"/>
              </w:rPr>
            </w:pPr>
          </w:p>
        </w:tc>
        <w:tc>
          <w:tcPr>
            <w:tcW w:w="709" w:type="dxa"/>
            <w:vAlign w:val="center"/>
          </w:tcPr>
          <w:p w14:paraId="39125703">
            <w:pPr>
              <w:autoSpaceDE w:val="0"/>
              <w:autoSpaceDN w:val="0"/>
              <w:adjustRightInd w:val="0"/>
              <w:jc w:val="center"/>
              <w:rPr>
                <w:rFonts w:ascii="宋体" w:cs="Times New Roman"/>
                <w:color w:val="auto"/>
                <w:highlight w:val="none"/>
              </w:rPr>
            </w:pPr>
          </w:p>
        </w:tc>
        <w:tc>
          <w:tcPr>
            <w:tcW w:w="1276" w:type="dxa"/>
            <w:vAlign w:val="center"/>
          </w:tcPr>
          <w:p w14:paraId="1F7D19BB">
            <w:pPr>
              <w:autoSpaceDE w:val="0"/>
              <w:autoSpaceDN w:val="0"/>
              <w:adjustRightInd w:val="0"/>
              <w:jc w:val="center"/>
              <w:rPr>
                <w:rFonts w:ascii="宋体" w:cs="Times New Roman"/>
                <w:color w:val="auto"/>
                <w:highlight w:val="none"/>
              </w:rPr>
            </w:pPr>
          </w:p>
        </w:tc>
        <w:tc>
          <w:tcPr>
            <w:tcW w:w="1135" w:type="dxa"/>
            <w:vAlign w:val="center"/>
          </w:tcPr>
          <w:p w14:paraId="69818D74">
            <w:pPr>
              <w:autoSpaceDE w:val="0"/>
              <w:autoSpaceDN w:val="0"/>
              <w:adjustRightInd w:val="0"/>
              <w:jc w:val="center"/>
              <w:rPr>
                <w:rFonts w:ascii="宋体" w:cs="Times New Roman"/>
                <w:color w:val="auto"/>
                <w:highlight w:val="none"/>
              </w:rPr>
            </w:pPr>
          </w:p>
        </w:tc>
        <w:tc>
          <w:tcPr>
            <w:tcW w:w="709" w:type="dxa"/>
            <w:vAlign w:val="center"/>
          </w:tcPr>
          <w:p w14:paraId="5C5A7C8F">
            <w:pPr>
              <w:autoSpaceDE w:val="0"/>
              <w:autoSpaceDN w:val="0"/>
              <w:adjustRightInd w:val="0"/>
              <w:jc w:val="center"/>
              <w:rPr>
                <w:rFonts w:ascii="宋体" w:cs="Times New Roman"/>
                <w:color w:val="auto"/>
                <w:highlight w:val="none"/>
              </w:rPr>
            </w:pPr>
          </w:p>
        </w:tc>
        <w:tc>
          <w:tcPr>
            <w:tcW w:w="803" w:type="dxa"/>
            <w:vAlign w:val="center"/>
          </w:tcPr>
          <w:p w14:paraId="39315DA2">
            <w:pPr>
              <w:autoSpaceDE w:val="0"/>
              <w:autoSpaceDN w:val="0"/>
              <w:adjustRightInd w:val="0"/>
              <w:jc w:val="center"/>
              <w:rPr>
                <w:rFonts w:ascii="宋体" w:cs="Times New Roman"/>
                <w:color w:val="auto"/>
                <w:highlight w:val="none"/>
              </w:rPr>
            </w:pPr>
          </w:p>
        </w:tc>
        <w:tc>
          <w:tcPr>
            <w:tcW w:w="1702" w:type="dxa"/>
            <w:vAlign w:val="center"/>
          </w:tcPr>
          <w:p w14:paraId="24D910C2">
            <w:pPr>
              <w:autoSpaceDE w:val="0"/>
              <w:autoSpaceDN w:val="0"/>
              <w:adjustRightInd w:val="0"/>
              <w:jc w:val="center"/>
              <w:rPr>
                <w:rFonts w:ascii="宋体" w:cs="Times New Roman"/>
                <w:color w:val="auto"/>
                <w:highlight w:val="none"/>
              </w:rPr>
            </w:pPr>
          </w:p>
        </w:tc>
        <w:tc>
          <w:tcPr>
            <w:tcW w:w="1702" w:type="dxa"/>
            <w:vAlign w:val="center"/>
          </w:tcPr>
          <w:p w14:paraId="736FD3C3">
            <w:pPr>
              <w:autoSpaceDE w:val="0"/>
              <w:autoSpaceDN w:val="0"/>
              <w:adjustRightInd w:val="0"/>
              <w:jc w:val="center"/>
              <w:rPr>
                <w:rFonts w:ascii="宋体" w:cs="Times New Roman"/>
                <w:color w:val="auto"/>
                <w:highlight w:val="none"/>
              </w:rPr>
            </w:pPr>
          </w:p>
        </w:tc>
      </w:tr>
      <w:tr w14:paraId="5DE96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609E37BF">
            <w:pPr>
              <w:autoSpaceDE w:val="0"/>
              <w:autoSpaceDN w:val="0"/>
              <w:adjustRightInd w:val="0"/>
              <w:jc w:val="center"/>
              <w:rPr>
                <w:rFonts w:ascii="宋体" w:cs="Times New Roman"/>
                <w:color w:val="auto"/>
                <w:highlight w:val="none"/>
              </w:rPr>
            </w:pPr>
          </w:p>
        </w:tc>
        <w:tc>
          <w:tcPr>
            <w:tcW w:w="709" w:type="dxa"/>
            <w:vAlign w:val="center"/>
          </w:tcPr>
          <w:p w14:paraId="4907D826">
            <w:pPr>
              <w:autoSpaceDE w:val="0"/>
              <w:autoSpaceDN w:val="0"/>
              <w:adjustRightInd w:val="0"/>
              <w:jc w:val="center"/>
              <w:rPr>
                <w:rFonts w:ascii="宋体" w:cs="Times New Roman"/>
                <w:color w:val="auto"/>
                <w:highlight w:val="none"/>
              </w:rPr>
            </w:pPr>
          </w:p>
        </w:tc>
        <w:tc>
          <w:tcPr>
            <w:tcW w:w="709" w:type="dxa"/>
            <w:vAlign w:val="center"/>
          </w:tcPr>
          <w:p w14:paraId="76C9F706">
            <w:pPr>
              <w:autoSpaceDE w:val="0"/>
              <w:autoSpaceDN w:val="0"/>
              <w:adjustRightInd w:val="0"/>
              <w:jc w:val="center"/>
              <w:rPr>
                <w:rFonts w:ascii="宋体" w:cs="Times New Roman"/>
                <w:color w:val="auto"/>
                <w:highlight w:val="none"/>
              </w:rPr>
            </w:pPr>
          </w:p>
        </w:tc>
        <w:tc>
          <w:tcPr>
            <w:tcW w:w="1276" w:type="dxa"/>
            <w:vAlign w:val="center"/>
          </w:tcPr>
          <w:p w14:paraId="5850A599">
            <w:pPr>
              <w:autoSpaceDE w:val="0"/>
              <w:autoSpaceDN w:val="0"/>
              <w:adjustRightInd w:val="0"/>
              <w:jc w:val="center"/>
              <w:rPr>
                <w:rFonts w:ascii="宋体" w:cs="Times New Roman"/>
                <w:color w:val="auto"/>
                <w:highlight w:val="none"/>
              </w:rPr>
            </w:pPr>
          </w:p>
        </w:tc>
        <w:tc>
          <w:tcPr>
            <w:tcW w:w="1135" w:type="dxa"/>
            <w:vAlign w:val="center"/>
          </w:tcPr>
          <w:p w14:paraId="1A746248">
            <w:pPr>
              <w:autoSpaceDE w:val="0"/>
              <w:autoSpaceDN w:val="0"/>
              <w:adjustRightInd w:val="0"/>
              <w:jc w:val="center"/>
              <w:rPr>
                <w:rFonts w:ascii="宋体" w:cs="Times New Roman"/>
                <w:color w:val="auto"/>
                <w:highlight w:val="none"/>
              </w:rPr>
            </w:pPr>
          </w:p>
        </w:tc>
        <w:tc>
          <w:tcPr>
            <w:tcW w:w="709" w:type="dxa"/>
            <w:vAlign w:val="center"/>
          </w:tcPr>
          <w:p w14:paraId="7BF731E0">
            <w:pPr>
              <w:autoSpaceDE w:val="0"/>
              <w:autoSpaceDN w:val="0"/>
              <w:adjustRightInd w:val="0"/>
              <w:jc w:val="center"/>
              <w:rPr>
                <w:rFonts w:ascii="宋体" w:cs="Times New Roman"/>
                <w:color w:val="auto"/>
                <w:highlight w:val="none"/>
              </w:rPr>
            </w:pPr>
          </w:p>
        </w:tc>
        <w:tc>
          <w:tcPr>
            <w:tcW w:w="803" w:type="dxa"/>
            <w:vAlign w:val="center"/>
          </w:tcPr>
          <w:p w14:paraId="29150664">
            <w:pPr>
              <w:autoSpaceDE w:val="0"/>
              <w:autoSpaceDN w:val="0"/>
              <w:adjustRightInd w:val="0"/>
              <w:jc w:val="center"/>
              <w:rPr>
                <w:rFonts w:ascii="宋体" w:cs="Times New Roman"/>
                <w:color w:val="auto"/>
                <w:highlight w:val="none"/>
              </w:rPr>
            </w:pPr>
          </w:p>
        </w:tc>
        <w:tc>
          <w:tcPr>
            <w:tcW w:w="1702" w:type="dxa"/>
            <w:vAlign w:val="center"/>
          </w:tcPr>
          <w:p w14:paraId="1ACAD5FE">
            <w:pPr>
              <w:autoSpaceDE w:val="0"/>
              <w:autoSpaceDN w:val="0"/>
              <w:adjustRightInd w:val="0"/>
              <w:jc w:val="center"/>
              <w:rPr>
                <w:rFonts w:ascii="宋体" w:cs="Times New Roman"/>
                <w:color w:val="auto"/>
                <w:highlight w:val="none"/>
              </w:rPr>
            </w:pPr>
          </w:p>
        </w:tc>
        <w:tc>
          <w:tcPr>
            <w:tcW w:w="1702" w:type="dxa"/>
            <w:vAlign w:val="center"/>
          </w:tcPr>
          <w:p w14:paraId="608782A8">
            <w:pPr>
              <w:autoSpaceDE w:val="0"/>
              <w:autoSpaceDN w:val="0"/>
              <w:adjustRightInd w:val="0"/>
              <w:jc w:val="center"/>
              <w:rPr>
                <w:rFonts w:ascii="宋体" w:cs="Times New Roman"/>
                <w:color w:val="auto"/>
                <w:highlight w:val="none"/>
              </w:rPr>
            </w:pPr>
          </w:p>
        </w:tc>
      </w:tr>
      <w:tr w14:paraId="71F6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292D1ABA">
            <w:pPr>
              <w:autoSpaceDE w:val="0"/>
              <w:autoSpaceDN w:val="0"/>
              <w:adjustRightInd w:val="0"/>
              <w:jc w:val="center"/>
              <w:rPr>
                <w:rFonts w:ascii="宋体" w:cs="Times New Roman"/>
                <w:color w:val="auto"/>
                <w:highlight w:val="none"/>
              </w:rPr>
            </w:pPr>
          </w:p>
        </w:tc>
        <w:tc>
          <w:tcPr>
            <w:tcW w:w="709" w:type="dxa"/>
            <w:vAlign w:val="center"/>
          </w:tcPr>
          <w:p w14:paraId="3E51269F">
            <w:pPr>
              <w:autoSpaceDE w:val="0"/>
              <w:autoSpaceDN w:val="0"/>
              <w:adjustRightInd w:val="0"/>
              <w:jc w:val="center"/>
              <w:rPr>
                <w:rFonts w:ascii="宋体" w:cs="Times New Roman"/>
                <w:color w:val="auto"/>
                <w:highlight w:val="none"/>
              </w:rPr>
            </w:pPr>
          </w:p>
        </w:tc>
        <w:tc>
          <w:tcPr>
            <w:tcW w:w="709" w:type="dxa"/>
            <w:vAlign w:val="center"/>
          </w:tcPr>
          <w:p w14:paraId="7CABC01F">
            <w:pPr>
              <w:autoSpaceDE w:val="0"/>
              <w:autoSpaceDN w:val="0"/>
              <w:adjustRightInd w:val="0"/>
              <w:jc w:val="center"/>
              <w:rPr>
                <w:rFonts w:ascii="宋体" w:cs="Times New Roman"/>
                <w:color w:val="auto"/>
                <w:highlight w:val="none"/>
              </w:rPr>
            </w:pPr>
          </w:p>
        </w:tc>
        <w:tc>
          <w:tcPr>
            <w:tcW w:w="1276" w:type="dxa"/>
            <w:vAlign w:val="center"/>
          </w:tcPr>
          <w:p w14:paraId="3AC320BB">
            <w:pPr>
              <w:autoSpaceDE w:val="0"/>
              <w:autoSpaceDN w:val="0"/>
              <w:adjustRightInd w:val="0"/>
              <w:jc w:val="center"/>
              <w:rPr>
                <w:rFonts w:ascii="宋体" w:cs="Times New Roman"/>
                <w:color w:val="auto"/>
                <w:highlight w:val="none"/>
              </w:rPr>
            </w:pPr>
          </w:p>
        </w:tc>
        <w:tc>
          <w:tcPr>
            <w:tcW w:w="1135" w:type="dxa"/>
            <w:vAlign w:val="center"/>
          </w:tcPr>
          <w:p w14:paraId="328F0CE1">
            <w:pPr>
              <w:autoSpaceDE w:val="0"/>
              <w:autoSpaceDN w:val="0"/>
              <w:adjustRightInd w:val="0"/>
              <w:jc w:val="center"/>
              <w:rPr>
                <w:rFonts w:ascii="宋体" w:cs="Times New Roman"/>
                <w:color w:val="auto"/>
                <w:highlight w:val="none"/>
              </w:rPr>
            </w:pPr>
          </w:p>
        </w:tc>
        <w:tc>
          <w:tcPr>
            <w:tcW w:w="709" w:type="dxa"/>
            <w:vAlign w:val="center"/>
          </w:tcPr>
          <w:p w14:paraId="3F8374CD">
            <w:pPr>
              <w:autoSpaceDE w:val="0"/>
              <w:autoSpaceDN w:val="0"/>
              <w:adjustRightInd w:val="0"/>
              <w:jc w:val="center"/>
              <w:rPr>
                <w:rFonts w:ascii="宋体" w:cs="Times New Roman"/>
                <w:color w:val="auto"/>
                <w:highlight w:val="none"/>
              </w:rPr>
            </w:pPr>
          </w:p>
        </w:tc>
        <w:tc>
          <w:tcPr>
            <w:tcW w:w="803" w:type="dxa"/>
            <w:vAlign w:val="center"/>
          </w:tcPr>
          <w:p w14:paraId="7D9C763E">
            <w:pPr>
              <w:autoSpaceDE w:val="0"/>
              <w:autoSpaceDN w:val="0"/>
              <w:adjustRightInd w:val="0"/>
              <w:jc w:val="center"/>
              <w:rPr>
                <w:rFonts w:ascii="宋体" w:cs="Times New Roman"/>
                <w:color w:val="auto"/>
                <w:highlight w:val="none"/>
              </w:rPr>
            </w:pPr>
          </w:p>
        </w:tc>
        <w:tc>
          <w:tcPr>
            <w:tcW w:w="1702" w:type="dxa"/>
            <w:vAlign w:val="center"/>
          </w:tcPr>
          <w:p w14:paraId="5F22CE06">
            <w:pPr>
              <w:autoSpaceDE w:val="0"/>
              <w:autoSpaceDN w:val="0"/>
              <w:adjustRightInd w:val="0"/>
              <w:jc w:val="center"/>
              <w:rPr>
                <w:rFonts w:ascii="宋体" w:cs="Times New Roman"/>
                <w:color w:val="auto"/>
                <w:highlight w:val="none"/>
              </w:rPr>
            </w:pPr>
          </w:p>
        </w:tc>
        <w:tc>
          <w:tcPr>
            <w:tcW w:w="1702" w:type="dxa"/>
            <w:vAlign w:val="center"/>
          </w:tcPr>
          <w:p w14:paraId="4E00F42E">
            <w:pPr>
              <w:autoSpaceDE w:val="0"/>
              <w:autoSpaceDN w:val="0"/>
              <w:adjustRightInd w:val="0"/>
              <w:jc w:val="center"/>
              <w:rPr>
                <w:rFonts w:ascii="宋体" w:cs="Times New Roman"/>
                <w:color w:val="auto"/>
                <w:highlight w:val="none"/>
              </w:rPr>
            </w:pPr>
          </w:p>
        </w:tc>
      </w:tr>
      <w:tr w14:paraId="03E1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6420DB77">
            <w:pPr>
              <w:autoSpaceDE w:val="0"/>
              <w:autoSpaceDN w:val="0"/>
              <w:adjustRightInd w:val="0"/>
              <w:jc w:val="center"/>
              <w:rPr>
                <w:rFonts w:ascii="宋体" w:cs="Times New Roman"/>
                <w:color w:val="auto"/>
                <w:highlight w:val="none"/>
              </w:rPr>
            </w:pPr>
          </w:p>
        </w:tc>
        <w:tc>
          <w:tcPr>
            <w:tcW w:w="709" w:type="dxa"/>
            <w:vAlign w:val="center"/>
          </w:tcPr>
          <w:p w14:paraId="2805CA04">
            <w:pPr>
              <w:autoSpaceDE w:val="0"/>
              <w:autoSpaceDN w:val="0"/>
              <w:adjustRightInd w:val="0"/>
              <w:jc w:val="center"/>
              <w:rPr>
                <w:rFonts w:ascii="宋体" w:cs="Times New Roman"/>
                <w:color w:val="auto"/>
                <w:highlight w:val="none"/>
              </w:rPr>
            </w:pPr>
          </w:p>
        </w:tc>
        <w:tc>
          <w:tcPr>
            <w:tcW w:w="709" w:type="dxa"/>
            <w:vAlign w:val="center"/>
          </w:tcPr>
          <w:p w14:paraId="5EE028B1">
            <w:pPr>
              <w:autoSpaceDE w:val="0"/>
              <w:autoSpaceDN w:val="0"/>
              <w:adjustRightInd w:val="0"/>
              <w:jc w:val="center"/>
              <w:rPr>
                <w:rFonts w:ascii="宋体" w:cs="Times New Roman"/>
                <w:color w:val="auto"/>
                <w:highlight w:val="none"/>
              </w:rPr>
            </w:pPr>
          </w:p>
        </w:tc>
        <w:tc>
          <w:tcPr>
            <w:tcW w:w="1276" w:type="dxa"/>
            <w:vAlign w:val="center"/>
          </w:tcPr>
          <w:p w14:paraId="443C99F4">
            <w:pPr>
              <w:autoSpaceDE w:val="0"/>
              <w:autoSpaceDN w:val="0"/>
              <w:adjustRightInd w:val="0"/>
              <w:jc w:val="center"/>
              <w:rPr>
                <w:rFonts w:ascii="宋体" w:cs="Times New Roman"/>
                <w:color w:val="auto"/>
                <w:highlight w:val="none"/>
              </w:rPr>
            </w:pPr>
          </w:p>
        </w:tc>
        <w:tc>
          <w:tcPr>
            <w:tcW w:w="1135" w:type="dxa"/>
            <w:vAlign w:val="center"/>
          </w:tcPr>
          <w:p w14:paraId="3F8BFC19">
            <w:pPr>
              <w:autoSpaceDE w:val="0"/>
              <w:autoSpaceDN w:val="0"/>
              <w:adjustRightInd w:val="0"/>
              <w:jc w:val="center"/>
              <w:rPr>
                <w:rFonts w:ascii="宋体" w:cs="Times New Roman"/>
                <w:color w:val="auto"/>
                <w:highlight w:val="none"/>
              </w:rPr>
            </w:pPr>
          </w:p>
        </w:tc>
        <w:tc>
          <w:tcPr>
            <w:tcW w:w="709" w:type="dxa"/>
            <w:vAlign w:val="center"/>
          </w:tcPr>
          <w:p w14:paraId="0BB7724B">
            <w:pPr>
              <w:autoSpaceDE w:val="0"/>
              <w:autoSpaceDN w:val="0"/>
              <w:adjustRightInd w:val="0"/>
              <w:jc w:val="center"/>
              <w:rPr>
                <w:rFonts w:ascii="宋体" w:cs="Times New Roman"/>
                <w:color w:val="auto"/>
                <w:highlight w:val="none"/>
              </w:rPr>
            </w:pPr>
          </w:p>
        </w:tc>
        <w:tc>
          <w:tcPr>
            <w:tcW w:w="803" w:type="dxa"/>
            <w:vAlign w:val="center"/>
          </w:tcPr>
          <w:p w14:paraId="0BFD60FB">
            <w:pPr>
              <w:autoSpaceDE w:val="0"/>
              <w:autoSpaceDN w:val="0"/>
              <w:adjustRightInd w:val="0"/>
              <w:jc w:val="center"/>
              <w:rPr>
                <w:rFonts w:ascii="宋体" w:cs="Times New Roman"/>
                <w:color w:val="auto"/>
                <w:highlight w:val="none"/>
              </w:rPr>
            </w:pPr>
          </w:p>
        </w:tc>
        <w:tc>
          <w:tcPr>
            <w:tcW w:w="1702" w:type="dxa"/>
            <w:vAlign w:val="center"/>
          </w:tcPr>
          <w:p w14:paraId="0D12AABA">
            <w:pPr>
              <w:autoSpaceDE w:val="0"/>
              <w:autoSpaceDN w:val="0"/>
              <w:adjustRightInd w:val="0"/>
              <w:jc w:val="center"/>
              <w:rPr>
                <w:rFonts w:ascii="宋体" w:cs="Times New Roman"/>
                <w:color w:val="auto"/>
                <w:highlight w:val="none"/>
              </w:rPr>
            </w:pPr>
          </w:p>
        </w:tc>
        <w:tc>
          <w:tcPr>
            <w:tcW w:w="1702" w:type="dxa"/>
            <w:vAlign w:val="center"/>
          </w:tcPr>
          <w:p w14:paraId="100CA462">
            <w:pPr>
              <w:autoSpaceDE w:val="0"/>
              <w:autoSpaceDN w:val="0"/>
              <w:adjustRightInd w:val="0"/>
              <w:jc w:val="center"/>
              <w:rPr>
                <w:rFonts w:ascii="宋体" w:cs="Times New Roman"/>
                <w:color w:val="auto"/>
                <w:highlight w:val="none"/>
              </w:rPr>
            </w:pPr>
          </w:p>
        </w:tc>
      </w:tr>
      <w:tr w14:paraId="66DC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9F876C0">
            <w:pPr>
              <w:autoSpaceDE w:val="0"/>
              <w:autoSpaceDN w:val="0"/>
              <w:adjustRightInd w:val="0"/>
              <w:jc w:val="center"/>
              <w:rPr>
                <w:rFonts w:ascii="宋体" w:cs="Times New Roman"/>
                <w:color w:val="auto"/>
                <w:highlight w:val="none"/>
              </w:rPr>
            </w:pPr>
          </w:p>
        </w:tc>
        <w:tc>
          <w:tcPr>
            <w:tcW w:w="709" w:type="dxa"/>
            <w:vAlign w:val="center"/>
          </w:tcPr>
          <w:p w14:paraId="01F731C0">
            <w:pPr>
              <w:autoSpaceDE w:val="0"/>
              <w:autoSpaceDN w:val="0"/>
              <w:adjustRightInd w:val="0"/>
              <w:jc w:val="center"/>
              <w:rPr>
                <w:rFonts w:ascii="宋体" w:cs="Times New Roman"/>
                <w:color w:val="auto"/>
                <w:highlight w:val="none"/>
              </w:rPr>
            </w:pPr>
          </w:p>
        </w:tc>
        <w:tc>
          <w:tcPr>
            <w:tcW w:w="709" w:type="dxa"/>
            <w:vAlign w:val="center"/>
          </w:tcPr>
          <w:p w14:paraId="18A8EEAE">
            <w:pPr>
              <w:autoSpaceDE w:val="0"/>
              <w:autoSpaceDN w:val="0"/>
              <w:adjustRightInd w:val="0"/>
              <w:jc w:val="center"/>
              <w:rPr>
                <w:rFonts w:ascii="宋体" w:cs="Times New Roman"/>
                <w:color w:val="auto"/>
                <w:highlight w:val="none"/>
              </w:rPr>
            </w:pPr>
          </w:p>
        </w:tc>
        <w:tc>
          <w:tcPr>
            <w:tcW w:w="1276" w:type="dxa"/>
            <w:vAlign w:val="center"/>
          </w:tcPr>
          <w:p w14:paraId="6A1CB419">
            <w:pPr>
              <w:autoSpaceDE w:val="0"/>
              <w:autoSpaceDN w:val="0"/>
              <w:adjustRightInd w:val="0"/>
              <w:jc w:val="center"/>
              <w:rPr>
                <w:rFonts w:ascii="宋体" w:cs="Times New Roman"/>
                <w:color w:val="auto"/>
                <w:highlight w:val="none"/>
              </w:rPr>
            </w:pPr>
          </w:p>
        </w:tc>
        <w:tc>
          <w:tcPr>
            <w:tcW w:w="1135" w:type="dxa"/>
            <w:vAlign w:val="center"/>
          </w:tcPr>
          <w:p w14:paraId="789F75A6">
            <w:pPr>
              <w:autoSpaceDE w:val="0"/>
              <w:autoSpaceDN w:val="0"/>
              <w:adjustRightInd w:val="0"/>
              <w:jc w:val="center"/>
              <w:rPr>
                <w:rFonts w:ascii="宋体" w:cs="Times New Roman"/>
                <w:color w:val="auto"/>
                <w:highlight w:val="none"/>
              </w:rPr>
            </w:pPr>
          </w:p>
        </w:tc>
        <w:tc>
          <w:tcPr>
            <w:tcW w:w="709" w:type="dxa"/>
            <w:vAlign w:val="center"/>
          </w:tcPr>
          <w:p w14:paraId="3146DFA5">
            <w:pPr>
              <w:autoSpaceDE w:val="0"/>
              <w:autoSpaceDN w:val="0"/>
              <w:adjustRightInd w:val="0"/>
              <w:jc w:val="center"/>
              <w:rPr>
                <w:rFonts w:ascii="宋体" w:cs="Times New Roman"/>
                <w:color w:val="auto"/>
                <w:highlight w:val="none"/>
              </w:rPr>
            </w:pPr>
          </w:p>
        </w:tc>
        <w:tc>
          <w:tcPr>
            <w:tcW w:w="803" w:type="dxa"/>
            <w:vAlign w:val="center"/>
          </w:tcPr>
          <w:p w14:paraId="5B202105">
            <w:pPr>
              <w:autoSpaceDE w:val="0"/>
              <w:autoSpaceDN w:val="0"/>
              <w:adjustRightInd w:val="0"/>
              <w:jc w:val="center"/>
              <w:rPr>
                <w:rFonts w:ascii="宋体" w:cs="Times New Roman"/>
                <w:color w:val="auto"/>
                <w:highlight w:val="none"/>
              </w:rPr>
            </w:pPr>
          </w:p>
        </w:tc>
        <w:tc>
          <w:tcPr>
            <w:tcW w:w="1702" w:type="dxa"/>
            <w:vAlign w:val="center"/>
          </w:tcPr>
          <w:p w14:paraId="53D183A1">
            <w:pPr>
              <w:autoSpaceDE w:val="0"/>
              <w:autoSpaceDN w:val="0"/>
              <w:adjustRightInd w:val="0"/>
              <w:jc w:val="center"/>
              <w:rPr>
                <w:rFonts w:ascii="宋体" w:cs="Times New Roman"/>
                <w:color w:val="auto"/>
                <w:highlight w:val="none"/>
              </w:rPr>
            </w:pPr>
          </w:p>
        </w:tc>
        <w:tc>
          <w:tcPr>
            <w:tcW w:w="1702" w:type="dxa"/>
            <w:vAlign w:val="center"/>
          </w:tcPr>
          <w:p w14:paraId="40C00FBC">
            <w:pPr>
              <w:autoSpaceDE w:val="0"/>
              <w:autoSpaceDN w:val="0"/>
              <w:adjustRightInd w:val="0"/>
              <w:jc w:val="center"/>
              <w:rPr>
                <w:rFonts w:ascii="宋体" w:cs="Times New Roman"/>
                <w:color w:val="auto"/>
                <w:highlight w:val="none"/>
              </w:rPr>
            </w:pPr>
          </w:p>
        </w:tc>
      </w:tr>
      <w:tr w14:paraId="0DA4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619A074C">
            <w:pPr>
              <w:autoSpaceDE w:val="0"/>
              <w:autoSpaceDN w:val="0"/>
              <w:adjustRightInd w:val="0"/>
              <w:jc w:val="center"/>
              <w:rPr>
                <w:rFonts w:ascii="宋体" w:hAnsi="宋体" w:cs="宋体"/>
                <w:color w:val="auto"/>
                <w:highlight w:val="none"/>
              </w:rPr>
            </w:pPr>
          </w:p>
        </w:tc>
        <w:tc>
          <w:tcPr>
            <w:tcW w:w="709" w:type="dxa"/>
            <w:vAlign w:val="center"/>
          </w:tcPr>
          <w:p w14:paraId="5D670CDE">
            <w:pPr>
              <w:autoSpaceDE w:val="0"/>
              <w:autoSpaceDN w:val="0"/>
              <w:adjustRightInd w:val="0"/>
              <w:jc w:val="center"/>
              <w:rPr>
                <w:rFonts w:ascii="宋体" w:cs="Times New Roman"/>
                <w:color w:val="auto"/>
                <w:highlight w:val="none"/>
              </w:rPr>
            </w:pPr>
          </w:p>
        </w:tc>
        <w:tc>
          <w:tcPr>
            <w:tcW w:w="709" w:type="dxa"/>
            <w:vAlign w:val="center"/>
          </w:tcPr>
          <w:p w14:paraId="485ABA57">
            <w:pPr>
              <w:autoSpaceDE w:val="0"/>
              <w:autoSpaceDN w:val="0"/>
              <w:adjustRightInd w:val="0"/>
              <w:jc w:val="center"/>
              <w:rPr>
                <w:rFonts w:ascii="宋体" w:cs="Times New Roman"/>
                <w:color w:val="auto"/>
                <w:highlight w:val="none"/>
              </w:rPr>
            </w:pPr>
          </w:p>
        </w:tc>
        <w:tc>
          <w:tcPr>
            <w:tcW w:w="1276" w:type="dxa"/>
            <w:vAlign w:val="center"/>
          </w:tcPr>
          <w:p w14:paraId="262D3338">
            <w:pPr>
              <w:autoSpaceDE w:val="0"/>
              <w:autoSpaceDN w:val="0"/>
              <w:adjustRightInd w:val="0"/>
              <w:jc w:val="center"/>
              <w:rPr>
                <w:rFonts w:ascii="宋体" w:cs="Times New Roman"/>
                <w:color w:val="auto"/>
                <w:highlight w:val="none"/>
              </w:rPr>
            </w:pPr>
          </w:p>
        </w:tc>
        <w:tc>
          <w:tcPr>
            <w:tcW w:w="1135" w:type="dxa"/>
            <w:vAlign w:val="center"/>
          </w:tcPr>
          <w:p w14:paraId="433232E7">
            <w:pPr>
              <w:autoSpaceDE w:val="0"/>
              <w:autoSpaceDN w:val="0"/>
              <w:adjustRightInd w:val="0"/>
              <w:jc w:val="center"/>
              <w:rPr>
                <w:rFonts w:ascii="宋体" w:cs="Times New Roman"/>
                <w:color w:val="auto"/>
                <w:highlight w:val="none"/>
              </w:rPr>
            </w:pPr>
          </w:p>
        </w:tc>
        <w:tc>
          <w:tcPr>
            <w:tcW w:w="709" w:type="dxa"/>
            <w:vAlign w:val="center"/>
          </w:tcPr>
          <w:p w14:paraId="6C4CAE67">
            <w:pPr>
              <w:autoSpaceDE w:val="0"/>
              <w:autoSpaceDN w:val="0"/>
              <w:adjustRightInd w:val="0"/>
              <w:jc w:val="center"/>
              <w:rPr>
                <w:rFonts w:ascii="宋体" w:cs="Times New Roman"/>
                <w:color w:val="auto"/>
                <w:highlight w:val="none"/>
              </w:rPr>
            </w:pPr>
          </w:p>
        </w:tc>
        <w:tc>
          <w:tcPr>
            <w:tcW w:w="803" w:type="dxa"/>
            <w:vAlign w:val="center"/>
          </w:tcPr>
          <w:p w14:paraId="36FF39FE">
            <w:pPr>
              <w:autoSpaceDE w:val="0"/>
              <w:autoSpaceDN w:val="0"/>
              <w:adjustRightInd w:val="0"/>
              <w:jc w:val="center"/>
              <w:rPr>
                <w:rFonts w:ascii="宋体" w:cs="Times New Roman"/>
                <w:color w:val="auto"/>
                <w:highlight w:val="none"/>
              </w:rPr>
            </w:pPr>
          </w:p>
        </w:tc>
        <w:tc>
          <w:tcPr>
            <w:tcW w:w="1702" w:type="dxa"/>
            <w:vAlign w:val="center"/>
          </w:tcPr>
          <w:p w14:paraId="6F1AEFC6">
            <w:pPr>
              <w:autoSpaceDE w:val="0"/>
              <w:autoSpaceDN w:val="0"/>
              <w:adjustRightInd w:val="0"/>
              <w:jc w:val="center"/>
              <w:rPr>
                <w:rFonts w:ascii="宋体" w:cs="Times New Roman"/>
                <w:color w:val="auto"/>
                <w:highlight w:val="none"/>
              </w:rPr>
            </w:pPr>
          </w:p>
        </w:tc>
        <w:tc>
          <w:tcPr>
            <w:tcW w:w="1702" w:type="dxa"/>
            <w:vAlign w:val="center"/>
          </w:tcPr>
          <w:p w14:paraId="09C17CEE">
            <w:pPr>
              <w:autoSpaceDE w:val="0"/>
              <w:autoSpaceDN w:val="0"/>
              <w:adjustRightInd w:val="0"/>
              <w:jc w:val="center"/>
              <w:rPr>
                <w:rFonts w:ascii="宋体" w:cs="Times New Roman"/>
                <w:color w:val="auto"/>
                <w:highlight w:val="none"/>
              </w:rPr>
            </w:pPr>
          </w:p>
        </w:tc>
      </w:tr>
      <w:tr w14:paraId="5770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3801E9E3">
            <w:pPr>
              <w:autoSpaceDE w:val="0"/>
              <w:autoSpaceDN w:val="0"/>
              <w:adjustRightInd w:val="0"/>
              <w:jc w:val="center"/>
              <w:rPr>
                <w:rFonts w:ascii="宋体" w:hAnsi="宋体" w:cs="宋体"/>
                <w:color w:val="auto"/>
                <w:highlight w:val="none"/>
              </w:rPr>
            </w:pPr>
          </w:p>
        </w:tc>
        <w:tc>
          <w:tcPr>
            <w:tcW w:w="709" w:type="dxa"/>
            <w:vAlign w:val="center"/>
          </w:tcPr>
          <w:p w14:paraId="25DF9C9E">
            <w:pPr>
              <w:autoSpaceDE w:val="0"/>
              <w:autoSpaceDN w:val="0"/>
              <w:adjustRightInd w:val="0"/>
              <w:jc w:val="center"/>
              <w:rPr>
                <w:rFonts w:ascii="宋体" w:cs="Times New Roman"/>
                <w:color w:val="auto"/>
                <w:highlight w:val="none"/>
              </w:rPr>
            </w:pPr>
          </w:p>
        </w:tc>
        <w:tc>
          <w:tcPr>
            <w:tcW w:w="709" w:type="dxa"/>
            <w:vAlign w:val="center"/>
          </w:tcPr>
          <w:p w14:paraId="06301B9D">
            <w:pPr>
              <w:autoSpaceDE w:val="0"/>
              <w:autoSpaceDN w:val="0"/>
              <w:adjustRightInd w:val="0"/>
              <w:jc w:val="center"/>
              <w:rPr>
                <w:rFonts w:ascii="宋体" w:cs="Times New Roman"/>
                <w:color w:val="auto"/>
                <w:highlight w:val="none"/>
              </w:rPr>
            </w:pPr>
          </w:p>
        </w:tc>
        <w:tc>
          <w:tcPr>
            <w:tcW w:w="1276" w:type="dxa"/>
            <w:vAlign w:val="center"/>
          </w:tcPr>
          <w:p w14:paraId="09B9426C">
            <w:pPr>
              <w:autoSpaceDE w:val="0"/>
              <w:autoSpaceDN w:val="0"/>
              <w:adjustRightInd w:val="0"/>
              <w:jc w:val="center"/>
              <w:rPr>
                <w:rFonts w:ascii="宋体" w:cs="Times New Roman"/>
                <w:color w:val="auto"/>
                <w:highlight w:val="none"/>
              </w:rPr>
            </w:pPr>
          </w:p>
        </w:tc>
        <w:tc>
          <w:tcPr>
            <w:tcW w:w="1135" w:type="dxa"/>
            <w:vAlign w:val="center"/>
          </w:tcPr>
          <w:p w14:paraId="27564A1C">
            <w:pPr>
              <w:autoSpaceDE w:val="0"/>
              <w:autoSpaceDN w:val="0"/>
              <w:adjustRightInd w:val="0"/>
              <w:jc w:val="center"/>
              <w:rPr>
                <w:rFonts w:ascii="宋体" w:cs="Times New Roman"/>
                <w:color w:val="auto"/>
                <w:highlight w:val="none"/>
              </w:rPr>
            </w:pPr>
          </w:p>
        </w:tc>
        <w:tc>
          <w:tcPr>
            <w:tcW w:w="709" w:type="dxa"/>
            <w:vAlign w:val="center"/>
          </w:tcPr>
          <w:p w14:paraId="23E578F1">
            <w:pPr>
              <w:autoSpaceDE w:val="0"/>
              <w:autoSpaceDN w:val="0"/>
              <w:adjustRightInd w:val="0"/>
              <w:jc w:val="center"/>
              <w:rPr>
                <w:rFonts w:ascii="宋体" w:cs="Times New Roman"/>
                <w:color w:val="auto"/>
                <w:highlight w:val="none"/>
              </w:rPr>
            </w:pPr>
          </w:p>
        </w:tc>
        <w:tc>
          <w:tcPr>
            <w:tcW w:w="803" w:type="dxa"/>
            <w:vAlign w:val="center"/>
          </w:tcPr>
          <w:p w14:paraId="12336014">
            <w:pPr>
              <w:autoSpaceDE w:val="0"/>
              <w:autoSpaceDN w:val="0"/>
              <w:adjustRightInd w:val="0"/>
              <w:jc w:val="center"/>
              <w:rPr>
                <w:rFonts w:ascii="宋体" w:cs="Times New Roman"/>
                <w:color w:val="auto"/>
                <w:highlight w:val="none"/>
              </w:rPr>
            </w:pPr>
          </w:p>
        </w:tc>
        <w:tc>
          <w:tcPr>
            <w:tcW w:w="1702" w:type="dxa"/>
            <w:vAlign w:val="center"/>
          </w:tcPr>
          <w:p w14:paraId="292D4B92">
            <w:pPr>
              <w:autoSpaceDE w:val="0"/>
              <w:autoSpaceDN w:val="0"/>
              <w:adjustRightInd w:val="0"/>
              <w:jc w:val="center"/>
              <w:rPr>
                <w:rFonts w:ascii="宋体" w:cs="Times New Roman"/>
                <w:color w:val="auto"/>
                <w:highlight w:val="none"/>
              </w:rPr>
            </w:pPr>
          </w:p>
        </w:tc>
        <w:tc>
          <w:tcPr>
            <w:tcW w:w="1702" w:type="dxa"/>
            <w:vAlign w:val="center"/>
          </w:tcPr>
          <w:p w14:paraId="4C4F162F">
            <w:pPr>
              <w:autoSpaceDE w:val="0"/>
              <w:autoSpaceDN w:val="0"/>
              <w:adjustRightInd w:val="0"/>
              <w:jc w:val="center"/>
              <w:rPr>
                <w:rFonts w:ascii="宋体" w:cs="Times New Roman"/>
                <w:color w:val="auto"/>
                <w:highlight w:val="none"/>
              </w:rPr>
            </w:pPr>
          </w:p>
        </w:tc>
      </w:tr>
      <w:tr w14:paraId="381F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384057A9">
            <w:pPr>
              <w:autoSpaceDE w:val="0"/>
              <w:autoSpaceDN w:val="0"/>
              <w:adjustRightInd w:val="0"/>
              <w:jc w:val="center"/>
              <w:rPr>
                <w:rFonts w:ascii="宋体" w:hAnsi="宋体" w:cs="宋体"/>
                <w:color w:val="auto"/>
                <w:highlight w:val="none"/>
              </w:rPr>
            </w:pPr>
          </w:p>
        </w:tc>
        <w:tc>
          <w:tcPr>
            <w:tcW w:w="709" w:type="dxa"/>
            <w:vAlign w:val="center"/>
          </w:tcPr>
          <w:p w14:paraId="2FA308B7">
            <w:pPr>
              <w:autoSpaceDE w:val="0"/>
              <w:autoSpaceDN w:val="0"/>
              <w:adjustRightInd w:val="0"/>
              <w:jc w:val="center"/>
              <w:rPr>
                <w:rFonts w:ascii="宋体" w:cs="Times New Roman"/>
                <w:color w:val="auto"/>
                <w:highlight w:val="none"/>
              </w:rPr>
            </w:pPr>
          </w:p>
        </w:tc>
        <w:tc>
          <w:tcPr>
            <w:tcW w:w="709" w:type="dxa"/>
            <w:vAlign w:val="center"/>
          </w:tcPr>
          <w:p w14:paraId="48A66DF7">
            <w:pPr>
              <w:autoSpaceDE w:val="0"/>
              <w:autoSpaceDN w:val="0"/>
              <w:adjustRightInd w:val="0"/>
              <w:jc w:val="center"/>
              <w:rPr>
                <w:rFonts w:ascii="宋体" w:cs="Times New Roman"/>
                <w:color w:val="auto"/>
                <w:highlight w:val="none"/>
              </w:rPr>
            </w:pPr>
          </w:p>
        </w:tc>
        <w:tc>
          <w:tcPr>
            <w:tcW w:w="1276" w:type="dxa"/>
            <w:vAlign w:val="center"/>
          </w:tcPr>
          <w:p w14:paraId="4B749FDD">
            <w:pPr>
              <w:autoSpaceDE w:val="0"/>
              <w:autoSpaceDN w:val="0"/>
              <w:adjustRightInd w:val="0"/>
              <w:jc w:val="center"/>
              <w:rPr>
                <w:rFonts w:ascii="宋体" w:cs="Times New Roman"/>
                <w:color w:val="auto"/>
                <w:highlight w:val="none"/>
              </w:rPr>
            </w:pPr>
          </w:p>
        </w:tc>
        <w:tc>
          <w:tcPr>
            <w:tcW w:w="1135" w:type="dxa"/>
            <w:vAlign w:val="center"/>
          </w:tcPr>
          <w:p w14:paraId="05F5B05E">
            <w:pPr>
              <w:autoSpaceDE w:val="0"/>
              <w:autoSpaceDN w:val="0"/>
              <w:adjustRightInd w:val="0"/>
              <w:jc w:val="center"/>
              <w:rPr>
                <w:rFonts w:ascii="宋体" w:cs="Times New Roman"/>
                <w:color w:val="auto"/>
                <w:highlight w:val="none"/>
              </w:rPr>
            </w:pPr>
          </w:p>
        </w:tc>
        <w:tc>
          <w:tcPr>
            <w:tcW w:w="709" w:type="dxa"/>
            <w:vAlign w:val="center"/>
          </w:tcPr>
          <w:p w14:paraId="171AEC2C">
            <w:pPr>
              <w:autoSpaceDE w:val="0"/>
              <w:autoSpaceDN w:val="0"/>
              <w:adjustRightInd w:val="0"/>
              <w:jc w:val="center"/>
              <w:rPr>
                <w:rFonts w:ascii="宋体" w:cs="Times New Roman"/>
                <w:color w:val="auto"/>
                <w:highlight w:val="none"/>
              </w:rPr>
            </w:pPr>
          </w:p>
        </w:tc>
        <w:tc>
          <w:tcPr>
            <w:tcW w:w="803" w:type="dxa"/>
            <w:vAlign w:val="center"/>
          </w:tcPr>
          <w:p w14:paraId="4CD8BBC7">
            <w:pPr>
              <w:autoSpaceDE w:val="0"/>
              <w:autoSpaceDN w:val="0"/>
              <w:adjustRightInd w:val="0"/>
              <w:jc w:val="center"/>
              <w:rPr>
                <w:rFonts w:ascii="宋体" w:cs="Times New Roman"/>
                <w:color w:val="auto"/>
                <w:highlight w:val="none"/>
              </w:rPr>
            </w:pPr>
          </w:p>
        </w:tc>
        <w:tc>
          <w:tcPr>
            <w:tcW w:w="1702" w:type="dxa"/>
            <w:vAlign w:val="center"/>
          </w:tcPr>
          <w:p w14:paraId="347DEE93">
            <w:pPr>
              <w:autoSpaceDE w:val="0"/>
              <w:autoSpaceDN w:val="0"/>
              <w:adjustRightInd w:val="0"/>
              <w:jc w:val="center"/>
              <w:rPr>
                <w:rFonts w:ascii="宋体" w:cs="Times New Roman"/>
                <w:color w:val="auto"/>
                <w:highlight w:val="none"/>
              </w:rPr>
            </w:pPr>
          </w:p>
        </w:tc>
        <w:tc>
          <w:tcPr>
            <w:tcW w:w="1702" w:type="dxa"/>
            <w:vAlign w:val="center"/>
          </w:tcPr>
          <w:p w14:paraId="6E99F37E">
            <w:pPr>
              <w:autoSpaceDE w:val="0"/>
              <w:autoSpaceDN w:val="0"/>
              <w:adjustRightInd w:val="0"/>
              <w:jc w:val="center"/>
              <w:rPr>
                <w:rFonts w:ascii="宋体" w:cs="Times New Roman"/>
                <w:color w:val="auto"/>
                <w:highlight w:val="none"/>
              </w:rPr>
            </w:pPr>
          </w:p>
        </w:tc>
      </w:tr>
      <w:tr w14:paraId="3C53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6045371">
            <w:pPr>
              <w:autoSpaceDE w:val="0"/>
              <w:autoSpaceDN w:val="0"/>
              <w:adjustRightInd w:val="0"/>
              <w:jc w:val="center"/>
              <w:rPr>
                <w:rFonts w:ascii="宋体" w:hAnsi="宋体" w:cs="宋体"/>
                <w:color w:val="auto"/>
                <w:highlight w:val="none"/>
              </w:rPr>
            </w:pPr>
          </w:p>
        </w:tc>
        <w:tc>
          <w:tcPr>
            <w:tcW w:w="709" w:type="dxa"/>
            <w:vAlign w:val="center"/>
          </w:tcPr>
          <w:p w14:paraId="0C2F0758">
            <w:pPr>
              <w:autoSpaceDE w:val="0"/>
              <w:autoSpaceDN w:val="0"/>
              <w:adjustRightInd w:val="0"/>
              <w:jc w:val="center"/>
              <w:rPr>
                <w:rFonts w:ascii="宋体" w:cs="Times New Roman"/>
                <w:color w:val="auto"/>
                <w:highlight w:val="none"/>
              </w:rPr>
            </w:pPr>
          </w:p>
        </w:tc>
        <w:tc>
          <w:tcPr>
            <w:tcW w:w="709" w:type="dxa"/>
            <w:vAlign w:val="center"/>
          </w:tcPr>
          <w:p w14:paraId="411E9D3E">
            <w:pPr>
              <w:autoSpaceDE w:val="0"/>
              <w:autoSpaceDN w:val="0"/>
              <w:adjustRightInd w:val="0"/>
              <w:jc w:val="center"/>
              <w:rPr>
                <w:rFonts w:ascii="宋体" w:cs="Times New Roman"/>
                <w:color w:val="auto"/>
                <w:highlight w:val="none"/>
              </w:rPr>
            </w:pPr>
          </w:p>
        </w:tc>
        <w:tc>
          <w:tcPr>
            <w:tcW w:w="1276" w:type="dxa"/>
            <w:vAlign w:val="center"/>
          </w:tcPr>
          <w:p w14:paraId="29B1856B">
            <w:pPr>
              <w:autoSpaceDE w:val="0"/>
              <w:autoSpaceDN w:val="0"/>
              <w:adjustRightInd w:val="0"/>
              <w:jc w:val="center"/>
              <w:rPr>
                <w:rFonts w:ascii="宋体" w:cs="Times New Roman"/>
                <w:color w:val="auto"/>
                <w:highlight w:val="none"/>
              </w:rPr>
            </w:pPr>
          </w:p>
        </w:tc>
        <w:tc>
          <w:tcPr>
            <w:tcW w:w="1135" w:type="dxa"/>
            <w:vAlign w:val="center"/>
          </w:tcPr>
          <w:p w14:paraId="4D515082">
            <w:pPr>
              <w:autoSpaceDE w:val="0"/>
              <w:autoSpaceDN w:val="0"/>
              <w:adjustRightInd w:val="0"/>
              <w:jc w:val="center"/>
              <w:rPr>
                <w:rFonts w:ascii="宋体" w:cs="Times New Roman"/>
                <w:color w:val="auto"/>
                <w:highlight w:val="none"/>
              </w:rPr>
            </w:pPr>
          </w:p>
        </w:tc>
        <w:tc>
          <w:tcPr>
            <w:tcW w:w="709" w:type="dxa"/>
            <w:vAlign w:val="center"/>
          </w:tcPr>
          <w:p w14:paraId="4E1CF8EE">
            <w:pPr>
              <w:autoSpaceDE w:val="0"/>
              <w:autoSpaceDN w:val="0"/>
              <w:adjustRightInd w:val="0"/>
              <w:jc w:val="center"/>
              <w:rPr>
                <w:rFonts w:ascii="宋体" w:cs="Times New Roman"/>
                <w:color w:val="auto"/>
                <w:highlight w:val="none"/>
              </w:rPr>
            </w:pPr>
          </w:p>
        </w:tc>
        <w:tc>
          <w:tcPr>
            <w:tcW w:w="803" w:type="dxa"/>
            <w:vAlign w:val="center"/>
          </w:tcPr>
          <w:p w14:paraId="6250CE95">
            <w:pPr>
              <w:autoSpaceDE w:val="0"/>
              <w:autoSpaceDN w:val="0"/>
              <w:adjustRightInd w:val="0"/>
              <w:jc w:val="center"/>
              <w:rPr>
                <w:rFonts w:ascii="宋体" w:cs="Times New Roman"/>
                <w:color w:val="auto"/>
                <w:highlight w:val="none"/>
              </w:rPr>
            </w:pPr>
          </w:p>
        </w:tc>
        <w:tc>
          <w:tcPr>
            <w:tcW w:w="1702" w:type="dxa"/>
            <w:vAlign w:val="center"/>
          </w:tcPr>
          <w:p w14:paraId="5DCD2726">
            <w:pPr>
              <w:autoSpaceDE w:val="0"/>
              <w:autoSpaceDN w:val="0"/>
              <w:adjustRightInd w:val="0"/>
              <w:jc w:val="center"/>
              <w:rPr>
                <w:rFonts w:ascii="宋体" w:cs="Times New Roman"/>
                <w:color w:val="auto"/>
                <w:highlight w:val="none"/>
              </w:rPr>
            </w:pPr>
          </w:p>
        </w:tc>
        <w:tc>
          <w:tcPr>
            <w:tcW w:w="1702" w:type="dxa"/>
            <w:vAlign w:val="center"/>
          </w:tcPr>
          <w:p w14:paraId="56796B2A">
            <w:pPr>
              <w:autoSpaceDE w:val="0"/>
              <w:autoSpaceDN w:val="0"/>
              <w:adjustRightInd w:val="0"/>
              <w:jc w:val="center"/>
              <w:rPr>
                <w:rFonts w:ascii="宋体" w:cs="Times New Roman"/>
                <w:color w:val="auto"/>
                <w:highlight w:val="none"/>
              </w:rPr>
            </w:pPr>
          </w:p>
        </w:tc>
      </w:tr>
    </w:tbl>
    <w:p w14:paraId="595D0AF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注：1.此表须符合招标文件中“</w:t>
      </w:r>
      <w:r>
        <w:rPr>
          <w:rFonts w:hint="eastAsia" w:ascii="宋体" w:hAnsi="宋体" w:cs="宋体"/>
          <w:color w:val="auto"/>
          <w:highlight w:val="none"/>
          <w:lang w:eastAsia="zh-CN"/>
        </w:rPr>
        <w:t>项目管理人员配备表</w:t>
      </w:r>
      <w:r>
        <w:rPr>
          <w:rFonts w:hint="eastAsia" w:ascii="宋体" w:hAnsi="宋体" w:eastAsia="宋体" w:cs="宋体"/>
          <w:color w:val="auto"/>
          <w:highlight w:val="none"/>
        </w:rPr>
        <w:t>”的要求；</w:t>
      </w:r>
    </w:p>
    <w:p w14:paraId="60A80D2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5"/>
        <w:rPr>
          <w:rFonts w:hint="eastAsia" w:ascii="宋体" w:hAnsi="宋体" w:eastAsia="宋体" w:cs="宋体"/>
          <w:color w:val="auto"/>
          <w:highlight w:val="none"/>
        </w:rPr>
      </w:pPr>
      <w:r>
        <w:rPr>
          <w:rFonts w:hint="eastAsia" w:ascii="宋体" w:hAnsi="宋体" w:eastAsia="宋体" w:cs="宋体"/>
          <w:color w:val="auto"/>
          <w:highlight w:val="none"/>
        </w:rPr>
        <w:t>2.表中“岗位要求”一栏，由投标人填“专职”或“兼任”；</w:t>
      </w:r>
    </w:p>
    <w:p w14:paraId="667189D2">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项目负责人提供</w:t>
      </w:r>
      <w:r>
        <w:rPr>
          <w:rFonts w:hint="eastAsia" w:cs="宋体"/>
          <w:color w:val="auto"/>
          <w:highlight w:val="none"/>
        </w:rPr>
        <w:t>注册建造师证、安全生产考核合格证（</w:t>
      </w:r>
      <w:r>
        <w:rPr>
          <w:color w:val="auto"/>
          <w:highlight w:val="none"/>
        </w:rPr>
        <w:t>B</w:t>
      </w:r>
      <w:r>
        <w:rPr>
          <w:rFonts w:hint="eastAsia" w:cs="宋体"/>
          <w:color w:val="auto"/>
          <w:highlight w:val="none"/>
        </w:rPr>
        <w:t>证）身份证、</w:t>
      </w:r>
      <w:r>
        <w:rPr>
          <w:rFonts w:hint="eastAsia" w:ascii="宋体" w:hAnsi="宋体"/>
          <w:color w:val="auto"/>
          <w:highlight w:val="none"/>
          <w:lang w:eastAsia="zh-CN"/>
        </w:rPr>
        <w:t>社保缴费证明</w:t>
      </w:r>
      <w:r>
        <w:rPr>
          <w:rFonts w:hint="eastAsia" w:ascii="宋体" w:hAnsi="宋体" w:cs="宋体"/>
          <w:color w:val="auto"/>
          <w:highlight w:val="none"/>
          <w:lang w:val="en-US" w:eastAsia="zh-CN"/>
        </w:rPr>
        <w:t>，</w:t>
      </w:r>
      <w:r>
        <w:rPr>
          <w:rFonts w:hint="eastAsia" w:ascii="宋体" w:hAnsi="宋体" w:eastAsia="宋体" w:cs="宋体"/>
          <w:color w:val="auto"/>
          <w:highlight w:val="none"/>
        </w:rPr>
        <w:t>技术负责人</w:t>
      </w:r>
      <w:r>
        <w:rPr>
          <w:rFonts w:hint="eastAsia" w:ascii="宋体" w:hAnsi="宋体" w:eastAsia="宋体" w:cs="宋体"/>
          <w:color w:val="auto"/>
          <w:sz w:val="21"/>
          <w:szCs w:val="21"/>
          <w:highlight w:val="none"/>
          <w:lang w:eastAsia="zh-CN"/>
        </w:rPr>
        <w:t>须提供职称证书、身份证原件扫描件、社保缴费证明</w:t>
      </w:r>
      <w:r>
        <w:rPr>
          <w:rFonts w:hint="eastAsia" w:ascii="宋体" w:hAnsi="宋体" w:eastAsia="宋体" w:cs="宋体"/>
          <w:color w:val="auto"/>
          <w:highlight w:val="none"/>
          <w:lang w:val="zh-CN"/>
        </w:rPr>
        <w:t>；</w:t>
      </w:r>
      <w:r>
        <w:rPr>
          <w:rFonts w:hint="eastAsia" w:ascii="宋体" w:hAnsi="宋体" w:eastAsia="宋体" w:cs="宋体"/>
          <w:color w:val="auto"/>
          <w:highlight w:val="none"/>
        </w:rPr>
        <w:t>施工员</w:t>
      </w: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highlight w:val="none"/>
          <w:lang w:val="zh-CN"/>
        </w:rPr>
        <w:t>社保缴费证明</w:t>
      </w:r>
      <w:r>
        <w:rPr>
          <w:rFonts w:hint="eastAsia" w:ascii="宋体" w:hAnsi="宋体"/>
          <w:color w:val="auto"/>
          <w:highlight w:val="none"/>
        </w:rPr>
        <w:t>原件扫描件</w:t>
      </w:r>
      <w:r>
        <w:rPr>
          <w:rFonts w:hint="eastAsia" w:ascii="宋体" w:hAnsi="宋体" w:eastAsia="宋体" w:cs="宋体"/>
          <w:color w:val="auto"/>
          <w:highlight w:val="none"/>
          <w:lang w:val="zh-CN"/>
        </w:rPr>
        <w:t>；</w:t>
      </w:r>
      <w:r>
        <w:rPr>
          <w:rFonts w:hint="eastAsia" w:ascii="宋体" w:hAnsi="宋体" w:eastAsia="宋体" w:cs="宋体"/>
          <w:color w:val="auto"/>
          <w:highlight w:val="none"/>
        </w:rPr>
        <w:t>安全员</w:t>
      </w: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highlight w:val="none"/>
          <w:lang w:val="zh-CN"/>
        </w:rPr>
        <w:t>社保缴费证明</w:t>
      </w:r>
      <w:r>
        <w:rPr>
          <w:rFonts w:hint="eastAsia" w:ascii="宋体" w:hAnsi="宋体"/>
          <w:color w:val="auto"/>
          <w:highlight w:val="none"/>
        </w:rPr>
        <w:t>原件扫描件</w:t>
      </w:r>
      <w:r>
        <w:rPr>
          <w:rFonts w:hint="eastAsia" w:ascii="宋体" w:hAnsi="宋体" w:eastAsia="宋体" w:cs="宋体"/>
          <w:color w:val="auto"/>
          <w:highlight w:val="none"/>
          <w:lang w:val="zh-CN"/>
        </w:rPr>
        <w:t>；</w:t>
      </w:r>
      <w:r>
        <w:rPr>
          <w:rFonts w:hint="eastAsia" w:ascii="宋体" w:hAnsi="宋体" w:eastAsia="宋体" w:cs="宋体"/>
          <w:color w:val="auto"/>
          <w:highlight w:val="none"/>
        </w:rPr>
        <w:t>质量员</w:t>
      </w:r>
      <w:r>
        <w:rPr>
          <w:rFonts w:hint="eastAsia" w:ascii="宋体" w:hAnsi="宋体" w:eastAsia="宋体" w:cs="宋体"/>
          <w:color w:val="auto"/>
          <w:spacing w:val="10"/>
          <w:sz w:val="21"/>
          <w:szCs w:val="21"/>
          <w:highlight w:val="none"/>
        </w:rPr>
        <w:t>须提</w:t>
      </w:r>
      <w:r>
        <w:rPr>
          <w:rFonts w:hint="eastAsia" w:ascii="宋体" w:hAnsi="宋体" w:eastAsia="宋体" w:cs="宋体"/>
          <w:color w:val="auto"/>
          <w:spacing w:val="6"/>
          <w:sz w:val="21"/>
          <w:szCs w:val="21"/>
          <w:highlight w:val="none"/>
        </w:rPr>
        <w:t>供</w:t>
      </w:r>
      <w:r>
        <w:rPr>
          <w:rFonts w:hint="eastAsia" w:ascii="宋体" w:hAnsi="宋体" w:eastAsia="宋体" w:cs="宋体"/>
          <w:color w:val="auto"/>
          <w:spacing w:val="5"/>
          <w:sz w:val="21"/>
          <w:szCs w:val="21"/>
          <w:highlight w:val="none"/>
          <w:lang w:eastAsia="zh-CN"/>
        </w:rPr>
        <w:t>相关证书</w:t>
      </w:r>
      <w:r>
        <w:rPr>
          <w:rFonts w:hint="eastAsia" w:ascii="宋体" w:hAnsi="宋体" w:eastAsia="宋体" w:cs="宋体"/>
          <w:color w:val="auto"/>
          <w:spacing w:val="5"/>
          <w:sz w:val="21"/>
          <w:szCs w:val="21"/>
          <w:highlight w:val="none"/>
        </w:rPr>
        <w:t>、身份证原件扫描件</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highlight w:val="none"/>
          <w:lang w:val="zh-CN"/>
        </w:rPr>
        <w:t>社保缴费证明</w:t>
      </w:r>
      <w:r>
        <w:rPr>
          <w:rFonts w:hint="eastAsia" w:ascii="宋体" w:hAnsi="宋体"/>
          <w:color w:val="auto"/>
          <w:highlight w:val="none"/>
        </w:rPr>
        <w:t>原件扫描件</w:t>
      </w:r>
      <w:r>
        <w:rPr>
          <w:rFonts w:hint="eastAsia" w:ascii="宋体" w:hAnsi="宋体" w:eastAsia="宋体" w:cs="宋体"/>
          <w:color w:val="auto"/>
          <w:highlight w:val="none"/>
          <w:lang w:val="zh-CN"/>
        </w:rPr>
        <w:t>；</w:t>
      </w:r>
      <w:r>
        <w:rPr>
          <w:rFonts w:hint="eastAsia" w:ascii="宋体" w:hAnsi="宋体" w:eastAsia="宋体" w:cs="宋体"/>
          <w:color w:val="auto"/>
          <w:highlight w:val="none"/>
        </w:rPr>
        <w:t>其余人员提供相关证书及身份证原件扫描件</w:t>
      </w:r>
      <w:r>
        <w:rPr>
          <w:rFonts w:hint="eastAsia" w:ascii="宋体" w:hAnsi="宋体" w:eastAsia="宋体" w:cs="宋体"/>
          <w:color w:val="auto"/>
          <w:highlight w:val="none"/>
          <w:lang w:eastAsia="zh-CN"/>
        </w:rPr>
        <w:t>。</w:t>
      </w:r>
    </w:p>
    <w:p w14:paraId="4602C8E2">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若为退休人员不需提供社保缴费证明原件扫描件，提供退休证及聘用合同原件扫描件即可。</w:t>
      </w:r>
    </w:p>
    <w:p w14:paraId="22A0C1C6">
      <w:pPr>
        <w:rPr>
          <w:rFonts w:hint="eastAsia"/>
          <w:color w:val="auto"/>
          <w:highlight w:val="none"/>
        </w:rPr>
      </w:pPr>
      <w:r>
        <w:rPr>
          <w:rFonts w:hint="eastAsia" w:ascii="宋体" w:hAnsi="宋体" w:eastAsia="宋体" w:cs="宋体"/>
          <w:color w:val="auto"/>
          <w:highlight w:val="none"/>
          <w:lang w:eastAsia="zh-CN"/>
        </w:rPr>
        <w:br w:type="page"/>
      </w:r>
    </w:p>
    <w:p w14:paraId="090143DE">
      <w:pPr>
        <w:pStyle w:val="5"/>
        <w:ind w:firstLine="0" w:firstLineChars="0"/>
        <w:jc w:val="center"/>
        <w:rPr>
          <w:color w:val="auto"/>
          <w:highlight w:val="none"/>
        </w:rPr>
      </w:pPr>
      <w:r>
        <w:rPr>
          <w:rFonts w:hint="eastAsia"/>
          <w:color w:val="auto"/>
          <w:highlight w:val="none"/>
        </w:rPr>
        <w:t>（</w:t>
      </w:r>
      <w:r>
        <w:rPr>
          <w:rFonts w:hint="eastAsia"/>
          <w:color w:val="auto"/>
          <w:highlight w:val="none"/>
          <w:lang w:val="en-US" w:eastAsia="zh-CN"/>
        </w:rPr>
        <w:t>四</w:t>
      </w:r>
      <w:r>
        <w:rPr>
          <w:rFonts w:hint="eastAsia"/>
          <w:color w:val="auto"/>
          <w:highlight w:val="none"/>
        </w:rPr>
        <w:t>）</w:t>
      </w:r>
      <w:r>
        <w:rPr>
          <w:rFonts w:hint="eastAsia"/>
          <w:color w:val="auto"/>
          <w:highlight w:val="none"/>
          <w:lang w:eastAsia="zh-CN"/>
        </w:rPr>
        <w:t>设计</w:t>
      </w:r>
      <w:r>
        <w:rPr>
          <w:rFonts w:hint="eastAsia"/>
          <w:color w:val="auto"/>
          <w:highlight w:val="none"/>
        </w:rPr>
        <w:t>专业人员配备表</w:t>
      </w:r>
    </w:p>
    <w:tbl>
      <w:tblPr>
        <w:tblStyle w:val="8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702"/>
      </w:tblGrid>
      <w:tr w14:paraId="4829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vAlign w:val="center"/>
          </w:tcPr>
          <w:p w14:paraId="42230ADA">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专业岗位</w:t>
            </w:r>
          </w:p>
        </w:tc>
        <w:tc>
          <w:tcPr>
            <w:tcW w:w="709" w:type="dxa"/>
            <w:vAlign w:val="center"/>
          </w:tcPr>
          <w:p w14:paraId="4672A630">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姓名</w:t>
            </w:r>
          </w:p>
        </w:tc>
        <w:tc>
          <w:tcPr>
            <w:tcW w:w="709" w:type="dxa"/>
            <w:vAlign w:val="center"/>
          </w:tcPr>
          <w:p w14:paraId="231B250E">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性别</w:t>
            </w:r>
          </w:p>
        </w:tc>
        <w:tc>
          <w:tcPr>
            <w:tcW w:w="1276" w:type="dxa"/>
            <w:vAlign w:val="center"/>
          </w:tcPr>
          <w:p w14:paraId="3590B042">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出生年月</w:t>
            </w:r>
          </w:p>
        </w:tc>
        <w:tc>
          <w:tcPr>
            <w:tcW w:w="1135" w:type="dxa"/>
            <w:vAlign w:val="center"/>
          </w:tcPr>
          <w:p w14:paraId="2CD9248B">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工作年限</w:t>
            </w:r>
          </w:p>
        </w:tc>
        <w:tc>
          <w:tcPr>
            <w:tcW w:w="709" w:type="dxa"/>
            <w:vAlign w:val="center"/>
          </w:tcPr>
          <w:p w14:paraId="7CAC52BC">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职称</w:t>
            </w:r>
          </w:p>
        </w:tc>
        <w:tc>
          <w:tcPr>
            <w:tcW w:w="803" w:type="dxa"/>
            <w:vAlign w:val="center"/>
          </w:tcPr>
          <w:p w14:paraId="5FCED086">
            <w:pPr>
              <w:autoSpaceDE w:val="0"/>
              <w:autoSpaceDN w:val="0"/>
              <w:adjustRightInd w:val="0"/>
              <w:jc w:val="center"/>
              <w:rPr>
                <w:rFonts w:ascii="宋体" w:cs="Times New Roman"/>
                <w:color w:val="auto"/>
                <w:highlight w:val="none"/>
              </w:rPr>
            </w:pPr>
            <w:r>
              <w:rPr>
                <w:rFonts w:hint="eastAsia" w:ascii="宋体" w:hAnsi="宋体" w:cs="宋体"/>
                <w:color w:val="auto"/>
                <w:highlight w:val="none"/>
              </w:rPr>
              <w:t>学历</w:t>
            </w:r>
          </w:p>
        </w:tc>
        <w:tc>
          <w:tcPr>
            <w:tcW w:w="1702" w:type="dxa"/>
            <w:vAlign w:val="center"/>
          </w:tcPr>
          <w:p w14:paraId="04CEB0AC">
            <w:pPr>
              <w:autoSpaceDE w:val="0"/>
              <w:autoSpaceDN w:val="0"/>
              <w:adjustRightInd w:val="0"/>
              <w:jc w:val="center"/>
              <w:rPr>
                <w:rFonts w:ascii="宋体" w:hAnsi="宋体" w:cs="宋体"/>
                <w:color w:val="auto"/>
                <w:highlight w:val="none"/>
              </w:rPr>
            </w:pPr>
            <w:r>
              <w:rPr>
                <w:rFonts w:hint="eastAsia" w:ascii="宋体" w:hAnsi="宋体" w:cs="宋体"/>
                <w:color w:val="auto"/>
                <w:highlight w:val="none"/>
              </w:rPr>
              <w:t>（相关证书）及编号</w:t>
            </w:r>
          </w:p>
        </w:tc>
        <w:tc>
          <w:tcPr>
            <w:tcW w:w="1702" w:type="dxa"/>
            <w:vAlign w:val="center"/>
          </w:tcPr>
          <w:p w14:paraId="271C1824">
            <w:pPr>
              <w:autoSpaceDE w:val="0"/>
              <w:autoSpaceDN w:val="0"/>
              <w:adjustRightInd w:val="0"/>
              <w:jc w:val="center"/>
              <w:rPr>
                <w:rFonts w:ascii="宋体" w:cs="Times New Roman"/>
                <w:color w:val="auto"/>
                <w:highlight w:val="none"/>
              </w:rPr>
            </w:pPr>
            <w:r>
              <w:rPr>
                <w:rFonts w:hint="eastAsia" w:ascii="宋体" w:hAnsi="宋体"/>
                <w:color w:val="auto"/>
                <w:highlight w:val="none"/>
              </w:rPr>
              <w:t>岗位要求</w:t>
            </w:r>
          </w:p>
        </w:tc>
      </w:tr>
      <w:tr w14:paraId="26083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27107AB1">
            <w:pPr>
              <w:autoSpaceDE w:val="0"/>
              <w:autoSpaceDN w:val="0"/>
              <w:adjustRightInd w:val="0"/>
              <w:jc w:val="center"/>
              <w:rPr>
                <w:rFonts w:ascii="宋体" w:cs="Times New Roman"/>
                <w:color w:val="auto"/>
                <w:highlight w:val="none"/>
              </w:rPr>
            </w:pPr>
          </w:p>
        </w:tc>
        <w:tc>
          <w:tcPr>
            <w:tcW w:w="709" w:type="dxa"/>
            <w:vAlign w:val="center"/>
          </w:tcPr>
          <w:p w14:paraId="7C953868">
            <w:pPr>
              <w:autoSpaceDE w:val="0"/>
              <w:autoSpaceDN w:val="0"/>
              <w:adjustRightInd w:val="0"/>
              <w:jc w:val="center"/>
              <w:rPr>
                <w:rFonts w:ascii="宋体" w:cs="Times New Roman"/>
                <w:color w:val="auto"/>
                <w:highlight w:val="none"/>
              </w:rPr>
            </w:pPr>
          </w:p>
        </w:tc>
        <w:tc>
          <w:tcPr>
            <w:tcW w:w="709" w:type="dxa"/>
            <w:vAlign w:val="center"/>
          </w:tcPr>
          <w:p w14:paraId="78430EFA">
            <w:pPr>
              <w:autoSpaceDE w:val="0"/>
              <w:autoSpaceDN w:val="0"/>
              <w:adjustRightInd w:val="0"/>
              <w:jc w:val="center"/>
              <w:rPr>
                <w:rFonts w:ascii="宋体" w:cs="Times New Roman"/>
                <w:color w:val="auto"/>
                <w:highlight w:val="none"/>
              </w:rPr>
            </w:pPr>
          </w:p>
        </w:tc>
        <w:tc>
          <w:tcPr>
            <w:tcW w:w="1276" w:type="dxa"/>
            <w:vAlign w:val="center"/>
          </w:tcPr>
          <w:p w14:paraId="1F8D9F92">
            <w:pPr>
              <w:autoSpaceDE w:val="0"/>
              <w:autoSpaceDN w:val="0"/>
              <w:adjustRightInd w:val="0"/>
              <w:jc w:val="center"/>
              <w:rPr>
                <w:rFonts w:ascii="宋体" w:cs="Times New Roman"/>
                <w:color w:val="auto"/>
                <w:highlight w:val="none"/>
              </w:rPr>
            </w:pPr>
          </w:p>
        </w:tc>
        <w:tc>
          <w:tcPr>
            <w:tcW w:w="1135" w:type="dxa"/>
            <w:vAlign w:val="center"/>
          </w:tcPr>
          <w:p w14:paraId="5D889EBE">
            <w:pPr>
              <w:autoSpaceDE w:val="0"/>
              <w:autoSpaceDN w:val="0"/>
              <w:adjustRightInd w:val="0"/>
              <w:jc w:val="center"/>
              <w:rPr>
                <w:rFonts w:ascii="宋体" w:cs="Times New Roman"/>
                <w:color w:val="auto"/>
                <w:highlight w:val="none"/>
              </w:rPr>
            </w:pPr>
          </w:p>
        </w:tc>
        <w:tc>
          <w:tcPr>
            <w:tcW w:w="709" w:type="dxa"/>
            <w:vAlign w:val="center"/>
          </w:tcPr>
          <w:p w14:paraId="0271CF7A">
            <w:pPr>
              <w:autoSpaceDE w:val="0"/>
              <w:autoSpaceDN w:val="0"/>
              <w:adjustRightInd w:val="0"/>
              <w:jc w:val="center"/>
              <w:rPr>
                <w:rFonts w:ascii="宋体" w:cs="Times New Roman"/>
                <w:color w:val="auto"/>
                <w:highlight w:val="none"/>
              </w:rPr>
            </w:pPr>
          </w:p>
        </w:tc>
        <w:tc>
          <w:tcPr>
            <w:tcW w:w="803" w:type="dxa"/>
            <w:vAlign w:val="center"/>
          </w:tcPr>
          <w:p w14:paraId="01D9068E">
            <w:pPr>
              <w:autoSpaceDE w:val="0"/>
              <w:autoSpaceDN w:val="0"/>
              <w:adjustRightInd w:val="0"/>
              <w:jc w:val="center"/>
              <w:rPr>
                <w:rFonts w:ascii="宋体" w:cs="Times New Roman"/>
                <w:color w:val="auto"/>
                <w:highlight w:val="none"/>
              </w:rPr>
            </w:pPr>
          </w:p>
        </w:tc>
        <w:tc>
          <w:tcPr>
            <w:tcW w:w="1702" w:type="dxa"/>
            <w:vAlign w:val="center"/>
          </w:tcPr>
          <w:p w14:paraId="4058ADD1">
            <w:pPr>
              <w:autoSpaceDE w:val="0"/>
              <w:autoSpaceDN w:val="0"/>
              <w:adjustRightInd w:val="0"/>
              <w:jc w:val="center"/>
              <w:rPr>
                <w:rFonts w:ascii="宋体" w:cs="Times New Roman"/>
                <w:color w:val="auto"/>
                <w:highlight w:val="none"/>
              </w:rPr>
            </w:pPr>
          </w:p>
        </w:tc>
        <w:tc>
          <w:tcPr>
            <w:tcW w:w="1702" w:type="dxa"/>
            <w:vAlign w:val="center"/>
          </w:tcPr>
          <w:p w14:paraId="2742F729">
            <w:pPr>
              <w:autoSpaceDE w:val="0"/>
              <w:autoSpaceDN w:val="0"/>
              <w:adjustRightInd w:val="0"/>
              <w:jc w:val="center"/>
              <w:rPr>
                <w:rFonts w:ascii="宋体" w:cs="Times New Roman"/>
                <w:color w:val="auto"/>
                <w:highlight w:val="none"/>
              </w:rPr>
            </w:pPr>
          </w:p>
        </w:tc>
      </w:tr>
      <w:tr w14:paraId="4D83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35E92A3D">
            <w:pPr>
              <w:autoSpaceDE w:val="0"/>
              <w:autoSpaceDN w:val="0"/>
              <w:adjustRightInd w:val="0"/>
              <w:jc w:val="center"/>
              <w:rPr>
                <w:rFonts w:ascii="宋体" w:cs="Times New Roman"/>
                <w:color w:val="auto"/>
                <w:highlight w:val="none"/>
              </w:rPr>
            </w:pPr>
          </w:p>
        </w:tc>
        <w:tc>
          <w:tcPr>
            <w:tcW w:w="709" w:type="dxa"/>
            <w:vAlign w:val="center"/>
          </w:tcPr>
          <w:p w14:paraId="6BFBF37B">
            <w:pPr>
              <w:autoSpaceDE w:val="0"/>
              <w:autoSpaceDN w:val="0"/>
              <w:adjustRightInd w:val="0"/>
              <w:jc w:val="center"/>
              <w:rPr>
                <w:rFonts w:ascii="宋体" w:cs="Times New Roman"/>
                <w:color w:val="auto"/>
                <w:highlight w:val="none"/>
              </w:rPr>
            </w:pPr>
          </w:p>
        </w:tc>
        <w:tc>
          <w:tcPr>
            <w:tcW w:w="709" w:type="dxa"/>
            <w:vAlign w:val="center"/>
          </w:tcPr>
          <w:p w14:paraId="1C86FC69">
            <w:pPr>
              <w:autoSpaceDE w:val="0"/>
              <w:autoSpaceDN w:val="0"/>
              <w:adjustRightInd w:val="0"/>
              <w:jc w:val="center"/>
              <w:rPr>
                <w:rFonts w:ascii="宋体" w:cs="Times New Roman"/>
                <w:color w:val="auto"/>
                <w:highlight w:val="none"/>
              </w:rPr>
            </w:pPr>
          </w:p>
        </w:tc>
        <w:tc>
          <w:tcPr>
            <w:tcW w:w="1276" w:type="dxa"/>
            <w:vAlign w:val="center"/>
          </w:tcPr>
          <w:p w14:paraId="2A80833A">
            <w:pPr>
              <w:autoSpaceDE w:val="0"/>
              <w:autoSpaceDN w:val="0"/>
              <w:adjustRightInd w:val="0"/>
              <w:jc w:val="center"/>
              <w:rPr>
                <w:rFonts w:ascii="宋体" w:cs="Times New Roman"/>
                <w:color w:val="auto"/>
                <w:highlight w:val="none"/>
              </w:rPr>
            </w:pPr>
          </w:p>
        </w:tc>
        <w:tc>
          <w:tcPr>
            <w:tcW w:w="1135" w:type="dxa"/>
            <w:vAlign w:val="center"/>
          </w:tcPr>
          <w:p w14:paraId="14E8DCCC">
            <w:pPr>
              <w:autoSpaceDE w:val="0"/>
              <w:autoSpaceDN w:val="0"/>
              <w:adjustRightInd w:val="0"/>
              <w:jc w:val="center"/>
              <w:rPr>
                <w:rFonts w:ascii="宋体" w:cs="Times New Roman"/>
                <w:color w:val="auto"/>
                <w:highlight w:val="none"/>
              </w:rPr>
            </w:pPr>
          </w:p>
        </w:tc>
        <w:tc>
          <w:tcPr>
            <w:tcW w:w="709" w:type="dxa"/>
            <w:vAlign w:val="center"/>
          </w:tcPr>
          <w:p w14:paraId="1D608E85">
            <w:pPr>
              <w:autoSpaceDE w:val="0"/>
              <w:autoSpaceDN w:val="0"/>
              <w:adjustRightInd w:val="0"/>
              <w:jc w:val="center"/>
              <w:rPr>
                <w:rFonts w:ascii="宋体" w:cs="Times New Roman"/>
                <w:color w:val="auto"/>
                <w:highlight w:val="none"/>
              </w:rPr>
            </w:pPr>
          </w:p>
        </w:tc>
        <w:tc>
          <w:tcPr>
            <w:tcW w:w="803" w:type="dxa"/>
            <w:vAlign w:val="center"/>
          </w:tcPr>
          <w:p w14:paraId="437A63DA">
            <w:pPr>
              <w:autoSpaceDE w:val="0"/>
              <w:autoSpaceDN w:val="0"/>
              <w:adjustRightInd w:val="0"/>
              <w:jc w:val="center"/>
              <w:rPr>
                <w:rFonts w:ascii="宋体" w:cs="Times New Roman"/>
                <w:color w:val="auto"/>
                <w:highlight w:val="none"/>
              </w:rPr>
            </w:pPr>
          </w:p>
        </w:tc>
        <w:tc>
          <w:tcPr>
            <w:tcW w:w="1702" w:type="dxa"/>
            <w:vAlign w:val="center"/>
          </w:tcPr>
          <w:p w14:paraId="44499B4D">
            <w:pPr>
              <w:autoSpaceDE w:val="0"/>
              <w:autoSpaceDN w:val="0"/>
              <w:adjustRightInd w:val="0"/>
              <w:jc w:val="center"/>
              <w:rPr>
                <w:rFonts w:ascii="宋体" w:cs="Times New Roman"/>
                <w:color w:val="auto"/>
                <w:highlight w:val="none"/>
              </w:rPr>
            </w:pPr>
          </w:p>
        </w:tc>
        <w:tc>
          <w:tcPr>
            <w:tcW w:w="1702" w:type="dxa"/>
            <w:vAlign w:val="center"/>
          </w:tcPr>
          <w:p w14:paraId="4B6F18B9">
            <w:pPr>
              <w:autoSpaceDE w:val="0"/>
              <w:autoSpaceDN w:val="0"/>
              <w:adjustRightInd w:val="0"/>
              <w:jc w:val="center"/>
              <w:rPr>
                <w:rFonts w:ascii="宋体" w:cs="Times New Roman"/>
                <w:color w:val="auto"/>
                <w:highlight w:val="none"/>
              </w:rPr>
            </w:pPr>
          </w:p>
        </w:tc>
      </w:tr>
      <w:tr w14:paraId="1E62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2C442F71">
            <w:pPr>
              <w:autoSpaceDE w:val="0"/>
              <w:autoSpaceDN w:val="0"/>
              <w:adjustRightInd w:val="0"/>
              <w:jc w:val="center"/>
              <w:rPr>
                <w:rFonts w:ascii="宋体" w:cs="Times New Roman"/>
                <w:color w:val="auto"/>
                <w:highlight w:val="none"/>
              </w:rPr>
            </w:pPr>
          </w:p>
        </w:tc>
        <w:tc>
          <w:tcPr>
            <w:tcW w:w="709" w:type="dxa"/>
            <w:vAlign w:val="center"/>
          </w:tcPr>
          <w:p w14:paraId="658B85D2">
            <w:pPr>
              <w:autoSpaceDE w:val="0"/>
              <w:autoSpaceDN w:val="0"/>
              <w:adjustRightInd w:val="0"/>
              <w:jc w:val="center"/>
              <w:rPr>
                <w:rFonts w:ascii="宋体" w:cs="Times New Roman"/>
                <w:color w:val="auto"/>
                <w:highlight w:val="none"/>
              </w:rPr>
            </w:pPr>
          </w:p>
        </w:tc>
        <w:tc>
          <w:tcPr>
            <w:tcW w:w="709" w:type="dxa"/>
            <w:vAlign w:val="center"/>
          </w:tcPr>
          <w:p w14:paraId="2567FD3F">
            <w:pPr>
              <w:autoSpaceDE w:val="0"/>
              <w:autoSpaceDN w:val="0"/>
              <w:adjustRightInd w:val="0"/>
              <w:jc w:val="center"/>
              <w:rPr>
                <w:rFonts w:ascii="宋体" w:cs="Times New Roman"/>
                <w:color w:val="auto"/>
                <w:highlight w:val="none"/>
              </w:rPr>
            </w:pPr>
          </w:p>
        </w:tc>
        <w:tc>
          <w:tcPr>
            <w:tcW w:w="1276" w:type="dxa"/>
            <w:vAlign w:val="center"/>
          </w:tcPr>
          <w:p w14:paraId="23D79644">
            <w:pPr>
              <w:autoSpaceDE w:val="0"/>
              <w:autoSpaceDN w:val="0"/>
              <w:adjustRightInd w:val="0"/>
              <w:jc w:val="center"/>
              <w:rPr>
                <w:rFonts w:ascii="宋体" w:cs="Times New Roman"/>
                <w:color w:val="auto"/>
                <w:highlight w:val="none"/>
              </w:rPr>
            </w:pPr>
          </w:p>
        </w:tc>
        <w:tc>
          <w:tcPr>
            <w:tcW w:w="1135" w:type="dxa"/>
            <w:vAlign w:val="center"/>
          </w:tcPr>
          <w:p w14:paraId="203DDD81">
            <w:pPr>
              <w:autoSpaceDE w:val="0"/>
              <w:autoSpaceDN w:val="0"/>
              <w:adjustRightInd w:val="0"/>
              <w:jc w:val="center"/>
              <w:rPr>
                <w:rFonts w:ascii="宋体" w:cs="Times New Roman"/>
                <w:color w:val="auto"/>
                <w:highlight w:val="none"/>
              </w:rPr>
            </w:pPr>
          </w:p>
        </w:tc>
        <w:tc>
          <w:tcPr>
            <w:tcW w:w="709" w:type="dxa"/>
            <w:vAlign w:val="center"/>
          </w:tcPr>
          <w:p w14:paraId="476CDEAE">
            <w:pPr>
              <w:autoSpaceDE w:val="0"/>
              <w:autoSpaceDN w:val="0"/>
              <w:adjustRightInd w:val="0"/>
              <w:jc w:val="center"/>
              <w:rPr>
                <w:rFonts w:ascii="宋体" w:cs="Times New Roman"/>
                <w:color w:val="auto"/>
                <w:highlight w:val="none"/>
              </w:rPr>
            </w:pPr>
          </w:p>
        </w:tc>
        <w:tc>
          <w:tcPr>
            <w:tcW w:w="803" w:type="dxa"/>
            <w:vAlign w:val="center"/>
          </w:tcPr>
          <w:p w14:paraId="66830EA5">
            <w:pPr>
              <w:autoSpaceDE w:val="0"/>
              <w:autoSpaceDN w:val="0"/>
              <w:adjustRightInd w:val="0"/>
              <w:jc w:val="center"/>
              <w:rPr>
                <w:rFonts w:ascii="宋体" w:cs="Times New Roman"/>
                <w:color w:val="auto"/>
                <w:highlight w:val="none"/>
              </w:rPr>
            </w:pPr>
          </w:p>
        </w:tc>
        <w:tc>
          <w:tcPr>
            <w:tcW w:w="1702" w:type="dxa"/>
            <w:vAlign w:val="center"/>
          </w:tcPr>
          <w:p w14:paraId="45168FB2">
            <w:pPr>
              <w:autoSpaceDE w:val="0"/>
              <w:autoSpaceDN w:val="0"/>
              <w:adjustRightInd w:val="0"/>
              <w:jc w:val="center"/>
              <w:rPr>
                <w:rFonts w:ascii="宋体" w:cs="Times New Roman"/>
                <w:color w:val="auto"/>
                <w:highlight w:val="none"/>
              </w:rPr>
            </w:pPr>
          </w:p>
        </w:tc>
        <w:tc>
          <w:tcPr>
            <w:tcW w:w="1702" w:type="dxa"/>
            <w:vAlign w:val="center"/>
          </w:tcPr>
          <w:p w14:paraId="4DDD94F2">
            <w:pPr>
              <w:autoSpaceDE w:val="0"/>
              <w:autoSpaceDN w:val="0"/>
              <w:adjustRightInd w:val="0"/>
              <w:jc w:val="center"/>
              <w:rPr>
                <w:rFonts w:ascii="宋体" w:cs="Times New Roman"/>
                <w:color w:val="auto"/>
                <w:highlight w:val="none"/>
              </w:rPr>
            </w:pPr>
          </w:p>
        </w:tc>
      </w:tr>
      <w:tr w14:paraId="27DD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57D68185">
            <w:pPr>
              <w:autoSpaceDE w:val="0"/>
              <w:autoSpaceDN w:val="0"/>
              <w:adjustRightInd w:val="0"/>
              <w:jc w:val="center"/>
              <w:rPr>
                <w:rFonts w:ascii="宋体" w:cs="Times New Roman"/>
                <w:color w:val="auto"/>
                <w:highlight w:val="none"/>
              </w:rPr>
            </w:pPr>
          </w:p>
        </w:tc>
        <w:tc>
          <w:tcPr>
            <w:tcW w:w="709" w:type="dxa"/>
            <w:vAlign w:val="center"/>
          </w:tcPr>
          <w:p w14:paraId="19D241B3">
            <w:pPr>
              <w:autoSpaceDE w:val="0"/>
              <w:autoSpaceDN w:val="0"/>
              <w:adjustRightInd w:val="0"/>
              <w:jc w:val="center"/>
              <w:rPr>
                <w:rFonts w:ascii="宋体" w:cs="Times New Roman"/>
                <w:color w:val="auto"/>
                <w:highlight w:val="none"/>
              </w:rPr>
            </w:pPr>
          </w:p>
        </w:tc>
        <w:tc>
          <w:tcPr>
            <w:tcW w:w="709" w:type="dxa"/>
            <w:vAlign w:val="center"/>
          </w:tcPr>
          <w:p w14:paraId="7E88A6E8">
            <w:pPr>
              <w:autoSpaceDE w:val="0"/>
              <w:autoSpaceDN w:val="0"/>
              <w:adjustRightInd w:val="0"/>
              <w:jc w:val="center"/>
              <w:rPr>
                <w:rFonts w:ascii="宋体" w:cs="Times New Roman"/>
                <w:color w:val="auto"/>
                <w:highlight w:val="none"/>
              </w:rPr>
            </w:pPr>
          </w:p>
        </w:tc>
        <w:tc>
          <w:tcPr>
            <w:tcW w:w="1276" w:type="dxa"/>
            <w:vAlign w:val="center"/>
          </w:tcPr>
          <w:p w14:paraId="5070A608">
            <w:pPr>
              <w:autoSpaceDE w:val="0"/>
              <w:autoSpaceDN w:val="0"/>
              <w:adjustRightInd w:val="0"/>
              <w:jc w:val="center"/>
              <w:rPr>
                <w:rFonts w:ascii="宋体" w:cs="Times New Roman"/>
                <w:color w:val="auto"/>
                <w:highlight w:val="none"/>
              </w:rPr>
            </w:pPr>
          </w:p>
        </w:tc>
        <w:tc>
          <w:tcPr>
            <w:tcW w:w="1135" w:type="dxa"/>
            <w:vAlign w:val="center"/>
          </w:tcPr>
          <w:p w14:paraId="47F5D697">
            <w:pPr>
              <w:autoSpaceDE w:val="0"/>
              <w:autoSpaceDN w:val="0"/>
              <w:adjustRightInd w:val="0"/>
              <w:jc w:val="center"/>
              <w:rPr>
                <w:rFonts w:ascii="宋体" w:cs="Times New Roman"/>
                <w:color w:val="auto"/>
                <w:highlight w:val="none"/>
              </w:rPr>
            </w:pPr>
          </w:p>
        </w:tc>
        <w:tc>
          <w:tcPr>
            <w:tcW w:w="709" w:type="dxa"/>
            <w:vAlign w:val="center"/>
          </w:tcPr>
          <w:p w14:paraId="50054DC9">
            <w:pPr>
              <w:autoSpaceDE w:val="0"/>
              <w:autoSpaceDN w:val="0"/>
              <w:adjustRightInd w:val="0"/>
              <w:jc w:val="center"/>
              <w:rPr>
                <w:rFonts w:ascii="宋体" w:cs="Times New Roman"/>
                <w:color w:val="auto"/>
                <w:highlight w:val="none"/>
              </w:rPr>
            </w:pPr>
          </w:p>
        </w:tc>
        <w:tc>
          <w:tcPr>
            <w:tcW w:w="803" w:type="dxa"/>
            <w:vAlign w:val="center"/>
          </w:tcPr>
          <w:p w14:paraId="34F95BE3">
            <w:pPr>
              <w:autoSpaceDE w:val="0"/>
              <w:autoSpaceDN w:val="0"/>
              <w:adjustRightInd w:val="0"/>
              <w:jc w:val="center"/>
              <w:rPr>
                <w:rFonts w:ascii="宋体" w:cs="Times New Roman"/>
                <w:color w:val="auto"/>
                <w:highlight w:val="none"/>
              </w:rPr>
            </w:pPr>
          </w:p>
        </w:tc>
        <w:tc>
          <w:tcPr>
            <w:tcW w:w="1702" w:type="dxa"/>
            <w:vAlign w:val="center"/>
          </w:tcPr>
          <w:p w14:paraId="057026BF">
            <w:pPr>
              <w:autoSpaceDE w:val="0"/>
              <w:autoSpaceDN w:val="0"/>
              <w:adjustRightInd w:val="0"/>
              <w:jc w:val="center"/>
              <w:rPr>
                <w:rFonts w:ascii="宋体" w:cs="Times New Roman"/>
                <w:color w:val="auto"/>
                <w:highlight w:val="none"/>
              </w:rPr>
            </w:pPr>
          </w:p>
        </w:tc>
        <w:tc>
          <w:tcPr>
            <w:tcW w:w="1702" w:type="dxa"/>
            <w:vAlign w:val="center"/>
          </w:tcPr>
          <w:p w14:paraId="3B561352">
            <w:pPr>
              <w:autoSpaceDE w:val="0"/>
              <w:autoSpaceDN w:val="0"/>
              <w:adjustRightInd w:val="0"/>
              <w:jc w:val="center"/>
              <w:rPr>
                <w:rFonts w:ascii="宋体" w:cs="Times New Roman"/>
                <w:color w:val="auto"/>
                <w:highlight w:val="none"/>
              </w:rPr>
            </w:pPr>
          </w:p>
        </w:tc>
      </w:tr>
      <w:tr w14:paraId="277D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0DF2B9BC">
            <w:pPr>
              <w:autoSpaceDE w:val="0"/>
              <w:autoSpaceDN w:val="0"/>
              <w:adjustRightInd w:val="0"/>
              <w:jc w:val="center"/>
              <w:rPr>
                <w:rFonts w:ascii="宋体" w:cs="Times New Roman"/>
                <w:color w:val="auto"/>
                <w:highlight w:val="none"/>
              </w:rPr>
            </w:pPr>
          </w:p>
        </w:tc>
        <w:tc>
          <w:tcPr>
            <w:tcW w:w="709" w:type="dxa"/>
            <w:vAlign w:val="center"/>
          </w:tcPr>
          <w:p w14:paraId="1838DFC7">
            <w:pPr>
              <w:autoSpaceDE w:val="0"/>
              <w:autoSpaceDN w:val="0"/>
              <w:adjustRightInd w:val="0"/>
              <w:jc w:val="center"/>
              <w:rPr>
                <w:rFonts w:ascii="宋体" w:cs="Times New Roman"/>
                <w:color w:val="auto"/>
                <w:highlight w:val="none"/>
              </w:rPr>
            </w:pPr>
          </w:p>
        </w:tc>
        <w:tc>
          <w:tcPr>
            <w:tcW w:w="709" w:type="dxa"/>
            <w:vAlign w:val="center"/>
          </w:tcPr>
          <w:p w14:paraId="1FFAB977">
            <w:pPr>
              <w:autoSpaceDE w:val="0"/>
              <w:autoSpaceDN w:val="0"/>
              <w:adjustRightInd w:val="0"/>
              <w:jc w:val="center"/>
              <w:rPr>
                <w:rFonts w:ascii="宋体" w:cs="Times New Roman"/>
                <w:color w:val="auto"/>
                <w:highlight w:val="none"/>
              </w:rPr>
            </w:pPr>
          </w:p>
        </w:tc>
        <w:tc>
          <w:tcPr>
            <w:tcW w:w="1276" w:type="dxa"/>
            <w:vAlign w:val="center"/>
          </w:tcPr>
          <w:p w14:paraId="17531BBE">
            <w:pPr>
              <w:autoSpaceDE w:val="0"/>
              <w:autoSpaceDN w:val="0"/>
              <w:adjustRightInd w:val="0"/>
              <w:jc w:val="center"/>
              <w:rPr>
                <w:rFonts w:ascii="宋体" w:cs="Times New Roman"/>
                <w:color w:val="auto"/>
                <w:highlight w:val="none"/>
              </w:rPr>
            </w:pPr>
          </w:p>
        </w:tc>
        <w:tc>
          <w:tcPr>
            <w:tcW w:w="1135" w:type="dxa"/>
            <w:vAlign w:val="center"/>
          </w:tcPr>
          <w:p w14:paraId="2DC0F9A1">
            <w:pPr>
              <w:autoSpaceDE w:val="0"/>
              <w:autoSpaceDN w:val="0"/>
              <w:adjustRightInd w:val="0"/>
              <w:jc w:val="center"/>
              <w:rPr>
                <w:rFonts w:ascii="宋体" w:cs="Times New Roman"/>
                <w:color w:val="auto"/>
                <w:highlight w:val="none"/>
              </w:rPr>
            </w:pPr>
          </w:p>
        </w:tc>
        <w:tc>
          <w:tcPr>
            <w:tcW w:w="709" w:type="dxa"/>
            <w:vAlign w:val="center"/>
          </w:tcPr>
          <w:p w14:paraId="0BD6CD21">
            <w:pPr>
              <w:autoSpaceDE w:val="0"/>
              <w:autoSpaceDN w:val="0"/>
              <w:adjustRightInd w:val="0"/>
              <w:jc w:val="center"/>
              <w:rPr>
                <w:rFonts w:ascii="宋体" w:cs="Times New Roman"/>
                <w:color w:val="auto"/>
                <w:highlight w:val="none"/>
              </w:rPr>
            </w:pPr>
          </w:p>
        </w:tc>
        <w:tc>
          <w:tcPr>
            <w:tcW w:w="803" w:type="dxa"/>
            <w:vAlign w:val="center"/>
          </w:tcPr>
          <w:p w14:paraId="4D69D5FD">
            <w:pPr>
              <w:autoSpaceDE w:val="0"/>
              <w:autoSpaceDN w:val="0"/>
              <w:adjustRightInd w:val="0"/>
              <w:jc w:val="center"/>
              <w:rPr>
                <w:rFonts w:ascii="宋体" w:cs="Times New Roman"/>
                <w:color w:val="auto"/>
                <w:highlight w:val="none"/>
              </w:rPr>
            </w:pPr>
          </w:p>
        </w:tc>
        <w:tc>
          <w:tcPr>
            <w:tcW w:w="1702" w:type="dxa"/>
            <w:vAlign w:val="center"/>
          </w:tcPr>
          <w:p w14:paraId="73565F4C">
            <w:pPr>
              <w:autoSpaceDE w:val="0"/>
              <w:autoSpaceDN w:val="0"/>
              <w:adjustRightInd w:val="0"/>
              <w:jc w:val="center"/>
              <w:rPr>
                <w:rFonts w:ascii="宋体" w:cs="Times New Roman"/>
                <w:color w:val="auto"/>
                <w:highlight w:val="none"/>
              </w:rPr>
            </w:pPr>
          </w:p>
        </w:tc>
        <w:tc>
          <w:tcPr>
            <w:tcW w:w="1702" w:type="dxa"/>
            <w:vAlign w:val="center"/>
          </w:tcPr>
          <w:p w14:paraId="22308B7F">
            <w:pPr>
              <w:autoSpaceDE w:val="0"/>
              <w:autoSpaceDN w:val="0"/>
              <w:adjustRightInd w:val="0"/>
              <w:jc w:val="center"/>
              <w:rPr>
                <w:rFonts w:ascii="宋体" w:cs="Times New Roman"/>
                <w:color w:val="auto"/>
                <w:highlight w:val="none"/>
              </w:rPr>
            </w:pPr>
          </w:p>
        </w:tc>
      </w:tr>
      <w:tr w14:paraId="4036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2E67C413">
            <w:pPr>
              <w:autoSpaceDE w:val="0"/>
              <w:autoSpaceDN w:val="0"/>
              <w:adjustRightInd w:val="0"/>
              <w:jc w:val="center"/>
              <w:rPr>
                <w:rFonts w:ascii="宋体" w:cs="Times New Roman"/>
                <w:color w:val="auto"/>
                <w:highlight w:val="none"/>
              </w:rPr>
            </w:pPr>
          </w:p>
        </w:tc>
        <w:tc>
          <w:tcPr>
            <w:tcW w:w="709" w:type="dxa"/>
            <w:vAlign w:val="center"/>
          </w:tcPr>
          <w:p w14:paraId="1F74E265">
            <w:pPr>
              <w:autoSpaceDE w:val="0"/>
              <w:autoSpaceDN w:val="0"/>
              <w:adjustRightInd w:val="0"/>
              <w:jc w:val="center"/>
              <w:rPr>
                <w:rFonts w:ascii="宋体" w:cs="Times New Roman"/>
                <w:color w:val="auto"/>
                <w:highlight w:val="none"/>
              </w:rPr>
            </w:pPr>
          </w:p>
        </w:tc>
        <w:tc>
          <w:tcPr>
            <w:tcW w:w="709" w:type="dxa"/>
            <w:vAlign w:val="center"/>
          </w:tcPr>
          <w:p w14:paraId="38899257">
            <w:pPr>
              <w:autoSpaceDE w:val="0"/>
              <w:autoSpaceDN w:val="0"/>
              <w:adjustRightInd w:val="0"/>
              <w:jc w:val="center"/>
              <w:rPr>
                <w:rFonts w:ascii="宋体" w:cs="Times New Roman"/>
                <w:color w:val="auto"/>
                <w:highlight w:val="none"/>
              </w:rPr>
            </w:pPr>
          </w:p>
        </w:tc>
        <w:tc>
          <w:tcPr>
            <w:tcW w:w="1276" w:type="dxa"/>
            <w:vAlign w:val="center"/>
          </w:tcPr>
          <w:p w14:paraId="62B554D0">
            <w:pPr>
              <w:autoSpaceDE w:val="0"/>
              <w:autoSpaceDN w:val="0"/>
              <w:adjustRightInd w:val="0"/>
              <w:jc w:val="center"/>
              <w:rPr>
                <w:rFonts w:ascii="宋体" w:cs="Times New Roman"/>
                <w:color w:val="auto"/>
                <w:highlight w:val="none"/>
              </w:rPr>
            </w:pPr>
          </w:p>
        </w:tc>
        <w:tc>
          <w:tcPr>
            <w:tcW w:w="1135" w:type="dxa"/>
            <w:vAlign w:val="center"/>
          </w:tcPr>
          <w:p w14:paraId="22FEB0E7">
            <w:pPr>
              <w:autoSpaceDE w:val="0"/>
              <w:autoSpaceDN w:val="0"/>
              <w:adjustRightInd w:val="0"/>
              <w:jc w:val="center"/>
              <w:rPr>
                <w:rFonts w:ascii="宋体" w:cs="Times New Roman"/>
                <w:color w:val="auto"/>
                <w:highlight w:val="none"/>
              </w:rPr>
            </w:pPr>
          </w:p>
        </w:tc>
        <w:tc>
          <w:tcPr>
            <w:tcW w:w="709" w:type="dxa"/>
            <w:vAlign w:val="center"/>
          </w:tcPr>
          <w:p w14:paraId="038FCD1F">
            <w:pPr>
              <w:autoSpaceDE w:val="0"/>
              <w:autoSpaceDN w:val="0"/>
              <w:adjustRightInd w:val="0"/>
              <w:jc w:val="center"/>
              <w:rPr>
                <w:rFonts w:ascii="宋体" w:cs="Times New Roman"/>
                <w:color w:val="auto"/>
                <w:highlight w:val="none"/>
              </w:rPr>
            </w:pPr>
          </w:p>
        </w:tc>
        <w:tc>
          <w:tcPr>
            <w:tcW w:w="803" w:type="dxa"/>
            <w:vAlign w:val="center"/>
          </w:tcPr>
          <w:p w14:paraId="38C940BA">
            <w:pPr>
              <w:autoSpaceDE w:val="0"/>
              <w:autoSpaceDN w:val="0"/>
              <w:adjustRightInd w:val="0"/>
              <w:jc w:val="center"/>
              <w:rPr>
                <w:rFonts w:ascii="宋体" w:cs="Times New Roman"/>
                <w:color w:val="auto"/>
                <w:highlight w:val="none"/>
              </w:rPr>
            </w:pPr>
          </w:p>
        </w:tc>
        <w:tc>
          <w:tcPr>
            <w:tcW w:w="1702" w:type="dxa"/>
            <w:vAlign w:val="center"/>
          </w:tcPr>
          <w:p w14:paraId="43D7E3DE">
            <w:pPr>
              <w:autoSpaceDE w:val="0"/>
              <w:autoSpaceDN w:val="0"/>
              <w:adjustRightInd w:val="0"/>
              <w:jc w:val="center"/>
              <w:rPr>
                <w:rFonts w:ascii="宋体" w:cs="Times New Roman"/>
                <w:color w:val="auto"/>
                <w:highlight w:val="none"/>
              </w:rPr>
            </w:pPr>
          </w:p>
        </w:tc>
        <w:tc>
          <w:tcPr>
            <w:tcW w:w="1702" w:type="dxa"/>
            <w:vAlign w:val="center"/>
          </w:tcPr>
          <w:p w14:paraId="0AB0C0C3">
            <w:pPr>
              <w:autoSpaceDE w:val="0"/>
              <w:autoSpaceDN w:val="0"/>
              <w:adjustRightInd w:val="0"/>
              <w:jc w:val="center"/>
              <w:rPr>
                <w:rFonts w:ascii="宋体" w:cs="Times New Roman"/>
                <w:color w:val="auto"/>
                <w:highlight w:val="none"/>
              </w:rPr>
            </w:pPr>
          </w:p>
        </w:tc>
      </w:tr>
      <w:tr w14:paraId="26F6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DF70F83">
            <w:pPr>
              <w:autoSpaceDE w:val="0"/>
              <w:autoSpaceDN w:val="0"/>
              <w:adjustRightInd w:val="0"/>
              <w:jc w:val="center"/>
              <w:rPr>
                <w:rFonts w:ascii="宋体" w:cs="Times New Roman"/>
                <w:color w:val="auto"/>
                <w:highlight w:val="none"/>
              </w:rPr>
            </w:pPr>
          </w:p>
        </w:tc>
        <w:tc>
          <w:tcPr>
            <w:tcW w:w="709" w:type="dxa"/>
            <w:vAlign w:val="center"/>
          </w:tcPr>
          <w:p w14:paraId="7F79E5C6">
            <w:pPr>
              <w:autoSpaceDE w:val="0"/>
              <w:autoSpaceDN w:val="0"/>
              <w:adjustRightInd w:val="0"/>
              <w:jc w:val="center"/>
              <w:rPr>
                <w:rFonts w:ascii="宋体" w:cs="Times New Roman"/>
                <w:color w:val="auto"/>
                <w:highlight w:val="none"/>
              </w:rPr>
            </w:pPr>
          </w:p>
        </w:tc>
        <w:tc>
          <w:tcPr>
            <w:tcW w:w="709" w:type="dxa"/>
            <w:vAlign w:val="center"/>
          </w:tcPr>
          <w:p w14:paraId="142FDD92">
            <w:pPr>
              <w:autoSpaceDE w:val="0"/>
              <w:autoSpaceDN w:val="0"/>
              <w:adjustRightInd w:val="0"/>
              <w:jc w:val="center"/>
              <w:rPr>
                <w:rFonts w:ascii="宋体" w:cs="Times New Roman"/>
                <w:color w:val="auto"/>
                <w:highlight w:val="none"/>
              </w:rPr>
            </w:pPr>
          </w:p>
        </w:tc>
        <w:tc>
          <w:tcPr>
            <w:tcW w:w="1276" w:type="dxa"/>
            <w:vAlign w:val="center"/>
          </w:tcPr>
          <w:p w14:paraId="38B0FD5F">
            <w:pPr>
              <w:autoSpaceDE w:val="0"/>
              <w:autoSpaceDN w:val="0"/>
              <w:adjustRightInd w:val="0"/>
              <w:jc w:val="center"/>
              <w:rPr>
                <w:rFonts w:ascii="宋体" w:cs="Times New Roman"/>
                <w:color w:val="auto"/>
                <w:highlight w:val="none"/>
              </w:rPr>
            </w:pPr>
          </w:p>
        </w:tc>
        <w:tc>
          <w:tcPr>
            <w:tcW w:w="1135" w:type="dxa"/>
            <w:vAlign w:val="center"/>
          </w:tcPr>
          <w:p w14:paraId="5B1E8058">
            <w:pPr>
              <w:autoSpaceDE w:val="0"/>
              <w:autoSpaceDN w:val="0"/>
              <w:adjustRightInd w:val="0"/>
              <w:jc w:val="center"/>
              <w:rPr>
                <w:rFonts w:ascii="宋体" w:cs="Times New Roman"/>
                <w:color w:val="auto"/>
                <w:highlight w:val="none"/>
              </w:rPr>
            </w:pPr>
          </w:p>
        </w:tc>
        <w:tc>
          <w:tcPr>
            <w:tcW w:w="709" w:type="dxa"/>
            <w:vAlign w:val="center"/>
          </w:tcPr>
          <w:p w14:paraId="010C873A">
            <w:pPr>
              <w:autoSpaceDE w:val="0"/>
              <w:autoSpaceDN w:val="0"/>
              <w:adjustRightInd w:val="0"/>
              <w:jc w:val="center"/>
              <w:rPr>
                <w:rFonts w:ascii="宋体" w:cs="Times New Roman"/>
                <w:color w:val="auto"/>
                <w:highlight w:val="none"/>
              </w:rPr>
            </w:pPr>
          </w:p>
        </w:tc>
        <w:tc>
          <w:tcPr>
            <w:tcW w:w="803" w:type="dxa"/>
            <w:vAlign w:val="center"/>
          </w:tcPr>
          <w:p w14:paraId="138F56B9">
            <w:pPr>
              <w:autoSpaceDE w:val="0"/>
              <w:autoSpaceDN w:val="0"/>
              <w:adjustRightInd w:val="0"/>
              <w:jc w:val="center"/>
              <w:rPr>
                <w:rFonts w:ascii="宋体" w:cs="Times New Roman"/>
                <w:color w:val="auto"/>
                <w:highlight w:val="none"/>
              </w:rPr>
            </w:pPr>
          </w:p>
        </w:tc>
        <w:tc>
          <w:tcPr>
            <w:tcW w:w="1702" w:type="dxa"/>
            <w:vAlign w:val="center"/>
          </w:tcPr>
          <w:p w14:paraId="3FDE295E">
            <w:pPr>
              <w:autoSpaceDE w:val="0"/>
              <w:autoSpaceDN w:val="0"/>
              <w:adjustRightInd w:val="0"/>
              <w:jc w:val="center"/>
              <w:rPr>
                <w:rFonts w:ascii="宋体" w:cs="Times New Roman"/>
                <w:color w:val="auto"/>
                <w:highlight w:val="none"/>
              </w:rPr>
            </w:pPr>
          </w:p>
        </w:tc>
        <w:tc>
          <w:tcPr>
            <w:tcW w:w="1702" w:type="dxa"/>
            <w:vAlign w:val="center"/>
          </w:tcPr>
          <w:p w14:paraId="6366BF91">
            <w:pPr>
              <w:autoSpaceDE w:val="0"/>
              <w:autoSpaceDN w:val="0"/>
              <w:adjustRightInd w:val="0"/>
              <w:jc w:val="center"/>
              <w:rPr>
                <w:rFonts w:ascii="宋体" w:cs="Times New Roman"/>
                <w:color w:val="auto"/>
                <w:highlight w:val="none"/>
              </w:rPr>
            </w:pPr>
          </w:p>
        </w:tc>
      </w:tr>
      <w:tr w14:paraId="6ADC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1AE69690">
            <w:pPr>
              <w:autoSpaceDE w:val="0"/>
              <w:autoSpaceDN w:val="0"/>
              <w:adjustRightInd w:val="0"/>
              <w:jc w:val="center"/>
              <w:rPr>
                <w:rFonts w:ascii="宋体" w:cs="Times New Roman"/>
                <w:color w:val="auto"/>
                <w:highlight w:val="none"/>
              </w:rPr>
            </w:pPr>
          </w:p>
        </w:tc>
        <w:tc>
          <w:tcPr>
            <w:tcW w:w="709" w:type="dxa"/>
            <w:vAlign w:val="center"/>
          </w:tcPr>
          <w:p w14:paraId="6DC92719">
            <w:pPr>
              <w:autoSpaceDE w:val="0"/>
              <w:autoSpaceDN w:val="0"/>
              <w:adjustRightInd w:val="0"/>
              <w:jc w:val="center"/>
              <w:rPr>
                <w:rFonts w:ascii="宋体" w:cs="Times New Roman"/>
                <w:color w:val="auto"/>
                <w:highlight w:val="none"/>
              </w:rPr>
            </w:pPr>
          </w:p>
        </w:tc>
        <w:tc>
          <w:tcPr>
            <w:tcW w:w="709" w:type="dxa"/>
            <w:vAlign w:val="center"/>
          </w:tcPr>
          <w:p w14:paraId="0D75C971">
            <w:pPr>
              <w:autoSpaceDE w:val="0"/>
              <w:autoSpaceDN w:val="0"/>
              <w:adjustRightInd w:val="0"/>
              <w:jc w:val="center"/>
              <w:rPr>
                <w:rFonts w:ascii="宋体" w:cs="Times New Roman"/>
                <w:color w:val="auto"/>
                <w:highlight w:val="none"/>
              </w:rPr>
            </w:pPr>
          </w:p>
        </w:tc>
        <w:tc>
          <w:tcPr>
            <w:tcW w:w="1276" w:type="dxa"/>
            <w:vAlign w:val="center"/>
          </w:tcPr>
          <w:p w14:paraId="2FD955F8">
            <w:pPr>
              <w:autoSpaceDE w:val="0"/>
              <w:autoSpaceDN w:val="0"/>
              <w:adjustRightInd w:val="0"/>
              <w:jc w:val="center"/>
              <w:rPr>
                <w:rFonts w:ascii="宋体" w:cs="Times New Roman"/>
                <w:color w:val="auto"/>
                <w:highlight w:val="none"/>
              </w:rPr>
            </w:pPr>
          </w:p>
        </w:tc>
        <w:tc>
          <w:tcPr>
            <w:tcW w:w="1135" w:type="dxa"/>
            <w:vAlign w:val="center"/>
          </w:tcPr>
          <w:p w14:paraId="2BD9A8F1">
            <w:pPr>
              <w:autoSpaceDE w:val="0"/>
              <w:autoSpaceDN w:val="0"/>
              <w:adjustRightInd w:val="0"/>
              <w:jc w:val="center"/>
              <w:rPr>
                <w:rFonts w:ascii="宋体" w:cs="Times New Roman"/>
                <w:color w:val="auto"/>
                <w:highlight w:val="none"/>
              </w:rPr>
            </w:pPr>
          </w:p>
        </w:tc>
        <w:tc>
          <w:tcPr>
            <w:tcW w:w="709" w:type="dxa"/>
            <w:vAlign w:val="center"/>
          </w:tcPr>
          <w:p w14:paraId="2F0C7A63">
            <w:pPr>
              <w:autoSpaceDE w:val="0"/>
              <w:autoSpaceDN w:val="0"/>
              <w:adjustRightInd w:val="0"/>
              <w:jc w:val="center"/>
              <w:rPr>
                <w:rFonts w:ascii="宋体" w:cs="Times New Roman"/>
                <w:color w:val="auto"/>
                <w:highlight w:val="none"/>
              </w:rPr>
            </w:pPr>
          </w:p>
        </w:tc>
        <w:tc>
          <w:tcPr>
            <w:tcW w:w="803" w:type="dxa"/>
            <w:vAlign w:val="center"/>
          </w:tcPr>
          <w:p w14:paraId="5E82ABB1">
            <w:pPr>
              <w:autoSpaceDE w:val="0"/>
              <w:autoSpaceDN w:val="0"/>
              <w:adjustRightInd w:val="0"/>
              <w:jc w:val="center"/>
              <w:rPr>
                <w:rFonts w:ascii="宋体" w:cs="Times New Roman"/>
                <w:color w:val="auto"/>
                <w:highlight w:val="none"/>
              </w:rPr>
            </w:pPr>
          </w:p>
        </w:tc>
        <w:tc>
          <w:tcPr>
            <w:tcW w:w="1702" w:type="dxa"/>
            <w:vAlign w:val="center"/>
          </w:tcPr>
          <w:p w14:paraId="29376692">
            <w:pPr>
              <w:autoSpaceDE w:val="0"/>
              <w:autoSpaceDN w:val="0"/>
              <w:adjustRightInd w:val="0"/>
              <w:jc w:val="center"/>
              <w:rPr>
                <w:rFonts w:ascii="宋体" w:cs="Times New Roman"/>
                <w:color w:val="auto"/>
                <w:highlight w:val="none"/>
              </w:rPr>
            </w:pPr>
          </w:p>
        </w:tc>
        <w:tc>
          <w:tcPr>
            <w:tcW w:w="1702" w:type="dxa"/>
            <w:vAlign w:val="center"/>
          </w:tcPr>
          <w:p w14:paraId="0704494A">
            <w:pPr>
              <w:autoSpaceDE w:val="0"/>
              <w:autoSpaceDN w:val="0"/>
              <w:adjustRightInd w:val="0"/>
              <w:jc w:val="center"/>
              <w:rPr>
                <w:rFonts w:ascii="宋体" w:cs="Times New Roman"/>
                <w:color w:val="auto"/>
                <w:highlight w:val="none"/>
              </w:rPr>
            </w:pPr>
          </w:p>
        </w:tc>
      </w:tr>
      <w:tr w14:paraId="1B38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1C4D10A0">
            <w:pPr>
              <w:autoSpaceDE w:val="0"/>
              <w:autoSpaceDN w:val="0"/>
              <w:adjustRightInd w:val="0"/>
              <w:jc w:val="center"/>
              <w:rPr>
                <w:rFonts w:ascii="宋体" w:cs="Times New Roman"/>
                <w:color w:val="auto"/>
                <w:highlight w:val="none"/>
              </w:rPr>
            </w:pPr>
          </w:p>
        </w:tc>
        <w:tc>
          <w:tcPr>
            <w:tcW w:w="709" w:type="dxa"/>
            <w:vAlign w:val="center"/>
          </w:tcPr>
          <w:p w14:paraId="2B469492">
            <w:pPr>
              <w:autoSpaceDE w:val="0"/>
              <w:autoSpaceDN w:val="0"/>
              <w:adjustRightInd w:val="0"/>
              <w:jc w:val="center"/>
              <w:rPr>
                <w:rFonts w:ascii="宋体" w:cs="Times New Roman"/>
                <w:color w:val="auto"/>
                <w:highlight w:val="none"/>
              </w:rPr>
            </w:pPr>
          </w:p>
        </w:tc>
        <w:tc>
          <w:tcPr>
            <w:tcW w:w="709" w:type="dxa"/>
            <w:vAlign w:val="center"/>
          </w:tcPr>
          <w:p w14:paraId="4D5BE044">
            <w:pPr>
              <w:autoSpaceDE w:val="0"/>
              <w:autoSpaceDN w:val="0"/>
              <w:adjustRightInd w:val="0"/>
              <w:jc w:val="center"/>
              <w:rPr>
                <w:rFonts w:ascii="宋体" w:cs="Times New Roman"/>
                <w:color w:val="auto"/>
                <w:highlight w:val="none"/>
              </w:rPr>
            </w:pPr>
          </w:p>
        </w:tc>
        <w:tc>
          <w:tcPr>
            <w:tcW w:w="1276" w:type="dxa"/>
            <w:vAlign w:val="center"/>
          </w:tcPr>
          <w:p w14:paraId="3485DB51">
            <w:pPr>
              <w:autoSpaceDE w:val="0"/>
              <w:autoSpaceDN w:val="0"/>
              <w:adjustRightInd w:val="0"/>
              <w:jc w:val="center"/>
              <w:rPr>
                <w:rFonts w:ascii="宋体" w:cs="Times New Roman"/>
                <w:color w:val="auto"/>
                <w:highlight w:val="none"/>
              </w:rPr>
            </w:pPr>
          </w:p>
        </w:tc>
        <w:tc>
          <w:tcPr>
            <w:tcW w:w="1135" w:type="dxa"/>
            <w:vAlign w:val="center"/>
          </w:tcPr>
          <w:p w14:paraId="68B41620">
            <w:pPr>
              <w:autoSpaceDE w:val="0"/>
              <w:autoSpaceDN w:val="0"/>
              <w:adjustRightInd w:val="0"/>
              <w:jc w:val="center"/>
              <w:rPr>
                <w:rFonts w:ascii="宋体" w:cs="Times New Roman"/>
                <w:color w:val="auto"/>
                <w:highlight w:val="none"/>
              </w:rPr>
            </w:pPr>
          </w:p>
        </w:tc>
        <w:tc>
          <w:tcPr>
            <w:tcW w:w="709" w:type="dxa"/>
            <w:vAlign w:val="center"/>
          </w:tcPr>
          <w:p w14:paraId="674457D5">
            <w:pPr>
              <w:autoSpaceDE w:val="0"/>
              <w:autoSpaceDN w:val="0"/>
              <w:adjustRightInd w:val="0"/>
              <w:jc w:val="center"/>
              <w:rPr>
                <w:rFonts w:ascii="宋体" w:cs="Times New Roman"/>
                <w:color w:val="auto"/>
                <w:highlight w:val="none"/>
              </w:rPr>
            </w:pPr>
          </w:p>
        </w:tc>
        <w:tc>
          <w:tcPr>
            <w:tcW w:w="803" w:type="dxa"/>
            <w:vAlign w:val="center"/>
          </w:tcPr>
          <w:p w14:paraId="27CDA99C">
            <w:pPr>
              <w:autoSpaceDE w:val="0"/>
              <w:autoSpaceDN w:val="0"/>
              <w:adjustRightInd w:val="0"/>
              <w:jc w:val="center"/>
              <w:rPr>
                <w:rFonts w:ascii="宋体" w:cs="Times New Roman"/>
                <w:color w:val="auto"/>
                <w:highlight w:val="none"/>
              </w:rPr>
            </w:pPr>
          </w:p>
        </w:tc>
        <w:tc>
          <w:tcPr>
            <w:tcW w:w="1702" w:type="dxa"/>
            <w:vAlign w:val="center"/>
          </w:tcPr>
          <w:p w14:paraId="7E657068">
            <w:pPr>
              <w:autoSpaceDE w:val="0"/>
              <w:autoSpaceDN w:val="0"/>
              <w:adjustRightInd w:val="0"/>
              <w:jc w:val="center"/>
              <w:rPr>
                <w:rFonts w:ascii="宋体" w:cs="Times New Roman"/>
                <w:color w:val="auto"/>
                <w:highlight w:val="none"/>
              </w:rPr>
            </w:pPr>
          </w:p>
        </w:tc>
        <w:tc>
          <w:tcPr>
            <w:tcW w:w="1702" w:type="dxa"/>
            <w:vAlign w:val="center"/>
          </w:tcPr>
          <w:p w14:paraId="33F13462">
            <w:pPr>
              <w:autoSpaceDE w:val="0"/>
              <w:autoSpaceDN w:val="0"/>
              <w:adjustRightInd w:val="0"/>
              <w:jc w:val="center"/>
              <w:rPr>
                <w:rFonts w:ascii="宋体" w:cs="Times New Roman"/>
                <w:color w:val="auto"/>
                <w:highlight w:val="none"/>
              </w:rPr>
            </w:pPr>
          </w:p>
        </w:tc>
      </w:tr>
      <w:tr w14:paraId="69E2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4BD5AF87">
            <w:pPr>
              <w:autoSpaceDE w:val="0"/>
              <w:autoSpaceDN w:val="0"/>
              <w:adjustRightInd w:val="0"/>
              <w:jc w:val="center"/>
              <w:rPr>
                <w:rFonts w:ascii="宋体" w:hAnsi="宋体" w:cs="宋体"/>
                <w:color w:val="auto"/>
                <w:highlight w:val="none"/>
              </w:rPr>
            </w:pPr>
          </w:p>
        </w:tc>
        <w:tc>
          <w:tcPr>
            <w:tcW w:w="709" w:type="dxa"/>
            <w:vAlign w:val="center"/>
          </w:tcPr>
          <w:p w14:paraId="3EA2D6B8">
            <w:pPr>
              <w:autoSpaceDE w:val="0"/>
              <w:autoSpaceDN w:val="0"/>
              <w:adjustRightInd w:val="0"/>
              <w:jc w:val="center"/>
              <w:rPr>
                <w:rFonts w:ascii="宋体" w:cs="Times New Roman"/>
                <w:color w:val="auto"/>
                <w:highlight w:val="none"/>
              </w:rPr>
            </w:pPr>
          </w:p>
        </w:tc>
        <w:tc>
          <w:tcPr>
            <w:tcW w:w="709" w:type="dxa"/>
            <w:vAlign w:val="center"/>
          </w:tcPr>
          <w:p w14:paraId="7DF92E1F">
            <w:pPr>
              <w:autoSpaceDE w:val="0"/>
              <w:autoSpaceDN w:val="0"/>
              <w:adjustRightInd w:val="0"/>
              <w:jc w:val="center"/>
              <w:rPr>
                <w:rFonts w:ascii="宋体" w:cs="Times New Roman"/>
                <w:color w:val="auto"/>
                <w:highlight w:val="none"/>
              </w:rPr>
            </w:pPr>
          </w:p>
        </w:tc>
        <w:tc>
          <w:tcPr>
            <w:tcW w:w="1276" w:type="dxa"/>
            <w:vAlign w:val="center"/>
          </w:tcPr>
          <w:p w14:paraId="0CAF92A8">
            <w:pPr>
              <w:autoSpaceDE w:val="0"/>
              <w:autoSpaceDN w:val="0"/>
              <w:adjustRightInd w:val="0"/>
              <w:jc w:val="center"/>
              <w:rPr>
                <w:rFonts w:ascii="宋体" w:cs="Times New Roman"/>
                <w:color w:val="auto"/>
                <w:highlight w:val="none"/>
              </w:rPr>
            </w:pPr>
          </w:p>
        </w:tc>
        <w:tc>
          <w:tcPr>
            <w:tcW w:w="1135" w:type="dxa"/>
            <w:vAlign w:val="center"/>
          </w:tcPr>
          <w:p w14:paraId="34CA1BBD">
            <w:pPr>
              <w:autoSpaceDE w:val="0"/>
              <w:autoSpaceDN w:val="0"/>
              <w:adjustRightInd w:val="0"/>
              <w:jc w:val="center"/>
              <w:rPr>
                <w:rFonts w:ascii="宋体" w:cs="Times New Roman"/>
                <w:color w:val="auto"/>
                <w:highlight w:val="none"/>
              </w:rPr>
            </w:pPr>
          </w:p>
        </w:tc>
        <w:tc>
          <w:tcPr>
            <w:tcW w:w="709" w:type="dxa"/>
            <w:vAlign w:val="center"/>
          </w:tcPr>
          <w:p w14:paraId="3D429EDA">
            <w:pPr>
              <w:autoSpaceDE w:val="0"/>
              <w:autoSpaceDN w:val="0"/>
              <w:adjustRightInd w:val="0"/>
              <w:jc w:val="center"/>
              <w:rPr>
                <w:rFonts w:ascii="宋体" w:cs="Times New Roman"/>
                <w:color w:val="auto"/>
                <w:highlight w:val="none"/>
              </w:rPr>
            </w:pPr>
          </w:p>
        </w:tc>
        <w:tc>
          <w:tcPr>
            <w:tcW w:w="803" w:type="dxa"/>
            <w:vAlign w:val="center"/>
          </w:tcPr>
          <w:p w14:paraId="3464184A">
            <w:pPr>
              <w:autoSpaceDE w:val="0"/>
              <w:autoSpaceDN w:val="0"/>
              <w:adjustRightInd w:val="0"/>
              <w:jc w:val="center"/>
              <w:rPr>
                <w:rFonts w:ascii="宋体" w:cs="Times New Roman"/>
                <w:color w:val="auto"/>
                <w:highlight w:val="none"/>
              </w:rPr>
            </w:pPr>
          </w:p>
        </w:tc>
        <w:tc>
          <w:tcPr>
            <w:tcW w:w="1702" w:type="dxa"/>
            <w:vAlign w:val="center"/>
          </w:tcPr>
          <w:p w14:paraId="1E544CEA">
            <w:pPr>
              <w:autoSpaceDE w:val="0"/>
              <w:autoSpaceDN w:val="0"/>
              <w:adjustRightInd w:val="0"/>
              <w:jc w:val="center"/>
              <w:rPr>
                <w:rFonts w:ascii="宋体" w:cs="Times New Roman"/>
                <w:color w:val="auto"/>
                <w:highlight w:val="none"/>
              </w:rPr>
            </w:pPr>
          </w:p>
        </w:tc>
        <w:tc>
          <w:tcPr>
            <w:tcW w:w="1702" w:type="dxa"/>
            <w:vAlign w:val="center"/>
          </w:tcPr>
          <w:p w14:paraId="119FEE8D">
            <w:pPr>
              <w:autoSpaceDE w:val="0"/>
              <w:autoSpaceDN w:val="0"/>
              <w:adjustRightInd w:val="0"/>
              <w:jc w:val="center"/>
              <w:rPr>
                <w:rFonts w:ascii="宋体" w:cs="Times New Roman"/>
                <w:color w:val="auto"/>
                <w:highlight w:val="none"/>
              </w:rPr>
            </w:pPr>
          </w:p>
        </w:tc>
      </w:tr>
      <w:tr w14:paraId="0D63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6BD9868F">
            <w:pPr>
              <w:autoSpaceDE w:val="0"/>
              <w:autoSpaceDN w:val="0"/>
              <w:adjustRightInd w:val="0"/>
              <w:jc w:val="center"/>
              <w:rPr>
                <w:rFonts w:ascii="宋体" w:hAnsi="宋体" w:cs="宋体"/>
                <w:color w:val="auto"/>
                <w:highlight w:val="none"/>
              </w:rPr>
            </w:pPr>
          </w:p>
        </w:tc>
        <w:tc>
          <w:tcPr>
            <w:tcW w:w="709" w:type="dxa"/>
            <w:vAlign w:val="center"/>
          </w:tcPr>
          <w:p w14:paraId="3F29929B">
            <w:pPr>
              <w:autoSpaceDE w:val="0"/>
              <w:autoSpaceDN w:val="0"/>
              <w:adjustRightInd w:val="0"/>
              <w:jc w:val="center"/>
              <w:rPr>
                <w:rFonts w:ascii="宋体" w:cs="Times New Roman"/>
                <w:color w:val="auto"/>
                <w:highlight w:val="none"/>
              </w:rPr>
            </w:pPr>
          </w:p>
        </w:tc>
        <w:tc>
          <w:tcPr>
            <w:tcW w:w="709" w:type="dxa"/>
            <w:vAlign w:val="center"/>
          </w:tcPr>
          <w:p w14:paraId="5F01F7AF">
            <w:pPr>
              <w:autoSpaceDE w:val="0"/>
              <w:autoSpaceDN w:val="0"/>
              <w:adjustRightInd w:val="0"/>
              <w:jc w:val="center"/>
              <w:rPr>
                <w:rFonts w:ascii="宋体" w:cs="Times New Roman"/>
                <w:color w:val="auto"/>
                <w:highlight w:val="none"/>
              </w:rPr>
            </w:pPr>
          </w:p>
        </w:tc>
        <w:tc>
          <w:tcPr>
            <w:tcW w:w="1276" w:type="dxa"/>
            <w:vAlign w:val="center"/>
          </w:tcPr>
          <w:p w14:paraId="4B948430">
            <w:pPr>
              <w:autoSpaceDE w:val="0"/>
              <w:autoSpaceDN w:val="0"/>
              <w:adjustRightInd w:val="0"/>
              <w:jc w:val="center"/>
              <w:rPr>
                <w:rFonts w:ascii="宋体" w:cs="Times New Roman"/>
                <w:color w:val="auto"/>
                <w:highlight w:val="none"/>
              </w:rPr>
            </w:pPr>
          </w:p>
        </w:tc>
        <w:tc>
          <w:tcPr>
            <w:tcW w:w="1135" w:type="dxa"/>
            <w:vAlign w:val="center"/>
          </w:tcPr>
          <w:p w14:paraId="21047671">
            <w:pPr>
              <w:autoSpaceDE w:val="0"/>
              <w:autoSpaceDN w:val="0"/>
              <w:adjustRightInd w:val="0"/>
              <w:jc w:val="center"/>
              <w:rPr>
                <w:rFonts w:ascii="宋体" w:cs="Times New Roman"/>
                <w:color w:val="auto"/>
                <w:highlight w:val="none"/>
              </w:rPr>
            </w:pPr>
          </w:p>
        </w:tc>
        <w:tc>
          <w:tcPr>
            <w:tcW w:w="709" w:type="dxa"/>
            <w:vAlign w:val="center"/>
          </w:tcPr>
          <w:p w14:paraId="562A539A">
            <w:pPr>
              <w:autoSpaceDE w:val="0"/>
              <w:autoSpaceDN w:val="0"/>
              <w:adjustRightInd w:val="0"/>
              <w:jc w:val="center"/>
              <w:rPr>
                <w:rFonts w:ascii="宋体" w:cs="Times New Roman"/>
                <w:color w:val="auto"/>
                <w:highlight w:val="none"/>
              </w:rPr>
            </w:pPr>
          </w:p>
        </w:tc>
        <w:tc>
          <w:tcPr>
            <w:tcW w:w="803" w:type="dxa"/>
            <w:vAlign w:val="center"/>
          </w:tcPr>
          <w:p w14:paraId="5BDB5295">
            <w:pPr>
              <w:autoSpaceDE w:val="0"/>
              <w:autoSpaceDN w:val="0"/>
              <w:adjustRightInd w:val="0"/>
              <w:jc w:val="center"/>
              <w:rPr>
                <w:rFonts w:ascii="宋体" w:cs="Times New Roman"/>
                <w:color w:val="auto"/>
                <w:highlight w:val="none"/>
              </w:rPr>
            </w:pPr>
          </w:p>
        </w:tc>
        <w:tc>
          <w:tcPr>
            <w:tcW w:w="1702" w:type="dxa"/>
            <w:vAlign w:val="center"/>
          </w:tcPr>
          <w:p w14:paraId="7006B950">
            <w:pPr>
              <w:autoSpaceDE w:val="0"/>
              <w:autoSpaceDN w:val="0"/>
              <w:adjustRightInd w:val="0"/>
              <w:jc w:val="center"/>
              <w:rPr>
                <w:rFonts w:ascii="宋体" w:cs="Times New Roman"/>
                <w:color w:val="auto"/>
                <w:highlight w:val="none"/>
              </w:rPr>
            </w:pPr>
          </w:p>
        </w:tc>
        <w:tc>
          <w:tcPr>
            <w:tcW w:w="1702" w:type="dxa"/>
            <w:vAlign w:val="center"/>
          </w:tcPr>
          <w:p w14:paraId="51E91B02">
            <w:pPr>
              <w:autoSpaceDE w:val="0"/>
              <w:autoSpaceDN w:val="0"/>
              <w:adjustRightInd w:val="0"/>
              <w:jc w:val="center"/>
              <w:rPr>
                <w:rFonts w:ascii="宋体" w:cs="Times New Roman"/>
                <w:color w:val="auto"/>
                <w:highlight w:val="none"/>
              </w:rPr>
            </w:pPr>
          </w:p>
        </w:tc>
      </w:tr>
      <w:tr w14:paraId="760D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26E95E8E">
            <w:pPr>
              <w:autoSpaceDE w:val="0"/>
              <w:autoSpaceDN w:val="0"/>
              <w:adjustRightInd w:val="0"/>
              <w:jc w:val="center"/>
              <w:rPr>
                <w:rFonts w:ascii="宋体" w:hAnsi="宋体" w:cs="宋体"/>
                <w:color w:val="auto"/>
                <w:highlight w:val="none"/>
              </w:rPr>
            </w:pPr>
          </w:p>
        </w:tc>
        <w:tc>
          <w:tcPr>
            <w:tcW w:w="709" w:type="dxa"/>
            <w:vAlign w:val="center"/>
          </w:tcPr>
          <w:p w14:paraId="474FC4AB">
            <w:pPr>
              <w:autoSpaceDE w:val="0"/>
              <w:autoSpaceDN w:val="0"/>
              <w:adjustRightInd w:val="0"/>
              <w:jc w:val="center"/>
              <w:rPr>
                <w:rFonts w:ascii="宋体" w:cs="Times New Roman"/>
                <w:color w:val="auto"/>
                <w:highlight w:val="none"/>
              </w:rPr>
            </w:pPr>
          </w:p>
        </w:tc>
        <w:tc>
          <w:tcPr>
            <w:tcW w:w="709" w:type="dxa"/>
            <w:vAlign w:val="center"/>
          </w:tcPr>
          <w:p w14:paraId="3648A820">
            <w:pPr>
              <w:autoSpaceDE w:val="0"/>
              <w:autoSpaceDN w:val="0"/>
              <w:adjustRightInd w:val="0"/>
              <w:jc w:val="center"/>
              <w:rPr>
                <w:rFonts w:ascii="宋体" w:cs="Times New Roman"/>
                <w:color w:val="auto"/>
                <w:highlight w:val="none"/>
              </w:rPr>
            </w:pPr>
          </w:p>
        </w:tc>
        <w:tc>
          <w:tcPr>
            <w:tcW w:w="1276" w:type="dxa"/>
            <w:vAlign w:val="center"/>
          </w:tcPr>
          <w:p w14:paraId="6770F6B8">
            <w:pPr>
              <w:autoSpaceDE w:val="0"/>
              <w:autoSpaceDN w:val="0"/>
              <w:adjustRightInd w:val="0"/>
              <w:jc w:val="center"/>
              <w:rPr>
                <w:rFonts w:ascii="宋体" w:cs="Times New Roman"/>
                <w:color w:val="auto"/>
                <w:highlight w:val="none"/>
              </w:rPr>
            </w:pPr>
          </w:p>
        </w:tc>
        <w:tc>
          <w:tcPr>
            <w:tcW w:w="1135" w:type="dxa"/>
            <w:vAlign w:val="center"/>
          </w:tcPr>
          <w:p w14:paraId="6D8B02BF">
            <w:pPr>
              <w:autoSpaceDE w:val="0"/>
              <w:autoSpaceDN w:val="0"/>
              <w:adjustRightInd w:val="0"/>
              <w:jc w:val="center"/>
              <w:rPr>
                <w:rFonts w:ascii="宋体" w:cs="Times New Roman"/>
                <w:color w:val="auto"/>
                <w:highlight w:val="none"/>
              </w:rPr>
            </w:pPr>
          </w:p>
        </w:tc>
        <w:tc>
          <w:tcPr>
            <w:tcW w:w="709" w:type="dxa"/>
            <w:vAlign w:val="center"/>
          </w:tcPr>
          <w:p w14:paraId="40608022">
            <w:pPr>
              <w:autoSpaceDE w:val="0"/>
              <w:autoSpaceDN w:val="0"/>
              <w:adjustRightInd w:val="0"/>
              <w:jc w:val="center"/>
              <w:rPr>
                <w:rFonts w:ascii="宋体" w:cs="Times New Roman"/>
                <w:color w:val="auto"/>
                <w:highlight w:val="none"/>
              </w:rPr>
            </w:pPr>
          </w:p>
        </w:tc>
        <w:tc>
          <w:tcPr>
            <w:tcW w:w="803" w:type="dxa"/>
            <w:vAlign w:val="center"/>
          </w:tcPr>
          <w:p w14:paraId="074B74C5">
            <w:pPr>
              <w:autoSpaceDE w:val="0"/>
              <w:autoSpaceDN w:val="0"/>
              <w:adjustRightInd w:val="0"/>
              <w:jc w:val="center"/>
              <w:rPr>
                <w:rFonts w:ascii="宋体" w:cs="Times New Roman"/>
                <w:color w:val="auto"/>
                <w:highlight w:val="none"/>
              </w:rPr>
            </w:pPr>
          </w:p>
        </w:tc>
        <w:tc>
          <w:tcPr>
            <w:tcW w:w="1702" w:type="dxa"/>
            <w:vAlign w:val="center"/>
          </w:tcPr>
          <w:p w14:paraId="71108BDF">
            <w:pPr>
              <w:autoSpaceDE w:val="0"/>
              <w:autoSpaceDN w:val="0"/>
              <w:adjustRightInd w:val="0"/>
              <w:jc w:val="center"/>
              <w:rPr>
                <w:rFonts w:ascii="宋体" w:cs="Times New Roman"/>
                <w:color w:val="auto"/>
                <w:highlight w:val="none"/>
              </w:rPr>
            </w:pPr>
          </w:p>
        </w:tc>
        <w:tc>
          <w:tcPr>
            <w:tcW w:w="1702" w:type="dxa"/>
            <w:vAlign w:val="center"/>
          </w:tcPr>
          <w:p w14:paraId="2F26C96D">
            <w:pPr>
              <w:autoSpaceDE w:val="0"/>
              <w:autoSpaceDN w:val="0"/>
              <w:adjustRightInd w:val="0"/>
              <w:jc w:val="center"/>
              <w:rPr>
                <w:rFonts w:ascii="宋体" w:cs="Times New Roman"/>
                <w:color w:val="auto"/>
                <w:highlight w:val="none"/>
              </w:rPr>
            </w:pPr>
          </w:p>
        </w:tc>
      </w:tr>
      <w:tr w14:paraId="2620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1CE3EF3F">
            <w:pPr>
              <w:autoSpaceDE w:val="0"/>
              <w:autoSpaceDN w:val="0"/>
              <w:adjustRightInd w:val="0"/>
              <w:jc w:val="center"/>
              <w:rPr>
                <w:rFonts w:ascii="宋体" w:hAnsi="宋体" w:cs="宋体"/>
                <w:color w:val="auto"/>
                <w:highlight w:val="none"/>
              </w:rPr>
            </w:pPr>
          </w:p>
        </w:tc>
        <w:tc>
          <w:tcPr>
            <w:tcW w:w="709" w:type="dxa"/>
            <w:vAlign w:val="center"/>
          </w:tcPr>
          <w:p w14:paraId="00BFF2B7">
            <w:pPr>
              <w:autoSpaceDE w:val="0"/>
              <w:autoSpaceDN w:val="0"/>
              <w:adjustRightInd w:val="0"/>
              <w:jc w:val="center"/>
              <w:rPr>
                <w:rFonts w:ascii="宋体" w:cs="Times New Roman"/>
                <w:color w:val="auto"/>
                <w:highlight w:val="none"/>
              </w:rPr>
            </w:pPr>
          </w:p>
        </w:tc>
        <w:tc>
          <w:tcPr>
            <w:tcW w:w="709" w:type="dxa"/>
            <w:vAlign w:val="center"/>
          </w:tcPr>
          <w:p w14:paraId="7FE866E4">
            <w:pPr>
              <w:autoSpaceDE w:val="0"/>
              <w:autoSpaceDN w:val="0"/>
              <w:adjustRightInd w:val="0"/>
              <w:jc w:val="center"/>
              <w:rPr>
                <w:rFonts w:ascii="宋体" w:cs="Times New Roman"/>
                <w:color w:val="auto"/>
                <w:highlight w:val="none"/>
              </w:rPr>
            </w:pPr>
          </w:p>
        </w:tc>
        <w:tc>
          <w:tcPr>
            <w:tcW w:w="1276" w:type="dxa"/>
            <w:vAlign w:val="center"/>
          </w:tcPr>
          <w:p w14:paraId="649B6C46">
            <w:pPr>
              <w:autoSpaceDE w:val="0"/>
              <w:autoSpaceDN w:val="0"/>
              <w:adjustRightInd w:val="0"/>
              <w:jc w:val="center"/>
              <w:rPr>
                <w:rFonts w:ascii="宋体" w:cs="Times New Roman"/>
                <w:color w:val="auto"/>
                <w:highlight w:val="none"/>
              </w:rPr>
            </w:pPr>
          </w:p>
        </w:tc>
        <w:tc>
          <w:tcPr>
            <w:tcW w:w="1135" w:type="dxa"/>
            <w:vAlign w:val="center"/>
          </w:tcPr>
          <w:p w14:paraId="18022C01">
            <w:pPr>
              <w:autoSpaceDE w:val="0"/>
              <w:autoSpaceDN w:val="0"/>
              <w:adjustRightInd w:val="0"/>
              <w:jc w:val="center"/>
              <w:rPr>
                <w:rFonts w:ascii="宋体" w:cs="Times New Roman"/>
                <w:color w:val="auto"/>
                <w:highlight w:val="none"/>
              </w:rPr>
            </w:pPr>
          </w:p>
        </w:tc>
        <w:tc>
          <w:tcPr>
            <w:tcW w:w="709" w:type="dxa"/>
            <w:vAlign w:val="center"/>
          </w:tcPr>
          <w:p w14:paraId="6405E1AF">
            <w:pPr>
              <w:autoSpaceDE w:val="0"/>
              <w:autoSpaceDN w:val="0"/>
              <w:adjustRightInd w:val="0"/>
              <w:jc w:val="center"/>
              <w:rPr>
                <w:rFonts w:ascii="宋体" w:cs="Times New Roman"/>
                <w:color w:val="auto"/>
                <w:highlight w:val="none"/>
              </w:rPr>
            </w:pPr>
          </w:p>
        </w:tc>
        <w:tc>
          <w:tcPr>
            <w:tcW w:w="803" w:type="dxa"/>
            <w:vAlign w:val="center"/>
          </w:tcPr>
          <w:p w14:paraId="134D14DB">
            <w:pPr>
              <w:autoSpaceDE w:val="0"/>
              <w:autoSpaceDN w:val="0"/>
              <w:adjustRightInd w:val="0"/>
              <w:jc w:val="center"/>
              <w:rPr>
                <w:rFonts w:ascii="宋体" w:cs="Times New Roman"/>
                <w:color w:val="auto"/>
                <w:highlight w:val="none"/>
              </w:rPr>
            </w:pPr>
          </w:p>
        </w:tc>
        <w:tc>
          <w:tcPr>
            <w:tcW w:w="1702" w:type="dxa"/>
            <w:vAlign w:val="center"/>
          </w:tcPr>
          <w:p w14:paraId="3E3252A0">
            <w:pPr>
              <w:autoSpaceDE w:val="0"/>
              <w:autoSpaceDN w:val="0"/>
              <w:adjustRightInd w:val="0"/>
              <w:jc w:val="center"/>
              <w:rPr>
                <w:rFonts w:ascii="宋体" w:cs="Times New Roman"/>
                <w:color w:val="auto"/>
                <w:highlight w:val="none"/>
              </w:rPr>
            </w:pPr>
          </w:p>
        </w:tc>
        <w:tc>
          <w:tcPr>
            <w:tcW w:w="1702" w:type="dxa"/>
            <w:vAlign w:val="center"/>
          </w:tcPr>
          <w:p w14:paraId="7B640116">
            <w:pPr>
              <w:autoSpaceDE w:val="0"/>
              <w:autoSpaceDN w:val="0"/>
              <w:adjustRightInd w:val="0"/>
              <w:jc w:val="center"/>
              <w:rPr>
                <w:rFonts w:ascii="宋体" w:cs="Times New Roman"/>
                <w:color w:val="auto"/>
                <w:highlight w:val="none"/>
              </w:rPr>
            </w:pPr>
          </w:p>
        </w:tc>
      </w:tr>
    </w:tbl>
    <w:p w14:paraId="1DB7EF56">
      <w:pPr>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highlight w:val="none"/>
        </w:rPr>
      </w:pPr>
      <w:r>
        <w:rPr>
          <w:rFonts w:hint="eastAsia" w:ascii="宋体" w:hAnsi="宋体" w:eastAsia="宋体" w:cs="宋体"/>
          <w:color w:val="auto"/>
          <w:highlight w:val="none"/>
        </w:rPr>
        <w:t>注：1.此表须符合招标文件中“</w:t>
      </w:r>
      <w:r>
        <w:rPr>
          <w:rFonts w:hint="eastAsia" w:ascii="宋体" w:hAnsi="宋体" w:cs="宋体"/>
          <w:color w:val="auto"/>
          <w:highlight w:val="none"/>
          <w:lang w:eastAsia="zh-CN"/>
        </w:rPr>
        <w:t>项目管理人员配备表</w:t>
      </w:r>
      <w:r>
        <w:rPr>
          <w:rFonts w:hint="eastAsia" w:ascii="宋体" w:hAnsi="宋体" w:eastAsia="宋体" w:cs="宋体"/>
          <w:color w:val="auto"/>
          <w:highlight w:val="none"/>
        </w:rPr>
        <w:t>”的要求；</w:t>
      </w:r>
    </w:p>
    <w:p w14:paraId="3212B480">
      <w:pPr>
        <w:keepNext w:val="0"/>
        <w:keepLines w:val="0"/>
        <w:pageBreakBefore w:val="0"/>
        <w:widowControl w:val="0"/>
        <w:kinsoku/>
        <w:wordWrap/>
        <w:overflowPunct/>
        <w:topLinePunct w:val="0"/>
        <w:autoSpaceDE/>
        <w:autoSpaceDN/>
        <w:bidi w:val="0"/>
        <w:adjustRightInd/>
        <w:snapToGrid/>
        <w:spacing w:after="0"/>
        <w:ind w:firstLine="420" w:firstLineChars="200"/>
        <w:textAlignment w:val="auto"/>
        <w:outlineLvl w:val="5"/>
        <w:rPr>
          <w:rFonts w:hint="eastAsia" w:ascii="宋体" w:hAnsi="宋体" w:eastAsia="宋体" w:cs="宋体"/>
          <w:color w:val="auto"/>
          <w:highlight w:val="none"/>
        </w:rPr>
      </w:pPr>
      <w:r>
        <w:rPr>
          <w:rFonts w:hint="eastAsia" w:ascii="宋体" w:hAnsi="宋体" w:eastAsia="宋体" w:cs="宋体"/>
          <w:color w:val="auto"/>
          <w:highlight w:val="none"/>
        </w:rPr>
        <w:t>2.表中“岗位要求”一栏，由投标人填“专职”或“兼任”；</w:t>
      </w:r>
    </w:p>
    <w:p w14:paraId="4BA2C147">
      <w:pPr>
        <w:keepNext w:val="0"/>
        <w:keepLines w:val="0"/>
        <w:pageBreakBefore w:val="0"/>
        <w:widowControl w:val="0"/>
        <w:kinsoku/>
        <w:wordWrap/>
        <w:overflowPunct/>
        <w:topLinePunct w:val="0"/>
        <w:autoSpaceDE/>
        <w:autoSpaceDN/>
        <w:bidi w:val="0"/>
        <w:adjustRightInd/>
        <w:snapToGrid/>
        <w:spacing w:after="0"/>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w:t>
      </w:r>
      <w:r>
        <w:rPr>
          <w:rFonts w:hint="eastAsia" w:cs="宋体"/>
          <w:color w:val="auto"/>
          <w:highlight w:val="none"/>
        </w:rPr>
        <w:t>设计负责人应附注册证书、身份证、</w:t>
      </w:r>
      <w:r>
        <w:rPr>
          <w:rFonts w:hint="eastAsia" w:ascii="宋体" w:hAnsi="宋体"/>
          <w:color w:val="auto"/>
          <w:highlight w:val="none"/>
          <w:lang w:eastAsia="zh-CN"/>
        </w:rPr>
        <w:t>社保缴费证明</w:t>
      </w:r>
      <w:r>
        <w:rPr>
          <w:rFonts w:hint="eastAsia" w:ascii="宋体" w:hAnsi="宋体"/>
          <w:color w:val="auto"/>
          <w:highlight w:val="none"/>
        </w:rPr>
        <w:t>（原件扫描件）</w:t>
      </w:r>
      <w:r>
        <w:rPr>
          <w:rFonts w:hint="eastAsia" w:ascii="宋体" w:hAnsi="宋体" w:eastAsia="宋体" w:cs="宋体"/>
          <w:color w:val="auto"/>
          <w:highlight w:val="none"/>
          <w:lang w:val="zh-CN"/>
        </w:rPr>
        <w:t>；建筑专业、结构专业、给排水专业、电气专业负责人</w:t>
      </w:r>
      <w:r>
        <w:rPr>
          <w:rFonts w:hint="eastAsia" w:ascii="宋体" w:hAnsi="宋体" w:cs="宋体"/>
          <w:color w:val="auto"/>
          <w:highlight w:val="none"/>
          <w:lang w:val="zh-CN"/>
        </w:rPr>
        <w:t>应附注册证书或职称证书、身份证原件扫描件、社保缴费证明；</w:t>
      </w:r>
      <w:r>
        <w:rPr>
          <w:rFonts w:hint="eastAsia" w:ascii="宋体" w:hAnsi="宋体" w:eastAsia="宋体" w:cs="宋体"/>
          <w:color w:val="auto"/>
          <w:highlight w:val="none"/>
        </w:rPr>
        <w:t>其余人员提供相关证书及身份证原件扫描件</w:t>
      </w:r>
      <w:r>
        <w:rPr>
          <w:rFonts w:hint="eastAsia" w:ascii="宋体" w:hAnsi="宋体" w:eastAsia="宋体" w:cs="宋体"/>
          <w:color w:val="auto"/>
          <w:highlight w:val="none"/>
          <w:lang w:eastAsia="zh-CN"/>
        </w:rPr>
        <w:t>。</w:t>
      </w:r>
    </w:p>
    <w:p w14:paraId="3055106E">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若为退休人员不需提供社保缴费证明原件扫描件，提供退休证及聘用合同原件扫描件即可。</w:t>
      </w:r>
    </w:p>
    <w:p w14:paraId="2449F303">
      <w:pPr>
        <w:rPr>
          <w:rFonts w:cs="Times New Roman"/>
          <w:color w:val="auto"/>
          <w:highlight w:val="none"/>
        </w:rPr>
      </w:pPr>
    </w:p>
    <w:p w14:paraId="47644D11">
      <w:pPr>
        <w:rPr>
          <w:rFonts w:cs="Times New Roman"/>
          <w:b/>
          <w:bCs/>
          <w:color w:val="auto"/>
          <w:sz w:val="28"/>
          <w:szCs w:val="28"/>
          <w:highlight w:val="none"/>
        </w:rPr>
      </w:pPr>
      <w:bookmarkStart w:id="1771" w:name="_Toc28507_WPSOffice_Level2"/>
      <w:bookmarkStart w:id="1772" w:name="_Toc10259_WPSOffice_Level2"/>
      <w:r>
        <w:rPr>
          <w:rFonts w:hint="eastAsia" w:cs="宋体"/>
          <w:b/>
          <w:bCs/>
          <w:color w:val="auto"/>
          <w:sz w:val="28"/>
          <w:szCs w:val="28"/>
          <w:highlight w:val="none"/>
        </w:rPr>
        <w:br w:type="page"/>
      </w:r>
      <w:bookmarkEnd w:id="1771"/>
      <w:bookmarkEnd w:id="1772"/>
      <w:bookmarkStart w:id="1773" w:name="_Toc11432_WPSOffice_Level2"/>
      <w:bookmarkStart w:id="1774" w:name="_Toc144974877"/>
      <w:bookmarkStart w:id="1775" w:name="_Toc26026_WPSOffice_Level2"/>
      <w:bookmarkStart w:id="1776" w:name="_Toc318966032"/>
      <w:bookmarkStart w:id="1777" w:name="_Toc247527849"/>
      <w:bookmarkStart w:id="1778" w:name="_Toc30773"/>
      <w:bookmarkStart w:id="1779" w:name="_Toc152045809"/>
      <w:bookmarkStart w:id="1780" w:name="_Toc152042598"/>
      <w:bookmarkStart w:id="1781" w:name="_Toc247514301"/>
    </w:p>
    <w:p w14:paraId="73359B57">
      <w:pPr>
        <w:pStyle w:val="5"/>
        <w:ind w:firstLine="0" w:firstLineChars="0"/>
        <w:jc w:val="center"/>
        <w:rPr>
          <w:rFonts w:hint="eastAsia" w:hAnsi="宋体" w:eastAsia="黑体" w:cs="Times New Roman"/>
          <w:color w:val="auto"/>
          <w:sz w:val="32"/>
          <w:szCs w:val="32"/>
          <w:highlight w:val="none"/>
          <w:lang w:eastAsia="zh-CN"/>
        </w:rPr>
      </w:pPr>
      <w:r>
        <w:rPr>
          <w:rFonts w:hint="eastAsia" w:cs="宋体"/>
          <w:b/>
          <w:bCs/>
          <w:color w:val="auto"/>
          <w:sz w:val="32"/>
          <w:szCs w:val="32"/>
          <w:highlight w:val="none"/>
        </w:rPr>
        <w:t>二、</w:t>
      </w:r>
      <w:bookmarkEnd w:id="1773"/>
      <w:bookmarkEnd w:id="1774"/>
      <w:bookmarkEnd w:id="1775"/>
      <w:bookmarkEnd w:id="1776"/>
      <w:bookmarkEnd w:id="1777"/>
      <w:bookmarkEnd w:id="1778"/>
      <w:bookmarkEnd w:id="1779"/>
      <w:bookmarkEnd w:id="1780"/>
      <w:bookmarkEnd w:id="1781"/>
      <w:bookmarkStart w:id="1782" w:name="_Toc381086294"/>
      <w:bookmarkStart w:id="1783" w:name="_Toc379979513"/>
      <w:r>
        <w:rPr>
          <w:rFonts w:hint="eastAsia" w:hAnsi="宋体" w:cs="Times New Roman"/>
          <w:color w:val="auto"/>
          <w:sz w:val="32"/>
          <w:szCs w:val="32"/>
          <w:highlight w:val="none"/>
        </w:rPr>
        <w:t>近年财务状况表</w:t>
      </w:r>
      <w:r>
        <w:rPr>
          <w:rFonts w:hint="eastAsia" w:cs="Times New Roman"/>
          <w:color w:val="auto"/>
          <w:sz w:val="32"/>
          <w:szCs w:val="32"/>
          <w:highlight w:val="none"/>
          <w:lang w:eastAsia="zh-CN"/>
        </w:rPr>
        <w:t>（</w:t>
      </w:r>
      <w:r>
        <w:rPr>
          <w:rFonts w:hint="eastAsia" w:cs="Times New Roman"/>
          <w:color w:val="auto"/>
          <w:sz w:val="32"/>
          <w:szCs w:val="32"/>
          <w:highlight w:val="none"/>
          <w:lang w:val="en-US" w:eastAsia="zh-CN"/>
        </w:rPr>
        <w:t>联合体各方</w:t>
      </w:r>
      <w:r>
        <w:rPr>
          <w:rFonts w:hint="eastAsia" w:cs="Times New Roman"/>
          <w:color w:val="auto"/>
          <w:sz w:val="32"/>
          <w:szCs w:val="32"/>
          <w:highlight w:val="none"/>
          <w:lang w:eastAsia="zh-CN"/>
        </w:rPr>
        <w:t>）</w:t>
      </w:r>
    </w:p>
    <w:tbl>
      <w:tblPr>
        <w:tblStyle w:val="88"/>
        <w:tblW w:w="846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721"/>
        <w:gridCol w:w="1265"/>
        <w:gridCol w:w="4475"/>
      </w:tblGrid>
      <w:tr w14:paraId="06747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Borders>
              <w:top w:val="single" w:color="auto" w:sz="12" w:space="0"/>
            </w:tcBorders>
            <w:tcMar>
              <w:top w:w="80" w:type="dxa"/>
              <w:left w:w="80" w:type="dxa"/>
              <w:bottom w:w="80" w:type="dxa"/>
              <w:right w:w="80" w:type="dxa"/>
            </w:tcMar>
            <w:vAlign w:val="center"/>
          </w:tcPr>
          <w:p w14:paraId="13CDC3A3">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项目或指标</w:t>
            </w:r>
          </w:p>
        </w:tc>
        <w:tc>
          <w:tcPr>
            <w:tcW w:w="1265" w:type="dxa"/>
            <w:tcBorders>
              <w:top w:val="single" w:color="auto" w:sz="12" w:space="0"/>
            </w:tcBorders>
            <w:vAlign w:val="center"/>
          </w:tcPr>
          <w:p w14:paraId="7D6B7595">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单位</w:t>
            </w:r>
          </w:p>
        </w:tc>
        <w:tc>
          <w:tcPr>
            <w:tcW w:w="4475" w:type="dxa"/>
            <w:tcBorders>
              <w:top w:val="single" w:color="auto" w:sz="12" w:space="0"/>
            </w:tcBorders>
            <w:vAlign w:val="center"/>
          </w:tcPr>
          <w:p w14:paraId="2F2D63DD">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Times New Roman"/>
                <w:color w:val="auto"/>
                <w:highlight w:val="none"/>
                <w:lang w:val="en-US" w:eastAsia="zh-CN"/>
              </w:rPr>
            </w:pPr>
            <w:r>
              <w:rPr>
                <w:rFonts w:hint="eastAsia" w:ascii="宋体" w:hAnsi="宋体" w:eastAsia="宋体" w:cs="宋体"/>
                <w:color w:val="auto"/>
                <w:kern w:val="0"/>
                <w:highlight w:val="none"/>
                <w:lang w:val="en-US" w:eastAsia="zh-CN"/>
              </w:rPr>
              <w:t>2024年度或2025年度</w:t>
            </w:r>
          </w:p>
        </w:tc>
      </w:tr>
      <w:tr w14:paraId="4F2C8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7FE552C1">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一、注册资金</w:t>
            </w:r>
          </w:p>
        </w:tc>
        <w:tc>
          <w:tcPr>
            <w:tcW w:w="1265" w:type="dxa"/>
            <w:vAlign w:val="center"/>
          </w:tcPr>
          <w:p w14:paraId="5C010955">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57C87F1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150FA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6395B689">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二、净资产</w:t>
            </w:r>
          </w:p>
        </w:tc>
        <w:tc>
          <w:tcPr>
            <w:tcW w:w="1265" w:type="dxa"/>
            <w:vAlign w:val="center"/>
          </w:tcPr>
          <w:p w14:paraId="3D8B9388">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2207942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1FA359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069A761">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三、总资产</w:t>
            </w:r>
          </w:p>
        </w:tc>
        <w:tc>
          <w:tcPr>
            <w:tcW w:w="1265" w:type="dxa"/>
            <w:vAlign w:val="center"/>
          </w:tcPr>
          <w:p w14:paraId="75658705">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45A37A0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7A7A2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1189F717">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四、固定资产</w:t>
            </w:r>
          </w:p>
        </w:tc>
        <w:tc>
          <w:tcPr>
            <w:tcW w:w="1265" w:type="dxa"/>
            <w:vAlign w:val="center"/>
          </w:tcPr>
          <w:p w14:paraId="3CE476FF">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59B7D63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63F47F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17AC3A11">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五、流动资产</w:t>
            </w:r>
          </w:p>
        </w:tc>
        <w:tc>
          <w:tcPr>
            <w:tcW w:w="1265" w:type="dxa"/>
            <w:vAlign w:val="center"/>
          </w:tcPr>
          <w:p w14:paraId="6FF0B316">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6C28106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7B1F2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461D9BAD">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六、流动负债</w:t>
            </w:r>
          </w:p>
        </w:tc>
        <w:tc>
          <w:tcPr>
            <w:tcW w:w="1265" w:type="dxa"/>
            <w:vAlign w:val="center"/>
          </w:tcPr>
          <w:p w14:paraId="4E8DB07F">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68C0E96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0AF6F2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A8E356E">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七、负债合计</w:t>
            </w:r>
          </w:p>
        </w:tc>
        <w:tc>
          <w:tcPr>
            <w:tcW w:w="1265" w:type="dxa"/>
            <w:vAlign w:val="center"/>
          </w:tcPr>
          <w:p w14:paraId="0EB93098">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6988B54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3C69B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19CBA707">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八、营业收入</w:t>
            </w:r>
          </w:p>
        </w:tc>
        <w:tc>
          <w:tcPr>
            <w:tcW w:w="1265" w:type="dxa"/>
            <w:vAlign w:val="center"/>
          </w:tcPr>
          <w:p w14:paraId="0927FB76">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6695633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0D0603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E27772A">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九、净利润</w:t>
            </w:r>
          </w:p>
        </w:tc>
        <w:tc>
          <w:tcPr>
            <w:tcW w:w="1265" w:type="dxa"/>
            <w:vAlign w:val="center"/>
          </w:tcPr>
          <w:p w14:paraId="4058751F">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600E29C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795D7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0E36587">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十、现金流量净额</w:t>
            </w:r>
          </w:p>
        </w:tc>
        <w:tc>
          <w:tcPr>
            <w:tcW w:w="1265" w:type="dxa"/>
            <w:vAlign w:val="center"/>
          </w:tcPr>
          <w:p w14:paraId="5DEED959">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万元</w:t>
            </w:r>
          </w:p>
        </w:tc>
        <w:tc>
          <w:tcPr>
            <w:tcW w:w="4475" w:type="dxa"/>
            <w:vAlign w:val="center"/>
          </w:tcPr>
          <w:p w14:paraId="327CD30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72670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4480EA54">
            <w:pPr>
              <w:pStyle w:val="45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十一、主要财务指标</w:t>
            </w:r>
          </w:p>
        </w:tc>
        <w:tc>
          <w:tcPr>
            <w:tcW w:w="1265" w:type="dxa"/>
            <w:vAlign w:val="center"/>
          </w:tcPr>
          <w:p w14:paraId="1DDDF1A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c>
          <w:tcPr>
            <w:tcW w:w="4475" w:type="dxa"/>
            <w:vAlign w:val="center"/>
          </w:tcPr>
          <w:p w14:paraId="68703CA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477B8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6C1A9E1">
            <w:pPr>
              <w:pStyle w:val="451"/>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ascii="宋体" w:hAnsi="宋体" w:eastAsia="宋体" w:cs="Times New Roman"/>
                <w:color w:val="auto"/>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TW" w:eastAsia="zh-TW"/>
              </w:rPr>
              <w:t>．净资产收益率</w:t>
            </w:r>
          </w:p>
        </w:tc>
        <w:tc>
          <w:tcPr>
            <w:tcW w:w="1265" w:type="dxa"/>
            <w:vAlign w:val="center"/>
          </w:tcPr>
          <w:p w14:paraId="14CC28BC">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w:t>
            </w:r>
          </w:p>
        </w:tc>
        <w:tc>
          <w:tcPr>
            <w:tcW w:w="4475" w:type="dxa"/>
            <w:vAlign w:val="center"/>
          </w:tcPr>
          <w:p w14:paraId="307E22D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5C842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6F0E5B8">
            <w:pPr>
              <w:pStyle w:val="451"/>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ascii="宋体" w:hAnsi="宋体" w:eastAsia="宋体" w:cs="Times New Roman"/>
                <w:color w:val="auto"/>
                <w:highlight w:val="none"/>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zh-TW" w:eastAsia="zh-TW"/>
              </w:rPr>
              <w:t>．总资产报酬率</w:t>
            </w:r>
          </w:p>
        </w:tc>
        <w:tc>
          <w:tcPr>
            <w:tcW w:w="1265" w:type="dxa"/>
            <w:vAlign w:val="center"/>
          </w:tcPr>
          <w:p w14:paraId="13E772F6">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w:t>
            </w:r>
          </w:p>
        </w:tc>
        <w:tc>
          <w:tcPr>
            <w:tcW w:w="4475" w:type="dxa"/>
            <w:vAlign w:val="center"/>
          </w:tcPr>
          <w:p w14:paraId="4ADE244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r w14:paraId="616D3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F5FA627">
            <w:pPr>
              <w:pStyle w:val="451"/>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ascii="宋体" w:hAnsi="宋体" w:eastAsia="宋体" w:cs="Times New Roman"/>
                <w:color w:val="auto"/>
                <w:highlight w:val="none"/>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zh-TW" w:eastAsia="zh-TW"/>
              </w:rPr>
              <w:t>．主营业务利润率</w:t>
            </w:r>
          </w:p>
        </w:tc>
        <w:tc>
          <w:tcPr>
            <w:tcW w:w="1265" w:type="dxa"/>
            <w:vAlign w:val="center"/>
          </w:tcPr>
          <w:p w14:paraId="191CA037">
            <w:pPr>
              <w:pStyle w:val="4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eastAsia="宋体" w:cs="Times New Roman"/>
                <w:color w:val="auto"/>
                <w:highlight w:val="none"/>
              </w:rPr>
            </w:pPr>
            <w:r>
              <w:rPr>
                <w:rFonts w:hint="eastAsia" w:ascii="宋体" w:hAnsi="宋体" w:eastAsia="宋体" w:cs="宋体"/>
                <w:color w:val="auto"/>
                <w:kern w:val="0"/>
                <w:highlight w:val="none"/>
                <w:lang w:val="zh-TW" w:eastAsia="zh-TW"/>
              </w:rPr>
              <w:t>％</w:t>
            </w:r>
          </w:p>
        </w:tc>
        <w:tc>
          <w:tcPr>
            <w:tcW w:w="4475" w:type="dxa"/>
            <w:vAlign w:val="center"/>
          </w:tcPr>
          <w:p w14:paraId="383DD0A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宋体" w:cs="Times New Roman"/>
                <w:color w:val="auto"/>
                <w:highlight w:val="none"/>
              </w:rPr>
            </w:pPr>
          </w:p>
        </w:tc>
      </w:tr>
    </w:tbl>
    <w:p w14:paraId="3B5AED6F">
      <w:pPr>
        <w:pStyle w:val="451"/>
        <w:adjustRightInd w:val="0"/>
        <w:snapToGrid w:val="0"/>
        <w:spacing w:before="120" w:beforeLines="50" w:line="360" w:lineRule="auto"/>
        <w:ind w:firstLine="464"/>
        <w:rPr>
          <w:rFonts w:ascii="宋体" w:hAnsi="宋体" w:eastAsia="宋体" w:cs="Times New Roman"/>
          <w:color w:val="auto"/>
          <w:highlight w:val="none"/>
          <w:lang w:val="zh-TW"/>
        </w:rPr>
      </w:pPr>
      <w:r>
        <w:rPr>
          <w:rFonts w:hint="eastAsia" w:ascii="宋体" w:hAnsi="宋体" w:eastAsia="宋体" w:cs="宋体"/>
          <w:color w:val="auto"/>
          <w:highlight w:val="none"/>
          <w:lang w:val="zh-TW"/>
        </w:rPr>
        <w:t>备注：</w:t>
      </w:r>
    </w:p>
    <w:p w14:paraId="2AB92247">
      <w:pPr>
        <w:pStyle w:val="451"/>
        <w:adjustRightInd w:val="0"/>
        <w:snapToGrid w:val="0"/>
        <w:spacing w:line="360" w:lineRule="auto"/>
        <w:ind w:firstLine="420" w:firstLineChars="200"/>
        <w:rPr>
          <w:rFonts w:ascii="宋体" w:hAnsi="宋体" w:eastAsia="宋体" w:cs="Times New Roman"/>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lang w:val="zh-TW"/>
        </w:rPr>
        <w:t>.本表后附财务报表原件扫描件，具体年份要求见第二章</w:t>
      </w:r>
      <w:r>
        <w:rPr>
          <w:rFonts w:hint="eastAsia" w:ascii="宋体" w:hAnsi="宋体" w:eastAsia="宋体" w:cs="宋体"/>
          <w:color w:val="auto"/>
          <w:highlight w:val="none"/>
        </w:rPr>
        <w:t>“</w:t>
      </w:r>
      <w:r>
        <w:rPr>
          <w:rFonts w:hint="eastAsia" w:ascii="宋体" w:hAnsi="宋体" w:eastAsia="宋体" w:cs="宋体"/>
          <w:color w:val="auto"/>
          <w:highlight w:val="none"/>
          <w:lang w:val="zh-TW"/>
        </w:rPr>
        <w:t>投标人须知</w:t>
      </w:r>
      <w:r>
        <w:rPr>
          <w:rFonts w:hint="eastAsia" w:ascii="宋体" w:hAnsi="宋体" w:eastAsia="宋体" w:cs="宋体"/>
          <w:color w:val="auto"/>
          <w:highlight w:val="none"/>
        </w:rPr>
        <w:t>”</w:t>
      </w:r>
      <w:r>
        <w:rPr>
          <w:rFonts w:hint="eastAsia" w:ascii="宋体" w:hAnsi="宋体" w:eastAsia="宋体" w:cs="宋体"/>
          <w:color w:val="auto"/>
          <w:highlight w:val="none"/>
          <w:lang w:val="zh-TW"/>
        </w:rPr>
        <w:t>的规定。</w:t>
      </w:r>
    </w:p>
    <w:p w14:paraId="5BF2E04A">
      <w:pPr>
        <w:pStyle w:val="451"/>
        <w:adjustRightInd w:val="0"/>
        <w:snapToGrid w:val="0"/>
        <w:spacing w:line="360" w:lineRule="auto"/>
        <w:ind w:firstLine="420" w:firstLineChars="200"/>
        <w:rPr>
          <w:rFonts w:ascii="宋体" w:hAnsi="宋体" w:eastAsia="宋体" w:cs="Times New Roman"/>
          <w:color w:val="auto"/>
          <w:highlight w:val="none"/>
        </w:rPr>
      </w:pPr>
    </w:p>
    <w:p w14:paraId="171FA911">
      <w:pPr>
        <w:pStyle w:val="453"/>
        <w:numPr>
          <w:ilvl w:val="0"/>
          <w:numId w:val="0"/>
        </w:numPr>
        <w:snapToGrid w:val="0"/>
        <w:spacing w:after="120" w:afterLines="50" w:line="360" w:lineRule="auto"/>
        <w:ind w:firstLine="843" w:firstLineChars="300"/>
        <w:jc w:val="both"/>
        <w:rPr>
          <w:rStyle w:val="207"/>
          <w:rFonts w:ascii="宋体" w:hAnsi="Times New Roman" w:cs="Times New Roman"/>
          <w:b/>
          <w:bCs/>
          <w:color w:val="auto"/>
          <w:sz w:val="32"/>
          <w:szCs w:val="32"/>
          <w:highlight w:val="none"/>
        </w:rPr>
      </w:pPr>
      <w:r>
        <w:rPr>
          <w:rFonts w:cs="Times New Roman"/>
          <w:b/>
          <w:bCs/>
          <w:color w:val="auto"/>
          <w:sz w:val="28"/>
          <w:szCs w:val="28"/>
          <w:highlight w:val="none"/>
        </w:rPr>
        <w:br w:type="page"/>
      </w:r>
      <w:bookmarkEnd w:id="1782"/>
      <w:bookmarkEnd w:id="1783"/>
      <w:r>
        <w:rPr>
          <w:rFonts w:hint="eastAsia" w:cs="Times New Roman"/>
          <w:b/>
          <w:bCs/>
          <w:color w:val="auto"/>
          <w:sz w:val="28"/>
          <w:szCs w:val="28"/>
          <w:highlight w:val="none"/>
          <w:lang w:val="en-US" w:eastAsia="zh-CN"/>
        </w:rPr>
        <w:t xml:space="preserve">                  </w:t>
      </w:r>
      <w:r>
        <w:rPr>
          <w:rStyle w:val="207"/>
          <w:rFonts w:hint="eastAsia" w:ascii="宋体" w:hAnsi="宋体" w:cs="宋体"/>
          <w:b/>
          <w:bCs/>
          <w:color w:val="auto"/>
          <w:sz w:val="32"/>
          <w:szCs w:val="32"/>
          <w:highlight w:val="none"/>
        </w:rPr>
        <w:t>三、信誉承诺</w:t>
      </w:r>
    </w:p>
    <w:p w14:paraId="09C4D9A2">
      <w:pPr>
        <w:pStyle w:val="677"/>
        <w:adjustRightInd w:val="0"/>
        <w:snapToGrid w:val="0"/>
        <w:spacing w:after="200" w:line="360" w:lineRule="auto"/>
        <w:jc w:val="center"/>
        <w:rPr>
          <w:rStyle w:val="207"/>
          <w:rFonts w:ascii="宋体" w:cs="Times New Roman"/>
          <w:b/>
          <w:bCs/>
          <w:color w:val="auto"/>
          <w:kern w:val="2"/>
          <w:sz w:val="24"/>
          <w:szCs w:val="24"/>
          <w:highlight w:val="none"/>
        </w:rPr>
      </w:pPr>
      <w:r>
        <w:rPr>
          <w:rStyle w:val="207"/>
          <w:rFonts w:hint="eastAsia" w:ascii="宋体" w:hAnsi="宋体" w:cs="宋体"/>
          <w:b/>
          <w:bCs/>
          <w:color w:val="auto"/>
          <w:kern w:val="2"/>
          <w:sz w:val="24"/>
          <w:szCs w:val="24"/>
          <w:highlight w:val="none"/>
        </w:rPr>
        <w:t>（符合第二章“投标人须知前附表”</w:t>
      </w:r>
      <w:r>
        <w:rPr>
          <w:rStyle w:val="207"/>
          <w:rFonts w:ascii="宋体" w:hAnsi="宋体" w:cs="宋体"/>
          <w:b/>
          <w:bCs/>
          <w:color w:val="auto"/>
          <w:kern w:val="2"/>
          <w:sz w:val="24"/>
          <w:szCs w:val="24"/>
          <w:highlight w:val="none"/>
        </w:rPr>
        <w:t>1.4.1</w:t>
      </w:r>
      <w:r>
        <w:rPr>
          <w:rStyle w:val="207"/>
          <w:rFonts w:hint="eastAsia" w:ascii="宋体" w:hAnsi="宋体" w:cs="宋体"/>
          <w:b/>
          <w:bCs/>
          <w:color w:val="auto"/>
          <w:kern w:val="2"/>
          <w:sz w:val="24"/>
          <w:szCs w:val="24"/>
          <w:highlight w:val="none"/>
        </w:rPr>
        <w:t>项规定）</w:t>
      </w:r>
    </w:p>
    <w:p w14:paraId="13CC0CEF">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投标人应具备良好信誉，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近</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年</w:t>
      </w:r>
      <w:r>
        <w:rPr>
          <w:rFonts w:hint="eastAsia" w:ascii="宋体" w:hAnsi="宋体" w:eastAsia="宋体" w:cs="宋体"/>
          <w:color w:val="auto"/>
          <w:sz w:val="21"/>
          <w:szCs w:val="21"/>
          <w:highlight w:val="none"/>
        </w:rPr>
        <w:t>至今未曾骗取中标、串通投标和发生严重违约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没有被建设行政主管部门列入黑名单的情况。（2）企业、法定代表人、</w:t>
      </w:r>
      <w:r>
        <w:rPr>
          <w:rFonts w:hint="eastAsia" w:ascii="宋体" w:hAnsi="宋体" w:eastAsia="宋体" w:cs="宋体"/>
          <w:color w:val="auto"/>
          <w:sz w:val="21"/>
          <w:szCs w:val="21"/>
          <w:highlight w:val="none"/>
          <w:lang w:val="en-US" w:eastAsia="zh-CN"/>
        </w:rPr>
        <w:t>设计负责人、项目经理</w:t>
      </w:r>
      <w:r>
        <w:rPr>
          <w:rFonts w:hint="eastAsia" w:ascii="宋体" w:hAnsi="宋体" w:eastAsia="宋体" w:cs="宋体"/>
          <w:color w:val="auto"/>
          <w:sz w:val="21"/>
          <w:szCs w:val="21"/>
          <w:highlight w:val="none"/>
        </w:rPr>
        <w:t>未被列入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信用中国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网站（www.creditchina.gov.cn）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重大税收违法</w:t>
      </w:r>
      <w:r>
        <w:rPr>
          <w:rFonts w:hint="eastAsia" w:ascii="宋体" w:hAnsi="宋体" w:eastAsia="宋体" w:cs="宋体"/>
          <w:color w:val="auto"/>
          <w:sz w:val="21"/>
          <w:szCs w:val="21"/>
          <w:highlight w:val="none"/>
          <w:lang w:val="en-US" w:eastAsia="zh-CN"/>
        </w:rPr>
        <w:t>失信主体”，</w:t>
      </w:r>
      <w:r>
        <w:rPr>
          <w:rFonts w:hint="eastAsia" w:ascii="宋体" w:hAnsi="宋体" w:eastAsia="宋体" w:cs="宋体"/>
          <w:color w:val="auto"/>
          <w:sz w:val="21"/>
          <w:szCs w:val="21"/>
          <w:highlight w:val="none"/>
        </w:rPr>
        <w:t>中国执行信息公开网（www.zxgk.court.gov.cn/shixin/）的“失信被执行人”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提供“信用中国”网站（www.creditchina.gov.cn）《信用信息报告》</w:t>
      </w:r>
      <w:r>
        <w:rPr>
          <w:rFonts w:hint="eastAsia" w:ascii="宋体" w:hAnsi="宋体" w:eastAsia="宋体" w:cs="宋体"/>
          <w:color w:val="auto"/>
          <w:sz w:val="21"/>
          <w:szCs w:val="21"/>
          <w:highlight w:val="none"/>
          <w:lang w:val="en-US" w:eastAsia="zh-CN"/>
        </w:rPr>
        <w:t>并附相关承诺书</w:t>
      </w:r>
      <w:r>
        <w:rPr>
          <w:rFonts w:hint="eastAsia" w:ascii="宋体" w:hAnsi="宋体" w:eastAsia="宋体" w:cs="宋体"/>
          <w:color w:val="auto"/>
          <w:sz w:val="21"/>
          <w:szCs w:val="21"/>
          <w:highlight w:val="none"/>
        </w:rPr>
        <w:t>。</w:t>
      </w:r>
      <w:r>
        <w:rPr>
          <w:rFonts w:hint="eastAsia" w:ascii="宋体" w:hAnsi="宋体" w:cs="宋体"/>
          <w:color w:val="auto"/>
          <w:highlight w:val="none"/>
          <w:lang w:val="zh-CN"/>
        </w:rPr>
        <w:t>若为联合体投标的，联合体投标的各成员均须作出承诺，并对其真实性负责</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en-US" w:eastAsia="zh-CN"/>
        </w:rPr>
        <w:t>上</w:t>
      </w:r>
      <w:r>
        <w:rPr>
          <w:rFonts w:hint="eastAsia" w:ascii="宋体" w:hAnsi="宋体" w:eastAsia="宋体" w:cs="宋体"/>
          <w:color w:val="auto"/>
          <w:sz w:val="21"/>
          <w:szCs w:val="21"/>
          <w:highlight w:val="none"/>
        </w:rPr>
        <w:t>相关查询以招标人、招标代理机构在相关网站查询结果为准，并交由评标委员会评定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15ADF540">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eastAsia="宋体" w:cs="宋体"/>
          <w:color w:val="auto"/>
          <w:sz w:val="21"/>
          <w:szCs w:val="21"/>
          <w:highlight w:val="none"/>
        </w:rPr>
      </w:pPr>
      <w:r>
        <w:rPr>
          <w:rFonts w:hint="eastAsia" w:ascii="宋体" w:hAnsi="宋体" w:cs="宋体"/>
          <w:color w:val="auto"/>
          <w:highlight w:val="none"/>
          <w:lang w:val="en-US" w:eastAsia="zh-CN"/>
        </w:rPr>
        <w:t>2.</w:t>
      </w:r>
      <w:r>
        <w:rPr>
          <w:rFonts w:hint="eastAsia" w:ascii="宋体" w:hAnsi="宋体" w:cs="宋体"/>
          <w:color w:val="auto"/>
          <w:highlight w:val="none"/>
          <w:lang w:val="zh-CN"/>
        </w:rPr>
        <w:t>投标人近3年未出现拖欠农民工工资情况，并严格按人社部门的相关要求支付农民工工资（提供承诺书）。若为联合体投标的，联合体</w:t>
      </w:r>
      <w:r>
        <w:rPr>
          <w:rFonts w:hint="eastAsia" w:ascii="宋体" w:hAnsi="宋体" w:cs="宋体"/>
          <w:color w:val="auto"/>
          <w:highlight w:val="none"/>
          <w:lang w:val="en-US" w:eastAsia="zh-CN"/>
        </w:rPr>
        <w:t>牵头方</w:t>
      </w:r>
      <w:r>
        <w:rPr>
          <w:rFonts w:hint="eastAsia" w:ascii="宋体" w:hAnsi="宋体" w:cs="宋体"/>
          <w:color w:val="auto"/>
          <w:highlight w:val="none"/>
          <w:lang w:val="zh-CN"/>
        </w:rPr>
        <w:t>提供。</w:t>
      </w:r>
    </w:p>
    <w:p w14:paraId="2595FE4E">
      <w:pPr>
        <w:keepNext w:val="0"/>
        <w:keepLines w:val="0"/>
        <w:pageBreakBefore w:val="0"/>
        <w:widowControl w:val="0"/>
        <w:kinsoku/>
        <w:wordWrap w:val="0"/>
        <w:overflowPunct/>
        <w:topLinePunct w:val="0"/>
        <w:autoSpaceDE/>
        <w:autoSpaceDN/>
        <w:bidi w:val="0"/>
        <w:adjustRightInd/>
        <w:snapToGrid w:val="0"/>
        <w:spacing w:line="360" w:lineRule="auto"/>
        <w:ind w:left="0" w:leftChars="0" w:right="-57" w:rightChars="-27" w:firstLine="399" w:firstLineChars="190"/>
        <w:jc w:val="both"/>
        <w:textAlignment w:val="auto"/>
        <w:rPr>
          <w:rFonts w:hint="eastAsia" w:ascii="宋体" w:hAnsi="宋体" w:cs="宋体"/>
          <w:color w:val="auto"/>
          <w:highlight w:val="none"/>
          <w:lang w:val="zh-CN"/>
        </w:rPr>
      </w:pPr>
      <w:r>
        <w:rPr>
          <w:rFonts w:hint="eastAsia" w:ascii="宋体" w:hAnsi="宋体" w:cs="宋体"/>
          <w:color w:val="auto"/>
          <w:highlight w:val="none"/>
          <w:lang w:val="en-US" w:eastAsia="zh-CN"/>
        </w:rPr>
        <w:t>3.</w:t>
      </w:r>
      <w:r>
        <w:rPr>
          <w:rFonts w:hint="eastAsia" w:ascii="宋体" w:hAnsi="宋体" w:cs="宋体"/>
          <w:color w:val="auto"/>
          <w:highlight w:val="none"/>
          <w:lang w:val="zh-CN"/>
        </w:rPr>
        <w:t>诉讼及仲裁：投标人如实说明近</w:t>
      </w:r>
      <w:r>
        <w:rPr>
          <w:rFonts w:hint="eastAsia" w:ascii="宋体" w:hAnsi="宋体" w:cs="宋体"/>
          <w:color w:val="auto"/>
          <w:highlight w:val="none"/>
          <w:lang w:val="en-US" w:eastAsia="zh-CN"/>
        </w:rPr>
        <w:t>3</w:t>
      </w:r>
      <w:r>
        <w:rPr>
          <w:rFonts w:hint="eastAsia" w:ascii="宋体" w:hAnsi="宋体" w:cs="宋体"/>
          <w:color w:val="auto"/>
          <w:highlight w:val="none"/>
          <w:lang w:val="zh-CN"/>
        </w:rPr>
        <w:t>年发生的诉讼及仲裁相关情况，并说明当前有无因投标申请人违约或不恰当履约引起的合同终止、纠纷、争议、仲裁和诉讼，并承诺涉及诉讼事件不影响申请人在本招标项目的履约能力。若为联合体投标的，联合体投标的各成员均须提供。</w:t>
      </w:r>
    </w:p>
    <w:p w14:paraId="39738351">
      <w:pPr>
        <w:pStyle w:val="677"/>
        <w:spacing w:after="200" w:line="276" w:lineRule="auto"/>
        <w:jc w:val="center"/>
        <w:rPr>
          <w:rStyle w:val="207"/>
          <w:rFonts w:ascii="宋体" w:cs="Times New Roman"/>
          <w:b/>
          <w:bCs/>
          <w:color w:val="auto"/>
          <w:kern w:val="2"/>
          <w:sz w:val="32"/>
          <w:szCs w:val="32"/>
          <w:highlight w:val="none"/>
        </w:rPr>
      </w:pPr>
    </w:p>
    <w:p w14:paraId="19715D7A">
      <w:pPr>
        <w:pStyle w:val="677"/>
        <w:spacing w:after="200" w:line="276" w:lineRule="auto"/>
        <w:jc w:val="center"/>
        <w:rPr>
          <w:rStyle w:val="207"/>
          <w:rFonts w:ascii="宋体" w:cs="Times New Roman"/>
          <w:b/>
          <w:bCs/>
          <w:color w:val="auto"/>
          <w:kern w:val="2"/>
          <w:sz w:val="32"/>
          <w:szCs w:val="32"/>
          <w:highlight w:val="none"/>
        </w:rPr>
      </w:pPr>
    </w:p>
    <w:p w14:paraId="7B5A8558">
      <w:pPr>
        <w:pStyle w:val="677"/>
        <w:spacing w:after="200" w:line="276" w:lineRule="auto"/>
        <w:jc w:val="center"/>
        <w:rPr>
          <w:rStyle w:val="207"/>
          <w:rFonts w:ascii="宋体" w:cs="Times New Roman"/>
          <w:b/>
          <w:bCs/>
          <w:color w:val="auto"/>
          <w:kern w:val="2"/>
          <w:sz w:val="32"/>
          <w:szCs w:val="32"/>
          <w:highlight w:val="none"/>
        </w:rPr>
      </w:pPr>
    </w:p>
    <w:p w14:paraId="639C361E">
      <w:pPr>
        <w:rPr>
          <w:rStyle w:val="207"/>
          <w:rFonts w:ascii="宋体" w:cs="Times New Roman"/>
          <w:b/>
          <w:bCs/>
          <w:color w:val="auto"/>
          <w:kern w:val="2"/>
          <w:sz w:val="32"/>
          <w:szCs w:val="32"/>
          <w:highlight w:val="none"/>
        </w:rPr>
      </w:pPr>
      <w:r>
        <w:rPr>
          <w:rStyle w:val="207"/>
          <w:rFonts w:ascii="宋体" w:cs="Times New Roman"/>
          <w:b/>
          <w:bCs/>
          <w:color w:val="auto"/>
          <w:kern w:val="2"/>
          <w:sz w:val="32"/>
          <w:szCs w:val="32"/>
          <w:highlight w:val="none"/>
        </w:rPr>
        <w:br w:type="page"/>
      </w:r>
    </w:p>
    <w:p w14:paraId="2FD91E25">
      <w:pPr>
        <w:pStyle w:val="677"/>
        <w:spacing w:after="200" w:line="276" w:lineRule="auto"/>
        <w:jc w:val="center"/>
        <w:rPr>
          <w:rStyle w:val="207"/>
          <w:rFonts w:cs="Times New Roman"/>
          <w:b/>
          <w:bCs/>
          <w:color w:val="auto"/>
          <w:kern w:val="2"/>
          <w:sz w:val="32"/>
          <w:szCs w:val="32"/>
          <w:highlight w:val="none"/>
        </w:rPr>
      </w:pPr>
      <w:r>
        <w:rPr>
          <w:rStyle w:val="207"/>
          <w:rFonts w:hint="eastAsia" w:ascii="宋体" w:hAnsi="宋体" w:cs="宋体"/>
          <w:b/>
          <w:bCs/>
          <w:color w:val="auto"/>
          <w:kern w:val="2"/>
          <w:sz w:val="32"/>
          <w:szCs w:val="32"/>
          <w:highlight w:val="none"/>
        </w:rPr>
        <w:t>四、相关承诺书</w:t>
      </w:r>
    </w:p>
    <w:p w14:paraId="1345DC8B">
      <w:pPr>
        <w:adjustRightInd w:val="0"/>
        <w:snapToGrid w:val="0"/>
        <w:spacing w:line="360" w:lineRule="auto"/>
        <w:jc w:val="center"/>
        <w:outlineLvl w:val="4"/>
        <w:rPr>
          <w:rFonts w:ascii="宋体" w:cs="Times New Roman"/>
          <w:b/>
          <w:bCs/>
          <w:color w:val="auto"/>
          <w:sz w:val="28"/>
          <w:szCs w:val="28"/>
          <w:highlight w:val="none"/>
        </w:rPr>
      </w:pPr>
      <w:r>
        <w:rPr>
          <w:rStyle w:val="207"/>
          <w:rFonts w:ascii="宋体" w:hAnsi="宋体" w:cs="宋体"/>
          <w:b/>
          <w:bCs/>
          <w:color w:val="auto"/>
          <w:sz w:val="28"/>
          <w:szCs w:val="28"/>
          <w:highlight w:val="none"/>
        </w:rPr>
        <w:t>4.1</w:t>
      </w:r>
      <w:r>
        <w:rPr>
          <w:rFonts w:hint="eastAsia" w:ascii="宋体" w:hAnsi="宋体" w:cs="宋体"/>
          <w:b/>
          <w:bCs/>
          <w:color w:val="auto"/>
          <w:sz w:val="28"/>
          <w:szCs w:val="28"/>
          <w:highlight w:val="none"/>
        </w:rPr>
        <w:t>投标承诺书</w:t>
      </w:r>
    </w:p>
    <w:p w14:paraId="3D3879D6">
      <w:pPr>
        <w:snapToGrid w:val="0"/>
        <w:spacing w:before="240" w:beforeLines="100" w:after="120" w:afterLines="5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本公司承诺：</w:t>
      </w:r>
    </w:p>
    <w:p w14:paraId="3A86FAF0">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遵循公开、公平、公正和诚实守信的原则，参加_________________________的投标。</w:t>
      </w:r>
    </w:p>
    <w:p w14:paraId="5F3DC2FE">
      <w:pPr>
        <w:snapToGrid w:val="0"/>
        <w:spacing w:line="360" w:lineRule="auto"/>
        <w:ind w:firstLine="420" w:firstLineChars="200"/>
        <w:outlineLvl w:val="3"/>
        <w:rPr>
          <w:rFonts w:hint="eastAsia" w:ascii="宋体" w:hAnsi="宋体" w:eastAsia="宋体" w:cs="宋体"/>
          <w:color w:val="auto"/>
          <w:highlight w:val="none"/>
        </w:rPr>
      </w:pPr>
      <w:r>
        <w:rPr>
          <w:rFonts w:hint="eastAsia" w:ascii="宋体" w:hAnsi="宋体" w:eastAsia="宋体" w:cs="宋体"/>
          <w:color w:val="auto"/>
          <w:highlight w:val="none"/>
        </w:rPr>
        <w:t>一、不提供有违真实的材料。</w:t>
      </w:r>
    </w:p>
    <w:p w14:paraId="445E47CA">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二、不与招标人或其他投标人串通投标，损害国家利益、社会利益或他人的合法权益。</w:t>
      </w:r>
    </w:p>
    <w:p w14:paraId="4AF6A3C4">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三、不向招标人或评标委员会成员行贿，以谋取中标。</w:t>
      </w:r>
    </w:p>
    <w:p w14:paraId="65D39306">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四、不以他人名义投标或者其他方式弄虚作假，骗取中标。</w:t>
      </w:r>
    </w:p>
    <w:p w14:paraId="4B9B7FD3">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五、不进行缺乏事实根据或者法律依据的投诉。</w:t>
      </w:r>
    </w:p>
    <w:p w14:paraId="2E34FE82">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六、不在投标中哄抬价格或恶意压价。</w:t>
      </w:r>
    </w:p>
    <w:p w14:paraId="637579A1">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七、不违反相关法律法规，注册建造师不同时在两个及两个以上的建设项目上担任施工项目负责人。</w:t>
      </w:r>
    </w:p>
    <w:p w14:paraId="63E0CD9D">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八、遵守国家和本市安全、质量有关法律法规和规范性文件中关于质量员、安全员的数量和人选的相关规定。</w:t>
      </w:r>
    </w:p>
    <w:p w14:paraId="0FD0FBB7">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九、加强对分包和劳务分包管理，对所分包工程的安全、质量和进度承担责任，不拖欠农民工工资，按时将分包合同报行政部门备案。</w:t>
      </w:r>
    </w:p>
    <w:p w14:paraId="2A83017A">
      <w:pPr>
        <w:snapToGrid w:val="0"/>
        <w:spacing w:line="360" w:lineRule="auto"/>
        <w:ind w:firstLine="420" w:firstLineChars="200"/>
        <w:outlineLvl w:val="3"/>
        <w:rPr>
          <w:rFonts w:hint="eastAsia" w:ascii="宋体" w:hAnsi="宋体" w:eastAsia="宋体" w:cs="宋体"/>
          <w:color w:val="auto"/>
          <w:highlight w:val="none"/>
        </w:rPr>
      </w:pPr>
      <w:r>
        <w:rPr>
          <w:rFonts w:hint="eastAsia" w:ascii="宋体" w:hAnsi="宋体" w:eastAsia="宋体" w:cs="宋体"/>
          <w:color w:val="auto"/>
          <w:highlight w:val="none"/>
        </w:rPr>
        <w:t>十、按照招标文件规定及合同约定，执行承诺的施工工期。</w:t>
      </w:r>
    </w:p>
    <w:p w14:paraId="4BEE97BB">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十一、保证建筑材料符合相关标准和设计、施工要求，不使用未经检测或者检测质量不合格的建筑材料。</w:t>
      </w:r>
    </w:p>
    <w:p w14:paraId="50E43072">
      <w:pPr>
        <w:snapToGrid w:val="0"/>
        <w:spacing w:line="360" w:lineRule="auto"/>
        <w:ind w:firstLine="420" w:firstLineChars="200"/>
        <w:outlineLvl w:val="3"/>
        <w:rPr>
          <w:rFonts w:hint="eastAsia" w:ascii="宋体" w:hAnsi="宋体" w:eastAsia="宋体" w:cs="宋体"/>
          <w:color w:val="auto"/>
          <w:highlight w:val="none"/>
        </w:rPr>
      </w:pPr>
      <w:r>
        <w:rPr>
          <w:rFonts w:hint="eastAsia" w:ascii="宋体" w:hAnsi="宋体" w:eastAsia="宋体" w:cs="宋体"/>
          <w:color w:val="auto"/>
          <w:highlight w:val="none"/>
        </w:rPr>
        <w:t>十二、本公司若违反本投标承诺，愿承担相应的法律责任。</w:t>
      </w:r>
    </w:p>
    <w:p w14:paraId="72CAC7EA">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十三、其他承诺：______________________________________。</w:t>
      </w:r>
    </w:p>
    <w:p w14:paraId="0C7A2744">
      <w:pPr>
        <w:snapToGrid w:val="0"/>
        <w:spacing w:line="360" w:lineRule="auto"/>
        <w:ind w:firstLine="420" w:firstLineChars="200"/>
        <w:jc w:val="right"/>
        <w:rPr>
          <w:rFonts w:hint="eastAsia" w:ascii="宋体" w:hAnsi="宋体" w:eastAsia="宋体" w:cs="宋体"/>
          <w:color w:val="auto"/>
          <w:highlight w:val="none"/>
        </w:rPr>
      </w:pPr>
    </w:p>
    <w:p w14:paraId="5F42B366">
      <w:pPr>
        <w:snapToGrid w:val="0"/>
        <w:spacing w:line="360" w:lineRule="auto"/>
        <w:ind w:firstLine="420" w:firstLineChars="200"/>
        <w:jc w:val="right"/>
        <w:rPr>
          <w:rFonts w:hint="eastAsia" w:ascii="宋体" w:hAnsi="宋体" w:eastAsia="宋体" w:cs="宋体"/>
          <w:color w:val="auto"/>
          <w:highlight w:val="none"/>
        </w:rPr>
      </w:pPr>
    </w:p>
    <w:p w14:paraId="70D83E19">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hAnsi="宋体" w:eastAsia="宋体" w:cs="宋体"/>
          <w:color w:val="auto"/>
          <w:highlight w:val="none"/>
        </w:rPr>
        <w:t>投标单位（牵头人单位）：___________________（电子签章）</w:t>
      </w:r>
    </w:p>
    <w:p w14:paraId="370B6651">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bookmarkStart w:id="1784" w:name="_Toc247514299"/>
      <w:bookmarkStart w:id="1785" w:name="_Toc144974875"/>
      <w:bookmarkStart w:id="1786" w:name="_Toc17453"/>
      <w:bookmarkStart w:id="1787" w:name="_Toc152045807"/>
      <w:bookmarkStart w:id="1788" w:name="_Toc318966030"/>
      <w:bookmarkStart w:id="1789" w:name="_Toc247527847"/>
      <w:bookmarkStart w:id="1790" w:name="_Toc152042596"/>
    </w:p>
    <w:p w14:paraId="49524B81">
      <w:pPr>
        <w:snapToGrid w:val="0"/>
        <w:spacing w:line="480" w:lineRule="auto"/>
        <w:ind w:left="420" w:leftChars="200" w:firstLine="1470" w:firstLineChars="700"/>
        <w:jc w:val="left"/>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258EE1A4">
      <w:pPr>
        <w:pStyle w:val="589"/>
        <w:snapToGrid w:val="0"/>
        <w:spacing w:before="120" w:beforeLines="50" w:after="240" w:afterLines="100" w:line="480" w:lineRule="auto"/>
        <w:ind w:left="0" w:firstLine="0"/>
        <w:jc w:val="center"/>
        <w:rPr>
          <w:rFonts w:hint="eastAsia" w:ascii="宋体" w:hAnsi="宋体" w:eastAsia="宋体" w:cs="宋体"/>
          <w:color w:val="auto"/>
          <w:highlight w:val="none"/>
        </w:rPr>
        <w:sectPr>
          <w:pgSz w:w="11911" w:h="16849"/>
          <w:pgMar w:top="1440" w:right="1440" w:bottom="1440" w:left="1440" w:header="879" w:footer="862" w:gutter="0"/>
          <w:pgNumType w:fmt="decimal"/>
          <w:cols w:space="0" w:num="1"/>
          <w:rtlGutter w:val="0"/>
          <w:docGrid w:linePitch="0" w:charSpace="0"/>
        </w:sectPr>
      </w:pPr>
    </w:p>
    <w:bookmarkEnd w:id="1784"/>
    <w:bookmarkEnd w:id="1785"/>
    <w:bookmarkEnd w:id="1786"/>
    <w:bookmarkEnd w:id="1787"/>
    <w:bookmarkEnd w:id="1788"/>
    <w:bookmarkEnd w:id="1789"/>
    <w:bookmarkEnd w:id="1790"/>
    <w:p w14:paraId="168A4FB2">
      <w:pPr>
        <w:jc w:val="center"/>
        <w:rPr>
          <w:rStyle w:val="207"/>
          <w:rFonts w:ascii="宋体" w:cs="Times New Roman"/>
          <w:b/>
          <w:bCs/>
          <w:color w:val="auto"/>
          <w:sz w:val="28"/>
          <w:szCs w:val="28"/>
          <w:highlight w:val="none"/>
        </w:rPr>
      </w:pPr>
      <w:r>
        <w:rPr>
          <w:rStyle w:val="207"/>
          <w:rFonts w:hint="eastAsia" w:ascii="宋体" w:hAnsi="宋体" w:cs="宋体"/>
          <w:b/>
          <w:bCs/>
          <w:color w:val="auto"/>
          <w:sz w:val="28"/>
          <w:szCs w:val="28"/>
          <w:highlight w:val="none"/>
          <w:lang w:val="en-US" w:eastAsia="zh-CN"/>
        </w:rPr>
        <w:t>4.2</w:t>
      </w:r>
      <w:r>
        <w:rPr>
          <w:rStyle w:val="207"/>
          <w:rFonts w:hint="eastAsia" w:ascii="宋体" w:hAnsi="宋体" w:cs="宋体"/>
          <w:b/>
          <w:bCs/>
          <w:color w:val="auto"/>
          <w:sz w:val="28"/>
          <w:szCs w:val="28"/>
          <w:highlight w:val="none"/>
        </w:rPr>
        <w:t>诚信投标承诺书</w:t>
      </w:r>
    </w:p>
    <w:p w14:paraId="60F8CA55">
      <w:pPr>
        <w:pStyle w:val="116"/>
        <w:rPr>
          <w:rFonts w:cs="Times New Roman"/>
          <w:color w:val="auto"/>
          <w:highlight w:val="none"/>
        </w:rPr>
      </w:pPr>
    </w:p>
    <w:p w14:paraId="074628BC">
      <w:pPr>
        <w:snapToGrid w:val="0"/>
        <w:spacing w:line="360" w:lineRule="auto"/>
        <w:ind w:left="0" w:leftChars="0" w:firstLine="0" w:firstLineChars="0"/>
        <w:jc w:val="left"/>
        <w:rPr>
          <w:rFonts w:ascii="宋体" w:cs="Times New Roman"/>
          <w:color w:val="auto"/>
          <w:highlight w:val="none"/>
        </w:rPr>
      </w:pPr>
      <w:r>
        <w:rPr>
          <w:rFonts w:hint="eastAsia" w:ascii="宋体" w:cs="宋体"/>
          <w:color w:val="auto"/>
          <w:highlight w:val="none"/>
        </w:rPr>
        <w:t>我方郑重承诺：</w:t>
      </w:r>
    </w:p>
    <w:p w14:paraId="240160C2">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cs="宋体"/>
          <w:color w:val="auto"/>
          <w:highlight w:val="none"/>
        </w:rPr>
        <w:t>我方已仔细阅读招标公告及招标文件，理解且认可其告知的诚信投标的相关内容，承诺按照招标文件的有关要求，遵守投标纪律，保证电子投标文件提交的所有材料和填报的信息是真实、准确、有效和完整的，无弄虚作假行为，对违反以上承诺所造成的后果，愿意接受有关法律法规规定的任何处罚。</w:t>
      </w:r>
      <w:r>
        <w:rPr>
          <w:rFonts w:ascii="宋体" w:cs="Times New Roman"/>
          <w:color w:val="auto"/>
          <w:highlight w:val="none"/>
        </w:rPr>
        <w:br w:type="textWrapping"/>
      </w:r>
      <w:r>
        <w:rPr>
          <w:rFonts w:ascii="宋体" w:cs="Times New Roman"/>
          <w:color w:val="auto"/>
          <w:highlight w:val="none"/>
        </w:rPr>
        <w:br w:type="textWrapping"/>
      </w:r>
      <w:r>
        <w:rPr>
          <w:rFonts w:ascii="宋体" w:cs="Times New Roman"/>
          <w:color w:val="auto"/>
          <w:highlight w:val="none"/>
        </w:rPr>
        <w:br w:type="textWrapping"/>
      </w:r>
      <w:r>
        <w:rPr>
          <w:rFonts w:hint="eastAsia" w:ascii="宋体" w:cs="Times New Roman"/>
          <w:color w:val="auto"/>
          <w:highlight w:val="none"/>
          <w:lang w:val="en-US" w:eastAsia="zh-CN"/>
        </w:rPr>
        <w:t xml:space="preserve">     </w:t>
      </w:r>
      <w:r>
        <w:rPr>
          <w:rFonts w:hint="eastAsia" w:ascii="宋体" w:hAnsi="宋体" w:eastAsia="宋体" w:cs="宋体"/>
          <w:color w:val="auto"/>
          <w:highlight w:val="none"/>
        </w:rPr>
        <w:t>投标单位（牵头人单位）：___________________（电子签章）</w:t>
      </w:r>
    </w:p>
    <w:p w14:paraId="2E83A0AE">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p>
    <w:p w14:paraId="31C56215">
      <w:pPr>
        <w:snapToGrid w:val="0"/>
        <w:spacing w:line="480" w:lineRule="auto"/>
        <w:ind w:left="420" w:leftChars="200" w:firstLine="1680" w:firstLineChars="800"/>
        <w:jc w:val="left"/>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2A35065B">
      <w:pPr>
        <w:snapToGrid w:val="0"/>
        <w:spacing w:line="360" w:lineRule="auto"/>
        <w:ind w:left="0" w:leftChars="0" w:firstLine="409" w:firstLineChars="195"/>
        <w:jc w:val="left"/>
        <w:rPr>
          <w:rFonts w:ascii="宋体" w:cs="Times New Roman"/>
          <w:color w:val="auto"/>
          <w:highlight w:val="none"/>
        </w:rPr>
      </w:pPr>
    </w:p>
    <w:p w14:paraId="34DC0336">
      <w:pPr>
        <w:snapToGrid w:val="0"/>
        <w:spacing w:line="360" w:lineRule="auto"/>
        <w:ind w:firstLine="420" w:firstLineChars="200"/>
        <w:rPr>
          <w:rFonts w:ascii="宋体" w:cs="Times New Roman"/>
          <w:color w:val="auto"/>
          <w:highlight w:val="none"/>
        </w:rPr>
      </w:pPr>
      <w:r>
        <w:rPr>
          <w:rFonts w:hint="eastAsia" w:cs="Times New Roman"/>
          <w:color w:val="auto"/>
          <w:sz w:val="21"/>
          <w:szCs w:val="21"/>
          <w:highlight w:val="none"/>
          <w:lang w:eastAsia="zh-CN"/>
        </w:rPr>
        <w:t>注：若为联合体投标的，各成员单位均需提供。</w:t>
      </w:r>
    </w:p>
    <w:p w14:paraId="529C2E8E">
      <w:pPr>
        <w:pStyle w:val="677"/>
        <w:widowControl/>
        <w:spacing w:after="200" w:line="276" w:lineRule="auto"/>
        <w:jc w:val="center"/>
        <w:rPr>
          <w:rStyle w:val="207"/>
          <w:rFonts w:ascii="宋体" w:hAnsi="宋体" w:cs="宋体"/>
          <w:b/>
          <w:bCs/>
          <w:color w:val="auto"/>
          <w:kern w:val="2"/>
          <w:sz w:val="28"/>
          <w:szCs w:val="28"/>
          <w:highlight w:val="none"/>
        </w:rPr>
      </w:pPr>
    </w:p>
    <w:p w14:paraId="6D352434">
      <w:pPr>
        <w:pStyle w:val="677"/>
        <w:widowControl/>
        <w:spacing w:after="200" w:line="276" w:lineRule="auto"/>
        <w:jc w:val="center"/>
        <w:rPr>
          <w:rStyle w:val="207"/>
          <w:rFonts w:ascii="宋体" w:hAnsi="宋体" w:cs="宋体"/>
          <w:b/>
          <w:bCs/>
          <w:color w:val="auto"/>
          <w:kern w:val="2"/>
          <w:sz w:val="28"/>
          <w:szCs w:val="28"/>
          <w:highlight w:val="none"/>
        </w:rPr>
      </w:pPr>
    </w:p>
    <w:p w14:paraId="256A9AD0">
      <w:pPr>
        <w:pStyle w:val="677"/>
        <w:widowControl/>
        <w:spacing w:after="200" w:line="276" w:lineRule="auto"/>
        <w:jc w:val="center"/>
        <w:rPr>
          <w:rStyle w:val="207"/>
          <w:rFonts w:ascii="宋体" w:hAnsi="宋体" w:cs="宋体"/>
          <w:b/>
          <w:bCs/>
          <w:color w:val="auto"/>
          <w:kern w:val="2"/>
          <w:sz w:val="28"/>
          <w:szCs w:val="28"/>
          <w:highlight w:val="none"/>
        </w:rPr>
      </w:pPr>
    </w:p>
    <w:p w14:paraId="1B65CBEA">
      <w:pPr>
        <w:pStyle w:val="677"/>
        <w:widowControl/>
        <w:spacing w:after="200" w:line="276" w:lineRule="auto"/>
        <w:jc w:val="center"/>
        <w:rPr>
          <w:rStyle w:val="207"/>
          <w:rFonts w:ascii="宋体" w:hAnsi="宋体" w:cs="宋体"/>
          <w:b/>
          <w:bCs/>
          <w:color w:val="auto"/>
          <w:kern w:val="2"/>
          <w:sz w:val="28"/>
          <w:szCs w:val="28"/>
          <w:highlight w:val="none"/>
        </w:rPr>
      </w:pPr>
    </w:p>
    <w:p w14:paraId="6BC0D11E">
      <w:pPr>
        <w:pStyle w:val="677"/>
        <w:widowControl/>
        <w:spacing w:after="200" w:line="276" w:lineRule="auto"/>
        <w:jc w:val="center"/>
        <w:rPr>
          <w:rStyle w:val="207"/>
          <w:rFonts w:ascii="宋体" w:hAnsi="宋体" w:cs="宋体"/>
          <w:b/>
          <w:bCs/>
          <w:color w:val="auto"/>
          <w:kern w:val="2"/>
          <w:sz w:val="28"/>
          <w:szCs w:val="28"/>
          <w:highlight w:val="none"/>
        </w:rPr>
      </w:pPr>
    </w:p>
    <w:p w14:paraId="185B2225">
      <w:pPr>
        <w:pStyle w:val="677"/>
        <w:widowControl/>
        <w:spacing w:after="200" w:line="276" w:lineRule="auto"/>
        <w:jc w:val="center"/>
        <w:rPr>
          <w:rStyle w:val="207"/>
          <w:rFonts w:ascii="宋体" w:hAnsi="宋体" w:cs="宋体"/>
          <w:b/>
          <w:bCs/>
          <w:color w:val="auto"/>
          <w:kern w:val="2"/>
          <w:sz w:val="28"/>
          <w:szCs w:val="28"/>
          <w:highlight w:val="none"/>
        </w:rPr>
      </w:pPr>
    </w:p>
    <w:p w14:paraId="608B520F">
      <w:pPr>
        <w:pStyle w:val="677"/>
        <w:widowControl/>
        <w:spacing w:after="200" w:line="276" w:lineRule="auto"/>
        <w:jc w:val="center"/>
        <w:rPr>
          <w:rStyle w:val="207"/>
          <w:rFonts w:ascii="宋体" w:hAnsi="宋体" w:cs="宋体"/>
          <w:b/>
          <w:bCs/>
          <w:color w:val="auto"/>
          <w:kern w:val="2"/>
          <w:sz w:val="28"/>
          <w:szCs w:val="28"/>
          <w:highlight w:val="none"/>
        </w:rPr>
      </w:pPr>
    </w:p>
    <w:p w14:paraId="2541902B">
      <w:pPr>
        <w:pStyle w:val="677"/>
        <w:widowControl/>
        <w:spacing w:after="200" w:line="276" w:lineRule="auto"/>
        <w:jc w:val="center"/>
        <w:rPr>
          <w:rStyle w:val="207"/>
          <w:rFonts w:ascii="宋体" w:hAnsi="宋体" w:cs="宋体"/>
          <w:b/>
          <w:bCs/>
          <w:color w:val="auto"/>
          <w:kern w:val="2"/>
          <w:sz w:val="28"/>
          <w:szCs w:val="28"/>
          <w:highlight w:val="none"/>
        </w:rPr>
      </w:pPr>
    </w:p>
    <w:p w14:paraId="15056907">
      <w:pPr>
        <w:pStyle w:val="677"/>
        <w:widowControl/>
        <w:spacing w:after="200" w:line="276" w:lineRule="auto"/>
        <w:jc w:val="center"/>
        <w:rPr>
          <w:rStyle w:val="207"/>
          <w:rFonts w:ascii="宋体" w:hAnsi="宋体" w:cs="宋体"/>
          <w:b/>
          <w:bCs/>
          <w:color w:val="auto"/>
          <w:kern w:val="2"/>
          <w:sz w:val="28"/>
          <w:szCs w:val="28"/>
          <w:highlight w:val="none"/>
        </w:rPr>
      </w:pPr>
    </w:p>
    <w:p w14:paraId="58CEBB3C">
      <w:pPr>
        <w:pStyle w:val="677"/>
        <w:widowControl/>
        <w:spacing w:after="200" w:line="276" w:lineRule="auto"/>
        <w:jc w:val="center"/>
        <w:rPr>
          <w:rStyle w:val="207"/>
          <w:rFonts w:ascii="宋体" w:hAnsi="宋体" w:cs="宋体"/>
          <w:b/>
          <w:bCs/>
          <w:color w:val="auto"/>
          <w:kern w:val="2"/>
          <w:sz w:val="28"/>
          <w:szCs w:val="28"/>
          <w:highlight w:val="none"/>
        </w:rPr>
      </w:pPr>
    </w:p>
    <w:p w14:paraId="797CBF47">
      <w:pPr>
        <w:pStyle w:val="677"/>
        <w:widowControl/>
        <w:spacing w:after="200" w:line="276" w:lineRule="auto"/>
        <w:jc w:val="center"/>
        <w:rPr>
          <w:rStyle w:val="207"/>
          <w:rFonts w:ascii="宋体" w:hAnsi="宋体" w:cs="宋体"/>
          <w:b/>
          <w:bCs/>
          <w:color w:val="auto"/>
          <w:kern w:val="2"/>
          <w:sz w:val="28"/>
          <w:szCs w:val="28"/>
          <w:highlight w:val="none"/>
        </w:rPr>
      </w:pPr>
    </w:p>
    <w:p w14:paraId="13000EA8">
      <w:pPr>
        <w:pStyle w:val="677"/>
        <w:widowControl/>
        <w:spacing w:after="200" w:line="276" w:lineRule="auto"/>
        <w:jc w:val="center"/>
        <w:rPr>
          <w:rStyle w:val="207"/>
          <w:rFonts w:ascii="宋体" w:hAnsi="宋体" w:cs="宋体"/>
          <w:b/>
          <w:bCs/>
          <w:color w:val="auto"/>
          <w:kern w:val="2"/>
          <w:sz w:val="28"/>
          <w:szCs w:val="28"/>
          <w:highlight w:val="none"/>
        </w:rPr>
      </w:pPr>
    </w:p>
    <w:p w14:paraId="59889792">
      <w:pPr>
        <w:pStyle w:val="677"/>
        <w:adjustRightInd w:val="0"/>
        <w:snapToGrid w:val="0"/>
        <w:spacing w:after="100" w:line="380" w:lineRule="exact"/>
        <w:jc w:val="center"/>
        <w:rPr>
          <w:rStyle w:val="207"/>
          <w:rFonts w:ascii="宋体" w:cs="Times New Roman"/>
          <w:b/>
          <w:bCs/>
          <w:color w:val="auto"/>
          <w:kern w:val="2"/>
          <w:sz w:val="28"/>
          <w:szCs w:val="28"/>
          <w:highlight w:val="none"/>
        </w:rPr>
      </w:pPr>
      <w:r>
        <w:rPr>
          <w:rStyle w:val="207"/>
          <w:rFonts w:hint="eastAsia" w:ascii="宋体" w:hAnsi="宋体" w:cs="宋体"/>
          <w:b/>
          <w:bCs/>
          <w:color w:val="auto"/>
          <w:kern w:val="2"/>
          <w:sz w:val="28"/>
          <w:szCs w:val="28"/>
          <w:highlight w:val="none"/>
          <w:lang w:val="en-US" w:eastAsia="zh-CN"/>
        </w:rPr>
        <w:t>4.3</w:t>
      </w:r>
      <w:r>
        <w:rPr>
          <w:rStyle w:val="207"/>
          <w:rFonts w:hint="eastAsia" w:ascii="宋体" w:hAnsi="宋体" w:cs="宋体"/>
          <w:b/>
          <w:bCs/>
          <w:color w:val="auto"/>
          <w:kern w:val="2"/>
          <w:sz w:val="28"/>
          <w:szCs w:val="28"/>
          <w:highlight w:val="none"/>
        </w:rPr>
        <w:t>建设工程投标人依法依规参加投标活动</w:t>
      </w:r>
    </w:p>
    <w:p w14:paraId="5DFFF689">
      <w:pPr>
        <w:pStyle w:val="677"/>
        <w:adjustRightInd w:val="0"/>
        <w:snapToGrid w:val="0"/>
        <w:spacing w:after="100" w:line="380" w:lineRule="exact"/>
        <w:jc w:val="center"/>
        <w:rPr>
          <w:rStyle w:val="207"/>
          <w:rFonts w:ascii="宋体" w:cs="Times New Roman"/>
          <w:b/>
          <w:bCs/>
          <w:color w:val="auto"/>
          <w:kern w:val="2"/>
          <w:sz w:val="28"/>
          <w:szCs w:val="28"/>
          <w:highlight w:val="none"/>
        </w:rPr>
      </w:pPr>
      <w:r>
        <w:rPr>
          <w:rStyle w:val="207"/>
          <w:rFonts w:hint="eastAsia" w:ascii="宋体" w:hAnsi="宋体" w:cs="宋体"/>
          <w:b/>
          <w:bCs/>
          <w:color w:val="auto"/>
          <w:kern w:val="2"/>
          <w:sz w:val="28"/>
          <w:szCs w:val="28"/>
          <w:highlight w:val="none"/>
        </w:rPr>
        <w:t>承诺书</w:t>
      </w:r>
    </w:p>
    <w:p w14:paraId="6D62AC28">
      <w:pPr>
        <w:snapToGrid w:val="0"/>
        <w:spacing w:line="360" w:lineRule="auto"/>
        <w:ind w:firstLine="420" w:firstLineChars="200"/>
        <w:rPr>
          <w:rFonts w:ascii="宋体" w:cs="Times New Roman"/>
          <w:color w:val="auto"/>
          <w:highlight w:val="none"/>
        </w:rPr>
      </w:pPr>
    </w:p>
    <w:p w14:paraId="693CDE87">
      <w:pPr>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我单位作为项目的投标人，现作出如下承诺：</w:t>
      </w:r>
    </w:p>
    <w:p w14:paraId="1398AA00">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1.</w:t>
      </w:r>
      <w:r>
        <w:rPr>
          <w:rFonts w:hint="eastAsia" w:ascii="宋体" w:hAnsi="宋体" w:cs="宋体"/>
          <w:color w:val="auto"/>
          <w:highlight w:val="none"/>
        </w:rPr>
        <w:t>坚决贯彻落实习近平总书记关于扫黑除恶专项斗争的重要指示精神，按照党中央国务院、省委省政府、州委州政府的决策部署，严格遵守《住房和城乡建设部关于进一步加强房屋建筑和市政基础设施工程招标投标监管的指导意见》</w:t>
      </w:r>
      <w:r>
        <w:rPr>
          <w:rFonts w:ascii="宋体" w:hAnsi="宋体" w:cs="宋体"/>
          <w:color w:val="auto"/>
          <w:highlight w:val="none"/>
        </w:rPr>
        <w:t>(</w:t>
      </w:r>
      <w:r>
        <w:rPr>
          <w:rFonts w:hint="eastAsia" w:ascii="宋体" w:hAnsi="宋体" w:cs="宋体"/>
          <w:color w:val="auto"/>
          <w:highlight w:val="none"/>
        </w:rPr>
        <w:t>建市规</w:t>
      </w:r>
      <w:r>
        <w:rPr>
          <w:rFonts w:ascii="宋体" w:hAnsi="宋体" w:cs="宋体"/>
          <w:color w:val="auto"/>
          <w:highlight w:val="none"/>
        </w:rPr>
        <w:t>[2019]11</w:t>
      </w:r>
      <w:r>
        <w:rPr>
          <w:rFonts w:hint="eastAsia" w:ascii="宋体" w:hAnsi="宋体" w:cs="宋体"/>
          <w:color w:val="auto"/>
          <w:highlight w:val="none"/>
        </w:rPr>
        <w:t>号</w:t>
      </w:r>
      <w:r>
        <w:rPr>
          <w:rFonts w:ascii="宋体" w:hAnsi="宋体" w:cs="宋体"/>
          <w:color w:val="auto"/>
          <w:highlight w:val="none"/>
        </w:rPr>
        <w:t>)</w:t>
      </w:r>
      <w:r>
        <w:rPr>
          <w:rFonts w:hint="eastAsia" w:ascii="宋体" w:hAnsi="宋体" w:cs="宋体"/>
          <w:color w:val="auto"/>
          <w:highlight w:val="none"/>
        </w:rPr>
        <w:t>文件要求，扎实开展好全省住建系统扫黑除恶专项斗争，营造良好的建筑市场秩序，促进建筑业高质量发展；</w:t>
      </w:r>
    </w:p>
    <w:p w14:paraId="4CE93FF2">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2.</w:t>
      </w:r>
      <w:r>
        <w:rPr>
          <w:rFonts w:hint="eastAsia" w:ascii="宋体" w:hAnsi="宋体" w:cs="宋体"/>
          <w:color w:val="auto"/>
          <w:highlight w:val="none"/>
        </w:rPr>
        <w:t>严格遵守《中华人民共和国招标投标法》等有关法律法规，公开、公平、公正和诚实信用参加工程项目投标；</w:t>
      </w:r>
    </w:p>
    <w:p w14:paraId="279AFFBC">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3.</w:t>
      </w:r>
      <w:r>
        <w:rPr>
          <w:rFonts w:hint="eastAsia" w:ascii="宋体" w:hAnsi="宋体" w:cs="宋体"/>
          <w:color w:val="auto"/>
          <w:highlight w:val="none"/>
        </w:rPr>
        <w:t>不与其他投标人相互串通投标或者与招标人、招标代理机构串通投标；</w:t>
      </w:r>
    </w:p>
    <w:p w14:paraId="4609A611">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4.</w:t>
      </w:r>
      <w:r>
        <w:rPr>
          <w:rFonts w:hint="eastAsia" w:ascii="宋体" w:hAnsi="宋体" w:cs="宋体"/>
          <w:color w:val="auto"/>
          <w:highlight w:val="none"/>
        </w:rPr>
        <w:t>不向招标人、招标代理机构或者评标委员会成员行贿谋取中标；</w:t>
      </w:r>
    </w:p>
    <w:p w14:paraId="17CE5A7F">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5.</w:t>
      </w:r>
      <w:r>
        <w:rPr>
          <w:rFonts w:hint="eastAsia" w:ascii="宋体" w:hAnsi="宋体" w:cs="宋体"/>
          <w:color w:val="auto"/>
          <w:highlight w:val="none"/>
        </w:rPr>
        <w:t>不以他人名义投标，挂靠、借用资质投标或者以其他方式弄虚作假，骗取中标；</w:t>
      </w:r>
    </w:p>
    <w:p w14:paraId="58C63D7F">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6.</w:t>
      </w:r>
      <w:r>
        <w:rPr>
          <w:rFonts w:hint="eastAsia" w:ascii="宋体" w:hAnsi="宋体" w:cs="宋体"/>
          <w:color w:val="auto"/>
          <w:highlight w:val="none"/>
        </w:rPr>
        <w:t>不以暴力手段胁迫其他潜在投标人放弃投标，或胁迫中标人放弃中标，强揽工程；</w:t>
      </w:r>
    </w:p>
    <w:p w14:paraId="201137D2">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7.</w:t>
      </w:r>
      <w:r>
        <w:rPr>
          <w:rFonts w:hint="eastAsia" w:ascii="宋体" w:hAnsi="宋体" w:cs="宋体"/>
          <w:color w:val="auto"/>
          <w:highlight w:val="none"/>
        </w:rPr>
        <w:t>不恶意举报投诉中标人或其他潜在投标人，干扰招标投标正常秩序；</w:t>
      </w:r>
    </w:p>
    <w:p w14:paraId="35E921F9">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8.</w:t>
      </w:r>
      <w:r>
        <w:rPr>
          <w:rFonts w:hint="eastAsia" w:ascii="宋体" w:hAnsi="宋体" w:cs="宋体"/>
          <w:color w:val="auto"/>
          <w:highlight w:val="none"/>
        </w:rPr>
        <w:t>不将中标项目转让给他人，不将中标项目肢解分别转让给他人，不将中标项目违法分包给他人；</w:t>
      </w:r>
    </w:p>
    <w:p w14:paraId="0600EFCF">
      <w:pPr>
        <w:snapToGrid w:val="0"/>
        <w:spacing w:line="360" w:lineRule="auto"/>
        <w:ind w:firstLine="420" w:firstLineChars="200"/>
        <w:rPr>
          <w:rFonts w:ascii="宋体" w:cs="Times New Roman"/>
          <w:color w:val="auto"/>
          <w:highlight w:val="none"/>
        </w:rPr>
      </w:pPr>
      <w:r>
        <w:rPr>
          <w:rFonts w:ascii="宋体" w:hAnsi="宋体" w:cs="宋体"/>
          <w:color w:val="auto"/>
          <w:highlight w:val="none"/>
        </w:rPr>
        <w:t>4.</w:t>
      </w:r>
      <w:r>
        <w:rPr>
          <w:rFonts w:hint="eastAsia" w:ascii="宋体" w:hAnsi="宋体" w:cs="宋体"/>
          <w:color w:val="auto"/>
          <w:highlight w:val="none"/>
        </w:rPr>
        <w:t>在投标过程中，秉承诚实、信用、公平、公正的原则开展工作，出具的各类书面文件、证件及资料均真实、有效不弄虚作假。</w:t>
      </w:r>
    </w:p>
    <w:p w14:paraId="57EB0869">
      <w:pPr>
        <w:snapToGrid w:val="0"/>
        <w:spacing w:line="360" w:lineRule="auto"/>
        <w:ind w:firstLine="420" w:firstLineChars="200"/>
        <w:rPr>
          <w:rFonts w:ascii="宋体" w:cs="Times New Roman"/>
          <w:color w:val="auto"/>
          <w:highlight w:val="none"/>
        </w:rPr>
      </w:pPr>
    </w:p>
    <w:p w14:paraId="428FA06D">
      <w:pPr>
        <w:snapToGrid w:val="0"/>
        <w:spacing w:line="360" w:lineRule="auto"/>
        <w:ind w:firstLine="420" w:firstLineChars="200"/>
        <w:rPr>
          <w:rFonts w:ascii="宋体" w:cs="Times New Roman"/>
          <w:color w:val="auto"/>
          <w:highlight w:val="none"/>
        </w:rPr>
      </w:pPr>
      <w:r>
        <w:rPr>
          <w:rFonts w:hint="eastAsia" w:ascii="宋体" w:hAnsi="宋体" w:cs="宋体"/>
          <w:color w:val="auto"/>
          <w:highlight w:val="none"/>
        </w:rPr>
        <w:t>若违反上述行为，本投标人自愿承担相关责任，接受招标投标监督管理部门、纪检监察部门或司法机关调查处理。接受相应刑事纪律和行政处罚以及失信惩戒。</w:t>
      </w:r>
    </w:p>
    <w:p w14:paraId="0F7D708C">
      <w:pPr>
        <w:snapToGrid w:val="0"/>
        <w:spacing w:line="360" w:lineRule="auto"/>
        <w:ind w:firstLine="420" w:firstLineChars="200"/>
        <w:rPr>
          <w:rFonts w:ascii="宋体" w:cs="Times New Roman"/>
          <w:color w:val="auto"/>
          <w:highlight w:val="none"/>
        </w:rPr>
      </w:pPr>
    </w:p>
    <w:p w14:paraId="49C42332">
      <w:pPr>
        <w:snapToGrid w:val="0"/>
        <w:spacing w:line="360" w:lineRule="auto"/>
        <w:ind w:firstLine="420" w:firstLineChars="200"/>
        <w:rPr>
          <w:rFonts w:ascii="宋体" w:cs="Times New Roman"/>
          <w:color w:val="auto"/>
          <w:highlight w:val="none"/>
        </w:rPr>
      </w:pPr>
    </w:p>
    <w:p w14:paraId="2911C1F7">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hAnsi="宋体" w:eastAsia="宋体" w:cs="宋体"/>
          <w:color w:val="auto"/>
          <w:highlight w:val="none"/>
        </w:rPr>
        <w:t>投标单位（牵头人单位）：___________________（电子签章）</w:t>
      </w:r>
    </w:p>
    <w:p w14:paraId="0844B8DE">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p>
    <w:p w14:paraId="428AEDF7">
      <w:pPr>
        <w:snapToGrid w:val="0"/>
        <w:spacing w:line="480" w:lineRule="auto"/>
        <w:ind w:left="420" w:leftChars="200" w:firstLine="1680" w:firstLineChars="800"/>
        <w:jc w:val="left"/>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0CD466C1">
      <w:pPr>
        <w:pStyle w:val="589"/>
        <w:snapToGrid w:val="0"/>
        <w:spacing w:before="120" w:beforeLines="50" w:after="240" w:afterLines="100" w:line="480" w:lineRule="auto"/>
        <w:ind w:left="0" w:firstLine="0"/>
        <w:jc w:val="center"/>
        <w:rPr>
          <w:rFonts w:hint="eastAsia" w:ascii="宋体" w:hAnsi="宋体" w:eastAsia="宋体" w:cs="宋体"/>
          <w:color w:val="auto"/>
          <w:highlight w:val="none"/>
        </w:rPr>
        <w:sectPr>
          <w:pgSz w:w="11911" w:h="16849"/>
          <w:pgMar w:top="1440" w:right="1440" w:bottom="1440" w:left="1440" w:header="879" w:footer="862" w:gutter="0"/>
          <w:pgNumType w:fmt="decimal"/>
          <w:cols w:space="0" w:num="1"/>
          <w:rtlGutter w:val="0"/>
          <w:docGrid w:linePitch="0" w:charSpace="0"/>
        </w:sectPr>
      </w:pPr>
    </w:p>
    <w:p w14:paraId="4DA9E271">
      <w:pPr>
        <w:pStyle w:val="677"/>
        <w:widowControl/>
        <w:spacing w:after="200" w:line="276" w:lineRule="auto"/>
        <w:jc w:val="center"/>
        <w:rPr>
          <w:rStyle w:val="207"/>
          <w:rFonts w:cs="Times New Roman"/>
          <w:b/>
          <w:bCs/>
          <w:color w:val="auto"/>
          <w:kern w:val="2"/>
          <w:sz w:val="28"/>
          <w:szCs w:val="28"/>
          <w:highlight w:val="none"/>
        </w:rPr>
      </w:pPr>
      <w:r>
        <w:rPr>
          <w:rStyle w:val="207"/>
          <w:rFonts w:ascii="宋体" w:hAnsi="宋体" w:cs="宋体"/>
          <w:b/>
          <w:bCs/>
          <w:color w:val="auto"/>
          <w:kern w:val="2"/>
          <w:sz w:val="28"/>
          <w:szCs w:val="28"/>
          <w:highlight w:val="none"/>
        </w:rPr>
        <w:t>4.</w:t>
      </w:r>
      <w:r>
        <w:rPr>
          <w:rStyle w:val="207"/>
          <w:rFonts w:hint="eastAsia" w:ascii="宋体" w:hAnsi="宋体" w:cs="宋体"/>
          <w:b/>
          <w:bCs/>
          <w:color w:val="auto"/>
          <w:kern w:val="2"/>
          <w:sz w:val="28"/>
          <w:szCs w:val="28"/>
          <w:highlight w:val="none"/>
          <w:lang w:val="en-US" w:eastAsia="zh-CN"/>
        </w:rPr>
        <w:t>4</w:t>
      </w:r>
      <w:r>
        <w:rPr>
          <w:rStyle w:val="207"/>
          <w:rFonts w:hint="eastAsia" w:ascii="宋体" w:hAnsi="宋体" w:cs="宋体"/>
          <w:b/>
          <w:bCs/>
          <w:color w:val="auto"/>
          <w:kern w:val="2"/>
          <w:sz w:val="28"/>
          <w:szCs w:val="28"/>
          <w:highlight w:val="none"/>
        </w:rPr>
        <w:t>中标后不转包、违法分包承诺书</w:t>
      </w:r>
    </w:p>
    <w:p w14:paraId="5538E8E8">
      <w:pPr>
        <w:pStyle w:val="677"/>
        <w:widowControl/>
        <w:spacing w:after="200" w:line="276" w:lineRule="auto"/>
        <w:jc w:val="both"/>
        <w:rPr>
          <w:rStyle w:val="207"/>
          <w:rFonts w:cs="Times New Roman"/>
          <w:color w:val="auto"/>
          <w:sz w:val="21"/>
          <w:szCs w:val="21"/>
          <w:highlight w:val="none"/>
        </w:rPr>
      </w:pPr>
      <w:r>
        <w:rPr>
          <w:rStyle w:val="207"/>
          <w:rFonts w:ascii="宋体" w:hAnsi="宋体" w:cs="宋体"/>
          <w:color w:val="auto"/>
          <w:sz w:val="28"/>
          <w:szCs w:val="28"/>
          <w:highlight w:val="none"/>
        </w:rPr>
        <w:t xml:space="preserve">   </w:t>
      </w:r>
      <w:r>
        <w:rPr>
          <w:rStyle w:val="207"/>
          <w:rFonts w:ascii="宋体" w:hAnsi="宋体" w:cs="宋体"/>
          <w:color w:val="auto"/>
          <w:sz w:val="21"/>
          <w:szCs w:val="21"/>
          <w:highlight w:val="none"/>
        </w:rPr>
        <w:t xml:space="preserve"> </w:t>
      </w:r>
      <w:r>
        <w:rPr>
          <w:rStyle w:val="207"/>
          <w:rFonts w:hint="eastAsia" w:ascii="宋体" w:hAnsi="宋体" w:cs="宋体"/>
          <w:color w:val="auto"/>
          <w:sz w:val="21"/>
          <w:szCs w:val="21"/>
          <w:highlight w:val="none"/>
          <w:u w:val="single"/>
        </w:rPr>
        <w:t>（招标人名称）</w:t>
      </w:r>
      <w:r>
        <w:rPr>
          <w:rStyle w:val="207"/>
          <w:rFonts w:hint="eastAsia" w:ascii="宋体" w:hAnsi="宋体" w:cs="宋体"/>
          <w:color w:val="auto"/>
          <w:sz w:val="21"/>
          <w:szCs w:val="21"/>
          <w:highlight w:val="none"/>
        </w:rPr>
        <w:t>：</w:t>
      </w:r>
    </w:p>
    <w:p w14:paraId="6ABD50FA">
      <w:pPr>
        <w:pStyle w:val="677"/>
        <w:widowControl/>
        <w:spacing w:after="200" w:line="360" w:lineRule="auto"/>
        <w:ind w:firstLine="424" w:firstLineChars="202"/>
        <w:rPr>
          <w:rStyle w:val="207"/>
          <w:rFonts w:cs="Times New Roman"/>
          <w:color w:val="auto"/>
          <w:kern w:val="2"/>
          <w:sz w:val="21"/>
          <w:szCs w:val="21"/>
          <w:highlight w:val="none"/>
        </w:rPr>
      </w:pPr>
      <w:r>
        <w:rPr>
          <w:rStyle w:val="207"/>
          <w:rFonts w:hint="eastAsia" w:ascii="宋体" w:hAnsi="宋体" w:cs="宋体"/>
          <w:color w:val="auto"/>
          <w:kern w:val="2"/>
          <w:sz w:val="21"/>
          <w:szCs w:val="21"/>
          <w:highlight w:val="none"/>
        </w:rPr>
        <w:t>我方参与了</w:t>
      </w:r>
      <w:r>
        <w:rPr>
          <w:rStyle w:val="207"/>
          <w:rFonts w:ascii="宋体" w:hAnsi="宋体" w:cs="宋体"/>
          <w:color w:val="auto"/>
          <w:kern w:val="2"/>
          <w:sz w:val="21"/>
          <w:szCs w:val="21"/>
          <w:highlight w:val="none"/>
          <w:u w:val="single"/>
        </w:rPr>
        <w:t xml:space="preserve">               </w:t>
      </w:r>
      <w:r>
        <w:rPr>
          <w:rStyle w:val="207"/>
          <w:rFonts w:hint="eastAsia" w:ascii="宋体" w:hAnsi="宋体" w:cs="宋体"/>
          <w:color w:val="auto"/>
          <w:kern w:val="2"/>
          <w:sz w:val="21"/>
          <w:szCs w:val="21"/>
          <w:highlight w:val="none"/>
          <w:u w:val="single"/>
        </w:rPr>
        <w:t>（项目名称）</w:t>
      </w:r>
      <w:r>
        <w:rPr>
          <w:rStyle w:val="207"/>
          <w:rFonts w:hint="eastAsia" w:ascii="宋体" w:hAnsi="宋体" w:cs="宋体"/>
          <w:color w:val="auto"/>
          <w:kern w:val="2"/>
          <w:sz w:val="21"/>
          <w:szCs w:val="21"/>
          <w:highlight w:val="none"/>
        </w:rPr>
        <w:t>招标的投标活动，若我方有幸中标，我方郑重承诺：</w:t>
      </w:r>
    </w:p>
    <w:p w14:paraId="7FF361B0">
      <w:pPr>
        <w:pStyle w:val="677"/>
        <w:widowControl/>
        <w:spacing w:after="200" w:line="360" w:lineRule="auto"/>
        <w:ind w:firstLine="424" w:firstLineChars="202"/>
        <w:rPr>
          <w:rStyle w:val="207"/>
          <w:rFonts w:cs="Times New Roman"/>
          <w:color w:val="auto"/>
          <w:kern w:val="2"/>
          <w:sz w:val="21"/>
          <w:szCs w:val="21"/>
          <w:highlight w:val="none"/>
        </w:rPr>
      </w:pPr>
      <w:r>
        <w:rPr>
          <w:rStyle w:val="207"/>
          <w:rFonts w:hint="eastAsia" w:ascii="宋体" w:hAnsi="宋体" w:cs="宋体"/>
          <w:color w:val="auto"/>
          <w:kern w:val="2"/>
          <w:sz w:val="21"/>
          <w:szCs w:val="21"/>
          <w:highlight w:val="none"/>
        </w:rPr>
        <w:t>在项目实施过程中严格按照</w:t>
      </w:r>
      <w:r>
        <w:rPr>
          <w:rStyle w:val="207"/>
          <w:rFonts w:hint="eastAsia" w:ascii="宋体" w:hAnsi="宋体" w:cs="宋体"/>
          <w:color w:val="auto"/>
          <w:kern w:val="2"/>
          <w:sz w:val="21"/>
          <w:szCs w:val="21"/>
          <w:highlight w:val="none"/>
          <w:lang w:val="en-US" w:eastAsia="zh-CN"/>
        </w:rPr>
        <w:t>现行</w:t>
      </w:r>
      <w:r>
        <w:rPr>
          <w:rStyle w:val="207"/>
          <w:rFonts w:hint="eastAsia" w:ascii="宋体" w:hAnsi="宋体" w:cs="宋体"/>
          <w:color w:val="auto"/>
          <w:kern w:val="2"/>
          <w:sz w:val="21"/>
          <w:szCs w:val="21"/>
          <w:highlight w:val="none"/>
        </w:rPr>
        <w:t>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6463F852">
      <w:pPr>
        <w:pStyle w:val="677"/>
        <w:widowControl/>
        <w:spacing w:after="200" w:line="276" w:lineRule="auto"/>
        <w:ind w:firstLine="424" w:firstLineChars="202"/>
        <w:rPr>
          <w:rStyle w:val="207"/>
          <w:color w:val="auto"/>
          <w:kern w:val="2"/>
          <w:sz w:val="21"/>
          <w:szCs w:val="21"/>
          <w:highlight w:val="none"/>
        </w:rPr>
      </w:pPr>
      <w:r>
        <w:rPr>
          <w:rStyle w:val="207"/>
          <w:color w:val="auto"/>
          <w:kern w:val="2"/>
          <w:sz w:val="21"/>
          <w:szCs w:val="21"/>
          <w:highlight w:val="none"/>
        </w:rPr>
        <w:t xml:space="preserve"> </w:t>
      </w:r>
    </w:p>
    <w:p w14:paraId="55146B5C">
      <w:pPr>
        <w:pStyle w:val="677"/>
        <w:widowControl/>
        <w:spacing w:after="200" w:line="276" w:lineRule="auto"/>
        <w:ind w:firstLine="424" w:firstLineChars="202"/>
        <w:rPr>
          <w:rStyle w:val="207"/>
          <w:rFonts w:cs="Times New Roman"/>
          <w:color w:val="auto"/>
          <w:kern w:val="2"/>
          <w:sz w:val="21"/>
          <w:szCs w:val="21"/>
          <w:highlight w:val="none"/>
        </w:rPr>
      </w:pPr>
      <w:r>
        <w:rPr>
          <w:rStyle w:val="207"/>
          <w:rFonts w:hint="eastAsia" w:ascii="宋体" w:hAnsi="宋体" w:cs="宋体"/>
          <w:color w:val="auto"/>
          <w:kern w:val="2"/>
          <w:sz w:val="21"/>
          <w:szCs w:val="21"/>
          <w:highlight w:val="none"/>
        </w:rPr>
        <w:t>特此承诺</w:t>
      </w:r>
    </w:p>
    <w:p w14:paraId="0A69D6A5">
      <w:pPr>
        <w:snapToGrid w:val="0"/>
        <w:spacing w:line="480" w:lineRule="auto"/>
        <w:ind w:right="840" w:firstLine="420" w:firstLineChars="200"/>
        <w:outlineLvl w:val="4"/>
        <w:rPr>
          <w:rFonts w:hint="eastAsia" w:ascii="宋体" w:hAnsi="宋体" w:eastAsia="宋体" w:cs="宋体"/>
          <w:color w:val="auto"/>
          <w:highlight w:val="none"/>
        </w:rPr>
      </w:pPr>
    </w:p>
    <w:p w14:paraId="6C5A5A41">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hAnsi="宋体" w:eastAsia="宋体" w:cs="宋体"/>
          <w:color w:val="auto"/>
          <w:highlight w:val="none"/>
        </w:rPr>
        <w:t>投标单位（牵头人单位）：___________________（电子签章）</w:t>
      </w:r>
    </w:p>
    <w:p w14:paraId="7E8E64B7">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p>
    <w:p w14:paraId="24CD201A">
      <w:pPr>
        <w:pStyle w:val="677"/>
        <w:spacing w:after="200" w:line="276" w:lineRule="auto"/>
        <w:ind w:firstLine="1680" w:firstLineChars="800"/>
        <w:rPr>
          <w:rStyle w:val="207"/>
          <w:rFonts w:ascii="宋体" w:cs="Times New Roman"/>
          <w:color w:val="auto"/>
          <w:sz w:val="21"/>
          <w:szCs w:val="21"/>
          <w:highlight w:val="none"/>
        </w:rPr>
      </w:pPr>
      <w:r>
        <w:rPr>
          <w:rFonts w:hint="eastAsia" w:ascii="宋体" w:hAnsi="宋体" w:eastAsia="宋体" w:cs="宋体"/>
          <w:color w:val="auto"/>
          <w:sz w:val="21"/>
          <w:szCs w:val="21"/>
          <w:highlight w:val="none"/>
        </w:rPr>
        <w:t>年   月   日</w:t>
      </w:r>
    </w:p>
    <w:p w14:paraId="25409082">
      <w:pPr>
        <w:pStyle w:val="677"/>
        <w:widowControl/>
        <w:spacing w:after="200" w:line="276" w:lineRule="auto"/>
        <w:ind w:firstLine="565" w:firstLineChars="202"/>
        <w:rPr>
          <w:rStyle w:val="207"/>
          <w:rFonts w:ascii="宋体" w:cs="Times New Roman"/>
          <w:color w:val="auto"/>
          <w:kern w:val="2"/>
          <w:sz w:val="28"/>
          <w:szCs w:val="28"/>
          <w:highlight w:val="none"/>
        </w:rPr>
      </w:pPr>
      <w:r>
        <w:rPr>
          <w:rStyle w:val="207"/>
          <w:color w:val="auto"/>
          <w:kern w:val="2"/>
          <w:sz w:val="28"/>
          <w:szCs w:val="28"/>
          <w:highlight w:val="none"/>
        </w:rPr>
        <w:t xml:space="preserve"> </w:t>
      </w:r>
    </w:p>
    <w:p w14:paraId="6D168907">
      <w:pPr>
        <w:pStyle w:val="677"/>
        <w:widowControl/>
        <w:spacing w:after="200" w:line="276" w:lineRule="auto"/>
        <w:jc w:val="center"/>
        <w:rPr>
          <w:rStyle w:val="207"/>
          <w:rFonts w:ascii="宋体" w:cs="Times New Roman"/>
          <w:b/>
          <w:bCs/>
          <w:color w:val="auto"/>
          <w:kern w:val="2"/>
          <w:sz w:val="28"/>
          <w:szCs w:val="28"/>
          <w:highlight w:val="none"/>
        </w:rPr>
      </w:pPr>
    </w:p>
    <w:p w14:paraId="5A4F424E">
      <w:pPr>
        <w:pStyle w:val="677"/>
        <w:widowControl/>
        <w:spacing w:after="200" w:line="276" w:lineRule="auto"/>
        <w:jc w:val="center"/>
        <w:rPr>
          <w:rStyle w:val="207"/>
          <w:rFonts w:ascii="宋体" w:cs="Times New Roman"/>
          <w:b/>
          <w:bCs/>
          <w:color w:val="auto"/>
          <w:kern w:val="2"/>
          <w:sz w:val="28"/>
          <w:szCs w:val="28"/>
          <w:highlight w:val="none"/>
        </w:rPr>
      </w:pPr>
    </w:p>
    <w:p w14:paraId="659DDDA6">
      <w:pPr>
        <w:pStyle w:val="677"/>
        <w:widowControl/>
        <w:spacing w:after="200" w:line="276" w:lineRule="auto"/>
        <w:jc w:val="center"/>
        <w:rPr>
          <w:rStyle w:val="207"/>
          <w:rFonts w:ascii="宋体" w:cs="Times New Roman"/>
          <w:b/>
          <w:bCs/>
          <w:color w:val="auto"/>
          <w:kern w:val="2"/>
          <w:sz w:val="28"/>
          <w:szCs w:val="28"/>
          <w:highlight w:val="none"/>
        </w:rPr>
      </w:pPr>
    </w:p>
    <w:p w14:paraId="38DC2395">
      <w:pPr>
        <w:pStyle w:val="677"/>
        <w:widowControl/>
        <w:spacing w:after="200" w:line="276" w:lineRule="auto"/>
        <w:jc w:val="center"/>
        <w:rPr>
          <w:rStyle w:val="207"/>
          <w:rFonts w:ascii="宋体" w:cs="Times New Roman"/>
          <w:b/>
          <w:bCs/>
          <w:color w:val="auto"/>
          <w:kern w:val="2"/>
          <w:sz w:val="28"/>
          <w:szCs w:val="28"/>
          <w:highlight w:val="none"/>
        </w:rPr>
      </w:pPr>
    </w:p>
    <w:p w14:paraId="62D89599">
      <w:pPr>
        <w:pStyle w:val="677"/>
        <w:widowControl/>
        <w:spacing w:after="200" w:line="276" w:lineRule="auto"/>
        <w:jc w:val="center"/>
        <w:rPr>
          <w:rStyle w:val="207"/>
          <w:rFonts w:ascii="宋体" w:cs="Times New Roman"/>
          <w:b/>
          <w:bCs/>
          <w:color w:val="auto"/>
          <w:kern w:val="2"/>
          <w:sz w:val="28"/>
          <w:szCs w:val="28"/>
          <w:highlight w:val="none"/>
        </w:rPr>
      </w:pPr>
    </w:p>
    <w:p w14:paraId="15EBE25D">
      <w:pPr>
        <w:pStyle w:val="677"/>
        <w:widowControl/>
        <w:spacing w:after="200" w:line="276" w:lineRule="auto"/>
        <w:jc w:val="center"/>
        <w:rPr>
          <w:rStyle w:val="207"/>
          <w:rFonts w:ascii="宋体" w:cs="Times New Roman"/>
          <w:b/>
          <w:bCs/>
          <w:color w:val="auto"/>
          <w:kern w:val="2"/>
          <w:sz w:val="28"/>
          <w:szCs w:val="28"/>
          <w:highlight w:val="none"/>
        </w:rPr>
      </w:pPr>
    </w:p>
    <w:p w14:paraId="213C3236">
      <w:pPr>
        <w:pStyle w:val="677"/>
        <w:widowControl/>
        <w:spacing w:after="200" w:line="276" w:lineRule="auto"/>
        <w:jc w:val="center"/>
        <w:rPr>
          <w:rStyle w:val="207"/>
          <w:rFonts w:ascii="宋体" w:cs="Times New Roman"/>
          <w:b/>
          <w:bCs/>
          <w:color w:val="auto"/>
          <w:kern w:val="2"/>
          <w:sz w:val="28"/>
          <w:szCs w:val="28"/>
          <w:highlight w:val="none"/>
        </w:rPr>
      </w:pPr>
    </w:p>
    <w:p w14:paraId="2032FF39">
      <w:pPr>
        <w:pStyle w:val="677"/>
        <w:widowControl/>
        <w:spacing w:after="200" w:line="276" w:lineRule="auto"/>
        <w:jc w:val="center"/>
        <w:rPr>
          <w:rStyle w:val="207"/>
          <w:rFonts w:cs="Times New Roman"/>
          <w:b/>
          <w:bCs/>
          <w:color w:val="auto"/>
          <w:kern w:val="2"/>
          <w:sz w:val="28"/>
          <w:szCs w:val="28"/>
          <w:highlight w:val="none"/>
        </w:rPr>
      </w:pPr>
      <w:r>
        <w:rPr>
          <w:rStyle w:val="207"/>
          <w:rFonts w:ascii="宋体" w:hAnsi="宋体" w:cs="宋体"/>
          <w:b/>
          <w:bCs/>
          <w:color w:val="auto"/>
          <w:kern w:val="2"/>
          <w:sz w:val="28"/>
          <w:szCs w:val="28"/>
          <w:highlight w:val="none"/>
        </w:rPr>
        <w:t>4.</w:t>
      </w:r>
      <w:r>
        <w:rPr>
          <w:rStyle w:val="207"/>
          <w:rFonts w:hint="eastAsia" w:ascii="宋体" w:hAnsi="宋体" w:cs="宋体"/>
          <w:b/>
          <w:bCs/>
          <w:color w:val="auto"/>
          <w:kern w:val="2"/>
          <w:sz w:val="28"/>
          <w:szCs w:val="28"/>
          <w:highlight w:val="none"/>
          <w:lang w:val="en-US" w:eastAsia="zh-CN"/>
        </w:rPr>
        <w:t>5</w:t>
      </w:r>
      <w:r>
        <w:rPr>
          <w:rStyle w:val="207"/>
          <w:rFonts w:hint="eastAsia" w:ascii="宋体" w:hAnsi="宋体" w:cs="宋体"/>
          <w:b/>
          <w:bCs/>
          <w:color w:val="auto"/>
          <w:kern w:val="2"/>
          <w:sz w:val="28"/>
          <w:szCs w:val="28"/>
          <w:highlight w:val="none"/>
        </w:rPr>
        <w:t>按时支付农名工工资承诺书</w:t>
      </w:r>
    </w:p>
    <w:p w14:paraId="3D9B3B43">
      <w:pPr>
        <w:pStyle w:val="536"/>
        <w:adjustRightInd w:val="0"/>
        <w:snapToGrid w:val="0"/>
        <w:spacing w:after="200" w:line="360" w:lineRule="auto"/>
        <w:rPr>
          <w:rStyle w:val="207"/>
          <w:rFonts w:ascii="宋体" w:cs="Times New Roman"/>
          <w:color w:val="auto"/>
          <w:kern w:val="2"/>
          <w:sz w:val="21"/>
          <w:szCs w:val="21"/>
          <w:highlight w:val="none"/>
        </w:rPr>
      </w:pPr>
      <w:r>
        <w:rPr>
          <w:rStyle w:val="207"/>
          <w:rFonts w:ascii="宋体" w:hAnsi="宋体" w:cs="宋体"/>
          <w:color w:val="auto"/>
          <w:kern w:val="2"/>
          <w:sz w:val="28"/>
          <w:szCs w:val="28"/>
          <w:highlight w:val="none"/>
        </w:rPr>
        <w:t xml:space="preserve"> </w:t>
      </w:r>
      <w:r>
        <w:rPr>
          <w:rStyle w:val="207"/>
          <w:rFonts w:hint="eastAsia" w:ascii="宋体" w:hAnsi="宋体" w:cs="宋体"/>
          <w:color w:val="auto"/>
          <w:kern w:val="2"/>
          <w:sz w:val="21"/>
          <w:szCs w:val="21"/>
          <w:highlight w:val="none"/>
          <w:u w:val="single"/>
        </w:rPr>
        <w:t>（招标人名称）</w:t>
      </w:r>
      <w:r>
        <w:rPr>
          <w:rStyle w:val="207"/>
          <w:rFonts w:hint="eastAsia" w:ascii="宋体" w:hAnsi="宋体" w:cs="宋体"/>
          <w:color w:val="auto"/>
          <w:kern w:val="2"/>
          <w:sz w:val="21"/>
          <w:szCs w:val="21"/>
          <w:highlight w:val="none"/>
        </w:rPr>
        <w:t>：</w:t>
      </w:r>
    </w:p>
    <w:p w14:paraId="15243BC0">
      <w:pPr>
        <w:pStyle w:val="677"/>
        <w:widowControl/>
        <w:snapToGrid w:val="0"/>
        <w:spacing w:after="200" w:line="360" w:lineRule="auto"/>
        <w:ind w:firstLine="424" w:firstLineChars="202"/>
        <w:rPr>
          <w:rStyle w:val="207"/>
          <w:rFonts w:ascii="宋体" w:cs="Times New Roman"/>
          <w:color w:val="auto"/>
          <w:sz w:val="21"/>
          <w:szCs w:val="21"/>
          <w:highlight w:val="none"/>
        </w:rPr>
      </w:pPr>
      <w:r>
        <w:rPr>
          <w:rStyle w:val="207"/>
          <w:rFonts w:hint="eastAsia" w:ascii="宋体" w:hAnsi="宋体" w:cs="宋体"/>
          <w:color w:val="auto"/>
          <w:kern w:val="2"/>
          <w:sz w:val="21"/>
          <w:szCs w:val="21"/>
          <w:highlight w:val="none"/>
        </w:rPr>
        <w:t>我方参加贵方组织的</w:t>
      </w:r>
      <w:r>
        <w:rPr>
          <w:rStyle w:val="207"/>
          <w:rFonts w:hint="eastAsia" w:ascii="宋体" w:hAnsi="宋体" w:cs="宋体"/>
          <w:color w:val="auto"/>
          <w:kern w:val="2"/>
          <w:sz w:val="21"/>
          <w:szCs w:val="21"/>
          <w:highlight w:val="none"/>
          <w:u w:val="single"/>
        </w:rPr>
        <w:t>（项目名称）</w:t>
      </w:r>
      <w:r>
        <w:rPr>
          <w:rStyle w:val="207"/>
          <w:rFonts w:ascii="宋体" w:hAnsi="宋体" w:cs="宋体"/>
          <w:color w:val="auto"/>
          <w:kern w:val="2"/>
          <w:sz w:val="21"/>
          <w:szCs w:val="21"/>
          <w:highlight w:val="none"/>
          <w:u w:val="single"/>
        </w:rPr>
        <w:t xml:space="preserve">  </w:t>
      </w:r>
      <w:r>
        <w:rPr>
          <w:rStyle w:val="207"/>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207"/>
          <w:rFonts w:hint="eastAsia" w:ascii="宋体" w:hAnsi="宋体" w:cs="宋体"/>
          <w:color w:val="auto"/>
          <w:kern w:val="2"/>
          <w:sz w:val="21"/>
          <w:szCs w:val="21"/>
          <w:highlight w:val="none"/>
        </w:rPr>
        <w:t>，若我方有幸中标，我方将严格</w:t>
      </w:r>
      <w:r>
        <w:rPr>
          <w:rStyle w:val="207"/>
          <w:rFonts w:hint="eastAsia" w:ascii="宋体" w:hAnsi="宋体" w:cs="宋体"/>
          <w:color w:val="auto"/>
          <w:sz w:val="21"/>
          <w:szCs w:val="21"/>
          <w:highlight w:val="none"/>
        </w:rPr>
        <w:t>执行</w:t>
      </w:r>
      <w:r>
        <w:rPr>
          <w:rFonts w:hint="eastAsia" w:ascii="宋体" w:hAnsi="宋体" w:eastAsia="宋体" w:cs="宋体"/>
          <w:color w:val="auto"/>
          <w:kern w:val="2"/>
          <w:sz w:val="21"/>
          <w:szCs w:val="21"/>
          <w:highlight w:val="none"/>
          <w:lang w:val="zh-CN" w:eastAsia="zh-CN"/>
        </w:rPr>
        <w:t>中华人民共和国国务院令第724号《保障农民工工资支付条例》要求，针对农民工工资支付事项，</w:t>
      </w:r>
      <w:r>
        <w:rPr>
          <w:rFonts w:hint="eastAsia" w:ascii="宋体" w:hAnsi="宋体" w:cs="宋体"/>
          <w:color w:val="auto"/>
          <w:kern w:val="2"/>
          <w:sz w:val="21"/>
          <w:szCs w:val="21"/>
          <w:highlight w:val="none"/>
          <w:lang w:val="zh-CN" w:eastAsia="zh-CN"/>
        </w:rPr>
        <w:t>我方将</w:t>
      </w:r>
      <w:r>
        <w:rPr>
          <w:rFonts w:hint="eastAsia" w:ascii="宋体" w:hAnsi="宋体" w:eastAsia="宋体" w:cs="宋体"/>
          <w:color w:val="auto"/>
          <w:kern w:val="2"/>
          <w:sz w:val="21"/>
          <w:szCs w:val="21"/>
          <w:highlight w:val="none"/>
          <w:lang w:val="zh-CN" w:eastAsia="zh-CN"/>
        </w:rPr>
        <w:t>在工程项目所在地人社部门足额缴纳农民工工资保证金，并严格按人社部门的相关要求支付农民工工资</w:t>
      </w:r>
      <w:r>
        <w:rPr>
          <w:rStyle w:val="207"/>
          <w:rFonts w:hint="eastAsia" w:ascii="宋体" w:hAnsi="宋体" w:cs="宋体"/>
          <w:color w:val="auto"/>
          <w:sz w:val="21"/>
          <w:szCs w:val="21"/>
          <w:highlight w:val="none"/>
        </w:rPr>
        <w:t>，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0FE312FB">
      <w:pPr>
        <w:pStyle w:val="677"/>
        <w:widowControl/>
        <w:snapToGrid w:val="0"/>
        <w:spacing w:after="200" w:line="360" w:lineRule="auto"/>
        <w:ind w:firstLine="424" w:firstLineChars="202"/>
        <w:rPr>
          <w:rStyle w:val="207"/>
          <w:rFonts w:ascii="宋体" w:cs="Times New Roman"/>
          <w:color w:val="auto"/>
          <w:sz w:val="21"/>
          <w:szCs w:val="21"/>
          <w:highlight w:val="none"/>
        </w:rPr>
      </w:pPr>
      <w:r>
        <w:rPr>
          <w:rStyle w:val="207"/>
          <w:rFonts w:ascii="宋体" w:hAnsi="宋体" w:cs="宋体"/>
          <w:color w:val="auto"/>
          <w:sz w:val="21"/>
          <w:szCs w:val="21"/>
          <w:highlight w:val="none"/>
        </w:rPr>
        <w:t xml:space="preserve"> </w:t>
      </w:r>
    </w:p>
    <w:p w14:paraId="1629CCBC">
      <w:pPr>
        <w:pStyle w:val="701"/>
        <w:adjustRightInd w:val="0"/>
        <w:snapToGrid w:val="0"/>
        <w:spacing w:after="200" w:line="360" w:lineRule="auto"/>
        <w:ind w:firstLine="420" w:firstLineChars="200"/>
        <w:rPr>
          <w:rStyle w:val="207"/>
          <w:rFonts w:ascii="宋体" w:hAnsi="Times New Roman" w:cs="Times New Roman"/>
          <w:color w:val="auto"/>
          <w:sz w:val="21"/>
          <w:szCs w:val="21"/>
          <w:highlight w:val="none"/>
        </w:rPr>
      </w:pPr>
      <w:r>
        <w:rPr>
          <w:rStyle w:val="207"/>
          <w:rFonts w:hint="eastAsia" w:ascii="宋体" w:hAnsi="宋体" w:cs="宋体"/>
          <w:color w:val="auto"/>
          <w:sz w:val="21"/>
          <w:szCs w:val="21"/>
          <w:highlight w:val="none"/>
        </w:rPr>
        <w:t>特此承诺</w:t>
      </w:r>
      <w:r>
        <w:rPr>
          <w:rStyle w:val="207"/>
          <w:rFonts w:ascii="宋体" w:hAnsi="Times New Roman" w:cs="Times New Roman"/>
          <w:color w:val="auto"/>
          <w:sz w:val="21"/>
          <w:szCs w:val="21"/>
          <w:highlight w:val="none"/>
        </w:rPr>
        <w:tab/>
      </w:r>
    </w:p>
    <w:p w14:paraId="0EEF9D31">
      <w:pPr>
        <w:pStyle w:val="701"/>
        <w:adjustRightInd w:val="0"/>
        <w:snapToGrid w:val="0"/>
        <w:spacing w:after="200" w:line="360" w:lineRule="auto"/>
        <w:ind w:firstLine="3150" w:firstLineChars="1500"/>
        <w:rPr>
          <w:rStyle w:val="207"/>
          <w:rFonts w:ascii="宋体" w:hAnsi="宋体" w:cs="宋体"/>
          <w:color w:val="auto"/>
          <w:sz w:val="21"/>
          <w:szCs w:val="21"/>
          <w:highlight w:val="none"/>
        </w:rPr>
      </w:pPr>
    </w:p>
    <w:p w14:paraId="68057C00">
      <w:pPr>
        <w:pStyle w:val="701"/>
        <w:adjustRightInd w:val="0"/>
        <w:snapToGrid w:val="0"/>
        <w:spacing w:after="200" w:line="360" w:lineRule="auto"/>
        <w:ind w:firstLine="3150" w:firstLineChars="1500"/>
        <w:rPr>
          <w:rStyle w:val="207"/>
          <w:rFonts w:ascii="宋体" w:hAnsi="宋体" w:cs="宋体"/>
          <w:color w:val="auto"/>
          <w:sz w:val="21"/>
          <w:szCs w:val="21"/>
          <w:highlight w:val="none"/>
        </w:rPr>
      </w:pPr>
    </w:p>
    <w:p w14:paraId="6723F591">
      <w:pPr>
        <w:pStyle w:val="701"/>
        <w:adjustRightInd w:val="0"/>
        <w:snapToGrid w:val="0"/>
        <w:spacing w:after="200" w:line="360" w:lineRule="auto"/>
        <w:ind w:firstLine="3150" w:firstLineChars="1500"/>
        <w:rPr>
          <w:rStyle w:val="207"/>
          <w:rFonts w:ascii="宋体" w:hAnsi="Times New Roman" w:cs="Times New Roman"/>
          <w:color w:val="auto"/>
          <w:sz w:val="21"/>
          <w:szCs w:val="21"/>
          <w:highlight w:val="none"/>
        </w:rPr>
      </w:pPr>
      <w:r>
        <w:rPr>
          <w:rStyle w:val="207"/>
          <w:rFonts w:ascii="宋体" w:hAnsi="宋体" w:cs="宋体"/>
          <w:color w:val="auto"/>
          <w:sz w:val="21"/>
          <w:szCs w:val="21"/>
          <w:highlight w:val="none"/>
        </w:rPr>
        <w:t xml:space="preserve"> </w:t>
      </w:r>
    </w:p>
    <w:p w14:paraId="1868D1BC">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hAnsi="宋体" w:eastAsia="宋体" w:cs="宋体"/>
          <w:color w:val="auto"/>
          <w:highlight w:val="none"/>
        </w:rPr>
        <w:t>投标单位（牵头人单位）：___________________（电子签章）</w:t>
      </w:r>
    </w:p>
    <w:p w14:paraId="5ACE6956">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p>
    <w:p w14:paraId="2041CA12">
      <w:pPr>
        <w:pStyle w:val="677"/>
        <w:spacing w:after="200" w:line="276" w:lineRule="auto"/>
        <w:ind w:firstLine="2310" w:firstLineChars="1100"/>
        <w:rPr>
          <w:rStyle w:val="207"/>
          <w:rFonts w:hint="eastAsia" w:ascii="宋体" w:hAnsi="宋体" w:cs="宋体"/>
          <w:color w:val="auto"/>
          <w:sz w:val="21"/>
          <w:szCs w:val="21"/>
          <w:highlight w:val="none"/>
        </w:rPr>
      </w:pPr>
      <w:r>
        <w:rPr>
          <w:rFonts w:hint="eastAsia" w:ascii="宋体" w:hAnsi="宋体" w:eastAsia="宋体" w:cs="宋体"/>
          <w:color w:val="auto"/>
          <w:sz w:val="21"/>
          <w:szCs w:val="21"/>
          <w:highlight w:val="none"/>
        </w:rPr>
        <w:t>年   月   日</w:t>
      </w:r>
    </w:p>
    <w:p w14:paraId="56C7D938">
      <w:pPr>
        <w:pStyle w:val="677"/>
        <w:spacing w:after="200" w:line="276" w:lineRule="auto"/>
        <w:ind w:firstLine="3614" w:firstLineChars="1721"/>
        <w:rPr>
          <w:rStyle w:val="207"/>
          <w:rFonts w:hint="eastAsia" w:ascii="宋体" w:hAnsi="宋体" w:cs="宋体"/>
          <w:color w:val="auto"/>
          <w:sz w:val="21"/>
          <w:szCs w:val="21"/>
          <w:highlight w:val="none"/>
        </w:rPr>
      </w:pPr>
    </w:p>
    <w:p w14:paraId="0AF63406">
      <w:pPr>
        <w:pStyle w:val="677"/>
        <w:spacing w:after="200" w:line="276" w:lineRule="auto"/>
        <w:ind w:firstLine="3614" w:firstLineChars="1721"/>
        <w:rPr>
          <w:rStyle w:val="207"/>
          <w:rFonts w:hint="eastAsia" w:ascii="宋体" w:hAnsi="宋体" w:cs="宋体"/>
          <w:color w:val="auto"/>
          <w:sz w:val="21"/>
          <w:szCs w:val="21"/>
          <w:highlight w:val="none"/>
        </w:rPr>
      </w:pPr>
    </w:p>
    <w:p w14:paraId="6CED5C3D">
      <w:pPr>
        <w:pStyle w:val="677"/>
        <w:spacing w:after="200" w:line="276" w:lineRule="auto"/>
        <w:ind w:firstLine="3614" w:firstLineChars="1721"/>
        <w:rPr>
          <w:rStyle w:val="207"/>
          <w:rFonts w:hint="eastAsia" w:ascii="宋体" w:hAnsi="宋体" w:cs="宋体"/>
          <w:color w:val="auto"/>
          <w:sz w:val="21"/>
          <w:szCs w:val="21"/>
          <w:highlight w:val="none"/>
        </w:rPr>
      </w:pPr>
    </w:p>
    <w:p w14:paraId="4CC251C5">
      <w:pPr>
        <w:pStyle w:val="677"/>
        <w:spacing w:after="200" w:line="276" w:lineRule="auto"/>
        <w:ind w:firstLine="3614" w:firstLineChars="1721"/>
        <w:rPr>
          <w:rStyle w:val="207"/>
          <w:rFonts w:hint="eastAsia" w:ascii="宋体" w:hAnsi="宋体" w:cs="宋体"/>
          <w:color w:val="auto"/>
          <w:sz w:val="21"/>
          <w:szCs w:val="21"/>
          <w:highlight w:val="none"/>
        </w:rPr>
      </w:pPr>
    </w:p>
    <w:p w14:paraId="5AB87980">
      <w:pPr>
        <w:pStyle w:val="677"/>
        <w:spacing w:after="200" w:line="276" w:lineRule="auto"/>
        <w:ind w:firstLine="3614" w:firstLineChars="1721"/>
        <w:rPr>
          <w:rStyle w:val="207"/>
          <w:rFonts w:hint="eastAsia" w:ascii="宋体" w:hAnsi="宋体" w:cs="宋体"/>
          <w:color w:val="auto"/>
          <w:sz w:val="21"/>
          <w:szCs w:val="21"/>
          <w:highlight w:val="none"/>
        </w:rPr>
      </w:pPr>
    </w:p>
    <w:p w14:paraId="77000AE5">
      <w:pPr>
        <w:pStyle w:val="677"/>
        <w:spacing w:after="200" w:line="276" w:lineRule="auto"/>
        <w:ind w:firstLine="3614" w:firstLineChars="1721"/>
        <w:rPr>
          <w:rStyle w:val="207"/>
          <w:rFonts w:hint="eastAsia" w:ascii="宋体" w:hAnsi="宋体" w:cs="宋体"/>
          <w:color w:val="auto"/>
          <w:sz w:val="21"/>
          <w:szCs w:val="21"/>
          <w:highlight w:val="none"/>
        </w:rPr>
      </w:pPr>
    </w:p>
    <w:p w14:paraId="520FA664">
      <w:pPr>
        <w:pStyle w:val="677"/>
        <w:spacing w:after="200" w:line="276" w:lineRule="auto"/>
        <w:ind w:firstLine="3614" w:firstLineChars="1721"/>
        <w:rPr>
          <w:rStyle w:val="207"/>
          <w:rFonts w:hint="eastAsia" w:ascii="宋体" w:hAnsi="宋体" w:cs="宋体"/>
          <w:color w:val="auto"/>
          <w:sz w:val="21"/>
          <w:szCs w:val="21"/>
          <w:highlight w:val="none"/>
        </w:rPr>
      </w:pPr>
    </w:p>
    <w:p w14:paraId="77C410F1">
      <w:pPr>
        <w:pStyle w:val="677"/>
        <w:spacing w:after="200" w:line="276" w:lineRule="auto"/>
        <w:ind w:firstLine="3614" w:firstLineChars="1721"/>
        <w:rPr>
          <w:rStyle w:val="207"/>
          <w:rFonts w:hint="eastAsia" w:ascii="宋体" w:hAnsi="宋体" w:cs="宋体"/>
          <w:color w:val="auto"/>
          <w:sz w:val="21"/>
          <w:szCs w:val="21"/>
          <w:highlight w:val="none"/>
        </w:rPr>
      </w:pPr>
    </w:p>
    <w:p w14:paraId="6DB746E3">
      <w:pPr>
        <w:pStyle w:val="677"/>
        <w:spacing w:after="200" w:line="276" w:lineRule="auto"/>
        <w:ind w:firstLine="3614" w:firstLineChars="1721"/>
        <w:rPr>
          <w:rStyle w:val="207"/>
          <w:rFonts w:hint="eastAsia" w:ascii="宋体" w:hAnsi="宋体" w:cs="宋体"/>
          <w:color w:val="auto"/>
          <w:sz w:val="21"/>
          <w:szCs w:val="21"/>
          <w:highlight w:val="none"/>
        </w:rPr>
      </w:pPr>
    </w:p>
    <w:p w14:paraId="7C84E4A0">
      <w:pPr>
        <w:pStyle w:val="827"/>
        <w:widowControl/>
        <w:spacing w:after="200" w:line="276" w:lineRule="auto"/>
        <w:ind w:firstLine="2233" w:firstLineChars="695"/>
        <w:jc w:val="both"/>
        <w:rPr>
          <w:rStyle w:val="207"/>
          <w:b/>
          <w:bCs/>
          <w:color w:val="auto"/>
          <w:kern w:val="2"/>
          <w:sz w:val="28"/>
          <w:szCs w:val="28"/>
          <w:highlight w:val="none"/>
        </w:rPr>
      </w:pPr>
      <w:r>
        <w:rPr>
          <w:rFonts w:hint="eastAsia" w:cs="Times New Roman"/>
          <w:b/>
          <w:bCs/>
          <w:color w:val="auto"/>
          <w:kern w:val="2"/>
          <w:sz w:val="32"/>
          <w:szCs w:val="32"/>
          <w:highlight w:val="none"/>
          <w:lang w:val="en-US" w:eastAsia="zh-CN"/>
        </w:rPr>
        <w:t xml:space="preserve">     </w:t>
      </w:r>
      <w:r>
        <w:rPr>
          <w:rStyle w:val="207"/>
          <w:rFonts w:ascii="宋体" w:hAnsi="宋体" w:cs="宋体"/>
          <w:b/>
          <w:bCs/>
          <w:color w:val="auto"/>
          <w:kern w:val="2"/>
          <w:sz w:val="28"/>
          <w:szCs w:val="28"/>
          <w:highlight w:val="none"/>
        </w:rPr>
        <w:t>4.</w:t>
      </w:r>
      <w:r>
        <w:rPr>
          <w:rStyle w:val="207"/>
          <w:rFonts w:hint="eastAsia" w:ascii="宋体" w:hAnsi="宋体" w:cs="宋体"/>
          <w:b/>
          <w:bCs/>
          <w:color w:val="auto"/>
          <w:kern w:val="2"/>
          <w:sz w:val="28"/>
          <w:szCs w:val="28"/>
          <w:highlight w:val="none"/>
          <w:lang w:val="en-US" w:eastAsia="zh-CN"/>
        </w:rPr>
        <w:t>6</w:t>
      </w:r>
      <w:r>
        <w:rPr>
          <w:rStyle w:val="207"/>
          <w:rFonts w:hint="eastAsia" w:ascii="宋体" w:hAnsi="宋体" w:cs="宋体"/>
          <w:b/>
          <w:bCs/>
          <w:color w:val="auto"/>
          <w:kern w:val="2"/>
          <w:sz w:val="28"/>
          <w:szCs w:val="28"/>
          <w:highlight w:val="none"/>
        </w:rPr>
        <w:t>不拖延工期承诺书</w:t>
      </w:r>
      <w:r>
        <w:rPr>
          <w:rStyle w:val="207"/>
          <w:b/>
          <w:bCs/>
          <w:color w:val="auto"/>
          <w:kern w:val="2"/>
          <w:sz w:val="28"/>
          <w:szCs w:val="28"/>
          <w:highlight w:val="none"/>
        </w:rPr>
        <w:t xml:space="preserve"> </w:t>
      </w:r>
    </w:p>
    <w:p w14:paraId="004DD86F">
      <w:pPr>
        <w:pStyle w:val="536"/>
        <w:adjustRightInd w:val="0"/>
        <w:snapToGrid w:val="0"/>
        <w:spacing w:after="200" w:line="360" w:lineRule="auto"/>
        <w:jc w:val="both"/>
        <w:rPr>
          <w:rStyle w:val="207"/>
          <w:rFonts w:ascii="宋体" w:cs="Times New Roman"/>
          <w:color w:val="auto"/>
          <w:kern w:val="2"/>
          <w:sz w:val="21"/>
          <w:szCs w:val="21"/>
          <w:highlight w:val="none"/>
        </w:rPr>
      </w:pPr>
      <w:r>
        <w:rPr>
          <w:rStyle w:val="207"/>
          <w:rFonts w:ascii="宋体" w:hAnsi="宋体" w:cs="宋体"/>
          <w:color w:val="auto"/>
          <w:kern w:val="2"/>
          <w:sz w:val="28"/>
          <w:szCs w:val="28"/>
          <w:highlight w:val="none"/>
        </w:rPr>
        <w:t xml:space="preserve"> </w:t>
      </w:r>
      <w:r>
        <w:rPr>
          <w:rStyle w:val="207"/>
          <w:rFonts w:hint="eastAsia" w:ascii="宋体" w:hAnsi="宋体" w:cs="宋体"/>
          <w:color w:val="auto"/>
          <w:kern w:val="2"/>
          <w:sz w:val="21"/>
          <w:szCs w:val="21"/>
          <w:highlight w:val="none"/>
          <w:u w:val="single"/>
        </w:rPr>
        <w:t>（招标人名称）</w:t>
      </w:r>
      <w:r>
        <w:rPr>
          <w:rStyle w:val="207"/>
          <w:rFonts w:hint="eastAsia" w:ascii="宋体" w:hAnsi="宋体" w:cs="宋体"/>
          <w:color w:val="auto"/>
          <w:kern w:val="2"/>
          <w:sz w:val="21"/>
          <w:szCs w:val="21"/>
          <w:highlight w:val="none"/>
        </w:rPr>
        <w:t>：</w:t>
      </w:r>
    </w:p>
    <w:p w14:paraId="2C8037C8">
      <w:pPr>
        <w:pStyle w:val="827"/>
        <w:widowControl/>
        <w:adjustRightInd w:val="0"/>
        <w:snapToGrid w:val="0"/>
        <w:spacing w:after="200" w:line="360" w:lineRule="auto"/>
        <w:ind w:firstLine="420" w:firstLineChars="200"/>
        <w:jc w:val="both"/>
        <w:rPr>
          <w:rStyle w:val="207"/>
          <w:rFonts w:cs="Times New Roman"/>
          <w:color w:val="auto"/>
          <w:kern w:val="2"/>
          <w:sz w:val="21"/>
          <w:szCs w:val="21"/>
          <w:highlight w:val="none"/>
        </w:rPr>
      </w:pPr>
      <w:r>
        <w:rPr>
          <w:rStyle w:val="207"/>
          <w:rFonts w:hint="eastAsia" w:ascii="宋体" w:hAnsi="宋体" w:cs="宋体"/>
          <w:color w:val="auto"/>
          <w:kern w:val="2"/>
          <w:sz w:val="21"/>
          <w:szCs w:val="21"/>
          <w:highlight w:val="none"/>
        </w:rPr>
        <w:t>我方参加贵方组织的</w:t>
      </w:r>
      <w:r>
        <w:rPr>
          <w:rStyle w:val="207"/>
          <w:color w:val="auto"/>
          <w:kern w:val="2"/>
          <w:sz w:val="21"/>
          <w:szCs w:val="21"/>
          <w:highlight w:val="none"/>
        </w:rPr>
        <w:t xml:space="preserve"> </w:t>
      </w:r>
      <w:r>
        <w:rPr>
          <w:rStyle w:val="207"/>
          <w:rFonts w:hint="eastAsia" w:ascii="宋体" w:hAnsi="宋体" w:cs="宋体"/>
          <w:color w:val="auto"/>
          <w:kern w:val="2"/>
          <w:sz w:val="21"/>
          <w:szCs w:val="21"/>
          <w:highlight w:val="none"/>
          <w:u w:val="single"/>
        </w:rPr>
        <w:t>（项目名称）</w:t>
      </w:r>
      <w:r>
        <w:rPr>
          <w:rStyle w:val="207"/>
          <w:rFonts w:ascii="宋体" w:hAnsi="宋体" w:cs="宋体"/>
          <w:color w:val="auto"/>
          <w:kern w:val="2"/>
          <w:sz w:val="21"/>
          <w:szCs w:val="21"/>
          <w:highlight w:val="none"/>
          <w:u w:val="single"/>
        </w:rPr>
        <w:t xml:space="preserve">  </w:t>
      </w:r>
      <w:r>
        <w:rPr>
          <w:rStyle w:val="207"/>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207"/>
          <w:rFonts w:hint="eastAsia" w:ascii="宋体" w:hAnsi="宋体" w:cs="宋体"/>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579AD2EF">
      <w:pPr>
        <w:pStyle w:val="827"/>
        <w:widowControl/>
        <w:spacing w:after="200" w:line="276" w:lineRule="auto"/>
        <w:jc w:val="both"/>
        <w:rPr>
          <w:rStyle w:val="207"/>
          <w:b/>
          <w:bCs/>
          <w:color w:val="auto"/>
          <w:kern w:val="2"/>
          <w:sz w:val="21"/>
          <w:szCs w:val="21"/>
          <w:highlight w:val="none"/>
        </w:rPr>
      </w:pPr>
      <w:r>
        <w:rPr>
          <w:rStyle w:val="207"/>
          <w:b/>
          <w:bCs/>
          <w:color w:val="auto"/>
          <w:kern w:val="2"/>
          <w:sz w:val="21"/>
          <w:szCs w:val="21"/>
          <w:highlight w:val="none"/>
        </w:rPr>
        <w:t xml:space="preserve">  </w:t>
      </w:r>
    </w:p>
    <w:p w14:paraId="03E2B130">
      <w:pPr>
        <w:pStyle w:val="701"/>
        <w:adjustRightInd w:val="0"/>
        <w:snapToGrid w:val="0"/>
        <w:spacing w:after="200" w:line="360" w:lineRule="auto"/>
        <w:ind w:firstLine="420" w:firstLineChars="200"/>
        <w:rPr>
          <w:rStyle w:val="207"/>
          <w:rFonts w:ascii="宋体" w:hAnsi="Times New Roman" w:cs="Times New Roman"/>
          <w:color w:val="auto"/>
          <w:sz w:val="21"/>
          <w:szCs w:val="21"/>
          <w:highlight w:val="none"/>
        </w:rPr>
      </w:pPr>
      <w:r>
        <w:rPr>
          <w:rStyle w:val="207"/>
          <w:rFonts w:hint="eastAsia" w:ascii="宋体" w:hAnsi="宋体" w:cs="宋体"/>
          <w:color w:val="auto"/>
          <w:sz w:val="21"/>
          <w:szCs w:val="21"/>
          <w:highlight w:val="none"/>
        </w:rPr>
        <w:t>特此承诺</w:t>
      </w:r>
    </w:p>
    <w:p w14:paraId="54A01865">
      <w:pPr>
        <w:pStyle w:val="701"/>
        <w:adjustRightInd w:val="0"/>
        <w:snapToGrid w:val="0"/>
        <w:spacing w:after="200" w:line="360" w:lineRule="auto"/>
        <w:ind w:firstLine="3150" w:firstLineChars="1500"/>
        <w:rPr>
          <w:rStyle w:val="207"/>
          <w:rFonts w:ascii="宋体" w:hAnsi="Times New Roman" w:cs="Times New Roman"/>
          <w:color w:val="auto"/>
          <w:sz w:val="21"/>
          <w:szCs w:val="21"/>
          <w:highlight w:val="none"/>
        </w:rPr>
      </w:pPr>
      <w:r>
        <w:rPr>
          <w:rStyle w:val="207"/>
          <w:rFonts w:ascii="宋体" w:hAnsi="宋体" w:cs="宋体"/>
          <w:color w:val="auto"/>
          <w:sz w:val="21"/>
          <w:szCs w:val="21"/>
          <w:highlight w:val="none"/>
        </w:rPr>
        <w:t xml:space="preserve"> </w:t>
      </w:r>
    </w:p>
    <w:p w14:paraId="12677EBA">
      <w:pPr>
        <w:snapToGrid w:val="0"/>
        <w:spacing w:line="480" w:lineRule="auto"/>
        <w:ind w:right="840" w:firstLine="420" w:firstLineChars="200"/>
        <w:outlineLvl w:val="4"/>
        <w:rPr>
          <w:rFonts w:hint="eastAsia" w:ascii="宋体" w:hAnsi="宋体" w:eastAsia="宋体" w:cs="宋体"/>
          <w:color w:val="auto"/>
          <w:highlight w:val="none"/>
        </w:rPr>
      </w:pPr>
      <w:r>
        <w:rPr>
          <w:rFonts w:hint="eastAsia" w:ascii="宋体" w:hAnsi="宋体" w:eastAsia="宋体" w:cs="宋体"/>
          <w:color w:val="auto"/>
          <w:highlight w:val="none"/>
        </w:rPr>
        <w:t>投标单位（牵头人单位）：___________________（电子签章）</w:t>
      </w:r>
    </w:p>
    <w:p w14:paraId="032FDFB0">
      <w:pPr>
        <w:snapToGri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法定代表人或其委托代理人：___________________（电子签章）</w:t>
      </w:r>
    </w:p>
    <w:p w14:paraId="7145141E">
      <w:pPr>
        <w:pStyle w:val="677"/>
        <w:spacing w:after="200" w:line="276" w:lineRule="auto"/>
        <w:ind w:firstLine="2310" w:firstLineChars="1100"/>
        <w:rPr>
          <w:rStyle w:val="207"/>
          <w:rFonts w:hint="eastAsia" w:ascii="宋体" w:hAnsi="宋体" w:cs="宋体"/>
          <w:color w:val="auto"/>
          <w:sz w:val="21"/>
          <w:szCs w:val="21"/>
          <w:highlight w:val="none"/>
        </w:rPr>
      </w:pPr>
      <w:r>
        <w:rPr>
          <w:rFonts w:hint="eastAsia" w:ascii="宋体" w:hAnsi="宋体" w:eastAsia="宋体" w:cs="宋体"/>
          <w:color w:val="auto"/>
          <w:sz w:val="21"/>
          <w:szCs w:val="21"/>
          <w:highlight w:val="none"/>
        </w:rPr>
        <w:t>年   月   日</w:t>
      </w:r>
    </w:p>
    <w:p w14:paraId="3D5A81F4">
      <w:pPr>
        <w:pStyle w:val="677"/>
        <w:spacing w:after="200" w:line="276" w:lineRule="auto"/>
        <w:ind w:firstLine="3614" w:firstLineChars="1721"/>
        <w:rPr>
          <w:rStyle w:val="207"/>
          <w:rFonts w:hint="eastAsia" w:ascii="宋体" w:hAnsi="宋体" w:cs="宋体"/>
          <w:color w:val="auto"/>
          <w:sz w:val="21"/>
          <w:szCs w:val="21"/>
          <w:highlight w:val="none"/>
        </w:rPr>
        <w:sectPr>
          <w:headerReference r:id="rId12" w:type="default"/>
          <w:footerReference r:id="rId13" w:type="default"/>
          <w:pgSz w:w="11906" w:h="16838"/>
          <w:pgMar w:top="1440" w:right="1440" w:bottom="1440" w:left="1440" w:header="851" w:footer="992" w:gutter="0"/>
          <w:pgNumType w:fmt="decimal"/>
          <w:cols w:space="720" w:num="1"/>
          <w:docGrid w:type="lines" w:linePitch="312" w:charSpace="0"/>
        </w:sectPr>
      </w:pPr>
    </w:p>
    <w:p w14:paraId="7A2E6743">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jc w:val="center"/>
        <w:textAlignment w:val="auto"/>
        <w:rPr>
          <w:rFonts w:hint="eastAsia" w:ascii="方正小标宋_GBK" w:hAnsi="方正小标宋_GBK" w:eastAsia="方正小标宋_GBK" w:cs="方正小标宋_GBK"/>
          <w:color w:val="auto"/>
          <w:sz w:val="28"/>
          <w:szCs w:val="28"/>
          <w:highlight w:val="none"/>
          <w:lang w:eastAsia="zh-CN"/>
        </w:rPr>
      </w:pPr>
      <w:r>
        <w:rPr>
          <w:rFonts w:hint="eastAsia" w:ascii="方正小标宋_GBK" w:hAnsi="方正小标宋_GBK" w:eastAsia="方正小标宋_GBK" w:cs="方正小标宋_GBK"/>
          <w:color w:val="auto"/>
          <w:sz w:val="28"/>
          <w:szCs w:val="28"/>
          <w:highlight w:val="none"/>
          <w:lang w:val="en-US" w:eastAsia="zh-CN"/>
        </w:rPr>
        <w:t>4.7</w:t>
      </w:r>
      <w:r>
        <w:rPr>
          <w:rFonts w:hint="eastAsia" w:ascii="方正小标宋_GBK" w:hAnsi="方正小标宋_GBK" w:eastAsia="方正小标宋_GBK" w:cs="方正小标宋_GBK"/>
          <w:color w:val="auto"/>
          <w:sz w:val="28"/>
          <w:szCs w:val="28"/>
          <w:highlight w:val="none"/>
          <w:lang w:eastAsia="zh-CN"/>
        </w:rPr>
        <w:t>保山</w:t>
      </w:r>
      <w:r>
        <w:rPr>
          <w:rFonts w:hint="eastAsia" w:ascii="方正小标宋_GBK" w:hAnsi="方正小标宋_GBK" w:eastAsia="方正小标宋_GBK" w:cs="方正小标宋_GBK"/>
          <w:color w:val="auto"/>
          <w:sz w:val="28"/>
          <w:szCs w:val="28"/>
          <w:highlight w:val="none"/>
        </w:rPr>
        <w:t>市公共资源交易信用承诺书</w:t>
      </w:r>
      <w:r>
        <w:rPr>
          <w:rFonts w:hint="eastAsia" w:ascii="方正小标宋_GBK" w:hAnsi="方正小标宋_GBK" w:eastAsia="方正小标宋_GBK" w:cs="方正小标宋_GBK"/>
          <w:color w:val="auto"/>
          <w:sz w:val="28"/>
          <w:szCs w:val="28"/>
          <w:highlight w:val="none"/>
          <w:lang w:eastAsia="zh-CN"/>
        </w:rPr>
        <w:t>（新版）</w:t>
      </w:r>
    </w:p>
    <w:p w14:paraId="06124488">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宋体" w:hAnsi="宋体" w:eastAsia="方正仿宋_GBK" w:cs="方正仿宋_GBK"/>
          <w:color w:val="auto"/>
          <w:sz w:val="32"/>
          <w:szCs w:val="32"/>
          <w:highlight w:val="none"/>
        </w:rPr>
      </w:pPr>
    </w:p>
    <w:p w14:paraId="2F1C6D6E">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lang w:eastAsia="zh-CN"/>
        </w:rPr>
        <w:t>打造守法诚信、公平竞争、阳光透明的公共资源交易市场，树立守法诚信的交易形象。谨</w:t>
      </w:r>
      <w:r>
        <w:rPr>
          <w:rFonts w:hint="eastAsia" w:ascii="宋体" w:hAnsi="宋体" w:eastAsia="宋体" w:cs="宋体"/>
          <w:color w:val="auto"/>
          <w:sz w:val="21"/>
          <w:szCs w:val="21"/>
          <w:highlight w:val="none"/>
        </w:rPr>
        <w:t>代表本单位（机构）自愿作出以下信用承诺：</w:t>
      </w:r>
    </w:p>
    <w:p w14:paraId="11D4A169">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50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一、我单位（机构）</w:t>
      </w:r>
      <w:r>
        <w:rPr>
          <w:rFonts w:hint="eastAsia" w:ascii="宋体" w:hAnsi="宋体" w:eastAsia="宋体" w:cs="宋体"/>
          <w:color w:val="auto"/>
          <w:sz w:val="21"/>
          <w:szCs w:val="21"/>
          <w:highlight w:val="none"/>
          <w:lang w:val="en-US" w:eastAsia="zh-CN"/>
        </w:rPr>
        <w:t>_______________________，统一社会信用代码或身份证号码为________________________，投标项目名称___________________________，</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保山</w:t>
      </w:r>
      <w:r>
        <w:rPr>
          <w:rFonts w:hint="eastAsia" w:ascii="宋体" w:hAnsi="宋体" w:eastAsia="宋体" w:cs="宋体"/>
          <w:color w:val="auto"/>
          <w:sz w:val="21"/>
          <w:szCs w:val="21"/>
          <w:highlight w:val="none"/>
        </w:rPr>
        <w:t>市</w:t>
      </w:r>
      <w:r>
        <w:rPr>
          <w:rFonts w:hint="eastAsia" w:ascii="宋体" w:hAnsi="宋体" w:eastAsia="宋体" w:cs="宋体"/>
          <w:color w:val="auto"/>
          <w:sz w:val="21"/>
          <w:szCs w:val="21"/>
          <w:highlight w:val="none"/>
          <w:lang w:eastAsia="zh-CN"/>
        </w:rPr>
        <w:t>各级公共资源交易中心</w:t>
      </w:r>
      <w:r>
        <w:rPr>
          <w:rFonts w:hint="eastAsia" w:ascii="宋体" w:hAnsi="宋体" w:eastAsia="宋体" w:cs="宋体"/>
          <w:color w:val="auto"/>
          <w:sz w:val="21"/>
          <w:szCs w:val="21"/>
          <w:highlight w:val="none"/>
        </w:rPr>
        <w:t>（以下简称“交易中心”）组织公共资源交易活动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以下简称“交易</w:t>
      </w:r>
      <w:r>
        <w:rPr>
          <w:rFonts w:hint="eastAsia" w:ascii="宋体" w:hAnsi="宋体" w:eastAsia="宋体" w:cs="宋体"/>
          <w:color w:val="auto"/>
          <w:sz w:val="21"/>
          <w:szCs w:val="21"/>
          <w:highlight w:val="none"/>
          <w:lang w:eastAsia="zh-CN"/>
        </w:rPr>
        <w:t>活动</w:t>
      </w:r>
      <w:r>
        <w:rPr>
          <w:rFonts w:hint="eastAsia" w:ascii="宋体" w:hAnsi="宋体" w:eastAsia="宋体" w:cs="宋体"/>
          <w:color w:val="auto"/>
          <w:sz w:val="21"/>
          <w:szCs w:val="21"/>
          <w:highlight w:val="none"/>
        </w:rPr>
        <w:t>”）时发布或提交的单位信息、资料均真实、合法、有效、准确，无任何伪造、虚假内容，我单位对信息和资料的真实性、合法性、有效性、准确性负责。如提供伪造、虚假材料，同意</w:t>
      </w:r>
      <w:r>
        <w:rPr>
          <w:rFonts w:hint="eastAsia" w:ascii="宋体" w:hAnsi="宋体" w:eastAsia="宋体" w:cs="宋体"/>
          <w:color w:val="auto"/>
          <w:sz w:val="21"/>
          <w:szCs w:val="21"/>
          <w:highlight w:val="none"/>
          <w:lang w:eastAsia="zh-CN"/>
        </w:rPr>
        <w:t>依法依规</w:t>
      </w:r>
      <w:r>
        <w:rPr>
          <w:rFonts w:hint="eastAsia" w:ascii="宋体" w:hAnsi="宋体" w:eastAsia="宋体" w:cs="宋体"/>
          <w:color w:val="auto"/>
          <w:sz w:val="21"/>
          <w:szCs w:val="21"/>
          <w:highlight w:val="none"/>
        </w:rPr>
        <w:t>没收投标保证金。</w:t>
      </w:r>
    </w:p>
    <w:p w14:paraId="47305061">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50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二、严格依照公共资源交易的</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、规章、规范性文件</w:t>
      </w:r>
      <w:r>
        <w:rPr>
          <w:rFonts w:hint="eastAsia" w:ascii="宋体" w:hAnsi="宋体" w:eastAsia="宋体" w:cs="宋体"/>
          <w:color w:val="auto"/>
          <w:sz w:val="21"/>
          <w:szCs w:val="21"/>
          <w:highlight w:val="none"/>
          <w:lang w:eastAsia="zh-CN"/>
        </w:rPr>
        <w:t>和制度性文件</w:t>
      </w:r>
      <w:r>
        <w:rPr>
          <w:rFonts w:hint="eastAsia" w:ascii="宋体" w:hAnsi="宋体" w:eastAsia="宋体" w:cs="宋体"/>
          <w:color w:val="auto"/>
          <w:sz w:val="21"/>
          <w:szCs w:val="21"/>
          <w:highlight w:val="none"/>
        </w:rPr>
        <w:t>要求参加交易活动，不隐瞒失信信息和招标文件要求提供的其他信息，在交易活动前</w:t>
      </w:r>
      <w:r>
        <w:rPr>
          <w:rFonts w:hint="eastAsia" w:ascii="宋体" w:hAnsi="宋体" w:eastAsia="宋体" w:cs="宋体"/>
          <w:color w:val="auto"/>
          <w:sz w:val="21"/>
          <w:szCs w:val="21"/>
          <w:highlight w:val="none"/>
          <w:lang w:eastAsia="zh-CN"/>
        </w:rPr>
        <w:t>不存在</w:t>
      </w:r>
      <w:r>
        <w:rPr>
          <w:rFonts w:hint="eastAsia" w:ascii="宋体" w:hAnsi="宋体" w:eastAsia="宋体" w:cs="宋体"/>
          <w:color w:val="auto"/>
          <w:sz w:val="21"/>
          <w:szCs w:val="21"/>
          <w:highlight w:val="none"/>
        </w:rPr>
        <w:t>被限制参加交易活动的失信信息。</w:t>
      </w:r>
    </w:p>
    <w:p w14:paraId="16E355FD">
      <w:pPr>
        <w:pStyle w:val="81"/>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在交易活动开展过程中，发现公共资源交易法律法规规定需回避的情形时，主动向交易活动组织者提出。</w:t>
      </w:r>
    </w:p>
    <w:p w14:paraId="5A6AF359">
      <w:pPr>
        <w:pStyle w:val="81"/>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严格遵守行政监督管理部门及交易中心的开标会场纪律等管理规定，接受行政监督管理部门监督和交易中心现场管理，不干扰</w:t>
      </w:r>
      <w:r>
        <w:rPr>
          <w:rFonts w:hint="eastAsia" w:ascii="宋体" w:hAnsi="宋体" w:eastAsia="宋体" w:cs="宋体"/>
          <w:color w:val="auto"/>
          <w:sz w:val="21"/>
          <w:szCs w:val="21"/>
          <w:highlight w:val="none"/>
          <w:lang w:eastAsia="zh-CN"/>
        </w:rPr>
        <w:t>交易</w:t>
      </w:r>
      <w:r>
        <w:rPr>
          <w:rFonts w:hint="eastAsia" w:ascii="宋体" w:hAnsi="宋体" w:eastAsia="宋体" w:cs="宋体"/>
          <w:color w:val="auto"/>
          <w:sz w:val="21"/>
          <w:szCs w:val="21"/>
          <w:highlight w:val="none"/>
        </w:rPr>
        <w:t>活动，自觉维护正常的公共资源交易秩序。</w:t>
      </w:r>
    </w:p>
    <w:p w14:paraId="0D7B11D5">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五</w:t>
      </w:r>
      <w:r>
        <w:rPr>
          <w:rFonts w:hint="eastAsia" w:ascii="宋体" w:hAnsi="宋体" w:eastAsia="宋体" w:cs="宋体"/>
          <w:color w:val="auto"/>
          <w:sz w:val="21"/>
          <w:szCs w:val="21"/>
          <w:highlight w:val="none"/>
        </w:rPr>
        <w:t>、不与</w:t>
      </w:r>
      <w:r>
        <w:rPr>
          <w:rFonts w:hint="eastAsia" w:ascii="宋体" w:hAnsi="宋体" w:eastAsia="宋体" w:cs="宋体"/>
          <w:color w:val="auto"/>
          <w:sz w:val="21"/>
          <w:szCs w:val="21"/>
          <w:highlight w:val="none"/>
          <w:lang w:eastAsia="zh-CN"/>
        </w:rPr>
        <w:t>其他公共资源交易主体恶意</w:t>
      </w:r>
      <w:r>
        <w:rPr>
          <w:rFonts w:hint="eastAsia" w:ascii="宋体" w:hAnsi="宋体" w:eastAsia="宋体" w:cs="宋体"/>
          <w:color w:val="auto"/>
          <w:sz w:val="21"/>
          <w:szCs w:val="21"/>
          <w:highlight w:val="none"/>
        </w:rPr>
        <w:t>串通，</w:t>
      </w:r>
      <w:r>
        <w:rPr>
          <w:rFonts w:hint="eastAsia" w:ascii="宋体" w:hAnsi="宋体" w:eastAsia="宋体" w:cs="宋体"/>
          <w:color w:val="auto"/>
          <w:sz w:val="21"/>
          <w:szCs w:val="21"/>
          <w:highlight w:val="none"/>
          <w:lang w:eastAsia="zh-CN"/>
        </w:rPr>
        <w:t>损害他人利益。</w:t>
      </w:r>
      <w:r>
        <w:rPr>
          <w:rFonts w:hint="eastAsia" w:ascii="宋体" w:hAnsi="宋体" w:eastAsia="宋体" w:cs="宋体"/>
          <w:color w:val="auto"/>
          <w:sz w:val="21"/>
          <w:szCs w:val="21"/>
          <w:highlight w:val="none"/>
        </w:rPr>
        <w:t>不出借资质、借用资质</w:t>
      </w:r>
      <w:r>
        <w:rPr>
          <w:rFonts w:hint="eastAsia" w:ascii="宋体" w:hAnsi="宋体" w:eastAsia="宋体" w:cs="宋体"/>
          <w:color w:val="auto"/>
          <w:sz w:val="21"/>
          <w:szCs w:val="21"/>
          <w:highlight w:val="none"/>
          <w:lang w:eastAsia="zh-CN"/>
        </w:rPr>
        <w:t>参与交易活动</w:t>
      </w:r>
      <w:r>
        <w:rPr>
          <w:rFonts w:hint="eastAsia" w:ascii="宋体" w:hAnsi="宋体" w:eastAsia="宋体" w:cs="宋体"/>
          <w:color w:val="auto"/>
          <w:sz w:val="21"/>
          <w:szCs w:val="21"/>
          <w:highlight w:val="none"/>
        </w:rPr>
        <w:t>，不弄虚作假，不</w:t>
      </w:r>
      <w:r>
        <w:rPr>
          <w:rFonts w:hint="eastAsia" w:ascii="宋体" w:hAnsi="宋体" w:eastAsia="宋体" w:cs="宋体"/>
          <w:color w:val="auto"/>
          <w:sz w:val="21"/>
          <w:szCs w:val="21"/>
          <w:highlight w:val="none"/>
          <w:lang w:eastAsia="zh-CN"/>
        </w:rPr>
        <w:t>通过非法手段</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eastAsia="zh-CN"/>
        </w:rPr>
        <w:t>公共资源交易主体</w:t>
      </w:r>
      <w:r>
        <w:rPr>
          <w:rFonts w:hint="eastAsia" w:ascii="宋体" w:hAnsi="宋体" w:eastAsia="宋体" w:cs="宋体"/>
          <w:color w:val="auto"/>
          <w:sz w:val="21"/>
          <w:szCs w:val="21"/>
          <w:highlight w:val="none"/>
        </w:rPr>
        <w:t>谋取</w:t>
      </w:r>
      <w:r>
        <w:rPr>
          <w:rFonts w:hint="eastAsia" w:ascii="宋体" w:hAnsi="宋体" w:eastAsia="宋体" w:cs="宋体"/>
          <w:color w:val="auto"/>
          <w:sz w:val="21"/>
          <w:szCs w:val="21"/>
          <w:highlight w:val="none"/>
          <w:lang w:eastAsia="zh-CN"/>
        </w:rPr>
        <w:t>利益</w:t>
      </w:r>
      <w:r>
        <w:rPr>
          <w:rFonts w:hint="eastAsia" w:ascii="宋体" w:hAnsi="宋体" w:eastAsia="宋体" w:cs="宋体"/>
          <w:color w:val="auto"/>
          <w:sz w:val="21"/>
          <w:szCs w:val="21"/>
          <w:highlight w:val="none"/>
        </w:rPr>
        <w:t>。</w:t>
      </w:r>
    </w:p>
    <w:p w14:paraId="57889E0F">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50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交易活动开始</w:t>
      </w:r>
      <w:r>
        <w:rPr>
          <w:rFonts w:hint="eastAsia" w:ascii="宋体" w:hAnsi="宋体" w:eastAsia="宋体" w:cs="宋体"/>
          <w:color w:val="auto"/>
          <w:sz w:val="21"/>
          <w:szCs w:val="21"/>
          <w:highlight w:val="none"/>
        </w:rPr>
        <w:t>前</w:t>
      </w:r>
      <w:r>
        <w:rPr>
          <w:rFonts w:hint="eastAsia" w:ascii="宋体" w:hAnsi="宋体" w:eastAsia="宋体" w:cs="宋体"/>
          <w:color w:val="auto"/>
          <w:sz w:val="21"/>
          <w:szCs w:val="21"/>
          <w:highlight w:val="none"/>
          <w:lang w:eastAsia="zh-CN"/>
        </w:rPr>
        <w:t>已</w:t>
      </w:r>
      <w:r>
        <w:rPr>
          <w:rFonts w:hint="eastAsia" w:ascii="宋体" w:hAnsi="宋体" w:eastAsia="宋体" w:cs="宋体"/>
          <w:color w:val="auto"/>
          <w:sz w:val="21"/>
          <w:szCs w:val="21"/>
          <w:highlight w:val="none"/>
        </w:rPr>
        <w:t>详细阅读</w:t>
      </w:r>
      <w:r>
        <w:rPr>
          <w:rFonts w:hint="eastAsia" w:ascii="宋体" w:hAnsi="宋体" w:eastAsia="宋体" w:cs="宋体"/>
          <w:color w:val="auto"/>
          <w:sz w:val="21"/>
          <w:szCs w:val="21"/>
          <w:highlight w:val="none"/>
          <w:lang w:eastAsia="zh-CN"/>
        </w:rPr>
        <w:t>公共资源交易有关</w:t>
      </w:r>
      <w:r>
        <w:rPr>
          <w:rFonts w:hint="eastAsia" w:ascii="宋体" w:hAnsi="宋体" w:eastAsia="宋体" w:cs="宋体"/>
          <w:color w:val="auto"/>
          <w:sz w:val="21"/>
          <w:szCs w:val="21"/>
          <w:highlight w:val="none"/>
        </w:rPr>
        <w:t>文件，认可</w:t>
      </w:r>
      <w:r>
        <w:rPr>
          <w:rFonts w:hint="eastAsia" w:ascii="宋体" w:hAnsi="宋体" w:eastAsia="宋体" w:cs="宋体"/>
          <w:color w:val="auto"/>
          <w:sz w:val="21"/>
          <w:szCs w:val="21"/>
          <w:highlight w:val="none"/>
          <w:lang w:eastAsia="zh-CN"/>
        </w:rPr>
        <w:t>公共资源交易有关</w:t>
      </w:r>
      <w:r>
        <w:rPr>
          <w:rFonts w:hint="eastAsia" w:ascii="宋体" w:hAnsi="宋体" w:eastAsia="宋体" w:cs="宋体"/>
          <w:color w:val="auto"/>
          <w:sz w:val="21"/>
          <w:szCs w:val="21"/>
          <w:highlight w:val="none"/>
        </w:rPr>
        <w:t>文件全部内容。中标后非因不可抗力因素不放弃中标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在规定期限内与招标人签订合同</w:t>
      </w:r>
      <w:r>
        <w:rPr>
          <w:rFonts w:hint="eastAsia" w:ascii="宋体" w:hAnsi="宋体" w:eastAsia="宋体" w:cs="宋体"/>
          <w:color w:val="auto"/>
          <w:sz w:val="21"/>
          <w:szCs w:val="21"/>
          <w:highlight w:val="none"/>
          <w:lang w:eastAsia="zh-CN"/>
        </w:rPr>
        <w:t>，并</w:t>
      </w:r>
      <w:r>
        <w:rPr>
          <w:rFonts w:hint="eastAsia" w:ascii="宋体" w:hAnsi="宋体" w:eastAsia="宋体" w:cs="宋体"/>
          <w:color w:val="auto"/>
          <w:sz w:val="21"/>
          <w:szCs w:val="21"/>
          <w:highlight w:val="none"/>
        </w:rPr>
        <w:t>全面履行合同</w:t>
      </w:r>
      <w:r>
        <w:rPr>
          <w:rFonts w:hint="eastAsia" w:ascii="宋体" w:hAnsi="宋体" w:eastAsia="宋体" w:cs="宋体"/>
          <w:color w:val="auto"/>
          <w:sz w:val="21"/>
          <w:szCs w:val="21"/>
          <w:highlight w:val="none"/>
          <w:lang w:eastAsia="zh-CN"/>
        </w:rPr>
        <w:t>。竞得土地使用权（矿业权）后</w:t>
      </w:r>
      <w:r>
        <w:rPr>
          <w:rFonts w:hint="eastAsia" w:ascii="宋体" w:hAnsi="宋体" w:eastAsia="宋体" w:cs="宋体"/>
          <w:color w:val="auto"/>
          <w:sz w:val="21"/>
          <w:szCs w:val="21"/>
          <w:highlight w:val="none"/>
        </w:rPr>
        <w:t>，我单位同意出让人对我单位</w:t>
      </w:r>
      <w:r>
        <w:rPr>
          <w:rFonts w:hint="eastAsia" w:ascii="宋体" w:hAnsi="宋体" w:eastAsia="宋体" w:cs="宋体"/>
          <w:color w:val="auto"/>
          <w:sz w:val="21"/>
          <w:szCs w:val="21"/>
          <w:highlight w:val="none"/>
          <w:lang w:eastAsia="zh-CN"/>
        </w:rPr>
        <w:t>（或个人）</w:t>
      </w:r>
      <w:r>
        <w:rPr>
          <w:rFonts w:hint="eastAsia" w:ascii="宋体" w:hAnsi="宋体" w:eastAsia="宋体" w:cs="宋体"/>
          <w:color w:val="auto"/>
          <w:sz w:val="21"/>
          <w:szCs w:val="21"/>
          <w:highlight w:val="none"/>
        </w:rPr>
        <w:t>的竞买资格进行审查，如不符合要求，同意取消我单位（</w:t>
      </w:r>
      <w:r>
        <w:rPr>
          <w:rFonts w:hint="eastAsia" w:ascii="宋体" w:hAnsi="宋体" w:eastAsia="宋体" w:cs="宋体"/>
          <w:color w:val="auto"/>
          <w:sz w:val="21"/>
          <w:szCs w:val="21"/>
          <w:highlight w:val="none"/>
          <w:lang w:eastAsia="zh-CN"/>
        </w:rPr>
        <w:t>或个</w:t>
      </w:r>
      <w:r>
        <w:rPr>
          <w:rFonts w:hint="eastAsia" w:ascii="宋体" w:hAnsi="宋体" w:eastAsia="宋体" w:cs="宋体"/>
          <w:color w:val="auto"/>
          <w:sz w:val="21"/>
          <w:szCs w:val="21"/>
          <w:highlight w:val="none"/>
        </w:rPr>
        <w:t>人）竞买资格</w:t>
      </w:r>
      <w:r>
        <w:rPr>
          <w:rFonts w:hint="eastAsia" w:ascii="宋体" w:hAnsi="宋体" w:eastAsia="宋体" w:cs="宋体"/>
          <w:color w:val="auto"/>
          <w:sz w:val="21"/>
          <w:szCs w:val="21"/>
          <w:highlight w:val="none"/>
          <w:lang w:eastAsia="zh-CN"/>
        </w:rPr>
        <w:t>，按规定及时和出让人签署成交确认书，及时支付全部出让金和税费</w:t>
      </w:r>
      <w:r>
        <w:rPr>
          <w:rFonts w:hint="eastAsia" w:ascii="宋体" w:hAnsi="宋体" w:eastAsia="宋体" w:cs="宋体"/>
          <w:color w:val="auto"/>
          <w:sz w:val="21"/>
          <w:szCs w:val="21"/>
          <w:highlight w:val="none"/>
        </w:rPr>
        <w:t>。拍卖成交后，按要求签署成交确认书，并按照约定支付拍卖标的的价款和佣金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否则，同意</w:t>
      </w:r>
      <w:r>
        <w:rPr>
          <w:rFonts w:hint="eastAsia" w:ascii="宋体" w:hAnsi="宋体" w:eastAsia="宋体" w:cs="宋体"/>
          <w:color w:val="auto"/>
          <w:sz w:val="21"/>
          <w:szCs w:val="21"/>
          <w:highlight w:val="none"/>
          <w:lang w:eastAsia="zh-CN"/>
        </w:rPr>
        <w:t>按国家有关法律法规规定承担相应责任</w:t>
      </w:r>
      <w:r>
        <w:rPr>
          <w:rFonts w:hint="eastAsia" w:ascii="宋体" w:hAnsi="宋体" w:eastAsia="宋体" w:cs="宋体"/>
          <w:color w:val="auto"/>
          <w:sz w:val="21"/>
          <w:szCs w:val="21"/>
          <w:highlight w:val="none"/>
        </w:rPr>
        <w:t>。</w:t>
      </w:r>
    </w:p>
    <w:p w14:paraId="09E57105">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50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如发生违法违规或违反承诺的不良行为，自愿接受有关行政监督部门</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公共资源管理部门依法依规给予的行政处罚和</w:t>
      </w:r>
      <w:r>
        <w:rPr>
          <w:rFonts w:hint="eastAsia" w:ascii="宋体" w:hAnsi="宋体" w:eastAsia="宋体" w:cs="宋体"/>
          <w:color w:val="auto"/>
          <w:sz w:val="21"/>
          <w:szCs w:val="21"/>
          <w:highlight w:val="none"/>
          <w:lang w:eastAsia="zh-CN"/>
        </w:rPr>
        <w:t>信用惩戒</w:t>
      </w:r>
      <w:r>
        <w:rPr>
          <w:rFonts w:hint="eastAsia" w:ascii="宋体" w:hAnsi="宋体" w:eastAsia="宋体" w:cs="宋体"/>
          <w:color w:val="auto"/>
          <w:sz w:val="21"/>
          <w:szCs w:val="21"/>
          <w:highlight w:val="none"/>
        </w:rPr>
        <w:t>，自愿接受交易中心的评价。</w:t>
      </w:r>
    </w:p>
    <w:p w14:paraId="26D6CA14">
      <w:pPr>
        <w:pStyle w:val="81"/>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八</w:t>
      </w:r>
      <w:r>
        <w:rPr>
          <w:rFonts w:hint="eastAsia" w:ascii="宋体" w:hAnsi="宋体" w:eastAsia="宋体" w:cs="宋体"/>
          <w:color w:val="auto"/>
          <w:sz w:val="21"/>
          <w:szCs w:val="21"/>
          <w:highlight w:val="none"/>
        </w:rPr>
        <w:t>、同意将本单位</w:t>
      </w:r>
      <w:r>
        <w:rPr>
          <w:rFonts w:hint="eastAsia" w:ascii="宋体" w:hAnsi="宋体" w:eastAsia="宋体" w:cs="宋体"/>
          <w:color w:val="auto"/>
          <w:sz w:val="21"/>
          <w:szCs w:val="21"/>
          <w:highlight w:val="none"/>
          <w:lang w:eastAsia="zh-CN"/>
        </w:rPr>
        <w:t>（机构）</w:t>
      </w:r>
      <w:r>
        <w:rPr>
          <w:rFonts w:hint="eastAsia" w:ascii="宋体" w:hAnsi="宋体" w:eastAsia="宋体" w:cs="宋体"/>
          <w:color w:val="auto"/>
          <w:sz w:val="21"/>
          <w:szCs w:val="21"/>
          <w:highlight w:val="none"/>
        </w:rPr>
        <w:t>信用信息纳入全市信用信息平台，同意在</w:t>
      </w:r>
      <w:r>
        <w:rPr>
          <w:rFonts w:hint="eastAsia" w:ascii="宋体" w:hAnsi="宋体" w:eastAsia="宋体" w:cs="宋体"/>
          <w:color w:val="auto"/>
          <w:sz w:val="21"/>
          <w:szCs w:val="21"/>
          <w:highlight w:val="none"/>
          <w:lang w:eastAsia="zh-CN"/>
        </w:rPr>
        <w:t>保山</w:t>
      </w:r>
      <w:r>
        <w:rPr>
          <w:rFonts w:hint="eastAsia" w:ascii="宋体" w:hAnsi="宋体" w:eastAsia="宋体" w:cs="宋体"/>
          <w:color w:val="auto"/>
          <w:sz w:val="21"/>
          <w:szCs w:val="21"/>
          <w:highlight w:val="none"/>
        </w:rPr>
        <w:t>市公共资源交易</w:t>
      </w:r>
      <w:r>
        <w:rPr>
          <w:rFonts w:hint="eastAsia" w:ascii="宋体" w:hAnsi="宋体" w:eastAsia="宋体" w:cs="宋体"/>
          <w:color w:val="auto"/>
          <w:sz w:val="21"/>
          <w:szCs w:val="21"/>
          <w:highlight w:val="none"/>
          <w:lang w:eastAsia="zh-CN"/>
        </w:rPr>
        <w:t>电子服务系统</w:t>
      </w:r>
      <w:r>
        <w:rPr>
          <w:rFonts w:hint="eastAsia" w:ascii="宋体" w:hAnsi="宋体" w:eastAsia="宋体" w:cs="宋体"/>
          <w:color w:val="auto"/>
          <w:sz w:val="21"/>
          <w:szCs w:val="21"/>
          <w:highlight w:val="none"/>
        </w:rPr>
        <w:t>和行政监督管理部门网站公示，同意共享给全国公共资源交易平台和各级信用平台。</w:t>
      </w:r>
    </w:p>
    <w:p w14:paraId="7C73D47E">
      <w:pPr>
        <w:pStyle w:val="81"/>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九</w:t>
      </w:r>
      <w:r>
        <w:rPr>
          <w:rFonts w:hint="eastAsia" w:ascii="宋体" w:hAnsi="宋体" w:eastAsia="宋体" w:cs="宋体"/>
          <w:color w:val="auto"/>
          <w:sz w:val="21"/>
          <w:szCs w:val="21"/>
          <w:highlight w:val="none"/>
        </w:rPr>
        <w:t>、本人已认真阅读了上述承诺，并向本单位负责相关工作的人员</w:t>
      </w:r>
      <w:r>
        <w:rPr>
          <w:rFonts w:hint="eastAsia" w:ascii="宋体" w:hAnsi="宋体" w:eastAsia="宋体" w:cs="宋体"/>
          <w:color w:val="auto"/>
          <w:sz w:val="21"/>
          <w:szCs w:val="21"/>
          <w:highlight w:val="none"/>
          <w:lang w:eastAsia="zh-CN"/>
        </w:rPr>
        <w:t>做</w:t>
      </w:r>
      <w:r>
        <w:rPr>
          <w:rFonts w:hint="eastAsia" w:ascii="宋体" w:hAnsi="宋体" w:eastAsia="宋体" w:cs="宋体"/>
          <w:color w:val="auto"/>
          <w:sz w:val="21"/>
          <w:szCs w:val="21"/>
          <w:highlight w:val="none"/>
        </w:rPr>
        <w:t>了宣传教育。</w:t>
      </w:r>
    </w:p>
    <w:p w14:paraId="538F0F6E">
      <w:pPr>
        <w:pStyle w:val="81"/>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99"/>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十、承诺本单位（或个人）与招标人不存在可能影响招标公正性的利害关系。</w:t>
      </w:r>
    </w:p>
    <w:p w14:paraId="1EC5EB1A">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十一、本承诺适用于</w:t>
      </w:r>
      <w:r>
        <w:rPr>
          <w:rFonts w:hint="eastAsia" w:ascii="宋体" w:hAnsi="宋体" w:eastAsia="宋体" w:cs="宋体"/>
          <w:color w:val="auto"/>
          <w:sz w:val="21"/>
          <w:szCs w:val="21"/>
          <w:highlight w:val="none"/>
          <w:lang w:eastAsia="zh-CN"/>
        </w:rPr>
        <w:t>投标人、供应商、受让方、竞买人。</w:t>
      </w:r>
    </w:p>
    <w:p w14:paraId="1E1EFD56">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2742"/>
        <w:jc w:val="both"/>
        <w:textAlignment w:val="auto"/>
        <w:rPr>
          <w:rFonts w:hint="eastAsia" w:ascii="宋体" w:hAnsi="宋体" w:eastAsia="宋体" w:cs="宋体"/>
          <w:color w:val="auto"/>
          <w:sz w:val="21"/>
          <w:szCs w:val="21"/>
          <w:highlight w:val="none"/>
        </w:rPr>
      </w:pPr>
    </w:p>
    <w:p w14:paraId="22C4CC0D">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2742"/>
        <w:jc w:val="both"/>
        <w:textAlignment w:val="auto"/>
        <w:rPr>
          <w:rFonts w:hint="eastAsia" w:ascii="宋体" w:hAnsi="宋体" w:eastAsia="宋体" w:cs="宋体"/>
          <w:color w:val="auto"/>
          <w:sz w:val="21"/>
          <w:szCs w:val="21"/>
          <w:highlight w:val="none"/>
        </w:rPr>
      </w:pPr>
    </w:p>
    <w:p w14:paraId="47DB2721">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274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投标单位（牵头人单位）：（公章）</w:t>
      </w:r>
    </w:p>
    <w:p w14:paraId="52461652">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宋体" w:hAnsi="宋体" w:eastAsia="宋体" w:cs="宋体"/>
          <w:color w:val="auto"/>
          <w:sz w:val="21"/>
          <w:szCs w:val="21"/>
          <w:highlight w:val="none"/>
        </w:rPr>
      </w:pPr>
    </w:p>
    <w:p w14:paraId="225680B5">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274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法定代表人：（签名或印鉴）</w:t>
      </w:r>
    </w:p>
    <w:p w14:paraId="18A69109">
      <w:pPr>
        <w:pStyle w:val="81"/>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宋体" w:hAnsi="宋体" w:eastAsia="宋体" w:cs="宋体"/>
          <w:color w:val="auto"/>
          <w:sz w:val="21"/>
          <w:szCs w:val="21"/>
          <w:highlight w:val="none"/>
        </w:rPr>
      </w:pPr>
    </w:p>
    <w:p w14:paraId="07EAD224">
      <w:pPr>
        <w:pStyle w:val="677"/>
        <w:adjustRightInd w:val="0"/>
        <w:snapToGrid w:val="0"/>
        <w:spacing w:after="100" w:line="380" w:lineRule="exact"/>
        <w:jc w:val="center"/>
        <w:rPr>
          <w:rStyle w:val="207"/>
          <w:rFonts w:hint="eastAsia" w:ascii="宋体" w:hAnsi="宋体" w:eastAsia="宋体" w:cs="宋体"/>
          <w:b/>
          <w:bCs/>
          <w:color w:val="auto"/>
          <w:kern w:val="2"/>
          <w:sz w:val="21"/>
          <w:szCs w:val="21"/>
          <w:highlight w:val="none"/>
        </w:rPr>
      </w:pP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14:paraId="4A0F734F">
      <w:pPr>
        <w:pStyle w:val="677"/>
        <w:adjustRightInd w:val="0"/>
        <w:snapToGrid w:val="0"/>
        <w:spacing w:after="100" w:line="380" w:lineRule="exact"/>
        <w:jc w:val="center"/>
        <w:rPr>
          <w:rStyle w:val="207"/>
          <w:rFonts w:hint="eastAsia" w:ascii="宋体" w:hAnsi="宋体" w:cs="宋体"/>
          <w:b/>
          <w:bCs/>
          <w:color w:val="auto"/>
          <w:kern w:val="2"/>
          <w:sz w:val="24"/>
          <w:szCs w:val="24"/>
          <w:highlight w:val="none"/>
        </w:rPr>
      </w:pPr>
    </w:p>
    <w:p w14:paraId="5A28CB56">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366831D9">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336EA759">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7FBB8E88">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06272C85">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3EA67149">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7653434D">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350B90C8">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5E607152">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2247D76A">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65721D04">
      <w:pPr>
        <w:pStyle w:val="677"/>
        <w:adjustRightInd w:val="0"/>
        <w:snapToGrid w:val="0"/>
        <w:spacing w:after="100" w:line="380" w:lineRule="exact"/>
        <w:jc w:val="center"/>
        <w:rPr>
          <w:rStyle w:val="207"/>
          <w:rFonts w:hint="eastAsia" w:ascii="宋体" w:hAnsi="宋体" w:cs="宋体"/>
          <w:b/>
          <w:bCs/>
          <w:color w:val="auto"/>
          <w:kern w:val="2"/>
          <w:sz w:val="28"/>
          <w:szCs w:val="28"/>
          <w:highlight w:val="none"/>
        </w:rPr>
      </w:pPr>
    </w:p>
    <w:p w14:paraId="1B0CB1C5">
      <w:pPr>
        <w:pStyle w:val="453"/>
        <w:numPr>
          <w:ilvl w:val="0"/>
          <w:numId w:val="0"/>
        </w:numPr>
        <w:snapToGrid w:val="0"/>
        <w:spacing w:after="156" w:afterLines="50" w:line="360" w:lineRule="auto"/>
        <w:ind w:left="1"/>
        <w:jc w:val="center"/>
        <w:rPr>
          <w:rFonts w:cs="Times New Roman"/>
          <w:b/>
          <w:bCs/>
          <w:color w:val="auto"/>
          <w:sz w:val="28"/>
          <w:szCs w:val="28"/>
          <w:highlight w:val="none"/>
        </w:rPr>
      </w:pPr>
      <w:r>
        <w:rPr>
          <w:rStyle w:val="207"/>
          <w:rFonts w:hint="eastAsia" w:ascii="宋体" w:hAnsi="宋体" w:cs="宋体"/>
          <w:b/>
          <w:bCs/>
          <w:color w:val="auto"/>
          <w:sz w:val="32"/>
          <w:szCs w:val="32"/>
          <w:highlight w:val="none"/>
        </w:rPr>
        <w:t>五、投标人认为需要补充的其他材料</w:t>
      </w:r>
    </w:p>
    <w:p w14:paraId="6BF993C7">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32A19851">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5FFE92AA">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585CF154">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7C550137">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37477935">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5155EB08">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79B2998F">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1A1A83EB">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59ED0DD3">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3FAF630E">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7DEDAF7D">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0EDB9C55">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3D71409B">
      <w:pPr>
        <w:pStyle w:val="453"/>
        <w:numPr>
          <w:ilvl w:val="0"/>
          <w:numId w:val="0"/>
        </w:numPr>
        <w:snapToGrid w:val="0"/>
        <w:spacing w:after="156" w:afterLines="50" w:line="360" w:lineRule="auto"/>
        <w:ind w:left="1"/>
        <w:jc w:val="center"/>
        <w:rPr>
          <w:rFonts w:cs="Times New Roman"/>
          <w:b/>
          <w:bCs/>
          <w:color w:val="auto"/>
          <w:sz w:val="28"/>
          <w:szCs w:val="28"/>
          <w:highlight w:val="none"/>
        </w:rPr>
      </w:pPr>
    </w:p>
    <w:p w14:paraId="395025BA">
      <w:pPr>
        <w:rPr>
          <w:rFonts w:cs="Times New Roman"/>
          <w:color w:val="auto"/>
          <w:highlight w:val="none"/>
        </w:rPr>
      </w:pPr>
    </w:p>
    <w:p w14:paraId="653CA7E3">
      <w:pPr>
        <w:pStyle w:val="589"/>
        <w:numPr>
          <w:ilvl w:val="0"/>
          <w:numId w:val="0"/>
        </w:numPr>
        <w:snapToGrid w:val="0"/>
        <w:spacing w:before="156" w:beforeLines="50" w:after="312" w:afterLines="100" w:line="360" w:lineRule="auto"/>
        <w:jc w:val="center"/>
        <w:rPr>
          <w:rFonts w:cs="Times New Roman"/>
          <w:b/>
          <w:bCs/>
          <w:color w:val="auto"/>
          <w:sz w:val="28"/>
          <w:szCs w:val="28"/>
          <w:highlight w:val="none"/>
        </w:rPr>
      </w:pPr>
    </w:p>
    <w:p w14:paraId="77F22C05">
      <w:pPr>
        <w:pStyle w:val="589"/>
        <w:numPr>
          <w:ilvl w:val="0"/>
          <w:numId w:val="0"/>
        </w:numPr>
        <w:snapToGrid w:val="0"/>
        <w:spacing w:before="156" w:beforeLines="50" w:after="312" w:afterLines="100" w:line="360" w:lineRule="auto"/>
        <w:jc w:val="center"/>
        <w:rPr>
          <w:rFonts w:cs="Times New Roman"/>
          <w:b/>
          <w:bCs/>
          <w:color w:val="auto"/>
          <w:sz w:val="28"/>
          <w:szCs w:val="28"/>
          <w:highlight w:val="none"/>
        </w:rPr>
      </w:pPr>
    </w:p>
    <w:p w14:paraId="1F511AFD">
      <w:pPr>
        <w:pStyle w:val="589"/>
        <w:numPr>
          <w:ilvl w:val="0"/>
          <w:numId w:val="0"/>
        </w:numPr>
        <w:snapToGrid w:val="0"/>
        <w:spacing w:before="156" w:beforeLines="50" w:after="312" w:afterLines="100" w:line="360" w:lineRule="auto"/>
        <w:jc w:val="center"/>
        <w:rPr>
          <w:rFonts w:cs="Times New Roman"/>
          <w:b/>
          <w:bCs/>
          <w:color w:val="auto"/>
          <w:sz w:val="28"/>
          <w:szCs w:val="28"/>
          <w:highlight w:val="none"/>
        </w:rPr>
      </w:pPr>
    </w:p>
    <w:p w14:paraId="19B05EC9">
      <w:pPr>
        <w:pStyle w:val="589"/>
        <w:numPr>
          <w:ilvl w:val="0"/>
          <w:numId w:val="0"/>
        </w:numPr>
        <w:snapToGrid w:val="0"/>
        <w:spacing w:before="156" w:beforeLines="50" w:after="312" w:afterLines="100" w:line="360" w:lineRule="auto"/>
        <w:jc w:val="center"/>
        <w:rPr>
          <w:rFonts w:cs="Times New Roman"/>
          <w:b/>
          <w:bCs/>
          <w:color w:val="auto"/>
          <w:sz w:val="28"/>
          <w:szCs w:val="28"/>
          <w:highlight w:val="none"/>
        </w:rPr>
      </w:pPr>
    </w:p>
    <w:p w14:paraId="11F6B28E">
      <w:pPr>
        <w:pStyle w:val="4"/>
        <w:keepNext w:val="0"/>
        <w:keepLines w:val="0"/>
        <w:jc w:val="center"/>
        <w:rPr>
          <w:rFonts w:cs="Times New Roman"/>
          <w:color w:val="auto"/>
          <w:highlight w:val="none"/>
        </w:rPr>
      </w:pPr>
      <w:bookmarkStart w:id="1791" w:name="_Toc15668"/>
      <w:bookmarkStart w:id="1792" w:name="_Toc45897182"/>
      <w:r>
        <w:rPr>
          <w:rFonts w:hint="eastAsia" w:cs="黑体"/>
          <w:color w:val="auto"/>
          <w:highlight w:val="none"/>
        </w:rPr>
        <w:t>第三部分</w:t>
      </w:r>
      <w:r>
        <w:rPr>
          <w:color w:val="auto"/>
          <w:highlight w:val="none"/>
        </w:rPr>
        <w:t xml:space="preserve">  </w:t>
      </w:r>
      <w:r>
        <w:rPr>
          <w:rFonts w:hint="eastAsia" w:cs="黑体"/>
          <w:color w:val="auto"/>
          <w:highlight w:val="none"/>
        </w:rPr>
        <w:t>技术部分</w:t>
      </w:r>
      <w:bookmarkEnd w:id="1791"/>
      <w:bookmarkEnd w:id="1792"/>
      <w:bookmarkStart w:id="1793" w:name="_Toc763_WPSOffice_Level1"/>
      <w:bookmarkStart w:id="1794" w:name="_Toc14189"/>
      <w:bookmarkStart w:id="1795" w:name="_Toc8424_WPSOffice_Level1"/>
    </w:p>
    <w:bookmarkEnd w:id="1793"/>
    <w:bookmarkEnd w:id="1794"/>
    <w:bookmarkEnd w:id="1795"/>
    <w:p w14:paraId="39E0D00A">
      <w:pPr>
        <w:spacing w:line="360" w:lineRule="auto"/>
        <w:outlineLvl w:val="1"/>
        <w:rPr>
          <w:rFonts w:hint="eastAsia" w:ascii="宋体" w:hAnsi="宋体" w:eastAsia="宋体" w:cs="宋体"/>
          <w:color w:val="auto"/>
          <w:sz w:val="24"/>
          <w:szCs w:val="24"/>
          <w:highlight w:val="none"/>
          <w:lang w:eastAsia="zh-CN"/>
        </w:rPr>
      </w:pPr>
      <w:bookmarkStart w:id="1796" w:name="_Toc13549_WPSOffice_Level1"/>
      <w:bookmarkStart w:id="1797" w:name="_Toc26615_WPSOffice_Level1"/>
      <w:bookmarkStart w:id="1798" w:name="_Toc5878_WPSOffice_Level2"/>
      <w:bookmarkStart w:id="1799" w:name="_Toc2465_WPSOffice_Level2"/>
      <w:bookmarkStart w:id="1800" w:name="_Toc28499_WPSOffice_Level2"/>
      <w:bookmarkStart w:id="1801" w:name="_Toc1510_WPSOffice_Level2"/>
      <w:bookmarkStart w:id="1802" w:name="_Toc20981_WPSOffice_Level2"/>
      <w:bookmarkStart w:id="1803" w:name="_Toc25444_WPSOffice_Level2"/>
      <w:bookmarkStart w:id="1804" w:name="_Toc31068_WPSOffice_Level2"/>
      <w:r>
        <w:rPr>
          <w:rFonts w:hint="eastAsia" w:ascii="宋体" w:hAnsi="宋体" w:cs="宋体"/>
          <w:color w:val="auto"/>
          <w:sz w:val="24"/>
          <w:szCs w:val="24"/>
          <w:highlight w:val="none"/>
          <w:lang w:eastAsia="zh-CN"/>
        </w:rPr>
        <w:t>（格式自拟）</w:t>
      </w:r>
    </w:p>
    <w:p w14:paraId="7650A9B9">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一、总承包</w:t>
      </w:r>
      <w:r>
        <w:rPr>
          <w:rFonts w:hint="eastAsia" w:ascii="宋体" w:hAnsi="宋体" w:eastAsia="宋体" w:cs="宋体"/>
          <w:color w:val="auto"/>
          <w:sz w:val="21"/>
          <w:szCs w:val="21"/>
          <w:highlight w:val="none"/>
          <w:lang w:val="en-US" w:eastAsia="zh-CN"/>
        </w:rPr>
        <w:t>方案</w:t>
      </w:r>
      <w:r>
        <w:rPr>
          <w:rFonts w:hint="eastAsia" w:ascii="宋体" w:hAnsi="宋体" w:cs="宋体"/>
          <w:color w:val="auto"/>
          <w:sz w:val="21"/>
          <w:szCs w:val="21"/>
          <w:highlight w:val="none"/>
          <w:lang w:val="en-US" w:eastAsia="zh-CN"/>
        </w:rPr>
        <w:t>（包括不仅限于项目目标和范围、组织结构、项目管理方法、项目交付及验收、项目风险管理、项目沟通及协作等）。</w:t>
      </w:r>
    </w:p>
    <w:bookmarkEnd w:id="1796"/>
    <w:bookmarkEnd w:id="1797"/>
    <w:p w14:paraId="42E8AE40">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设计工作大纲（</w:t>
      </w:r>
      <w:r>
        <w:rPr>
          <w:rFonts w:hint="eastAsia" w:ascii="宋体" w:hAnsi="宋体" w:eastAsia="宋体" w:cs="宋体"/>
          <w:color w:val="auto"/>
          <w:sz w:val="21"/>
          <w:szCs w:val="21"/>
          <w:highlight w:val="none"/>
          <w:lang w:val="en-US" w:eastAsia="zh-CN"/>
        </w:rPr>
        <w:t>包含不仅限于</w:t>
      </w:r>
      <w:r>
        <w:rPr>
          <w:rFonts w:hint="eastAsia" w:ascii="宋体" w:hAnsi="宋体" w:eastAsia="宋体" w:cs="宋体"/>
          <w:color w:val="auto"/>
          <w:sz w:val="21"/>
          <w:szCs w:val="21"/>
          <w:highlight w:val="none"/>
          <w:lang w:val="en-US"/>
        </w:rPr>
        <w:t>设计构思</w:t>
      </w:r>
      <w:r>
        <w:rPr>
          <w:rFonts w:hint="eastAsia" w:ascii="宋体" w:hAnsi="宋体" w:eastAsia="宋体" w:cs="宋体"/>
          <w:color w:val="auto"/>
          <w:sz w:val="21"/>
          <w:szCs w:val="21"/>
          <w:highlight w:val="none"/>
          <w:lang w:val="en-US" w:eastAsia="zh-CN"/>
        </w:rPr>
        <w:t>、设计周期、进度计划、质量保证、后续服务工作安排等</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en-US" w:eastAsia="zh-CN"/>
        </w:rPr>
        <w:t>。</w:t>
      </w:r>
    </w:p>
    <w:p w14:paraId="3537775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施工方案（编制时应采用文字并结合图表形式说明各分部分项工程的施工方法；拟投入的主要施工机械设备情况、劳动力计划等；结合招标工程特点提出切实可行的施工技术方案、质量承诺及保证措施、施工主要工序、安全文明施工保证措施、工期承诺和保证措施、施工进度计划、劳动力安排和材料投入计划及其保证措施、施工机械投入、同时应对关键工序、复杂环节重点提出相应技术措施，如冬雨季施工技术措施、减少扰民噪声、降低环境污染技术措施等）</w:t>
      </w:r>
      <w:r>
        <w:rPr>
          <w:rFonts w:hint="eastAsia" w:ascii="宋体" w:hAnsi="宋体" w:eastAsia="宋体" w:cs="宋体"/>
          <w:color w:val="auto"/>
          <w:sz w:val="21"/>
          <w:szCs w:val="21"/>
          <w:highlight w:val="none"/>
        </w:rPr>
        <w:t>。</w:t>
      </w:r>
    </w:p>
    <w:p w14:paraId="656F8B0A">
      <w:pP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四、项目运营方案（包括不仅限于运营项目理解、</w:t>
      </w:r>
      <w:r>
        <w:rPr>
          <w:rFonts w:hint="eastAsia" w:ascii="宋体" w:hAnsi="宋体" w:cs="宋体"/>
          <w:color w:val="auto"/>
          <w:sz w:val="21"/>
          <w:szCs w:val="21"/>
          <w:highlight w:val="none"/>
          <w:lang w:val="en-US" w:eastAsia="zh-CN"/>
        </w:rPr>
        <w:t>组织实施和项目运营</w:t>
      </w:r>
      <w:r>
        <w:rPr>
          <w:rFonts w:hint="eastAsia" w:ascii="宋体" w:hAnsi="宋体" w:eastAsia="宋体" w:cs="宋体"/>
          <w:color w:val="auto"/>
          <w:sz w:val="21"/>
          <w:szCs w:val="21"/>
          <w:highlight w:val="none"/>
          <w:lang w:val="en-US" w:eastAsia="zh-CN"/>
        </w:rPr>
        <w:t>等）。</w:t>
      </w:r>
    </w:p>
    <w:p w14:paraId="22FC0D71">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五、</w:t>
      </w:r>
      <w:r>
        <w:rPr>
          <w:rFonts w:hint="eastAsia" w:ascii="宋体" w:hAnsi="宋体" w:eastAsia="宋体" w:cs="宋体"/>
          <w:color w:val="auto"/>
          <w:sz w:val="21"/>
          <w:szCs w:val="21"/>
          <w:highlight w:val="none"/>
        </w:rPr>
        <w:t>工程造价控制措施</w:t>
      </w:r>
      <w:r>
        <w:rPr>
          <w:rFonts w:hint="eastAsia" w:ascii="宋体" w:hAnsi="宋体" w:eastAsia="宋体" w:cs="宋体"/>
          <w:color w:val="auto"/>
          <w:sz w:val="21"/>
          <w:szCs w:val="21"/>
          <w:highlight w:val="none"/>
          <w:lang w:eastAsia="zh-CN"/>
        </w:rPr>
        <w:t>（包括不仅限于工程造价咨询组织方案、进度计划及控制措施、质量保证措施等）。</w:t>
      </w:r>
    </w:p>
    <w:p w14:paraId="3FD2814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、其他资料</w:t>
      </w:r>
      <w:bookmarkEnd w:id="1798"/>
      <w:bookmarkEnd w:id="1799"/>
      <w:bookmarkEnd w:id="1800"/>
      <w:bookmarkEnd w:id="1801"/>
      <w:bookmarkEnd w:id="1802"/>
      <w:bookmarkEnd w:id="1803"/>
      <w:bookmarkEnd w:id="1804"/>
    </w:p>
    <w:p w14:paraId="6C99F54A">
      <w:pPr>
        <w:pStyle w:val="116"/>
        <w:rPr>
          <w:color w:val="auto"/>
          <w:highlight w:val="none"/>
        </w:rPr>
      </w:pPr>
    </w:p>
    <w:p w14:paraId="14F427D2">
      <w:pPr>
        <w:rPr>
          <w:rFonts w:ascii="宋体" w:cs="Times New Roman"/>
          <w:color w:val="auto"/>
          <w:sz w:val="28"/>
          <w:szCs w:val="28"/>
          <w:highlight w:val="none"/>
        </w:rPr>
      </w:pPr>
    </w:p>
    <w:sectPr>
      <w:pgSz w:w="11906" w:h="16838"/>
      <w:pgMar w:top="1440" w:right="1440" w:bottom="1440"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New York">
    <w:altName w:val="PMingLiU-ExtB"/>
    <w:panose1 w:val="0202050206030506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楷体_GB2312">
    <w:panose1 w:val="02010609030101010101"/>
    <w:charset w:val="86"/>
    <w:family w:val="modern"/>
    <w:pitch w:val="default"/>
    <w:sig w:usb0="00000001" w:usb1="080E0000" w:usb2="00000000" w:usb3="00000000" w:csb0="00040000" w:csb1="00000000"/>
  </w:font>
  <w:font w:name="?">
    <w:altName w:val="宋体"/>
    <w:panose1 w:val="00000000000000000000"/>
    <w:charset w:val="86"/>
    <w:family w:val="auto"/>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华文细黑">
    <w:panose1 w:val="02010600040101010101"/>
    <w:charset w:val="86"/>
    <w:family w:val="auto"/>
    <w:pitch w:val="default"/>
    <w:sig w:usb0="00000287" w:usb1="080F0000" w:usb2="00000000" w:usb3="00000000" w:csb0="0004009F" w:csb1="DFD70000"/>
  </w:font>
  <w:font w:name="长城仿宋">
    <w:altName w:val="黑体"/>
    <w:panose1 w:val="00000000000000000000"/>
    <w:charset w:val="86"/>
    <w:family w:val="modern"/>
    <w:pitch w:val="default"/>
    <w:sig w:usb0="00000000" w:usb1="00000000" w:usb2="00000010" w:usb3="00000000" w:csb0="00040000" w:csb1="00000000"/>
  </w:font>
  <w:font w:name="方正仿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
    <w:altName w:val="宋体"/>
    <w:panose1 w:val="00000000000000000000"/>
    <w:charset w:val="86"/>
    <w:family w:val="auto"/>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B Frutiger Bold">
    <w:altName w:val="Impact"/>
    <w:panose1 w:val="00000000000000000000"/>
    <w:charset w:val="00"/>
    <w:family w:val="swiss"/>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Fang Song">
    <w:altName w:val="宋体"/>
    <w:panose1 w:val="00000000000000000000"/>
    <w:charset w:val="86"/>
    <w:family w:val="roma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1D0EB">
    <w:pPr>
      <w:pStyle w:val="5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2CE3B1">
                          <w:pPr>
                            <w:pStyle w:val="5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F2CE3B1">
                    <w:pPr>
                      <w:pStyle w:val="5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B5A7">
    <w:pPr>
      <w:pStyle w:val="5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584910">
                          <w:pPr>
                            <w:pStyle w:val="5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34584910">
                    <w:pPr>
                      <w:pStyle w:val="5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ABECD">
    <w:pPr>
      <w:pStyle w:val="54"/>
      <w:rPr>
        <w:rFonts w:hint="eastAsia" w:cs="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E7E22">
                          <w:pPr>
                            <w:pStyle w:val="5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FBE7E22">
                    <w:pPr>
                      <w:pStyle w:val="5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185</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F974F">
    <w:pPr>
      <w:pStyle w:val="34"/>
      <w:spacing w:line="14" w:lineRule="auto"/>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EB89C">
                          <w:pPr>
                            <w:pStyle w:val="54"/>
                          </w:pPr>
                          <w:r>
                            <w:t xml:space="preserve">第 </w:t>
                          </w:r>
                          <w:r>
                            <w:fldChar w:fldCharType="begin"/>
                          </w:r>
                          <w:r>
                            <w:instrText xml:space="preserve"> PAGE  \* MERGEFORMAT </w:instrText>
                          </w:r>
                          <w:r>
                            <w:fldChar w:fldCharType="separate"/>
                          </w:r>
                          <w:r>
                            <w:t>134</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5AEEB89C">
                    <w:pPr>
                      <w:pStyle w:val="54"/>
                    </w:pPr>
                    <w:r>
                      <w:t xml:space="preserve">第 </w:t>
                    </w:r>
                    <w:r>
                      <w:fldChar w:fldCharType="begin"/>
                    </w:r>
                    <w:r>
                      <w:instrText xml:space="preserve"> PAGE  \* MERGEFORMAT </w:instrText>
                    </w:r>
                    <w:r>
                      <w:fldChar w:fldCharType="separate"/>
                    </w:r>
                    <w:r>
                      <w:t>134</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367EA">
    <w:pPr>
      <w:pStyle w:val="54"/>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D3249">
                          <w:pPr>
                            <w:pStyle w:val="54"/>
                          </w:pPr>
                          <w:r>
                            <w:t xml:space="preserve">第 </w:t>
                          </w:r>
                          <w:r>
                            <w:fldChar w:fldCharType="begin"/>
                          </w:r>
                          <w:r>
                            <w:instrText xml:space="preserve"> PAGE  \* MERGEFORMAT </w:instrText>
                          </w:r>
                          <w:r>
                            <w:fldChar w:fldCharType="separate"/>
                          </w:r>
                          <w:r>
                            <w:t>179</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D2D3249">
                    <w:pPr>
                      <w:pStyle w:val="54"/>
                    </w:pPr>
                    <w:r>
                      <w:t xml:space="preserve">第 </w:t>
                    </w:r>
                    <w:r>
                      <w:fldChar w:fldCharType="begin"/>
                    </w:r>
                    <w:r>
                      <w:instrText xml:space="preserve"> PAGE  \* MERGEFORMAT </w:instrText>
                    </w:r>
                    <w:r>
                      <w:fldChar w:fldCharType="separate"/>
                    </w:r>
                    <w:r>
                      <w:t>179</w:t>
                    </w:r>
                    <w:r>
                      <w:fldChar w:fldCharType="end"/>
                    </w:r>
                    <w:r>
                      <w:t xml:space="preserve"> 页 共 </w:t>
                    </w:r>
                    <w:r>
                      <w:fldChar w:fldCharType="begin"/>
                    </w:r>
                    <w:r>
                      <w:instrText xml:space="preserve"> NUMPAGES  \* MERGEFORMAT </w:instrText>
                    </w:r>
                    <w:r>
                      <w:fldChar w:fldCharType="separate"/>
                    </w:r>
                    <w:r>
                      <w:t>185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BA54C">
    <w:pPr>
      <w:pStyle w:val="56"/>
      <w:jc w:val="distribute"/>
    </w:pPr>
    <w:r>
      <w:rPr>
        <w:rFonts w:hint="eastAsia"/>
      </w:rPr>
      <w:t>2026年上海市对口帮扶龙陵县龙山镇横山村石斛鲜切花种植试验示范基地建设项目（EPC+O）</w:t>
    </w:r>
    <w:r>
      <w:rPr>
        <w:rFonts w:hint="eastAsia"/>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6A090">
    <w:pPr>
      <w:pStyle w:val="56"/>
      <w:jc w:val="distribute"/>
    </w:pPr>
    <w:r>
      <w:rPr>
        <w:rFonts w:hint="eastAsia"/>
      </w:rPr>
      <w:t>2026年上海市对口帮扶龙陵县龙山镇横山村石斛鲜切花种植试验示范基地建设项目（EPC+O）</w:t>
    </w:r>
    <w:r>
      <w:rPr>
        <w:rFonts w:hint="eastAsia"/>
        <w:lang w:val="en-US" w:eastAsia="zh-CN"/>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7FCCC">
    <w:pPr>
      <w:pStyle w:val="56"/>
      <w:jc w:val="distribute"/>
      <w:rPr>
        <w:rFonts w:hint="default" w:eastAsia="宋体"/>
        <w:lang w:val="en-US" w:eastAsia="zh-CN"/>
      </w:rPr>
    </w:pPr>
    <w:r>
      <w:rPr>
        <w:rFonts w:hint="eastAsia"/>
      </w:rPr>
      <w:t>2026年上海市对口帮扶龙陵县龙山镇横山村石斛鲜切花种植试验示范基地建设项目（EPC+O）</w:t>
    </w:r>
    <w:r>
      <w:rPr>
        <w:rFonts w:hint="eastAsia"/>
        <w:lang w:val="en-US" w:eastAsia="zh-CN"/>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01A07">
    <w:pPr>
      <w:pStyle w:val="56"/>
      <w:jc w:val="distribute"/>
    </w:pPr>
    <w:r>
      <w:rPr>
        <w:rFonts w:hint="eastAsia"/>
      </w:rPr>
      <w:t>2026年上海市对口帮扶龙陵县龙山镇横山村石斛鲜切花种植试验示范基地建设项目（EPC+O）</w:t>
    </w:r>
    <w:r>
      <w:rPr>
        <w:rFonts w:hint="eastAsia"/>
        <w:lang w:val="en-US" w:eastAsia="zh-CN"/>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E2688">
    <w:pPr>
      <w:pStyle w:val="56"/>
      <w:jc w:val="distribute"/>
    </w:pPr>
    <w:r>
      <w:rPr>
        <w:rFonts w:hint="eastAsia"/>
      </w:rPr>
      <w:t>2026年上海市对口帮扶龙陵县龙山镇横山村石斛鲜切花种植试验示范基地建设项目（EPC+O）</w:t>
    </w:r>
    <w:r>
      <w:rPr>
        <w:rFonts w:hint="eastAsia"/>
        <w:lang w:val="en-US" w:eastAsia="zh-CN"/>
      </w:rPr>
      <w:t xml:space="preserve">         招标文件</w:t>
    </w:r>
  </w:p>
  <w:p w14:paraId="05D8BA34">
    <w:pPr>
      <w:pStyle w:val="5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503B8">
    <w:pPr>
      <w:pStyle w:val="56"/>
      <w:jc w:val="distribute"/>
      <w:rPr>
        <w:rFonts w:cs="Times New Roman"/>
        <w:sz w:val="18"/>
        <w:szCs w:val="18"/>
      </w:rPr>
    </w:pPr>
    <w:r>
      <w:rPr>
        <w:rFonts w:hint="eastAsia"/>
      </w:rPr>
      <w:t>2026年上海市对口帮扶龙陵县龙山镇横山村石斛鲜切花种植试验示范基地建设项目（EPC+O）</w:t>
    </w:r>
    <w:r>
      <w:rPr>
        <w:rFonts w:hint="eastAsia"/>
        <w:lang w:val="en-US" w:eastAsia="zh-CN"/>
      </w:rPr>
      <w:t xml:space="preserve">         招标文件</w:t>
    </w:r>
  </w:p>
  <w:p w14:paraId="3DD76562">
    <w:pPr>
      <w:widowControl/>
      <w:tabs>
        <w:tab w:val="left" w:pos="142"/>
      </w:tabs>
      <w:autoSpaceDE w:val="0"/>
      <w:autoSpaceDN w:val="0"/>
      <w:textAlignment w:val="bottom"/>
      <w:rPr>
        <w:rFonts w:cs="Times New Roman"/>
        <w:sz w:val="18"/>
        <w:szCs w:val="18"/>
      </w:rPr>
    </w:pPr>
  </w:p>
  <w:p w14:paraId="7E3D1147">
    <w:pPr>
      <w:widowControl/>
      <w:tabs>
        <w:tab w:val="left" w:pos="142"/>
      </w:tabs>
      <w:autoSpaceDE w:val="0"/>
      <w:autoSpaceDN w:val="0"/>
      <w:textAlignment w:val="bottom"/>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12"/>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64"/>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995"/>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478"/>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968"/>
      <w:lvlText w:val=""/>
      <w:lvlJc w:val="left"/>
      <w:pPr>
        <w:tabs>
          <w:tab w:val="left" w:pos="2040"/>
        </w:tabs>
        <w:ind w:left="2040" w:hanging="360"/>
      </w:pPr>
      <w:rPr>
        <w:rFonts w:hint="default" w:ascii="Wingdings" w:hAnsi="Wingdings" w:cs="Wingdings"/>
      </w:rPr>
    </w:lvl>
  </w:abstractNum>
  <w:abstractNum w:abstractNumId="5">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cs="Wingdings"/>
      </w:rPr>
    </w:lvl>
  </w:abstractNum>
  <w:abstractNum w:abstractNumId="6">
    <w:nsid w:val="FFFFFF82"/>
    <w:multiLevelType w:val="singleLevel"/>
    <w:tmpl w:val="FFFFFF82"/>
    <w:lvl w:ilvl="0" w:tentative="0">
      <w:start w:val="1"/>
      <w:numFmt w:val="bullet"/>
      <w:pStyle w:val="708"/>
      <w:lvlText w:val=""/>
      <w:lvlJc w:val="left"/>
      <w:pPr>
        <w:tabs>
          <w:tab w:val="left" w:pos="1200"/>
        </w:tabs>
        <w:ind w:left="1200" w:hanging="360"/>
      </w:pPr>
      <w:rPr>
        <w:rFonts w:hint="default" w:ascii="Wingdings" w:hAnsi="Wingdings" w:cs="Wingdings"/>
      </w:rPr>
    </w:lvl>
  </w:abstractNum>
  <w:abstractNum w:abstractNumId="7">
    <w:nsid w:val="FFFFFF83"/>
    <w:multiLevelType w:val="singleLevel"/>
    <w:tmpl w:val="FFFFFF83"/>
    <w:lvl w:ilvl="0" w:tentative="0">
      <w:start w:val="1"/>
      <w:numFmt w:val="bullet"/>
      <w:pStyle w:val="626"/>
      <w:lvlText w:val=""/>
      <w:lvlJc w:val="left"/>
      <w:pPr>
        <w:tabs>
          <w:tab w:val="left" w:pos="780"/>
        </w:tabs>
        <w:ind w:left="780" w:hanging="360"/>
      </w:pPr>
      <w:rPr>
        <w:rFonts w:hint="default" w:ascii="Wingdings" w:hAnsi="Wingdings" w:cs="Wingdings"/>
      </w:rPr>
    </w:lvl>
  </w:abstractNum>
  <w:abstractNum w:abstractNumId="8">
    <w:nsid w:val="FFFFFF88"/>
    <w:multiLevelType w:val="singleLevel"/>
    <w:tmpl w:val="FFFFFF88"/>
    <w:lvl w:ilvl="0" w:tentative="0">
      <w:start w:val="1"/>
      <w:numFmt w:val="decimal"/>
      <w:pStyle w:val="654"/>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541"/>
      <w:lvlText w:val=""/>
      <w:lvlJc w:val="left"/>
      <w:pPr>
        <w:tabs>
          <w:tab w:val="left" w:pos="360"/>
        </w:tabs>
        <w:ind w:left="360" w:hanging="360"/>
      </w:pPr>
      <w:rPr>
        <w:rFonts w:hint="default" w:ascii="Wingdings" w:hAnsi="Wingdings" w:cs="Wingdings"/>
      </w:rPr>
    </w:lvl>
  </w:abstractNum>
  <w:abstractNum w:abstractNumId="10">
    <w:nsid w:val="0F135A01"/>
    <w:multiLevelType w:val="singleLevel"/>
    <w:tmpl w:val="0F135A01"/>
    <w:lvl w:ilvl="0" w:tentative="0">
      <w:start w:val="4"/>
      <w:numFmt w:val="chineseCounting"/>
      <w:suff w:val="space"/>
      <w:lvlText w:val="第%1章"/>
      <w:lvlJc w:val="left"/>
      <w:rPr>
        <w:rFonts w:hint="eastAsia"/>
      </w:rPr>
    </w:lvl>
  </w:abstractNum>
  <w:abstractNum w:abstractNumId="11">
    <w:nsid w:val="20A46C26"/>
    <w:multiLevelType w:val="multilevel"/>
    <w:tmpl w:val="20A46C26"/>
    <w:lvl w:ilvl="0" w:tentative="0">
      <w:start w:val="1"/>
      <w:numFmt w:val="none"/>
      <w:suff w:val="space"/>
      <w:lvlText w:val="%1"/>
      <w:lvlJc w:val="left"/>
      <w:rPr>
        <w:rFonts w:hint="eastAsia"/>
      </w:rPr>
    </w:lvl>
    <w:lvl w:ilvl="1" w:tentative="0">
      <w:start w:val="1"/>
      <w:numFmt w:val="chineseCountingThousand"/>
      <w:suff w:val="space"/>
      <w:lvlText w:val="%2."/>
      <w:lvlJc w:val="left"/>
      <w:pPr>
        <w:ind w:left="142"/>
      </w:pPr>
      <w:rPr>
        <w:rFonts w:hint="eastAsia"/>
      </w:rPr>
    </w:lvl>
    <w:lvl w:ilvl="2" w:tentative="0">
      <w:start w:val="1"/>
      <w:numFmt w:val="chineseCountingThousand"/>
      <w:suff w:val="space"/>
      <w:lvlText w:val="(%3)"/>
      <w:lvlJc w:val="left"/>
      <w:pPr>
        <w:ind w:left="2552"/>
      </w:pPr>
      <w:rPr>
        <w:rFonts w:hint="eastAsia" w:ascii="宋体" w:hAnsi="宋体" w:eastAsia="宋体"/>
        <w:b/>
        <w:bCs/>
        <w:sz w:val="28"/>
        <w:szCs w:val="28"/>
      </w:rPr>
    </w:lvl>
    <w:lvl w:ilvl="3" w:tentative="0">
      <w:start w:val="1"/>
      <w:numFmt w:val="lowerLetter"/>
      <w:lvlText w:val="%4."/>
      <w:lvlJc w:val="left"/>
      <w:pPr>
        <w:tabs>
          <w:tab w:val="left" w:pos="0"/>
        </w:tabs>
        <w:ind w:left="2551"/>
      </w:pPr>
      <w:rPr>
        <w:rFonts w:hint="default" w:ascii="宋体" w:hAnsi="宋体" w:eastAsia="宋体"/>
      </w:rPr>
    </w:lvl>
    <w:lvl w:ilvl="4" w:tentative="0">
      <w:start w:val="1"/>
      <w:numFmt w:val="lowerRoman"/>
      <w:suff w:val="space"/>
      <w:lvlText w:val="%5."/>
      <w:lvlJc w:val="left"/>
      <w:pPr>
        <w:ind w:left="3402"/>
      </w:pPr>
      <w:rPr>
        <w:rFonts w:hint="eastAsia"/>
      </w:rPr>
    </w:lvl>
    <w:lvl w:ilvl="5" w:tentative="0">
      <w:start w:val="1"/>
      <w:numFmt w:val="lowerRoman"/>
      <w:lvlText w:val="(%6)"/>
      <w:lvlJc w:val="left"/>
      <w:pPr>
        <w:tabs>
          <w:tab w:val="left" w:pos="4677"/>
        </w:tabs>
        <w:ind w:left="4252"/>
      </w:pPr>
      <w:rPr>
        <w:rFonts w:hint="eastAsia"/>
      </w:rPr>
    </w:lvl>
    <w:lvl w:ilvl="6" w:tentative="0">
      <w:start w:val="1"/>
      <w:numFmt w:val="lowerRoman"/>
      <w:lvlText w:val="(%7)"/>
      <w:lvlJc w:val="left"/>
      <w:pPr>
        <w:tabs>
          <w:tab w:val="left" w:pos="5528"/>
        </w:tabs>
        <w:ind w:left="5102"/>
      </w:pPr>
      <w:rPr>
        <w:rFonts w:hint="eastAsia"/>
      </w:rPr>
    </w:lvl>
    <w:lvl w:ilvl="7" w:tentative="0">
      <w:start w:val="1"/>
      <w:numFmt w:val="lowerLetter"/>
      <w:lvlText w:val="(%8)"/>
      <w:lvlJc w:val="left"/>
      <w:pPr>
        <w:tabs>
          <w:tab w:val="left" w:pos="6378"/>
        </w:tabs>
        <w:ind w:left="5953"/>
      </w:pPr>
      <w:rPr>
        <w:rFonts w:hint="eastAsia"/>
      </w:rPr>
    </w:lvl>
    <w:lvl w:ilvl="8" w:tentative="0">
      <w:start w:val="1"/>
      <w:numFmt w:val="lowerRoman"/>
      <w:lvlText w:val="(%9)"/>
      <w:lvlJc w:val="left"/>
      <w:pPr>
        <w:tabs>
          <w:tab w:val="left" w:pos="7228"/>
        </w:tabs>
        <w:ind w:left="6803"/>
      </w:pPr>
      <w:rPr>
        <w:rFonts w:hint="eastAsia"/>
      </w:rPr>
    </w:lvl>
  </w:abstractNum>
  <w:abstractNum w:abstractNumId="12">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3">
    <w:nsid w:val="3AA800C6"/>
    <w:multiLevelType w:val="multilevel"/>
    <w:tmpl w:val="3AA800C6"/>
    <w:lvl w:ilvl="0" w:tentative="0">
      <w:start w:val="1"/>
      <w:numFmt w:val="decimal"/>
      <w:pStyle w:val="1051"/>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4">
    <w:nsid w:val="62687BB6"/>
    <w:multiLevelType w:val="multilevel"/>
    <w:tmpl w:val="62687BB6"/>
    <w:lvl w:ilvl="0" w:tentative="0">
      <w:start w:val="1"/>
      <w:numFmt w:val="decimal"/>
      <w:pStyle w:val="1057"/>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5">
    <w:nsid w:val="6E87019F"/>
    <w:multiLevelType w:val="multilevel"/>
    <w:tmpl w:val="6E87019F"/>
    <w:lvl w:ilvl="0" w:tentative="0">
      <w:start w:val="1"/>
      <w:numFmt w:val="chineseCountingThousand"/>
      <w:pStyle w:val="1049"/>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3"/>
  </w:num>
  <w:num w:numId="3">
    <w:abstractNumId w:val="2"/>
  </w:num>
  <w:num w:numId="4">
    <w:abstractNumId w:val="8"/>
  </w:num>
  <w:num w:numId="5">
    <w:abstractNumId w:val="6"/>
  </w:num>
  <w:num w:numId="6">
    <w:abstractNumId w:val="9"/>
  </w:num>
  <w:num w:numId="7">
    <w:abstractNumId w:val="4"/>
  </w:num>
  <w:num w:numId="8">
    <w:abstractNumId w:val="0"/>
  </w:num>
  <w:num w:numId="9">
    <w:abstractNumId w:val="7"/>
  </w:num>
  <w:num w:numId="10">
    <w:abstractNumId w:val="5"/>
  </w:num>
  <w:num w:numId="11">
    <w:abstractNumId w:val="15"/>
  </w:num>
  <w:num w:numId="12">
    <w:abstractNumId w:val="13"/>
  </w:num>
  <w:num w:numId="13">
    <w:abstractNumId w:val="12"/>
    <w:lvlOverride w:ilvl="0">
      <w:lvl w:ilvl="0" w:tentative="1">
        <w:start w:val="1"/>
        <w:numFmt w:val="decimal"/>
        <w:lvlText w:val="第%1条"/>
        <w:lvlJc w:val="left"/>
        <w:pPr>
          <w:ind w:left="0" w:firstLine="0"/>
        </w:pPr>
      </w:lvl>
    </w:lvlOverride>
    <w:lvlOverride w:ilvl="1">
      <w:lvl w:ilvl="1" w:tentative="1">
        <w:start w:val="1"/>
        <w:numFmt w:val="decimal"/>
        <w:pStyle w:val="1052"/>
        <w:lvlText w:val="%1.%2"/>
        <w:lvlJc w:val="left"/>
        <w:pPr>
          <w:ind w:left="1843" w:firstLine="0"/>
        </w:pPr>
      </w:lvl>
    </w:lvlOverride>
    <w:lvlOverride w:ilvl="2">
      <w:lvl w:ilvl="2" w:tentative="1">
        <w:start w:val="1"/>
        <w:numFmt w:val="decimal"/>
        <w:pStyle w:val="1053"/>
        <w:lvlText w:val="%1.%2.%3"/>
        <w:lvlJc w:val="left"/>
        <w:pPr>
          <w:ind w:left="2126" w:firstLine="0"/>
        </w:pPr>
      </w:lvl>
    </w:lvlOverride>
    <w:lvlOverride w:ilvl="3">
      <w:lvl w:ilvl="3" w:tentative="1">
        <w:start w:val="1"/>
        <w:numFmt w:val="decimal"/>
        <w:pStyle w:val="1054"/>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14">
    <w:abstractNumId w:val="12"/>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1055"/>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15">
    <w:abstractNumId w:val="14"/>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hideSpellingErrors/>
  <w:doNotTrackMove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172A27"/>
    <w:rsid w:val="00002604"/>
    <w:rsid w:val="0000572D"/>
    <w:rsid w:val="0000577A"/>
    <w:rsid w:val="000057C9"/>
    <w:rsid w:val="00005C99"/>
    <w:rsid w:val="0000708C"/>
    <w:rsid w:val="000108AF"/>
    <w:rsid w:val="000130B2"/>
    <w:rsid w:val="00013C12"/>
    <w:rsid w:val="00020421"/>
    <w:rsid w:val="00020C8F"/>
    <w:rsid w:val="000222A5"/>
    <w:rsid w:val="0002231D"/>
    <w:rsid w:val="00023258"/>
    <w:rsid w:val="00024082"/>
    <w:rsid w:val="00024B16"/>
    <w:rsid w:val="0002615F"/>
    <w:rsid w:val="00030BA4"/>
    <w:rsid w:val="000333F8"/>
    <w:rsid w:val="0003343D"/>
    <w:rsid w:val="0003366A"/>
    <w:rsid w:val="00035F31"/>
    <w:rsid w:val="00036183"/>
    <w:rsid w:val="00040AB4"/>
    <w:rsid w:val="00041195"/>
    <w:rsid w:val="00041AE5"/>
    <w:rsid w:val="00042B55"/>
    <w:rsid w:val="0004436D"/>
    <w:rsid w:val="0004537E"/>
    <w:rsid w:val="00051598"/>
    <w:rsid w:val="000515AF"/>
    <w:rsid w:val="00051792"/>
    <w:rsid w:val="00052754"/>
    <w:rsid w:val="0005628A"/>
    <w:rsid w:val="00056683"/>
    <w:rsid w:val="00060798"/>
    <w:rsid w:val="00061863"/>
    <w:rsid w:val="000634D5"/>
    <w:rsid w:val="00063F93"/>
    <w:rsid w:val="00064FF2"/>
    <w:rsid w:val="00065447"/>
    <w:rsid w:val="00065DEF"/>
    <w:rsid w:val="00067CC1"/>
    <w:rsid w:val="00070103"/>
    <w:rsid w:val="0007085D"/>
    <w:rsid w:val="000717B4"/>
    <w:rsid w:val="00072C31"/>
    <w:rsid w:val="00073873"/>
    <w:rsid w:val="00074117"/>
    <w:rsid w:val="00074626"/>
    <w:rsid w:val="00074A44"/>
    <w:rsid w:val="000751B1"/>
    <w:rsid w:val="00076C91"/>
    <w:rsid w:val="0007764C"/>
    <w:rsid w:val="000802D1"/>
    <w:rsid w:val="000805DB"/>
    <w:rsid w:val="00081B50"/>
    <w:rsid w:val="00083285"/>
    <w:rsid w:val="0008449C"/>
    <w:rsid w:val="000900B7"/>
    <w:rsid w:val="0009029A"/>
    <w:rsid w:val="00090892"/>
    <w:rsid w:val="00091E11"/>
    <w:rsid w:val="000937E0"/>
    <w:rsid w:val="00093E78"/>
    <w:rsid w:val="00094693"/>
    <w:rsid w:val="00095009"/>
    <w:rsid w:val="00095021"/>
    <w:rsid w:val="00095BD5"/>
    <w:rsid w:val="00096CD2"/>
    <w:rsid w:val="00097833"/>
    <w:rsid w:val="000978AE"/>
    <w:rsid w:val="000A253A"/>
    <w:rsid w:val="000A32C4"/>
    <w:rsid w:val="000A3424"/>
    <w:rsid w:val="000A3E16"/>
    <w:rsid w:val="000A4838"/>
    <w:rsid w:val="000A56B0"/>
    <w:rsid w:val="000A6C45"/>
    <w:rsid w:val="000B24FC"/>
    <w:rsid w:val="000B4ED1"/>
    <w:rsid w:val="000B6ADE"/>
    <w:rsid w:val="000B700F"/>
    <w:rsid w:val="000B7D54"/>
    <w:rsid w:val="000C0EEA"/>
    <w:rsid w:val="000C2133"/>
    <w:rsid w:val="000C2473"/>
    <w:rsid w:val="000C2C46"/>
    <w:rsid w:val="000C4ECF"/>
    <w:rsid w:val="000C53E5"/>
    <w:rsid w:val="000C686D"/>
    <w:rsid w:val="000C777B"/>
    <w:rsid w:val="000C7D6D"/>
    <w:rsid w:val="000D1B21"/>
    <w:rsid w:val="000D325F"/>
    <w:rsid w:val="000D4947"/>
    <w:rsid w:val="000D4CDF"/>
    <w:rsid w:val="000D6640"/>
    <w:rsid w:val="000D703E"/>
    <w:rsid w:val="000E039C"/>
    <w:rsid w:val="000E0F2B"/>
    <w:rsid w:val="000E3754"/>
    <w:rsid w:val="000E38C4"/>
    <w:rsid w:val="000E5914"/>
    <w:rsid w:val="000E5DF7"/>
    <w:rsid w:val="000F0C23"/>
    <w:rsid w:val="000F1C20"/>
    <w:rsid w:val="000F47AE"/>
    <w:rsid w:val="00100463"/>
    <w:rsid w:val="00100722"/>
    <w:rsid w:val="00101256"/>
    <w:rsid w:val="00104AAE"/>
    <w:rsid w:val="0010529B"/>
    <w:rsid w:val="001055F6"/>
    <w:rsid w:val="001077F1"/>
    <w:rsid w:val="00110DFF"/>
    <w:rsid w:val="0011306E"/>
    <w:rsid w:val="00113085"/>
    <w:rsid w:val="00114AF2"/>
    <w:rsid w:val="00116DCA"/>
    <w:rsid w:val="00117770"/>
    <w:rsid w:val="001178C0"/>
    <w:rsid w:val="00117973"/>
    <w:rsid w:val="0012041D"/>
    <w:rsid w:val="001217DC"/>
    <w:rsid w:val="001227A5"/>
    <w:rsid w:val="00123180"/>
    <w:rsid w:val="001231FB"/>
    <w:rsid w:val="00123E4B"/>
    <w:rsid w:val="00124631"/>
    <w:rsid w:val="0012480F"/>
    <w:rsid w:val="00124DC8"/>
    <w:rsid w:val="001251DA"/>
    <w:rsid w:val="00126030"/>
    <w:rsid w:val="0012664D"/>
    <w:rsid w:val="00127130"/>
    <w:rsid w:val="00127752"/>
    <w:rsid w:val="001359BF"/>
    <w:rsid w:val="00136002"/>
    <w:rsid w:val="00136090"/>
    <w:rsid w:val="00142EC1"/>
    <w:rsid w:val="00143061"/>
    <w:rsid w:val="001438A7"/>
    <w:rsid w:val="00143C16"/>
    <w:rsid w:val="00143E0C"/>
    <w:rsid w:val="00144321"/>
    <w:rsid w:val="00144997"/>
    <w:rsid w:val="001449C0"/>
    <w:rsid w:val="00144A99"/>
    <w:rsid w:val="0014573D"/>
    <w:rsid w:val="001479EA"/>
    <w:rsid w:val="001516EF"/>
    <w:rsid w:val="001521F5"/>
    <w:rsid w:val="00154F95"/>
    <w:rsid w:val="00156DEC"/>
    <w:rsid w:val="00160D02"/>
    <w:rsid w:val="00165A78"/>
    <w:rsid w:val="0016629F"/>
    <w:rsid w:val="0016735C"/>
    <w:rsid w:val="00167D18"/>
    <w:rsid w:val="00172A27"/>
    <w:rsid w:val="00172C55"/>
    <w:rsid w:val="001755E0"/>
    <w:rsid w:val="00176A8F"/>
    <w:rsid w:val="001776E9"/>
    <w:rsid w:val="0017796F"/>
    <w:rsid w:val="00181C30"/>
    <w:rsid w:val="001838F4"/>
    <w:rsid w:val="00183FD8"/>
    <w:rsid w:val="00185554"/>
    <w:rsid w:val="00187956"/>
    <w:rsid w:val="00187ACB"/>
    <w:rsid w:val="001900DA"/>
    <w:rsid w:val="00190BB3"/>
    <w:rsid w:val="00190E22"/>
    <w:rsid w:val="001918C6"/>
    <w:rsid w:val="00191D2C"/>
    <w:rsid w:val="00192A92"/>
    <w:rsid w:val="00192F9B"/>
    <w:rsid w:val="00193987"/>
    <w:rsid w:val="00194671"/>
    <w:rsid w:val="00195141"/>
    <w:rsid w:val="001958F0"/>
    <w:rsid w:val="00195AE8"/>
    <w:rsid w:val="00197F6E"/>
    <w:rsid w:val="001A2720"/>
    <w:rsid w:val="001A4FB9"/>
    <w:rsid w:val="001A60D4"/>
    <w:rsid w:val="001B39DC"/>
    <w:rsid w:val="001C1B4B"/>
    <w:rsid w:val="001C4B18"/>
    <w:rsid w:val="001C78E1"/>
    <w:rsid w:val="001C7CF7"/>
    <w:rsid w:val="001D0585"/>
    <w:rsid w:val="001D1627"/>
    <w:rsid w:val="001D1A30"/>
    <w:rsid w:val="001D246D"/>
    <w:rsid w:val="001D5094"/>
    <w:rsid w:val="001E15DC"/>
    <w:rsid w:val="001E2B7E"/>
    <w:rsid w:val="001E49FB"/>
    <w:rsid w:val="001E4C06"/>
    <w:rsid w:val="001E5FA8"/>
    <w:rsid w:val="001E727B"/>
    <w:rsid w:val="001E7EA4"/>
    <w:rsid w:val="001F1200"/>
    <w:rsid w:val="001F1BF1"/>
    <w:rsid w:val="001F2162"/>
    <w:rsid w:val="001F31C9"/>
    <w:rsid w:val="001F3711"/>
    <w:rsid w:val="001F5D71"/>
    <w:rsid w:val="001F63B8"/>
    <w:rsid w:val="001F7A80"/>
    <w:rsid w:val="00200A5D"/>
    <w:rsid w:val="00200B7C"/>
    <w:rsid w:val="00203719"/>
    <w:rsid w:val="00205B61"/>
    <w:rsid w:val="00205B81"/>
    <w:rsid w:val="002103F8"/>
    <w:rsid w:val="00210780"/>
    <w:rsid w:val="00211282"/>
    <w:rsid w:val="00211468"/>
    <w:rsid w:val="002116C9"/>
    <w:rsid w:val="00212844"/>
    <w:rsid w:val="0021323B"/>
    <w:rsid w:val="002133F7"/>
    <w:rsid w:val="002151D9"/>
    <w:rsid w:val="00215290"/>
    <w:rsid w:val="00215CC1"/>
    <w:rsid w:val="00215CF9"/>
    <w:rsid w:val="002162A9"/>
    <w:rsid w:val="00216A25"/>
    <w:rsid w:val="0022006D"/>
    <w:rsid w:val="0022006E"/>
    <w:rsid w:val="00223690"/>
    <w:rsid w:val="00224158"/>
    <w:rsid w:val="00227A53"/>
    <w:rsid w:val="002302FA"/>
    <w:rsid w:val="002324D7"/>
    <w:rsid w:val="00232977"/>
    <w:rsid w:val="00232B94"/>
    <w:rsid w:val="00236B94"/>
    <w:rsid w:val="00236EBB"/>
    <w:rsid w:val="00241828"/>
    <w:rsid w:val="00241EDB"/>
    <w:rsid w:val="00242209"/>
    <w:rsid w:val="0024477B"/>
    <w:rsid w:val="002456AB"/>
    <w:rsid w:val="00246565"/>
    <w:rsid w:val="00246C6E"/>
    <w:rsid w:val="00246D15"/>
    <w:rsid w:val="0025169C"/>
    <w:rsid w:val="00251FB1"/>
    <w:rsid w:val="002523B1"/>
    <w:rsid w:val="002538EE"/>
    <w:rsid w:val="00253BC1"/>
    <w:rsid w:val="00254EAC"/>
    <w:rsid w:val="0025505E"/>
    <w:rsid w:val="002555F2"/>
    <w:rsid w:val="0025563E"/>
    <w:rsid w:val="002572F4"/>
    <w:rsid w:val="00257797"/>
    <w:rsid w:val="002577DD"/>
    <w:rsid w:val="00257D3A"/>
    <w:rsid w:val="002601DA"/>
    <w:rsid w:val="00261D22"/>
    <w:rsid w:val="00262693"/>
    <w:rsid w:val="00262EE9"/>
    <w:rsid w:val="00265426"/>
    <w:rsid w:val="00266B79"/>
    <w:rsid w:val="002671AE"/>
    <w:rsid w:val="00267B60"/>
    <w:rsid w:val="00272E3F"/>
    <w:rsid w:val="00272E97"/>
    <w:rsid w:val="00273027"/>
    <w:rsid w:val="00276317"/>
    <w:rsid w:val="002804F0"/>
    <w:rsid w:val="0028156E"/>
    <w:rsid w:val="00283DC4"/>
    <w:rsid w:val="00286151"/>
    <w:rsid w:val="002870F4"/>
    <w:rsid w:val="002925B4"/>
    <w:rsid w:val="0029274C"/>
    <w:rsid w:val="002929B7"/>
    <w:rsid w:val="00293833"/>
    <w:rsid w:val="00295423"/>
    <w:rsid w:val="0029559A"/>
    <w:rsid w:val="00297388"/>
    <w:rsid w:val="002978AF"/>
    <w:rsid w:val="002A0B84"/>
    <w:rsid w:val="002A0CC2"/>
    <w:rsid w:val="002A2345"/>
    <w:rsid w:val="002A38E4"/>
    <w:rsid w:val="002A63D2"/>
    <w:rsid w:val="002B0F15"/>
    <w:rsid w:val="002B0FA9"/>
    <w:rsid w:val="002B1122"/>
    <w:rsid w:val="002B2848"/>
    <w:rsid w:val="002B3F09"/>
    <w:rsid w:val="002B60D8"/>
    <w:rsid w:val="002C024C"/>
    <w:rsid w:val="002C10F1"/>
    <w:rsid w:val="002C2915"/>
    <w:rsid w:val="002C5983"/>
    <w:rsid w:val="002D0635"/>
    <w:rsid w:val="002D380B"/>
    <w:rsid w:val="002D59F0"/>
    <w:rsid w:val="002D5DBA"/>
    <w:rsid w:val="002D6896"/>
    <w:rsid w:val="002D6E2E"/>
    <w:rsid w:val="002E1768"/>
    <w:rsid w:val="002E2FEA"/>
    <w:rsid w:val="002E42B8"/>
    <w:rsid w:val="002E4B30"/>
    <w:rsid w:val="002E5D73"/>
    <w:rsid w:val="002F03B5"/>
    <w:rsid w:val="002F11AB"/>
    <w:rsid w:val="002F2238"/>
    <w:rsid w:val="002F332A"/>
    <w:rsid w:val="002F38A9"/>
    <w:rsid w:val="002F42E0"/>
    <w:rsid w:val="002F6044"/>
    <w:rsid w:val="002F7CA3"/>
    <w:rsid w:val="0030037A"/>
    <w:rsid w:val="00300477"/>
    <w:rsid w:val="00300667"/>
    <w:rsid w:val="00300714"/>
    <w:rsid w:val="003012EC"/>
    <w:rsid w:val="003021D4"/>
    <w:rsid w:val="003040E5"/>
    <w:rsid w:val="003045D0"/>
    <w:rsid w:val="00304CC5"/>
    <w:rsid w:val="00304D26"/>
    <w:rsid w:val="00304F35"/>
    <w:rsid w:val="00305DBE"/>
    <w:rsid w:val="00307E85"/>
    <w:rsid w:val="00310863"/>
    <w:rsid w:val="00310906"/>
    <w:rsid w:val="003123E4"/>
    <w:rsid w:val="00314D92"/>
    <w:rsid w:val="0031679B"/>
    <w:rsid w:val="003176FB"/>
    <w:rsid w:val="00320766"/>
    <w:rsid w:val="00321143"/>
    <w:rsid w:val="003229F9"/>
    <w:rsid w:val="00322AD2"/>
    <w:rsid w:val="0032395C"/>
    <w:rsid w:val="00327234"/>
    <w:rsid w:val="00327C33"/>
    <w:rsid w:val="00327FA2"/>
    <w:rsid w:val="0033073A"/>
    <w:rsid w:val="0033154F"/>
    <w:rsid w:val="00331586"/>
    <w:rsid w:val="003316B1"/>
    <w:rsid w:val="003345B5"/>
    <w:rsid w:val="00334C37"/>
    <w:rsid w:val="003354CD"/>
    <w:rsid w:val="003359B7"/>
    <w:rsid w:val="00337224"/>
    <w:rsid w:val="003415FC"/>
    <w:rsid w:val="003422D9"/>
    <w:rsid w:val="00342C14"/>
    <w:rsid w:val="003430E6"/>
    <w:rsid w:val="0034503B"/>
    <w:rsid w:val="0034600A"/>
    <w:rsid w:val="003472B4"/>
    <w:rsid w:val="003473FE"/>
    <w:rsid w:val="003512B9"/>
    <w:rsid w:val="0035164B"/>
    <w:rsid w:val="00351B9B"/>
    <w:rsid w:val="0035461B"/>
    <w:rsid w:val="00354F46"/>
    <w:rsid w:val="00360468"/>
    <w:rsid w:val="00360690"/>
    <w:rsid w:val="003617C6"/>
    <w:rsid w:val="0036207F"/>
    <w:rsid w:val="0036490E"/>
    <w:rsid w:val="00365053"/>
    <w:rsid w:val="00365454"/>
    <w:rsid w:val="0036646D"/>
    <w:rsid w:val="00366E23"/>
    <w:rsid w:val="003700EC"/>
    <w:rsid w:val="00370579"/>
    <w:rsid w:val="00372ECA"/>
    <w:rsid w:val="003743B5"/>
    <w:rsid w:val="00375497"/>
    <w:rsid w:val="00376926"/>
    <w:rsid w:val="003815D1"/>
    <w:rsid w:val="003845EC"/>
    <w:rsid w:val="00387DA6"/>
    <w:rsid w:val="003929CD"/>
    <w:rsid w:val="003961A8"/>
    <w:rsid w:val="00397C2C"/>
    <w:rsid w:val="003A0990"/>
    <w:rsid w:val="003A1776"/>
    <w:rsid w:val="003A1BF9"/>
    <w:rsid w:val="003A1E1D"/>
    <w:rsid w:val="003A1F08"/>
    <w:rsid w:val="003A36BF"/>
    <w:rsid w:val="003A5011"/>
    <w:rsid w:val="003A7CDC"/>
    <w:rsid w:val="003B0AA8"/>
    <w:rsid w:val="003B0CFD"/>
    <w:rsid w:val="003B1B60"/>
    <w:rsid w:val="003B3731"/>
    <w:rsid w:val="003B5342"/>
    <w:rsid w:val="003B54E5"/>
    <w:rsid w:val="003B6647"/>
    <w:rsid w:val="003C098E"/>
    <w:rsid w:val="003C537B"/>
    <w:rsid w:val="003C542C"/>
    <w:rsid w:val="003C558D"/>
    <w:rsid w:val="003C5B6D"/>
    <w:rsid w:val="003C5F47"/>
    <w:rsid w:val="003C61AB"/>
    <w:rsid w:val="003C6ACC"/>
    <w:rsid w:val="003D1E52"/>
    <w:rsid w:val="003D2C49"/>
    <w:rsid w:val="003D3234"/>
    <w:rsid w:val="003D36C1"/>
    <w:rsid w:val="003D3DC7"/>
    <w:rsid w:val="003D51AF"/>
    <w:rsid w:val="003D584D"/>
    <w:rsid w:val="003D6508"/>
    <w:rsid w:val="003D6720"/>
    <w:rsid w:val="003E011F"/>
    <w:rsid w:val="003E25FD"/>
    <w:rsid w:val="003E3D0D"/>
    <w:rsid w:val="003E40D6"/>
    <w:rsid w:val="003E44C3"/>
    <w:rsid w:val="003E44CF"/>
    <w:rsid w:val="003E5294"/>
    <w:rsid w:val="003E5402"/>
    <w:rsid w:val="003E716D"/>
    <w:rsid w:val="003F2D50"/>
    <w:rsid w:val="003F2FA1"/>
    <w:rsid w:val="003F3A95"/>
    <w:rsid w:val="003F3C8A"/>
    <w:rsid w:val="003F4285"/>
    <w:rsid w:val="003F4F8E"/>
    <w:rsid w:val="003F52CF"/>
    <w:rsid w:val="00401B71"/>
    <w:rsid w:val="00401D5C"/>
    <w:rsid w:val="00401FE2"/>
    <w:rsid w:val="0040235E"/>
    <w:rsid w:val="00402A18"/>
    <w:rsid w:val="00402BFE"/>
    <w:rsid w:val="00403C7A"/>
    <w:rsid w:val="00405450"/>
    <w:rsid w:val="004054A5"/>
    <w:rsid w:val="004068BE"/>
    <w:rsid w:val="00410323"/>
    <w:rsid w:val="00414142"/>
    <w:rsid w:val="004143F0"/>
    <w:rsid w:val="004160F4"/>
    <w:rsid w:val="00416A76"/>
    <w:rsid w:val="0041789F"/>
    <w:rsid w:val="00421013"/>
    <w:rsid w:val="0042121D"/>
    <w:rsid w:val="00421775"/>
    <w:rsid w:val="004220D3"/>
    <w:rsid w:val="004224B3"/>
    <w:rsid w:val="004230B3"/>
    <w:rsid w:val="0042352D"/>
    <w:rsid w:val="0042478B"/>
    <w:rsid w:val="004247D1"/>
    <w:rsid w:val="00424C58"/>
    <w:rsid w:val="00425550"/>
    <w:rsid w:val="00425D2E"/>
    <w:rsid w:val="004270DA"/>
    <w:rsid w:val="00427B03"/>
    <w:rsid w:val="0043175C"/>
    <w:rsid w:val="004327B0"/>
    <w:rsid w:val="00433196"/>
    <w:rsid w:val="00436A94"/>
    <w:rsid w:val="00444EB6"/>
    <w:rsid w:val="00445D40"/>
    <w:rsid w:val="0044758A"/>
    <w:rsid w:val="004510C0"/>
    <w:rsid w:val="00451CEC"/>
    <w:rsid w:val="00451D6C"/>
    <w:rsid w:val="00454559"/>
    <w:rsid w:val="00454E15"/>
    <w:rsid w:val="004610C6"/>
    <w:rsid w:val="00462139"/>
    <w:rsid w:val="00462981"/>
    <w:rsid w:val="004636B8"/>
    <w:rsid w:val="004647B9"/>
    <w:rsid w:val="00465011"/>
    <w:rsid w:val="0046592B"/>
    <w:rsid w:val="00470677"/>
    <w:rsid w:val="00470D4F"/>
    <w:rsid w:val="0047140C"/>
    <w:rsid w:val="00471E1C"/>
    <w:rsid w:val="0047341F"/>
    <w:rsid w:val="004734C5"/>
    <w:rsid w:val="00473CC6"/>
    <w:rsid w:val="0047558F"/>
    <w:rsid w:val="00475771"/>
    <w:rsid w:val="004769EB"/>
    <w:rsid w:val="00476E42"/>
    <w:rsid w:val="00477B8F"/>
    <w:rsid w:val="0048035F"/>
    <w:rsid w:val="00481737"/>
    <w:rsid w:val="00481CDD"/>
    <w:rsid w:val="004820A7"/>
    <w:rsid w:val="004821F5"/>
    <w:rsid w:val="00482DBE"/>
    <w:rsid w:val="00482F30"/>
    <w:rsid w:val="00483B20"/>
    <w:rsid w:val="00483BB2"/>
    <w:rsid w:val="00484862"/>
    <w:rsid w:val="0048538A"/>
    <w:rsid w:val="004856A1"/>
    <w:rsid w:val="004861E8"/>
    <w:rsid w:val="00490993"/>
    <w:rsid w:val="0049151A"/>
    <w:rsid w:val="00492128"/>
    <w:rsid w:val="004931D6"/>
    <w:rsid w:val="0049507B"/>
    <w:rsid w:val="0049649A"/>
    <w:rsid w:val="00496993"/>
    <w:rsid w:val="00496FFA"/>
    <w:rsid w:val="004A06F4"/>
    <w:rsid w:val="004A1F86"/>
    <w:rsid w:val="004A22DE"/>
    <w:rsid w:val="004A2C34"/>
    <w:rsid w:val="004A31DE"/>
    <w:rsid w:val="004A31EF"/>
    <w:rsid w:val="004A4261"/>
    <w:rsid w:val="004A5895"/>
    <w:rsid w:val="004A685D"/>
    <w:rsid w:val="004B0462"/>
    <w:rsid w:val="004B3ECD"/>
    <w:rsid w:val="004B4843"/>
    <w:rsid w:val="004B517B"/>
    <w:rsid w:val="004B5E42"/>
    <w:rsid w:val="004B6E40"/>
    <w:rsid w:val="004C1FD4"/>
    <w:rsid w:val="004C23C0"/>
    <w:rsid w:val="004C2A88"/>
    <w:rsid w:val="004C4045"/>
    <w:rsid w:val="004C68A4"/>
    <w:rsid w:val="004C6AF1"/>
    <w:rsid w:val="004C6F55"/>
    <w:rsid w:val="004C748B"/>
    <w:rsid w:val="004C7664"/>
    <w:rsid w:val="004D3AEC"/>
    <w:rsid w:val="004D6C41"/>
    <w:rsid w:val="004D79B4"/>
    <w:rsid w:val="004E2103"/>
    <w:rsid w:val="004E4865"/>
    <w:rsid w:val="004E5137"/>
    <w:rsid w:val="004F03EA"/>
    <w:rsid w:val="004F57A2"/>
    <w:rsid w:val="004F6BE1"/>
    <w:rsid w:val="004F73E0"/>
    <w:rsid w:val="00501CC4"/>
    <w:rsid w:val="00502AE1"/>
    <w:rsid w:val="005056CB"/>
    <w:rsid w:val="005069F0"/>
    <w:rsid w:val="00507ADE"/>
    <w:rsid w:val="00511162"/>
    <w:rsid w:val="00513188"/>
    <w:rsid w:val="00514D25"/>
    <w:rsid w:val="00515B66"/>
    <w:rsid w:val="0051624A"/>
    <w:rsid w:val="00517DC0"/>
    <w:rsid w:val="00521B88"/>
    <w:rsid w:val="005220B9"/>
    <w:rsid w:val="00522445"/>
    <w:rsid w:val="00523FCB"/>
    <w:rsid w:val="00524A33"/>
    <w:rsid w:val="005258FB"/>
    <w:rsid w:val="00527E44"/>
    <w:rsid w:val="00530CAD"/>
    <w:rsid w:val="00532A43"/>
    <w:rsid w:val="00532D21"/>
    <w:rsid w:val="00533D4D"/>
    <w:rsid w:val="00534DAB"/>
    <w:rsid w:val="00534E21"/>
    <w:rsid w:val="0053605D"/>
    <w:rsid w:val="005367B1"/>
    <w:rsid w:val="00536CDE"/>
    <w:rsid w:val="005371C9"/>
    <w:rsid w:val="00537E30"/>
    <w:rsid w:val="00540DBC"/>
    <w:rsid w:val="00543054"/>
    <w:rsid w:val="00545C29"/>
    <w:rsid w:val="00545FA5"/>
    <w:rsid w:val="00547B4D"/>
    <w:rsid w:val="00550AF6"/>
    <w:rsid w:val="00551ECE"/>
    <w:rsid w:val="00552450"/>
    <w:rsid w:val="00552A46"/>
    <w:rsid w:val="00553955"/>
    <w:rsid w:val="00554A14"/>
    <w:rsid w:val="00555115"/>
    <w:rsid w:val="005551A7"/>
    <w:rsid w:val="00556667"/>
    <w:rsid w:val="00556B7F"/>
    <w:rsid w:val="00562430"/>
    <w:rsid w:val="00562671"/>
    <w:rsid w:val="00563691"/>
    <w:rsid w:val="00563B3E"/>
    <w:rsid w:val="00564AE5"/>
    <w:rsid w:val="00567897"/>
    <w:rsid w:val="0057007D"/>
    <w:rsid w:val="005701CE"/>
    <w:rsid w:val="00571EBA"/>
    <w:rsid w:val="0057261A"/>
    <w:rsid w:val="00573039"/>
    <w:rsid w:val="00573167"/>
    <w:rsid w:val="0057523D"/>
    <w:rsid w:val="005769C8"/>
    <w:rsid w:val="005800DA"/>
    <w:rsid w:val="00581ACC"/>
    <w:rsid w:val="00583753"/>
    <w:rsid w:val="00584480"/>
    <w:rsid w:val="00585710"/>
    <w:rsid w:val="00590CA1"/>
    <w:rsid w:val="005915E4"/>
    <w:rsid w:val="00591C7D"/>
    <w:rsid w:val="00592B58"/>
    <w:rsid w:val="00595762"/>
    <w:rsid w:val="005967FC"/>
    <w:rsid w:val="00597770"/>
    <w:rsid w:val="005A037C"/>
    <w:rsid w:val="005A3245"/>
    <w:rsid w:val="005A343B"/>
    <w:rsid w:val="005A396F"/>
    <w:rsid w:val="005A4552"/>
    <w:rsid w:val="005A4EA5"/>
    <w:rsid w:val="005A5168"/>
    <w:rsid w:val="005A6151"/>
    <w:rsid w:val="005B06C4"/>
    <w:rsid w:val="005B0C52"/>
    <w:rsid w:val="005B0D21"/>
    <w:rsid w:val="005B2B27"/>
    <w:rsid w:val="005B2DFA"/>
    <w:rsid w:val="005B40EA"/>
    <w:rsid w:val="005B51BF"/>
    <w:rsid w:val="005B5763"/>
    <w:rsid w:val="005B67CB"/>
    <w:rsid w:val="005B69FF"/>
    <w:rsid w:val="005C0477"/>
    <w:rsid w:val="005C189E"/>
    <w:rsid w:val="005C21F9"/>
    <w:rsid w:val="005C3898"/>
    <w:rsid w:val="005C6504"/>
    <w:rsid w:val="005D0B3C"/>
    <w:rsid w:val="005D17B6"/>
    <w:rsid w:val="005D2194"/>
    <w:rsid w:val="005D2532"/>
    <w:rsid w:val="005D5895"/>
    <w:rsid w:val="005D60B3"/>
    <w:rsid w:val="005D7254"/>
    <w:rsid w:val="005E1C77"/>
    <w:rsid w:val="005E3555"/>
    <w:rsid w:val="005E37D9"/>
    <w:rsid w:val="005E4FDD"/>
    <w:rsid w:val="005E58AC"/>
    <w:rsid w:val="005E5926"/>
    <w:rsid w:val="005E5EB0"/>
    <w:rsid w:val="005F089F"/>
    <w:rsid w:val="005F142F"/>
    <w:rsid w:val="005F1E15"/>
    <w:rsid w:val="005F20E3"/>
    <w:rsid w:val="005F4B0F"/>
    <w:rsid w:val="005F4BFB"/>
    <w:rsid w:val="005F4E84"/>
    <w:rsid w:val="005F672E"/>
    <w:rsid w:val="005F6A70"/>
    <w:rsid w:val="0060400F"/>
    <w:rsid w:val="00604B73"/>
    <w:rsid w:val="0061029D"/>
    <w:rsid w:val="00611749"/>
    <w:rsid w:val="00615783"/>
    <w:rsid w:val="00617E2B"/>
    <w:rsid w:val="006205BA"/>
    <w:rsid w:val="00620E3C"/>
    <w:rsid w:val="006242DE"/>
    <w:rsid w:val="00624F8A"/>
    <w:rsid w:val="00626F9A"/>
    <w:rsid w:val="00627BB2"/>
    <w:rsid w:val="00631231"/>
    <w:rsid w:val="006339EA"/>
    <w:rsid w:val="00633C19"/>
    <w:rsid w:val="00634DE7"/>
    <w:rsid w:val="00635622"/>
    <w:rsid w:val="006378C1"/>
    <w:rsid w:val="00637FB7"/>
    <w:rsid w:val="0064047C"/>
    <w:rsid w:val="0064168A"/>
    <w:rsid w:val="00642103"/>
    <w:rsid w:val="00642C33"/>
    <w:rsid w:val="006436AA"/>
    <w:rsid w:val="00647BB3"/>
    <w:rsid w:val="00647FA1"/>
    <w:rsid w:val="006514D0"/>
    <w:rsid w:val="0065212D"/>
    <w:rsid w:val="006525C2"/>
    <w:rsid w:val="00654184"/>
    <w:rsid w:val="00654E56"/>
    <w:rsid w:val="0065505B"/>
    <w:rsid w:val="00656189"/>
    <w:rsid w:val="00656D44"/>
    <w:rsid w:val="00656FCA"/>
    <w:rsid w:val="0065743A"/>
    <w:rsid w:val="00657BE7"/>
    <w:rsid w:val="00657E7F"/>
    <w:rsid w:val="0066250C"/>
    <w:rsid w:val="0066587F"/>
    <w:rsid w:val="00667053"/>
    <w:rsid w:val="00667525"/>
    <w:rsid w:val="00670BE9"/>
    <w:rsid w:val="00671554"/>
    <w:rsid w:val="006716CF"/>
    <w:rsid w:val="00671D67"/>
    <w:rsid w:val="00675588"/>
    <w:rsid w:val="00675C22"/>
    <w:rsid w:val="006765B1"/>
    <w:rsid w:val="006765EF"/>
    <w:rsid w:val="006802CF"/>
    <w:rsid w:val="00682028"/>
    <w:rsid w:val="0068210D"/>
    <w:rsid w:val="0068263E"/>
    <w:rsid w:val="00683974"/>
    <w:rsid w:val="006842E8"/>
    <w:rsid w:val="00685594"/>
    <w:rsid w:val="00685C66"/>
    <w:rsid w:val="0068606C"/>
    <w:rsid w:val="00686350"/>
    <w:rsid w:val="00686FB3"/>
    <w:rsid w:val="006924EC"/>
    <w:rsid w:val="006930FC"/>
    <w:rsid w:val="00693895"/>
    <w:rsid w:val="00696B78"/>
    <w:rsid w:val="00697509"/>
    <w:rsid w:val="00697D0D"/>
    <w:rsid w:val="006A17D6"/>
    <w:rsid w:val="006A1FA1"/>
    <w:rsid w:val="006A3FB9"/>
    <w:rsid w:val="006A4E28"/>
    <w:rsid w:val="006B1416"/>
    <w:rsid w:val="006B17DA"/>
    <w:rsid w:val="006B39F4"/>
    <w:rsid w:val="006B3E8B"/>
    <w:rsid w:val="006B45FE"/>
    <w:rsid w:val="006B7B81"/>
    <w:rsid w:val="006C178A"/>
    <w:rsid w:val="006C2861"/>
    <w:rsid w:val="006C4100"/>
    <w:rsid w:val="006C48B9"/>
    <w:rsid w:val="006C5E22"/>
    <w:rsid w:val="006C6465"/>
    <w:rsid w:val="006C6A9B"/>
    <w:rsid w:val="006C7B20"/>
    <w:rsid w:val="006C7F62"/>
    <w:rsid w:val="006D24DD"/>
    <w:rsid w:val="006D3E63"/>
    <w:rsid w:val="006D5C7F"/>
    <w:rsid w:val="006D5EBD"/>
    <w:rsid w:val="006D5F14"/>
    <w:rsid w:val="006D7DF1"/>
    <w:rsid w:val="006E105E"/>
    <w:rsid w:val="006E1485"/>
    <w:rsid w:val="006E2696"/>
    <w:rsid w:val="006E3F93"/>
    <w:rsid w:val="006E4E52"/>
    <w:rsid w:val="006F0BEF"/>
    <w:rsid w:val="006F1250"/>
    <w:rsid w:val="006F2015"/>
    <w:rsid w:val="006F3DBD"/>
    <w:rsid w:val="006F4F5B"/>
    <w:rsid w:val="006F7749"/>
    <w:rsid w:val="007000AA"/>
    <w:rsid w:val="00704367"/>
    <w:rsid w:val="00704997"/>
    <w:rsid w:val="007122E0"/>
    <w:rsid w:val="007124FD"/>
    <w:rsid w:val="00712738"/>
    <w:rsid w:val="00712C5B"/>
    <w:rsid w:val="00712CD2"/>
    <w:rsid w:val="00714CBE"/>
    <w:rsid w:val="0071611B"/>
    <w:rsid w:val="00716761"/>
    <w:rsid w:val="00716F6F"/>
    <w:rsid w:val="00717A7F"/>
    <w:rsid w:val="007217FF"/>
    <w:rsid w:val="00722DCD"/>
    <w:rsid w:val="00725DC0"/>
    <w:rsid w:val="007279F1"/>
    <w:rsid w:val="00731652"/>
    <w:rsid w:val="0073208E"/>
    <w:rsid w:val="007322F0"/>
    <w:rsid w:val="00735134"/>
    <w:rsid w:val="007411D4"/>
    <w:rsid w:val="007411E8"/>
    <w:rsid w:val="0074168A"/>
    <w:rsid w:val="00741FEF"/>
    <w:rsid w:val="00743A3A"/>
    <w:rsid w:val="00745098"/>
    <w:rsid w:val="00752745"/>
    <w:rsid w:val="0075371C"/>
    <w:rsid w:val="00753EC1"/>
    <w:rsid w:val="00754138"/>
    <w:rsid w:val="0075529A"/>
    <w:rsid w:val="00755FEF"/>
    <w:rsid w:val="00757835"/>
    <w:rsid w:val="00760045"/>
    <w:rsid w:val="007613B8"/>
    <w:rsid w:val="007614ED"/>
    <w:rsid w:val="00761EFC"/>
    <w:rsid w:val="00762BC8"/>
    <w:rsid w:val="00762D34"/>
    <w:rsid w:val="00765093"/>
    <w:rsid w:val="00765628"/>
    <w:rsid w:val="00765E11"/>
    <w:rsid w:val="0076641C"/>
    <w:rsid w:val="0076677D"/>
    <w:rsid w:val="00770301"/>
    <w:rsid w:val="00772EF8"/>
    <w:rsid w:val="00773CDC"/>
    <w:rsid w:val="0077417B"/>
    <w:rsid w:val="0077557C"/>
    <w:rsid w:val="00777677"/>
    <w:rsid w:val="007778E3"/>
    <w:rsid w:val="00780CD3"/>
    <w:rsid w:val="00783362"/>
    <w:rsid w:val="0078768C"/>
    <w:rsid w:val="007876AE"/>
    <w:rsid w:val="007879E4"/>
    <w:rsid w:val="00790ABB"/>
    <w:rsid w:val="00790B23"/>
    <w:rsid w:val="0079330F"/>
    <w:rsid w:val="007962E9"/>
    <w:rsid w:val="00797782"/>
    <w:rsid w:val="00797AC4"/>
    <w:rsid w:val="007A0126"/>
    <w:rsid w:val="007A0241"/>
    <w:rsid w:val="007A04A7"/>
    <w:rsid w:val="007A0B15"/>
    <w:rsid w:val="007A19A8"/>
    <w:rsid w:val="007A4A61"/>
    <w:rsid w:val="007A6DEF"/>
    <w:rsid w:val="007A7998"/>
    <w:rsid w:val="007B08D1"/>
    <w:rsid w:val="007B183A"/>
    <w:rsid w:val="007B19A3"/>
    <w:rsid w:val="007B3E62"/>
    <w:rsid w:val="007C0670"/>
    <w:rsid w:val="007C11FD"/>
    <w:rsid w:val="007C231A"/>
    <w:rsid w:val="007C2437"/>
    <w:rsid w:val="007C2BE2"/>
    <w:rsid w:val="007C3397"/>
    <w:rsid w:val="007C3EAD"/>
    <w:rsid w:val="007C4C82"/>
    <w:rsid w:val="007C7DA3"/>
    <w:rsid w:val="007D01F7"/>
    <w:rsid w:val="007D1E2B"/>
    <w:rsid w:val="007D38B3"/>
    <w:rsid w:val="007D4232"/>
    <w:rsid w:val="007D64F3"/>
    <w:rsid w:val="007E0767"/>
    <w:rsid w:val="007E0D39"/>
    <w:rsid w:val="007E3583"/>
    <w:rsid w:val="007E4214"/>
    <w:rsid w:val="007E47CD"/>
    <w:rsid w:val="007E5DD9"/>
    <w:rsid w:val="007E6981"/>
    <w:rsid w:val="007F040B"/>
    <w:rsid w:val="007F1567"/>
    <w:rsid w:val="007F4032"/>
    <w:rsid w:val="007F7AC6"/>
    <w:rsid w:val="0080111E"/>
    <w:rsid w:val="00801389"/>
    <w:rsid w:val="0080152D"/>
    <w:rsid w:val="008051E0"/>
    <w:rsid w:val="008056E8"/>
    <w:rsid w:val="008059C0"/>
    <w:rsid w:val="00807DE6"/>
    <w:rsid w:val="00811C85"/>
    <w:rsid w:val="0081467D"/>
    <w:rsid w:val="00814872"/>
    <w:rsid w:val="00814BDA"/>
    <w:rsid w:val="00820183"/>
    <w:rsid w:val="00821C97"/>
    <w:rsid w:val="008234CE"/>
    <w:rsid w:val="00824C26"/>
    <w:rsid w:val="00830E46"/>
    <w:rsid w:val="008311E2"/>
    <w:rsid w:val="008316A9"/>
    <w:rsid w:val="0083707F"/>
    <w:rsid w:val="00840DB0"/>
    <w:rsid w:val="00842107"/>
    <w:rsid w:val="0084334B"/>
    <w:rsid w:val="008467B9"/>
    <w:rsid w:val="00847A11"/>
    <w:rsid w:val="00847DD1"/>
    <w:rsid w:val="008512D3"/>
    <w:rsid w:val="0085162C"/>
    <w:rsid w:val="008517BE"/>
    <w:rsid w:val="0085275C"/>
    <w:rsid w:val="00852BF5"/>
    <w:rsid w:val="00852DB1"/>
    <w:rsid w:val="008545EA"/>
    <w:rsid w:val="00854D4E"/>
    <w:rsid w:val="008562B9"/>
    <w:rsid w:val="008603B5"/>
    <w:rsid w:val="00861C14"/>
    <w:rsid w:val="0086293B"/>
    <w:rsid w:val="00863838"/>
    <w:rsid w:val="00864AEA"/>
    <w:rsid w:val="00865B1A"/>
    <w:rsid w:val="00867006"/>
    <w:rsid w:val="00870916"/>
    <w:rsid w:val="0087116F"/>
    <w:rsid w:val="008731E8"/>
    <w:rsid w:val="00873A88"/>
    <w:rsid w:val="0087520D"/>
    <w:rsid w:val="00875DE3"/>
    <w:rsid w:val="00881498"/>
    <w:rsid w:val="008816B3"/>
    <w:rsid w:val="00881782"/>
    <w:rsid w:val="008817A0"/>
    <w:rsid w:val="00882B2E"/>
    <w:rsid w:val="00884550"/>
    <w:rsid w:val="00884998"/>
    <w:rsid w:val="00885923"/>
    <w:rsid w:val="008859FD"/>
    <w:rsid w:val="008879C3"/>
    <w:rsid w:val="00890DA8"/>
    <w:rsid w:val="0089193F"/>
    <w:rsid w:val="00891AF1"/>
    <w:rsid w:val="00896368"/>
    <w:rsid w:val="0089696D"/>
    <w:rsid w:val="00897104"/>
    <w:rsid w:val="008A086B"/>
    <w:rsid w:val="008A147D"/>
    <w:rsid w:val="008A151D"/>
    <w:rsid w:val="008A26C9"/>
    <w:rsid w:val="008A32E3"/>
    <w:rsid w:val="008A562C"/>
    <w:rsid w:val="008A5C77"/>
    <w:rsid w:val="008A605D"/>
    <w:rsid w:val="008B0151"/>
    <w:rsid w:val="008B0C85"/>
    <w:rsid w:val="008B1956"/>
    <w:rsid w:val="008B1E6A"/>
    <w:rsid w:val="008B2D22"/>
    <w:rsid w:val="008B50DB"/>
    <w:rsid w:val="008B6FE4"/>
    <w:rsid w:val="008C135D"/>
    <w:rsid w:val="008C1A00"/>
    <w:rsid w:val="008C25D6"/>
    <w:rsid w:val="008C3203"/>
    <w:rsid w:val="008C36F8"/>
    <w:rsid w:val="008C44E2"/>
    <w:rsid w:val="008C4B6A"/>
    <w:rsid w:val="008C5F51"/>
    <w:rsid w:val="008C709A"/>
    <w:rsid w:val="008C7B29"/>
    <w:rsid w:val="008C7BC2"/>
    <w:rsid w:val="008D0065"/>
    <w:rsid w:val="008D257F"/>
    <w:rsid w:val="008D36DB"/>
    <w:rsid w:val="008D7A9E"/>
    <w:rsid w:val="008D7BE9"/>
    <w:rsid w:val="008E0557"/>
    <w:rsid w:val="008E16AA"/>
    <w:rsid w:val="008E17EC"/>
    <w:rsid w:val="008E2636"/>
    <w:rsid w:val="008E2ECE"/>
    <w:rsid w:val="008E4621"/>
    <w:rsid w:val="008E495E"/>
    <w:rsid w:val="008E54A2"/>
    <w:rsid w:val="008F004D"/>
    <w:rsid w:val="008F76DE"/>
    <w:rsid w:val="008F77AA"/>
    <w:rsid w:val="00900FBB"/>
    <w:rsid w:val="009037D0"/>
    <w:rsid w:val="009039C7"/>
    <w:rsid w:val="00904F84"/>
    <w:rsid w:val="00905ECF"/>
    <w:rsid w:val="00906643"/>
    <w:rsid w:val="009071DB"/>
    <w:rsid w:val="00907A61"/>
    <w:rsid w:val="00911815"/>
    <w:rsid w:val="00911CA7"/>
    <w:rsid w:val="00912529"/>
    <w:rsid w:val="009136DC"/>
    <w:rsid w:val="00914D41"/>
    <w:rsid w:val="00922E0B"/>
    <w:rsid w:val="009236E3"/>
    <w:rsid w:val="00923D16"/>
    <w:rsid w:val="00924988"/>
    <w:rsid w:val="00926528"/>
    <w:rsid w:val="00930A80"/>
    <w:rsid w:val="00931F4F"/>
    <w:rsid w:val="009337EE"/>
    <w:rsid w:val="00933FBA"/>
    <w:rsid w:val="009344D6"/>
    <w:rsid w:val="00936061"/>
    <w:rsid w:val="009369F3"/>
    <w:rsid w:val="00937B81"/>
    <w:rsid w:val="00942E6A"/>
    <w:rsid w:val="0094583E"/>
    <w:rsid w:val="00945BF2"/>
    <w:rsid w:val="00946A0A"/>
    <w:rsid w:val="00947981"/>
    <w:rsid w:val="009502C6"/>
    <w:rsid w:val="009562BD"/>
    <w:rsid w:val="00956A1C"/>
    <w:rsid w:val="00957263"/>
    <w:rsid w:val="00957867"/>
    <w:rsid w:val="0096063D"/>
    <w:rsid w:val="00961AD1"/>
    <w:rsid w:val="00961FF7"/>
    <w:rsid w:val="009620AD"/>
    <w:rsid w:val="00963176"/>
    <w:rsid w:val="00970445"/>
    <w:rsid w:val="009719F3"/>
    <w:rsid w:val="00971BF5"/>
    <w:rsid w:val="00971CA6"/>
    <w:rsid w:val="00973E7A"/>
    <w:rsid w:val="00975A83"/>
    <w:rsid w:val="00975BBA"/>
    <w:rsid w:val="009766B6"/>
    <w:rsid w:val="009779AA"/>
    <w:rsid w:val="00980A7C"/>
    <w:rsid w:val="00980E28"/>
    <w:rsid w:val="0098154E"/>
    <w:rsid w:val="00981997"/>
    <w:rsid w:val="009837A8"/>
    <w:rsid w:val="00984431"/>
    <w:rsid w:val="00986C37"/>
    <w:rsid w:val="009911E3"/>
    <w:rsid w:val="00994EAF"/>
    <w:rsid w:val="009953AE"/>
    <w:rsid w:val="00996845"/>
    <w:rsid w:val="00997F1A"/>
    <w:rsid w:val="00997FCF"/>
    <w:rsid w:val="009A0256"/>
    <w:rsid w:val="009A092C"/>
    <w:rsid w:val="009A15FE"/>
    <w:rsid w:val="009A1934"/>
    <w:rsid w:val="009A1E7F"/>
    <w:rsid w:val="009A1F30"/>
    <w:rsid w:val="009A4086"/>
    <w:rsid w:val="009A424E"/>
    <w:rsid w:val="009A56FB"/>
    <w:rsid w:val="009A5B24"/>
    <w:rsid w:val="009B21B8"/>
    <w:rsid w:val="009B3ADA"/>
    <w:rsid w:val="009B75C1"/>
    <w:rsid w:val="009B7A47"/>
    <w:rsid w:val="009C0D88"/>
    <w:rsid w:val="009C11EB"/>
    <w:rsid w:val="009C4167"/>
    <w:rsid w:val="009C4DB6"/>
    <w:rsid w:val="009C7145"/>
    <w:rsid w:val="009D0087"/>
    <w:rsid w:val="009D0B88"/>
    <w:rsid w:val="009D0C23"/>
    <w:rsid w:val="009D29F3"/>
    <w:rsid w:val="009D3686"/>
    <w:rsid w:val="009D400F"/>
    <w:rsid w:val="009D4C12"/>
    <w:rsid w:val="009D7E77"/>
    <w:rsid w:val="009D7FA4"/>
    <w:rsid w:val="009E1E7C"/>
    <w:rsid w:val="009E2D87"/>
    <w:rsid w:val="009E4A9D"/>
    <w:rsid w:val="009E5A88"/>
    <w:rsid w:val="009E792E"/>
    <w:rsid w:val="009F09E0"/>
    <w:rsid w:val="009F09E4"/>
    <w:rsid w:val="009F273B"/>
    <w:rsid w:val="009F2E6F"/>
    <w:rsid w:val="009F3637"/>
    <w:rsid w:val="009F4C1E"/>
    <w:rsid w:val="009F5BEA"/>
    <w:rsid w:val="009F772F"/>
    <w:rsid w:val="00A0501D"/>
    <w:rsid w:val="00A0644F"/>
    <w:rsid w:val="00A0746B"/>
    <w:rsid w:val="00A12E92"/>
    <w:rsid w:val="00A1448A"/>
    <w:rsid w:val="00A15543"/>
    <w:rsid w:val="00A16859"/>
    <w:rsid w:val="00A21CA1"/>
    <w:rsid w:val="00A22437"/>
    <w:rsid w:val="00A22C1C"/>
    <w:rsid w:val="00A23AF0"/>
    <w:rsid w:val="00A23CDD"/>
    <w:rsid w:val="00A23D22"/>
    <w:rsid w:val="00A24EC9"/>
    <w:rsid w:val="00A271AA"/>
    <w:rsid w:val="00A27C6E"/>
    <w:rsid w:val="00A328F1"/>
    <w:rsid w:val="00A32B71"/>
    <w:rsid w:val="00A340AB"/>
    <w:rsid w:val="00A35272"/>
    <w:rsid w:val="00A36047"/>
    <w:rsid w:val="00A36F36"/>
    <w:rsid w:val="00A40013"/>
    <w:rsid w:val="00A42589"/>
    <w:rsid w:val="00A42A7B"/>
    <w:rsid w:val="00A4476E"/>
    <w:rsid w:val="00A44BCC"/>
    <w:rsid w:val="00A4590C"/>
    <w:rsid w:val="00A50A2E"/>
    <w:rsid w:val="00A51FF7"/>
    <w:rsid w:val="00A52D2A"/>
    <w:rsid w:val="00A53BD0"/>
    <w:rsid w:val="00A56790"/>
    <w:rsid w:val="00A6070F"/>
    <w:rsid w:val="00A63C4B"/>
    <w:rsid w:val="00A64281"/>
    <w:rsid w:val="00A6541F"/>
    <w:rsid w:val="00A66430"/>
    <w:rsid w:val="00A702CF"/>
    <w:rsid w:val="00A70623"/>
    <w:rsid w:val="00A70B01"/>
    <w:rsid w:val="00A70CE3"/>
    <w:rsid w:val="00A70FE3"/>
    <w:rsid w:val="00A71C7C"/>
    <w:rsid w:val="00A72477"/>
    <w:rsid w:val="00A72A3B"/>
    <w:rsid w:val="00A72FDA"/>
    <w:rsid w:val="00A731F3"/>
    <w:rsid w:val="00A73C22"/>
    <w:rsid w:val="00A74271"/>
    <w:rsid w:val="00A7428A"/>
    <w:rsid w:val="00A759FA"/>
    <w:rsid w:val="00A76949"/>
    <w:rsid w:val="00A7716E"/>
    <w:rsid w:val="00A774A7"/>
    <w:rsid w:val="00A77A5D"/>
    <w:rsid w:val="00A806B1"/>
    <w:rsid w:val="00A81CE6"/>
    <w:rsid w:val="00A837B5"/>
    <w:rsid w:val="00A8422D"/>
    <w:rsid w:val="00A8792C"/>
    <w:rsid w:val="00A91234"/>
    <w:rsid w:val="00A93163"/>
    <w:rsid w:val="00A9423A"/>
    <w:rsid w:val="00A95298"/>
    <w:rsid w:val="00A959AB"/>
    <w:rsid w:val="00A969EA"/>
    <w:rsid w:val="00A97B47"/>
    <w:rsid w:val="00A97C9D"/>
    <w:rsid w:val="00AA3CFF"/>
    <w:rsid w:val="00AA41AE"/>
    <w:rsid w:val="00AB00E7"/>
    <w:rsid w:val="00AB108F"/>
    <w:rsid w:val="00AB2124"/>
    <w:rsid w:val="00AB2144"/>
    <w:rsid w:val="00AB21C7"/>
    <w:rsid w:val="00AB3F87"/>
    <w:rsid w:val="00AB3F97"/>
    <w:rsid w:val="00AB62F5"/>
    <w:rsid w:val="00AB688E"/>
    <w:rsid w:val="00AB6D8F"/>
    <w:rsid w:val="00AB70E2"/>
    <w:rsid w:val="00AC09C2"/>
    <w:rsid w:val="00AC0FCF"/>
    <w:rsid w:val="00AC18D3"/>
    <w:rsid w:val="00AC396A"/>
    <w:rsid w:val="00AC5A57"/>
    <w:rsid w:val="00AC6E26"/>
    <w:rsid w:val="00AD1C9E"/>
    <w:rsid w:val="00AD1D66"/>
    <w:rsid w:val="00AD2668"/>
    <w:rsid w:val="00AD316A"/>
    <w:rsid w:val="00AD4607"/>
    <w:rsid w:val="00AD52DE"/>
    <w:rsid w:val="00AD544E"/>
    <w:rsid w:val="00AD6693"/>
    <w:rsid w:val="00AE0D3D"/>
    <w:rsid w:val="00AE2EA1"/>
    <w:rsid w:val="00AE2F39"/>
    <w:rsid w:val="00AE3FA8"/>
    <w:rsid w:val="00AE419A"/>
    <w:rsid w:val="00AE42FC"/>
    <w:rsid w:val="00AE54EF"/>
    <w:rsid w:val="00AE582E"/>
    <w:rsid w:val="00AF003A"/>
    <w:rsid w:val="00AF033E"/>
    <w:rsid w:val="00AF1DF5"/>
    <w:rsid w:val="00AF2BB0"/>
    <w:rsid w:val="00AF3B57"/>
    <w:rsid w:val="00AF3BDB"/>
    <w:rsid w:val="00AF3EC1"/>
    <w:rsid w:val="00AF4BD8"/>
    <w:rsid w:val="00AF4C72"/>
    <w:rsid w:val="00AF4F85"/>
    <w:rsid w:val="00AF516B"/>
    <w:rsid w:val="00B00061"/>
    <w:rsid w:val="00B00BA8"/>
    <w:rsid w:val="00B01172"/>
    <w:rsid w:val="00B0117F"/>
    <w:rsid w:val="00B01A0F"/>
    <w:rsid w:val="00B02213"/>
    <w:rsid w:val="00B03196"/>
    <w:rsid w:val="00B05402"/>
    <w:rsid w:val="00B06391"/>
    <w:rsid w:val="00B06909"/>
    <w:rsid w:val="00B07F77"/>
    <w:rsid w:val="00B12EF4"/>
    <w:rsid w:val="00B132BF"/>
    <w:rsid w:val="00B14F9A"/>
    <w:rsid w:val="00B150EB"/>
    <w:rsid w:val="00B153AD"/>
    <w:rsid w:val="00B1586C"/>
    <w:rsid w:val="00B162B8"/>
    <w:rsid w:val="00B173ED"/>
    <w:rsid w:val="00B1762A"/>
    <w:rsid w:val="00B17BF2"/>
    <w:rsid w:val="00B214CE"/>
    <w:rsid w:val="00B24E97"/>
    <w:rsid w:val="00B25F2D"/>
    <w:rsid w:val="00B26D38"/>
    <w:rsid w:val="00B27ACB"/>
    <w:rsid w:val="00B3334D"/>
    <w:rsid w:val="00B341C4"/>
    <w:rsid w:val="00B34945"/>
    <w:rsid w:val="00B371E3"/>
    <w:rsid w:val="00B414A7"/>
    <w:rsid w:val="00B42F48"/>
    <w:rsid w:val="00B44B45"/>
    <w:rsid w:val="00B466BC"/>
    <w:rsid w:val="00B46BA3"/>
    <w:rsid w:val="00B5047E"/>
    <w:rsid w:val="00B51C08"/>
    <w:rsid w:val="00B545BE"/>
    <w:rsid w:val="00B57A7E"/>
    <w:rsid w:val="00B57E0B"/>
    <w:rsid w:val="00B61FE5"/>
    <w:rsid w:val="00B62C05"/>
    <w:rsid w:val="00B64ACE"/>
    <w:rsid w:val="00B65A2F"/>
    <w:rsid w:val="00B66F81"/>
    <w:rsid w:val="00B76193"/>
    <w:rsid w:val="00B8083F"/>
    <w:rsid w:val="00B81059"/>
    <w:rsid w:val="00B82D14"/>
    <w:rsid w:val="00B84238"/>
    <w:rsid w:val="00B9224B"/>
    <w:rsid w:val="00B92796"/>
    <w:rsid w:val="00B92E96"/>
    <w:rsid w:val="00B92F44"/>
    <w:rsid w:val="00B94E97"/>
    <w:rsid w:val="00B9540D"/>
    <w:rsid w:val="00B95A51"/>
    <w:rsid w:val="00BA1124"/>
    <w:rsid w:val="00BA206C"/>
    <w:rsid w:val="00BA2921"/>
    <w:rsid w:val="00BA3153"/>
    <w:rsid w:val="00BA4083"/>
    <w:rsid w:val="00BA4AB5"/>
    <w:rsid w:val="00BA4BF6"/>
    <w:rsid w:val="00BA4FCA"/>
    <w:rsid w:val="00BA68A8"/>
    <w:rsid w:val="00BA6F79"/>
    <w:rsid w:val="00BA787C"/>
    <w:rsid w:val="00BB1906"/>
    <w:rsid w:val="00BB1BAA"/>
    <w:rsid w:val="00BB2546"/>
    <w:rsid w:val="00BB2AE7"/>
    <w:rsid w:val="00BB3255"/>
    <w:rsid w:val="00BB4067"/>
    <w:rsid w:val="00BB4443"/>
    <w:rsid w:val="00BB513C"/>
    <w:rsid w:val="00BB5238"/>
    <w:rsid w:val="00BB62BB"/>
    <w:rsid w:val="00BB649C"/>
    <w:rsid w:val="00BB7362"/>
    <w:rsid w:val="00BC15E5"/>
    <w:rsid w:val="00BC2172"/>
    <w:rsid w:val="00BC2DB5"/>
    <w:rsid w:val="00BC315F"/>
    <w:rsid w:val="00BC57C0"/>
    <w:rsid w:val="00BC5996"/>
    <w:rsid w:val="00BC6186"/>
    <w:rsid w:val="00BC6C63"/>
    <w:rsid w:val="00BC7BE6"/>
    <w:rsid w:val="00BD1123"/>
    <w:rsid w:val="00BD337E"/>
    <w:rsid w:val="00BD390E"/>
    <w:rsid w:val="00BD650D"/>
    <w:rsid w:val="00BD7016"/>
    <w:rsid w:val="00BD7A79"/>
    <w:rsid w:val="00BE059F"/>
    <w:rsid w:val="00BE19CA"/>
    <w:rsid w:val="00BE1E2B"/>
    <w:rsid w:val="00BE6812"/>
    <w:rsid w:val="00BF341C"/>
    <w:rsid w:val="00BF357B"/>
    <w:rsid w:val="00BF443E"/>
    <w:rsid w:val="00BF4F0C"/>
    <w:rsid w:val="00BF6C13"/>
    <w:rsid w:val="00C02F15"/>
    <w:rsid w:val="00C03A9F"/>
    <w:rsid w:val="00C05485"/>
    <w:rsid w:val="00C06AD0"/>
    <w:rsid w:val="00C06B58"/>
    <w:rsid w:val="00C106A3"/>
    <w:rsid w:val="00C10E0B"/>
    <w:rsid w:val="00C11F61"/>
    <w:rsid w:val="00C12CCC"/>
    <w:rsid w:val="00C13160"/>
    <w:rsid w:val="00C14DB4"/>
    <w:rsid w:val="00C150E0"/>
    <w:rsid w:val="00C16C29"/>
    <w:rsid w:val="00C20D03"/>
    <w:rsid w:val="00C2189E"/>
    <w:rsid w:val="00C2250F"/>
    <w:rsid w:val="00C22805"/>
    <w:rsid w:val="00C23514"/>
    <w:rsid w:val="00C266B0"/>
    <w:rsid w:val="00C30115"/>
    <w:rsid w:val="00C310D0"/>
    <w:rsid w:val="00C313EF"/>
    <w:rsid w:val="00C31530"/>
    <w:rsid w:val="00C342B0"/>
    <w:rsid w:val="00C3478C"/>
    <w:rsid w:val="00C34F4F"/>
    <w:rsid w:val="00C401C9"/>
    <w:rsid w:val="00C408BC"/>
    <w:rsid w:val="00C40C02"/>
    <w:rsid w:val="00C4392F"/>
    <w:rsid w:val="00C45921"/>
    <w:rsid w:val="00C4598B"/>
    <w:rsid w:val="00C47A0B"/>
    <w:rsid w:val="00C47D5B"/>
    <w:rsid w:val="00C51A80"/>
    <w:rsid w:val="00C539FC"/>
    <w:rsid w:val="00C54415"/>
    <w:rsid w:val="00C573B2"/>
    <w:rsid w:val="00C574E6"/>
    <w:rsid w:val="00C60365"/>
    <w:rsid w:val="00C63F84"/>
    <w:rsid w:val="00C64F71"/>
    <w:rsid w:val="00C65CB0"/>
    <w:rsid w:val="00C663B2"/>
    <w:rsid w:val="00C6706D"/>
    <w:rsid w:val="00C707F8"/>
    <w:rsid w:val="00C7087C"/>
    <w:rsid w:val="00C72313"/>
    <w:rsid w:val="00C7332B"/>
    <w:rsid w:val="00C738EC"/>
    <w:rsid w:val="00C75A88"/>
    <w:rsid w:val="00C75DD5"/>
    <w:rsid w:val="00C76290"/>
    <w:rsid w:val="00C77558"/>
    <w:rsid w:val="00C808B2"/>
    <w:rsid w:val="00C81CE2"/>
    <w:rsid w:val="00C833C9"/>
    <w:rsid w:val="00C84171"/>
    <w:rsid w:val="00C84600"/>
    <w:rsid w:val="00C84D95"/>
    <w:rsid w:val="00C86AEC"/>
    <w:rsid w:val="00C90769"/>
    <w:rsid w:val="00C913BF"/>
    <w:rsid w:val="00C91DCA"/>
    <w:rsid w:val="00C937F5"/>
    <w:rsid w:val="00C93B38"/>
    <w:rsid w:val="00C93C2D"/>
    <w:rsid w:val="00C93FFE"/>
    <w:rsid w:val="00C96C7A"/>
    <w:rsid w:val="00C96E00"/>
    <w:rsid w:val="00C977C2"/>
    <w:rsid w:val="00CA011B"/>
    <w:rsid w:val="00CA204A"/>
    <w:rsid w:val="00CA40AF"/>
    <w:rsid w:val="00CA577D"/>
    <w:rsid w:val="00CA6204"/>
    <w:rsid w:val="00CA6E2B"/>
    <w:rsid w:val="00CB277F"/>
    <w:rsid w:val="00CB38A4"/>
    <w:rsid w:val="00CB41FD"/>
    <w:rsid w:val="00CB43CD"/>
    <w:rsid w:val="00CB5932"/>
    <w:rsid w:val="00CB6213"/>
    <w:rsid w:val="00CB77A3"/>
    <w:rsid w:val="00CC1610"/>
    <w:rsid w:val="00CC2ECA"/>
    <w:rsid w:val="00CC4892"/>
    <w:rsid w:val="00CC4BCA"/>
    <w:rsid w:val="00CC5779"/>
    <w:rsid w:val="00CC7F3D"/>
    <w:rsid w:val="00CD02D5"/>
    <w:rsid w:val="00CD0B46"/>
    <w:rsid w:val="00CD11D3"/>
    <w:rsid w:val="00CD140A"/>
    <w:rsid w:val="00CD1565"/>
    <w:rsid w:val="00CD1BE6"/>
    <w:rsid w:val="00CD1F5B"/>
    <w:rsid w:val="00CD395A"/>
    <w:rsid w:val="00CD4C4F"/>
    <w:rsid w:val="00CD677E"/>
    <w:rsid w:val="00CD7326"/>
    <w:rsid w:val="00CE0BF7"/>
    <w:rsid w:val="00CE2820"/>
    <w:rsid w:val="00CE3F51"/>
    <w:rsid w:val="00CE3F9A"/>
    <w:rsid w:val="00CE5D2A"/>
    <w:rsid w:val="00CE729D"/>
    <w:rsid w:val="00CE73B2"/>
    <w:rsid w:val="00CE7571"/>
    <w:rsid w:val="00CE7905"/>
    <w:rsid w:val="00CE7D5A"/>
    <w:rsid w:val="00CF038E"/>
    <w:rsid w:val="00CF322F"/>
    <w:rsid w:val="00CF6969"/>
    <w:rsid w:val="00CF700B"/>
    <w:rsid w:val="00CF7569"/>
    <w:rsid w:val="00D003DD"/>
    <w:rsid w:val="00D03EC6"/>
    <w:rsid w:val="00D05005"/>
    <w:rsid w:val="00D05F17"/>
    <w:rsid w:val="00D07046"/>
    <w:rsid w:val="00D10B61"/>
    <w:rsid w:val="00D12265"/>
    <w:rsid w:val="00D12B22"/>
    <w:rsid w:val="00D13561"/>
    <w:rsid w:val="00D1361E"/>
    <w:rsid w:val="00D143B6"/>
    <w:rsid w:val="00D157DE"/>
    <w:rsid w:val="00D1679D"/>
    <w:rsid w:val="00D16C1E"/>
    <w:rsid w:val="00D17814"/>
    <w:rsid w:val="00D179DE"/>
    <w:rsid w:val="00D203E2"/>
    <w:rsid w:val="00D2131F"/>
    <w:rsid w:val="00D24B77"/>
    <w:rsid w:val="00D266D2"/>
    <w:rsid w:val="00D26E2E"/>
    <w:rsid w:val="00D3054F"/>
    <w:rsid w:val="00D32968"/>
    <w:rsid w:val="00D32C24"/>
    <w:rsid w:val="00D3448E"/>
    <w:rsid w:val="00D34F0E"/>
    <w:rsid w:val="00D364A6"/>
    <w:rsid w:val="00D36630"/>
    <w:rsid w:val="00D367B3"/>
    <w:rsid w:val="00D4096B"/>
    <w:rsid w:val="00D447C3"/>
    <w:rsid w:val="00D469D3"/>
    <w:rsid w:val="00D46D53"/>
    <w:rsid w:val="00D50054"/>
    <w:rsid w:val="00D520AD"/>
    <w:rsid w:val="00D52F3C"/>
    <w:rsid w:val="00D54CC8"/>
    <w:rsid w:val="00D55A41"/>
    <w:rsid w:val="00D565E5"/>
    <w:rsid w:val="00D570ED"/>
    <w:rsid w:val="00D57AF4"/>
    <w:rsid w:val="00D61AEF"/>
    <w:rsid w:val="00D63B39"/>
    <w:rsid w:val="00D6408D"/>
    <w:rsid w:val="00D65E90"/>
    <w:rsid w:val="00D71588"/>
    <w:rsid w:val="00D737B5"/>
    <w:rsid w:val="00D77342"/>
    <w:rsid w:val="00D80694"/>
    <w:rsid w:val="00D806E3"/>
    <w:rsid w:val="00D807C4"/>
    <w:rsid w:val="00D80F6F"/>
    <w:rsid w:val="00D82C3E"/>
    <w:rsid w:val="00D83BBD"/>
    <w:rsid w:val="00D85794"/>
    <w:rsid w:val="00D85D09"/>
    <w:rsid w:val="00D865D7"/>
    <w:rsid w:val="00D86BEE"/>
    <w:rsid w:val="00D87CEC"/>
    <w:rsid w:val="00D87F12"/>
    <w:rsid w:val="00D906E5"/>
    <w:rsid w:val="00D91C2B"/>
    <w:rsid w:val="00D91C91"/>
    <w:rsid w:val="00D9372F"/>
    <w:rsid w:val="00D9393C"/>
    <w:rsid w:val="00D9505D"/>
    <w:rsid w:val="00D954D3"/>
    <w:rsid w:val="00D966E2"/>
    <w:rsid w:val="00D9683D"/>
    <w:rsid w:val="00D96E62"/>
    <w:rsid w:val="00D97006"/>
    <w:rsid w:val="00D971E7"/>
    <w:rsid w:val="00DA1437"/>
    <w:rsid w:val="00DA2F01"/>
    <w:rsid w:val="00DA3633"/>
    <w:rsid w:val="00DA4D10"/>
    <w:rsid w:val="00DA5BBD"/>
    <w:rsid w:val="00DA5C9E"/>
    <w:rsid w:val="00DA6692"/>
    <w:rsid w:val="00DB413B"/>
    <w:rsid w:val="00DB5FE2"/>
    <w:rsid w:val="00DB625F"/>
    <w:rsid w:val="00DB69D5"/>
    <w:rsid w:val="00DB7FB3"/>
    <w:rsid w:val="00DC13CA"/>
    <w:rsid w:val="00DC2E0F"/>
    <w:rsid w:val="00DC2E7A"/>
    <w:rsid w:val="00DC6050"/>
    <w:rsid w:val="00DD1088"/>
    <w:rsid w:val="00DD155E"/>
    <w:rsid w:val="00DD28DA"/>
    <w:rsid w:val="00DD3C12"/>
    <w:rsid w:val="00DD3DA4"/>
    <w:rsid w:val="00DD763B"/>
    <w:rsid w:val="00DE150E"/>
    <w:rsid w:val="00DE56AB"/>
    <w:rsid w:val="00DE6A18"/>
    <w:rsid w:val="00DE738E"/>
    <w:rsid w:val="00DF0198"/>
    <w:rsid w:val="00DF0CD0"/>
    <w:rsid w:val="00DF3E29"/>
    <w:rsid w:val="00DF4CB0"/>
    <w:rsid w:val="00DF6B93"/>
    <w:rsid w:val="00DF7C33"/>
    <w:rsid w:val="00E01011"/>
    <w:rsid w:val="00E0178F"/>
    <w:rsid w:val="00E01B18"/>
    <w:rsid w:val="00E04BB3"/>
    <w:rsid w:val="00E06765"/>
    <w:rsid w:val="00E10DFE"/>
    <w:rsid w:val="00E13283"/>
    <w:rsid w:val="00E13624"/>
    <w:rsid w:val="00E13B9A"/>
    <w:rsid w:val="00E14AAE"/>
    <w:rsid w:val="00E158DD"/>
    <w:rsid w:val="00E15DD8"/>
    <w:rsid w:val="00E20064"/>
    <w:rsid w:val="00E23E8D"/>
    <w:rsid w:val="00E24250"/>
    <w:rsid w:val="00E27388"/>
    <w:rsid w:val="00E3211C"/>
    <w:rsid w:val="00E32965"/>
    <w:rsid w:val="00E32EC4"/>
    <w:rsid w:val="00E34351"/>
    <w:rsid w:val="00E3489A"/>
    <w:rsid w:val="00E35B23"/>
    <w:rsid w:val="00E35B7F"/>
    <w:rsid w:val="00E41BA6"/>
    <w:rsid w:val="00E423E5"/>
    <w:rsid w:val="00E426F1"/>
    <w:rsid w:val="00E436FB"/>
    <w:rsid w:val="00E459B3"/>
    <w:rsid w:val="00E45B13"/>
    <w:rsid w:val="00E4646A"/>
    <w:rsid w:val="00E468EE"/>
    <w:rsid w:val="00E475B6"/>
    <w:rsid w:val="00E477EE"/>
    <w:rsid w:val="00E47EA2"/>
    <w:rsid w:val="00E505A6"/>
    <w:rsid w:val="00E52961"/>
    <w:rsid w:val="00E54829"/>
    <w:rsid w:val="00E5483E"/>
    <w:rsid w:val="00E54B9C"/>
    <w:rsid w:val="00E555FA"/>
    <w:rsid w:val="00E55D4B"/>
    <w:rsid w:val="00E57462"/>
    <w:rsid w:val="00E6108D"/>
    <w:rsid w:val="00E614D4"/>
    <w:rsid w:val="00E62862"/>
    <w:rsid w:val="00E62FE9"/>
    <w:rsid w:val="00E64094"/>
    <w:rsid w:val="00E65576"/>
    <w:rsid w:val="00E65A22"/>
    <w:rsid w:val="00E67120"/>
    <w:rsid w:val="00E70A53"/>
    <w:rsid w:val="00E7241A"/>
    <w:rsid w:val="00E80869"/>
    <w:rsid w:val="00E8151A"/>
    <w:rsid w:val="00E81BBF"/>
    <w:rsid w:val="00E833D4"/>
    <w:rsid w:val="00E837BE"/>
    <w:rsid w:val="00E8648F"/>
    <w:rsid w:val="00E92A0B"/>
    <w:rsid w:val="00E96ED1"/>
    <w:rsid w:val="00E97625"/>
    <w:rsid w:val="00EA1315"/>
    <w:rsid w:val="00EA34DD"/>
    <w:rsid w:val="00EA3C97"/>
    <w:rsid w:val="00EA3DA0"/>
    <w:rsid w:val="00EA4387"/>
    <w:rsid w:val="00EA4D5F"/>
    <w:rsid w:val="00EA6649"/>
    <w:rsid w:val="00EA75C5"/>
    <w:rsid w:val="00EB24CC"/>
    <w:rsid w:val="00EB2725"/>
    <w:rsid w:val="00EB2DCD"/>
    <w:rsid w:val="00EB3ACF"/>
    <w:rsid w:val="00EB5113"/>
    <w:rsid w:val="00EB6DDD"/>
    <w:rsid w:val="00EB7C83"/>
    <w:rsid w:val="00EC3554"/>
    <w:rsid w:val="00EC67C1"/>
    <w:rsid w:val="00EC7A69"/>
    <w:rsid w:val="00EC7B15"/>
    <w:rsid w:val="00ED003B"/>
    <w:rsid w:val="00ED0926"/>
    <w:rsid w:val="00ED1330"/>
    <w:rsid w:val="00ED2C24"/>
    <w:rsid w:val="00ED4E42"/>
    <w:rsid w:val="00ED588B"/>
    <w:rsid w:val="00ED7845"/>
    <w:rsid w:val="00EE04DB"/>
    <w:rsid w:val="00EE0BB2"/>
    <w:rsid w:val="00EE32EA"/>
    <w:rsid w:val="00EE48A1"/>
    <w:rsid w:val="00EE6FD6"/>
    <w:rsid w:val="00EF1EE3"/>
    <w:rsid w:val="00EF2C5E"/>
    <w:rsid w:val="00EF33E2"/>
    <w:rsid w:val="00EF357E"/>
    <w:rsid w:val="00EF3FBC"/>
    <w:rsid w:val="00EF5012"/>
    <w:rsid w:val="00EF6262"/>
    <w:rsid w:val="00EF6CC5"/>
    <w:rsid w:val="00EF7F7F"/>
    <w:rsid w:val="00EF7FC1"/>
    <w:rsid w:val="00F019D0"/>
    <w:rsid w:val="00F01BEE"/>
    <w:rsid w:val="00F02C74"/>
    <w:rsid w:val="00F057C1"/>
    <w:rsid w:val="00F05802"/>
    <w:rsid w:val="00F1024B"/>
    <w:rsid w:val="00F11B50"/>
    <w:rsid w:val="00F12889"/>
    <w:rsid w:val="00F13186"/>
    <w:rsid w:val="00F13962"/>
    <w:rsid w:val="00F14C26"/>
    <w:rsid w:val="00F15FB4"/>
    <w:rsid w:val="00F174C2"/>
    <w:rsid w:val="00F177B2"/>
    <w:rsid w:val="00F2420C"/>
    <w:rsid w:val="00F24F5C"/>
    <w:rsid w:val="00F25058"/>
    <w:rsid w:val="00F252BE"/>
    <w:rsid w:val="00F269C5"/>
    <w:rsid w:val="00F26A5F"/>
    <w:rsid w:val="00F2785D"/>
    <w:rsid w:val="00F30E0C"/>
    <w:rsid w:val="00F317D2"/>
    <w:rsid w:val="00F3314D"/>
    <w:rsid w:val="00F34327"/>
    <w:rsid w:val="00F3506D"/>
    <w:rsid w:val="00F37DE8"/>
    <w:rsid w:val="00F4038C"/>
    <w:rsid w:val="00F408A8"/>
    <w:rsid w:val="00F41DCE"/>
    <w:rsid w:val="00F427A9"/>
    <w:rsid w:val="00F47405"/>
    <w:rsid w:val="00F52DF3"/>
    <w:rsid w:val="00F53C14"/>
    <w:rsid w:val="00F55169"/>
    <w:rsid w:val="00F55FFC"/>
    <w:rsid w:val="00F560AC"/>
    <w:rsid w:val="00F56BA8"/>
    <w:rsid w:val="00F57141"/>
    <w:rsid w:val="00F57158"/>
    <w:rsid w:val="00F6168A"/>
    <w:rsid w:val="00F61EEC"/>
    <w:rsid w:val="00F632FA"/>
    <w:rsid w:val="00F652E0"/>
    <w:rsid w:val="00F70FEA"/>
    <w:rsid w:val="00F7100E"/>
    <w:rsid w:val="00F73280"/>
    <w:rsid w:val="00F73E3F"/>
    <w:rsid w:val="00F741AB"/>
    <w:rsid w:val="00F75EF5"/>
    <w:rsid w:val="00F80505"/>
    <w:rsid w:val="00F83221"/>
    <w:rsid w:val="00F8373F"/>
    <w:rsid w:val="00F83D3A"/>
    <w:rsid w:val="00F854E8"/>
    <w:rsid w:val="00F86329"/>
    <w:rsid w:val="00F9084E"/>
    <w:rsid w:val="00F9264B"/>
    <w:rsid w:val="00F93A8E"/>
    <w:rsid w:val="00F94DB5"/>
    <w:rsid w:val="00F95C4B"/>
    <w:rsid w:val="00F967B4"/>
    <w:rsid w:val="00FA0AAD"/>
    <w:rsid w:val="00FA0B53"/>
    <w:rsid w:val="00FA18EA"/>
    <w:rsid w:val="00FA3113"/>
    <w:rsid w:val="00FA4218"/>
    <w:rsid w:val="00FA4FEC"/>
    <w:rsid w:val="00FA5A77"/>
    <w:rsid w:val="00FB07E5"/>
    <w:rsid w:val="00FB3199"/>
    <w:rsid w:val="00FB33A2"/>
    <w:rsid w:val="00FB3FB7"/>
    <w:rsid w:val="00FB582D"/>
    <w:rsid w:val="00FB6FCF"/>
    <w:rsid w:val="00FB79A7"/>
    <w:rsid w:val="00FC14C8"/>
    <w:rsid w:val="00FC4D5C"/>
    <w:rsid w:val="00FC5163"/>
    <w:rsid w:val="00FC5203"/>
    <w:rsid w:val="00FC55AD"/>
    <w:rsid w:val="00FC5B6B"/>
    <w:rsid w:val="00FC78BE"/>
    <w:rsid w:val="00FD0D7B"/>
    <w:rsid w:val="00FD2E97"/>
    <w:rsid w:val="00FD4968"/>
    <w:rsid w:val="00FD5D52"/>
    <w:rsid w:val="00FD6116"/>
    <w:rsid w:val="00FE04D2"/>
    <w:rsid w:val="00FE165F"/>
    <w:rsid w:val="00FE250C"/>
    <w:rsid w:val="00FE339D"/>
    <w:rsid w:val="00FE443B"/>
    <w:rsid w:val="00FE46BE"/>
    <w:rsid w:val="00FE60DC"/>
    <w:rsid w:val="00FE6938"/>
    <w:rsid w:val="00FF09AD"/>
    <w:rsid w:val="00FF214A"/>
    <w:rsid w:val="00FF2BE3"/>
    <w:rsid w:val="00FF4833"/>
    <w:rsid w:val="00FF4D0A"/>
    <w:rsid w:val="01080DA4"/>
    <w:rsid w:val="011B21BD"/>
    <w:rsid w:val="0129028A"/>
    <w:rsid w:val="012D5270"/>
    <w:rsid w:val="01975E97"/>
    <w:rsid w:val="019D1EAB"/>
    <w:rsid w:val="01AF1743"/>
    <w:rsid w:val="01B6046E"/>
    <w:rsid w:val="01CD4640"/>
    <w:rsid w:val="01E67010"/>
    <w:rsid w:val="01EA761A"/>
    <w:rsid w:val="01F45A9A"/>
    <w:rsid w:val="02170653"/>
    <w:rsid w:val="02644431"/>
    <w:rsid w:val="027D6670"/>
    <w:rsid w:val="02D500EE"/>
    <w:rsid w:val="02E84E52"/>
    <w:rsid w:val="02EA4873"/>
    <w:rsid w:val="03146355"/>
    <w:rsid w:val="033F6DA1"/>
    <w:rsid w:val="034712EC"/>
    <w:rsid w:val="0359482E"/>
    <w:rsid w:val="036222F5"/>
    <w:rsid w:val="03B604E9"/>
    <w:rsid w:val="03C520A8"/>
    <w:rsid w:val="03F82FC0"/>
    <w:rsid w:val="041A4BD3"/>
    <w:rsid w:val="0436194D"/>
    <w:rsid w:val="04553C52"/>
    <w:rsid w:val="04803B10"/>
    <w:rsid w:val="04CD446C"/>
    <w:rsid w:val="04FA5E66"/>
    <w:rsid w:val="054D194F"/>
    <w:rsid w:val="05657FB7"/>
    <w:rsid w:val="05790D8D"/>
    <w:rsid w:val="05DC36E9"/>
    <w:rsid w:val="05E1248B"/>
    <w:rsid w:val="05E45CDF"/>
    <w:rsid w:val="060718D6"/>
    <w:rsid w:val="06455CF0"/>
    <w:rsid w:val="066F5D67"/>
    <w:rsid w:val="069254ED"/>
    <w:rsid w:val="06D554D2"/>
    <w:rsid w:val="0755795D"/>
    <w:rsid w:val="07816EFC"/>
    <w:rsid w:val="078864A8"/>
    <w:rsid w:val="078C0E21"/>
    <w:rsid w:val="079B1859"/>
    <w:rsid w:val="082A06AD"/>
    <w:rsid w:val="08531AFE"/>
    <w:rsid w:val="085F1ACE"/>
    <w:rsid w:val="088F5575"/>
    <w:rsid w:val="08CE58C7"/>
    <w:rsid w:val="08D548D9"/>
    <w:rsid w:val="08F540F1"/>
    <w:rsid w:val="093D1527"/>
    <w:rsid w:val="094E550D"/>
    <w:rsid w:val="097A6637"/>
    <w:rsid w:val="098E2154"/>
    <w:rsid w:val="09AD71DD"/>
    <w:rsid w:val="09EA1BEC"/>
    <w:rsid w:val="0A3A4563"/>
    <w:rsid w:val="0A417C77"/>
    <w:rsid w:val="0A4B135E"/>
    <w:rsid w:val="0A59461D"/>
    <w:rsid w:val="0A6B01F6"/>
    <w:rsid w:val="0A9B6D62"/>
    <w:rsid w:val="0B01520B"/>
    <w:rsid w:val="0B0B5999"/>
    <w:rsid w:val="0B1F6DD3"/>
    <w:rsid w:val="0B80539B"/>
    <w:rsid w:val="0B845C60"/>
    <w:rsid w:val="0B927632"/>
    <w:rsid w:val="0B935FCA"/>
    <w:rsid w:val="0C211BD0"/>
    <w:rsid w:val="0C2F6EBE"/>
    <w:rsid w:val="0C5B4FD6"/>
    <w:rsid w:val="0C7E3499"/>
    <w:rsid w:val="0C912FC9"/>
    <w:rsid w:val="0CBB752A"/>
    <w:rsid w:val="0CCB1746"/>
    <w:rsid w:val="0CF22382"/>
    <w:rsid w:val="0D467C3A"/>
    <w:rsid w:val="0D7A7FAA"/>
    <w:rsid w:val="0DDB3CDB"/>
    <w:rsid w:val="0DFA158D"/>
    <w:rsid w:val="0E735CD1"/>
    <w:rsid w:val="0E863CA5"/>
    <w:rsid w:val="0E9A2AFC"/>
    <w:rsid w:val="0EA97850"/>
    <w:rsid w:val="0F160134"/>
    <w:rsid w:val="0F211AE0"/>
    <w:rsid w:val="0F3F5F47"/>
    <w:rsid w:val="0F806957"/>
    <w:rsid w:val="0F843544"/>
    <w:rsid w:val="0F9A5075"/>
    <w:rsid w:val="0FC36E49"/>
    <w:rsid w:val="0FC51EF7"/>
    <w:rsid w:val="0FD06B9F"/>
    <w:rsid w:val="10270F79"/>
    <w:rsid w:val="10943F30"/>
    <w:rsid w:val="10A221F4"/>
    <w:rsid w:val="10B0241B"/>
    <w:rsid w:val="11096997"/>
    <w:rsid w:val="11386AC7"/>
    <w:rsid w:val="11411DD5"/>
    <w:rsid w:val="115012EF"/>
    <w:rsid w:val="115158FB"/>
    <w:rsid w:val="11854180"/>
    <w:rsid w:val="11907ABC"/>
    <w:rsid w:val="11D31AAA"/>
    <w:rsid w:val="12556B10"/>
    <w:rsid w:val="12633CFA"/>
    <w:rsid w:val="127F4E8D"/>
    <w:rsid w:val="1299566C"/>
    <w:rsid w:val="130752A6"/>
    <w:rsid w:val="1313119F"/>
    <w:rsid w:val="132F6431"/>
    <w:rsid w:val="13883F41"/>
    <w:rsid w:val="13900D48"/>
    <w:rsid w:val="13C105EC"/>
    <w:rsid w:val="1417314B"/>
    <w:rsid w:val="141D7FE1"/>
    <w:rsid w:val="145F119C"/>
    <w:rsid w:val="149C2450"/>
    <w:rsid w:val="14AA59A4"/>
    <w:rsid w:val="14AF7F59"/>
    <w:rsid w:val="14EC447B"/>
    <w:rsid w:val="152F0706"/>
    <w:rsid w:val="15372CCD"/>
    <w:rsid w:val="15547905"/>
    <w:rsid w:val="15733C7F"/>
    <w:rsid w:val="15D86A49"/>
    <w:rsid w:val="15ED09A0"/>
    <w:rsid w:val="15F66287"/>
    <w:rsid w:val="160354B5"/>
    <w:rsid w:val="1630054C"/>
    <w:rsid w:val="1647321B"/>
    <w:rsid w:val="164D4784"/>
    <w:rsid w:val="16573A3C"/>
    <w:rsid w:val="16C5217B"/>
    <w:rsid w:val="16CC7991"/>
    <w:rsid w:val="16D80032"/>
    <w:rsid w:val="16E34FA3"/>
    <w:rsid w:val="174A5896"/>
    <w:rsid w:val="175F6F4D"/>
    <w:rsid w:val="17AC54F4"/>
    <w:rsid w:val="17BE53CC"/>
    <w:rsid w:val="18135D09"/>
    <w:rsid w:val="187673BF"/>
    <w:rsid w:val="187674A3"/>
    <w:rsid w:val="18B6056A"/>
    <w:rsid w:val="18B83CF9"/>
    <w:rsid w:val="18CF47AA"/>
    <w:rsid w:val="18FD3358"/>
    <w:rsid w:val="190E229B"/>
    <w:rsid w:val="193570C2"/>
    <w:rsid w:val="19665929"/>
    <w:rsid w:val="197D3562"/>
    <w:rsid w:val="19B21BDA"/>
    <w:rsid w:val="19B22041"/>
    <w:rsid w:val="19D12B77"/>
    <w:rsid w:val="19E41079"/>
    <w:rsid w:val="1A6A3DF3"/>
    <w:rsid w:val="1A9159B5"/>
    <w:rsid w:val="1AA41B7A"/>
    <w:rsid w:val="1AB94800"/>
    <w:rsid w:val="1AE03CE3"/>
    <w:rsid w:val="1AF0221C"/>
    <w:rsid w:val="1B37078B"/>
    <w:rsid w:val="1B4F30FB"/>
    <w:rsid w:val="1B530034"/>
    <w:rsid w:val="1B753C44"/>
    <w:rsid w:val="1B893D49"/>
    <w:rsid w:val="1B9459FD"/>
    <w:rsid w:val="1B9E1208"/>
    <w:rsid w:val="1BEB69B6"/>
    <w:rsid w:val="1C766B37"/>
    <w:rsid w:val="1C8D40B7"/>
    <w:rsid w:val="1C9E4A2E"/>
    <w:rsid w:val="1CA57FBD"/>
    <w:rsid w:val="1CC607FD"/>
    <w:rsid w:val="1D66271F"/>
    <w:rsid w:val="1DA925DA"/>
    <w:rsid w:val="1DE52562"/>
    <w:rsid w:val="1DF21E9C"/>
    <w:rsid w:val="1E024B61"/>
    <w:rsid w:val="1E104341"/>
    <w:rsid w:val="1E1A116C"/>
    <w:rsid w:val="1E6472EC"/>
    <w:rsid w:val="1E6A6EDE"/>
    <w:rsid w:val="1E7B776E"/>
    <w:rsid w:val="1EA846C6"/>
    <w:rsid w:val="1EDE6404"/>
    <w:rsid w:val="1EF63F52"/>
    <w:rsid w:val="1EFD3B3A"/>
    <w:rsid w:val="1F3813D2"/>
    <w:rsid w:val="1F3C5DA0"/>
    <w:rsid w:val="1F644BE3"/>
    <w:rsid w:val="1F7A3BFF"/>
    <w:rsid w:val="1FE65307"/>
    <w:rsid w:val="1FEF6F1F"/>
    <w:rsid w:val="203C1282"/>
    <w:rsid w:val="204032B1"/>
    <w:rsid w:val="206F3542"/>
    <w:rsid w:val="20811AB9"/>
    <w:rsid w:val="2082763E"/>
    <w:rsid w:val="208B60BB"/>
    <w:rsid w:val="20937B94"/>
    <w:rsid w:val="209E400E"/>
    <w:rsid w:val="20B84693"/>
    <w:rsid w:val="20D546B6"/>
    <w:rsid w:val="21461425"/>
    <w:rsid w:val="21CB2839"/>
    <w:rsid w:val="2213124C"/>
    <w:rsid w:val="22381CEE"/>
    <w:rsid w:val="22604289"/>
    <w:rsid w:val="227E51C0"/>
    <w:rsid w:val="22B57AFD"/>
    <w:rsid w:val="22F73474"/>
    <w:rsid w:val="233D07FF"/>
    <w:rsid w:val="237607A9"/>
    <w:rsid w:val="239C1614"/>
    <w:rsid w:val="24065573"/>
    <w:rsid w:val="243442FF"/>
    <w:rsid w:val="24363013"/>
    <w:rsid w:val="245064F5"/>
    <w:rsid w:val="24542A6F"/>
    <w:rsid w:val="2455255A"/>
    <w:rsid w:val="246743F5"/>
    <w:rsid w:val="24737086"/>
    <w:rsid w:val="24740A75"/>
    <w:rsid w:val="24C10AF1"/>
    <w:rsid w:val="24CA5600"/>
    <w:rsid w:val="24EC579E"/>
    <w:rsid w:val="2500639A"/>
    <w:rsid w:val="253F2997"/>
    <w:rsid w:val="26166EB7"/>
    <w:rsid w:val="262904A6"/>
    <w:rsid w:val="270C46FE"/>
    <w:rsid w:val="2711072F"/>
    <w:rsid w:val="2739450D"/>
    <w:rsid w:val="275B723E"/>
    <w:rsid w:val="27B41C5C"/>
    <w:rsid w:val="27B444A9"/>
    <w:rsid w:val="27B90314"/>
    <w:rsid w:val="27DC6AB6"/>
    <w:rsid w:val="27E02E55"/>
    <w:rsid w:val="280143A4"/>
    <w:rsid w:val="281E4411"/>
    <w:rsid w:val="282F4B40"/>
    <w:rsid w:val="284D7E8B"/>
    <w:rsid w:val="28830901"/>
    <w:rsid w:val="28944710"/>
    <w:rsid w:val="28E42704"/>
    <w:rsid w:val="29387BF4"/>
    <w:rsid w:val="297F08E8"/>
    <w:rsid w:val="297F23FD"/>
    <w:rsid w:val="29974DC0"/>
    <w:rsid w:val="29B50E88"/>
    <w:rsid w:val="29B95C0C"/>
    <w:rsid w:val="2A1A536B"/>
    <w:rsid w:val="2A1B622F"/>
    <w:rsid w:val="2A1E145A"/>
    <w:rsid w:val="2A4F001F"/>
    <w:rsid w:val="2A52235C"/>
    <w:rsid w:val="2A573CED"/>
    <w:rsid w:val="2A6258AC"/>
    <w:rsid w:val="2A8704D0"/>
    <w:rsid w:val="2A8A7073"/>
    <w:rsid w:val="2AA9396B"/>
    <w:rsid w:val="2AD01CF1"/>
    <w:rsid w:val="2B83182A"/>
    <w:rsid w:val="2B940B0C"/>
    <w:rsid w:val="2C033AB8"/>
    <w:rsid w:val="2C8B7200"/>
    <w:rsid w:val="2CE57AC3"/>
    <w:rsid w:val="2CFF1CFF"/>
    <w:rsid w:val="2D090948"/>
    <w:rsid w:val="2D0B063E"/>
    <w:rsid w:val="2D1759B5"/>
    <w:rsid w:val="2D263D67"/>
    <w:rsid w:val="2D377944"/>
    <w:rsid w:val="2D3E7E4B"/>
    <w:rsid w:val="2D7C496B"/>
    <w:rsid w:val="2DB703AB"/>
    <w:rsid w:val="2DC95967"/>
    <w:rsid w:val="2E0403E8"/>
    <w:rsid w:val="2E3034ED"/>
    <w:rsid w:val="2E4D171D"/>
    <w:rsid w:val="2EAC1BF1"/>
    <w:rsid w:val="2EBA3CBE"/>
    <w:rsid w:val="2EFA79CF"/>
    <w:rsid w:val="2F191DEC"/>
    <w:rsid w:val="2F2F5867"/>
    <w:rsid w:val="2F4E22A7"/>
    <w:rsid w:val="2FB259D3"/>
    <w:rsid w:val="2FCC4540"/>
    <w:rsid w:val="2FCE5C87"/>
    <w:rsid w:val="2FF0617B"/>
    <w:rsid w:val="3014442E"/>
    <w:rsid w:val="305F38C1"/>
    <w:rsid w:val="30B51CD4"/>
    <w:rsid w:val="30DE0B9C"/>
    <w:rsid w:val="31300D27"/>
    <w:rsid w:val="318846EB"/>
    <w:rsid w:val="319F1BB0"/>
    <w:rsid w:val="31A32331"/>
    <w:rsid w:val="31A7659F"/>
    <w:rsid w:val="31B80AAE"/>
    <w:rsid w:val="31BA04E4"/>
    <w:rsid w:val="31D01A3C"/>
    <w:rsid w:val="31D200FD"/>
    <w:rsid w:val="31D767F5"/>
    <w:rsid w:val="32BE2399"/>
    <w:rsid w:val="32E9054A"/>
    <w:rsid w:val="331108DD"/>
    <w:rsid w:val="33345498"/>
    <w:rsid w:val="33447618"/>
    <w:rsid w:val="33674CEF"/>
    <w:rsid w:val="33B8752A"/>
    <w:rsid w:val="33E660E2"/>
    <w:rsid w:val="34672D9C"/>
    <w:rsid w:val="347205FD"/>
    <w:rsid w:val="3530481E"/>
    <w:rsid w:val="354356DC"/>
    <w:rsid w:val="354C359A"/>
    <w:rsid w:val="35524766"/>
    <w:rsid w:val="356035C6"/>
    <w:rsid w:val="35AE7E65"/>
    <w:rsid w:val="35C537FD"/>
    <w:rsid w:val="35F60948"/>
    <w:rsid w:val="36263E78"/>
    <w:rsid w:val="365670FF"/>
    <w:rsid w:val="36781595"/>
    <w:rsid w:val="367D31D6"/>
    <w:rsid w:val="36893DED"/>
    <w:rsid w:val="368E68D5"/>
    <w:rsid w:val="36F74A1B"/>
    <w:rsid w:val="372A73C5"/>
    <w:rsid w:val="3744701C"/>
    <w:rsid w:val="377F1832"/>
    <w:rsid w:val="37910439"/>
    <w:rsid w:val="3795453F"/>
    <w:rsid w:val="37A87E51"/>
    <w:rsid w:val="37D23FF2"/>
    <w:rsid w:val="37D62AEC"/>
    <w:rsid w:val="37F67181"/>
    <w:rsid w:val="380857B6"/>
    <w:rsid w:val="38184121"/>
    <w:rsid w:val="382F0057"/>
    <w:rsid w:val="38664327"/>
    <w:rsid w:val="38E27645"/>
    <w:rsid w:val="38FE1E32"/>
    <w:rsid w:val="396F26D5"/>
    <w:rsid w:val="39DD3D79"/>
    <w:rsid w:val="39EC63EC"/>
    <w:rsid w:val="3A297DD9"/>
    <w:rsid w:val="3A4B7757"/>
    <w:rsid w:val="3A6846C2"/>
    <w:rsid w:val="3A862FC6"/>
    <w:rsid w:val="3A9B7A65"/>
    <w:rsid w:val="3AA12D27"/>
    <w:rsid w:val="3AD90905"/>
    <w:rsid w:val="3AE95ED3"/>
    <w:rsid w:val="3B0357CB"/>
    <w:rsid w:val="3B23755B"/>
    <w:rsid w:val="3B5235A5"/>
    <w:rsid w:val="3B697D2B"/>
    <w:rsid w:val="3B8A7498"/>
    <w:rsid w:val="3B9367EA"/>
    <w:rsid w:val="3BC12601"/>
    <w:rsid w:val="3BDB2CFB"/>
    <w:rsid w:val="3BF23B92"/>
    <w:rsid w:val="3C0A0573"/>
    <w:rsid w:val="3C1D236A"/>
    <w:rsid w:val="3C511A34"/>
    <w:rsid w:val="3C71791F"/>
    <w:rsid w:val="3C7F6CCA"/>
    <w:rsid w:val="3C8664EC"/>
    <w:rsid w:val="3CB0145C"/>
    <w:rsid w:val="3CB60145"/>
    <w:rsid w:val="3CFD2665"/>
    <w:rsid w:val="3D033387"/>
    <w:rsid w:val="3D476C78"/>
    <w:rsid w:val="3D4B79DA"/>
    <w:rsid w:val="3D7F2BC8"/>
    <w:rsid w:val="3D851695"/>
    <w:rsid w:val="3D8E6155"/>
    <w:rsid w:val="3DE11BE6"/>
    <w:rsid w:val="3E9572F4"/>
    <w:rsid w:val="3EA056BD"/>
    <w:rsid w:val="3EF351F3"/>
    <w:rsid w:val="3EFA73E4"/>
    <w:rsid w:val="3F010D50"/>
    <w:rsid w:val="3F05795C"/>
    <w:rsid w:val="3F3845AD"/>
    <w:rsid w:val="3F487C1B"/>
    <w:rsid w:val="3F4C6B93"/>
    <w:rsid w:val="3F4D598F"/>
    <w:rsid w:val="3F562569"/>
    <w:rsid w:val="3FEC74D5"/>
    <w:rsid w:val="3FF04FD2"/>
    <w:rsid w:val="3FF937C2"/>
    <w:rsid w:val="3FFB1F65"/>
    <w:rsid w:val="40620F1F"/>
    <w:rsid w:val="40BB4D9C"/>
    <w:rsid w:val="40DA6FCE"/>
    <w:rsid w:val="40F41379"/>
    <w:rsid w:val="40F42C5D"/>
    <w:rsid w:val="410957F1"/>
    <w:rsid w:val="41110510"/>
    <w:rsid w:val="411C1395"/>
    <w:rsid w:val="411C1EE7"/>
    <w:rsid w:val="41592550"/>
    <w:rsid w:val="41E55A8A"/>
    <w:rsid w:val="42A05EC3"/>
    <w:rsid w:val="42B23C70"/>
    <w:rsid w:val="43145BDD"/>
    <w:rsid w:val="43575C0D"/>
    <w:rsid w:val="438A5E04"/>
    <w:rsid w:val="439A242B"/>
    <w:rsid w:val="43CA3A7F"/>
    <w:rsid w:val="43D61929"/>
    <w:rsid w:val="44246263"/>
    <w:rsid w:val="44312B5E"/>
    <w:rsid w:val="44493DB3"/>
    <w:rsid w:val="44700A41"/>
    <w:rsid w:val="44AF3D35"/>
    <w:rsid w:val="451A58B7"/>
    <w:rsid w:val="45B46040"/>
    <w:rsid w:val="467B6B5D"/>
    <w:rsid w:val="46A1641C"/>
    <w:rsid w:val="46B9171E"/>
    <w:rsid w:val="47076D96"/>
    <w:rsid w:val="472F01BF"/>
    <w:rsid w:val="47391EE8"/>
    <w:rsid w:val="47443159"/>
    <w:rsid w:val="476F47F1"/>
    <w:rsid w:val="47870324"/>
    <w:rsid w:val="479B7702"/>
    <w:rsid w:val="480B47A5"/>
    <w:rsid w:val="482A2334"/>
    <w:rsid w:val="483071F0"/>
    <w:rsid w:val="48AF1C27"/>
    <w:rsid w:val="48C97726"/>
    <w:rsid w:val="48E54B98"/>
    <w:rsid w:val="48F27058"/>
    <w:rsid w:val="490C5C8D"/>
    <w:rsid w:val="493A52D4"/>
    <w:rsid w:val="496671B1"/>
    <w:rsid w:val="49AF668D"/>
    <w:rsid w:val="49C5297C"/>
    <w:rsid w:val="49E453F8"/>
    <w:rsid w:val="4A3D345C"/>
    <w:rsid w:val="4A4767D2"/>
    <w:rsid w:val="4A4F096A"/>
    <w:rsid w:val="4A5C51DF"/>
    <w:rsid w:val="4A9579C4"/>
    <w:rsid w:val="4A9B3D5E"/>
    <w:rsid w:val="4AA7028D"/>
    <w:rsid w:val="4AB10034"/>
    <w:rsid w:val="4AE557C7"/>
    <w:rsid w:val="4AF42115"/>
    <w:rsid w:val="4B4B71AA"/>
    <w:rsid w:val="4BEF6401"/>
    <w:rsid w:val="4C05595A"/>
    <w:rsid w:val="4C5D2EE5"/>
    <w:rsid w:val="4C8D1703"/>
    <w:rsid w:val="4C9509AD"/>
    <w:rsid w:val="4C986921"/>
    <w:rsid w:val="4CA943E0"/>
    <w:rsid w:val="4CBD2C62"/>
    <w:rsid w:val="4CD862AF"/>
    <w:rsid w:val="4CFB2AAC"/>
    <w:rsid w:val="4D106802"/>
    <w:rsid w:val="4D181157"/>
    <w:rsid w:val="4DB114B0"/>
    <w:rsid w:val="4DBA3352"/>
    <w:rsid w:val="4E10565D"/>
    <w:rsid w:val="4E2D3DCA"/>
    <w:rsid w:val="4E4C374F"/>
    <w:rsid w:val="4E58785F"/>
    <w:rsid w:val="4E686DEB"/>
    <w:rsid w:val="4E9250C2"/>
    <w:rsid w:val="4EB42DE6"/>
    <w:rsid w:val="4ECA452E"/>
    <w:rsid w:val="4F335F7C"/>
    <w:rsid w:val="4F4C5F7A"/>
    <w:rsid w:val="4F4C6FA6"/>
    <w:rsid w:val="4F5419B3"/>
    <w:rsid w:val="4F5A1FC0"/>
    <w:rsid w:val="4FA75B3B"/>
    <w:rsid w:val="4FBB35F3"/>
    <w:rsid w:val="4FBC1071"/>
    <w:rsid w:val="4FBD1E60"/>
    <w:rsid w:val="500E0215"/>
    <w:rsid w:val="502133E8"/>
    <w:rsid w:val="504D2824"/>
    <w:rsid w:val="50511432"/>
    <w:rsid w:val="505C17AE"/>
    <w:rsid w:val="506973D9"/>
    <w:rsid w:val="50976B4D"/>
    <w:rsid w:val="50BD624C"/>
    <w:rsid w:val="50F31DDA"/>
    <w:rsid w:val="512C5604"/>
    <w:rsid w:val="513D58A2"/>
    <w:rsid w:val="515F1EB6"/>
    <w:rsid w:val="51971CF4"/>
    <w:rsid w:val="51DE23E7"/>
    <w:rsid w:val="526621C9"/>
    <w:rsid w:val="529A289C"/>
    <w:rsid w:val="529A5E6B"/>
    <w:rsid w:val="52C82F6E"/>
    <w:rsid w:val="52F25E8F"/>
    <w:rsid w:val="533A6525"/>
    <w:rsid w:val="536F7A4A"/>
    <w:rsid w:val="53A16C74"/>
    <w:rsid w:val="53C2778C"/>
    <w:rsid w:val="5400785E"/>
    <w:rsid w:val="545D6948"/>
    <w:rsid w:val="545F54C4"/>
    <w:rsid w:val="546D4359"/>
    <w:rsid w:val="546E17D4"/>
    <w:rsid w:val="54B57EC6"/>
    <w:rsid w:val="54BB7222"/>
    <w:rsid w:val="550B72FE"/>
    <w:rsid w:val="55366A71"/>
    <w:rsid w:val="553D1829"/>
    <w:rsid w:val="556039ED"/>
    <w:rsid w:val="556E396A"/>
    <w:rsid w:val="558E02DA"/>
    <w:rsid w:val="55AF45CD"/>
    <w:rsid w:val="55BC5C8A"/>
    <w:rsid w:val="55DD513F"/>
    <w:rsid w:val="55E11BDC"/>
    <w:rsid w:val="55FE01A7"/>
    <w:rsid w:val="561D19DF"/>
    <w:rsid w:val="563453DF"/>
    <w:rsid w:val="56607721"/>
    <w:rsid w:val="5673346F"/>
    <w:rsid w:val="56B50D96"/>
    <w:rsid w:val="56CD6B47"/>
    <w:rsid w:val="56F25688"/>
    <w:rsid w:val="57246CE6"/>
    <w:rsid w:val="57433A47"/>
    <w:rsid w:val="57481A7C"/>
    <w:rsid w:val="574C1D57"/>
    <w:rsid w:val="577F0FAE"/>
    <w:rsid w:val="579123F1"/>
    <w:rsid w:val="57FC4120"/>
    <w:rsid w:val="58263B46"/>
    <w:rsid w:val="58316A19"/>
    <w:rsid w:val="58476E32"/>
    <w:rsid w:val="58884C05"/>
    <w:rsid w:val="588E5207"/>
    <w:rsid w:val="58B61C36"/>
    <w:rsid w:val="58C15548"/>
    <w:rsid w:val="591F01B8"/>
    <w:rsid w:val="594569D5"/>
    <w:rsid w:val="59BD34E8"/>
    <w:rsid w:val="59C817D2"/>
    <w:rsid w:val="59EA13E5"/>
    <w:rsid w:val="5A1A46E5"/>
    <w:rsid w:val="5A1D1A93"/>
    <w:rsid w:val="5ABD1EEF"/>
    <w:rsid w:val="5AC94605"/>
    <w:rsid w:val="5AD52C2F"/>
    <w:rsid w:val="5AE27D94"/>
    <w:rsid w:val="5AEA4562"/>
    <w:rsid w:val="5AF70B81"/>
    <w:rsid w:val="5B044A21"/>
    <w:rsid w:val="5B072F34"/>
    <w:rsid w:val="5B0E3143"/>
    <w:rsid w:val="5B551762"/>
    <w:rsid w:val="5B5D26CA"/>
    <w:rsid w:val="5BBB2D60"/>
    <w:rsid w:val="5BDE6127"/>
    <w:rsid w:val="5C14081C"/>
    <w:rsid w:val="5C3344A6"/>
    <w:rsid w:val="5C51286D"/>
    <w:rsid w:val="5C5D3D3D"/>
    <w:rsid w:val="5CE23BEF"/>
    <w:rsid w:val="5D080CF3"/>
    <w:rsid w:val="5D193235"/>
    <w:rsid w:val="5D2159E4"/>
    <w:rsid w:val="5D504F71"/>
    <w:rsid w:val="5D5B541B"/>
    <w:rsid w:val="5D652335"/>
    <w:rsid w:val="5DD91576"/>
    <w:rsid w:val="5DE71EFD"/>
    <w:rsid w:val="5E211941"/>
    <w:rsid w:val="5E24378B"/>
    <w:rsid w:val="5E82759A"/>
    <w:rsid w:val="5E8D3BD7"/>
    <w:rsid w:val="5EBF3633"/>
    <w:rsid w:val="5F0A5E66"/>
    <w:rsid w:val="5F2142EE"/>
    <w:rsid w:val="5F2E73FC"/>
    <w:rsid w:val="5F8D768E"/>
    <w:rsid w:val="5F8F4795"/>
    <w:rsid w:val="5FC259CB"/>
    <w:rsid w:val="60121E89"/>
    <w:rsid w:val="601558FE"/>
    <w:rsid w:val="603A7D64"/>
    <w:rsid w:val="609C41D6"/>
    <w:rsid w:val="609C7C06"/>
    <w:rsid w:val="609D47A7"/>
    <w:rsid w:val="60A00AEF"/>
    <w:rsid w:val="60B63FB4"/>
    <w:rsid w:val="60C664F0"/>
    <w:rsid w:val="611E3787"/>
    <w:rsid w:val="612C5010"/>
    <w:rsid w:val="615950FE"/>
    <w:rsid w:val="619C6E1E"/>
    <w:rsid w:val="61AA311F"/>
    <w:rsid w:val="61C37222"/>
    <w:rsid w:val="61D93C04"/>
    <w:rsid w:val="62270772"/>
    <w:rsid w:val="623B358A"/>
    <w:rsid w:val="624644A3"/>
    <w:rsid w:val="624A270E"/>
    <w:rsid w:val="627F378C"/>
    <w:rsid w:val="62966B4B"/>
    <w:rsid w:val="62D31AA3"/>
    <w:rsid w:val="62E40727"/>
    <w:rsid w:val="62F951EF"/>
    <w:rsid w:val="634A7964"/>
    <w:rsid w:val="63782623"/>
    <w:rsid w:val="63C643B9"/>
    <w:rsid w:val="63D14974"/>
    <w:rsid w:val="63F05F4D"/>
    <w:rsid w:val="641A615C"/>
    <w:rsid w:val="641B6443"/>
    <w:rsid w:val="6438194E"/>
    <w:rsid w:val="644B70A7"/>
    <w:rsid w:val="645E38EF"/>
    <w:rsid w:val="647A0AD9"/>
    <w:rsid w:val="64A1263E"/>
    <w:rsid w:val="64A50698"/>
    <w:rsid w:val="64AE210D"/>
    <w:rsid w:val="64CC56E0"/>
    <w:rsid w:val="64E76170"/>
    <w:rsid w:val="65281233"/>
    <w:rsid w:val="654619C3"/>
    <w:rsid w:val="656B0C12"/>
    <w:rsid w:val="65D35BCC"/>
    <w:rsid w:val="65E01EFF"/>
    <w:rsid w:val="65F057F6"/>
    <w:rsid w:val="66267008"/>
    <w:rsid w:val="66484FC3"/>
    <w:rsid w:val="66621D5C"/>
    <w:rsid w:val="67140AD4"/>
    <w:rsid w:val="673402FF"/>
    <w:rsid w:val="673A7542"/>
    <w:rsid w:val="674C7A2E"/>
    <w:rsid w:val="678534DC"/>
    <w:rsid w:val="67891972"/>
    <w:rsid w:val="67A37A2F"/>
    <w:rsid w:val="67B540BC"/>
    <w:rsid w:val="67C63C85"/>
    <w:rsid w:val="67D4361E"/>
    <w:rsid w:val="67D57FA6"/>
    <w:rsid w:val="680D40F8"/>
    <w:rsid w:val="682F3524"/>
    <w:rsid w:val="68AE1B22"/>
    <w:rsid w:val="68B47044"/>
    <w:rsid w:val="68CA6B7F"/>
    <w:rsid w:val="68D42870"/>
    <w:rsid w:val="68F24674"/>
    <w:rsid w:val="690F4D92"/>
    <w:rsid w:val="69222AC7"/>
    <w:rsid w:val="693D35A0"/>
    <w:rsid w:val="69794A17"/>
    <w:rsid w:val="69C05EF4"/>
    <w:rsid w:val="69FA5E67"/>
    <w:rsid w:val="6A382EF4"/>
    <w:rsid w:val="6A3D22B6"/>
    <w:rsid w:val="6A6B6E15"/>
    <w:rsid w:val="6AAC6712"/>
    <w:rsid w:val="6AD9293F"/>
    <w:rsid w:val="6B5A5459"/>
    <w:rsid w:val="6B621605"/>
    <w:rsid w:val="6B735ED1"/>
    <w:rsid w:val="6BB42B8D"/>
    <w:rsid w:val="6BC95AF1"/>
    <w:rsid w:val="6BF90A44"/>
    <w:rsid w:val="6BFB34CA"/>
    <w:rsid w:val="6BFE43CC"/>
    <w:rsid w:val="6BFF7765"/>
    <w:rsid w:val="6C0F0CE4"/>
    <w:rsid w:val="6C4F2D30"/>
    <w:rsid w:val="6C53360D"/>
    <w:rsid w:val="6C5374CD"/>
    <w:rsid w:val="6C645CE2"/>
    <w:rsid w:val="6D04225F"/>
    <w:rsid w:val="6D0D5028"/>
    <w:rsid w:val="6D141B60"/>
    <w:rsid w:val="6D16571D"/>
    <w:rsid w:val="6D1F5A7E"/>
    <w:rsid w:val="6D640001"/>
    <w:rsid w:val="6D7D4C70"/>
    <w:rsid w:val="6D9B526C"/>
    <w:rsid w:val="6E1056BD"/>
    <w:rsid w:val="6E240C4F"/>
    <w:rsid w:val="6E5E1A20"/>
    <w:rsid w:val="6E6B4355"/>
    <w:rsid w:val="6EC24CAE"/>
    <w:rsid w:val="6F064EF5"/>
    <w:rsid w:val="6F691C0C"/>
    <w:rsid w:val="6F71637C"/>
    <w:rsid w:val="6F822C69"/>
    <w:rsid w:val="6F916924"/>
    <w:rsid w:val="6FAC0C0A"/>
    <w:rsid w:val="6FBC771B"/>
    <w:rsid w:val="6FE624D7"/>
    <w:rsid w:val="70147B9F"/>
    <w:rsid w:val="702D0F9D"/>
    <w:rsid w:val="7039345B"/>
    <w:rsid w:val="70650D67"/>
    <w:rsid w:val="70AE2C92"/>
    <w:rsid w:val="70D55B2F"/>
    <w:rsid w:val="70F46DCB"/>
    <w:rsid w:val="712C7437"/>
    <w:rsid w:val="71774B1D"/>
    <w:rsid w:val="71996021"/>
    <w:rsid w:val="71BE1CAC"/>
    <w:rsid w:val="71F5226C"/>
    <w:rsid w:val="72031631"/>
    <w:rsid w:val="720B13BD"/>
    <w:rsid w:val="72282ED2"/>
    <w:rsid w:val="725332F0"/>
    <w:rsid w:val="725E55FE"/>
    <w:rsid w:val="729D4662"/>
    <w:rsid w:val="73062B9A"/>
    <w:rsid w:val="73426189"/>
    <w:rsid w:val="735068BB"/>
    <w:rsid w:val="7355203F"/>
    <w:rsid w:val="738F6272"/>
    <w:rsid w:val="741E2752"/>
    <w:rsid w:val="74327E51"/>
    <w:rsid w:val="74775D90"/>
    <w:rsid w:val="748B4E7C"/>
    <w:rsid w:val="74C01284"/>
    <w:rsid w:val="74F740EA"/>
    <w:rsid w:val="750D44E7"/>
    <w:rsid w:val="7510653F"/>
    <w:rsid w:val="751A4B11"/>
    <w:rsid w:val="751E3F5E"/>
    <w:rsid w:val="75441A35"/>
    <w:rsid w:val="75750383"/>
    <w:rsid w:val="7577348F"/>
    <w:rsid w:val="757D49A7"/>
    <w:rsid w:val="75846F2D"/>
    <w:rsid w:val="75955D38"/>
    <w:rsid w:val="75C93BB3"/>
    <w:rsid w:val="75D3080A"/>
    <w:rsid w:val="75D74416"/>
    <w:rsid w:val="766A0005"/>
    <w:rsid w:val="766B12D9"/>
    <w:rsid w:val="76AC6E6F"/>
    <w:rsid w:val="7701797B"/>
    <w:rsid w:val="77050C82"/>
    <w:rsid w:val="77266C94"/>
    <w:rsid w:val="776330A8"/>
    <w:rsid w:val="77BE34A8"/>
    <w:rsid w:val="77F37E0F"/>
    <w:rsid w:val="77FA34D6"/>
    <w:rsid w:val="78020658"/>
    <w:rsid w:val="781A7283"/>
    <w:rsid w:val="7836417D"/>
    <w:rsid w:val="78380B2D"/>
    <w:rsid w:val="786C6182"/>
    <w:rsid w:val="789F26F8"/>
    <w:rsid w:val="78E103E4"/>
    <w:rsid w:val="78FC79B7"/>
    <w:rsid w:val="79A11E5C"/>
    <w:rsid w:val="7A1A41B5"/>
    <w:rsid w:val="7A7D45A4"/>
    <w:rsid w:val="7A8A44F0"/>
    <w:rsid w:val="7A8D58F6"/>
    <w:rsid w:val="7AE72249"/>
    <w:rsid w:val="7AF872D3"/>
    <w:rsid w:val="7B1B5C3E"/>
    <w:rsid w:val="7B24408E"/>
    <w:rsid w:val="7B315461"/>
    <w:rsid w:val="7B4F12D1"/>
    <w:rsid w:val="7B5537F6"/>
    <w:rsid w:val="7B586DF6"/>
    <w:rsid w:val="7B9957A7"/>
    <w:rsid w:val="7BC81ACA"/>
    <w:rsid w:val="7BDB03EF"/>
    <w:rsid w:val="7BDF33EC"/>
    <w:rsid w:val="7C3A62B1"/>
    <w:rsid w:val="7C4A7143"/>
    <w:rsid w:val="7C641575"/>
    <w:rsid w:val="7CAC0B81"/>
    <w:rsid w:val="7D2445FF"/>
    <w:rsid w:val="7D286934"/>
    <w:rsid w:val="7D2B238E"/>
    <w:rsid w:val="7D2C7C7B"/>
    <w:rsid w:val="7D397837"/>
    <w:rsid w:val="7D4116C3"/>
    <w:rsid w:val="7D4143FF"/>
    <w:rsid w:val="7D4C50D7"/>
    <w:rsid w:val="7E0D1B50"/>
    <w:rsid w:val="7E357715"/>
    <w:rsid w:val="7E3E606B"/>
    <w:rsid w:val="7E726FBB"/>
    <w:rsid w:val="7E96264C"/>
    <w:rsid w:val="7E96297B"/>
    <w:rsid w:val="7EB86432"/>
    <w:rsid w:val="7ECE07CD"/>
    <w:rsid w:val="7F0E1EA8"/>
    <w:rsid w:val="7F410A4A"/>
    <w:rsid w:val="7F4843A9"/>
    <w:rsid w:val="7F575590"/>
    <w:rsid w:val="7F785A81"/>
    <w:rsid w:val="7F9B34E4"/>
    <w:rsid w:val="7FE5259A"/>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nhideWhenUsed="0" w:uiPriority="99" w:semiHidden="0" w:name="caption"/>
    <w:lsdException w:qFormat="1" w:unhideWhenUsed="0" w:uiPriority="99" w:name="table of figures"/>
    <w:lsdException w:qFormat="1" w:unhideWhenUsed="0" w:uiPriority="99" w:name="envelope address"/>
    <w:lsdException w:qFormat="1" w:unhideWhenUsed="0" w:uiPriority="99" w:name="envelope return"/>
    <w:lsdException w:qFormat="1" w:unhideWhenUsed="0" w:uiPriority="99" w:name="footnote reference"/>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qFormat="1" w:unhideWhenUsed="0" w:uiPriority="99" w:name="table of authorities"/>
    <w:lsdException w:qFormat="1" w:unhideWhenUsed="0" w:uiPriority="99" w:name="macro"/>
    <w:lsdException w:qFormat="1" w:unhideWhenUsed="0" w:uiPriority="99" w:name="toa heading"/>
    <w:lsdException w:qFormat="1" w:unhideWhenUsed="0" w:uiPriority="99" w:semiHidden="0" w:name="List"/>
    <w:lsdException w:qFormat="1" w:unhideWhenUsed="0" w:uiPriority="99" w:semiHidden="0" w:name="List Bullet"/>
    <w:lsdException w:qFormat="1" w:unhideWhenUsed="0" w:uiPriority="99" w:name="List Number"/>
    <w:lsdException w:qFormat="1" w:unhideWhenUsed="0" w:uiPriority="99" w:semiHidden="0" w:name="List 2"/>
    <w:lsdException w:qFormat="1" w:unhideWhenUsed="0" w:uiPriority="99" w:semiHidden="0" w:name="List 3"/>
    <w:lsdException w:qFormat="1" w:unhideWhenUsed="0" w:uiPriority="99" w:name="List 4"/>
    <w:lsdException w:qFormat="1" w:unhideWhenUsed="0" w:uiPriority="99" w:name="List 5"/>
    <w:lsdException w:qFormat="1" w:unhideWhenUsed="0" w:uiPriority="99" w:semiHidden="0" w:name="List Bullet 2"/>
    <w:lsdException w:qFormat="1" w:unhideWhenUsed="0" w:uiPriority="99" w:name="List Bullet 3"/>
    <w:lsdException w:qFormat="1" w:unhideWhenUsed="0" w:uiPriority="99" w:name="List Bullet 4"/>
    <w:lsdException w:qFormat="1" w:unhideWhenUsed="0" w:uiPriority="99" w:name="List Bullet 5"/>
    <w:lsdException w:qFormat="1" w:unhideWhenUsed="0" w:uiPriority="99" w:name="List Number 2"/>
    <w:lsdException w:qFormat="1" w:unhideWhenUsed="0" w:uiPriority="99" w:name="List Number 3"/>
    <w:lsdException w:qFormat="1" w:unhideWhenUsed="0" w:uiPriority="99" w:name="List Number 4"/>
    <w:lsdException w:qFormat="1" w:unhideWhenUsed="0" w:uiPriority="99" w:name="List Number 5"/>
    <w:lsdException w:qFormat="1" w:unhideWhenUsed="0" w:uiPriority="99" w:semiHidden="0" w:name="Title"/>
    <w:lsdException w:qFormat="1" w:unhideWhenUsed="0" w:uiPriority="99" w:semiHidden="0" w:name="Closing"/>
    <w:lsdException w:qFormat="1" w:unhideWhenUsed="0"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qFormat="1" w:unhideWhenUsed="0" w:uiPriority="99" w:name="List Continue"/>
    <w:lsdException w:qFormat="1" w:unhideWhenUsed="0" w:uiPriority="99" w:name="List Continue 2"/>
    <w:lsdException w:qFormat="1" w:unhideWhenUsed="0" w:uiPriority="99" w:name="List Continue 3"/>
    <w:lsdException w:qFormat="1" w:unhideWhenUsed="0" w:uiPriority="99" w:name="List Continue 4"/>
    <w:lsdException w:qFormat="1" w:unhideWhenUsed="0" w:uiPriority="99"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qFormat="1" w:unhideWhenUsed="0" w:uiPriority="99" w:name="E-mail Signature"/>
    <w:lsdException w:qFormat="1" w:unhideWhenUsed="0" w:uiPriority="99" w:semiHidden="0" w:name="Normal (Web)"/>
    <w:lsdException w:qFormat="1" w:unhideWhenUsed="0" w:uiPriority="99" w:name="HTML Acronym"/>
    <w:lsdException w:qFormat="1" w:unhideWhenUsed="0" w:uiPriority="99" w:name="HTML Address"/>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semiHidden="0" w:name="HTML Preformatted"/>
    <w:lsdException w:qFormat="1" w:unhideWhenUsed="0" w:uiPriority="99" w:name="HTML Sample"/>
    <w:lsdException w:qFormat="1" w:unhideWhenUsed="0" w:uiPriority="99" w:semiHidden="0" w:name="HTML Typewriter"/>
    <w:lsdException w:qFormat="1" w:unhideWhenUsed="0" w:uiPriority="99"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qFormat="1" w:unhideWhenUsed="0" w:uiPriority="99" w:semiHidden="0" w:name="Table Classic 3"/>
    <w:lsdException w:uiPriority="99" w:name="Table Classic 4" w:locked="1"/>
    <w:lsdException w:uiPriority="99" w:name="Table Colorful 1" w:locked="1"/>
    <w:lsdException w:uiPriority="99" w:name="Table Colorful 2" w:locked="1"/>
    <w:lsdException w:qFormat="1" w:unhideWhenUsed="0" w:uiPriority="99" w:semiHidden="0" w:name="Table Colorful 3"/>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qFormat="1" w:unhideWhenUsed="0" w:uiPriority="99" w:semiHidden="0" w:name="Table Grid 7"/>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qFormat="1" w:unhideWhenUsed="0" w:uiPriority="99" w:semiHidden="0" w:name="Table Elegant"/>
    <w:lsdException w:qFormat="1" w:unhideWhenUsed="0" w:uiPriority="99" w:semiHidden="0" w:name="Table Professional"/>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271"/>
    <w:autoRedefine/>
    <w:qFormat/>
    <w:uiPriority w:val="99"/>
    <w:pPr>
      <w:keepNext/>
      <w:keepLines/>
      <w:spacing w:before="340" w:after="330" w:line="576" w:lineRule="auto"/>
      <w:jc w:val="center"/>
      <w:outlineLvl w:val="0"/>
    </w:pPr>
    <w:rPr>
      <w:rFonts w:eastAsia="宋体"/>
      <w:b/>
      <w:bCs/>
      <w:kern w:val="44"/>
      <w:sz w:val="44"/>
      <w:szCs w:val="44"/>
    </w:rPr>
  </w:style>
  <w:style w:type="paragraph" w:styleId="4">
    <w:name w:val="heading 2"/>
    <w:basedOn w:val="1"/>
    <w:next w:val="1"/>
    <w:link w:val="206"/>
    <w:autoRedefine/>
    <w:qFormat/>
    <w:uiPriority w:val="99"/>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link w:val="199"/>
    <w:autoRedefine/>
    <w:qFormat/>
    <w:uiPriority w:val="99"/>
    <w:pPr>
      <w:keepNext/>
      <w:keepLines/>
      <w:spacing w:before="260" w:after="260" w:line="415" w:lineRule="auto"/>
      <w:ind w:firstLine="137" w:firstLineChars="49"/>
      <w:outlineLvl w:val="2"/>
    </w:pPr>
    <w:rPr>
      <w:rFonts w:ascii="黑体" w:hAnsi="宋体" w:eastAsia="黑体" w:cs="黑体"/>
      <w:sz w:val="28"/>
      <w:szCs w:val="28"/>
    </w:rPr>
  </w:style>
  <w:style w:type="paragraph" w:styleId="6">
    <w:name w:val="heading 4"/>
    <w:basedOn w:val="1"/>
    <w:next w:val="1"/>
    <w:link w:val="257"/>
    <w:autoRedefine/>
    <w:qFormat/>
    <w:uiPriority w:val="99"/>
    <w:pPr>
      <w:keepNext/>
      <w:keepLines/>
      <w:spacing w:before="280" w:after="290" w:line="374" w:lineRule="auto"/>
      <w:outlineLvl w:val="3"/>
    </w:pPr>
    <w:rPr>
      <w:rFonts w:ascii="Arial" w:hAnsi="Arial" w:eastAsia="黑体" w:cs="Arial"/>
      <w:b/>
      <w:bCs/>
      <w:sz w:val="28"/>
      <w:szCs w:val="28"/>
    </w:rPr>
  </w:style>
  <w:style w:type="paragraph" w:styleId="7">
    <w:name w:val="heading 5"/>
    <w:basedOn w:val="1"/>
    <w:next w:val="1"/>
    <w:link w:val="263"/>
    <w:autoRedefine/>
    <w:qFormat/>
    <w:uiPriority w:val="99"/>
    <w:pPr>
      <w:keepNext/>
      <w:keepLines/>
      <w:tabs>
        <w:tab w:val="left" w:pos="1008"/>
      </w:tabs>
      <w:adjustRightInd w:val="0"/>
      <w:spacing w:before="280" w:after="290" w:line="376" w:lineRule="atLeast"/>
      <w:ind w:left="1008" w:hanging="1008"/>
      <w:textAlignment w:val="baseline"/>
      <w:outlineLvl w:val="4"/>
    </w:pPr>
    <w:rPr>
      <w:b/>
      <w:bCs/>
      <w:kern w:val="0"/>
      <w:sz w:val="24"/>
      <w:szCs w:val="24"/>
    </w:rPr>
  </w:style>
  <w:style w:type="paragraph" w:styleId="8">
    <w:name w:val="heading 6"/>
    <w:basedOn w:val="1"/>
    <w:next w:val="1"/>
    <w:link w:val="150"/>
    <w:autoRedefine/>
    <w:qFormat/>
    <w:uiPriority w:val="99"/>
    <w:pPr>
      <w:keepNext/>
      <w:keepLines/>
      <w:widowControl/>
      <w:tabs>
        <w:tab w:val="left" w:pos="1440"/>
      </w:tabs>
      <w:spacing w:before="240" w:after="64" w:line="319" w:lineRule="auto"/>
      <w:ind w:left="1152" w:hanging="1152"/>
      <w:jc w:val="left"/>
      <w:outlineLvl w:val="5"/>
    </w:pPr>
    <w:rPr>
      <w:rFonts w:ascii="Arial" w:hAnsi="Arial" w:eastAsia="黑体" w:cs="Arial"/>
      <w:b/>
      <w:bCs/>
      <w:kern w:val="0"/>
      <w:sz w:val="24"/>
      <w:szCs w:val="24"/>
    </w:rPr>
  </w:style>
  <w:style w:type="paragraph" w:styleId="9">
    <w:name w:val="heading 7"/>
    <w:basedOn w:val="1"/>
    <w:next w:val="1"/>
    <w:link w:val="246"/>
    <w:autoRedefine/>
    <w:qFormat/>
    <w:uiPriority w:val="99"/>
    <w:pPr>
      <w:keepNext/>
      <w:keepLines/>
      <w:widowControl/>
      <w:tabs>
        <w:tab w:val="left" w:pos="2520"/>
      </w:tabs>
      <w:spacing w:before="240" w:after="64" w:line="319" w:lineRule="auto"/>
      <w:ind w:left="1296" w:hanging="1296"/>
      <w:jc w:val="left"/>
      <w:outlineLvl w:val="6"/>
    </w:pPr>
    <w:rPr>
      <w:b/>
      <w:bCs/>
      <w:kern w:val="0"/>
      <w:sz w:val="24"/>
      <w:szCs w:val="24"/>
    </w:rPr>
  </w:style>
  <w:style w:type="paragraph" w:styleId="10">
    <w:name w:val="heading 8"/>
    <w:basedOn w:val="1"/>
    <w:next w:val="1"/>
    <w:link w:val="281"/>
    <w:autoRedefine/>
    <w:qFormat/>
    <w:uiPriority w:val="99"/>
    <w:pPr>
      <w:keepNext/>
      <w:keepLines/>
      <w:widowControl/>
      <w:tabs>
        <w:tab w:val="left" w:pos="1440"/>
      </w:tabs>
      <w:spacing w:before="240" w:after="64" w:line="319" w:lineRule="auto"/>
      <w:ind w:left="1440" w:hanging="1440"/>
      <w:jc w:val="left"/>
      <w:outlineLvl w:val="7"/>
    </w:pPr>
    <w:rPr>
      <w:rFonts w:ascii="Arial" w:hAnsi="Arial" w:eastAsia="黑体" w:cs="Arial"/>
      <w:kern w:val="0"/>
      <w:sz w:val="24"/>
      <w:szCs w:val="24"/>
    </w:rPr>
  </w:style>
  <w:style w:type="paragraph" w:styleId="11">
    <w:name w:val="heading 9"/>
    <w:basedOn w:val="1"/>
    <w:next w:val="1"/>
    <w:link w:val="350"/>
    <w:autoRedefine/>
    <w:qFormat/>
    <w:uiPriority w:val="99"/>
    <w:pPr>
      <w:keepNext/>
      <w:keepLines/>
      <w:widowControl/>
      <w:tabs>
        <w:tab w:val="left" w:pos="1584"/>
      </w:tabs>
      <w:spacing w:before="240" w:after="64" w:line="319" w:lineRule="auto"/>
      <w:ind w:left="1584" w:hanging="1584"/>
      <w:jc w:val="left"/>
      <w:outlineLvl w:val="8"/>
    </w:pPr>
    <w:rPr>
      <w:rFonts w:ascii="Arial" w:hAnsi="Arial" w:eastAsia="黑体" w:cs="Arial"/>
      <w:kern w:val="0"/>
    </w:rPr>
  </w:style>
  <w:style w:type="character" w:default="1" w:styleId="96">
    <w:name w:val="Default Paragraph Font"/>
    <w:autoRedefine/>
    <w:semiHidden/>
    <w:qFormat/>
    <w:uiPriority w:val="99"/>
  </w:style>
  <w:style w:type="table" w:default="1" w:styleId="88">
    <w:name w:val="Normal Table"/>
    <w:autoRedefine/>
    <w:unhideWhenUsed/>
    <w:qFormat/>
    <w:uiPriority w:val="99"/>
    <w:tblPr>
      <w:tblCellMar>
        <w:top w:w="0" w:type="dxa"/>
        <w:left w:w="108" w:type="dxa"/>
        <w:bottom w:w="0" w:type="dxa"/>
        <w:right w:w="108" w:type="dxa"/>
      </w:tblCellMar>
    </w:tblPr>
  </w:style>
  <w:style w:type="paragraph" w:styleId="2">
    <w:name w:val="macro"/>
    <w:link w:val="323"/>
    <w:autoRedefine/>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276" w:lineRule="auto"/>
    </w:pPr>
    <w:rPr>
      <w:rFonts w:ascii="Courier New" w:hAnsi="Courier New" w:eastAsia="宋体" w:cs="Courier New"/>
      <w:kern w:val="2"/>
      <w:sz w:val="24"/>
      <w:szCs w:val="24"/>
      <w:lang w:val="en-US" w:eastAsia="zh-CN" w:bidi="ar-SA"/>
    </w:rPr>
  </w:style>
  <w:style w:type="paragraph" w:styleId="12">
    <w:name w:val="List 3"/>
    <w:basedOn w:val="1"/>
    <w:autoRedefine/>
    <w:qFormat/>
    <w:uiPriority w:val="99"/>
    <w:pPr>
      <w:ind w:left="1260" w:hanging="420"/>
    </w:pPr>
  </w:style>
  <w:style w:type="paragraph" w:styleId="13">
    <w:name w:val="toc 7"/>
    <w:basedOn w:val="1"/>
    <w:next w:val="1"/>
    <w:autoRedefine/>
    <w:semiHidden/>
    <w:qFormat/>
    <w:uiPriority w:val="99"/>
    <w:pPr>
      <w:ind w:left="1260"/>
      <w:jc w:val="left"/>
    </w:pPr>
    <w:rPr>
      <w:sz w:val="18"/>
      <w:szCs w:val="18"/>
    </w:rPr>
  </w:style>
  <w:style w:type="paragraph" w:styleId="14">
    <w:name w:val="List Number 2"/>
    <w:basedOn w:val="1"/>
    <w:autoRedefine/>
    <w:semiHidden/>
    <w:qFormat/>
    <w:uiPriority w:val="99"/>
    <w:pPr>
      <w:tabs>
        <w:tab w:val="left" w:pos="720"/>
        <w:tab w:val="left" w:pos="780"/>
      </w:tabs>
      <w:ind w:left="720" w:hanging="720"/>
    </w:pPr>
  </w:style>
  <w:style w:type="paragraph" w:styleId="15">
    <w:name w:val="table of authorities"/>
    <w:basedOn w:val="1"/>
    <w:next w:val="1"/>
    <w:autoRedefine/>
    <w:semiHidden/>
    <w:qFormat/>
    <w:uiPriority w:val="99"/>
    <w:pPr>
      <w:spacing w:line="480" w:lineRule="exact"/>
      <w:ind w:left="420"/>
    </w:pPr>
    <w:rPr>
      <w:sz w:val="24"/>
      <w:szCs w:val="24"/>
    </w:rPr>
  </w:style>
  <w:style w:type="paragraph" w:styleId="16">
    <w:name w:val="Note Heading"/>
    <w:basedOn w:val="1"/>
    <w:next w:val="1"/>
    <w:link w:val="177"/>
    <w:autoRedefine/>
    <w:semiHidden/>
    <w:qFormat/>
    <w:uiPriority w:val="99"/>
    <w:pPr>
      <w:jc w:val="center"/>
    </w:pPr>
    <w:rPr>
      <w:rFonts w:cs="Times New Roman"/>
      <w:sz w:val="24"/>
      <w:szCs w:val="24"/>
      <w:lang w:val="zh-CN" w:eastAsia="zh-CN"/>
    </w:rPr>
  </w:style>
  <w:style w:type="paragraph" w:styleId="17">
    <w:name w:val="List Bullet 4"/>
    <w:basedOn w:val="1"/>
    <w:autoRedefine/>
    <w:semiHidden/>
    <w:qFormat/>
    <w:uiPriority w:val="99"/>
    <w:pPr>
      <w:tabs>
        <w:tab w:val="left" w:pos="720"/>
        <w:tab w:val="left" w:pos="1620"/>
      </w:tabs>
      <w:ind w:left="720" w:hanging="720"/>
    </w:pPr>
  </w:style>
  <w:style w:type="paragraph" w:styleId="18">
    <w:name w:val="index 8"/>
    <w:basedOn w:val="1"/>
    <w:next w:val="1"/>
    <w:autoRedefine/>
    <w:semiHidden/>
    <w:qFormat/>
    <w:uiPriority w:val="99"/>
    <w:pPr>
      <w:adjustRightInd w:val="0"/>
      <w:spacing w:line="240" w:lineRule="atLeast"/>
      <w:ind w:left="1920" w:hanging="240"/>
      <w:jc w:val="left"/>
      <w:textAlignment w:val="baseline"/>
    </w:pPr>
    <w:rPr>
      <w:kern w:val="0"/>
      <w:sz w:val="24"/>
      <w:szCs w:val="24"/>
    </w:rPr>
  </w:style>
  <w:style w:type="paragraph" w:styleId="19">
    <w:name w:val="E-mail Signature"/>
    <w:basedOn w:val="1"/>
    <w:link w:val="312"/>
    <w:autoRedefine/>
    <w:semiHidden/>
    <w:qFormat/>
    <w:uiPriority w:val="99"/>
    <w:rPr>
      <w:rFonts w:cs="Times New Roman"/>
      <w:sz w:val="24"/>
      <w:szCs w:val="24"/>
      <w:lang w:val="zh-CN" w:eastAsia="zh-CN"/>
    </w:rPr>
  </w:style>
  <w:style w:type="paragraph" w:styleId="20">
    <w:name w:val="List Number"/>
    <w:basedOn w:val="1"/>
    <w:autoRedefine/>
    <w:semiHidden/>
    <w:qFormat/>
    <w:uiPriority w:val="99"/>
    <w:pPr>
      <w:tabs>
        <w:tab w:val="left" w:pos="360"/>
        <w:tab w:val="left" w:pos="720"/>
      </w:tabs>
      <w:ind w:left="720" w:hanging="720"/>
    </w:pPr>
  </w:style>
  <w:style w:type="paragraph" w:styleId="21">
    <w:name w:val="Normal Indent"/>
    <w:basedOn w:val="1"/>
    <w:next w:val="1"/>
    <w:link w:val="346"/>
    <w:autoRedefine/>
    <w:qFormat/>
    <w:uiPriority w:val="99"/>
    <w:pPr>
      <w:ind w:firstLine="420" w:firstLineChars="200"/>
    </w:pPr>
    <w:rPr>
      <w:rFonts w:cs="Times New Roman"/>
      <w:sz w:val="24"/>
      <w:szCs w:val="24"/>
      <w:lang w:val="zh-CN" w:eastAsia="zh-CN"/>
    </w:rPr>
  </w:style>
  <w:style w:type="paragraph" w:styleId="22">
    <w:name w:val="caption"/>
    <w:basedOn w:val="1"/>
    <w:next w:val="1"/>
    <w:link w:val="216"/>
    <w:autoRedefine/>
    <w:qFormat/>
    <w:uiPriority w:val="99"/>
    <w:pPr>
      <w:ind w:firstLine="6290" w:firstLineChars="2282"/>
    </w:pPr>
    <w:rPr>
      <w:rFonts w:cs="Times New Roman"/>
      <w:b/>
      <w:bCs/>
      <w:color w:val="000080"/>
      <w:sz w:val="24"/>
      <w:szCs w:val="24"/>
      <w:lang w:val="zh-CN" w:eastAsia="zh-CN"/>
    </w:rPr>
  </w:style>
  <w:style w:type="paragraph" w:styleId="23">
    <w:name w:val="index 5"/>
    <w:basedOn w:val="1"/>
    <w:next w:val="1"/>
    <w:autoRedefine/>
    <w:semiHidden/>
    <w:qFormat/>
    <w:uiPriority w:val="99"/>
    <w:pPr>
      <w:adjustRightInd w:val="0"/>
      <w:spacing w:line="240" w:lineRule="atLeast"/>
      <w:ind w:left="1200" w:hanging="240"/>
      <w:jc w:val="left"/>
      <w:textAlignment w:val="baseline"/>
    </w:pPr>
    <w:rPr>
      <w:kern w:val="0"/>
      <w:sz w:val="24"/>
      <w:szCs w:val="24"/>
    </w:rPr>
  </w:style>
  <w:style w:type="paragraph" w:styleId="24">
    <w:name w:val="List Bullet"/>
    <w:basedOn w:val="1"/>
    <w:autoRedefine/>
    <w:qFormat/>
    <w:uiPriority w:val="99"/>
    <w:pPr>
      <w:tabs>
        <w:tab w:val="left" w:pos="360"/>
        <w:tab w:val="left" w:pos="720"/>
      </w:tabs>
      <w:ind w:left="720" w:hanging="720"/>
    </w:pPr>
  </w:style>
  <w:style w:type="paragraph" w:styleId="25">
    <w:name w:val="envelope address"/>
    <w:basedOn w:val="1"/>
    <w:autoRedefine/>
    <w:semiHidden/>
    <w:qFormat/>
    <w:uiPriority w:val="99"/>
    <w:pPr>
      <w:snapToGrid w:val="0"/>
      <w:ind w:left="2880"/>
    </w:pPr>
    <w:rPr>
      <w:rFonts w:ascii="Arial" w:hAnsi="Arial" w:cs="Arial"/>
      <w:sz w:val="24"/>
      <w:szCs w:val="24"/>
    </w:rPr>
  </w:style>
  <w:style w:type="paragraph" w:styleId="26">
    <w:name w:val="Document Map"/>
    <w:basedOn w:val="1"/>
    <w:link w:val="311"/>
    <w:autoRedefine/>
    <w:semiHidden/>
    <w:qFormat/>
    <w:uiPriority w:val="99"/>
    <w:pPr>
      <w:shd w:val="clear" w:color="auto" w:fill="000080"/>
    </w:pPr>
    <w:rPr>
      <w:rFonts w:cs="Times New Roman"/>
      <w:sz w:val="24"/>
      <w:szCs w:val="24"/>
    </w:rPr>
  </w:style>
  <w:style w:type="paragraph" w:styleId="27">
    <w:name w:val="toa heading"/>
    <w:basedOn w:val="1"/>
    <w:next w:val="1"/>
    <w:autoRedefine/>
    <w:semiHidden/>
    <w:qFormat/>
    <w:uiPriority w:val="99"/>
    <w:pPr>
      <w:spacing w:before="120"/>
    </w:pPr>
    <w:rPr>
      <w:rFonts w:ascii="Arial" w:hAnsi="Arial" w:cs="Arial"/>
      <w:sz w:val="24"/>
      <w:szCs w:val="24"/>
    </w:rPr>
  </w:style>
  <w:style w:type="paragraph" w:styleId="28">
    <w:name w:val="annotation text"/>
    <w:basedOn w:val="1"/>
    <w:link w:val="120"/>
    <w:autoRedefine/>
    <w:semiHidden/>
    <w:qFormat/>
    <w:uiPriority w:val="99"/>
    <w:pPr>
      <w:jc w:val="left"/>
    </w:pPr>
    <w:rPr>
      <w:rFonts w:cs="Times New Roman"/>
      <w:sz w:val="24"/>
      <w:szCs w:val="24"/>
    </w:rPr>
  </w:style>
  <w:style w:type="paragraph" w:styleId="29">
    <w:name w:val="index 6"/>
    <w:basedOn w:val="1"/>
    <w:next w:val="1"/>
    <w:autoRedefine/>
    <w:semiHidden/>
    <w:qFormat/>
    <w:uiPriority w:val="99"/>
    <w:pPr>
      <w:adjustRightInd w:val="0"/>
      <w:spacing w:line="240" w:lineRule="atLeast"/>
      <w:ind w:left="1440" w:hanging="240"/>
      <w:jc w:val="left"/>
      <w:textAlignment w:val="baseline"/>
    </w:pPr>
    <w:rPr>
      <w:kern w:val="0"/>
      <w:sz w:val="24"/>
      <w:szCs w:val="24"/>
    </w:rPr>
  </w:style>
  <w:style w:type="paragraph" w:styleId="30">
    <w:name w:val="Salutation"/>
    <w:basedOn w:val="1"/>
    <w:next w:val="1"/>
    <w:link w:val="382"/>
    <w:autoRedefine/>
    <w:qFormat/>
    <w:uiPriority w:val="99"/>
    <w:rPr>
      <w:rFonts w:cs="Times New Roman"/>
      <w:sz w:val="24"/>
      <w:szCs w:val="24"/>
      <w:lang w:val="zh-CN" w:eastAsia="zh-CN"/>
    </w:rPr>
  </w:style>
  <w:style w:type="paragraph" w:styleId="31">
    <w:name w:val="Body Text 3"/>
    <w:basedOn w:val="1"/>
    <w:link w:val="288"/>
    <w:autoRedefine/>
    <w:qFormat/>
    <w:uiPriority w:val="99"/>
    <w:rPr>
      <w:rFonts w:ascii="宋体" w:cs="Times New Roman"/>
      <w:sz w:val="24"/>
      <w:szCs w:val="24"/>
      <w:lang w:val="zh-CN" w:eastAsia="zh-CN"/>
    </w:rPr>
  </w:style>
  <w:style w:type="paragraph" w:styleId="32">
    <w:name w:val="Closing"/>
    <w:basedOn w:val="1"/>
    <w:link w:val="353"/>
    <w:autoRedefine/>
    <w:qFormat/>
    <w:uiPriority w:val="99"/>
    <w:pPr>
      <w:ind w:left="4320"/>
    </w:pPr>
    <w:rPr>
      <w:rFonts w:cs="Times New Roman"/>
      <w:sz w:val="24"/>
      <w:szCs w:val="24"/>
      <w:lang w:val="zh-CN" w:eastAsia="zh-CN"/>
    </w:rPr>
  </w:style>
  <w:style w:type="paragraph" w:styleId="33">
    <w:name w:val="List Bullet 3"/>
    <w:basedOn w:val="1"/>
    <w:autoRedefine/>
    <w:semiHidden/>
    <w:qFormat/>
    <w:uiPriority w:val="99"/>
    <w:pPr>
      <w:tabs>
        <w:tab w:val="left" w:pos="720"/>
        <w:tab w:val="left" w:pos="1200"/>
      </w:tabs>
      <w:ind w:left="720" w:hanging="720"/>
    </w:pPr>
  </w:style>
  <w:style w:type="paragraph" w:styleId="34">
    <w:name w:val="Body Text"/>
    <w:basedOn w:val="1"/>
    <w:next w:val="1"/>
    <w:link w:val="130"/>
    <w:autoRedefine/>
    <w:qFormat/>
    <w:uiPriority w:val="99"/>
    <w:pPr>
      <w:spacing w:after="120"/>
    </w:pPr>
    <w:rPr>
      <w:rFonts w:cs="Times New Roman"/>
      <w:sz w:val="24"/>
      <w:szCs w:val="24"/>
    </w:rPr>
  </w:style>
  <w:style w:type="paragraph" w:styleId="35">
    <w:name w:val="Body Text Indent"/>
    <w:basedOn w:val="1"/>
    <w:link w:val="119"/>
    <w:autoRedefine/>
    <w:qFormat/>
    <w:uiPriority w:val="99"/>
    <w:pPr>
      <w:spacing w:after="120"/>
      <w:ind w:left="420" w:leftChars="200"/>
    </w:pPr>
    <w:rPr>
      <w:rFonts w:cs="Times New Roman"/>
      <w:sz w:val="24"/>
      <w:szCs w:val="24"/>
      <w:lang w:val="zh-CN" w:eastAsia="zh-CN"/>
    </w:rPr>
  </w:style>
  <w:style w:type="paragraph" w:styleId="36">
    <w:name w:val="List Number 3"/>
    <w:basedOn w:val="1"/>
    <w:autoRedefine/>
    <w:semiHidden/>
    <w:qFormat/>
    <w:uiPriority w:val="99"/>
    <w:pPr>
      <w:tabs>
        <w:tab w:val="left" w:pos="720"/>
        <w:tab w:val="left" w:pos="1200"/>
      </w:tabs>
      <w:ind w:left="720" w:hanging="720"/>
    </w:pPr>
  </w:style>
  <w:style w:type="paragraph" w:styleId="37">
    <w:name w:val="List 2"/>
    <w:basedOn w:val="1"/>
    <w:autoRedefine/>
    <w:qFormat/>
    <w:uiPriority w:val="99"/>
    <w:pPr>
      <w:ind w:left="840" w:hanging="420"/>
    </w:pPr>
  </w:style>
  <w:style w:type="paragraph" w:styleId="38">
    <w:name w:val="List Continue"/>
    <w:basedOn w:val="1"/>
    <w:autoRedefine/>
    <w:semiHidden/>
    <w:qFormat/>
    <w:uiPriority w:val="99"/>
    <w:pPr>
      <w:spacing w:after="120"/>
      <w:ind w:left="420"/>
    </w:pPr>
  </w:style>
  <w:style w:type="paragraph" w:styleId="39">
    <w:name w:val="Block Text"/>
    <w:basedOn w:val="1"/>
    <w:autoRedefine/>
    <w:qFormat/>
    <w:uiPriority w:val="99"/>
    <w:pPr>
      <w:spacing w:after="120"/>
      <w:ind w:left="1440" w:right="1440"/>
    </w:pPr>
  </w:style>
  <w:style w:type="paragraph" w:styleId="40">
    <w:name w:val="List Bullet 2"/>
    <w:basedOn w:val="1"/>
    <w:autoRedefine/>
    <w:qFormat/>
    <w:uiPriority w:val="99"/>
    <w:pPr>
      <w:tabs>
        <w:tab w:val="left" w:pos="720"/>
        <w:tab w:val="left" w:pos="780"/>
      </w:tabs>
      <w:ind w:left="720" w:hanging="720"/>
    </w:pPr>
  </w:style>
  <w:style w:type="paragraph" w:styleId="41">
    <w:name w:val="HTML Address"/>
    <w:basedOn w:val="1"/>
    <w:link w:val="126"/>
    <w:autoRedefine/>
    <w:semiHidden/>
    <w:qFormat/>
    <w:uiPriority w:val="99"/>
    <w:rPr>
      <w:rFonts w:cs="Times New Roman"/>
      <w:i/>
      <w:iCs/>
      <w:sz w:val="24"/>
      <w:szCs w:val="24"/>
      <w:lang w:val="zh-CN" w:eastAsia="zh-CN"/>
    </w:rPr>
  </w:style>
  <w:style w:type="paragraph" w:styleId="42">
    <w:name w:val="index 4"/>
    <w:basedOn w:val="1"/>
    <w:next w:val="1"/>
    <w:autoRedefine/>
    <w:semiHidden/>
    <w:qFormat/>
    <w:uiPriority w:val="99"/>
    <w:pPr>
      <w:adjustRightInd w:val="0"/>
      <w:spacing w:line="240" w:lineRule="atLeast"/>
      <w:ind w:left="960" w:hanging="240"/>
      <w:jc w:val="left"/>
      <w:textAlignment w:val="baseline"/>
    </w:pPr>
    <w:rPr>
      <w:kern w:val="0"/>
      <w:sz w:val="24"/>
      <w:szCs w:val="24"/>
    </w:rPr>
  </w:style>
  <w:style w:type="paragraph" w:styleId="43">
    <w:name w:val="toc 5"/>
    <w:basedOn w:val="1"/>
    <w:next w:val="1"/>
    <w:autoRedefine/>
    <w:semiHidden/>
    <w:qFormat/>
    <w:uiPriority w:val="99"/>
    <w:pPr>
      <w:ind w:left="840"/>
      <w:jc w:val="left"/>
    </w:pPr>
    <w:rPr>
      <w:sz w:val="18"/>
      <w:szCs w:val="18"/>
    </w:rPr>
  </w:style>
  <w:style w:type="paragraph" w:styleId="44">
    <w:name w:val="toc 3"/>
    <w:basedOn w:val="1"/>
    <w:next w:val="1"/>
    <w:autoRedefine/>
    <w:semiHidden/>
    <w:qFormat/>
    <w:uiPriority w:val="99"/>
    <w:pPr>
      <w:ind w:left="420"/>
      <w:jc w:val="left"/>
    </w:pPr>
    <w:rPr>
      <w:sz w:val="20"/>
      <w:szCs w:val="20"/>
    </w:rPr>
  </w:style>
  <w:style w:type="paragraph" w:styleId="45">
    <w:name w:val="Plain Text"/>
    <w:basedOn w:val="1"/>
    <w:link w:val="278"/>
    <w:autoRedefine/>
    <w:qFormat/>
    <w:uiPriority w:val="99"/>
    <w:rPr>
      <w:rFonts w:ascii="宋体" w:hAnsi="Courier New" w:cs="Times New Roman"/>
    </w:rPr>
  </w:style>
  <w:style w:type="paragraph" w:styleId="46">
    <w:name w:val="List Bullet 5"/>
    <w:basedOn w:val="1"/>
    <w:autoRedefine/>
    <w:semiHidden/>
    <w:qFormat/>
    <w:uiPriority w:val="99"/>
    <w:pPr>
      <w:tabs>
        <w:tab w:val="left" w:pos="720"/>
        <w:tab w:val="left" w:pos="2040"/>
      </w:tabs>
      <w:ind w:left="720" w:hanging="720"/>
    </w:pPr>
  </w:style>
  <w:style w:type="paragraph" w:styleId="47">
    <w:name w:val="List Number 4"/>
    <w:basedOn w:val="1"/>
    <w:autoRedefine/>
    <w:semiHidden/>
    <w:qFormat/>
    <w:uiPriority w:val="99"/>
    <w:pPr>
      <w:tabs>
        <w:tab w:val="left" w:pos="720"/>
        <w:tab w:val="left" w:pos="1620"/>
      </w:tabs>
      <w:ind w:left="720" w:hanging="720"/>
    </w:pPr>
  </w:style>
  <w:style w:type="paragraph" w:styleId="48">
    <w:name w:val="toc 8"/>
    <w:basedOn w:val="1"/>
    <w:next w:val="1"/>
    <w:autoRedefine/>
    <w:semiHidden/>
    <w:qFormat/>
    <w:uiPriority w:val="99"/>
    <w:pPr>
      <w:ind w:left="1470"/>
      <w:jc w:val="left"/>
    </w:pPr>
    <w:rPr>
      <w:sz w:val="18"/>
      <w:szCs w:val="18"/>
    </w:rPr>
  </w:style>
  <w:style w:type="paragraph" w:styleId="49">
    <w:name w:val="index 3"/>
    <w:basedOn w:val="1"/>
    <w:next w:val="1"/>
    <w:autoRedefine/>
    <w:semiHidden/>
    <w:qFormat/>
    <w:uiPriority w:val="99"/>
    <w:pPr>
      <w:adjustRightInd w:val="0"/>
      <w:spacing w:line="240" w:lineRule="atLeast"/>
      <w:ind w:left="720" w:hanging="240"/>
      <w:jc w:val="left"/>
      <w:textAlignment w:val="baseline"/>
    </w:pPr>
    <w:rPr>
      <w:kern w:val="0"/>
      <w:sz w:val="24"/>
      <w:szCs w:val="24"/>
    </w:rPr>
  </w:style>
  <w:style w:type="paragraph" w:styleId="50">
    <w:name w:val="Date"/>
    <w:basedOn w:val="1"/>
    <w:next w:val="1"/>
    <w:link w:val="151"/>
    <w:autoRedefine/>
    <w:qFormat/>
    <w:uiPriority w:val="99"/>
    <w:rPr>
      <w:rFonts w:cs="Times New Roman"/>
      <w:sz w:val="24"/>
      <w:szCs w:val="24"/>
      <w:lang w:val="zh-CN" w:eastAsia="zh-CN"/>
    </w:rPr>
  </w:style>
  <w:style w:type="paragraph" w:styleId="51">
    <w:name w:val="Body Text Indent 2"/>
    <w:basedOn w:val="1"/>
    <w:link w:val="215"/>
    <w:autoRedefine/>
    <w:qFormat/>
    <w:uiPriority w:val="99"/>
    <w:pPr>
      <w:adjustRightInd w:val="0"/>
      <w:spacing w:line="500" w:lineRule="atLeast"/>
      <w:ind w:firstLine="539"/>
      <w:textAlignment w:val="baseline"/>
    </w:pPr>
    <w:rPr>
      <w:rFonts w:ascii="宋体" w:cs="Times New Roman"/>
      <w:kern w:val="0"/>
      <w:sz w:val="28"/>
      <w:szCs w:val="28"/>
      <w:lang w:val="zh-CN" w:eastAsia="zh-CN"/>
    </w:rPr>
  </w:style>
  <w:style w:type="paragraph" w:styleId="52">
    <w:name w:val="List Continue 5"/>
    <w:basedOn w:val="1"/>
    <w:autoRedefine/>
    <w:semiHidden/>
    <w:qFormat/>
    <w:uiPriority w:val="99"/>
    <w:pPr>
      <w:spacing w:after="120"/>
      <w:ind w:left="2100"/>
    </w:pPr>
  </w:style>
  <w:style w:type="paragraph" w:styleId="53">
    <w:name w:val="Balloon Text"/>
    <w:basedOn w:val="1"/>
    <w:link w:val="305"/>
    <w:autoRedefine/>
    <w:semiHidden/>
    <w:qFormat/>
    <w:uiPriority w:val="99"/>
    <w:rPr>
      <w:rFonts w:cs="Times New Roman"/>
      <w:sz w:val="18"/>
      <w:szCs w:val="18"/>
    </w:rPr>
  </w:style>
  <w:style w:type="paragraph" w:styleId="54">
    <w:name w:val="footer"/>
    <w:basedOn w:val="1"/>
    <w:link w:val="173"/>
    <w:autoRedefine/>
    <w:qFormat/>
    <w:uiPriority w:val="99"/>
    <w:pPr>
      <w:tabs>
        <w:tab w:val="center" w:pos="4153"/>
        <w:tab w:val="right" w:pos="8306"/>
      </w:tabs>
      <w:snapToGrid w:val="0"/>
      <w:jc w:val="left"/>
    </w:pPr>
    <w:rPr>
      <w:rFonts w:cs="Times New Roman"/>
      <w:sz w:val="18"/>
      <w:szCs w:val="18"/>
    </w:rPr>
  </w:style>
  <w:style w:type="paragraph" w:styleId="55">
    <w:name w:val="envelope return"/>
    <w:basedOn w:val="1"/>
    <w:autoRedefine/>
    <w:semiHidden/>
    <w:qFormat/>
    <w:uiPriority w:val="99"/>
    <w:pPr>
      <w:snapToGrid w:val="0"/>
    </w:pPr>
    <w:rPr>
      <w:rFonts w:ascii="Arial" w:hAnsi="Arial" w:cs="Arial"/>
    </w:rPr>
  </w:style>
  <w:style w:type="paragraph" w:styleId="56">
    <w:name w:val="header"/>
    <w:basedOn w:val="1"/>
    <w:link w:val="418"/>
    <w:autoRedefine/>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57">
    <w:name w:val="Signature"/>
    <w:basedOn w:val="1"/>
    <w:link w:val="132"/>
    <w:autoRedefine/>
    <w:semiHidden/>
    <w:qFormat/>
    <w:uiPriority w:val="99"/>
    <w:pPr>
      <w:ind w:left="4320"/>
    </w:pPr>
    <w:rPr>
      <w:rFonts w:cs="Times New Roman"/>
      <w:sz w:val="24"/>
      <w:szCs w:val="24"/>
      <w:lang w:val="zh-CN" w:eastAsia="zh-CN"/>
    </w:rPr>
  </w:style>
  <w:style w:type="paragraph" w:styleId="58">
    <w:name w:val="toc 1"/>
    <w:basedOn w:val="1"/>
    <w:next w:val="1"/>
    <w:autoRedefine/>
    <w:semiHidden/>
    <w:qFormat/>
    <w:uiPriority w:val="99"/>
    <w:pPr>
      <w:spacing w:before="120" w:after="120"/>
      <w:jc w:val="left"/>
    </w:pPr>
    <w:rPr>
      <w:b/>
      <w:bCs/>
      <w:caps/>
      <w:sz w:val="20"/>
      <w:szCs w:val="20"/>
    </w:rPr>
  </w:style>
  <w:style w:type="paragraph" w:styleId="59">
    <w:name w:val="List Continue 4"/>
    <w:basedOn w:val="1"/>
    <w:autoRedefine/>
    <w:semiHidden/>
    <w:qFormat/>
    <w:uiPriority w:val="99"/>
    <w:pPr>
      <w:spacing w:after="120"/>
      <w:ind w:left="1680"/>
    </w:pPr>
  </w:style>
  <w:style w:type="paragraph" w:styleId="60">
    <w:name w:val="toc 4"/>
    <w:basedOn w:val="1"/>
    <w:next w:val="1"/>
    <w:autoRedefine/>
    <w:semiHidden/>
    <w:qFormat/>
    <w:uiPriority w:val="99"/>
    <w:pPr>
      <w:ind w:left="630"/>
      <w:jc w:val="left"/>
    </w:pPr>
    <w:rPr>
      <w:sz w:val="18"/>
      <w:szCs w:val="18"/>
    </w:rPr>
  </w:style>
  <w:style w:type="paragraph" w:styleId="61">
    <w:name w:val="index heading"/>
    <w:basedOn w:val="1"/>
    <w:next w:val="62"/>
    <w:autoRedefine/>
    <w:semiHidden/>
    <w:qFormat/>
    <w:uiPriority w:val="99"/>
    <w:pPr>
      <w:pBdr>
        <w:top w:val="single" w:color="auto" w:sz="12" w:space="0"/>
      </w:pBdr>
      <w:tabs>
        <w:tab w:val="right" w:pos="737"/>
      </w:tabs>
      <w:adjustRightInd w:val="0"/>
      <w:spacing w:before="360" w:after="240" w:line="240" w:lineRule="atLeast"/>
      <w:jc w:val="left"/>
      <w:textAlignment w:val="baseline"/>
    </w:pPr>
    <w:rPr>
      <w:b/>
      <w:bCs/>
      <w:i/>
      <w:iCs/>
      <w:kern w:val="0"/>
      <w:sz w:val="24"/>
      <w:szCs w:val="24"/>
    </w:rPr>
  </w:style>
  <w:style w:type="paragraph" w:styleId="62">
    <w:name w:val="index 1"/>
    <w:basedOn w:val="1"/>
    <w:next w:val="1"/>
    <w:autoRedefine/>
    <w:semiHidden/>
    <w:qFormat/>
    <w:uiPriority w:val="99"/>
    <w:pPr>
      <w:spacing w:line="220" w:lineRule="exact"/>
      <w:jc w:val="center"/>
    </w:pPr>
    <w:rPr>
      <w:rFonts w:ascii="仿宋_GB2312" w:eastAsia="仿宋_GB2312" w:cs="仿宋_GB2312"/>
    </w:rPr>
  </w:style>
  <w:style w:type="paragraph" w:styleId="63">
    <w:name w:val="Subtitle"/>
    <w:basedOn w:val="1"/>
    <w:link w:val="172"/>
    <w:autoRedefine/>
    <w:qFormat/>
    <w:uiPriority w:val="99"/>
    <w:pPr>
      <w:spacing w:before="240" w:after="60" w:line="312" w:lineRule="auto"/>
      <w:jc w:val="center"/>
      <w:outlineLvl w:val="1"/>
    </w:pPr>
    <w:rPr>
      <w:rFonts w:ascii="Arial" w:hAnsi="Arial" w:cs="Times New Roman"/>
      <w:b/>
      <w:bCs/>
      <w:kern w:val="28"/>
      <w:sz w:val="32"/>
      <w:szCs w:val="32"/>
      <w:lang w:val="zh-CN" w:eastAsia="zh-CN"/>
    </w:rPr>
  </w:style>
  <w:style w:type="paragraph" w:styleId="64">
    <w:name w:val="List Number 5"/>
    <w:basedOn w:val="1"/>
    <w:autoRedefine/>
    <w:semiHidden/>
    <w:qFormat/>
    <w:uiPriority w:val="99"/>
    <w:pPr>
      <w:numPr>
        <w:ilvl w:val="0"/>
        <w:numId w:val="1"/>
      </w:numPr>
      <w:tabs>
        <w:tab w:val="left" w:pos="2040"/>
        <w:tab w:val="clear" w:pos="1620"/>
      </w:tabs>
      <w:ind w:left="720" w:leftChars="0" w:hanging="720" w:firstLineChars="0"/>
    </w:pPr>
  </w:style>
  <w:style w:type="paragraph" w:styleId="65">
    <w:name w:val="List"/>
    <w:basedOn w:val="1"/>
    <w:autoRedefine/>
    <w:qFormat/>
    <w:uiPriority w:val="99"/>
    <w:pPr>
      <w:ind w:left="200" w:hanging="200" w:hangingChars="200"/>
    </w:pPr>
  </w:style>
  <w:style w:type="paragraph" w:styleId="66">
    <w:name w:val="footnote text"/>
    <w:basedOn w:val="1"/>
    <w:link w:val="363"/>
    <w:autoRedefine/>
    <w:semiHidden/>
    <w:qFormat/>
    <w:uiPriority w:val="99"/>
    <w:pPr>
      <w:snapToGrid w:val="0"/>
      <w:jc w:val="left"/>
    </w:pPr>
    <w:rPr>
      <w:rFonts w:cs="Times New Roman"/>
      <w:sz w:val="18"/>
      <w:szCs w:val="18"/>
      <w:lang w:val="zh-CN" w:eastAsia="zh-CN"/>
    </w:rPr>
  </w:style>
  <w:style w:type="paragraph" w:styleId="67">
    <w:name w:val="toc 6"/>
    <w:basedOn w:val="1"/>
    <w:next w:val="1"/>
    <w:autoRedefine/>
    <w:semiHidden/>
    <w:qFormat/>
    <w:uiPriority w:val="99"/>
    <w:pPr>
      <w:ind w:left="1050"/>
      <w:jc w:val="left"/>
    </w:pPr>
    <w:rPr>
      <w:sz w:val="18"/>
      <w:szCs w:val="18"/>
    </w:rPr>
  </w:style>
  <w:style w:type="paragraph" w:styleId="68">
    <w:name w:val="List 5"/>
    <w:basedOn w:val="1"/>
    <w:next w:val="69"/>
    <w:autoRedefine/>
    <w:semiHidden/>
    <w:qFormat/>
    <w:uiPriority w:val="99"/>
    <w:pPr>
      <w:ind w:left="2100" w:hanging="420"/>
    </w:pPr>
  </w:style>
  <w:style w:type="paragraph" w:customStyle="1" w:styleId="69">
    <w:name w:val="目录 51"/>
    <w:basedOn w:val="1"/>
    <w:next w:val="1"/>
    <w:autoRedefine/>
    <w:qFormat/>
    <w:uiPriority w:val="0"/>
    <w:pPr>
      <w:ind w:left="630"/>
    </w:pPr>
    <w:rPr>
      <w:sz w:val="20"/>
    </w:rPr>
  </w:style>
  <w:style w:type="paragraph" w:styleId="70">
    <w:name w:val="Body Text Indent 3"/>
    <w:basedOn w:val="1"/>
    <w:link w:val="365"/>
    <w:autoRedefine/>
    <w:qFormat/>
    <w:uiPriority w:val="99"/>
    <w:pPr>
      <w:spacing w:after="120"/>
      <w:ind w:left="420" w:leftChars="200"/>
    </w:pPr>
    <w:rPr>
      <w:rFonts w:cs="Times New Roman"/>
      <w:sz w:val="16"/>
      <w:szCs w:val="16"/>
      <w:lang w:val="zh-CN" w:eastAsia="zh-CN"/>
    </w:rPr>
  </w:style>
  <w:style w:type="paragraph" w:styleId="71">
    <w:name w:val="index 7"/>
    <w:basedOn w:val="1"/>
    <w:next w:val="1"/>
    <w:autoRedefine/>
    <w:semiHidden/>
    <w:qFormat/>
    <w:uiPriority w:val="99"/>
    <w:pPr>
      <w:adjustRightInd w:val="0"/>
      <w:spacing w:line="240" w:lineRule="atLeast"/>
      <w:ind w:left="1680" w:hanging="240"/>
      <w:jc w:val="left"/>
      <w:textAlignment w:val="baseline"/>
    </w:pPr>
    <w:rPr>
      <w:kern w:val="0"/>
      <w:sz w:val="24"/>
      <w:szCs w:val="24"/>
    </w:rPr>
  </w:style>
  <w:style w:type="paragraph" w:styleId="72">
    <w:name w:val="index 9"/>
    <w:basedOn w:val="1"/>
    <w:next w:val="1"/>
    <w:autoRedefine/>
    <w:semiHidden/>
    <w:qFormat/>
    <w:uiPriority w:val="99"/>
    <w:pPr>
      <w:adjustRightInd w:val="0"/>
      <w:spacing w:line="240" w:lineRule="atLeast"/>
      <w:ind w:left="2160" w:hanging="240"/>
      <w:jc w:val="left"/>
      <w:textAlignment w:val="baseline"/>
    </w:pPr>
    <w:rPr>
      <w:kern w:val="0"/>
      <w:sz w:val="24"/>
      <w:szCs w:val="24"/>
    </w:rPr>
  </w:style>
  <w:style w:type="paragraph" w:styleId="73">
    <w:name w:val="table of figures"/>
    <w:basedOn w:val="1"/>
    <w:next w:val="1"/>
    <w:autoRedefine/>
    <w:semiHidden/>
    <w:qFormat/>
    <w:uiPriority w:val="99"/>
    <w:pPr>
      <w:ind w:left="840" w:leftChars="200" w:hanging="420" w:hangingChars="200"/>
    </w:pPr>
  </w:style>
  <w:style w:type="paragraph" w:styleId="74">
    <w:name w:val="toc 2"/>
    <w:basedOn w:val="1"/>
    <w:next w:val="1"/>
    <w:autoRedefine/>
    <w:semiHidden/>
    <w:qFormat/>
    <w:uiPriority w:val="99"/>
    <w:pPr>
      <w:ind w:left="210"/>
      <w:jc w:val="left"/>
    </w:pPr>
    <w:rPr>
      <w:smallCaps/>
      <w:sz w:val="20"/>
      <w:szCs w:val="20"/>
    </w:rPr>
  </w:style>
  <w:style w:type="paragraph" w:styleId="75">
    <w:name w:val="toc 9"/>
    <w:basedOn w:val="1"/>
    <w:next w:val="1"/>
    <w:autoRedefine/>
    <w:semiHidden/>
    <w:qFormat/>
    <w:uiPriority w:val="99"/>
    <w:pPr>
      <w:ind w:left="1680"/>
      <w:jc w:val="left"/>
    </w:pPr>
    <w:rPr>
      <w:sz w:val="18"/>
      <w:szCs w:val="18"/>
    </w:rPr>
  </w:style>
  <w:style w:type="paragraph" w:styleId="76">
    <w:name w:val="Body Text 2"/>
    <w:basedOn w:val="1"/>
    <w:link w:val="284"/>
    <w:autoRedefine/>
    <w:qFormat/>
    <w:uiPriority w:val="99"/>
    <w:pPr>
      <w:spacing w:line="360" w:lineRule="auto"/>
    </w:pPr>
    <w:rPr>
      <w:rFonts w:ascii="仿宋_GB2312" w:eastAsia="仿宋_GB2312" w:cs="Times New Roman"/>
      <w:color w:val="000000"/>
      <w:sz w:val="24"/>
      <w:szCs w:val="24"/>
      <w:lang w:val="zh-CN" w:eastAsia="zh-CN"/>
    </w:rPr>
  </w:style>
  <w:style w:type="paragraph" w:styleId="77">
    <w:name w:val="List 4"/>
    <w:basedOn w:val="1"/>
    <w:autoRedefine/>
    <w:semiHidden/>
    <w:qFormat/>
    <w:uiPriority w:val="99"/>
    <w:pPr>
      <w:ind w:left="1680" w:hanging="420"/>
    </w:pPr>
  </w:style>
  <w:style w:type="paragraph" w:styleId="78">
    <w:name w:val="List Continue 2"/>
    <w:basedOn w:val="1"/>
    <w:autoRedefine/>
    <w:semiHidden/>
    <w:qFormat/>
    <w:uiPriority w:val="99"/>
    <w:pPr>
      <w:spacing w:after="120"/>
      <w:ind w:left="840"/>
    </w:pPr>
  </w:style>
  <w:style w:type="paragraph" w:styleId="79">
    <w:name w:val="Message Header"/>
    <w:basedOn w:val="1"/>
    <w:link w:val="415"/>
    <w:autoRedefine/>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Times New Roman"/>
      <w:sz w:val="24"/>
      <w:szCs w:val="24"/>
      <w:lang w:val="zh-CN" w:eastAsia="zh-CN"/>
    </w:rPr>
  </w:style>
  <w:style w:type="paragraph" w:styleId="80">
    <w:name w:val="HTML Preformatted"/>
    <w:basedOn w:val="1"/>
    <w:link w:val="31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cs="Times New Roman"/>
      <w:kern w:val="0"/>
      <w:sz w:val="24"/>
      <w:szCs w:val="24"/>
      <w:lang w:val="zh-CN" w:eastAsia="zh-CN"/>
    </w:rPr>
  </w:style>
  <w:style w:type="paragraph" w:styleId="81">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82">
    <w:name w:val="List Continue 3"/>
    <w:basedOn w:val="1"/>
    <w:autoRedefine/>
    <w:semiHidden/>
    <w:qFormat/>
    <w:uiPriority w:val="99"/>
    <w:pPr>
      <w:spacing w:after="120"/>
      <w:ind w:left="1260"/>
    </w:pPr>
  </w:style>
  <w:style w:type="paragraph" w:styleId="83">
    <w:name w:val="index 2"/>
    <w:basedOn w:val="1"/>
    <w:next w:val="1"/>
    <w:autoRedefine/>
    <w:semiHidden/>
    <w:qFormat/>
    <w:uiPriority w:val="99"/>
    <w:pPr>
      <w:adjustRightInd w:val="0"/>
      <w:spacing w:line="240" w:lineRule="atLeast"/>
      <w:ind w:left="480" w:hanging="240"/>
      <w:jc w:val="left"/>
      <w:textAlignment w:val="baseline"/>
    </w:pPr>
    <w:rPr>
      <w:kern w:val="0"/>
      <w:sz w:val="24"/>
      <w:szCs w:val="24"/>
    </w:rPr>
  </w:style>
  <w:style w:type="paragraph" w:styleId="84">
    <w:name w:val="Title"/>
    <w:basedOn w:val="1"/>
    <w:link w:val="434"/>
    <w:autoRedefine/>
    <w:qFormat/>
    <w:uiPriority w:val="99"/>
    <w:pPr>
      <w:adjustRightInd w:val="0"/>
      <w:spacing w:before="240" w:after="60" w:line="420" w:lineRule="atLeast"/>
      <w:jc w:val="center"/>
      <w:textAlignment w:val="baseline"/>
      <w:outlineLvl w:val="0"/>
    </w:pPr>
    <w:rPr>
      <w:rFonts w:ascii="Arial" w:hAnsi="Arial" w:cs="Times New Roman"/>
      <w:b/>
      <w:bCs/>
      <w:kern w:val="0"/>
      <w:sz w:val="32"/>
      <w:szCs w:val="32"/>
      <w:lang w:val="zh-CN" w:eastAsia="zh-CN"/>
    </w:rPr>
  </w:style>
  <w:style w:type="paragraph" w:styleId="85">
    <w:name w:val="annotation subject"/>
    <w:basedOn w:val="28"/>
    <w:next w:val="28"/>
    <w:link w:val="188"/>
    <w:autoRedefine/>
    <w:semiHidden/>
    <w:qFormat/>
    <w:uiPriority w:val="99"/>
    <w:pPr>
      <w:jc w:val="both"/>
    </w:pPr>
    <w:rPr>
      <w:b/>
      <w:bCs/>
    </w:rPr>
  </w:style>
  <w:style w:type="paragraph" w:styleId="86">
    <w:name w:val="Body Text First Indent"/>
    <w:basedOn w:val="1"/>
    <w:link w:val="358"/>
    <w:autoRedefine/>
    <w:qFormat/>
    <w:uiPriority w:val="99"/>
    <w:pPr>
      <w:spacing w:line="312" w:lineRule="auto"/>
      <w:ind w:firstLine="420"/>
    </w:pPr>
  </w:style>
  <w:style w:type="paragraph" w:styleId="87">
    <w:name w:val="Body Text First Indent 2"/>
    <w:basedOn w:val="35"/>
    <w:link w:val="180"/>
    <w:autoRedefine/>
    <w:qFormat/>
    <w:uiPriority w:val="99"/>
    <w:pPr>
      <w:ind w:left="0" w:leftChars="0"/>
    </w:pPr>
  </w:style>
  <w:style w:type="table" w:styleId="89">
    <w:name w:val="Table Grid"/>
    <w:basedOn w:val="88"/>
    <w:autoRedefine/>
    <w:qFormat/>
    <w:uiPriority w:val="99"/>
    <w:pPr>
      <w:widowControl w:val="0"/>
      <w:jc w:val="both"/>
    </w:pPr>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autoRedefine/>
    <w:qFormat/>
    <w:uiPriority w:val="99"/>
    <w:pPr>
      <w:widowControl w:val="0"/>
      <w:jc w:val="both"/>
    </w:pPr>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3"/>
    <w:basedOn w:val="88"/>
    <w:autoRedefine/>
    <w:qFormat/>
    <w:uiPriority w:val="99"/>
    <w:rPr>
      <w:rFonts w:cs="Calibri"/>
      <w:kern w:val="0"/>
      <w:sz w:val="20"/>
      <w:szCs w:val="20"/>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2">
    <w:name w:val="Table Elegant"/>
    <w:basedOn w:val="88"/>
    <w:autoRedefine/>
    <w:qFormat/>
    <w:uiPriority w:val="99"/>
    <w:rPr>
      <w:rFonts w:cs="Calibri"/>
      <w:kern w:val="0"/>
      <w:sz w:val="20"/>
      <w:szCs w:val="20"/>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l2br w:val="nil"/>
          <w:tr2bl w:val="nil"/>
        </w:tcBorders>
      </w:tcPr>
    </w:tblStylePr>
  </w:style>
  <w:style w:type="table" w:styleId="93">
    <w:name w:val="Table Classic 3"/>
    <w:basedOn w:val="88"/>
    <w:autoRedefine/>
    <w:qFormat/>
    <w:uiPriority w:val="99"/>
    <w:rPr>
      <w:rFonts w:cs="Calibri"/>
      <w:color w:val="000080"/>
      <w:kern w:val="0"/>
      <w:sz w:val="20"/>
      <w:szCs w:val="2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4">
    <w:name w:val="Table Grid 7"/>
    <w:basedOn w:val="88"/>
    <w:autoRedefine/>
    <w:qFormat/>
    <w:uiPriority w:val="99"/>
    <w:pPr>
      <w:widowControl w:val="0"/>
      <w:jc w:val="both"/>
    </w:pPr>
    <w:rPr>
      <w:rFonts w:cs="Calibri"/>
      <w:b/>
      <w:bCs/>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5">
    <w:name w:val="Table Professional"/>
    <w:basedOn w:val="88"/>
    <w:autoRedefine/>
    <w:qFormat/>
    <w:uiPriority w:val="99"/>
    <w:pPr>
      <w:widowControl w:val="0"/>
      <w:jc w:val="both"/>
    </w:pPr>
    <w:rPr>
      <w:rFonts w:cs="Calibri"/>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97">
    <w:name w:val="Strong"/>
    <w:basedOn w:val="96"/>
    <w:autoRedefine/>
    <w:qFormat/>
    <w:uiPriority w:val="99"/>
    <w:rPr>
      <w:b/>
      <w:bCs/>
    </w:rPr>
  </w:style>
  <w:style w:type="character" w:styleId="98">
    <w:name w:val="page number"/>
    <w:basedOn w:val="96"/>
    <w:autoRedefine/>
    <w:qFormat/>
    <w:uiPriority w:val="99"/>
  </w:style>
  <w:style w:type="character" w:styleId="99">
    <w:name w:val="FollowedHyperlink"/>
    <w:basedOn w:val="96"/>
    <w:autoRedefine/>
    <w:qFormat/>
    <w:uiPriority w:val="99"/>
    <w:rPr>
      <w:color w:val="800080"/>
      <w:u w:val="single"/>
    </w:rPr>
  </w:style>
  <w:style w:type="character" w:styleId="100">
    <w:name w:val="Emphasis"/>
    <w:basedOn w:val="96"/>
    <w:autoRedefine/>
    <w:qFormat/>
    <w:uiPriority w:val="99"/>
    <w:rPr>
      <w:i/>
      <w:iCs/>
    </w:rPr>
  </w:style>
  <w:style w:type="character" w:styleId="101">
    <w:name w:val="line number"/>
    <w:basedOn w:val="96"/>
    <w:autoRedefine/>
    <w:qFormat/>
    <w:uiPriority w:val="99"/>
  </w:style>
  <w:style w:type="character" w:styleId="102">
    <w:name w:val="HTML Definition"/>
    <w:basedOn w:val="96"/>
    <w:autoRedefine/>
    <w:semiHidden/>
    <w:qFormat/>
    <w:uiPriority w:val="99"/>
    <w:rPr>
      <w:i/>
      <w:iCs/>
    </w:rPr>
  </w:style>
  <w:style w:type="character" w:styleId="103">
    <w:name w:val="HTML Typewriter"/>
    <w:basedOn w:val="96"/>
    <w:autoRedefine/>
    <w:qFormat/>
    <w:uiPriority w:val="99"/>
    <w:rPr>
      <w:rFonts w:ascii="Courier New" w:hAnsi="Courier New" w:cs="Courier New"/>
      <w:sz w:val="20"/>
      <w:szCs w:val="20"/>
    </w:rPr>
  </w:style>
  <w:style w:type="character" w:styleId="104">
    <w:name w:val="HTML Acronym"/>
    <w:basedOn w:val="96"/>
    <w:autoRedefine/>
    <w:semiHidden/>
    <w:qFormat/>
    <w:uiPriority w:val="99"/>
  </w:style>
  <w:style w:type="character" w:styleId="105">
    <w:name w:val="HTML Variable"/>
    <w:basedOn w:val="96"/>
    <w:autoRedefine/>
    <w:semiHidden/>
    <w:qFormat/>
    <w:uiPriority w:val="99"/>
    <w:rPr>
      <w:i/>
      <w:iCs/>
    </w:rPr>
  </w:style>
  <w:style w:type="character" w:styleId="106">
    <w:name w:val="Hyperlink"/>
    <w:basedOn w:val="96"/>
    <w:autoRedefine/>
    <w:qFormat/>
    <w:uiPriority w:val="99"/>
    <w:rPr>
      <w:color w:val="0000FF"/>
      <w:u w:val="single"/>
    </w:rPr>
  </w:style>
  <w:style w:type="character" w:styleId="107">
    <w:name w:val="HTML Code"/>
    <w:basedOn w:val="96"/>
    <w:autoRedefine/>
    <w:semiHidden/>
    <w:qFormat/>
    <w:uiPriority w:val="99"/>
    <w:rPr>
      <w:rFonts w:ascii="Courier New" w:hAnsi="Courier New" w:cs="Courier New"/>
      <w:sz w:val="20"/>
      <w:szCs w:val="20"/>
    </w:rPr>
  </w:style>
  <w:style w:type="character" w:styleId="108">
    <w:name w:val="annotation reference"/>
    <w:basedOn w:val="96"/>
    <w:autoRedefine/>
    <w:semiHidden/>
    <w:qFormat/>
    <w:uiPriority w:val="99"/>
    <w:rPr>
      <w:sz w:val="21"/>
      <w:szCs w:val="21"/>
    </w:rPr>
  </w:style>
  <w:style w:type="character" w:styleId="109">
    <w:name w:val="HTML Cite"/>
    <w:basedOn w:val="96"/>
    <w:autoRedefine/>
    <w:semiHidden/>
    <w:qFormat/>
    <w:uiPriority w:val="99"/>
    <w:rPr>
      <w:i/>
      <w:iCs/>
    </w:rPr>
  </w:style>
  <w:style w:type="character" w:styleId="110">
    <w:name w:val="footnote reference"/>
    <w:basedOn w:val="96"/>
    <w:autoRedefine/>
    <w:semiHidden/>
    <w:qFormat/>
    <w:uiPriority w:val="99"/>
    <w:rPr>
      <w:vertAlign w:val="superscript"/>
    </w:rPr>
  </w:style>
  <w:style w:type="character" w:styleId="111">
    <w:name w:val="HTML Keyboard"/>
    <w:basedOn w:val="96"/>
    <w:autoRedefine/>
    <w:semiHidden/>
    <w:qFormat/>
    <w:uiPriority w:val="99"/>
    <w:rPr>
      <w:rFonts w:ascii="Courier New" w:hAnsi="Courier New" w:cs="Courier New"/>
      <w:sz w:val="20"/>
      <w:szCs w:val="20"/>
    </w:rPr>
  </w:style>
  <w:style w:type="character" w:styleId="112">
    <w:name w:val="HTML Sample"/>
    <w:basedOn w:val="96"/>
    <w:autoRedefine/>
    <w:semiHidden/>
    <w:qFormat/>
    <w:uiPriority w:val="99"/>
    <w:rPr>
      <w:rFonts w:ascii="Courier New" w:hAnsi="Courier New" w:cs="Courier New"/>
    </w:rPr>
  </w:style>
  <w:style w:type="paragraph" w:customStyle="1" w:styleId="113">
    <w:name w:val="正文首行缩进1"/>
    <w:basedOn w:val="34"/>
    <w:autoRedefine/>
    <w:qFormat/>
    <w:uiPriority w:val="0"/>
    <w:pPr>
      <w:ind w:firstLine="420" w:firstLineChars="100"/>
    </w:pPr>
  </w:style>
  <w:style w:type="paragraph" w:customStyle="1" w:styleId="114">
    <w:name w:val="正文（标准）"/>
    <w:basedOn w:val="1"/>
    <w:next w:val="1"/>
    <w:autoRedefine/>
    <w:semiHidden/>
    <w:qFormat/>
    <w:uiPriority w:val="99"/>
    <w:pPr>
      <w:ind w:firstLine="525"/>
    </w:pPr>
    <w:rPr>
      <w:rFonts w:ascii="宋体" w:hAnsi="宋体" w:cs="宋体"/>
    </w:rPr>
  </w:style>
  <w:style w:type="paragraph" w:customStyle="1" w:styleId="115">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116">
    <w:name w:val="Default"/>
    <w:next w:val="117"/>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7">
    <w:name w:val="正文缩进1"/>
    <w:basedOn w:val="1"/>
    <w:next w:val="68"/>
    <w:autoRedefine/>
    <w:qFormat/>
    <w:uiPriority w:val="99"/>
    <w:pPr>
      <w:ind w:firstLine="420"/>
    </w:pPr>
  </w:style>
  <w:style w:type="character" w:customStyle="1" w:styleId="118">
    <w:name w:val="不明显参考11"/>
    <w:autoRedefine/>
    <w:qFormat/>
    <w:uiPriority w:val="99"/>
    <w:rPr>
      <w:smallCaps/>
      <w:color w:val="auto"/>
      <w:u w:val="single"/>
    </w:rPr>
  </w:style>
  <w:style w:type="character" w:customStyle="1" w:styleId="119">
    <w:name w:val="正文文本缩进 Char"/>
    <w:link w:val="35"/>
    <w:autoRedefine/>
    <w:qFormat/>
    <w:locked/>
    <w:uiPriority w:val="99"/>
    <w:rPr>
      <w:kern w:val="2"/>
      <w:sz w:val="24"/>
      <w:szCs w:val="24"/>
    </w:rPr>
  </w:style>
  <w:style w:type="character" w:customStyle="1" w:styleId="120">
    <w:name w:val="批注文字 Char"/>
    <w:link w:val="28"/>
    <w:autoRedefine/>
    <w:qFormat/>
    <w:locked/>
    <w:uiPriority w:val="99"/>
    <w:rPr>
      <w:rFonts w:eastAsia="宋体"/>
      <w:kern w:val="2"/>
      <w:sz w:val="24"/>
      <w:szCs w:val="24"/>
      <w:lang w:val="en-US" w:eastAsia="zh-CN"/>
    </w:rPr>
  </w:style>
  <w:style w:type="character" w:customStyle="1" w:styleId="121">
    <w:name w:val="Closing Char1"/>
    <w:basedOn w:val="96"/>
    <w:autoRedefine/>
    <w:semiHidden/>
    <w:qFormat/>
    <w:uiPriority w:val="99"/>
    <w:rPr>
      <w:rFonts w:cs="Calibri"/>
      <w:szCs w:val="21"/>
    </w:rPr>
  </w:style>
  <w:style w:type="character" w:customStyle="1" w:styleId="122">
    <w:name w:val="标题4 Char"/>
    <w:autoRedefine/>
    <w:qFormat/>
    <w:uiPriority w:val="99"/>
    <w:rPr>
      <w:rFonts w:eastAsia="宋体"/>
      <w:sz w:val="24"/>
      <w:szCs w:val="24"/>
      <w:lang w:val="en-US" w:eastAsia="zh-CN"/>
    </w:rPr>
  </w:style>
  <w:style w:type="character" w:customStyle="1" w:styleId="123">
    <w:name w:val="Subtitle Char1"/>
    <w:autoRedefine/>
    <w:qFormat/>
    <w:uiPriority w:val="99"/>
    <w:rPr>
      <w:rFonts w:ascii="Cambria" w:hAnsi="Cambria" w:cs="Cambria"/>
      <w:b/>
      <w:bCs/>
      <w:kern w:val="28"/>
      <w:sz w:val="32"/>
      <w:szCs w:val="32"/>
    </w:rPr>
  </w:style>
  <w:style w:type="character" w:customStyle="1" w:styleId="124">
    <w:name w:val="Quote Char2"/>
    <w:link w:val="125"/>
    <w:autoRedefine/>
    <w:qFormat/>
    <w:locked/>
    <w:uiPriority w:val="99"/>
    <w:rPr>
      <w:i/>
      <w:iCs/>
      <w:color w:val="000000"/>
      <w:kern w:val="2"/>
      <w:sz w:val="22"/>
      <w:szCs w:val="22"/>
    </w:rPr>
  </w:style>
  <w:style w:type="paragraph" w:customStyle="1" w:styleId="125">
    <w:name w:val="引用1"/>
    <w:basedOn w:val="1"/>
    <w:next w:val="1"/>
    <w:link w:val="124"/>
    <w:autoRedefine/>
    <w:qFormat/>
    <w:uiPriority w:val="99"/>
    <w:pPr>
      <w:spacing w:after="200" w:line="276" w:lineRule="auto"/>
    </w:pPr>
    <w:rPr>
      <w:rFonts w:cs="Times New Roman"/>
      <w:i/>
      <w:iCs/>
      <w:color w:val="000000"/>
      <w:sz w:val="22"/>
      <w:szCs w:val="22"/>
      <w:lang w:val="zh-CN" w:eastAsia="zh-CN"/>
    </w:rPr>
  </w:style>
  <w:style w:type="character" w:customStyle="1" w:styleId="126">
    <w:name w:val="HTML 地址 Char"/>
    <w:link w:val="41"/>
    <w:autoRedefine/>
    <w:semiHidden/>
    <w:qFormat/>
    <w:locked/>
    <w:uiPriority w:val="99"/>
    <w:rPr>
      <w:i/>
      <w:iCs/>
      <w:kern w:val="2"/>
      <w:sz w:val="24"/>
      <w:szCs w:val="24"/>
    </w:rPr>
  </w:style>
  <w:style w:type="character" w:customStyle="1" w:styleId="127">
    <w:name w:val="不明显强调1"/>
    <w:autoRedefine/>
    <w:qFormat/>
    <w:uiPriority w:val="99"/>
    <w:rPr>
      <w:i/>
      <w:iCs/>
      <w:color w:val="808080"/>
    </w:rPr>
  </w:style>
  <w:style w:type="character" w:customStyle="1" w:styleId="128">
    <w:name w:val="正文 Char"/>
    <w:autoRedefine/>
    <w:qFormat/>
    <w:uiPriority w:val="99"/>
    <w:rPr>
      <w:rFonts w:eastAsia="宋体"/>
      <w:color w:val="0000FF"/>
      <w:kern w:val="2"/>
      <w:sz w:val="24"/>
      <w:szCs w:val="24"/>
      <w:lang w:val="en-US" w:eastAsia="zh-CN"/>
    </w:rPr>
  </w:style>
  <w:style w:type="character" w:customStyle="1" w:styleId="129">
    <w:name w:val="Body Text First Indent Char1"/>
    <w:basedOn w:val="130"/>
    <w:autoRedefine/>
    <w:semiHidden/>
    <w:qFormat/>
    <w:uiPriority w:val="99"/>
    <w:rPr>
      <w:rFonts w:cs="Calibri"/>
      <w:szCs w:val="21"/>
    </w:rPr>
  </w:style>
  <w:style w:type="character" w:customStyle="1" w:styleId="130">
    <w:name w:val="正文文本 Char"/>
    <w:link w:val="34"/>
    <w:autoRedefine/>
    <w:qFormat/>
    <w:locked/>
    <w:uiPriority w:val="99"/>
    <w:rPr>
      <w:rFonts w:eastAsia="宋体"/>
      <w:kern w:val="2"/>
      <w:sz w:val="24"/>
      <w:szCs w:val="24"/>
      <w:lang w:val="en-US" w:eastAsia="zh-CN"/>
    </w:rPr>
  </w:style>
  <w:style w:type="character" w:customStyle="1" w:styleId="131">
    <w:name w:val="Body Text Indent 3 Char1"/>
    <w:basedOn w:val="96"/>
    <w:autoRedefine/>
    <w:semiHidden/>
    <w:qFormat/>
    <w:uiPriority w:val="99"/>
    <w:rPr>
      <w:rFonts w:cs="Calibri"/>
      <w:sz w:val="16"/>
      <w:szCs w:val="16"/>
    </w:rPr>
  </w:style>
  <w:style w:type="character" w:customStyle="1" w:styleId="132">
    <w:name w:val="签名 Char"/>
    <w:link w:val="57"/>
    <w:autoRedefine/>
    <w:semiHidden/>
    <w:qFormat/>
    <w:locked/>
    <w:uiPriority w:val="99"/>
    <w:rPr>
      <w:kern w:val="2"/>
      <w:sz w:val="24"/>
      <w:szCs w:val="24"/>
    </w:rPr>
  </w:style>
  <w:style w:type="character" w:customStyle="1" w:styleId="133">
    <w:name w:val="手改 Char Char"/>
    <w:autoRedefine/>
    <w:qFormat/>
    <w:uiPriority w:val="99"/>
    <w:rPr>
      <w:rFonts w:eastAsia="宋体"/>
      <w:kern w:val="2"/>
      <w:sz w:val="24"/>
      <w:szCs w:val="24"/>
      <w:lang w:val="en-US" w:eastAsia="zh-CN"/>
    </w:rPr>
  </w:style>
  <w:style w:type="character" w:customStyle="1" w:styleId="134">
    <w:name w:val="Title Char2"/>
    <w:basedOn w:val="96"/>
    <w:autoRedefine/>
    <w:qFormat/>
    <w:uiPriority w:val="10"/>
    <w:rPr>
      <w:rFonts w:ascii="Cambria" w:hAnsi="Cambria" w:cs="Times New Roman"/>
      <w:b/>
      <w:bCs/>
      <w:sz w:val="32"/>
      <w:szCs w:val="32"/>
    </w:rPr>
  </w:style>
  <w:style w:type="character" w:customStyle="1" w:styleId="135">
    <w:name w:val="Body Text 3 Char2"/>
    <w:basedOn w:val="96"/>
    <w:autoRedefine/>
    <w:semiHidden/>
    <w:qFormat/>
    <w:uiPriority w:val="99"/>
    <w:rPr>
      <w:rFonts w:cs="Calibri"/>
      <w:sz w:val="16"/>
      <w:szCs w:val="16"/>
    </w:rPr>
  </w:style>
  <w:style w:type="character" w:customStyle="1" w:styleId="136">
    <w:name w:val="内容 Char"/>
    <w:link w:val="137"/>
    <w:autoRedefine/>
    <w:qFormat/>
    <w:locked/>
    <w:uiPriority w:val="99"/>
    <w:rPr>
      <w:rFonts w:ascii="宋体" w:cs="宋体"/>
      <w:kern w:val="2"/>
      <w:sz w:val="24"/>
      <w:szCs w:val="24"/>
    </w:rPr>
  </w:style>
  <w:style w:type="paragraph" w:customStyle="1" w:styleId="137">
    <w:name w:val="内容"/>
    <w:basedOn w:val="34"/>
    <w:link w:val="136"/>
    <w:autoRedefine/>
    <w:qFormat/>
    <w:uiPriority w:val="99"/>
    <w:pPr>
      <w:spacing w:after="0" w:line="408" w:lineRule="auto"/>
      <w:ind w:firstLine="200" w:firstLineChars="200"/>
    </w:pPr>
    <w:rPr>
      <w:rFonts w:ascii="宋体"/>
      <w:lang w:val="zh-CN" w:eastAsia="zh-CN"/>
    </w:rPr>
  </w:style>
  <w:style w:type="character" w:customStyle="1" w:styleId="138">
    <w:name w:val="洋图 Char2"/>
    <w:autoRedefine/>
    <w:qFormat/>
    <w:uiPriority w:val="99"/>
    <w:rPr>
      <w:rFonts w:eastAsia="宋体"/>
      <w:kern w:val="2"/>
      <w:sz w:val="24"/>
      <w:szCs w:val="24"/>
      <w:lang w:val="en-US" w:eastAsia="zh-CN"/>
    </w:rPr>
  </w:style>
  <w:style w:type="character" w:customStyle="1" w:styleId="139">
    <w:name w:val="Date Char1"/>
    <w:basedOn w:val="96"/>
    <w:autoRedefine/>
    <w:semiHidden/>
    <w:qFormat/>
    <w:uiPriority w:val="99"/>
    <w:rPr>
      <w:rFonts w:cs="Calibri"/>
      <w:szCs w:val="21"/>
    </w:rPr>
  </w:style>
  <w:style w:type="character" w:customStyle="1" w:styleId="140">
    <w:name w:val="我的正文 Char"/>
    <w:link w:val="141"/>
    <w:autoRedefine/>
    <w:qFormat/>
    <w:locked/>
    <w:uiPriority w:val="99"/>
    <w:rPr>
      <w:kern w:val="2"/>
      <w:sz w:val="24"/>
      <w:szCs w:val="24"/>
    </w:rPr>
  </w:style>
  <w:style w:type="paragraph" w:customStyle="1" w:styleId="141">
    <w:name w:val="我的正文"/>
    <w:basedOn w:val="1"/>
    <w:link w:val="140"/>
    <w:autoRedefine/>
    <w:qFormat/>
    <w:uiPriority w:val="99"/>
    <w:pPr>
      <w:spacing w:line="360" w:lineRule="auto"/>
      <w:ind w:firstLine="480" w:firstLineChars="200"/>
    </w:pPr>
    <w:rPr>
      <w:rFonts w:cs="Times New Roman"/>
      <w:sz w:val="24"/>
      <w:szCs w:val="24"/>
      <w:lang w:val="zh-CN" w:eastAsia="zh-CN"/>
    </w:rPr>
  </w:style>
  <w:style w:type="character" w:customStyle="1" w:styleId="142">
    <w:name w:val="正文缩进 Char Char C Char Char Ch"/>
    <w:autoRedefine/>
    <w:qFormat/>
    <w:uiPriority w:val="99"/>
    <w:rPr>
      <w:rFonts w:eastAsia="宋体"/>
      <w:kern w:val="2"/>
      <w:sz w:val="28"/>
      <w:szCs w:val="28"/>
      <w:lang w:val="en-US" w:eastAsia="zh-CN"/>
    </w:rPr>
  </w:style>
  <w:style w:type="character" w:customStyle="1" w:styleId="143">
    <w:name w:val="d11"/>
    <w:autoRedefine/>
    <w:qFormat/>
    <w:uiPriority w:val="99"/>
    <w:rPr>
      <w:spacing w:val="400"/>
      <w:sz w:val="20"/>
      <w:szCs w:val="20"/>
    </w:rPr>
  </w:style>
  <w:style w:type="character" w:customStyle="1" w:styleId="144">
    <w:name w:val="首行缩进 Char"/>
    <w:autoRedefine/>
    <w:qFormat/>
    <w:uiPriority w:val="99"/>
    <w:rPr>
      <w:rFonts w:eastAsia="宋体"/>
      <w:kern w:val="2"/>
      <w:sz w:val="21"/>
      <w:szCs w:val="21"/>
      <w:lang w:val="en-US" w:eastAsia="zh-CN"/>
    </w:rPr>
  </w:style>
  <w:style w:type="character" w:customStyle="1" w:styleId="145">
    <w:name w:val="正文文字缩进 3 Char Char"/>
    <w:autoRedefine/>
    <w:qFormat/>
    <w:uiPriority w:val="99"/>
    <w:rPr>
      <w:kern w:val="2"/>
      <w:sz w:val="16"/>
      <w:szCs w:val="16"/>
    </w:rPr>
  </w:style>
  <w:style w:type="character" w:customStyle="1" w:styleId="146">
    <w:name w:val="洋正 Char1"/>
    <w:autoRedefine/>
    <w:qFormat/>
    <w:uiPriority w:val="99"/>
    <w:rPr>
      <w:rFonts w:eastAsia="宋体"/>
      <w:kern w:val="2"/>
      <w:sz w:val="24"/>
      <w:szCs w:val="24"/>
      <w:lang w:val="en-US" w:eastAsia="zh-CN"/>
    </w:rPr>
  </w:style>
  <w:style w:type="character" w:customStyle="1" w:styleId="147">
    <w:name w:val="@正文(缩进2) Char Char"/>
    <w:link w:val="148"/>
    <w:autoRedefine/>
    <w:qFormat/>
    <w:locked/>
    <w:uiPriority w:val="99"/>
    <w:rPr>
      <w:sz w:val="24"/>
      <w:szCs w:val="24"/>
    </w:rPr>
  </w:style>
  <w:style w:type="paragraph" w:customStyle="1" w:styleId="148">
    <w:name w:val="@正文(缩进2)"/>
    <w:basedOn w:val="1"/>
    <w:link w:val="147"/>
    <w:autoRedefine/>
    <w:qFormat/>
    <w:uiPriority w:val="99"/>
    <w:pPr>
      <w:autoSpaceDE w:val="0"/>
      <w:autoSpaceDN w:val="0"/>
      <w:adjustRightInd w:val="0"/>
      <w:spacing w:line="360" w:lineRule="auto"/>
      <w:ind w:firstLine="480" w:firstLineChars="200"/>
      <w:jc w:val="left"/>
    </w:pPr>
    <w:rPr>
      <w:rFonts w:cs="Times New Roman"/>
      <w:kern w:val="0"/>
      <w:sz w:val="24"/>
      <w:szCs w:val="24"/>
      <w:lang w:val="zh-CN" w:eastAsia="zh-CN"/>
    </w:rPr>
  </w:style>
  <w:style w:type="character" w:customStyle="1" w:styleId="149">
    <w:name w:val="Char Char9"/>
    <w:autoRedefine/>
    <w:qFormat/>
    <w:uiPriority w:val="99"/>
    <w:rPr>
      <w:rFonts w:eastAsia="宋体"/>
      <w:kern w:val="2"/>
      <w:sz w:val="18"/>
      <w:szCs w:val="18"/>
      <w:lang w:val="en-US" w:eastAsia="zh-CN"/>
    </w:rPr>
  </w:style>
  <w:style w:type="character" w:customStyle="1" w:styleId="150">
    <w:name w:val="标题 6 Char"/>
    <w:basedOn w:val="96"/>
    <w:link w:val="8"/>
    <w:autoRedefine/>
    <w:qFormat/>
    <w:locked/>
    <w:uiPriority w:val="99"/>
    <w:rPr>
      <w:rFonts w:ascii="Arial" w:hAnsi="Arial" w:eastAsia="黑体" w:cs="Arial"/>
      <w:b/>
      <w:bCs/>
      <w:sz w:val="24"/>
      <w:szCs w:val="24"/>
    </w:rPr>
  </w:style>
  <w:style w:type="character" w:customStyle="1" w:styleId="151">
    <w:name w:val="日期 Char"/>
    <w:link w:val="50"/>
    <w:autoRedefine/>
    <w:qFormat/>
    <w:locked/>
    <w:uiPriority w:val="99"/>
    <w:rPr>
      <w:kern w:val="2"/>
      <w:sz w:val="24"/>
      <w:szCs w:val="24"/>
    </w:rPr>
  </w:style>
  <w:style w:type="character" w:customStyle="1" w:styleId="152">
    <w:name w:val="Footer-Even Char1"/>
    <w:autoRedefine/>
    <w:qFormat/>
    <w:uiPriority w:val="99"/>
    <w:rPr>
      <w:rFonts w:eastAsia="宋体"/>
      <w:kern w:val="2"/>
      <w:sz w:val="18"/>
      <w:szCs w:val="18"/>
      <w:lang w:val="en-US" w:eastAsia="zh-CN"/>
    </w:rPr>
  </w:style>
  <w:style w:type="character" w:customStyle="1" w:styleId="153">
    <w:name w:val="文档结构图 Char1"/>
    <w:autoRedefine/>
    <w:qFormat/>
    <w:uiPriority w:val="99"/>
    <w:rPr>
      <w:rFonts w:ascii="宋体" w:hAnsi="Times New Roman" w:eastAsia="宋体" w:cs="宋体"/>
      <w:sz w:val="18"/>
      <w:szCs w:val="18"/>
    </w:rPr>
  </w:style>
  <w:style w:type="character" w:customStyle="1" w:styleId="154">
    <w:name w:val="content Char"/>
    <w:link w:val="155"/>
    <w:autoRedefine/>
    <w:qFormat/>
    <w:locked/>
    <w:uiPriority w:val="99"/>
    <w:rPr>
      <w:rFonts w:cs="Calibri"/>
      <w:color w:val="000000"/>
      <w:sz w:val="24"/>
      <w:szCs w:val="24"/>
      <w:lang w:val="en-US" w:eastAsia="zh-CN" w:bidi="ar-SA"/>
    </w:rPr>
  </w:style>
  <w:style w:type="paragraph" w:customStyle="1" w:styleId="155">
    <w:name w:val="content"/>
    <w:link w:val="154"/>
    <w:autoRedefine/>
    <w:qFormat/>
    <w:uiPriority w:val="99"/>
    <w:pPr>
      <w:adjustRightInd w:val="0"/>
      <w:snapToGrid w:val="0"/>
      <w:spacing w:line="360" w:lineRule="auto"/>
      <w:ind w:firstLine="480" w:firstLineChars="200"/>
      <w:jc w:val="both"/>
    </w:pPr>
    <w:rPr>
      <w:rFonts w:ascii="Calibri" w:hAnsi="Calibri" w:eastAsia="宋体" w:cs="Calibri"/>
      <w:color w:val="000000"/>
      <w:sz w:val="24"/>
      <w:szCs w:val="24"/>
      <w:lang w:val="en-US" w:eastAsia="zh-CN" w:bidi="ar-SA"/>
    </w:rPr>
  </w:style>
  <w:style w:type="character" w:customStyle="1" w:styleId="156">
    <w:name w:val="标题 2 Char1"/>
    <w:autoRedefine/>
    <w:qFormat/>
    <w:locked/>
    <w:uiPriority w:val="99"/>
    <w:rPr>
      <w:rFonts w:ascii="Arial" w:hAnsi="Arial" w:eastAsia="黑体" w:cs="Arial"/>
      <w:b/>
      <w:bCs/>
      <w:sz w:val="32"/>
      <w:szCs w:val="32"/>
    </w:rPr>
  </w:style>
  <w:style w:type="character" w:customStyle="1" w:styleId="157">
    <w:name w:val="成3 Char"/>
    <w:link w:val="158"/>
    <w:autoRedefine/>
    <w:qFormat/>
    <w:locked/>
    <w:uiPriority w:val="99"/>
    <w:rPr>
      <w:rFonts w:cs="Calibri"/>
      <w:b/>
      <w:bCs/>
      <w:kern w:val="2"/>
      <w:sz w:val="24"/>
      <w:szCs w:val="24"/>
      <w:lang w:val="en-US" w:eastAsia="zh-CN" w:bidi="ar-SA"/>
    </w:rPr>
  </w:style>
  <w:style w:type="paragraph" w:customStyle="1" w:styleId="158">
    <w:name w:val="成3"/>
    <w:link w:val="157"/>
    <w:autoRedefine/>
    <w:qFormat/>
    <w:uiPriority w:val="99"/>
    <w:pPr>
      <w:tabs>
        <w:tab w:val="left" w:pos="709"/>
      </w:tabs>
      <w:spacing w:before="156" w:after="156" w:line="360" w:lineRule="auto"/>
      <w:ind w:left="709" w:hanging="709"/>
      <w:outlineLvl w:val="2"/>
    </w:pPr>
    <w:rPr>
      <w:rFonts w:ascii="Calibri" w:hAnsi="Calibri" w:eastAsia="宋体" w:cs="Calibri"/>
      <w:b/>
      <w:bCs/>
      <w:kern w:val="2"/>
      <w:sz w:val="24"/>
      <w:szCs w:val="24"/>
      <w:lang w:val="en-US" w:eastAsia="zh-CN" w:bidi="ar-SA"/>
    </w:rPr>
  </w:style>
  <w:style w:type="character" w:customStyle="1" w:styleId="159">
    <w:name w:val="书籍标题11"/>
    <w:autoRedefine/>
    <w:qFormat/>
    <w:uiPriority w:val="99"/>
    <w:rPr>
      <w:b/>
      <w:bCs/>
      <w:smallCaps/>
      <w:spacing w:val="5"/>
    </w:rPr>
  </w:style>
  <w:style w:type="character" w:customStyle="1" w:styleId="160">
    <w:name w:val="s4 Char"/>
    <w:autoRedefine/>
    <w:qFormat/>
    <w:uiPriority w:val="99"/>
    <w:rPr>
      <w:rFonts w:ascii="Arial" w:hAnsi="Arial" w:eastAsia="宋体" w:cs="Arial"/>
      <w:sz w:val="24"/>
      <w:szCs w:val="24"/>
      <w:lang w:val="en-US" w:eastAsia="zh-CN"/>
    </w:rPr>
  </w:style>
  <w:style w:type="character" w:customStyle="1" w:styleId="161">
    <w:name w:val="洋表 Char"/>
    <w:link w:val="162"/>
    <w:autoRedefine/>
    <w:qFormat/>
    <w:locked/>
    <w:uiPriority w:val="99"/>
    <w:rPr>
      <w:kern w:val="2"/>
      <w:sz w:val="21"/>
      <w:szCs w:val="21"/>
    </w:rPr>
  </w:style>
  <w:style w:type="paragraph" w:customStyle="1" w:styleId="162">
    <w:name w:val="洋表"/>
    <w:basedOn w:val="1"/>
    <w:next w:val="1"/>
    <w:link w:val="161"/>
    <w:autoRedefine/>
    <w:qFormat/>
    <w:uiPriority w:val="99"/>
    <w:pPr>
      <w:jc w:val="center"/>
    </w:pPr>
    <w:rPr>
      <w:rFonts w:cs="Times New Roman"/>
      <w:lang w:val="zh-CN" w:eastAsia="zh-CN"/>
    </w:rPr>
  </w:style>
  <w:style w:type="character" w:customStyle="1" w:styleId="163">
    <w:name w:val="标题3 Char"/>
    <w:autoRedefine/>
    <w:qFormat/>
    <w:uiPriority w:val="99"/>
    <w:rPr>
      <w:rFonts w:ascii="Arial" w:hAnsi="Arial" w:eastAsia="宋体" w:cs="Arial"/>
      <w:b/>
      <w:bCs/>
      <w:color w:val="FF0000"/>
      <w:kern w:val="2"/>
      <w:sz w:val="24"/>
      <w:szCs w:val="24"/>
      <w:lang w:val="en-US" w:eastAsia="zh-CN"/>
    </w:rPr>
  </w:style>
  <w:style w:type="character" w:customStyle="1" w:styleId="164">
    <w:name w:val="tb正文 Char Char"/>
    <w:link w:val="165"/>
    <w:autoRedefine/>
    <w:qFormat/>
    <w:locked/>
    <w:uiPriority w:val="99"/>
    <w:rPr>
      <w:rFonts w:ascii="宋体" w:eastAsia="宋体" w:cs="宋体"/>
      <w:sz w:val="24"/>
      <w:szCs w:val="24"/>
    </w:rPr>
  </w:style>
  <w:style w:type="paragraph" w:customStyle="1" w:styleId="165">
    <w:name w:val="tb正文"/>
    <w:basedOn w:val="1"/>
    <w:link w:val="164"/>
    <w:autoRedefine/>
    <w:qFormat/>
    <w:uiPriority w:val="99"/>
    <w:pPr>
      <w:adjustRightInd w:val="0"/>
      <w:spacing w:line="440" w:lineRule="exact"/>
      <w:ind w:firstLine="200" w:firstLineChars="200"/>
      <w:textAlignment w:val="baseline"/>
    </w:pPr>
    <w:rPr>
      <w:rFonts w:ascii="宋体" w:cs="Times New Roman"/>
      <w:kern w:val="0"/>
      <w:sz w:val="24"/>
      <w:szCs w:val="24"/>
      <w:lang w:val="zh-CN" w:eastAsia="zh-CN"/>
    </w:rPr>
  </w:style>
  <w:style w:type="character" w:customStyle="1" w:styleId="166">
    <w:name w:val="标题 1 Char1"/>
    <w:autoRedefine/>
    <w:qFormat/>
    <w:uiPriority w:val="99"/>
  </w:style>
  <w:style w:type="character" w:customStyle="1" w:styleId="167">
    <w:name w:val="签署页 Char"/>
    <w:autoRedefine/>
    <w:qFormat/>
    <w:uiPriority w:val="99"/>
    <w:rPr>
      <w:rFonts w:eastAsia="宋体"/>
      <w:b/>
      <w:bCs/>
      <w:kern w:val="2"/>
      <w:sz w:val="32"/>
      <w:szCs w:val="32"/>
      <w:lang w:val="en-US" w:eastAsia="zh-CN"/>
    </w:rPr>
  </w:style>
  <w:style w:type="character" w:customStyle="1" w:styleId="168">
    <w:name w:val="highlight"/>
    <w:basedOn w:val="96"/>
    <w:autoRedefine/>
    <w:qFormat/>
    <w:uiPriority w:val="99"/>
  </w:style>
  <w:style w:type="character" w:customStyle="1" w:styleId="169">
    <w:name w:val="Intense Quote Char2"/>
    <w:link w:val="170"/>
    <w:autoRedefine/>
    <w:qFormat/>
    <w:locked/>
    <w:uiPriority w:val="99"/>
    <w:rPr>
      <w:b/>
      <w:bCs/>
      <w:i/>
      <w:iCs/>
      <w:color w:val="4F81BD"/>
      <w:kern w:val="2"/>
      <w:sz w:val="22"/>
      <w:szCs w:val="22"/>
    </w:rPr>
  </w:style>
  <w:style w:type="paragraph" w:customStyle="1" w:styleId="170">
    <w:name w:val="明显引用1"/>
    <w:basedOn w:val="1"/>
    <w:next w:val="1"/>
    <w:link w:val="169"/>
    <w:autoRedefine/>
    <w:qFormat/>
    <w:uiPriority w:val="99"/>
    <w:pPr>
      <w:pBdr>
        <w:bottom w:val="single" w:color="4F81BD" w:sz="4" w:space="4"/>
      </w:pBdr>
      <w:spacing w:before="200" w:after="280" w:line="276" w:lineRule="auto"/>
      <w:ind w:left="936" w:right="936"/>
    </w:pPr>
    <w:rPr>
      <w:rFonts w:cs="Times New Roman"/>
      <w:b/>
      <w:bCs/>
      <w:i/>
      <w:iCs/>
      <w:color w:val="4F81BD"/>
      <w:sz w:val="22"/>
      <w:szCs w:val="22"/>
      <w:lang w:val="zh-CN" w:eastAsia="zh-CN"/>
    </w:rPr>
  </w:style>
  <w:style w:type="character" w:customStyle="1" w:styleId="171">
    <w:name w:val="批注文字 Char Char"/>
    <w:autoRedefine/>
    <w:qFormat/>
    <w:uiPriority w:val="99"/>
    <w:rPr>
      <w:rFonts w:ascii="宋体" w:hAnsi="Times New Roman" w:eastAsia="宋体" w:cs="宋体"/>
      <w:sz w:val="20"/>
      <w:szCs w:val="20"/>
    </w:rPr>
  </w:style>
  <w:style w:type="character" w:customStyle="1" w:styleId="172">
    <w:name w:val="副标题 Char"/>
    <w:link w:val="63"/>
    <w:autoRedefine/>
    <w:qFormat/>
    <w:locked/>
    <w:uiPriority w:val="99"/>
    <w:rPr>
      <w:rFonts w:ascii="Arial" w:hAnsi="Arial" w:cs="Arial"/>
      <w:b/>
      <w:bCs/>
      <w:kern w:val="28"/>
      <w:sz w:val="32"/>
      <w:szCs w:val="32"/>
    </w:rPr>
  </w:style>
  <w:style w:type="character" w:customStyle="1" w:styleId="173">
    <w:name w:val="页脚 Char"/>
    <w:link w:val="54"/>
    <w:autoRedefine/>
    <w:qFormat/>
    <w:locked/>
    <w:uiPriority w:val="99"/>
    <w:rPr>
      <w:rFonts w:eastAsia="宋体"/>
      <w:kern w:val="2"/>
      <w:sz w:val="18"/>
      <w:szCs w:val="18"/>
      <w:lang w:val="en-US" w:eastAsia="zh-CN"/>
    </w:rPr>
  </w:style>
  <w:style w:type="character" w:customStyle="1" w:styleId="174">
    <w:name w:val="正文样式1 Char"/>
    <w:link w:val="175"/>
    <w:autoRedefine/>
    <w:qFormat/>
    <w:locked/>
    <w:uiPriority w:val="99"/>
    <w:rPr>
      <w:sz w:val="28"/>
      <w:szCs w:val="28"/>
    </w:rPr>
  </w:style>
  <w:style w:type="paragraph" w:customStyle="1" w:styleId="175">
    <w:name w:val="正文样式1"/>
    <w:basedOn w:val="1"/>
    <w:link w:val="174"/>
    <w:autoRedefine/>
    <w:qFormat/>
    <w:uiPriority w:val="99"/>
    <w:pPr>
      <w:adjustRightInd w:val="0"/>
      <w:spacing w:line="480" w:lineRule="atLeast"/>
      <w:ind w:firstLine="567"/>
      <w:jc w:val="left"/>
      <w:textAlignment w:val="baseline"/>
    </w:pPr>
    <w:rPr>
      <w:rFonts w:cs="Times New Roman"/>
      <w:kern w:val="0"/>
      <w:sz w:val="28"/>
      <w:szCs w:val="28"/>
      <w:lang w:val="zh-CN" w:eastAsia="zh-CN"/>
    </w:rPr>
  </w:style>
  <w:style w:type="character" w:customStyle="1" w:styleId="176">
    <w:name w:val="章节标题 Char"/>
    <w:autoRedefine/>
    <w:qFormat/>
    <w:uiPriority w:val="99"/>
    <w:rPr>
      <w:rFonts w:eastAsia="宋体"/>
      <w:b/>
      <w:bCs/>
      <w:kern w:val="44"/>
      <w:sz w:val="44"/>
      <w:szCs w:val="44"/>
      <w:lang w:val="en-US" w:eastAsia="zh-CN"/>
    </w:rPr>
  </w:style>
  <w:style w:type="character" w:customStyle="1" w:styleId="177">
    <w:name w:val="注释标题 Char"/>
    <w:link w:val="16"/>
    <w:autoRedefine/>
    <w:semiHidden/>
    <w:qFormat/>
    <w:locked/>
    <w:uiPriority w:val="99"/>
    <w:rPr>
      <w:kern w:val="2"/>
      <w:sz w:val="24"/>
      <w:szCs w:val="24"/>
    </w:rPr>
  </w:style>
  <w:style w:type="character" w:customStyle="1" w:styleId="178">
    <w:name w:val="批注框文本 Char1"/>
    <w:autoRedefine/>
    <w:qFormat/>
    <w:uiPriority w:val="99"/>
    <w:rPr>
      <w:rFonts w:ascii="Times New Roman" w:hAnsi="Times New Roman" w:eastAsia="宋体" w:cs="Times New Roman"/>
      <w:sz w:val="18"/>
      <w:szCs w:val="18"/>
    </w:rPr>
  </w:style>
  <w:style w:type="character" w:customStyle="1" w:styleId="179">
    <w:name w:val="Body Text Char2"/>
    <w:basedOn w:val="96"/>
    <w:autoRedefine/>
    <w:semiHidden/>
    <w:qFormat/>
    <w:uiPriority w:val="99"/>
    <w:rPr>
      <w:rFonts w:cs="Calibri"/>
      <w:szCs w:val="21"/>
    </w:rPr>
  </w:style>
  <w:style w:type="character" w:customStyle="1" w:styleId="180">
    <w:name w:val="正文首行缩进 2 Char"/>
    <w:basedOn w:val="119"/>
    <w:link w:val="87"/>
    <w:autoRedefine/>
    <w:qFormat/>
    <w:locked/>
    <w:uiPriority w:val="99"/>
  </w:style>
  <w:style w:type="character" w:customStyle="1" w:styleId="181">
    <w:name w:val="正文文字缩进 2 Char Char"/>
    <w:autoRedefine/>
    <w:qFormat/>
    <w:uiPriority w:val="99"/>
    <w:rPr>
      <w:kern w:val="2"/>
      <w:sz w:val="24"/>
      <w:szCs w:val="24"/>
    </w:rPr>
  </w:style>
  <w:style w:type="character" w:customStyle="1" w:styleId="182">
    <w:name w:val="Quote Char1"/>
    <w:autoRedefine/>
    <w:qFormat/>
    <w:uiPriority w:val="99"/>
    <w:rPr>
      <w:i/>
      <w:iCs/>
      <w:color w:val="000000"/>
    </w:rPr>
  </w:style>
  <w:style w:type="character" w:customStyle="1" w:styleId="183">
    <w:name w:val="Normal Char"/>
    <w:link w:val="184"/>
    <w:autoRedefine/>
    <w:qFormat/>
    <w:locked/>
    <w:uiPriority w:val="99"/>
    <w:rPr>
      <w:rFonts w:ascii="宋体" w:cs="宋体"/>
      <w:sz w:val="24"/>
      <w:szCs w:val="24"/>
    </w:rPr>
  </w:style>
  <w:style w:type="paragraph" w:customStyle="1" w:styleId="184">
    <w:name w:val="正文1"/>
    <w:basedOn w:val="185"/>
    <w:link w:val="183"/>
    <w:autoRedefine/>
    <w:qFormat/>
    <w:uiPriority w:val="99"/>
    <w:pPr>
      <w:adjustRightInd w:val="0"/>
      <w:spacing w:line="410" w:lineRule="atLeast"/>
      <w:jc w:val="left"/>
      <w:textAlignment w:val="baseline"/>
    </w:pPr>
    <w:rPr>
      <w:rFonts w:ascii="宋体" w:cs="Times New Roman"/>
      <w:kern w:val="0"/>
      <w:sz w:val="24"/>
      <w:szCs w:val="24"/>
      <w:lang w:val="zh-CN" w:eastAsia="zh-CN"/>
    </w:rPr>
  </w:style>
  <w:style w:type="paragraph" w:customStyle="1" w:styleId="185">
    <w:name w:val="Normal_0"/>
    <w:basedOn w:val="186"/>
    <w:autoRedefine/>
    <w:qFormat/>
    <w:uiPriority w:val="99"/>
  </w:style>
  <w:style w:type="paragraph" w:customStyle="1" w:styleId="186">
    <w:name w:val="Normal_2"/>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187">
    <w:name w:val="条标题1.1.1 Char Char Char Char Char Char Char Char Char Char"/>
    <w:autoRedefine/>
    <w:qFormat/>
    <w:uiPriority w:val="99"/>
    <w:rPr>
      <w:rFonts w:ascii="宋体" w:hAnsi="宋体" w:eastAsia="宋体" w:cs="宋体"/>
      <w:b/>
      <w:bCs/>
      <w:kern w:val="2"/>
      <w:sz w:val="24"/>
      <w:szCs w:val="24"/>
      <w:lang w:val="en-US" w:eastAsia="zh-CN"/>
    </w:rPr>
  </w:style>
  <w:style w:type="character" w:customStyle="1" w:styleId="188">
    <w:name w:val="批注主题 Char2"/>
    <w:basedOn w:val="189"/>
    <w:link w:val="85"/>
    <w:autoRedefine/>
    <w:qFormat/>
    <w:locked/>
    <w:uiPriority w:val="99"/>
  </w:style>
  <w:style w:type="character" w:customStyle="1" w:styleId="189">
    <w:name w:val="Comment Text Char"/>
    <w:autoRedefine/>
    <w:qFormat/>
    <w:locked/>
    <w:uiPriority w:val="99"/>
    <w:rPr>
      <w:sz w:val="24"/>
      <w:szCs w:val="24"/>
    </w:rPr>
  </w:style>
  <w:style w:type="character" w:customStyle="1" w:styleId="190">
    <w:name w:val="页脚 Char1"/>
    <w:autoRedefine/>
    <w:semiHidden/>
    <w:qFormat/>
    <w:uiPriority w:val="99"/>
    <w:rPr>
      <w:rFonts w:ascii="Times New Roman" w:hAnsi="Times New Roman" w:eastAsia="宋体" w:cs="Times New Roman"/>
      <w:sz w:val="18"/>
      <w:szCs w:val="18"/>
    </w:rPr>
  </w:style>
  <w:style w:type="character" w:customStyle="1" w:styleId="191">
    <w:name w:val="明显强调2"/>
    <w:autoRedefine/>
    <w:qFormat/>
    <w:uiPriority w:val="99"/>
    <w:rPr>
      <w:b/>
      <w:bCs/>
      <w:i/>
      <w:iCs/>
      <w:color w:val="4F81BD"/>
    </w:rPr>
  </w:style>
  <w:style w:type="character" w:customStyle="1" w:styleId="192">
    <w:name w:val="Char Char13"/>
    <w:autoRedefine/>
    <w:qFormat/>
    <w:uiPriority w:val="99"/>
    <w:rPr>
      <w:rFonts w:ascii="Arial" w:hAnsi="Arial" w:eastAsia="黑体" w:cs="Arial"/>
      <w:b/>
      <w:bCs/>
      <w:kern w:val="2"/>
      <w:sz w:val="32"/>
      <w:szCs w:val="32"/>
      <w:lang w:val="en-US" w:eastAsia="zh-CN"/>
    </w:rPr>
  </w:style>
  <w:style w:type="character" w:customStyle="1" w:styleId="193">
    <w:name w:val="洋正 Char"/>
    <w:link w:val="194"/>
    <w:autoRedefine/>
    <w:qFormat/>
    <w:locked/>
    <w:uiPriority w:val="99"/>
    <w:rPr>
      <w:kern w:val="2"/>
      <w:sz w:val="24"/>
      <w:szCs w:val="24"/>
    </w:rPr>
  </w:style>
  <w:style w:type="paragraph" w:customStyle="1" w:styleId="194">
    <w:name w:val="洋正"/>
    <w:basedOn w:val="1"/>
    <w:next w:val="4"/>
    <w:link w:val="193"/>
    <w:autoRedefine/>
    <w:qFormat/>
    <w:uiPriority w:val="99"/>
    <w:pPr>
      <w:snapToGrid w:val="0"/>
      <w:spacing w:line="360" w:lineRule="auto"/>
      <w:ind w:firstLine="200" w:firstLineChars="200"/>
    </w:pPr>
    <w:rPr>
      <w:rFonts w:cs="Times New Roman"/>
      <w:sz w:val="24"/>
      <w:szCs w:val="24"/>
      <w:lang w:val="zh-CN" w:eastAsia="zh-CN"/>
    </w:rPr>
  </w:style>
  <w:style w:type="character" w:customStyle="1" w:styleId="195">
    <w:name w:val="样式 标题 3 + 四号 段前: 0 磅 段后: 0 磅 行距: 1.5 倍行距 Char Char1"/>
    <w:autoRedefine/>
    <w:qFormat/>
    <w:uiPriority w:val="99"/>
    <w:rPr>
      <w:rFonts w:eastAsia="宋体"/>
      <w:b/>
      <w:bCs/>
      <w:sz w:val="24"/>
      <w:szCs w:val="24"/>
      <w:lang w:val="en-US" w:eastAsia="zh-CN"/>
    </w:rPr>
  </w:style>
  <w:style w:type="character" w:customStyle="1" w:styleId="196">
    <w:name w:val="洋正 Char2"/>
    <w:autoRedefine/>
    <w:qFormat/>
    <w:uiPriority w:val="99"/>
    <w:rPr>
      <w:kern w:val="2"/>
      <w:sz w:val="24"/>
      <w:szCs w:val="24"/>
    </w:rPr>
  </w:style>
  <w:style w:type="character" w:customStyle="1" w:styleId="197">
    <w:name w:val="编制日期"/>
    <w:autoRedefine/>
    <w:qFormat/>
    <w:uiPriority w:val="99"/>
    <w:rPr>
      <w:rFonts w:ascii="Times New Roman" w:hAnsi="Times New Roman" w:eastAsia="宋体" w:cs="Times New Roman"/>
      <w:spacing w:val="24"/>
      <w:sz w:val="32"/>
      <w:szCs w:val="32"/>
      <w:vertAlign w:val="baseline"/>
    </w:rPr>
  </w:style>
  <w:style w:type="character" w:customStyle="1" w:styleId="198">
    <w:name w:val="式样b Char"/>
    <w:autoRedefine/>
    <w:qFormat/>
    <w:uiPriority w:val="99"/>
    <w:rPr>
      <w:rFonts w:eastAsia="宋体"/>
      <w:b/>
      <w:bCs/>
      <w:kern w:val="44"/>
      <w:sz w:val="44"/>
      <w:szCs w:val="44"/>
      <w:lang w:val="en-US" w:eastAsia="zh-CN"/>
    </w:rPr>
  </w:style>
  <w:style w:type="character" w:customStyle="1" w:styleId="199">
    <w:name w:val="标题 3 Char"/>
    <w:basedOn w:val="96"/>
    <w:link w:val="5"/>
    <w:autoRedefine/>
    <w:qFormat/>
    <w:locked/>
    <w:uiPriority w:val="99"/>
    <w:rPr>
      <w:rFonts w:ascii="黑体" w:hAnsi="宋体" w:eastAsia="黑体" w:cs="黑体"/>
      <w:kern w:val="2"/>
      <w:sz w:val="28"/>
      <w:szCs w:val="28"/>
      <w:lang w:val="en-US" w:eastAsia="zh-CN"/>
    </w:rPr>
  </w:style>
  <w:style w:type="character" w:customStyle="1" w:styleId="200">
    <w:name w:val="正文一 Char"/>
    <w:link w:val="201"/>
    <w:autoRedefine/>
    <w:qFormat/>
    <w:locked/>
    <w:uiPriority w:val="99"/>
    <w:rPr>
      <w:color w:val="000000"/>
      <w:kern w:val="2"/>
      <w:sz w:val="28"/>
      <w:szCs w:val="28"/>
    </w:rPr>
  </w:style>
  <w:style w:type="paragraph" w:customStyle="1" w:styleId="201">
    <w:name w:val="正文一"/>
    <w:basedOn w:val="1"/>
    <w:link w:val="200"/>
    <w:autoRedefine/>
    <w:qFormat/>
    <w:uiPriority w:val="99"/>
    <w:pPr>
      <w:adjustRightInd w:val="0"/>
      <w:snapToGrid w:val="0"/>
      <w:spacing w:line="360" w:lineRule="auto"/>
      <w:ind w:firstLine="200" w:firstLineChars="200"/>
    </w:pPr>
    <w:rPr>
      <w:rFonts w:cs="Times New Roman"/>
      <w:color w:val="000000"/>
      <w:sz w:val="28"/>
      <w:szCs w:val="28"/>
      <w:lang w:val="zh-CN" w:eastAsia="zh-CN"/>
    </w:rPr>
  </w:style>
  <w:style w:type="character" w:customStyle="1" w:styleId="202">
    <w:name w:val="正文文本 3 Char1"/>
    <w:autoRedefine/>
    <w:qFormat/>
    <w:uiPriority w:val="99"/>
    <w:rPr>
      <w:sz w:val="16"/>
      <w:szCs w:val="16"/>
    </w:rPr>
  </w:style>
  <w:style w:type="character" w:customStyle="1" w:styleId="203">
    <w:name w:val="Placeholder Text1"/>
    <w:autoRedefine/>
    <w:semiHidden/>
    <w:qFormat/>
    <w:uiPriority w:val="99"/>
    <w:rPr>
      <w:color w:val="808080"/>
    </w:rPr>
  </w:style>
  <w:style w:type="character" w:customStyle="1" w:styleId="204">
    <w:name w:val="@正文（缩进）Alt+X Char Char"/>
    <w:link w:val="205"/>
    <w:autoRedefine/>
    <w:qFormat/>
    <w:locked/>
    <w:uiPriority w:val="99"/>
    <w:rPr>
      <w:sz w:val="28"/>
      <w:szCs w:val="28"/>
    </w:rPr>
  </w:style>
  <w:style w:type="paragraph" w:customStyle="1" w:styleId="205">
    <w:name w:val="@正文（缩进）Alt+X"/>
    <w:basedOn w:val="1"/>
    <w:link w:val="204"/>
    <w:autoRedefine/>
    <w:qFormat/>
    <w:uiPriority w:val="99"/>
    <w:pPr>
      <w:spacing w:line="300" w:lineRule="auto"/>
      <w:jc w:val="center"/>
    </w:pPr>
    <w:rPr>
      <w:rFonts w:cs="Times New Roman"/>
      <w:kern w:val="0"/>
      <w:sz w:val="28"/>
      <w:szCs w:val="28"/>
      <w:lang w:val="zh-CN" w:eastAsia="zh-CN"/>
    </w:rPr>
  </w:style>
  <w:style w:type="character" w:customStyle="1" w:styleId="206">
    <w:name w:val="标题 2 Char"/>
    <w:basedOn w:val="96"/>
    <w:link w:val="4"/>
    <w:autoRedefine/>
    <w:qFormat/>
    <w:locked/>
    <w:uiPriority w:val="99"/>
    <w:rPr>
      <w:rFonts w:ascii="Arial" w:hAnsi="Arial" w:eastAsia="黑体" w:cs="Arial"/>
      <w:b/>
      <w:bCs/>
      <w:kern w:val="2"/>
      <w:sz w:val="32"/>
      <w:szCs w:val="32"/>
      <w:lang w:val="en-US" w:eastAsia="zh-CN"/>
    </w:rPr>
  </w:style>
  <w:style w:type="character" w:customStyle="1" w:styleId="207">
    <w:name w:val="10"/>
    <w:autoRedefine/>
    <w:qFormat/>
    <w:uiPriority w:val="99"/>
    <w:rPr>
      <w:rFonts w:ascii="Calibri" w:hAnsi="Calibri" w:eastAsia="宋体" w:cs="Calibri"/>
    </w:rPr>
  </w:style>
  <w:style w:type="character" w:customStyle="1" w:styleId="208">
    <w:name w:val="正文样式 Char"/>
    <w:link w:val="209"/>
    <w:autoRedefine/>
    <w:qFormat/>
    <w:locked/>
    <w:uiPriority w:val="99"/>
    <w:rPr>
      <w:kern w:val="2"/>
      <w:sz w:val="24"/>
      <w:szCs w:val="24"/>
    </w:rPr>
  </w:style>
  <w:style w:type="paragraph" w:customStyle="1" w:styleId="209">
    <w:name w:val="正文样式"/>
    <w:basedOn w:val="1"/>
    <w:link w:val="208"/>
    <w:autoRedefine/>
    <w:qFormat/>
    <w:uiPriority w:val="99"/>
    <w:pPr>
      <w:adjustRightInd w:val="0"/>
      <w:snapToGrid w:val="0"/>
      <w:spacing w:line="360" w:lineRule="auto"/>
      <w:ind w:firstLine="480" w:firstLineChars="200"/>
    </w:pPr>
    <w:rPr>
      <w:rFonts w:cs="Times New Roman"/>
      <w:sz w:val="24"/>
      <w:szCs w:val="24"/>
      <w:lang w:val="zh-CN" w:eastAsia="zh-CN"/>
    </w:rPr>
  </w:style>
  <w:style w:type="character" w:customStyle="1" w:styleId="210">
    <w:name w:val="页眉 Char1"/>
    <w:autoRedefine/>
    <w:qFormat/>
    <w:uiPriority w:val="99"/>
    <w:rPr>
      <w:kern w:val="2"/>
      <w:sz w:val="18"/>
      <w:szCs w:val="18"/>
    </w:rPr>
  </w:style>
  <w:style w:type="character" w:customStyle="1" w:styleId="211">
    <w:name w:val="Char Char10"/>
    <w:autoRedefine/>
    <w:qFormat/>
    <w:uiPriority w:val="99"/>
    <w:rPr>
      <w:rFonts w:eastAsia="宋体"/>
      <w:kern w:val="2"/>
      <w:sz w:val="21"/>
      <w:szCs w:val="21"/>
      <w:lang w:val="en-US" w:eastAsia="zh-CN"/>
    </w:rPr>
  </w:style>
  <w:style w:type="character" w:customStyle="1" w:styleId="212">
    <w:name w:val="二级标题 Char"/>
    <w:link w:val="213"/>
    <w:autoRedefine/>
    <w:qFormat/>
    <w:locked/>
    <w:uiPriority w:val="99"/>
    <w:rPr>
      <w:b/>
      <w:bCs/>
      <w:kern w:val="0"/>
      <w:sz w:val="24"/>
      <w:szCs w:val="24"/>
    </w:rPr>
  </w:style>
  <w:style w:type="paragraph" w:customStyle="1" w:styleId="213">
    <w:name w:val="二级标题"/>
    <w:basedOn w:val="4"/>
    <w:link w:val="212"/>
    <w:autoRedefine/>
    <w:qFormat/>
    <w:uiPriority w:val="99"/>
    <w:pPr>
      <w:numPr>
        <w:ilvl w:val="1"/>
        <w:numId w:val="2"/>
      </w:numPr>
      <w:tabs>
        <w:tab w:val="left" w:pos="780"/>
      </w:tabs>
      <w:ind w:left="0" w:leftChars="0" w:firstLine="0" w:firstLineChars="0"/>
      <w:jc w:val="left"/>
    </w:pPr>
    <w:rPr>
      <w:rFonts w:ascii="Calibri" w:hAnsi="Calibri" w:eastAsia="宋体" w:cs="Times New Roman"/>
      <w:kern w:val="0"/>
      <w:sz w:val="24"/>
      <w:szCs w:val="24"/>
      <w:lang w:val="zh-CN" w:eastAsia="zh-CN"/>
    </w:rPr>
  </w:style>
  <w:style w:type="character" w:customStyle="1" w:styleId="214">
    <w:name w:val="street-address"/>
    <w:autoRedefine/>
    <w:qFormat/>
    <w:uiPriority w:val="99"/>
  </w:style>
  <w:style w:type="character" w:customStyle="1" w:styleId="215">
    <w:name w:val="正文文本缩进 2 Char"/>
    <w:link w:val="51"/>
    <w:autoRedefine/>
    <w:qFormat/>
    <w:locked/>
    <w:uiPriority w:val="99"/>
    <w:rPr>
      <w:rFonts w:ascii="宋体" w:cs="宋体"/>
      <w:sz w:val="28"/>
      <w:szCs w:val="28"/>
    </w:rPr>
  </w:style>
  <w:style w:type="character" w:customStyle="1" w:styleId="216">
    <w:name w:val="题注 Char"/>
    <w:link w:val="22"/>
    <w:autoRedefine/>
    <w:qFormat/>
    <w:locked/>
    <w:uiPriority w:val="99"/>
    <w:rPr>
      <w:b/>
      <w:bCs/>
      <w:color w:val="000080"/>
      <w:kern w:val="2"/>
      <w:sz w:val="24"/>
      <w:szCs w:val="24"/>
    </w:rPr>
  </w:style>
  <w:style w:type="character" w:customStyle="1" w:styleId="217">
    <w:name w:val="批注文字 Char1"/>
    <w:autoRedefine/>
    <w:semiHidden/>
    <w:qFormat/>
    <w:uiPriority w:val="99"/>
    <w:rPr>
      <w:rFonts w:ascii="Times New Roman" w:hAnsi="Times New Roman" w:eastAsia="宋体" w:cs="Times New Roman"/>
      <w:sz w:val="24"/>
      <w:szCs w:val="24"/>
    </w:rPr>
  </w:style>
  <w:style w:type="character" w:customStyle="1" w:styleId="218">
    <w:name w:val="Message Header Char1"/>
    <w:basedOn w:val="96"/>
    <w:autoRedefine/>
    <w:semiHidden/>
    <w:qFormat/>
    <w:uiPriority w:val="99"/>
    <w:rPr>
      <w:rFonts w:ascii="Cambria" w:hAnsi="Cambria" w:eastAsia="宋体" w:cs="Times New Roman"/>
      <w:sz w:val="24"/>
      <w:szCs w:val="24"/>
      <w:shd w:val="pct20" w:color="auto" w:fill="auto"/>
    </w:rPr>
  </w:style>
  <w:style w:type="character" w:customStyle="1" w:styleId="219">
    <w:name w:val="Document Map Char2"/>
    <w:basedOn w:val="96"/>
    <w:autoRedefine/>
    <w:semiHidden/>
    <w:qFormat/>
    <w:uiPriority w:val="99"/>
    <w:rPr>
      <w:rFonts w:ascii="Times New Roman" w:hAnsi="Times New Roman"/>
      <w:sz w:val="16"/>
      <w:szCs w:val="0"/>
    </w:rPr>
  </w:style>
  <w:style w:type="character" w:customStyle="1" w:styleId="220">
    <w:name w:val="Signature Char1"/>
    <w:basedOn w:val="96"/>
    <w:autoRedefine/>
    <w:semiHidden/>
    <w:qFormat/>
    <w:uiPriority w:val="99"/>
    <w:rPr>
      <w:rFonts w:cs="Calibri"/>
      <w:szCs w:val="21"/>
    </w:rPr>
  </w:style>
  <w:style w:type="character" w:customStyle="1" w:styleId="221">
    <w:name w:val="标题 1 Char Char Char"/>
    <w:autoRedefine/>
    <w:qFormat/>
    <w:uiPriority w:val="99"/>
    <w:rPr>
      <w:rFonts w:eastAsia="黑体"/>
      <w:b/>
      <w:bCs/>
      <w:kern w:val="44"/>
      <w:sz w:val="28"/>
      <w:szCs w:val="28"/>
      <w:lang w:val="en-US" w:eastAsia="zh-CN"/>
    </w:rPr>
  </w:style>
  <w:style w:type="character" w:customStyle="1" w:styleId="222">
    <w:name w:val="条标题1.1.1 Char1"/>
    <w:autoRedefine/>
    <w:qFormat/>
    <w:uiPriority w:val="99"/>
    <w:rPr>
      <w:rFonts w:eastAsia="宋体"/>
      <w:sz w:val="24"/>
      <w:szCs w:val="24"/>
      <w:lang w:val="en-US" w:eastAsia="zh-CN"/>
    </w:rPr>
  </w:style>
  <w:style w:type="character" w:customStyle="1" w:styleId="223">
    <w:name w:val="纯文本 Char Char"/>
    <w:autoRedefine/>
    <w:qFormat/>
    <w:uiPriority w:val="99"/>
    <w:rPr>
      <w:rFonts w:ascii="宋体" w:cs="宋体"/>
      <w:color w:val="000000"/>
      <w:kern w:val="2"/>
      <w:sz w:val="21"/>
      <w:szCs w:val="21"/>
    </w:rPr>
  </w:style>
  <w:style w:type="character" w:customStyle="1" w:styleId="224">
    <w:name w:val="样式 标题 3 + 四号 段前: 0 磅 段后: 0 磅 行距: 1.5 倍行距 Char Char"/>
    <w:autoRedefine/>
    <w:qFormat/>
    <w:uiPriority w:val="99"/>
    <w:rPr>
      <w:rFonts w:eastAsia="宋体"/>
      <w:b/>
      <w:bCs/>
      <w:sz w:val="24"/>
      <w:szCs w:val="24"/>
      <w:lang w:val="en-US" w:eastAsia="zh-CN"/>
    </w:rPr>
  </w:style>
  <w:style w:type="character" w:customStyle="1" w:styleId="225">
    <w:name w:val="样式 标题 3 + 宋体 小四 Char"/>
    <w:link w:val="226"/>
    <w:autoRedefine/>
    <w:qFormat/>
    <w:locked/>
    <w:uiPriority w:val="99"/>
    <w:rPr>
      <w:rFonts w:ascii="宋体" w:eastAsia="宋体" w:cs="宋体"/>
      <w:b/>
      <w:bCs/>
      <w:kern w:val="2"/>
      <w:sz w:val="32"/>
      <w:szCs w:val="32"/>
    </w:rPr>
  </w:style>
  <w:style w:type="paragraph" w:customStyle="1" w:styleId="226">
    <w:name w:val="样式 标题 3 + 宋体 小四"/>
    <w:basedOn w:val="5"/>
    <w:link w:val="225"/>
    <w:autoRedefine/>
    <w:qFormat/>
    <w:uiPriority w:val="99"/>
    <w:pPr>
      <w:spacing w:line="416" w:lineRule="auto"/>
      <w:ind w:firstLine="0" w:firstLineChars="0"/>
    </w:pPr>
    <w:rPr>
      <w:rFonts w:ascii="宋体" w:hAnsi="Calibri" w:eastAsia="宋体" w:cs="Times New Roman"/>
      <w:b/>
      <w:bCs/>
      <w:sz w:val="32"/>
      <w:szCs w:val="32"/>
      <w:lang w:val="zh-CN" w:eastAsia="zh-CN"/>
    </w:rPr>
  </w:style>
  <w:style w:type="character" w:customStyle="1" w:styleId="227">
    <w:name w:val="样式 正文 +"/>
    <w:autoRedefine/>
    <w:qFormat/>
    <w:uiPriority w:val="99"/>
    <w:rPr>
      <w:rFonts w:eastAsia="黑体"/>
      <w:kern w:val="0"/>
    </w:rPr>
  </w:style>
  <w:style w:type="character" w:customStyle="1" w:styleId="228">
    <w:name w:val="H4 Char"/>
    <w:link w:val="229"/>
    <w:autoRedefine/>
    <w:qFormat/>
    <w:locked/>
    <w:uiPriority w:val="99"/>
    <w:rPr>
      <w:rFonts w:ascii="Arial" w:hAnsi="Arial" w:eastAsia="黑体" w:cs="Arial"/>
      <w:b/>
      <w:bCs/>
      <w:kern w:val="2"/>
      <w:sz w:val="28"/>
      <w:szCs w:val="28"/>
      <w:lang w:val="en-US" w:eastAsia="zh-CN"/>
    </w:rPr>
  </w:style>
  <w:style w:type="paragraph" w:customStyle="1" w:styleId="229">
    <w:name w:val="项"/>
    <w:basedOn w:val="1"/>
    <w:link w:val="228"/>
    <w:autoRedefine/>
    <w:qFormat/>
    <w:uiPriority w:val="99"/>
    <w:pPr>
      <w:spacing w:after="200" w:line="360" w:lineRule="auto"/>
      <w:ind w:firstLine="480" w:firstLineChars="200"/>
    </w:pPr>
    <w:rPr>
      <w:rFonts w:ascii="Arial" w:hAnsi="Arial" w:eastAsia="黑体" w:cs="Times New Roman"/>
      <w:b/>
      <w:bCs/>
      <w:sz w:val="28"/>
      <w:szCs w:val="28"/>
    </w:rPr>
  </w:style>
  <w:style w:type="character" w:customStyle="1" w:styleId="230">
    <w:name w:val="样式 标题 1标题 1 Char + Times New Roman Char"/>
    <w:link w:val="231"/>
    <w:autoRedefine/>
    <w:qFormat/>
    <w:locked/>
    <w:uiPriority w:val="99"/>
    <w:rPr>
      <w:rFonts w:eastAsia="黑体"/>
      <w:b/>
      <w:bCs/>
      <w:color w:val="000000"/>
      <w:kern w:val="2"/>
      <w:sz w:val="32"/>
      <w:szCs w:val="32"/>
    </w:rPr>
  </w:style>
  <w:style w:type="paragraph" w:customStyle="1" w:styleId="231">
    <w:name w:val="样式 标题 1标题 1 Char + Times New Roman"/>
    <w:basedOn w:val="3"/>
    <w:link w:val="230"/>
    <w:autoRedefine/>
    <w:qFormat/>
    <w:uiPriority w:val="99"/>
    <w:pPr>
      <w:keepNext w:val="0"/>
      <w:keepLines w:val="0"/>
      <w:adjustRightInd w:val="0"/>
      <w:snapToGrid w:val="0"/>
      <w:spacing w:before="120" w:after="120" w:line="578" w:lineRule="auto"/>
      <w:jc w:val="center"/>
    </w:pPr>
    <w:rPr>
      <w:rFonts w:eastAsia="黑体" w:cs="Times New Roman"/>
      <w:color w:val="000000"/>
      <w:kern w:val="2"/>
      <w:sz w:val="32"/>
      <w:szCs w:val="32"/>
      <w:lang w:val="zh-CN" w:eastAsia="zh-CN"/>
    </w:rPr>
  </w:style>
  <w:style w:type="character" w:customStyle="1" w:styleId="232">
    <w:name w:val="洋 Char"/>
    <w:link w:val="233"/>
    <w:autoRedefine/>
    <w:qFormat/>
    <w:locked/>
    <w:uiPriority w:val="99"/>
    <w:rPr>
      <w:color w:val="000000"/>
      <w:sz w:val="24"/>
      <w:szCs w:val="24"/>
    </w:rPr>
  </w:style>
  <w:style w:type="paragraph" w:customStyle="1" w:styleId="233">
    <w:name w:val="洋"/>
    <w:basedOn w:val="1"/>
    <w:next w:val="1"/>
    <w:link w:val="232"/>
    <w:autoRedefine/>
    <w:qFormat/>
    <w:uiPriority w:val="99"/>
    <w:pPr>
      <w:spacing w:line="360" w:lineRule="auto"/>
      <w:ind w:firstLine="200" w:firstLineChars="200"/>
    </w:pPr>
    <w:rPr>
      <w:rFonts w:cs="Times New Roman"/>
      <w:color w:val="000000"/>
      <w:kern w:val="0"/>
      <w:sz w:val="24"/>
      <w:szCs w:val="24"/>
      <w:lang w:val="zh-CN" w:eastAsia="zh-CN"/>
    </w:rPr>
  </w:style>
  <w:style w:type="character" w:customStyle="1" w:styleId="234">
    <w:name w:val="Body Text First Indent 2 Char1"/>
    <w:basedOn w:val="119"/>
    <w:autoRedefine/>
    <w:semiHidden/>
    <w:qFormat/>
    <w:uiPriority w:val="99"/>
    <w:rPr>
      <w:rFonts w:cs="Calibri"/>
      <w:szCs w:val="21"/>
    </w:rPr>
  </w:style>
  <w:style w:type="character" w:customStyle="1" w:styleId="235">
    <w:name w:val="HTML Preformatted Char1"/>
    <w:basedOn w:val="96"/>
    <w:autoRedefine/>
    <w:semiHidden/>
    <w:qFormat/>
    <w:uiPriority w:val="99"/>
    <w:rPr>
      <w:rFonts w:ascii="Courier New" w:hAnsi="Courier New" w:cs="Courier New"/>
      <w:sz w:val="20"/>
      <w:szCs w:val="20"/>
    </w:rPr>
  </w:style>
  <w:style w:type="character" w:customStyle="1" w:styleId="236">
    <w:name w:val="样式 正文缩进s4标题4 + (符号) 宋体 四号 行距: 固定值 24 磅 Char"/>
    <w:autoRedefine/>
    <w:qFormat/>
    <w:uiPriority w:val="99"/>
    <w:rPr>
      <w:rFonts w:hAnsi="宋体" w:eastAsia="宋体"/>
      <w:sz w:val="28"/>
      <w:szCs w:val="28"/>
      <w:lang w:val="en-US" w:eastAsia="zh-CN"/>
    </w:rPr>
  </w:style>
  <w:style w:type="character" w:customStyle="1" w:styleId="237">
    <w:name w:val="不明显参考1"/>
    <w:autoRedefine/>
    <w:qFormat/>
    <w:uiPriority w:val="99"/>
    <w:rPr>
      <w:smallCaps/>
      <w:color w:val="auto"/>
      <w:u w:val="single"/>
    </w:rPr>
  </w:style>
  <w:style w:type="character" w:customStyle="1" w:styleId="238">
    <w:name w:val="表头 Char"/>
    <w:link w:val="239"/>
    <w:autoRedefine/>
    <w:qFormat/>
    <w:locked/>
    <w:uiPriority w:val="99"/>
    <w:rPr>
      <w:b/>
      <w:bCs/>
      <w:kern w:val="2"/>
      <w:sz w:val="28"/>
      <w:szCs w:val="28"/>
    </w:rPr>
  </w:style>
  <w:style w:type="paragraph" w:customStyle="1" w:styleId="239">
    <w:name w:val="表头"/>
    <w:basedOn w:val="1"/>
    <w:next w:val="1"/>
    <w:link w:val="238"/>
    <w:autoRedefine/>
    <w:qFormat/>
    <w:uiPriority w:val="99"/>
    <w:pPr>
      <w:spacing w:line="480" w:lineRule="exact"/>
    </w:pPr>
    <w:rPr>
      <w:rFonts w:cs="Times New Roman"/>
      <w:b/>
      <w:bCs/>
      <w:sz w:val="28"/>
      <w:szCs w:val="28"/>
      <w:lang w:val="zh-CN" w:eastAsia="zh-CN"/>
    </w:rPr>
  </w:style>
  <w:style w:type="character" w:customStyle="1" w:styleId="240">
    <w:name w:val="Char Char6"/>
    <w:autoRedefine/>
    <w:qFormat/>
    <w:uiPriority w:val="99"/>
    <w:rPr>
      <w:rFonts w:ascii="黑体" w:hAnsi="宋体" w:eastAsia="黑体" w:cs="黑体"/>
      <w:kern w:val="2"/>
      <w:sz w:val="28"/>
      <w:szCs w:val="28"/>
      <w:lang w:val="en-US" w:eastAsia="zh-CN"/>
    </w:rPr>
  </w:style>
  <w:style w:type="character" w:customStyle="1" w:styleId="241">
    <w:name w:val="Comment Subject Char1"/>
    <w:basedOn w:val="120"/>
    <w:autoRedefine/>
    <w:semiHidden/>
    <w:qFormat/>
    <w:uiPriority w:val="99"/>
    <w:rPr>
      <w:rFonts w:cs="Calibri"/>
      <w:b/>
      <w:bCs/>
      <w:szCs w:val="21"/>
    </w:rPr>
  </w:style>
  <w:style w:type="character" w:customStyle="1" w:styleId="242">
    <w:name w:val="E-mail Signature Char1"/>
    <w:basedOn w:val="96"/>
    <w:autoRedefine/>
    <w:semiHidden/>
    <w:qFormat/>
    <w:uiPriority w:val="99"/>
    <w:rPr>
      <w:rFonts w:cs="Calibri"/>
      <w:szCs w:val="21"/>
    </w:rPr>
  </w:style>
  <w:style w:type="character" w:customStyle="1" w:styleId="243">
    <w:name w:val="line41"/>
    <w:autoRedefine/>
    <w:qFormat/>
    <w:uiPriority w:val="99"/>
  </w:style>
  <w:style w:type="character" w:customStyle="1" w:styleId="244">
    <w:name w:val="书籍标题1"/>
    <w:autoRedefine/>
    <w:qFormat/>
    <w:uiPriority w:val="99"/>
    <w:rPr>
      <w:b/>
      <w:bCs/>
      <w:smallCaps/>
      <w:spacing w:val="5"/>
    </w:rPr>
  </w:style>
  <w:style w:type="character" w:customStyle="1" w:styleId="245">
    <w:name w:val="日期 Char1"/>
    <w:autoRedefine/>
    <w:qFormat/>
    <w:uiPriority w:val="99"/>
    <w:rPr>
      <w:rFonts w:ascii="Times New Roman" w:hAnsi="Times New Roman" w:eastAsia="宋体" w:cs="Times New Roman"/>
      <w:sz w:val="24"/>
      <w:szCs w:val="24"/>
    </w:rPr>
  </w:style>
  <w:style w:type="character" w:customStyle="1" w:styleId="246">
    <w:name w:val="标题 7 Char"/>
    <w:basedOn w:val="96"/>
    <w:link w:val="9"/>
    <w:autoRedefine/>
    <w:qFormat/>
    <w:locked/>
    <w:uiPriority w:val="99"/>
    <w:rPr>
      <w:b/>
      <w:bCs/>
      <w:sz w:val="24"/>
      <w:szCs w:val="24"/>
    </w:rPr>
  </w:style>
  <w:style w:type="character" w:customStyle="1" w:styleId="247">
    <w:name w:val="1.1 字元"/>
    <w:link w:val="248"/>
    <w:autoRedefine/>
    <w:qFormat/>
    <w:locked/>
    <w:uiPriority w:val="99"/>
    <w:rPr>
      <w:rFonts w:ascii="Calibri" w:hAnsi="Calibri" w:cs="Calibri"/>
      <w:kern w:val="44"/>
      <w:sz w:val="28"/>
      <w:szCs w:val="28"/>
    </w:rPr>
  </w:style>
  <w:style w:type="paragraph" w:customStyle="1" w:styleId="248">
    <w:name w:val="1.1"/>
    <w:basedOn w:val="3"/>
    <w:link w:val="247"/>
    <w:autoRedefine/>
    <w:qFormat/>
    <w:uiPriority w:val="99"/>
    <w:pPr>
      <w:tabs>
        <w:tab w:val="left" w:pos="10080"/>
      </w:tabs>
      <w:spacing w:line="440" w:lineRule="exact"/>
      <w:ind w:right="40" w:rightChars="19"/>
    </w:pPr>
    <w:rPr>
      <w:rFonts w:cs="Times New Roman"/>
      <w:b w:val="0"/>
      <w:bCs w:val="0"/>
      <w:sz w:val="28"/>
      <w:szCs w:val="28"/>
      <w:lang w:val="zh-CN" w:eastAsia="zh-CN"/>
    </w:rPr>
  </w:style>
  <w:style w:type="character" w:customStyle="1" w:styleId="249">
    <w:name w:val="明显参考11"/>
    <w:autoRedefine/>
    <w:qFormat/>
    <w:uiPriority w:val="99"/>
    <w:rPr>
      <w:b/>
      <w:bCs/>
      <w:smallCaps/>
      <w:color w:val="auto"/>
      <w:spacing w:val="5"/>
      <w:u w:val="single"/>
    </w:rPr>
  </w:style>
  <w:style w:type="character" w:customStyle="1" w:styleId="250">
    <w:name w:val="Title Header2 Char Char"/>
    <w:autoRedefine/>
    <w:qFormat/>
    <w:uiPriority w:val="99"/>
    <w:rPr>
      <w:rFonts w:ascii="Arial" w:hAnsi="Arial" w:eastAsia="黑体" w:cs="Arial"/>
      <w:b/>
      <w:bCs/>
      <w:sz w:val="32"/>
      <w:szCs w:val="32"/>
      <w:lang w:val="en-US" w:eastAsia="zh-CN"/>
    </w:rPr>
  </w:style>
  <w:style w:type="character" w:customStyle="1" w:styleId="251">
    <w:name w:val="标题4 Char Char"/>
    <w:link w:val="252"/>
    <w:autoRedefine/>
    <w:qFormat/>
    <w:locked/>
    <w:uiPriority w:val="99"/>
    <w:rPr>
      <w:rFonts w:ascii="Arial" w:hAnsi="Arial" w:cs="Arial"/>
      <w:sz w:val="24"/>
      <w:szCs w:val="24"/>
    </w:rPr>
  </w:style>
  <w:style w:type="paragraph" w:customStyle="1" w:styleId="252">
    <w:name w:val="标题4"/>
    <w:basedOn w:val="6"/>
    <w:link w:val="251"/>
    <w:autoRedefine/>
    <w:qFormat/>
    <w:uiPriority w:val="99"/>
    <w:pPr>
      <w:keepLines w:val="0"/>
      <w:tabs>
        <w:tab w:val="left" w:pos="1080"/>
        <w:tab w:val="left" w:pos="1380"/>
      </w:tabs>
      <w:adjustRightInd w:val="0"/>
      <w:spacing w:before="0" w:after="0" w:line="360" w:lineRule="auto"/>
      <w:ind w:left="1380" w:hanging="420"/>
      <w:textAlignment w:val="baseline"/>
    </w:pPr>
    <w:rPr>
      <w:rFonts w:eastAsia="宋体" w:cs="Times New Roman"/>
      <w:b w:val="0"/>
      <w:bCs w:val="0"/>
      <w:kern w:val="0"/>
      <w:sz w:val="24"/>
      <w:szCs w:val="24"/>
      <w:lang w:val="zh-CN" w:eastAsia="zh-CN"/>
    </w:rPr>
  </w:style>
  <w:style w:type="character" w:customStyle="1" w:styleId="253">
    <w:name w:val="@2级标题 Char Char"/>
    <w:link w:val="254"/>
    <w:autoRedefine/>
    <w:qFormat/>
    <w:locked/>
    <w:uiPriority w:val="99"/>
    <w:rPr>
      <w:rFonts w:ascii="Arial" w:hAnsi="Arial" w:cs="Arial"/>
      <w:b/>
      <w:bCs/>
      <w:kern w:val="2"/>
      <w:sz w:val="32"/>
      <w:szCs w:val="32"/>
    </w:rPr>
  </w:style>
  <w:style w:type="paragraph" w:customStyle="1" w:styleId="254">
    <w:name w:val="@2级标题"/>
    <w:basedOn w:val="4"/>
    <w:link w:val="253"/>
    <w:autoRedefine/>
    <w:qFormat/>
    <w:uiPriority w:val="99"/>
    <w:pPr>
      <w:tabs>
        <w:tab w:val="left" w:pos="576"/>
      </w:tabs>
      <w:ind w:left="840" w:hanging="420"/>
      <w:jc w:val="left"/>
    </w:pPr>
    <w:rPr>
      <w:rFonts w:eastAsia="宋体" w:cs="Times New Roman"/>
      <w:lang w:val="zh-CN" w:eastAsia="zh-CN"/>
    </w:rPr>
  </w:style>
  <w:style w:type="character" w:customStyle="1" w:styleId="255">
    <w:name w:val="Quote Char3"/>
    <w:autoRedefine/>
    <w:qFormat/>
    <w:locked/>
    <w:uiPriority w:val="99"/>
    <w:rPr>
      <w:i/>
      <w:iCs/>
      <w:color w:val="000000"/>
    </w:rPr>
  </w:style>
  <w:style w:type="character" w:customStyle="1" w:styleId="256">
    <w:name w:val="Char Char91"/>
    <w:autoRedefine/>
    <w:qFormat/>
    <w:locked/>
    <w:uiPriority w:val="99"/>
    <w:rPr>
      <w:kern w:val="2"/>
      <w:sz w:val="22"/>
      <w:szCs w:val="22"/>
    </w:rPr>
  </w:style>
  <w:style w:type="character" w:customStyle="1" w:styleId="257">
    <w:name w:val="标题 4 Char"/>
    <w:basedOn w:val="96"/>
    <w:link w:val="6"/>
    <w:autoRedefine/>
    <w:qFormat/>
    <w:locked/>
    <w:uiPriority w:val="99"/>
    <w:rPr>
      <w:rFonts w:ascii="Arial" w:hAnsi="Arial" w:eastAsia="黑体" w:cs="Arial"/>
      <w:b/>
      <w:bCs/>
      <w:kern w:val="2"/>
      <w:sz w:val="28"/>
      <w:szCs w:val="28"/>
      <w:lang w:val="en-US" w:eastAsia="zh-CN"/>
    </w:rPr>
  </w:style>
  <w:style w:type="character" w:customStyle="1" w:styleId="258">
    <w:name w:val="表格用小四 Char"/>
    <w:link w:val="259"/>
    <w:autoRedefine/>
    <w:semiHidden/>
    <w:qFormat/>
    <w:locked/>
    <w:uiPriority w:val="99"/>
    <w:rPr>
      <w:rFonts w:cs="Calibri"/>
      <w:kern w:val="2"/>
      <w:sz w:val="24"/>
      <w:szCs w:val="24"/>
      <w:lang w:val="en-US" w:eastAsia="zh-CN" w:bidi="ar-SA"/>
    </w:rPr>
  </w:style>
  <w:style w:type="paragraph" w:customStyle="1" w:styleId="259">
    <w:name w:val="表格用小四"/>
    <w:link w:val="258"/>
    <w:autoRedefine/>
    <w:semiHidden/>
    <w:qFormat/>
    <w:uiPriority w:val="99"/>
    <w:pPr>
      <w:spacing w:line="240" w:lineRule="atLeast"/>
      <w:jc w:val="center"/>
    </w:pPr>
    <w:rPr>
      <w:rFonts w:ascii="Calibri" w:hAnsi="Calibri" w:eastAsia="宋体" w:cs="Calibri"/>
      <w:kern w:val="2"/>
      <w:sz w:val="24"/>
      <w:szCs w:val="24"/>
      <w:lang w:val="en-US" w:eastAsia="zh-CN" w:bidi="ar-SA"/>
    </w:rPr>
  </w:style>
  <w:style w:type="character" w:customStyle="1" w:styleId="260">
    <w:name w:val="明显参考1"/>
    <w:autoRedefine/>
    <w:qFormat/>
    <w:uiPriority w:val="99"/>
    <w:rPr>
      <w:b/>
      <w:bCs/>
      <w:smallCaps/>
      <w:color w:val="auto"/>
      <w:spacing w:val="5"/>
      <w:u w:val="single"/>
    </w:rPr>
  </w:style>
  <w:style w:type="character" w:customStyle="1" w:styleId="261">
    <w:name w:val="font2"/>
    <w:autoRedefine/>
    <w:qFormat/>
    <w:uiPriority w:val="99"/>
  </w:style>
  <w:style w:type="character" w:customStyle="1" w:styleId="262">
    <w:name w:val="Footer Char2"/>
    <w:basedOn w:val="96"/>
    <w:autoRedefine/>
    <w:semiHidden/>
    <w:qFormat/>
    <w:uiPriority w:val="99"/>
    <w:rPr>
      <w:rFonts w:cs="Calibri"/>
      <w:sz w:val="18"/>
      <w:szCs w:val="18"/>
    </w:rPr>
  </w:style>
  <w:style w:type="character" w:customStyle="1" w:styleId="263">
    <w:name w:val="标题 5 Char"/>
    <w:basedOn w:val="96"/>
    <w:link w:val="7"/>
    <w:autoRedefine/>
    <w:qFormat/>
    <w:locked/>
    <w:uiPriority w:val="99"/>
    <w:rPr>
      <w:b/>
      <w:bCs/>
      <w:sz w:val="24"/>
      <w:szCs w:val="24"/>
    </w:rPr>
  </w:style>
  <w:style w:type="character" w:customStyle="1" w:styleId="264">
    <w:name w:val="GEDI正文样式 Char"/>
    <w:link w:val="265"/>
    <w:autoRedefine/>
    <w:qFormat/>
    <w:locked/>
    <w:uiPriority w:val="99"/>
    <w:rPr>
      <w:kern w:val="2"/>
      <w:sz w:val="24"/>
      <w:szCs w:val="24"/>
    </w:rPr>
  </w:style>
  <w:style w:type="paragraph" w:customStyle="1" w:styleId="265">
    <w:name w:val="GEDI正文样式"/>
    <w:basedOn w:val="1"/>
    <w:link w:val="264"/>
    <w:autoRedefine/>
    <w:qFormat/>
    <w:uiPriority w:val="99"/>
    <w:pPr>
      <w:adjustRightInd w:val="0"/>
      <w:snapToGrid w:val="0"/>
      <w:spacing w:line="480" w:lineRule="atLeast"/>
      <w:ind w:firstLine="480" w:firstLineChars="200"/>
    </w:pPr>
    <w:rPr>
      <w:rFonts w:cs="Times New Roman"/>
      <w:sz w:val="24"/>
      <w:szCs w:val="24"/>
      <w:lang w:val="zh-CN" w:eastAsia="zh-CN"/>
    </w:rPr>
  </w:style>
  <w:style w:type="character" w:customStyle="1" w:styleId="266">
    <w:name w:val="普通(网站) Char"/>
    <w:autoRedefine/>
    <w:qFormat/>
    <w:uiPriority w:val="99"/>
    <w:rPr>
      <w:rFonts w:eastAsia="宋体"/>
      <w:sz w:val="24"/>
      <w:szCs w:val="24"/>
      <w:lang w:val="en-US" w:eastAsia="zh-CN"/>
    </w:rPr>
  </w:style>
  <w:style w:type="character" w:customStyle="1" w:styleId="267">
    <w:name w:val="报告正文 Char"/>
    <w:link w:val="268"/>
    <w:autoRedefine/>
    <w:qFormat/>
    <w:locked/>
    <w:uiPriority w:val="99"/>
    <w:rPr>
      <w:sz w:val="24"/>
      <w:szCs w:val="24"/>
    </w:rPr>
  </w:style>
  <w:style w:type="paragraph" w:customStyle="1" w:styleId="268">
    <w:name w:val="报告正文"/>
    <w:basedOn w:val="1"/>
    <w:link w:val="267"/>
    <w:autoRedefine/>
    <w:qFormat/>
    <w:uiPriority w:val="99"/>
    <w:pPr>
      <w:adjustRightInd w:val="0"/>
      <w:spacing w:line="480" w:lineRule="exact"/>
      <w:ind w:right="-4" w:rightChars="-2" w:firstLine="461" w:firstLineChars="192"/>
      <w:textAlignment w:val="baseline"/>
    </w:pPr>
    <w:rPr>
      <w:rFonts w:cs="Times New Roman"/>
      <w:kern w:val="0"/>
      <w:sz w:val="24"/>
      <w:szCs w:val="24"/>
      <w:lang w:val="zh-CN" w:eastAsia="zh-CN"/>
    </w:rPr>
  </w:style>
  <w:style w:type="character" w:customStyle="1" w:styleId="269">
    <w:name w:val="Char Char14"/>
    <w:autoRedefine/>
    <w:qFormat/>
    <w:uiPriority w:val="99"/>
    <w:rPr>
      <w:rFonts w:eastAsia="宋体"/>
      <w:b/>
      <w:bCs/>
      <w:kern w:val="44"/>
      <w:sz w:val="44"/>
      <w:szCs w:val="44"/>
      <w:lang w:val="en-US" w:eastAsia="zh-CN"/>
    </w:rPr>
  </w:style>
  <w:style w:type="character" w:customStyle="1" w:styleId="270">
    <w:name w:val="样式 标题 2 + 二号 Char"/>
    <w:autoRedefine/>
    <w:qFormat/>
    <w:uiPriority w:val="99"/>
    <w:rPr>
      <w:rFonts w:ascii="Arial" w:hAnsi="Arial" w:eastAsia="宋体" w:cs="Arial"/>
      <w:b/>
      <w:bCs/>
      <w:color w:val="FF0000"/>
      <w:sz w:val="44"/>
      <w:szCs w:val="44"/>
      <w:lang w:val="en-US" w:eastAsia="zh-CN"/>
    </w:rPr>
  </w:style>
  <w:style w:type="character" w:customStyle="1" w:styleId="271">
    <w:name w:val="标题 1 Char"/>
    <w:basedOn w:val="96"/>
    <w:link w:val="3"/>
    <w:autoRedefine/>
    <w:qFormat/>
    <w:locked/>
    <w:uiPriority w:val="99"/>
    <w:rPr>
      <w:rFonts w:eastAsia="宋体"/>
      <w:b/>
      <w:bCs/>
      <w:kern w:val="44"/>
      <w:sz w:val="44"/>
      <w:szCs w:val="44"/>
      <w:lang w:val="en-US" w:eastAsia="zh-CN"/>
    </w:rPr>
  </w:style>
  <w:style w:type="character" w:customStyle="1" w:styleId="272">
    <w:name w:val="正文首行缩进 Char1"/>
    <w:autoRedefine/>
    <w:qFormat/>
    <w:uiPriority w:val="99"/>
    <w:rPr>
      <w:rFonts w:ascii="宋体" w:hAnsi="宋体" w:eastAsia="宋体" w:cs="宋体"/>
      <w:kern w:val="2"/>
      <w:sz w:val="24"/>
      <w:szCs w:val="24"/>
      <w:lang w:val="en-US" w:eastAsia="zh-CN"/>
    </w:rPr>
  </w:style>
  <w:style w:type="character" w:customStyle="1" w:styleId="273">
    <w:name w:val="表一 Char"/>
    <w:link w:val="274"/>
    <w:autoRedefine/>
    <w:qFormat/>
    <w:locked/>
    <w:uiPriority w:val="99"/>
    <w:rPr>
      <w:snapToGrid w:val="0"/>
      <w:sz w:val="24"/>
      <w:szCs w:val="24"/>
    </w:rPr>
  </w:style>
  <w:style w:type="paragraph" w:customStyle="1" w:styleId="274">
    <w:name w:val="表一"/>
    <w:basedOn w:val="1"/>
    <w:link w:val="273"/>
    <w:autoRedefine/>
    <w:qFormat/>
    <w:uiPriority w:val="99"/>
    <w:pPr>
      <w:adjustRightInd w:val="0"/>
      <w:snapToGrid w:val="0"/>
      <w:spacing w:after="200" w:line="276" w:lineRule="auto"/>
      <w:ind w:right="-71"/>
      <w:jc w:val="center"/>
    </w:pPr>
    <w:rPr>
      <w:rFonts w:cs="Times New Roman"/>
      <w:snapToGrid w:val="0"/>
      <w:kern w:val="0"/>
      <w:sz w:val="24"/>
      <w:szCs w:val="24"/>
      <w:lang w:val="zh-CN" w:eastAsia="zh-CN"/>
    </w:rPr>
  </w:style>
  <w:style w:type="character" w:customStyle="1" w:styleId="275">
    <w:name w:val="洋2 Char"/>
    <w:link w:val="276"/>
    <w:autoRedefine/>
    <w:qFormat/>
    <w:locked/>
    <w:uiPriority w:val="99"/>
    <w:rPr>
      <w:b/>
      <w:bCs/>
      <w:kern w:val="2"/>
      <w:sz w:val="24"/>
      <w:szCs w:val="24"/>
    </w:rPr>
  </w:style>
  <w:style w:type="paragraph" w:customStyle="1" w:styleId="276">
    <w:name w:val="洋2"/>
    <w:basedOn w:val="4"/>
    <w:next w:val="1"/>
    <w:link w:val="275"/>
    <w:autoRedefine/>
    <w:qFormat/>
    <w:uiPriority w:val="99"/>
    <w:pPr>
      <w:tabs>
        <w:tab w:val="left" w:pos="576"/>
      </w:tabs>
      <w:snapToGrid w:val="0"/>
      <w:spacing w:line="360" w:lineRule="auto"/>
      <w:ind w:left="578" w:hanging="578"/>
      <w:jc w:val="left"/>
    </w:pPr>
    <w:rPr>
      <w:rFonts w:ascii="Calibri" w:hAnsi="Calibri" w:eastAsia="宋体" w:cs="Times New Roman"/>
      <w:sz w:val="24"/>
      <w:szCs w:val="24"/>
      <w:lang w:val="zh-CN" w:eastAsia="zh-CN"/>
    </w:rPr>
  </w:style>
  <w:style w:type="character" w:customStyle="1" w:styleId="277">
    <w:name w:val="bt_content"/>
    <w:autoRedefine/>
    <w:qFormat/>
    <w:uiPriority w:val="99"/>
  </w:style>
  <w:style w:type="character" w:customStyle="1" w:styleId="278">
    <w:name w:val="纯文本 Char"/>
    <w:link w:val="45"/>
    <w:autoRedefine/>
    <w:qFormat/>
    <w:locked/>
    <w:uiPriority w:val="99"/>
    <w:rPr>
      <w:rFonts w:ascii="宋体" w:hAnsi="Courier New" w:eastAsia="宋体" w:cs="宋体"/>
      <w:kern w:val="2"/>
      <w:sz w:val="21"/>
      <w:szCs w:val="21"/>
      <w:lang w:val="en-US" w:eastAsia="zh-CN"/>
    </w:rPr>
  </w:style>
  <w:style w:type="character" w:customStyle="1" w:styleId="279">
    <w:name w:val="洋表 Char1"/>
    <w:autoRedefine/>
    <w:qFormat/>
    <w:uiPriority w:val="99"/>
    <w:rPr>
      <w:rFonts w:eastAsia="宋体"/>
      <w:kern w:val="2"/>
      <w:sz w:val="21"/>
      <w:szCs w:val="21"/>
      <w:lang w:val="en-US" w:eastAsia="zh-CN"/>
    </w:rPr>
  </w:style>
  <w:style w:type="character" w:customStyle="1" w:styleId="280">
    <w:name w:val="标题 1 Char2"/>
    <w:autoRedefine/>
    <w:qFormat/>
    <w:locked/>
    <w:uiPriority w:val="99"/>
    <w:rPr>
      <w:rFonts w:ascii="Times New Roman" w:hAnsi="Times New Roman" w:eastAsia="宋体" w:cs="Times New Roman"/>
      <w:b/>
      <w:bCs/>
      <w:kern w:val="44"/>
      <w:sz w:val="44"/>
      <w:szCs w:val="44"/>
    </w:rPr>
  </w:style>
  <w:style w:type="character" w:customStyle="1" w:styleId="281">
    <w:name w:val="标题 8 Char"/>
    <w:basedOn w:val="96"/>
    <w:link w:val="10"/>
    <w:autoRedefine/>
    <w:qFormat/>
    <w:locked/>
    <w:uiPriority w:val="99"/>
    <w:rPr>
      <w:rFonts w:ascii="Arial" w:hAnsi="Arial" w:eastAsia="黑体" w:cs="Arial"/>
      <w:sz w:val="24"/>
      <w:szCs w:val="24"/>
    </w:rPr>
  </w:style>
  <w:style w:type="character" w:customStyle="1" w:styleId="282">
    <w:name w:val="Quote Char"/>
    <w:link w:val="283"/>
    <w:autoRedefine/>
    <w:qFormat/>
    <w:locked/>
    <w:uiPriority w:val="99"/>
    <w:rPr>
      <w:i/>
      <w:iCs/>
      <w:color w:val="000000"/>
    </w:rPr>
  </w:style>
  <w:style w:type="paragraph" w:customStyle="1" w:styleId="283">
    <w:name w:val="Quote1"/>
    <w:basedOn w:val="1"/>
    <w:next w:val="1"/>
    <w:link w:val="282"/>
    <w:autoRedefine/>
    <w:qFormat/>
    <w:uiPriority w:val="99"/>
    <w:pPr>
      <w:spacing w:after="200" w:line="276" w:lineRule="auto"/>
    </w:pPr>
    <w:rPr>
      <w:rFonts w:cs="Times New Roman"/>
      <w:i/>
      <w:iCs/>
      <w:color w:val="000000"/>
      <w:kern w:val="0"/>
      <w:sz w:val="20"/>
      <w:szCs w:val="20"/>
      <w:lang w:val="zh-CN" w:eastAsia="zh-CN"/>
    </w:rPr>
  </w:style>
  <w:style w:type="character" w:customStyle="1" w:styleId="284">
    <w:name w:val="正文文本 2 Char"/>
    <w:link w:val="76"/>
    <w:autoRedefine/>
    <w:qFormat/>
    <w:locked/>
    <w:uiPriority w:val="99"/>
    <w:rPr>
      <w:rFonts w:ascii="仿宋_GB2312" w:eastAsia="仿宋_GB2312" w:cs="仿宋_GB2312"/>
      <w:color w:val="000000"/>
      <w:kern w:val="2"/>
      <w:sz w:val="24"/>
      <w:szCs w:val="24"/>
    </w:rPr>
  </w:style>
  <w:style w:type="character" w:customStyle="1" w:styleId="285">
    <w:name w:val="样式 (中文) 黑体 12 磅 加粗 黑色"/>
    <w:autoRedefine/>
    <w:qFormat/>
    <w:uiPriority w:val="99"/>
    <w:rPr>
      <w:rFonts w:eastAsia="黑体"/>
      <w:color w:val="000000"/>
      <w:kern w:val="0"/>
      <w:sz w:val="28"/>
      <w:szCs w:val="28"/>
    </w:rPr>
  </w:style>
  <w:style w:type="character" w:customStyle="1" w:styleId="286">
    <w:name w:val="副标题字符1"/>
    <w:autoRedefine/>
    <w:qFormat/>
    <w:uiPriority w:val="99"/>
    <w:rPr>
      <w:rFonts w:ascii="Calibri" w:hAnsi="Calibri" w:cs="Calibri"/>
      <w:b/>
      <w:bCs/>
      <w:kern w:val="28"/>
      <w:sz w:val="32"/>
      <w:szCs w:val="32"/>
    </w:rPr>
  </w:style>
  <w:style w:type="character" w:customStyle="1" w:styleId="287">
    <w:name w:val="批注主题 Char"/>
    <w:autoRedefine/>
    <w:qFormat/>
    <w:locked/>
    <w:uiPriority w:val="99"/>
    <w:rPr>
      <w:rFonts w:eastAsia="宋体"/>
      <w:b/>
      <w:bCs/>
      <w:kern w:val="2"/>
      <w:sz w:val="24"/>
      <w:szCs w:val="24"/>
      <w:lang w:val="en-US" w:eastAsia="zh-CN"/>
    </w:rPr>
  </w:style>
  <w:style w:type="character" w:customStyle="1" w:styleId="288">
    <w:name w:val="正文文本 3 Char"/>
    <w:link w:val="31"/>
    <w:autoRedefine/>
    <w:qFormat/>
    <w:locked/>
    <w:uiPriority w:val="99"/>
    <w:rPr>
      <w:rFonts w:ascii="宋体" w:cs="宋体"/>
      <w:kern w:val="2"/>
      <w:sz w:val="24"/>
      <w:szCs w:val="24"/>
    </w:rPr>
  </w:style>
  <w:style w:type="character" w:customStyle="1" w:styleId="289">
    <w:name w:val="正文1 Char Char Char Char"/>
    <w:autoRedefine/>
    <w:qFormat/>
    <w:uiPriority w:val="99"/>
    <w:rPr>
      <w:rFonts w:eastAsia="宋体"/>
      <w:kern w:val="2"/>
      <w:sz w:val="24"/>
      <w:szCs w:val="24"/>
      <w:lang w:val="en-US" w:eastAsia="zh-CN"/>
    </w:rPr>
  </w:style>
  <w:style w:type="character" w:customStyle="1" w:styleId="290">
    <w:name w:val="Char Char11"/>
    <w:autoRedefine/>
    <w:qFormat/>
    <w:uiPriority w:val="99"/>
    <w:rPr>
      <w:rFonts w:ascii="Arial" w:hAnsi="Arial" w:eastAsia="黑体" w:cs="Arial"/>
      <w:b/>
      <w:bCs/>
      <w:kern w:val="2"/>
      <w:sz w:val="28"/>
      <w:szCs w:val="28"/>
      <w:lang w:val="en-US" w:eastAsia="zh-CN"/>
    </w:rPr>
  </w:style>
  <w:style w:type="character" w:customStyle="1" w:styleId="291">
    <w:name w:val="Char Char12"/>
    <w:autoRedefine/>
    <w:qFormat/>
    <w:uiPriority w:val="99"/>
    <w:rPr>
      <w:rFonts w:ascii="黑体" w:hAnsi="宋体" w:eastAsia="黑体" w:cs="黑体"/>
      <w:kern w:val="2"/>
      <w:sz w:val="28"/>
      <w:szCs w:val="28"/>
      <w:lang w:val="en-US" w:eastAsia="zh-CN"/>
    </w:rPr>
  </w:style>
  <w:style w:type="character" w:customStyle="1" w:styleId="292">
    <w:name w:val="s4 Char Char Char Char Char Char"/>
    <w:autoRedefine/>
    <w:qFormat/>
    <w:uiPriority w:val="99"/>
    <w:rPr>
      <w:rFonts w:eastAsia="宋体"/>
      <w:kern w:val="2"/>
      <w:sz w:val="24"/>
      <w:szCs w:val="24"/>
      <w:lang w:val="en-US" w:eastAsia="zh-CN"/>
    </w:rPr>
  </w:style>
  <w:style w:type="character" w:customStyle="1" w:styleId="293">
    <w:name w:val="No Spacing Char"/>
    <w:link w:val="294"/>
    <w:autoRedefine/>
    <w:qFormat/>
    <w:locked/>
    <w:uiPriority w:val="99"/>
    <w:rPr>
      <w:rFonts w:cs="Calibri"/>
      <w:kern w:val="2"/>
      <w:sz w:val="21"/>
      <w:szCs w:val="21"/>
      <w:lang w:val="en-US" w:eastAsia="zh-CN" w:bidi="ar-SA"/>
    </w:rPr>
  </w:style>
  <w:style w:type="paragraph" w:customStyle="1" w:styleId="294">
    <w:name w:val="No Spacing1"/>
    <w:link w:val="293"/>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295">
    <w:name w:val="正文文本 2 Char1"/>
    <w:autoRedefine/>
    <w:qFormat/>
    <w:locked/>
    <w:uiPriority w:val="99"/>
    <w:rPr>
      <w:rFonts w:ascii="Times New Roman" w:hAnsi="Times New Roman" w:eastAsia="宋体" w:cs="Times New Roman"/>
      <w:sz w:val="24"/>
      <w:szCs w:val="24"/>
    </w:rPr>
  </w:style>
  <w:style w:type="character" w:customStyle="1" w:styleId="296">
    <w:name w:val="ch中文正文 Char"/>
    <w:link w:val="297"/>
    <w:autoRedefine/>
    <w:qFormat/>
    <w:locked/>
    <w:uiPriority w:val="99"/>
    <w:rPr>
      <w:rFonts w:cs="Calibri"/>
      <w:sz w:val="24"/>
      <w:szCs w:val="24"/>
      <w:lang w:val="en-US" w:eastAsia="zh-CN" w:bidi="ar-SA"/>
    </w:rPr>
  </w:style>
  <w:style w:type="paragraph" w:customStyle="1" w:styleId="297">
    <w:name w:val="ch中文正文"/>
    <w:link w:val="296"/>
    <w:autoRedefine/>
    <w:qFormat/>
    <w:uiPriority w:val="99"/>
    <w:pPr>
      <w:spacing w:beforeLines="50" w:afterLines="50" w:line="360" w:lineRule="auto"/>
      <w:ind w:firstLine="200" w:firstLineChars="200"/>
    </w:pPr>
    <w:rPr>
      <w:rFonts w:ascii="Calibri" w:hAnsi="Calibri" w:eastAsia="宋体" w:cs="Calibri"/>
      <w:sz w:val="24"/>
      <w:szCs w:val="24"/>
      <w:lang w:val="en-US" w:eastAsia="zh-CN" w:bidi="ar-SA"/>
    </w:rPr>
  </w:style>
  <w:style w:type="character" w:customStyle="1" w:styleId="298">
    <w:name w:val="Char Char8"/>
    <w:autoRedefine/>
    <w:qFormat/>
    <w:uiPriority w:val="99"/>
    <w:rPr>
      <w:rFonts w:eastAsia="宋体"/>
      <w:b/>
      <w:bCs/>
      <w:kern w:val="44"/>
      <w:sz w:val="44"/>
      <w:szCs w:val="44"/>
      <w:lang w:val="en-US" w:eastAsia="zh-CN"/>
    </w:rPr>
  </w:style>
  <w:style w:type="character" w:customStyle="1" w:styleId="299">
    <w:name w:val="样式 四号 加粗 居中 行距: 固定值 24 磅 Char Char"/>
    <w:link w:val="300"/>
    <w:autoRedefine/>
    <w:qFormat/>
    <w:locked/>
    <w:uiPriority w:val="99"/>
    <w:rPr>
      <w:b/>
      <w:bCs/>
      <w:kern w:val="44"/>
      <w:sz w:val="36"/>
      <w:szCs w:val="36"/>
    </w:rPr>
  </w:style>
  <w:style w:type="paragraph" w:customStyle="1" w:styleId="300">
    <w:name w:val="样式 四号 加粗 居中 行距: 固定值 24 磅 Char"/>
    <w:basedOn w:val="3"/>
    <w:link w:val="299"/>
    <w:autoRedefine/>
    <w:qFormat/>
    <w:uiPriority w:val="99"/>
    <w:pPr>
      <w:spacing w:before="200" w:after="200" w:line="480" w:lineRule="exact"/>
      <w:jc w:val="center"/>
    </w:pPr>
    <w:rPr>
      <w:rFonts w:cs="Times New Roman"/>
      <w:sz w:val="36"/>
      <w:szCs w:val="36"/>
      <w:lang w:val="zh-CN" w:eastAsia="zh-CN"/>
    </w:rPr>
  </w:style>
  <w:style w:type="character" w:customStyle="1" w:styleId="301">
    <w:name w:val="样式 样式 标题 2 + 段前: 1 行 段后: 1 行 + 段前: 0.5 行 段后: 0.5 行 Char Char"/>
    <w:link w:val="302"/>
    <w:autoRedefine/>
    <w:qFormat/>
    <w:locked/>
    <w:uiPriority w:val="99"/>
    <w:rPr>
      <w:rFonts w:ascii="Arial" w:hAnsi="Arial" w:cs="Arial"/>
      <w:b/>
      <w:bCs/>
      <w:kern w:val="2"/>
      <w:sz w:val="32"/>
      <w:szCs w:val="32"/>
    </w:rPr>
  </w:style>
  <w:style w:type="paragraph" w:customStyle="1" w:styleId="302">
    <w:name w:val="样式 样式 标题 2 + 段前: 1 行 段后: 1 行 + 段前: 0.5 行 段后: 0.5 行 Char"/>
    <w:basedOn w:val="1"/>
    <w:link w:val="301"/>
    <w:autoRedefine/>
    <w:qFormat/>
    <w:uiPriority w:val="99"/>
    <w:pPr>
      <w:keepNext/>
      <w:keepLines/>
      <w:spacing w:line="480" w:lineRule="exact"/>
      <w:outlineLvl w:val="1"/>
    </w:pPr>
    <w:rPr>
      <w:rFonts w:ascii="Arial" w:hAnsi="Arial" w:cs="Times New Roman"/>
      <w:b/>
      <w:bCs/>
      <w:sz w:val="32"/>
      <w:szCs w:val="32"/>
      <w:lang w:val="zh-CN" w:eastAsia="zh-CN"/>
    </w:rPr>
  </w:style>
  <w:style w:type="character" w:customStyle="1" w:styleId="303">
    <w:name w:val="批注主题字符"/>
    <w:autoRedefine/>
    <w:qFormat/>
    <w:uiPriority w:val="99"/>
    <w:rPr>
      <w:rFonts w:eastAsia="宋体"/>
      <w:kern w:val="2"/>
      <w:sz w:val="24"/>
      <w:szCs w:val="24"/>
    </w:rPr>
  </w:style>
  <w:style w:type="character" w:customStyle="1" w:styleId="304">
    <w:name w:val="Salutation Char1"/>
    <w:basedOn w:val="96"/>
    <w:autoRedefine/>
    <w:semiHidden/>
    <w:qFormat/>
    <w:uiPriority w:val="99"/>
    <w:rPr>
      <w:rFonts w:cs="Calibri"/>
      <w:szCs w:val="21"/>
    </w:rPr>
  </w:style>
  <w:style w:type="character" w:customStyle="1" w:styleId="305">
    <w:name w:val="批注框文本 Char"/>
    <w:link w:val="53"/>
    <w:autoRedefine/>
    <w:qFormat/>
    <w:locked/>
    <w:uiPriority w:val="99"/>
    <w:rPr>
      <w:rFonts w:eastAsia="宋体"/>
      <w:kern w:val="2"/>
      <w:sz w:val="18"/>
      <w:szCs w:val="18"/>
      <w:lang w:val="en-US" w:eastAsia="zh-CN"/>
    </w:rPr>
  </w:style>
  <w:style w:type="character" w:customStyle="1" w:styleId="306">
    <w:name w:val="Char Char5"/>
    <w:autoRedefine/>
    <w:qFormat/>
    <w:uiPriority w:val="99"/>
    <w:rPr>
      <w:rFonts w:ascii="Arial" w:hAnsi="Arial" w:eastAsia="黑体" w:cs="Arial"/>
      <w:b/>
      <w:bCs/>
      <w:kern w:val="2"/>
      <w:sz w:val="28"/>
      <w:szCs w:val="28"/>
      <w:lang w:val="en-US" w:eastAsia="zh-CN"/>
    </w:rPr>
  </w:style>
  <w:style w:type="character" w:customStyle="1" w:styleId="307">
    <w:name w:val="批注主题 Char1"/>
    <w:autoRedefine/>
    <w:qFormat/>
    <w:uiPriority w:val="99"/>
    <w:rPr>
      <w:rFonts w:ascii="Times New Roman" w:hAnsi="Times New Roman" w:eastAsia="宋体" w:cs="Times New Roman"/>
      <w:b/>
      <w:bCs/>
      <w:sz w:val="24"/>
      <w:szCs w:val="24"/>
    </w:rPr>
  </w:style>
  <w:style w:type="character" w:customStyle="1" w:styleId="308">
    <w:name w:val="apple-converted-space"/>
    <w:autoRedefine/>
    <w:qFormat/>
    <w:uiPriority w:val="99"/>
  </w:style>
  <w:style w:type="character" w:customStyle="1" w:styleId="309">
    <w:name w:val="Body Text 3 Char"/>
    <w:autoRedefine/>
    <w:qFormat/>
    <w:locked/>
    <w:uiPriority w:val="99"/>
    <w:rPr>
      <w:sz w:val="16"/>
      <w:szCs w:val="16"/>
    </w:rPr>
  </w:style>
  <w:style w:type="character" w:customStyle="1" w:styleId="310">
    <w:name w:val="引用字符1"/>
    <w:autoRedefine/>
    <w:qFormat/>
    <w:uiPriority w:val="99"/>
    <w:rPr>
      <w:i/>
      <w:iCs/>
      <w:color w:val="000000"/>
      <w:kern w:val="2"/>
      <w:sz w:val="24"/>
      <w:szCs w:val="24"/>
    </w:rPr>
  </w:style>
  <w:style w:type="character" w:customStyle="1" w:styleId="311">
    <w:name w:val="文档结构图 Char"/>
    <w:link w:val="26"/>
    <w:autoRedefine/>
    <w:qFormat/>
    <w:locked/>
    <w:uiPriority w:val="99"/>
    <w:rPr>
      <w:rFonts w:eastAsia="宋体"/>
      <w:kern w:val="2"/>
      <w:sz w:val="24"/>
      <w:szCs w:val="24"/>
      <w:lang w:val="en-US" w:eastAsia="zh-CN"/>
    </w:rPr>
  </w:style>
  <w:style w:type="character" w:customStyle="1" w:styleId="312">
    <w:name w:val="电子邮件签名 Char"/>
    <w:link w:val="19"/>
    <w:autoRedefine/>
    <w:semiHidden/>
    <w:qFormat/>
    <w:locked/>
    <w:uiPriority w:val="99"/>
    <w:rPr>
      <w:kern w:val="2"/>
      <w:sz w:val="24"/>
      <w:szCs w:val="24"/>
    </w:rPr>
  </w:style>
  <w:style w:type="character" w:customStyle="1" w:styleId="313">
    <w:name w:val="HTML 预设格式 Char"/>
    <w:link w:val="80"/>
    <w:autoRedefine/>
    <w:qFormat/>
    <w:locked/>
    <w:uiPriority w:val="99"/>
    <w:rPr>
      <w:rFonts w:ascii="宋体" w:eastAsia="宋体" w:cs="宋体"/>
      <w:sz w:val="24"/>
      <w:szCs w:val="24"/>
    </w:rPr>
  </w:style>
  <w:style w:type="character" w:customStyle="1" w:styleId="314">
    <w:name w:val="Header Char1"/>
    <w:basedOn w:val="96"/>
    <w:autoRedefine/>
    <w:semiHidden/>
    <w:qFormat/>
    <w:uiPriority w:val="99"/>
    <w:rPr>
      <w:rFonts w:cs="Calibri"/>
      <w:sz w:val="18"/>
      <w:szCs w:val="18"/>
    </w:rPr>
  </w:style>
  <w:style w:type="character" w:customStyle="1" w:styleId="315">
    <w:name w:val="Body Text Indent 2 Char1"/>
    <w:basedOn w:val="96"/>
    <w:autoRedefine/>
    <w:semiHidden/>
    <w:qFormat/>
    <w:uiPriority w:val="99"/>
    <w:rPr>
      <w:rFonts w:cs="Calibri"/>
      <w:szCs w:val="21"/>
    </w:rPr>
  </w:style>
  <w:style w:type="character" w:customStyle="1" w:styleId="316">
    <w:name w:val="标题 2字符"/>
    <w:autoRedefine/>
    <w:qFormat/>
    <w:uiPriority w:val="99"/>
    <w:rPr>
      <w:rFonts w:ascii="Arial" w:hAnsi="Arial" w:eastAsia="黑体" w:cs="Arial"/>
      <w:b/>
      <w:bCs/>
      <w:kern w:val="2"/>
      <w:sz w:val="32"/>
      <w:szCs w:val="32"/>
      <w:lang w:val="en-US" w:eastAsia="zh-CN"/>
    </w:rPr>
  </w:style>
  <w:style w:type="character" w:customStyle="1" w:styleId="317">
    <w:name w:val="Char Char61"/>
    <w:autoRedefine/>
    <w:qFormat/>
    <w:uiPriority w:val="99"/>
    <w:rPr>
      <w:rFonts w:ascii="Arial" w:hAnsi="Arial" w:eastAsia="黑体" w:cs="Arial"/>
      <w:b/>
      <w:bCs/>
      <w:sz w:val="32"/>
      <w:szCs w:val="32"/>
      <w:lang w:val="en-US" w:eastAsia="zh-CN"/>
    </w:rPr>
  </w:style>
  <w:style w:type="character" w:customStyle="1" w:styleId="318">
    <w:name w:val="样式 样式 四号 加粗 居中 行距: 固定值 24 磅 + 非加粗 Char Char"/>
    <w:link w:val="319"/>
    <w:autoRedefine/>
    <w:qFormat/>
    <w:locked/>
    <w:uiPriority w:val="99"/>
    <w:rPr>
      <w:b/>
      <w:bCs/>
      <w:kern w:val="44"/>
      <w:sz w:val="28"/>
      <w:szCs w:val="28"/>
    </w:rPr>
  </w:style>
  <w:style w:type="paragraph" w:customStyle="1" w:styleId="319">
    <w:name w:val="样式 样式 四号 加粗 居中 行距: 固定值 24 磅 + 非加粗 Char"/>
    <w:basedOn w:val="300"/>
    <w:link w:val="318"/>
    <w:autoRedefine/>
    <w:qFormat/>
    <w:uiPriority w:val="99"/>
    <w:rPr>
      <w:sz w:val="28"/>
      <w:szCs w:val="28"/>
    </w:rPr>
  </w:style>
  <w:style w:type="character" w:customStyle="1" w:styleId="320">
    <w:name w:val="Body Text Char"/>
    <w:autoRedefine/>
    <w:qFormat/>
    <w:locked/>
    <w:uiPriority w:val="99"/>
    <w:rPr>
      <w:rFonts w:eastAsia="宋体"/>
      <w:lang w:val="en-US" w:eastAsia="zh-CN"/>
    </w:rPr>
  </w:style>
  <w:style w:type="character" w:customStyle="1" w:styleId="321">
    <w:name w:val="洋3 Char"/>
    <w:link w:val="322"/>
    <w:autoRedefine/>
    <w:qFormat/>
    <w:locked/>
    <w:uiPriority w:val="99"/>
    <w:rPr>
      <w:b/>
      <w:bCs/>
      <w:kern w:val="2"/>
      <w:sz w:val="32"/>
      <w:szCs w:val="32"/>
    </w:rPr>
  </w:style>
  <w:style w:type="paragraph" w:customStyle="1" w:styleId="322">
    <w:name w:val="洋3"/>
    <w:basedOn w:val="5"/>
    <w:next w:val="1"/>
    <w:link w:val="321"/>
    <w:autoRedefine/>
    <w:qFormat/>
    <w:uiPriority w:val="99"/>
    <w:pPr>
      <w:spacing w:before="100" w:beforeAutospacing="1" w:after="100" w:afterAutospacing="1" w:line="360" w:lineRule="auto"/>
      <w:ind w:firstLine="0" w:firstLineChars="0"/>
    </w:pPr>
    <w:rPr>
      <w:rFonts w:ascii="Calibri" w:hAnsi="Calibri" w:eastAsia="宋体" w:cs="Times New Roman"/>
      <w:b/>
      <w:bCs/>
      <w:sz w:val="32"/>
      <w:szCs w:val="32"/>
      <w:lang w:val="zh-CN" w:eastAsia="zh-CN"/>
    </w:rPr>
  </w:style>
  <w:style w:type="character" w:customStyle="1" w:styleId="323">
    <w:name w:val="宏文本 Char"/>
    <w:link w:val="2"/>
    <w:autoRedefine/>
    <w:semiHidden/>
    <w:qFormat/>
    <w:locked/>
    <w:uiPriority w:val="99"/>
    <w:rPr>
      <w:rFonts w:ascii="Courier New" w:hAnsi="Courier New" w:cs="Courier New"/>
      <w:kern w:val="2"/>
      <w:sz w:val="24"/>
      <w:szCs w:val="24"/>
      <w:lang w:val="en-US" w:eastAsia="zh-CN" w:bidi="ar-SA"/>
    </w:rPr>
  </w:style>
  <w:style w:type="character" w:customStyle="1" w:styleId="324">
    <w:name w:val="Char Char17"/>
    <w:autoRedefine/>
    <w:qFormat/>
    <w:locked/>
    <w:uiPriority w:val="99"/>
    <w:rPr>
      <w:rFonts w:ascii="Cambria" w:hAnsi="Cambria" w:eastAsia="宋体" w:cs="Cambria"/>
      <w:b/>
      <w:bCs/>
      <w:kern w:val="2"/>
      <w:sz w:val="32"/>
      <w:szCs w:val="32"/>
    </w:rPr>
  </w:style>
  <w:style w:type="character" w:customStyle="1" w:styleId="325">
    <w:name w:val="正文文字缩进 Char Char"/>
    <w:autoRedefine/>
    <w:qFormat/>
    <w:uiPriority w:val="99"/>
    <w:rPr>
      <w:kern w:val="2"/>
      <w:sz w:val="24"/>
      <w:szCs w:val="24"/>
    </w:rPr>
  </w:style>
  <w:style w:type="character" w:customStyle="1" w:styleId="326">
    <w:name w:val="Note Heading Char1"/>
    <w:basedOn w:val="96"/>
    <w:autoRedefine/>
    <w:semiHidden/>
    <w:qFormat/>
    <w:uiPriority w:val="99"/>
    <w:rPr>
      <w:rFonts w:cs="Calibri"/>
      <w:szCs w:val="21"/>
    </w:rPr>
  </w:style>
  <w:style w:type="character" w:customStyle="1" w:styleId="327">
    <w:name w:val="Char1 Char Char"/>
    <w:autoRedefine/>
    <w:qFormat/>
    <w:uiPriority w:val="99"/>
    <w:rPr>
      <w:rFonts w:eastAsia="宋体"/>
      <w:b/>
      <w:bCs/>
      <w:kern w:val="2"/>
      <w:sz w:val="24"/>
      <w:szCs w:val="24"/>
      <w:lang w:val="en-US" w:eastAsia="zh-CN"/>
    </w:rPr>
  </w:style>
  <w:style w:type="character" w:customStyle="1" w:styleId="328">
    <w:name w:val="ｗｏｒｄ正文 Char"/>
    <w:link w:val="329"/>
    <w:autoRedefine/>
    <w:qFormat/>
    <w:locked/>
    <w:uiPriority w:val="99"/>
    <w:rPr>
      <w:kern w:val="24"/>
      <w:sz w:val="28"/>
      <w:szCs w:val="28"/>
    </w:rPr>
  </w:style>
  <w:style w:type="paragraph" w:customStyle="1" w:styleId="329">
    <w:name w:val="ｗｏｒｄ正文"/>
    <w:basedOn w:val="86"/>
    <w:link w:val="328"/>
    <w:autoRedefine/>
    <w:qFormat/>
    <w:uiPriority w:val="99"/>
    <w:pPr>
      <w:spacing w:line="400" w:lineRule="exact"/>
      <w:ind w:firstLine="200" w:firstLineChars="200"/>
    </w:pPr>
    <w:rPr>
      <w:rFonts w:cs="Times New Roman"/>
      <w:kern w:val="24"/>
      <w:sz w:val="28"/>
      <w:szCs w:val="28"/>
      <w:lang w:val="zh-CN" w:eastAsia="zh-CN"/>
    </w:rPr>
  </w:style>
  <w:style w:type="character" w:customStyle="1" w:styleId="330">
    <w:name w:val="Plain Text Char"/>
    <w:autoRedefine/>
    <w:qFormat/>
    <w:locked/>
    <w:uiPriority w:val="99"/>
    <w:rPr>
      <w:rFonts w:ascii="宋体" w:eastAsia="宋体" w:cs="宋体"/>
      <w:kern w:val="2"/>
      <w:sz w:val="28"/>
      <w:szCs w:val="28"/>
      <w:lang w:val="en-US" w:eastAsia="zh-CN"/>
    </w:rPr>
  </w:style>
  <w:style w:type="character" w:customStyle="1" w:styleId="331">
    <w:name w:val="Footer Char"/>
    <w:autoRedefine/>
    <w:qFormat/>
    <w:locked/>
    <w:uiPriority w:val="99"/>
    <w:rPr>
      <w:rFonts w:eastAsia="宋体"/>
      <w:sz w:val="18"/>
      <w:szCs w:val="18"/>
      <w:lang w:val="en-US" w:eastAsia="zh-CN"/>
    </w:rPr>
  </w:style>
  <w:style w:type="character" w:customStyle="1" w:styleId="332">
    <w:name w:val="Subtitle Char2"/>
    <w:basedOn w:val="96"/>
    <w:autoRedefine/>
    <w:qFormat/>
    <w:uiPriority w:val="11"/>
    <w:rPr>
      <w:rFonts w:ascii="Cambria" w:hAnsi="Cambria" w:cs="Times New Roman"/>
      <w:b/>
      <w:bCs/>
      <w:kern w:val="28"/>
      <w:sz w:val="32"/>
      <w:szCs w:val="32"/>
    </w:rPr>
  </w:style>
  <w:style w:type="character" w:customStyle="1" w:styleId="333">
    <w:name w:val="样式 标题 2节1.1 标题 2 + 黑体 四号 两端对齐 行距: 固定值 25 磅 Char"/>
    <w:link w:val="334"/>
    <w:autoRedefine/>
    <w:qFormat/>
    <w:locked/>
    <w:uiPriority w:val="99"/>
    <w:rPr>
      <w:rFonts w:ascii="宋体" w:hAnsi="宋体" w:eastAsia="宋体" w:cs="宋体"/>
      <w:kern w:val="2"/>
      <w:sz w:val="24"/>
      <w:szCs w:val="24"/>
      <w:lang w:val="en-US" w:eastAsia="zh-CN"/>
    </w:rPr>
  </w:style>
  <w:style w:type="paragraph" w:customStyle="1" w:styleId="334">
    <w:name w:val="样式 标题 2节1.1 标题 2 + 黑体 四号 两端对齐 行距: 固定值 25 磅"/>
    <w:basedOn w:val="4"/>
    <w:link w:val="333"/>
    <w:autoRedefine/>
    <w:qFormat/>
    <w:uiPriority w:val="99"/>
    <w:pPr>
      <w:keepNext w:val="0"/>
      <w:keepLines w:val="0"/>
      <w:snapToGrid w:val="0"/>
      <w:spacing w:before="0" w:after="0" w:line="360" w:lineRule="auto"/>
      <w:textAlignment w:val="baseline"/>
    </w:pPr>
    <w:rPr>
      <w:rFonts w:ascii="宋体" w:hAnsi="宋体" w:eastAsia="宋体" w:cs="Times New Roman"/>
      <w:b w:val="0"/>
      <w:bCs w:val="0"/>
      <w:sz w:val="24"/>
      <w:szCs w:val="24"/>
    </w:rPr>
  </w:style>
  <w:style w:type="character" w:customStyle="1" w:styleId="335">
    <w:name w:val="样式 @ Char"/>
    <w:link w:val="336"/>
    <w:autoRedefine/>
    <w:qFormat/>
    <w:locked/>
    <w:uiPriority w:val="99"/>
    <w:rPr>
      <w:sz w:val="24"/>
      <w:szCs w:val="24"/>
    </w:rPr>
  </w:style>
  <w:style w:type="paragraph" w:customStyle="1" w:styleId="336">
    <w:name w:val="样式 @"/>
    <w:basedOn w:val="1"/>
    <w:next w:val="1"/>
    <w:link w:val="335"/>
    <w:autoRedefine/>
    <w:qFormat/>
    <w:uiPriority w:val="99"/>
    <w:pPr>
      <w:spacing w:line="360" w:lineRule="auto"/>
      <w:ind w:firstLine="480" w:firstLineChars="200"/>
    </w:pPr>
    <w:rPr>
      <w:rFonts w:cs="Times New Roman"/>
      <w:kern w:val="0"/>
      <w:sz w:val="24"/>
      <w:szCs w:val="24"/>
      <w:lang w:val="zh-CN" w:eastAsia="zh-CN"/>
    </w:rPr>
  </w:style>
  <w:style w:type="character" w:customStyle="1" w:styleId="337">
    <w:name w:val="正文文本 Char1"/>
    <w:autoRedefine/>
    <w:qFormat/>
    <w:locked/>
    <w:uiPriority w:val="99"/>
    <w:rPr>
      <w:rFonts w:eastAsia="宋体"/>
      <w:sz w:val="24"/>
      <w:szCs w:val="24"/>
    </w:rPr>
  </w:style>
  <w:style w:type="character" w:customStyle="1" w:styleId="338">
    <w:name w:val="二号 Char"/>
    <w:link w:val="339"/>
    <w:autoRedefine/>
    <w:semiHidden/>
    <w:qFormat/>
    <w:locked/>
    <w:uiPriority w:val="99"/>
    <w:rPr>
      <w:sz w:val="44"/>
      <w:szCs w:val="44"/>
    </w:rPr>
  </w:style>
  <w:style w:type="paragraph" w:customStyle="1" w:styleId="339">
    <w:name w:val="二号"/>
    <w:basedOn w:val="1"/>
    <w:link w:val="338"/>
    <w:autoRedefine/>
    <w:semiHidden/>
    <w:qFormat/>
    <w:uiPriority w:val="99"/>
    <w:pPr>
      <w:spacing w:line="480" w:lineRule="auto"/>
      <w:jc w:val="center"/>
    </w:pPr>
    <w:rPr>
      <w:rFonts w:cs="Times New Roman"/>
      <w:kern w:val="0"/>
      <w:sz w:val="44"/>
      <w:szCs w:val="44"/>
      <w:lang w:val="zh-CN" w:eastAsia="zh-CN"/>
    </w:rPr>
  </w:style>
  <w:style w:type="character" w:customStyle="1" w:styleId="340">
    <w:name w:val="Plain Text Char2"/>
    <w:basedOn w:val="96"/>
    <w:autoRedefine/>
    <w:semiHidden/>
    <w:qFormat/>
    <w:uiPriority w:val="99"/>
    <w:rPr>
      <w:rFonts w:ascii="宋体" w:hAnsi="Courier New" w:cs="Courier New"/>
      <w:szCs w:val="21"/>
    </w:rPr>
  </w:style>
  <w:style w:type="character" w:customStyle="1" w:styleId="341">
    <w:name w:val="Body Text Indent Char1"/>
    <w:basedOn w:val="96"/>
    <w:autoRedefine/>
    <w:semiHidden/>
    <w:qFormat/>
    <w:uiPriority w:val="99"/>
    <w:rPr>
      <w:rFonts w:cs="Calibri"/>
      <w:szCs w:val="21"/>
    </w:rPr>
  </w:style>
  <w:style w:type="character" w:customStyle="1" w:styleId="342">
    <w:name w:val="标题 Char1"/>
    <w:autoRedefine/>
    <w:qFormat/>
    <w:uiPriority w:val="99"/>
    <w:rPr>
      <w:rFonts w:ascii="Arial" w:hAnsi="Arial" w:eastAsia="宋体" w:cs="Arial"/>
      <w:b/>
      <w:bCs/>
      <w:kern w:val="2"/>
      <w:sz w:val="32"/>
      <w:szCs w:val="32"/>
      <w:lang w:val="en-US" w:eastAsia="zh-CN"/>
    </w:rPr>
  </w:style>
  <w:style w:type="character" w:customStyle="1" w:styleId="343">
    <w:name w:val="普通文字 Char Char1"/>
    <w:autoRedefine/>
    <w:qFormat/>
    <w:uiPriority w:val="99"/>
    <w:rPr>
      <w:rFonts w:ascii="宋体" w:hAnsi="宋体" w:eastAsia="宋体" w:cs="宋体"/>
      <w:color w:val="000000"/>
      <w:kern w:val="2"/>
      <w:sz w:val="21"/>
      <w:szCs w:val="21"/>
    </w:rPr>
  </w:style>
  <w:style w:type="character" w:customStyle="1" w:styleId="344">
    <w:name w:val="引用 Char1"/>
    <w:autoRedefine/>
    <w:qFormat/>
    <w:uiPriority w:val="99"/>
    <w:rPr>
      <w:rFonts w:ascii="Times New Roman" w:hAnsi="Times New Roman" w:eastAsia="宋体" w:cs="Times New Roman"/>
      <w:i/>
      <w:iCs/>
      <w:color w:val="000000"/>
      <w:sz w:val="24"/>
      <w:szCs w:val="24"/>
    </w:rPr>
  </w:style>
  <w:style w:type="character" w:customStyle="1" w:styleId="345">
    <w:name w:val="明显引用 Char1"/>
    <w:autoRedefine/>
    <w:qFormat/>
    <w:uiPriority w:val="99"/>
    <w:rPr>
      <w:rFonts w:ascii="Times New Roman" w:hAnsi="Times New Roman" w:eastAsia="宋体" w:cs="Times New Roman"/>
      <w:b/>
      <w:bCs/>
      <w:i/>
      <w:iCs/>
      <w:color w:val="4F81BD"/>
      <w:sz w:val="24"/>
      <w:szCs w:val="24"/>
    </w:rPr>
  </w:style>
  <w:style w:type="character" w:customStyle="1" w:styleId="346">
    <w:name w:val="正文缩进 Char"/>
    <w:link w:val="21"/>
    <w:autoRedefine/>
    <w:qFormat/>
    <w:locked/>
    <w:uiPriority w:val="99"/>
    <w:rPr>
      <w:kern w:val="2"/>
      <w:sz w:val="24"/>
      <w:szCs w:val="24"/>
    </w:rPr>
  </w:style>
  <w:style w:type="character" w:customStyle="1" w:styleId="347">
    <w:name w:val="apple-style-span"/>
    <w:autoRedefine/>
    <w:qFormat/>
    <w:uiPriority w:val="99"/>
  </w:style>
  <w:style w:type="character" w:customStyle="1" w:styleId="348">
    <w:name w:val="表格内容jophy Char Char"/>
    <w:link w:val="349"/>
    <w:autoRedefine/>
    <w:qFormat/>
    <w:locked/>
    <w:uiPriority w:val="99"/>
    <w:rPr>
      <w:sz w:val="18"/>
      <w:szCs w:val="18"/>
    </w:rPr>
  </w:style>
  <w:style w:type="paragraph" w:customStyle="1" w:styleId="349">
    <w:name w:val="表格内容jophy"/>
    <w:basedOn w:val="1"/>
    <w:link w:val="348"/>
    <w:autoRedefine/>
    <w:qFormat/>
    <w:uiPriority w:val="99"/>
    <w:pPr>
      <w:adjustRightInd w:val="0"/>
      <w:snapToGrid w:val="0"/>
      <w:jc w:val="center"/>
    </w:pPr>
    <w:rPr>
      <w:rFonts w:cs="Times New Roman"/>
      <w:kern w:val="0"/>
      <w:sz w:val="18"/>
      <w:szCs w:val="18"/>
      <w:lang w:val="zh-CN" w:eastAsia="zh-CN"/>
    </w:rPr>
  </w:style>
  <w:style w:type="character" w:customStyle="1" w:styleId="350">
    <w:name w:val="标题 9 Char"/>
    <w:basedOn w:val="96"/>
    <w:link w:val="11"/>
    <w:autoRedefine/>
    <w:qFormat/>
    <w:locked/>
    <w:uiPriority w:val="99"/>
    <w:rPr>
      <w:rFonts w:ascii="Arial" w:hAnsi="Arial" w:eastAsia="黑体" w:cs="Arial"/>
      <w:sz w:val="21"/>
      <w:szCs w:val="21"/>
    </w:rPr>
  </w:style>
  <w:style w:type="character" w:customStyle="1" w:styleId="351">
    <w:name w:val="Footer-Even Char"/>
    <w:autoRedefine/>
    <w:qFormat/>
    <w:uiPriority w:val="99"/>
    <w:rPr>
      <w:rFonts w:eastAsia="宋体"/>
      <w:kern w:val="2"/>
      <w:sz w:val="18"/>
      <w:szCs w:val="18"/>
      <w:lang w:val="en-US" w:eastAsia="zh-CN"/>
    </w:rPr>
  </w:style>
  <w:style w:type="character" w:customStyle="1" w:styleId="352">
    <w:name w:val="s4 Char Char Char Char Char Char Char Char Char C"/>
    <w:autoRedefine/>
    <w:qFormat/>
    <w:uiPriority w:val="99"/>
    <w:rPr>
      <w:rFonts w:ascii="宋体" w:eastAsia="宋体" w:cs="宋体"/>
      <w:color w:val="000000"/>
      <w:sz w:val="28"/>
      <w:szCs w:val="28"/>
      <w:lang w:val="en-US" w:eastAsia="zh-CN"/>
    </w:rPr>
  </w:style>
  <w:style w:type="character" w:customStyle="1" w:styleId="353">
    <w:name w:val="结束语 Char"/>
    <w:link w:val="32"/>
    <w:autoRedefine/>
    <w:qFormat/>
    <w:locked/>
    <w:uiPriority w:val="99"/>
    <w:rPr>
      <w:kern w:val="2"/>
      <w:sz w:val="24"/>
      <w:szCs w:val="24"/>
    </w:rPr>
  </w:style>
  <w:style w:type="character" w:customStyle="1" w:styleId="354">
    <w:name w:val="图下文字 Char"/>
    <w:link w:val="355"/>
    <w:autoRedefine/>
    <w:qFormat/>
    <w:locked/>
    <w:uiPriority w:val="99"/>
    <w:rPr>
      <w:rFonts w:cs="Calibri"/>
      <w:color w:val="FF0000"/>
      <w:kern w:val="2"/>
      <w:sz w:val="24"/>
      <w:szCs w:val="24"/>
      <w:lang w:val="en-US" w:eastAsia="zh-CN" w:bidi="ar-SA"/>
    </w:rPr>
  </w:style>
  <w:style w:type="paragraph" w:customStyle="1" w:styleId="355">
    <w:name w:val="图下文字"/>
    <w:link w:val="354"/>
    <w:autoRedefine/>
    <w:qFormat/>
    <w:uiPriority w:val="99"/>
    <w:pPr>
      <w:adjustRightInd w:val="0"/>
      <w:snapToGrid w:val="0"/>
      <w:spacing w:line="360" w:lineRule="auto"/>
      <w:jc w:val="center"/>
    </w:pPr>
    <w:rPr>
      <w:rFonts w:ascii="Calibri" w:hAnsi="Calibri" w:eastAsia="宋体" w:cs="Calibri"/>
      <w:color w:val="FF0000"/>
      <w:kern w:val="2"/>
      <w:sz w:val="24"/>
      <w:szCs w:val="24"/>
      <w:lang w:val="en-US" w:eastAsia="zh-CN" w:bidi="ar-SA"/>
    </w:rPr>
  </w:style>
  <w:style w:type="character" w:customStyle="1" w:styleId="356">
    <w:name w:val="Char Char15"/>
    <w:autoRedefine/>
    <w:qFormat/>
    <w:uiPriority w:val="99"/>
    <w:rPr>
      <w:rFonts w:eastAsia="仿宋_GB2312"/>
      <w:sz w:val="24"/>
      <w:szCs w:val="24"/>
      <w:lang w:val="en-US" w:eastAsia="zh-CN"/>
    </w:rPr>
  </w:style>
  <w:style w:type="character" w:customStyle="1" w:styleId="357">
    <w:name w:val="条标题1.1.1 Char2"/>
    <w:autoRedefine/>
    <w:qFormat/>
    <w:uiPriority w:val="99"/>
    <w:rPr>
      <w:rFonts w:ascii="黑体" w:hAnsi="宋体" w:eastAsia="黑体" w:cs="黑体"/>
      <w:kern w:val="2"/>
      <w:sz w:val="28"/>
      <w:szCs w:val="28"/>
      <w:lang w:val="en-US" w:eastAsia="zh-CN"/>
    </w:rPr>
  </w:style>
  <w:style w:type="character" w:customStyle="1" w:styleId="358">
    <w:name w:val="正文首行缩进 Char"/>
    <w:basedOn w:val="130"/>
    <w:link w:val="86"/>
    <w:autoRedefine/>
    <w:qFormat/>
    <w:locked/>
    <w:uiPriority w:val="99"/>
  </w:style>
  <w:style w:type="character" w:customStyle="1" w:styleId="359">
    <w:name w:val="t_tag"/>
    <w:autoRedefine/>
    <w:qFormat/>
    <w:uiPriority w:val="99"/>
  </w:style>
  <w:style w:type="character" w:customStyle="1" w:styleId="360">
    <w:name w:val="Intense Quote Char3"/>
    <w:autoRedefine/>
    <w:qFormat/>
    <w:locked/>
    <w:uiPriority w:val="99"/>
    <w:rPr>
      <w:b/>
      <w:bCs/>
      <w:i/>
      <w:iCs/>
      <w:color w:val="4F81BD"/>
    </w:rPr>
  </w:style>
  <w:style w:type="character" w:customStyle="1" w:styleId="361">
    <w:name w:val="2.2 设计范围 字元"/>
    <w:link w:val="362"/>
    <w:autoRedefine/>
    <w:qFormat/>
    <w:locked/>
    <w:uiPriority w:val="99"/>
    <w:rPr>
      <w:rFonts w:ascii="宋体" w:eastAsia="宋体" w:cs="宋体"/>
      <w:b/>
      <w:bCs/>
      <w:kern w:val="44"/>
      <w:sz w:val="28"/>
      <w:szCs w:val="28"/>
    </w:rPr>
  </w:style>
  <w:style w:type="paragraph" w:customStyle="1" w:styleId="362">
    <w:name w:val="2.2 设计范围"/>
    <w:basedOn w:val="248"/>
    <w:link w:val="361"/>
    <w:autoRedefine/>
    <w:qFormat/>
    <w:uiPriority w:val="99"/>
    <w:rPr>
      <w:rFonts w:ascii="宋体"/>
      <w:b/>
      <w:bCs/>
    </w:rPr>
  </w:style>
  <w:style w:type="character" w:customStyle="1" w:styleId="363">
    <w:name w:val="脚注文本 Char"/>
    <w:link w:val="66"/>
    <w:autoRedefine/>
    <w:qFormat/>
    <w:locked/>
    <w:uiPriority w:val="99"/>
    <w:rPr>
      <w:kern w:val="2"/>
      <w:sz w:val="18"/>
      <w:szCs w:val="18"/>
    </w:rPr>
  </w:style>
  <w:style w:type="character" w:customStyle="1" w:styleId="364">
    <w:name w:val="明显强调1"/>
    <w:autoRedefine/>
    <w:qFormat/>
    <w:uiPriority w:val="99"/>
    <w:rPr>
      <w:b/>
      <w:bCs/>
      <w:i/>
      <w:iCs/>
      <w:color w:val="4F81BD"/>
    </w:rPr>
  </w:style>
  <w:style w:type="character" w:customStyle="1" w:styleId="365">
    <w:name w:val="正文文本缩进 3 Char"/>
    <w:link w:val="70"/>
    <w:autoRedefine/>
    <w:qFormat/>
    <w:locked/>
    <w:uiPriority w:val="99"/>
    <w:rPr>
      <w:kern w:val="2"/>
      <w:sz w:val="16"/>
      <w:szCs w:val="16"/>
    </w:rPr>
  </w:style>
  <w:style w:type="character" w:customStyle="1" w:styleId="366">
    <w:name w:val="font_subject1"/>
    <w:autoRedefine/>
    <w:qFormat/>
    <w:uiPriority w:val="99"/>
    <w:rPr>
      <w:rFonts w:ascii="宋体" w:hAnsi="宋体" w:eastAsia="宋体" w:cs="宋体"/>
      <w:color w:val="FF0000"/>
    </w:rPr>
  </w:style>
  <w:style w:type="character" w:customStyle="1" w:styleId="367">
    <w:name w:val="Char Char151"/>
    <w:autoRedefine/>
    <w:qFormat/>
    <w:locked/>
    <w:uiPriority w:val="99"/>
    <w:rPr>
      <w:rFonts w:ascii="Cambria" w:hAnsi="Cambria" w:eastAsia="宋体" w:cs="Cambria"/>
      <w:b/>
      <w:bCs/>
      <w:kern w:val="2"/>
      <w:sz w:val="28"/>
      <w:szCs w:val="28"/>
    </w:rPr>
  </w:style>
  <w:style w:type="character" w:customStyle="1" w:styleId="368">
    <w:name w:val="普通文字 Char1"/>
    <w:autoRedefine/>
    <w:qFormat/>
    <w:uiPriority w:val="99"/>
    <w:rPr>
      <w:rFonts w:ascii="宋体" w:hAnsi="Courier New" w:eastAsia="宋体" w:cs="宋体"/>
      <w:kern w:val="24"/>
      <w:sz w:val="24"/>
      <w:szCs w:val="24"/>
      <w:lang w:val="en-US" w:eastAsia="zh-CN"/>
    </w:rPr>
  </w:style>
  <w:style w:type="character" w:customStyle="1" w:styleId="369">
    <w:name w:val="Comment Text Char2"/>
    <w:basedOn w:val="96"/>
    <w:autoRedefine/>
    <w:semiHidden/>
    <w:qFormat/>
    <w:uiPriority w:val="99"/>
    <w:rPr>
      <w:rFonts w:cs="Calibri"/>
      <w:szCs w:val="21"/>
    </w:rPr>
  </w:style>
  <w:style w:type="character" w:customStyle="1" w:styleId="370">
    <w:name w:val="HTML Address Char1"/>
    <w:basedOn w:val="96"/>
    <w:autoRedefine/>
    <w:semiHidden/>
    <w:qFormat/>
    <w:uiPriority w:val="99"/>
    <w:rPr>
      <w:rFonts w:cs="Calibri"/>
      <w:i/>
      <w:iCs/>
      <w:szCs w:val="21"/>
    </w:rPr>
  </w:style>
  <w:style w:type="character" w:customStyle="1" w:styleId="371">
    <w:name w:val="明显引用字符1"/>
    <w:autoRedefine/>
    <w:qFormat/>
    <w:uiPriority w:val="99"/>
    <w:rPr>
      <w:b/>
      <w:bCs/>
      <w:i/>
      <w:iCs/>
      <w:color w:val="4F81BD"/>
      <w:kern w:val="2"/>
      <w:sz w:val="24"/>
      <w:szCs w:val="24"/>
    </w:rPr>
  </w:style>
  <w:style w:type="character" w:customStyle="1" w:styleId="372">
    <w:name w:val="Footnote Text Char1"/>
    <w:basedOn w:val="96"/>
    <w:autoRedefine/>
    <w:semiHidden/>
    <w:qFormat/>
    <w:uiPriority w:val="99"/>
    <w:rPr>
      <w:rFonts w:cs="Calibri"/>
      <w:sz w:val="18"/>
      <w:szCs w:val="18"/>
    </w:rPr>
  </w:style>
  <w:style w:type="character" w:customStyle="1" w:styleId="373">
    <w:name w:val="正文文本字符"/>
    <w:autoRedefine/>
    <w:qFormat/>
    <w:uiPriority w:val="99"/>
    <w:rPr>
      <w:rFonts w:eastAsia="宋体"/>
      <w:kern w:val="2"/>
      <w:sz w:val="24"/>
      <w:szCs w:val="24"/>
      <w:lang w:val="en-US" w:eastAsia="zh-CN"/>
    </w:rPr>
  </w:style>
  <w:style w:type="character" w:customStyle="1" w:styleId="374">
    <w:name w:val="文章正文 Char"/>
    <w:link w:val="375"/>
    <w:autoRedefine/>
    <w:qFormat/>
    <w:locked/>
    <w:uiPriority w:val="99"/>
    <w:rPr>
      <w:kern w:val="2"/>
      <w:sz w:val="24"/>
      <w:szCs w:val="24"/>
    </w:rPr>
  </w:style>
  <w:style w:type="paragraph" w:customStyle="1" w:styleId="375">
    <w:name w:val="文章正文"/>
    <w:basedOn w:val="1"/>
    <w:link w:val="374"/>
    <w:autoRedefine/>
    <w:qFormat/>
    <w:uiPriority w:val="99"/>
    <w:pPr>
      <w:snapToGrid w:val="0"/>
      <w:spacing w:line="360" w:lineRule="auto"/>
      <w:ind w:firstLine="200" w:firstLineChars="200"/>
      <w:jc w:val="left"/>
    </w:pPr>
    <w:rPr>
      <w:rFonts w:cs="Times New Roman"/>
      <w:sz w:val="24"/>
      <w:szCs w:val="24"/>
      <w:lang w:val="zh-CN" w:eastAsia="zh-CN"/>
    </w:rPr>
  </w:style>
  <w:style w:type="character" w:customStyle="1" w:styleId="376">
    <w:name w:val="正文缩进字符"/>
    <w:autoRedefine/>
    <w:qFormat/>
    <w:uiPriority w:val="99"/>
    <w:rPr>
      <w:rFonts w:eastAsia="宋体"/>
      <w:kern w:val="2"/>
      <w:sz w:val="24"/>
      <w:szCs w:val="24"/>
      <w:lang w:val="en-US" w:eastAsia="zh-CN"/>
    </w:rPr>
  </w:style>
  <w:style w:type="character" w:customStyle="1" w:styleId="377">
    <w:name w:val="正正正文 Char1"/>
    <w:link w:val="378"/>
    <w:autoRedefine/>
    <w:qFormat/>
    <w:locked/>
    <w:uiPriority w:val="99"/>
    <w:rPr>
      <w:color w:val="000000"/>
      <w:sz w:val="21"/>
      <w:szCs w:val="21"/>
    </w:rPr>
  </w:style>
  <w:style w:type="paragraph" w:customStyle="1" w:styleId="378">
    <w:name w:val="正正正文"/>
    <w:basedOn w:val="1"/>
    <w:link w:val="377"/>
    <w:autoRedefine/>
    <w:qFormat/>
    <w:uiPriority w:val="99"/>
    <w:pPr>
      <w:snapToGrid w:val="0"/>
      <w:spacing w:after="200" w:line="460" w:lineRule="exact"/>
      <w:ind w:firstLine="200" w:firstLineChars="200"/>
    </w:pPr>
    <w:rPr>
      <w:rFonts w:cs="Times New Roman"/>
      <w:color w:val="000000"/>
      <w:kern w:val="0"/>
      <w:lang w:val="zh-CN" w:eastAsia="zh-CN"/>
    </w:rPr>
  </w:style>
  <w:style w:type="character" w:customStyle="1" w:styleId="379">
    <w:name w:val="Char Char7"/>
    <w:autoRedefine/>
    <w:qFormat/>
    <w:uiPriority w:val="99"/>
    <w:rPr>
      <w:rFonts w:ascii="Arial" w:hAnsi="Arial" w:eastAsia="黑体" w:cs="Arial"/>
      <w:b/>
      <w:bCs/>
      <w:kern w:val="2"/>
      <w:sz w:val="32"/>
      <w:szCs w:val="32"/>
      <w:lang w:val="en-US" w:eastAsia="zh-CN"/>
    </w:rPr>
  </w:style>
  <w:style w:type="character" w:customStyle="1" w:styleId="380">
    <w:name w:val="textcontents"/>
    <w:autoRedefine/>
    <w:qFormat/>
    <w:uiPriority w:val="99"/>
  </w:style>
  <w:style w:type="character" w:customStyle="1" w:styleId="381">
    <w:name w:val="Char Char171"/>
    <w:autoRedefine/>
    <w:qFormat/>
    <w:locked/>
    <w:uiPriority w:val="99"/>
    <w:rPr>
      <w:rFonts w:ascii="Cambria" w:hAnsi="Cambria" w:eastAsia="宋体" w:cs="Cambria"/>
      <w:b/>
      <w:bCs/>
      <w:kern w:val="2"/>
      <w:sz w:val="32"/>
      <w:szCs w:val="32"/>
    </w:rPr>
  </w:style>
  <w:style w:type="character" w:customStyle="1" w:styleId="382">
    <w:name w:val="称呼 Char"/>
    <w:link w:val="30"/>
    <w:autoRedefine/>
    <w:qFormat/>
    <w:locked/>
    <w:uiPriority w:val="99"/>
    <w:rPr>
      <w:kern w:val="2"/>
      <w:sz w:val="24"/>
      <w:szCs w:val="24"/>
    </w:rPr>
  </w:style>
  <w:style w:type="character" w:customStyle="1" w:styleId="383">
    <w:name w:val="cont21"/>
    <w:autoRedefine/>
    <w:qFormat/>
    <w:uiPriority w:val="99"/>
    <w:rPr>
      <w:spacing w:val="300"/>
      <w:sz w:val="21"/>
      <w:szCs w:val="21"/>
    </w:rPr>
  </w:style>
  <w:style w:type="character" w:customStyle="1" w:styleId="384">
    <w:name w:val="s4 Char Char Char Char Char Char Char"/>
    <w:autoRedefine/>
    <w:qFormat/>
    <w:uiPriority w:val="99"/>
    <w:rPr>
      <w:rFonts w:ascii="宋体" w:eastAsia="宋体" w:cs="宋体"/>
      <w:color w:val="000000"/>
      <w:kern w:val="2"/>
      <w:sz w:val="24"/>
      <w:szCs w:val="24"/>
      <w:lang w:val="en-US" w:eastAsia="zh-CN"/>
    </w:rPr>
  </w:style>
  <w:style w:type="character" w:customStyle="1" w:styleId="385">
    <w:name w:val="文字 Char"/>
    <w:link w:val="386"/>
    <w:autoRedefine/>
    <w:qFormat/>
    <w:locked/>
    <w:uiPriority w:val="99"/>
    <w:rPr>
      <w:kern w:val="2"/>
      <w:sz w:val="21"/>
      <w:szCs w:val="21"/>
    </w:rPr>
  </w:style>
  <w:style w:type="paragraph" w:customStyle="1" w:styleId="386">
    <w:name w:val="文字"/>
    <w:basedOn w:val="1"/>
    <w:link w:val="385"/>
    <w:autoRedefine/>
    <w:qFormat/>
    <w:uiPriority w:val="99"/>
    <w:pPr>
      <w:spacing w:beforeLines="50" w:line="400" w:lineRule="exact"/>
      <w:ind w:firstLine="200" w:firstLineChars="200"/>
    </w:pPr>
    <w:rPr>
      <w:rFonts w:cs="Times New Roman"/>
      <w:lang w:val="zh-CN" w:eastAsia="zh-CN"/>
    </w:rPr>
  </w:style>
  <w:style w:type="character" w:customStyle="1" w:styleId="387">
    <w:name w:val="样式 首行缩进:  4.44 厘米 段前: 12 磅 段后: 12 磅 Char"/>
    <w:link w:val="388"/>
    <w:autoRedefine/>
    <w:qFormat/>
    <w:locked/>
    <w:uiPriority w:val="99"/>
    <w:rPr>
      <w:sz w:val="24"/>
      <w:szCs w:val="24"/>
    </w:rPr>
  </w:style>
  <w:style w:type="paragraph" w:customStyle="1" w:styleId="388">
    <w:name w:val="样式 首行缩进:  4.44 厘米 段前: 12 磅 段后: 12 磅"/>
    <w:basedOn w:val="1"/>
    <w:link w:val="387"/>
    <w:autoRedefine/>
    <w:qFormat/>
    <w:uiPriority w:val="99"/>
    <w:pPr>
      <w:spacing w:line="480" w:lineRule="exact"/>
      <w:ind w:firstLine="567"/>
    </w:pPr>
    <w:rPr>
      <w:rFonts w:cs="Times New Roman"/>
      <w:kern w:val="0"/>
      <w:sz w:val="24"/>
      <w:szCs w:val="24"/>
      <w:lang w:val="zh-CN" w:eastAsia="zh-CN"/>
    </w:rPr>
  </w:style>
  <w:style w:type="character" w:customStyle="1" w:styleId="389">
    <w:name w:val="AFC Char"/>
    <w:link w:val="390"/>
    <w:autoRedefine/>
    <w:qFormat/>
    <w:locked/>
    <w:uiPriority w:val="99"/>
    <w:rPr>
      <w:kern w:val="2"/>
      <w:sz w:val="28"/>
      <w:szCs w:val="28"/>
    </w:rPr>
  </w:style>
  <w:style w:type="paragraph" w:customStyle="1" w:styleId="390">
    <w:name w:val="AFC"/>
    <w:basedOn w:val="1"/>
    <w:link w:val="389"/>
    <w:autoRedefine/>
    <w:qFormat/>
    <w:uiPriority w:val="99"/>
    <w:pPr>
      <w:snapToGrid w:val="0"/>
      <w:spacing w:line="480" w:lineRule="exact"/>
      <w:ind w:firstLine="560" w:firstLineChars="200"/>
    </w:pPr>
    <w:rPr>
      <w:rFonts w:cs="Times New Roman"/>
      <w:sz w:val="28"/>
      <w:szCs w:val="28"/>
      <w:lang w:val="zh-CN" w:eastAsia="zh-CN"/>
    </w:rPr>
  </w:style>
  <w:style w:type="character" w:customStyle="1" w:styleId="391">
    <w:name w:val="正文小四 Char Char"/>
    <w:link w:val="392"/>
    <w:autoRedefine/>
    <w:qFormat/>
    <w:locked/>
    <w:uiPriority w:val="99"/>
    <w:rPr>
      <w:rFonts w:ascii="宋体" w:hAnsi="宋体" w:eastAsia="宋体" w:cs="宋体"/>
      <w:sz w:val="21"/>
      <w:szCs w:val="21"/>
      <w:lang w:val="en-US" w:eastAsia="zh-CN"/>
    </w:rPr>
  </w:style>
  <w:style w:type="paragraph" w:customStyle="1" w:styleId="392">
    <w:name w:val="正文小四"/>
    <w:basedOn w:val="1"/>
    <w:link w:val="391"/>
    <w:autoRedefine/>
    <w:qFormat/>
    <w:uiPriority w:val="99"/>
    <w:pPr>
      <w:ind w:firstLine="487" w:firstLineChars="232"/>
      <w:jc w:val="center"/>
    </w:pPr>
    <w:rPr>
      <w:rFonts w:ascii="宋体" w:hAnsi="宋体" w:cs="Times New Roman"/>
      <w:kern w:val="0"/>
    </w:rPr>
  </w:style>
  <w:style w:type="character" w:customStyle="1" w:styleId="393">
    <w:name w:val="不明显强调11"/>
    <w:autoRedefine/>
    <w:qFormat/>
    <w:uiPriority w:val="99"/>
    <w:rPr>
      <w:i/>
      <w:iCs/>
      <w:color w:val="808080"/>
    </w:rPr>
  </w:style>
  <w:style w:type="character" w:customStyle="1" w:styleId="394">
    <w:name w:val="正文文字 Char Char"/>
    <w:autoRedefine/>
    <w:qFormat/>
    <w:uiPriority w:val="99"/>
    <w:rPr>
      <w:kern w:val="2"/>
      <w:sz w:val="24"/>
      <w:szCs w:val="24"/>
    </w:rPr>
  </w:style>
  <w:style w:type="character" w:customStyle="1" w:styleId="395">
    <w:name w:val="三级标题 Char"/>
    <w:link w:val="396"/>
    <w:autoRedefine/>
    <w:qFormat/>
    <w:locked/>
    <w:uiPriority w:val="99"/>
    <w:rPr>
      <w:rFonts w:hAnsi="宋体"/>
      <w:b/>
      <w:bCs/>
      <w:kern w:val="2"/>
      <w:sz w:val="32"/>
      <w:szCs w:val="32"/>
    </w:rPr>
  </w:style>
  <w:style w:type="paragraph" w:customStyle="1" w:styleId="396">
    <w:name w:val="三级标题"/>
    <w:basedOn w:val="5"/>
    <w:link w:val="395"/>
    <w:autoRedefine/>
    <w:qFormat/>
    <w:uiPriority w:val="99"/>
    <w:pPr>
      <w:adjustRightInd w:val="0"/>
      <w:snapToGrid w:val="0"/>
      <w:spacing w:line="360" w:lineRule="auto"/>
      <w:ind w:firstLine="0" w:firstLineChars="0"/>
    </w:pPr>
    <w:rPr>
      <w:rFonts w:ascii="Calibri" w:eastAsia="宋体" w:cs="Times New Roman"/>
      <w:b/>
      <w:bCs/>
      <w:sz w:val="32"/>
      <w:szCs w:val="32"/>
      <w:lang w:val="zh-CN" w:eastAsia="zh-CN"/>
    </w:rPr>
  </w:style>
  <w:style w:type="character" w:customStyle="1" w:styleId="397">
    <w:name w:val="fs"/>
    <w:autoRedefine/>
    <w:qFormat/>
    <w:uiPriority w:val="99"/>
  </w:style>
  <w:style w:type="character" w:customStyle="1" w:styleId="398">
    <w:name w:val="洋1 Char"/>
    <w:link w:val="399"/>
    <w:autoRedefine/>
    <w:qFormat/>
    <w:locked/>
    <w:uiPriority w:val="99"/>
    <w:rPr>
      <w:b/>
      <w:bCs/>
      <w:kern w:val="44"/>
      <w:sz w:val="44"/>
      <w:szCs w:val="44"/>
    </w:rPr>
  </w:style>
  <w:style w:type="paragraph" w:customStyle="1" w:styleId="399">
    <w:name w:val="洋1"/>
    <w:basedOn w:val="3"/>
    <w:next w:val="4"/>
    <w:link w:val="398"/>
    <w:autoRedefine/>
    <w:qFormat/>
    <w:uiPriority w:val="99"/>
    <w:pPr>
      <w:spacing w:before="260" w:after="260" w:line="360" w:lineRule="auto"/>
      <w:jc w:val="center"/>
    </w:pPr>
    <w:rPr>
      <w:rFonts w:cs="Times New Roman"/>
      <w:lang w:val="zh-CN" w:eastAsia="zh-CN"/>
    </w:rPr>
  </w:style>
  <w:style w:type="character" w:customStyle="1" w:styleId="400">
    <w:name w:val="标题 3 Char1"/>
    <w:autoRedefine/>
    <w:qFormat/>
    <w:uiPriority w:val="99"/>
    <w:rPr>
      <w:rFonts w:eastAsia="宋体"/>
      <w:b/>
      <w:bCs/>
      <w:sz w:val="24"/>
      <w:szCs w:val="24"/>
      <w:lang w:val="en-US" w:eastAsia="zh-CN"/>
    </w:rPr>
  </w:style>
  <w:style w:type="character" w:customStyle="1" w:styleId="401">
    <w:name w:val="HTML Markup"/>
    <w:autoRedefine/>
    <w:qFormat/>
    <w:uiPriority w:val="99"/>
    <w:rPr>
      <w:vanish/>
      <w:color w:val="FF0000"/>
    </w:rPr>
  </w:style>
  <w:style w:type="character" w:customStyle="1" w:styleId="402">
    <w:name w:val="样式 洋正 + (符号) 宋体 Char"/>
    <w:link w:val="403"/>
    <w:autoRedefine/>
    <w:qFormat/>
    <w:locked/>
    <w:uiPriority w:val="99"/>
  </w:style>
  <w:style w:type="paragraph" w:customStyle="1" w:styleId="403">
    <w:name w:val="样式 洋正 + (符号) 宋体"/>
    <w:basedOn w:val="194"/>
    <w:link w:val="402"/>
    <w:autoRedefine/>
    <w:qFormat/>
    <w:uiPriority w:val="99"/>
  </w:style>
  <w:style w:type="character" w:customStyle="1" w:styleId="404">
    <w:name w:val="Intense Quote Char1"/>
    <w:autoRedefine/>
    <w:qFormat/>
    <w:uiPriority w:val="99"/>
    <w:rPr>
      <w:b/>
      <w:bCs/>
      <w:i/>
      <w:iCs/>
      <w:color w:val="4F81BD"/>
    </w:rPr>
  </w:style>
  <w:style w:type="character" w:customStyle="1" w:styleId="405">
    <w:name w:val="表标头jophy Char Char"/>
    <w:link w:val="406"/>
    <w:autoRedefine/>
    <w:qFormat/>
    <w:locked/>
    <w:uiPriority w:val="99"/>
    <w:rPr>
      <w:rFonts w:cs="Calibri"/>
      <w:b/>
      <w:bCs/>
      <w:sz w:val="24"/>
      <w:szCs w:val="24"/>
      <w:lang w:val="en-US" w:eastAsia="zh-CN" w:bidi="ar-SA"/>
    </w:rPr>
  </w:style>
  <w:style w:type="paragraph" w:customStyle="1" w:styleId="406">
    <w:name w:val="表标头jophy"/>
    <w:link w:val="405"/>
    <w:autoRedefine/>
    <w:qFormat/>
    <w:uiPriority w:val="99"/>
    <w:pPr>
      <w:adjustRightInd w:val="0"/>
      <w:snapToGrid w:val="0"/>
      <w:jc w:val="center"/>
    </w:pPr>
    <w:rPr>
      <w:rFonts w:ascii="Calibri" w:hAnsi="Calibri" w:eastAsia="宋体" w:cs="Calibri"/>
      <w:b/>
      <w:bCs/>
      <w:sz w:val="24"/>
      <w:szCs w:val="24"/>
      <w:lang w:val="en-US" w:eastAsia="zh-CN" w:bidi="ar-SA"/>
    </w:rPr>
  </w:style>
  <w:style w:type="character" w:customStyle="1" w:styleId="407">
    <w:name w:val="正文非缩进 Char C"/>
    <w:autoRedefine/>
    <w:qFormat/>
    <w:uiPriority w:val="99"/>
    <w:rPr>
      <w:rFonts w:eastAsia="宋体"/>
      <w:kern w:val="2"/>
      <w:sz w:val="28"/>
      <w:szCs w:val="28"/>
      <w:lang w:val="en-US" w:eastAsia="zh-CN"/>
    </w:rPr>
  </w:style>
  <w:style w:type="character" w:customStyle="1" w:styleId="408">
    <w:name w:val="缩进 Char Char"/>
    <w:autoRedefine/>
    <w:qFormat/>
    <w:uiPriority w:val="99"/>
    <w:rPr>
      <w:rFonts w:ascii="宋体" w:hAnsi="宋体" w:eastAsia="宋体" w:cs="宋体"/>
      <w:kern w:val="2"/>
      <w:sz w:val="24"/>
      <w:szCs w:val="24"/>
      <w:lang w:val="en-US" w:eastAsia="zh-CN"/>
    </w:rPr>
  </w:style>
  <w:style w:type="character" w:customStyle="1" w:styleId="409">
    <w:name w:val="标题5 Char Char"/>
    <w:link w:val="410"/>
    <w:autoRedefine/>
    <w:qFormat/>
    <w:locked/>
    <w:uiPriority w:val="99"/>
    <w:rPr>
      <w:rFonts w:ascii="Arial" w:hAnsi="Arial" w:cs="Arial"/>
      <w:b/>
      <w:bCs/>
      <w:sz w:val="32"/>
      <w:szCs w:val="32"/>
    </w:rPr>
  </w:style>
  <w:style w:type="paragraph" w:customStyle="1" w:styleId="410">
    <w:name w:val="标题5"/>
    <w:basedOn w:val="5"/>
    <w:link w:val="409"/>
    <w:autoRedefine/>
    <w:qFormat/>
    <w:uiPriority w:val="99"/>
    <w:pPr>
      <w:spacing w:line="413" w:lineRule="auto"/>
      <w:ind w:firstLine="0" w:firstLineChars="0"/>
    </w:pPr>
    <w:rPr>
      <w:rFonts w:ascii="Arial" w:hAnsi="Arial" w:eastAsia="宋体" w:cs="Times New Roman"/>
      <w:b/>
      <w:bCs/>
      <w:kern w:val="0"/>
      <w:sz w:val="32"/>
      <w:szCs w:val="32"/>
      <w:lang w:val="zh-CN" w:eastAsia="zh-CN"/>
    </w:rPr>
  </w:style>
  <w:style w:type="character" w:customStyle="1" w:styleId="411">
    <w:name w:val="Char Char31"/>
    <w:autoRedefine/>
    <w:qFormat/>
    <w:uiPriority w:val="99"/>
    <w:rPr>
      <w:rFonts w:eastAsia="宋体"/>
      <w:sz w:val="18"/>
      <w:szCs w:val="18"/>
      <w:lang w:val="en-US" w:eastAsia="zh-CN"/>
    </w:rPr>
  </w:style>
  <w:style w:type="character" w:customStyle="1" w:styleId="412">
    <w:name w:val="Body Text 2 Char1"/>
    <w:basedOn w:val="96"/>
    <w:autoRedefine/>
    <w:semiHidden/>
    <w:qFormat/>
    <w:uiPriority w:val="99"/>
    <w:rPr>
      <w:rFonts w:cs="Calibri"/>
      <w:szCs w:val="21"/>
    </w:rPr>
  </w:style>
  <w:style w:type="character" w:customStyle="1" w:styleId="413">
    <w:name w:val="节标题 1.1 Char2"/>
    <w:autoRedefine/>
    <w:qFormat/>
    <w:uiPriority w:val="99"/>
    <w:rPr>
      <w:rFonts w:ascii="Arial" w:hAnsi="Arial" w:eastAsia="黑体" w:cs="Arial"/>
      <w:b/>
      <w:bCs/>
      <w:kern w:val="2"/>
      <w:sz w:val="32"/>
      <w:szCs w:val="32"/>
      <w:lang w:val="en-US" w:eastAsia="zh-CN"/>
    </w:rPr>
  </w:style>
  <w:style w:type="character" w:customStyle="1" w:styleId="414">
    <w:name w:val="正文文本 Char2"/>
    <w:autoRedefine/>
    <w:qFormat/>
    <w:uiPriority w:val="99"/>
    <w:rPr>
      <w:rFonts w:ascii="Times New Roman" w:hAnsi="Times New Roman" w:eastAsia="宋体" w:cs="Times New Roman"/>
      <w:sz w:val="24"/>
      <w:szCs w:val="24"/>
    </w:rPr>
  </w:style>
  <w:style w:type="character" w:customStyle="1" w:styleId="415">
    <w:name w:val="信息标题 Char"/>
    <w:link w:val="79"/>
    <w:autoRedefine/>
    <w:qFormat/>
    <w:locked/>
    <w:uiPriority w:val="99"/>
    <w:rPr>
      <w:rFonts w:ascii="Arial" w:hAnsi="Arial" w:cs="Arial"/>
      <w:kern w:val="2"/>
      <w:sz w:val="24"/>
      <w:szCs w:val="24"/>
      <w:shd w:val="pct20" w:color="auto" w:fill="auto"/>
    </w:rPr>
  </w:style>
  <w:style w:type="character" w:customStyle="1" w:styleId="416">
    <w:name w:val="Intense Quote Char"/>
    <w:link w:val="417"/>
    <w:autoRedefine/>
    <w:qFormat/>
    <w:locked/>
    <w:uiPriority w:val="99"/>
    <w:rPr>
      <w:b/>
      <w:bCs/>
      <w:i/>
      <w:iCs/>
      <w:color w:val="4F81BD"/>
    </w:rPr>
  </w:style>
  <w:style w:type="paragraph" w:customStyle="1" w:styleId="417">
    <w:name w:val="Intense Quote1"/>
    <w:basedOn w:val="1"/>
    <w:next w:val="1"/>
    <w:link w:val="416"/>
    <w:autoRedefine/>
    <w:qFormat/>
    <w:uiPriority w:val="99"/>
    <w:pPr>
      <w:pBdr>
        <w:bottom w:val="single" w:color="4F81BD" w:sz="4" w:space="4"/>
      </w:pBdr>
      <w:spacing w:before="200" w:after="280" w:line="276" w:lineRule="auto"/>
      <w:ind w:left="936" w:right="936"/>
    </w:pPr>
    <w:rPr>
      <w:rFonts w:cs="Times New Roman"/>
      <w:b/>
      <w:bCs/>
      <w:i/>
      <w:iCs/>
      <w:color w:val="4F81BD"/>
      <w:kern w:val="0"/>
      <w:sz w:val="20"/>
      <w:szCs w:val="20"/>
      <w:lang w:val="zh-CN" w:eastAsia="zh-CN"/>
    </w:rPr>
  </w:style>
  <w:style w:type="character" w:customStyle="1" w:styleId="418">
    <w:name w:val="页眉 Char"/>
    <w:link w:val="56"/>
    <w:autoRedefine/>
    <w:qFormat/>
    <w:locked/>
    <w:uiPriority w:val="99"/>
    <w:rPr>
      <w:rFonts w:eastAsia="宋体"/>
      <w:kern w:val="2"/>
      <w:sz w:val="18"/>
      <w:szCs w:val="18"/>
      <w:lang w:val="en-US" w:eastAsia="zh-CN"/>
    </w:rPr>
  </w:style>
  <w:style w:type="character" w:customStyle="1" w:styleId="419">
    <w:name w:val="font161"/>
    <w:autoRedefine/>
    <w:qFormat/>
    <w:uiPriority w:val="99"/>
    <w:rPr>
      <w:b/>
      <w:bCs/>
      <w:sz w:val="32"/>
      <w:szCs w:val="32"/>
    </w:rPr>
  </w:style>
  <w:style w:type="character" w:customStyle="1" w:styleId="420">
    <w:name w:val="标题 2李洪 Char"/>
    <w:autoRedefine/>
    <w:qFormat/>
    <w:uiPriority w:val="99"/>
    <w:rPr>
      <w:rFonts w:eastAsia="宋体"/>
      <w:kern w:val="2"/>
      <w:sz w:val="24"/>
      <w:szCs w:val="24"/>
      <w:lang w:val="en-US" w:eastAsia="zh-CN"/>
    </w:rPr>
  </w:style>
  <w:style w:type="character" w:customStyle="1" w:styleId="421">
    <w:name w:val="洋图 Char"/>
    <w:link w:val="422"/>
    <w:autoRedefine/>
    <w:qFormat/>
    <w:locked/>
    <w:uiPriority w:val="99"/>
    <w:rPr>
      <w:kern w:val="2"/>
      <w:sz w:val="24"/>
      <w:szCs w:val="24"/>
    </w:rPr>
  </w:style>
  <w:style w:type="paragraph" w:customStyle="1" w:styleId="422">
    <w:name w:val="洋图"/>
    <w:basedOn w:val="1"/>
    <w:next w:val="1"/>
    <w:link w:val="421"/>
    <w:autoRedefine/>
    <w:qFormat/>
    <w:uiPriority w:val="99"/>
    <w:pPr>
      <w:snapToGrid w:val="0"/>
      <w:spacing w:line="360" w:lineRule="auto"/>
      <w:jc w:val="center"/>
    </w:pPr>
    <w:rPr>
      <w:rFonts w:cs="Times New Roman"/>
      <w:sz w:val="24"/>
      <w:szCs w:val="24"/>
      <w:lang w:val="zh-CN" w:eastAsia="zh-CN"/>
    </w:rPr>
  </w:style>
  <w:style w:type="character" w:customStyle="1" w:styleId="423">
    <w:name w:val="s4 Char Char Char Char Cha"/>
    <w:autoRedefine/>
    <w:qFormat/>
    <w:uiPriority w:val="99"/>
    <w:rPr>
      <w:rFonts w:eastAsia="宋体"/>
      <w:kern w:val="2"/>
      <w:sz w:val="21"/>
      <w:szCs w:val="21"/>
      <w:lang w:val="en-US" w:eastAsia="zh-CN"/>
    </w:rPr>
  </w:style>
  <w:style w:type="character" w:customStyle="1" w:styleId="424">
    <w:name w:val="节标题 1.1 Char1"/>
    <w:autoRedefine/>
    <w:qFormat/>
    <w:uiPriority w:val="99"/>
    <w:rPr>
      <w:rFonts w:ascii="Arial" w:hAnsi="Arial" w:eastAsia="黑体" w:cs="Arial"/>
      <w:sz w:val="24"/>
      <w:szCs w:val="24"/>
      <w:lang w:val="en-US" w:eastAsia="zh-CN"/>
    </w:rPr>
  </w:style>
  <w:style w:type="character" w:customStyle="1" w:styleId="425">
    <w:name w:val="小标题 Char Char"/>
    <w:basedOn w:val="120"/>
    <w:autoRedefine/>
    <w:qFormat/>
    <w:uiPriority w:val="99"/>
  </w:style>
  <w:style w:type="character" w:customStyle="1" w:styleId="426">
    <w:name w:val="成容 Char"/>
    <w:link w:val="427"/>
    <w:autoRedefine/>
    <w:qFormat/>
    <w:locked/>
    <w:uiPriority w:val="99"/>
    <w:rPr>
      <w:rFonts w:cs="Calibri"/>
      <w:kern w:val="2"/>
      <w:sz w:val="24"/>
      <w:szCs w:val="24"/>
      <w:lang w:val="en-US" w:eastAsia="zh-CN" w:bidi="ar-SA"/>
    </w:rPr>
  </w:style>
  <w:style w:type="paragraph" w:customStyle="1" w:styleId="427">
    <w:name w:val="成容"/>
    <w:link w:val="426"/>
    <w:autoRedefine/>
    <w:qFormat/>
    <w:uiPriority w:val="99"/>
    <w:pPr>
      <w:spacing w:line="360" w:lineRule="auto"/>
      <w:ind w:firstLine="200" w:firstLineChars="200"/>
    </w:pPr>
    <w:rPr>
      <w:rFonts w:ascii="Calibri" w:hAnsi="Calibri" w:eastAsia="宋体" w:cs="Calibri"/>
      <w:kern w:val="2"/>
      <w:sz w:val="24"/>
      <w:szCs w:val="24"/>
      <w:lang w:val="en-US" w:eastAsia="zh-CN" w:bidi="ar-SA"/>
    </w:rPr>
  </w:style>
  <w:style w:type="character" w:customStyle="1" w:styleId="428">
    <w:name w:val="正文（首行缩进） Charjophy Char"/>
    <w:link w:val="429"/>
    <w:autoRedefine/>
    <w:qFormat/>
    <w:locked/>
    <w:uiPriority w:val="99"/>
    <w:rPr>
      <w:kern w:val="2"/>
      <w:sz w:val="24"/>
      <w:szCs w:val="24"/>
    </w:rPr>
  </w:style>
  <w:style w:type="paragraph" w:customStyle="1" w:styleId="429">
    <w:name w:val="正文（首行缩进） Charjophy"/>
    <w:basedOn w:val="1"/>
    <w:link w:val="428"/>
    <w:autoRedefine/>
    <w:qFormat/>
    <w:uiPriority w:val="99"/>
    <w:pPr>
      <w:widowControl/>
      <w:overflowPunct w:val="0"/>
      <w:topLinePunct/>
      <w:autoSpaceDE w:val="0"/>
      <w:autoSpaceDN w:val="0"/>
      <w:adjustRightInd w:val="0"/>
      <w:snapToGrid w:val="0"/>
      <w:spacing w:line="360" w:lineRule="auto"/>
      <w:ind w:firstLine="480" w:firstLineChars="200"/>
      <w:textAlignment w:val="baseline"/>
    </w:pPr>
    <w:rPr>
      <w:rFonts w:cs="Times New Roman"/>
      <w:sz w:val="24"/>
      <w:szCs w:val="24"/>
      <w:lang w:val="zh-CN" w:eastAsia="zh-CN"/>
    </w:rPr>
  </w:style>
  <w:style w:type="character" w:customStyle="1" w:styleId="430">
    <w:name w:val="章节标题 Char Char"/>
    <w:autoRedefine/>
    <w:qFormat/>
    <w:uiPriority w:val="99"/>
    <w:rPr>
      <w:rFonts w:ascii="Arial" w:hAnsi="Arial" w:eastAsia="仿宋_GB2312" w:cs="Arial"/>
      <w:b/>
      <w:bCs/>
      <w:kern w:val="44"/>
      <w:sz w:val="32"/>
      <w:szCs w:val="32"/>
    </w:rPr>
  </w:style>
  <w:style w:type="character" w:customStyle="1" w:styleId="431">
    <w:name w:val="Document Map Char"/>
    <w:autoRedefine/>
    <w:qFormat/>
    <w:locked/>
    <w:uiPriority w:val="99"/>
    <w:rPr>
      <w:rFonts w:ascii="宋体" w:cs="宋体"/>
      <w:sz w:val="18"/>
      <w:szCs w:val="18"/>
    </w:rPr>
  </w:style>
  <w:style w:type="character" w:customStyle="1" w:styleId="432">
    <w:name w:val="Title Char1"/>
    <w:autoRedefine/>
    <w:qFormat/>
    <w:uiPriority w:val="99"/>
    <w:rPr>
      <w:rFonts w:ascii="Cambria" w:hAnsi="Cambria" w:cs="Cambria"/>
      <w:b/>
      <w:bCs/>
      <w:sz w:val="32"/>
      <w:szCs w:val="32"/>
    </w:rPr>
  </w:style>
  <w:style w:type="character" w:customStyle="1" w:styleId="433">
    <w:name w:val="副标题 Char1"/>
    <w:autoRedefine/>
    <w:qFormat/>
    <w:uiPriority w:val="99"/>
    <w:rPr>
      <w:rFonts w:ascii="Cambria" w:hAnsi="Cambria" w:eastAsia="宋体" w:cs="Cambria"/>
      <w:b/>
      <w:bCs/>
      <w:kern w:val="28"/>
      <w:sz w:val="32"/>
      <w:szCs w:val="32"/>
    </w:rPr>
  </w:style>
  <w:style w:type="character" w:customStyle="1" w:styleId="434">
    <w:name w:val="标题 Char"/>
    <w:link w:val="84"/>
    <w:autoRedefine/>
    <w:qFormat/>
    <w:locked/>
    <w:uiPriority w:val="99"/>
    <w:rPr>
      <w:rFonts w:ascii="Arial" w:hAnsi="Arial" w:cs="Arial"/>
      <w:b/>
      <w:bCs/>
      <w:sz w:val="32"/>
      <w:szCs w:val="32"/>
    </w:rPr>
  </w:style>
  <w:style w:type="character" w:customStyle="1" w:styleId="435">
    <w:name w:val="表格头jophy Char"/>
    <w:link w:val="436"/>
    <w:autoRedefine/>
    <w:qFormat/>
    <w:locked/>
    <w:uiPriority w:val="99"/>
    <w:rPr>
      <w:b/>
      <w:bCs/>
      <w:spacing w:val="-10"/>
      <w:sz w:val="28"/>
      <w:szCs w:val="28"/>
    </w:rPr>
  </w:style>
  <w:style w:type="paragraph" w:customStyle="1" w:styleId="436">
    <w:name w:val="表格头jophy"/>
    <w:basedOn w:val="1"/>
    <w:link w:val="435"/>
    <w:autoRedefine/>
    <w:qFormat/>
    <w:uiPriority w:val="99"/>
    <w:pPr>
      <w:adjustRightInd w:val="0"/>
      <w:snapToGrid w:val="0"/>
      <w:jc w:val="center"/>
      <w:textAlignment w:val="baseline"/>
    </w:pPr>
    <w:rPr>
      <w:rFonts w:cs="Times New Roman"/>
      <w:b/>
      <w:bCs/>
      <w:spacing w:val="-10"/>
      <w:kern w:val="0"/>
      <w:sz w:val="28"/>
      <w:szCs w:val="28"/>
      <w:lang w:val="zh-CN" w:eastAsia="zh-CN"/>
    </w:rPr>
  </w:style>
  <w:style w:type="character" w:customStyle="1" w:styleId="437">
    <w:name w:val="Macro Text Char1"/>
    <w:basedOn w:val="96"/>
    <w:autoRedefine/>
    <w:semiHidden/>
    <w:qFormat/>
    <w:uiPriority w:val="99"/>
    <w:rPr>
      <w:rFonts w:ascii="Courier New" w:hAnsi="Courier New" w:cs="Courier New"/>
      <w:sz w:val="24"/>
      <w:szCs w:val="24"/>
    </w:rPr>
  </w:style>
  <w:style w:type="character" w:customStyle="1" w:styleId="438">
    <w:name w:val="Balloon Text Char1"/>
    <w:basedOn w:val="96"/>
    <w:autoRedefine/>
    <w:semiHidden/>
    <w:qFormat/>
    <w:uiPriority w:val="99"/>
    <w:rPr>
      <w:rFonts w:cs="Calibri"/>
      <w:sz w:val="16"/>
      <w:szCs w:val="0"/>
    </w:rPr>
  </w:style>
  <w:style w:type="paragraph" w:customStyle="1" w:styleId="439">
    <w:name w:val="样式6"/>
    <w:basedOn w:val="1"/>
    <w:autoRedefine/>
    <w:qFormat/>
    <w:uiPriority w:val="99"/>
    <w:pPr>
      <w:topLinePunct/>
      <w:adjustRightInd w:val="0"/>
      <w:spacing w:after="120" w:line="410" w:lineRule="exact"/>
      <w:ind w:firstLine="510"/>
      <w:textAlignment w:val="baseline"/>
    </w:pPr>
    <w:rPr>
      <w:rFonts w:eastAsia="仿宋_GB2312"/>
      <w:b/>
      <w:bCs/>
      <w:kern w:val="0"/>
      <w:sz w:val="24"/>
      <w:szCs w:val="24"/>
    </w:rPr>
  </w:style>
  <w:style w:type="paragraph" w:customStyle="1" w:styleId="440">
    <w:name w:val="z正文"/>
    <w:basedOn w:val="1"/>
    <w:autoRedefine/>
    <w:semiHidden/>
    <w:qFormat/>
    <w:uiPriority w:val="99"/>
    <w:pPr>
      <w:adjustRightInd w:val="0"/>
      <w:spacing w:line="360" w:lineRule="auto"/>
      <w:textAlignment w:val="baseline"/>
    </w:pPr>
    <w:rPr>
      <w:kern w:val="0"/>
      <w:sz w:val="24"/>
      <w:szCs w:val="24"/>
    </w:rPr>
  </w:style>
  <w:style w:type="paragraph" w:customStyle="1" w:styleId="441">
    <w:name w:val="xl5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442">
    <w:name w:val="样式 标题 4款标题1.1.1.1 + 宋体 四号 非加粗"/>
    <w:basedOn w:val="6"/>
    <w:autoRedefine/>
    <w:qFormat/>
    <w:uiPriority w:val="99"/>
    <w:pPr>
      <w:numPr>
        <w:ilvl w:val="3"/>
        <w:numId w:val="3"/>
      </w:numPr>
      <w:tabs>
        <w:tab w:val="left" w:pos="1200"/>
      </w:tabs>
      <w:spacing w:before="0" w:after="0" w:line="480" w:lineRule="exact"/>
      <w:ind w:left="100" w:leftChars="100" w:right="100" w:rightChars="100" w:firstLine="0" w:firstLineChars="0"/>
    </w:pPr>
    <w:rPr>
      <w:rFonts w:ascii="宋体" w:hAnsi="宋体" w:eastAsia="宋体" w:cs="宋体"/>
      <w:b w:val="0"/>
      <w:bCs w:val="0"/>
      <w:kern w:val="0"/>
    </w:rPr>
  </w:style>
  <w:style w:type="paragraph" w:customStyle="1" w:styleId="443">
    <w:name w:val="日期1"/>
    <w:basedOn w:val="1"/>
    <w:next w:val="1"/>
    <w:autoRedefine/>
    <w:qFormat/>
    <w:uiPriority w:val="99"/>
    <w:pPr>
      <w:adjustRightInd w:val="0"/>
      <w:textAlignment w:val="baseline"/>
    </w:pPr>
    <w:rPr>
      <w:kern w:val="24"/>
      <w:sz w:val="28"/>
      <w:szCs w:val="28"/>
    </w:rPr>
  </w:style>
  <w:style w:type="paragraph" w:customStyle="1" w:styleId="444">
    <w:name w:val="无间距"/>
    <w:autoRedefine/>
    <w:qFormat/>
    <w:uiPriority w:val="99"/>
    <w:pPr>
      <w:widowControl w:val="0"/>
      <w:spacing w:after="200" w:line="276" w:lineRule="auto"/>
      <w:jc w:val="both"/>
    </w:pPr>
    <w:rPr>
      <w:rFonts w:ascii="Calibri" w:hAnsi="Calibri" w:eastAsia="宋体" w:cs="Calibri"/>
      <w:kern w:val="2"/>
      <w:sz w:val="21"/>
      <w:szCs w:val="21"/>
      <w:lang w:val="en-US" w:eastAsia="zh-CN" w:bidi="ar-SA"/>
    </w:rPr>
  </w:style>
  <w:style w:type="paragraph" w:customStyle="1" w:styleId="445">
    <w:name w:val="徐京伦－标题4"/>
    <w:basedOn w:val="6"/>
    <w:autoRedefine/>
    <w:qFormat/>
    <w:uiPriority w:val="99"/>
    <w:pPr>
      <w:keepNext w:val="0"/>
      <w:keepLines w:val="0"/>
      <w:numPr>
        <w:ilvl w:val="3"/>
        <w:numId w:val="4"/>
      </w:numPr>
      <w:tabs>
        <w:tab w:val="left" w:pos="360"/>
        <w:tab w:val="left" w:pos="794"/>
      </w:tabs>
      <w:adjustRightInd w:val="0"/>
      <w:spacing w:before="120" w:after="120" w:line="312" w:lineRule="atLeast"/>
      <w:ind w:left="1211" w:firstLine="0" w:firstLineChars="0"/>
      <w:jc w:val="left"/>
      <w:textAlignment w:val="baseline"/>
    </w:pPr>
    <w:rPr>
      <w:rFonts w:ascii="Times New Roman" w:hAnsi="Times New Roman" w:eastAsia="宋体" w:cs="Times New Roman"/>
      <w:kern w:val="0"/>
      <w:sz w:val="24"/>
      <w:szCs w:val="24"/>
    </w:rPr>
  </w:style>
  <w:style w:type="paragraph" w:customStyle="1" w:styleId="446">
    <w:name w:val="前言"/>
    <w:basedOn w:val="1"/>
    <w:autoRedefine/>
    <w:qFormat/>
    <w:uiPriority w:val="99"/>
    <w:pPr>
      <w:spacing w:line="240" w:lineRule="atLeast"/>
      <w:jc w:val="center"/>
    </w:pPr>
    <w:rPr>
      <w:b/>
      <w:bCs/>
      <w:sz w:val="36"/>
      <w:szCs w:val="36"/>
    </w:rPr>
  </w:style>
  <w:style w:type="paragraph" w:customStyle="1" w:styleId="447">
    <w:name w:val="Char11"/>
    <w:basedOn w:val="1"/>
    <w:autoRedefine/>
    <w:qFormat/>
    <w:uiPriority w:val="99"/>
    <w:pPr>
      <w:widowControl/>
      <w:spacing w:before="100" w:beforeAutospacing="1" w:after="100" w:afterAutospacing="1" w:line="330" w:lineRule="atLeast"/>
      <w:ind w:left="360"/>
      <w:jc w:val="left"/>
    </w:pPr>
    <w:rPr>
      <w:rFonts w:ascii="??" w:hAnsi="??" w:cs="??"/>
      <w:color w:val="51585D"/>
      <w:kern w:val="0"/>
      <w:sz w:val="24"/>
      <w:szCs w:val="24"/>
    </w:rPr>
  </w:style>
  <w:style w:type="paragraph" w:customStyle="1" w:styleId="448">
    <w:name w:val="CM28"/>
    <w:basedOn w:val="1"/>
    <w:next w:val="1"/>
    <w:autoRedefine/>
    <w:qFormat/>
    <w:uiPriority w:val="99"/>
    <w:pPr>
      <w:autoSpaceDE w:val="0"/>
      <w:autoSpaceDN w:val="0"/>
      <w:adjustRightInd w:val="0"/>
      <w:spacing w:after="155"/>
      <w:jc w:val="left"/>
    </w:pPr>
    <w:rPr>
      <w:rFonts w:ascii="宋体" w:cs="宋体"/>
      <w:kern w:val="0"/>
      <w:sz w:val="24"/>
      <w:szCs w:val="24"/>
    </w:rPr>
  </w:style>
  <w:style w:type="paragraph" w:customStyle="1" w:styleId="449">
    <w:name w:val="xl76"/>
    <w:basedOn w:val="1"/>
    <w:autoRedefine/>
    <w:qFormat/>
    <w:uiPriority w:val="99"/>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宋体" w:hAnsi="宋体" w:cs="宋体"/>
      <w:color w:val="000000"/>
      <w:kern w:val="0"/>
      <w:sz w:val="18"/>
      <w:szCs w:val="18"/>
    </w:rPr>
  </w:style>
  <w:style w:type="paragraph" w:customStyle="1" w:styleId="450">
    <w:name w:val="常规"/>
    <w:basedOn w:val="1"/>
    <w:autoRedefine/>
    <w:qFormat/>
    <w:uiPriority w:val="99"/>
    <w:pPr>
      <w:widowControl/>
      <w:spacing w:before="100" w:beforeAutospacing="1" w:after="100" w:afterAutospacing="1"/>
      <w:jc w:val="left"/>
      <w:textAlignment w:val="bottom"/>
    </w:pPr>
    <w:rPr>
      <w:rFonts w:ascii="宋体" w:hAnsi="宋体" w:cs="宋体"/>
      <w:kern w:val="0"/>
      <w:sz w:val="20"/>
      <w:szCs w:val="20"/>
    </w:rPr>
  </w:style>
  <w:style w:type="paragraph" w:customStyle="1" w:styleId="451">
    <w:name w:val="正文 A"/>
    <w:autoRedefine/>
    <w:qFormat/>
    <w:uiPriority w:val="99"/>
    <w:pPr>
      <w:widowControl w:val="0"/>
      <w:jc w:val="both"/>
    </w:pPr>
    <w:rPr>
      <w:rFonts w:ascii="Calibri" w:hAnsi="Arial Unicode MS" w:eastAsia="Times New Roman" w:cs="Calibri"/>
      <w:color w:val="000000"/>
      <w:kern w:val="2"/>
      <w:sz w:val="21"/>
      <w:szCs w:val="21"/>
      <w:lang w:val="en-US" w:eastAsia="zh-CN" w:bidi="ar-SA"/>
    </w:rPr>
  </w:style>
  <w:style w:type="paragraph" w:customStyle="1" w:styleId="452">
    <w:name w:val="标题1李洪"/>
    <w:basedOn w:val="1"/>
    <w:autoRedefine/>
    <w:qFormat/>
    <w:uiPriority w:val="99"/>
    <w:pPr>
      <w:numPr>
        <w:ilvl w:val="0"/>
        <w:numId w:val="5"/>
      </w:numPr>
      <w:tabs>
        <w:tab w:val="left" w:pos="567"/>
      </w:tabs>
    </w:pPr>
  </w:style>
  <w:style w:type="paragraph" w:customStyle="1" w:styleId="453">
    <w:name w:val="副标题2"/>
    <w:basedOn w:val="1"/>
    <w:autoRedefine/>
    <w:qFormat/>
    <w:uiPriority w:val="99"/>
    <w:pPr>
      <w:numPr>
        <w:ilvl w:val="2"/>
        <w:numId w:val="1"/>
      </w:numPr>
      <w:tabs>
        <w:tab w:val="left" w:pos="1620"/>
        <w:tab w:val="left" w:pos="2160"/>
      </w:tabs>
      <w:ind w:left="2552" w:hanging="360"/>
    </w:pPr>
  </w:style>
  <w:style w:type="paragraph" w:customStyle="1" w:styleId="454">
    <w:name w:val="xl9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455">
    <w:name w:val="Char Char1 Char3"/>
    <w:basedOn w:val="1"/>
    <w:autoRedefine/>
    <w:qFormat/>
    <w:uiPriority w:val="99"/>
    <w:rPr>
      <w:sz w:val="24"/>
      <w:szCs w:val="24"/>
    </w:rPr>
  </w:style>
  <w:style w:type="paragraph" w:customStyle="1" w:styleId="456">
    <w:name w:val="样式 标题 2节1.1 标题 2 + 三号"/>
    <w:basedOn w:val="4"/>
    <w:autoRedefine/>
    <w:qFormat/>
    <w:uiPriority w:val="99"/>
    <w:pPr>
      <w:adjustRightInd w:val="0"/>
      <w:spacing w:before="0" w:after="120" w:line="312" w:lineRule="auto"/>
      <w:jc w:val="left"/>
      <w:textAlignment w:val="baseline"/>
    </w:pPr>
    <w:rPr>
      <w:rFonts w:ascii="Times New Roman" w:hAnsi="Times New Roman" w:eastAsia="宋体" w:cs="Times New Roman"/>
      <w:b w:val="0"/>
      <w:bCs w:val="0"/>
      <w:sz w:val="24"/>
      <w:szCs w:val="24"/>
    </w:rPr>
  </w:style>
  <w:style w:type="paragraph" w:customStyle="1" w:styleId="457">
    <w:name w:val="空半行"/>
    <w:basedOn w:val="1"/>
    <w:autoRedefine/>
    <w:qFormat/>
    <w:uiPriority w:val="99"/>
    <w:pPr>
      <w:adjustRightInd w:val="0"/>
      <w:spacing w:after="200" w:line="120" w:lineRule="exact"/>
      <w:textAlignment w:val="baseline"/>
    </w:pPr>
    <w:rPr>
      <w:rFonts w:eastAsia="仿宋_GB2312"/>
      <w:color w:val="FFFFFF"/>
      <w:kern w:val="0"/>
      <w:sz w:val="30"/>
      <w:szCs w:val="30"/>
    </w:rPr>
  </w:style>
  <w:style w:type="paragraph" w:customStyle="1" w:styleId="458">
    <w:name w:val="xl7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18"/>
      <w:szCs w:val="18"/>
    </w:rPr>
  </w:style>
  <w:style w:type="paragraph" w:customStyle="1" w:styleId="459">
    <w:name w:val="AODocTxtL1"/>
    <w:basedOn w:val="1"/>
    <w:autoRedefine/>
    <w:qFormat/>
    <w:uiPriority w:val="99"/>
    <w:pPr>
      <w:widowControl/>
      <w:spacing w:before="240" w:after="200" w:line="360" w:lineRule="exact"/>
      <w:ind w:left="840" w:leftChars="400" w:firstLine="480"/>
    </w:pPr>
    <w:rPr>
      <w:rFonts w:ascii="宋体" w:hAnsi="宋体" w:cs="宋体"/>
      <w:b/>
      <w:bCs/>
      <w:color w:val="FF0000"/>
      <w:kern w:val="28"/>
      <w:sz w:val="24"/>
      <w:szCs w:val="24"/>
      <w:u w:val="double"/>
    </w:rPr>
  </w:style>
  <w:style w:type="paragraph" w:customStyle="1" w:styleId="460">
    <w:name w:val="(1)"/>
    <w:basedOn w:val="1"/>
    <w:autoRedefine/>
    <w:semiHidden/>
    <w:qFormat/>
    <w:uiPriority w:val="99"/>
    <w:pPr>
      <w:spacing w:line="240" w:lineRule="atLeast"/>
    </w:pPr>
    <w:rPr>
      <w:rFonts w:ascii="宋体" w:hAnsi="宋体" w:cs="宋体"/>
      <w:b/>
      <w:bCs/>
      <w:sz w:val="28"/>
      <w:szCs w:val="28"/>
    </w:rPr>
  </w:style>
  <w:style w:type="paragraph" w:customStyle="1" w:styleId="461">
    <w:name w:val="样式 标题 3 + (中文) 黑体 小四 非加粗 段前: 7.8 磅 段后: 0 磅 行距: 固定值 20 磅"/>
    <w:basedOn w:val="5"/>
    <w:autoRedefine/>
    <w:qFormat/>
    <w:uiPriority w:val="99"/>
    <w:pPr>
      <w:spacing w:before="0" w:after="0" w:line="400" w:lineRule="exact"/>
    </w:pPr>
    <w:rPr>
      <w:sz w:val="24"/>
      <w:szCs w:val="24"/>
    </w:rPr>
  </w:style>
  <w:style w:type="paragraph" w:customStyle="1" w:styleId="462">
    <w:name w:val="Heading 21"/>
    <w:basedOn w:val="1"/>
    <w:autoRedefine/>
    <w:qFormat/>
    <w:uiPriority w:val="99"/>
    <w:pPr>
      <w:autoSpaceDE w:val="0"/>
      <w:autoSpaceDN w:val="0"/>
      <w:adjustRightInd w:val="0"/>
      <w:spacing w:after="200" w:line="276" w:lineRule="auto"/>
      <w:jc w:val="left"/>
      <w:outlineLvl w:val="1"/>
    </w:pPr>
    <w:rPr>
      <w:rFonts w:ascii="宋体" w:cs="宋体"/>
      <w:kern w:val="0"/>
      <w:sz w:val="48"/>
      <w:szCs w:val="48"/>
    </w:rPr>
  </w:style>
  <w:style w:type="paragraph" w:customStyle="1" w:styleId="463">
    <w:name w:val="附件"/>
    <w:basedOn w:val="1"/>
    <w:autoRedefine/>
    <w:qFormat/>
    <w:uiPriority w:val="99"/>
    <w:pPr>
      <w:adjustRightInd w:val="0"/>
      <w:spacing w:before="120" w:after="60"/>
      <w:jc w:val="center"/>
      <w:textAlignment w:val="center"/>
    </w:pPr>
    <w:rPr>
      <w:rFonts w:ascii="黑体" w:eastAsia="黑体" w:cs="黑体"/>
      <w:b/>
      <w:bCs/>
      <w:kern w:val="0"/>
      <w:sz w:val="32"/>
      <w:szCs w:val="32"/>
    </w:rPr>
  </w:style>
  <w:style w:type="paragraph" w:customStyle="1" w:styleId="464">
    <w:name w:val="TOC 标题11"/>
    <w:basedOn w:val="3"/>
    <w:next w:val="1"/>
    <w:autoRedefine/>
    <w:qFormat/>
    <w:uiPriority w:val="99"/>
    <w:pPr>
      <w:outlineLvl w:val="9"/>
    </w:pPr>
  </w:style>
  <w:style w:type="paragraph" w:customStyle="1" w:styleId="465">
    <w:name w:val="表格紧缩小五号左对齐"/>
    <w:basedOn w:val="466"/>
    <w:autoRedefine/>
    <w:qFormat/>
    <w:uiPriority w:val="99"/>
    <w:pPr>
      <w:jc w:val="left"/>
    </w:pPr>
  </w:style>
  <w:style w:type="paragraph" w:customStyle="1" w:styleId="466">
    <w:name w:val="表格紧缩小五号"/>
    <w:basedOn w:val="1"/>
    <w:autoRedefine/>
    <w:qFormat/>
    <w:uiPriority w:val="99"/>
    <w:pPr>
      <w:spacing w:line="240" w:lineRule="atLeast"/>
      <w:ind w:left="-113" w:right="-113"/>
      <w:jc w:val="center"/>
    </w:pPr>
    <w:rPr>
      <w:color w:val="000000"/>
      <w:sz w:val="18"/>
      <w:szCs w:val="18"/>
    </w:rPr>
  </w:style>
  <w:style w:type="paragraph" w:customStyle="1" w:styleId="467">
    <w:name w:val="xl87"/>
    <w:basedOn w:val="1"/>
    <w:autoRedefine/>
    <w:qFormat/>
    <w:uiPriority w:val="99"/>
    <w:pPr>
      <w:widowControl/>
      <w:pBdr>
        <w:top w:val="single" w:color="auto" w:sz="4" w:space="0"/>
        <w:left w:val="single" w:color="auto" w:sz="8" w:space="0"/>
        <w:bottom w:val="single" w:color="auto" w:sz="4" w:space="0"/>
        <w:right w:val="single" w:color="auto" w:sz="4" w:space="0"/>
      </w:pBdr>
      <w:shd w:val="clear" w:color="000000" w:fill="92D050"/>
      <w:spacing w:before="100" w:beforeAutospacing="1" w:after="100" w:afterAutospacing="1"/>
      <w:jc w:val="left"/>
    </w:pPr>
    <w:rPr>
      <w:rFonts w:ascii="宋体" w:hAnsi="宋体" w:cs="宋体"/>
      <w:color w:val="000000"/>
      <w:kern w:val="0"/>
      <w:sz w:val="18"/>
      <w:szCs w:val="18"/>
    </w:rPr>
  </w:style>
  <w:style w:type="paragraph" w:customStyle="1" w:styleId="468">
    <w:name w:val="委托书"/>
    <w:basedOn w:val="21"/>
    <w:autoRedefine/>
    <w:qFormat/>
    <w:uiPriority w:val="99"/>
    <w:pPr>
      <w:spacing w:before="60" w:after="60" w:line="240" w:lineRule="atLeast"/>
      <w:ind w:firstLine="0" w:firstLineChars="0"/>
      <w:jc w:val="center"/>
    </w:pPr>
    <w:rPr>
      <w:rFonts w:eastAsia="华文中宋"/>
      <w:spacing w:val="4"/>
      <w:kern w:val="0"/>
      <w:sz w:val="44"/>
      <w:szCs w:val="44"/>
    </w:rPr>
  </w:style>
  <w:style w:type="paragraph" w:customStyle="1" w:styleId="469">
    <w:name w:val="indent2"/>
    <w:basedOn w:val="1"/>
    <w:autoRedefine/>
    <w:qFormat/>
    <w:uiPriority w:val="99"/>
    <w:pPr>
      <w:widowControl/>
      <w:spacing w:before="100" w:beforeAutospacing="1" w:after="100" w:afterAutospacing="1" w:line="335" w:lineRule="atLeast"/>
      <w:jc w:val="left"/>
    </w:pPr>
    <w:rPr>
      <w:rFonts w:ascii="宋体" w:hAnsi="宋体" w:cs="宋体"/>
      <w:color w:val="000000"/>
      <w:spacing w:val="20"/>
      <w:kern w:val="0"/>
    </w:rPr>
  </w:style>
  <w:style w:type="paragraph" w:customStyle="1" w:styleId="470">
    <w:name w:val="Char Char Char1 Char Char Char Char2"/>
    <w:basedOn w:val="1"/>
    <w:autoRedefine/>
    <w:qFormat/>
    <w:uiPriority w:val="99"/>
    <w:pPr>
      <w:spacing w:after="200" w:line="276" w:lineRule="auto"/>
    </w:pPr>
  </w:style>
  <w:style w:type="paragraph" w:customStyle="1" w:styleId="471">
    <w:name w:val="xl5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472">
    <w:name w:val="正文文本 21"/>
    <w:basedOn w:val="1"/>
    <w:autoRedefine/>
    <w:qFormat/>
    <w:uiPriority w:val="99"/>
    <w:pPr>
      <w:autoSpaceDE w:val="0"/>
      <w:autoSpaceDN w:val="0"/>
      <w:adjustRightInd w:val="0"/>
      <w:spacing w:line="480" w:lineRule="atLeast"/>
      <w:ind w:firstLine="570"/>
      <w:textAlignment w:val="baseline"/>
    </w:pPr>
    <w:rPr>
      <w:rFonts w:ascii="宋体" w:hAnsi="Tms Rmn" w:cs="宋体"/>
      <w:kern w:val="0"/>
      <w:sz w:val="28"/>
      <w:szCs w:val="28"/>
    </w:rPr>
  </w:style>
  <w:style w:type="paragraph" w:customStyle="1" w:styleId="473">
    <w:name w:val="Char Char Char Char Char Char Char"/>
    <w:basedOn w:val="1"/>
    <w:autoRedefine/>
    <w:qFormat/>
    <w:uiPriority w:val="99"/>
    <w:pPr>
      <w:spacing w:line="360" w:lineRule="auto"/>
    </w:pPr>
    <w:rPr>
      <w:rFonts w:ascii="Tahoma" w:hAnsi="Tahoma" w:cs="Tahoma"/>
      <w:sz w:val="24"/>
      <w:szCs w:val="24"/>
    </w:rPr>
  </w:style>
  <w:style w:type="paragraph" w:customStyle="1" w:styleId="474">
    <w:name w:val="Char Char Char Char Char1"/>
    <w:basedOn w:val="1"/>
    <w:autoRedefine/>
    <w:qFormat/>
    <w:uiPriority w:val="99"/>
    <w:rPr>
      <w:sz w:val="24"/>
      <w:szCs w:val="24"/>
    </w:rPr>
  </w:style>
  <w:style w:type="paragraph" w:customStyle="1" w:styleId="475">
    <w:name w:val="AOHead5"/>
    <w:basedOn w:val="1"/>
    <w:next w:val="476"/>
    <w:autoRedefine/>
    <w:qFormat/>
    <w:uiPriority w:val="99"/>
    <w:pPr>
      <w:widowControl/>
      <w:spacing w:before="240" w:after="200" w:line="260" w:lineRule="atLeast"/>
      <w:outlineLvl w:val="4"/>
    </w:pPr>
    <w:rPr>
      <w:kern w:val="0"/>
      <w:sz w:val="22"/>
      <w:szCs w:val="22"/>
      <w:lang w:val="en-GB" w:eastAsia="en-US"/>
    </w:rPr>
  </w:style>
  <w:style w:type="paragraph" w:customStyle="1" w:styleId="476">
    <w:name w:val="AODocTxtL4"/>
    <w:basedOn w:val="1"/>
    <w:autoRedefine/>
    <w:qFormat/>
    <w:uiPriority w:val="99"/>
    <w:pPr>
      <w:widowControl/>
      <w:spacing w:before="240" w:after="200" w:line="260" w:lineRule="atLeast"/>
    </w:pPr>
    <w:rPr>
      <w:kern w:val="0"/>
      <w:sz w:val="22"/>
      <w:szCs w:val="22"/>
      <w:lang w:val="en-GB" w:eastAsia="en-US"/>
    </w:rPr>
  </w:style>
  <w:style w:type="paragraph" w:customStyle="1" w:styleId="477">
    <w:name w:val="Char Char Char Char Char Char Char Char Char Char Char Char Char Char Char Char Char Char Char Char Char Char1"/>
    <w:basedOn w:val="1"/>
    <w:autoRedefine/>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478">
    <w:name w:val="一级标题"/>
    <w:basedOn w:val="1"/>
    <w:next w:val="3"/>
    <w:autoRedefine/>
    <w:qFormat/>
    <w:uiPriority w:val="99"/>
    <w:pPr>
      <w:pageBreakBefore/>
      <w:widowControl/>
      <w:numPr>
        <w:ilvl w:val="0"/>
        <w:numId w:val="2"/>
      </w:numPr>
      <w:tabs>
        <w:tab w:val="clear" w:pos="780"/>
      </w:tabs>
      <w:spacing w:before="260" w:after="260" w:line="415" w:lineRule="auto"/>
      <w:ind w:left="0" w:leftChars="0" w:firstLine="0" w:firstLineChars="0"/>
      <w:outlineLvl w:val="0"/>
    </w:pPr>
    <w:rPr>
      <w:b/>
      <w:bCs/>
      <w:sz w:val="24"/>
      <w:szCs w:val="24"/>
    </w:rPr>
  </w:style>
  <w:style w:type="paragraph" w:customStyle="1" w:styleId="479">
    <w:name w:val="soustitre"/>
    <w:basedOn w:val="1"/>
    <w:autoRedefine/>
    <w:qFormat/>
    <w:uiPriority w:val="99"/>
    <w:pPr>
      <w:widowControl/>
      <w:tabs>
        <w:tab w:val="left" w:pos="525"/>
      </w:tabs>
      <w:overflowPunct w:val="0"/>
      <w:autoSpaceDE w:val="0"/>
      <w:autoSpaceDN w:val="0"/>
      <w:adjustRightInd w:val="0"/>
      <w:spacing w:line="400" w:lineRule="exact"/>
      <w:jc w:val="center"/>
      <w:textAlignment w:val="baseline"/>
    </w:pPr>
    <w:rPr>
      <w:rFonts w:ascii="New York" w:hAnsi="New York" w:eastAsia="楷体_GB2312" w:cs="New York"/>
      <w:kern w:val="0"/>
      <w:position w:val="-6"/>
      <w:sz w:val="24"/>
      <w:szCs w:val="24"/>
      <w:lang w:val="fr-FR"/>
    </w:rPr>
  </w:style>
  <w:style w:type="paragraph" w:customStyle="1" w:styleId="480">
    <w:name w:val="正"/>
    <w:basedOn w:val="1"/>
    <w:autoRedefine/>
    <w:qFormat/>
    <w:uiPriority w:val="99"/>
    <w:pPr>
      <w:tabs>
        <w:tab w:val="left" w:pos="-120"/>
      </w:tabs>
      <w:adjustRightInd w:val="0"/>
      <w:spacing w:line="560" w:lineRule="exact"/>
      <w:ind w:firstLine="600"/>
      <w:textAlignment w:val="baseline"/>
    </w:pPr>
    <w:rPr>
      <w:rFonts w:ascii="仿宋_GB2312" w:eastAsia="仿宋_GB2312" w:cs="仿宋_GB2312"/>
      <w:color w:val="000000"/>
      <w:spacing w:val="20"/>
      <w:kern w:val="0"/>
      <w:sz w:val="28"/>
      <w:szCs w:val="28"/>
    </w:rPr>
  </w:style>
  <w:style w:type="paragraph" w:customStyle="1" w:styleId="481">
    <w:name w:val="xl5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kern w:val="0"/>
      <w:sz w:val="22"/>
      <w:szCs w:val="22"/>
    </w:rPr>
  </w:style>
  <w:style w:type="paragraph" w:customStyle="1" w:styleId="482">
    <w:name w:val="CM2"/>
    <w:basedOn w:val="116"/>
    <w:next w:val="116"/>
    <w:autoRedefine/>
    <w:qFormat/>
    <w:uiPriority w:val="99"/>
    <w:pPr>
      <w:spacing w:after="200" w:line="188" w:lineRule="atLeast"/>
    </w:pPr>
    <w:rPr>
      <w:rFonts w:ascii="Times New Roman" w:cs="Times New Roman"/>
      <w:color w:val="auto"/>
    </w:rPr>
  </w:style>
  <w:style w:type="paragraph" w:customStyle="1" w:styleId="483">
    <w:name w:val="xl6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kern w:val="0"/>
      <w:sz w:val="22"/>
      <w:szCs w:val="22"/>
    </w:rPr>
  </w:style>
  <w:style w:type="paragraph" w:customStyle="1" w:styleId="484">
    <w:name w:val="txt14"/>
    <w:basedOn w:val="1"/>
    <w:autoRedefine/>
    <w:qFormat/>
    <w:uiPriority w:val="99"/>
    <w:pPr>
      <w:widowControl/>
      <w:spacing w:before="100" w:beforeAutospacing="1" w:after="100" w:afterAutospacing="1" w:line="276" w:lineRule="auto"/>
      <w:jc w:val="left"/>
    </w:pPr>
    <w:rPr>
      <w:rFonts w:ascii="宋体" w:hAnsi="宋体" w:cs="宋体"/>
      <w:color w:val="000000"/>
      <w:kern w:val="0"/>
    </w:rPr>
  </w:style>
  <w:style w:type="paragraph" w:customStyle="1" w:styleId="485">
    <w:name w:val="AODocTxtL2"/>
    <w:basedOn w:val="1"/>
    <w:autoRedefine/>
    <w:qFormat/>
    <w:uiPriority w:val="99"/>
    <w:pPr>
      <w:widowControl/>
      <w:spacing w:before="240" w:after="200" w:line="260" w:lineRule="atLeast"/>
    </w:pPr>
    <w:rPr>
      <w:kern w:val="0"/>
      <w:sz w:val="22"/>
      <w:szCs w:val="22"/>
      <w:lang w:val="en-GB" w:eastAsia="en-US"/>
    </w:rPr>
  </w:style>
  <w:style w:type="paragraph" w:customStyle="1" w:styleId="486">
    <w:name w:val="Char Char Char Char Char Char Char Char111"/>
    <w:basedOn w:val="1"/>
    <w:autoRedefine/>
    <w:qFormat/>
    <w:uiPriority w:val="99"/>
    <w:rPr>
      <w:sz w:val="24"/>
      <w:szCs w:val="24"/>
    </w:rPr>
  </w:style>
  <w:style w:type="paragraph" w:customStyle="1" w:styleId="487">
    <w:name w:val="Char6 Char Char Char"/>
    <w:basedOn w:val="1"/>
    <w:autoRedefine/>
    <w:qFormat/>
    <w:uiPriority w:val="99"/>
    <w:pPr>
      <w:tabs>
        <w:tab w:val="left" w:pos="794"/>
        <w:tab w:val="left" w:pos="1191"/>
        <w:tab w:val="left" w:pos="1588"/>
        <w:tab w:val="left" w:pos="1985"/>
      </w:tabs>
      <w:autoSpaceDE w:val="0"/>
      <w:autoSpaceDN w:val="0"/>
      <w:adjustRightInd w:val="0"/>
      <w:spacing w:before="136" w:after="200" w:line="276" w:lineRule="auto"/>
    </w:pPr>
    <w:rPr>
      <w:rFonts w:ascii="Tahoma" w:hAnsi="Tahoma" w:cs="Tahoma"/>
      <w:kern w:val="0"/>
      <w:sz w:val="24"/>
      <w:szCs w:val="24"/>
      <w:lang w:val="en-GB"/>
    </w:rPr>
  </w:style>
  <w:style w:type="paragraph" w:customStyle="1" w:styleId="488">
    <w:name w:val="计划内容"/>
    <w:autoRedefine/>
    <w:qFormat/>
    <w:uiPriority w:val="99"/>
    <w:pPr>
      <w:spacing w:line="360" w:lineRule="auto"/>
      <w:ind w:firstLine="480" w:firstLineChars="200"/>
      <w:jc w:val="both"/>
    </w:pPr>
    <w:rPr>
      <w:rFonts w:ascii="Calibri" w:hAnsi="Calibri" w:eastAsia="宋体" w:cs="Calibri"/>
      <w:kern w:val="2"/>
      <w:sz w:val="24"/>
      <w:szCs w:val="24"/>
      <w:lang w:val="en-US" w:eastAsia="zh-CN" w:bidi="ar-SA"/>
    </w:rPr>
  </w:style>
  <w:style w:type="paragraph" w:customStyle="1" w:styleId="489">
    <w:name w:val="样式"/>
    <w:basedOn w:val="1"/>
    <w:autoRedefine/>
    <w:qFormat/>
    <w:uiPriority w:val="99"/>
    <w:pPr>
      <w:adjustRightInd w:val="0"/>
      <w:snapToGrid w:val="0"/>
      <w:spacing w:line="440" w:lineRule="exact"/>
      <w:jc w:val="center"/>
      <w:textAlignment w:val="baseline"/>
    </w:pPr>
    <w:rPr>
      <w:rFonts w:ascii="宋体" w:cs="宋体"/>
      <w:kern w:val="0"/>
      <w:sz w:val="24"/>
      <w:szCs w:val="24"/>
    </w:rPr>
  </w:style>
  <w:style w:type="paragraph" w:customStyle="1" w:styleId="490">
    <w:name w:val="标题 81"/>
    <w:basedOn w:val="1"/>
    <w:autoRedefine/>
    <w:qFormat/>
    <w:uiPriority w:val="99"/>
    <w:pPr>
      <w:autoSpaceDE w:val="0"/>
      <w:autoSpaceDN w:val="0"/>
      <w:adjustRightInd w:val="0"/>
      <w:spacing w:after="200" w:line="276" w:lineRule="auto"/>
      <w:ind w:left="148"/>
      <w:jc w:val="left"/>
      <w:outlineLvl w:val="7"/>
    </w:pPr>
    <w:rPr>
      <w:rFonts w:ascii="黑体" w:eastAsia="黑体" w:cs="黑体"/>
      <w:kern w:val="0"/>
      <w:sz w:val="24"/>
      <w:szCs w:val="24"/>
    </w:rPr>
  </w:style>
  <w:style w:type="paragraph" w:customStyle="1" w:styleId="491">
    <w:name w:val="样式 标题 2 + Times New Roman 四号 非加粗 段前: 5 磅 段后: 0 磅 行距: 固定值 20..."/>
    <w:basedOn w:val="4"/>
    <w:autoRedefine/>
    <w:qFormat/>
    <w:uiPriority w:val="99"/>
    <w:pPr>
      <w:spacing w:before="100" w:after="0" w:line="400" w:lineRule="exact"/>
    </w:pPr>
    <w:rPr>
      <w:rFonts w:ascii="Times New Roman" w:hAnsi="Times New Roman" w:cs="Times New Roman"/>
      <w:b w:val="0"/>
      <w:bCs w:val="0"/>
      <w:sz w:val="28"/>
      <w:szCs w:val="28"/>
    </w:rPr>
  </w:style>
  <w:style w:type="paragraph" w:customStyle="1" w:styleId="492">
    <w:name w:val="Char Char Char Char3"/>
    <w:basedOn w:val="1"/>
    <w:autoRedefine/>
    <w:qFormat/>
    <w:uiPriority w:val="99"/>
  </w:style>
  <w:style w:type="paragraph" w:customStyle="1" w:styleId="493">
    <w:name w:val="xl9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94">
    <w:name w:val="Char1 Char Char Char3"/>
    <w:basedOn w:val="1"/>
    <w:autoRedefine/>
    <w:qFormat/>
    <w:uiPriority w:val="99"/>
    <w:rPr>
      <w:sz w:val="24"/>
      <w:szCs w:val="24"/>
    </w:rPr>
  </w:style>
  <w:style w:type="paragraph" w:customStyle="1" w:styleId="495">
    <w:name w:val="Char Char Char Char2"/>
    <w:basedOn w:val="1"/>
    <w:autoRedefine/>
    <w:qFormat/>
    <w:uiPriority w:val="99"/>
    <w:rPr>
      <w:sz w:val="24"/>
      <w:szCs w:val="24"/>
    </w:rPr>
  </w:style>
  <w:style w:type="paragraph" w:customStyle="1" w:styleId="496">
    <w:name w:val="Heading #2|1"/>
    <w:basedOn w:val="1"/>
    <w:autoRedefine/>
    <w:qFormat/>
    <w:uiPriority w:val="99"/>
    <w:pPr>
      <w:spacing w:after="360" w:line="662" w:lineRule="exact"/>
      <w:ind w:left="2040" w:hanging="1020"/>
      <w:outlineLvl w:val="1"/>
    </w:pPr>
    <w:rPr>
      <w:rFonts w:ascii="宋体" w:hAnsi="宋体" w:cs="宋体"/>
      <w:sz w:val="42"/>
      <w:szCs w:val="42"/>
      <w:lang w:val="zh-TW" w:eastAsia="zh-TW"/>
    </w:rPr>
  </w:style>
  <w:style w:type="paragraph" w:customStyle="1" w:styleId="497">
    <w:name w:val="xl106"/>
    <w:basedOn w:val="1"/>
    <w:autoRedefine/>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 w:hAnsi="宋体" w:eastAsia="?" w:cs="?"/>
      <w:b/>
      <w:bCs/>
      <w:color w:val="000000"/>
      <w:kern w:val="0"/>
      <w:sz w:val="18"/>
      <w:szCs w:val="18"/>
    </w:rPr>
  </w:style>
  <w:style w:type="paragraph" w:customStyle="1" w:styleId="498">
    <w:name w:val="图号图名"/>
    <w:basedOn w:val="1"/>
    <w:autoRedefine/>
    <w:qFormat/>
    <w:uiPriority w:val="99"/>
    <w:pPr>
      <w:jc w:val="center"/>
    </w:pPr>
    <w:rPr>
      <w:b/>
      <w:bCs/>
      <w:sz w:val="24"/>
      <w:szCs w:val="24"/>
    </w:rPr>
  </w:style>
  <w:style w:type="paragraph" w:customStyle="1" w:styleId="499">
    <w:name w:val="插图图名"/>
    <w:basedOn w:val="500"/>
    <w:next w:val="86"/>
    <w:autoRedefine/>
    <w:qFormat/>
    <w:uiPriority w:val="99"/>
    <w:rPr>
      <w:sz w:val="28"/>
      <w:szCs w:val="28"/>
    </w:rPr>
  </w:style>
  <w:style w:type="paragraph" w:customStyle="1" w:styleId="500">
    <w:name w:val="插表表头"/>
    <w:basedOn w:val="1"/>
    <w:next w:val="86"/>
    <w:autoRedefine/>
    <w:qFormat/>
    <w:uiPriority w:val="99"/>
    <w:pPr>
      <w:adjustRightInd w:val="0"/>
      <w:spacing w:line="360" w:lineRule="auto"/>
      <w:ind w:firstLine="567"/>
      <w:jc w:val="center"/>
    </w:pPr>
    <w:rPr>
      <w:rFonts w:eastAsia="黑体"/>
      <w:sz w:val="24"/>
      <w:szCs w:val="24"/>
    </w:rPr>
  </w:style>
  <w:style w:type="paragraph" w:customStyle="1" w:styleId="501">
    <w:name w:val="Char Char Char Char Char Char Char Char Char1"/>
    <w:basedOn w:val="1"/>
    <w:autoRedefine/>
    <w:qFormat/>
    <w:uiPriority w:val="99"/>
    <w:rPr>
      <w:sz w:val="24"/>
      <w:szCs w:val="24"/>
    </w:rPr>
  </w:style>
  <w:style w:type="paragraph" w:customStyle="1" w:styleId="502">
    <w:name w:val="样式8"/>
    <w:basedOn w:val="1"/>
    <w:autoRedefine/>
    <w:qFormat/>
    <w:uiPriority w:val="99"/>
    <w:pPr>
      <w:keepNext/>
      <w:spacing w:line="300" w:lineRule="exact"/>
      <w:jc w:val="center"/>
    </w:pPr>
    <w:rPr>
      <w:rFonts w:ascii="宋体" w:cs="宋体"/>
      <w:spacing w:val="2"/>
      <w:kern w:val="0"/>
    </w:rPr>
  </w:style>
  <w:style w:type="paragraph" w:customStyle="1" w:styleId="503">
    <w:name w:val="标题 41"/>
    <w:basedOn w:val="1"/>
    <w:autoRedefine/>
    <w:qFormat/>
    <w:uiPriority w:val="99"/>
    <w:pPr>
      <w:autoSpaceDE w:val="0"/>
      <w:autoSpaceDN w:val="0"/>
      <w:adjustRightInd w:val="0"/>
      <w:spacing w:after="200" w:line="276" w:lineRule="auto"/>
      <w:jc w:val="left"/>
      <w:outlineLvl w:val="3"/>
    </w:pPr>
    <w:rPr>
      <w:rFonts w:ascii="黑体" w:eastAsia="黑体" w:cs="黑体"/>
      <w:kern w:val="0"/>
      <w:sz w:val="36"/>
      <w:szCs w:val="36"/>
    </w:rPr>
  </w:style>
  <w:style w:type="paragraph" w:customStyle="1" w:styleId="504">
    <w:name w:val="正文 + 首行缩进:  2 字符"/>
    <w:basedOn w:val="1"/>
    <w:autoRedefine/>
    <w:qFormat/>
    <w:uiPriority w:val="99"/>
    <w:pPr>
      <w:adjustRightInd w:val="0"/>
      <w:snapToGrid w:val="0"/>
      <w:spacing w:line="560" w:lineRule="exact"/>
      <w:ind w:firstLine="560" w:firstLineChars="200"/>
    </w:pPr>
    <w:rPr>
      <w:rFonts w:eastAsia="仿宋_GB2312"/>
      <w:sz w:val="28"/>
      <w:szCs w:val="28"/>
    </w:rPr>
  </w:style>
  <w:style w:type="paragraph" w:customStyle="1" w:styleId="505">
    <w:name w:val="项目编号"/>
    <w:basedOn w:val="1"/>
    <w:autoRedefine/>
    <w:qFormat/>
    <w:uiPriority w:val="99"/>
    <w:pPr>
      <w:widowControl/>
      <w:tabs>
        <w:tab w:val="left" w:pos="340"/>
      </w:tabs>
      <w:autoSpaceDE w:val="0"/>
      <w:autoSpaceDN w:val="0"/>
      <w:adjustRightInd w:val="0"/>
      <w:spacing w:line="360" w:lineRule="auto"/>
      <w:ind w:left="425" w:hanging="425"/>
    </w:pPr>
    <w:rPr>
      <w:rFonts w:ascii="宋体" w:cs="宋体"/>
      <w:sz w:val="24"/>
      <w:szCs w:val="24"/>
    </w:rPr>
  </w:style>
  <w:style w:type="paragraph" w:customStyle="1" w:styleId="506">
    <w:name w:val="级别 4"/>
    <w:basedOn w:val="3"/>
    <w:next w:val="86"/>
    <w:autoRedefine/>
    <w:qFormat/>
    <w:uiPriority w:val="99"/>
    <w:pPr>
      <w:keepNext w:val="0"/>
      <w:keepLines w:val="0"/>
      <w:adjustRightInd w:val="0"/>
      <w:snapToGrid w:val="0"/>
      <w:spacing w:before="0" w:after="0" w:line="400" w:lineRule="exact"/>
      <w:outlineLvl w:val="3"/>
    </w:pPr>
    <w:rPr>
      <w:color w:val="000000"/>
      <w:kern w:val="2"/>
      <w:sz w:val="24"/>
      <w:szCs w:val="24"/>
    </w:rPr>
  </w:style>
  <w:style w:type="paragraph" w:customStyle="1" w:styleId="507">
    <w:name w:val="xl5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color w:val="000000"/>
      <w:kern w:val="0"/>
      <w:sz w:val="22"/>
      <w:szCs w:val="22"/>
    </w:rPr>
  </w:style>
  <w:style w:type="paragraph" w:customStyle="1" w:styleId="508">
    <w:name w:val="图表标示"/>
    <w:basedOn w:val="1"/>
    <w:autoRedefine/>
    <w:qFormat/>
    <w:uiPriority w:val="99"/>
    <w:pPr>
      <w:spacing w:line="360" w:lineRule="auto"/>
      <w:jc w:val="center"/>
    </w:pPr>
    <w:rPr>
      <w:sz w:val="24"/>
      <w:szCs w:val="24"/>
    </w:rPr>
  </w:style>
  <w:style w:type="paragraph" w:customStyle="1" w:styleId="509">
    <w:name w:val="修订2"/>
    <w:autoRedefine/>
    <w:semiHidden/>
    <w:qFormat/>
    <w:uiPriority w:val="99"/>
    <w:rPr>
      <w:rFonts w:ascii="Calibri" w:hAnsi="Calibri" w:eastAsia="宋体" w:cs="Calibri"/>
      <w:kern w:val="2"/>
      <w:sz w:val="21"/>
      <w:szCs w:val="21"/>
      <w:lang w:val="en-US" w:eastAsia="zh-CN" w:bidi="ar-SA"/>
    </w:rPr>
  </w:style>
  <w:style w:type="paragraph" w:customStyle="1" w:styleId="510">
    <w:name w:val="xl101"/>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pPr>
    <w:rPr>
      <w:rFonts w:ascii="宋体" w:hAnsi="宋体" w:cs="宋体"/>
      <w:kern w:val="0"/>
      <w:sz w:val="18"/>
      <w:szCs w:val="18"/>
    </w:rPr>
  </w:style>
  <w:style w:type="paragraph" w:customStyle="1" w:styleId="511">
    <w:name w:val="图片"/>
    <w:basedOn w:val="1"/>
    <w:autoRedefine/>
    <w:qFormat/>
    <w:uiPriority w:val="99"/>
    <w:pPr>
      <w:jc w:val="center"/>
    </w:pPr>
  </w:style>
  <w:style w:type="paragraph" w:customStyle="1" w:styleId="512">
    <w:name w:val="xl3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513">
    <w:name w:val="Heading 41"/>
    <w:basedOn w:val="1"/>
    <w:autoRedefine/>
    <w:qFormat/>
    <w:uiPriority w:val="99"/>
    <w:pPr>
      <w:autoSpaceDE w:val="0"/>
      <w:autoSpaceDN w:val="0"/>
      <w:adjustRightInd w:val="0"/>
      <w:spacing w:after="200" w:line="276" w:lineRule="auto"/>
      <w:jc w:val="left"/>
      <w:outlineLvl w:val="3"/>
    </w:pPr>
    <w:rPr>
      <w:rFonts w:ascii="黑体" w:eastAsia="黑体" w:cs="黑体"/>
      <w:kern w:val="0"/>
      <w:sz w:val="36"/>
      <w:szCs w:val="36"/>
    </w:rPr>
  </w:style>
  <w:style w:type="paragraph" w:customStyle="1" w:styleId="514">
    <w:name w:val="附件目录"/>
    <w:basedOn w:val="58"/>
    <w:autoRedefine/>
    <w:qFormat/>
    <w:uiPriority w:val="99"/>
    <w:pPr>
      <w:tabs>
        <w:tab w:val="left" w:pos="1050"/>
      </w:tabs>
    </w:pPr>
  </w:style>
  <w:style w:type="paragraph" w:customStyle="1" w:styleId="515">
    <w:name w:val="表格正文左对齐"/>
    <w:basedOn w:val="1"/>
    <w:autoRedefine/>
    <w:qFormat/>
    <w:uiPriority w:val="99"/>
    <w:pPr>
      <w:jc w:val="left"/>
    </w:pPr>
  </w:style>
  <w:style w:type="paragraph" w:customStyle="1" w:styleId="516">
    <w:name w:val="正文gg缩进"/>
    <w:basedOn w:val="1"/>
    <w:autoRedefine/>
    <w:qFormat/>
    <w:uiPriority w:val="99"/>
    <w:pPr>
      <w:overflowPunct w:val="0"/>
      <w:topLinePunct/>
      <w:autoSpaceDE w:val="0"/>
      <w:autoSpaceDN w:val="0"/>
      <w:adjustRightInd w:val="0"/>
      <w:snapToGrid w:val="0"/>
      <w:spacing w:line="560" w:lineRule="exact"/>
      <w:ind w:firstLine="504" w:firstLineChars="200"/>
      <w:textAlignment w:val="baseline"/>
    </w:pPr>
    <w:rPr>
      <w:spacing w:val="6"/>
      <w:kern w:val="0"/>
      <w:sz w:val="24"/>
      <w:szCs w:val="24"/>
    </w:rPr>
  </w:style>
  <w:style w:type="paragraph" w:customStyle="1" w:styleId="517">
    <w:name w:val="Char Char Char Char Char Char Char Char Char Char Char1 Char Char Char Char"/>
    <w:basedOn w:val="1"/>
    <w:autoRedefine/>
    <w:qFormat/>
    <w:uiPriority w:val="99"/>
    <w:pPr>
      <w:tabs>
        <w:tab w:val="left" w:pos="425"/>
      </w:tabs>
      <w:ind w:left="425" w:hanging="425"/>
    </w:pPr>
    <w:rPr>
      <w:sz w:val="24"/>
      <w:szCs w:val="24"/>
    </w:rPr>
  </w:style>
  <w:style w:type="paragraph" w:customStyle="1" w:styleId="518">
    <w:name w:val="样式 标题 1 + 段后: 1 行"/>
    <w:basedOn w:val="3"/>
    <w:autoRedefine/>
    <w:qFormat/>
    <w:uiPriority w:val="99"/>
    <w:pPr>
      <w:adjustRightInd w:val="0"/>
      <w:snapToGrid w:val="0"/>
      <w:spacing w:before="120" w:afterLines="100" w:line="360" w:lineRule="auto"/>
      <w:jc w:val="center"/>
      <w:textAlignment w:val="baseline"/>
    </w:pPr>
    <w:rPr>
      <w:rFonts w:ascii="宋体" w:hAnsi="宋体" w:cs="宋体"/>
      <w:b w:val="0"/>
      <w:bCs w:val="0"/>
      <w:sz w:val="36"/>
      <w:szCs w:val="36"/>
    </w:rPr>
  </w:style>
  <w:style w:type="paragraph" w:customStyle="1" w:styleId="519">
    <w:name w:val="Char1 Char Char Char1"/>
    <w:basedOn w:val="1"/>
    <w:autoRedefine/>
    <w:qFormat/>
    <w:uiPriority w:val="99"/>
    <w:pPr>
      <w:widowControl/>
      <w:spacing w:before="100" w:beforeAutospacing="1" w:after="100" w:afterAutospacing="1" w:line="330" w:lineRule="atLeast"/>
      <w:ind w:left="360"/>
      <w:jc w:val="left"/>
    </w:pPr>
    <w:rPr>
      <w:rFonts w:ascii="??" w:hAnsi="??" w:cs="??"/>
      <w:color w:val="51585D"/>
      <w:kern w:val="0"/>
      <w:sz w:val="24"/>
      <w:szCs w:val="24"/>
    </w:rPr>
  </w:style>
  <w:style w:type="paragraph" w:customStyle="1" w:styleId="520">
    <w:name w:val="三号"/>
    <w:autoRedefine/>
    <w:semiHidden/>
    <w:qFormat/>
    <w:uiPriority w:val="99"/>
    <w:pPr>
      <w:jc w:val="center"/>
    </w:pPr>
    <w:rPr>
      <w:rFonts w:ascii="Calibri" w:hAnsi="Calibri" w:eastAsia="宋体" w:cs="Calibri"/>
      <w:b/>
      <w:bCs/>
      <w:sz w:val="32"/>
      <w:szCs w:val="32"/>
      <w:lang w:val="en-US" w:eastAsia="zh-CN" w:bidi="ar-SA"/>
    </w:rPr>
  </w:style>
  <w:style w:type="paragraph" w:customStyle="1" w:styleId="521">
    <w:name w:val="xl82"/>
    <w:basedOn w:val="1"/>
    <w:autoRedefine/>
    <w:qFormat/>
    <w:uiPriority w:val="99"/>
    <w:pPr>
      <w:widowControl/>
      <w:pBdr>
        <w:top w:val="single" w:color="auto" w:sz="4" w:space="0"/>
        <w:left w:val="single" w:color="auto" w:sz="4" w:space="0"/>
        <w:bottom w:val="single" w:color="auto" w:sz="4" w:space="0"/>
        <w:right w:val="single" w:color="auto" w:sz="8" w:space="0"/>
      </w:pBdr>
      <w:shd w:val="clear" w:color="000000" w:fill="92D050"/>
      <w:spacing w:before="100" w:beforeAutospacing="1" w:after="100" w:afterAutospacing="1"/>
      <w:jc w:val="right"/>
    </w:pPr>
    <w:rPr>
      <w:rFonts w:ascii="宋体" w:hAnsi="宋体" w:cs="宋体"/>
      <w:color w:val="000000"/>
      <w:kern w:val="0"/>
      <w:sz w:val="18"/>
      <w:szCs w:val="18"/>
    </w:rPr>
  </w:style>
  <w:style w:type="paragraph" w:customStyle="1" w:styleId="522">
    <w:name w:val="xl100"/>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pPr>
    <w:rPr>
      <w:rFonts w:ascii="宋体" w:hAnsi="宋体" w:cs="宋体"/>
      <w:color w:val="000000"/>
      <w:kern w:val="0"/>
      <w:sz w:val="18"/>
      <w:szCs w:val="18"/>
    </w:rPr>
  </w:style>
  <w:style w:type="paragraph" w:customStyle="1" w:styleId="523">
    <w:name w:val="font5"/>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24">
    <w:name w:val="Style2"/>
    <w:basedOn w:val="1"/>
    <w:autoRedefine/>
    <w:qFormat/>
    <w:uiPriority w:val="99"/>
    <w:pPr>
      <w:widowControl/>
      <w:tabs>
        <w:tab w:val="right" w:pos="8956"/>
      </w:tabs>
      <w:spacing w:before="120" w:after="120"/>
      <w:jc w:val="center"/>
    </w:pPr>
    <w:rPr>
      <w:rFonts w:ascii="Arial" w:hAnsi="Arial" w:cs="Arial"/>
      <w:b/>
      <w:bCs/>
      <w:kern w:val="0"/>
      <w:sz w:val="22"/>
      <w:szCs w:val="22"/>
    </w:rPr>
  </w:style>
  <w:style w:type="paragraph" w:customStyle="1" w:styleId="525">
    <w:name w:val="正文文本 231"/>
    <w:basedOn w:val="1"/>
    <w:autoRedefine/>
    <w:qFormat/>
    <w:uiPriority w:val="99"/>
    <w:pPr>
      <w:widowControl/>
      <w:tabs>
        <w:tab w:val="left" w:pos="360"/>
      </w:tabs>
    </w:pPr>
    <w:rPr>
      <w:kern w:val="0"/>
      <w:sz w:val="24"/>
      <w:szCs w:val="24"/>
      <w:lang w:val="en-GB"/>
    </w:rPr>
  </w:style>
  <w:style w:type="paragraph" w:customStyle="1" w:styleId="526">
    <w:name w:val="Char1 Char Char Char Char Char Char11"/>
    <w:basedOn w:val="1"/>
    <w:autoRedefine/>
    <w:qFormat/>
    <w:uiPriority w:val="99"/>
    <w:rPr>
      <w:sz w:val="24"/>
      <w:szCs w:val="24"/>
    </w:rPr>
  </w:style>
  <w:style w:type="paragraph" w:customStyle="1" w:styleId="527">
    <w:name w:val="表标注5号"/>
    <w:basedOn w:val="1"/>
    <w:autoRedefine/>
    <w:qFormat/>
    <w:uiPriority w:val="99"/>
    <w:pPr>
      <w:jc w:val="center"/>
    </w:pPr>
    <w:rPr>
      <w:kern w:val="0"/>
    </w:rPr>
  </w:style>
  <w:style w:type="paragraph" w:customStyle="1" w:styleId="528">
    <w:name w:val="xl4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2"/>
      <w:szCs w:val="22"/>
    </w:rPr>
  </w:style>
  <w:style w:type="paragraph" w:customStyle="1" w:styleId="529">
    <w:name w:val="Char Char Char Char Char11"/>
    <w:basedOn w:val="1"/>
    <w:autoRedefine/>
    <w:qFormat/>
    <w:uiPriority w:val="99"/>
    <w:rPr>
      <w:sz w:val="24"/>
      <w:szCs w:val="24"/>
    </w:rPr>
  </w:style>
  <w:style w:type="paragraph" w:customStyle="1" w:styleId="530">
    <w:name w:val="列出段落2"/>
    <w:basedOn w:val="1"/>
    <w:autoRedefine/>
    <w:qFormat/>
    <w:uiPriority w:val="99"/>
    <w:pPr>
      <w:ind w:firstLine="420" w:firstLineChars="200"/>
    </w:pPr>
  </w:style>
  <w:style w:type="paragraph" w:customStyle="1" w:styleId="531">
    <w:name w:val="本文格式"/>
    <w:basedOn w:val="1"/>
    <w:autoRedefine/>
    <w:qFormat/>
    <w:uiPriority w:val="99"/>
    <w:pPr>
      <w:adjustRightInd w:val="0"/>
      <w:spacing w:line="360" w:lineRule="exact"/>
      <w:ind w:firstLine="476"/>
      <w:textAlignment w:val="baseline"/>
    </w:pPr>
    <w:rPr>
      <w:kern w:val="0"/>
      <w:sz w:val="24"/>
      <w:szCs w:val="24"/>
    </w:rPr>
  </w:style>
  <w:style w:type="paragraph" w:customStyle="1" w:styleId="532">
    <w:name w:val="表格文字"/>
    <w:basedOn w:val="1"/>
    <w:autoRedefine/>
    <w:qFormat/>
    <w:uiPriority w:val="99"/>
    <w:pPr>
      <w:adjustRightInd w:val="0"/>
      <w:spacing w:line="420" w:lineRule="atLeast"/>
      <w:jc w:val="left"/>
      <w:textAlignment w:val="baseline"/>
    </w:pPr>
    <w:rPr>
      <w:kern w:val="0"/>
    </w:rPr>
  </w:style>
  <w:style w:type="paragraph" w:customStyle="1" w:styleId="533">
    <w:name w:val="unnamed1"/>
    <w:basedOn w:val="1"/>
    <w:autoRedefine/>
    <w:semiHidden/>
    <w:qFormat/>
    <w:uiPriority w:val="99"/>
    <w:pPr>
      <w:widowControl/>
      <w:spacing w:before="100" w:beforeAutospacing="1" w:after="100" w:afterAutospacing="1" w:line="300" w:lineRule="atLeast"/>
      <w:jc w:val="left"/>
      <w:textAlignment w:val="top"/>
    </w:pPr>
    <w:rPr>
      <w:rFonts w:ascii="宋体" w:hAnsi="宋体" w:cs="宋体"/>
      <w:kern w:val="0"/>
    </w:rPr>
  </w:style>
  <w:style w:type="paragraph" w:customStyle="1" w:styleId="534">
    <w:name w:val="列出段落1"/>
    <w:basedOn w:val="1"/>
    <w:autoRedefine/>
    <w:qFormat/>
    <w:uiPriority w:val="99"/>
    <w:pPr>
      <w:ind w:firstLine="420" w:firstLineChars="200"/>
    </w:pPr>
  </w:style>
  <w:style w:type="paragraph" w:customStyle="1" w:styleId="535">
    <w:name w:val="WPSOffice手动目录 1"/>
    <w:autoRedefine/>
    <w:qFormat/>
    <w:uiPriority w:val="99"/>
    <w:rPr>
      <w:rFonts w:ascii="Calibri" w:hAnsi="Calibri" w:eastAsia="宋体" w:cs="Calibri"/>
      <w:lang w:val="en-US" w:eastAsia="zh-CN" w:bidi="ar-SA"/>
    </w:rPr>
  </w:style>
  <w:style w:type="paragraph" w:customStyle="1" w:styleId="536">
    <w:name w:val="正文1_0"/>
    <w:basedOn w:val="537"/>
    <w:autoRedefine/>
    <w:qFormat/>
    <w:uiPriority w:val="99"/>
    <w:pPr>
      <w:jc w:val="left"/>
    </w:pPr>
    <w:rPr>
      <w:sz w:val="24"/>
      <w:szCs w:val="24"/>
    </w:rPr>
  </w:style>
  <w:style w:type="paragraph" w:customStyle="1" w:styleId="537">
    <w:name w:val="Normal_4"/>
    <w:autoRedefine/>
    <w:qFormat/>
    <w:uiPriority w:val="99"/>
    <w:pPr>
      <w:widowControl w:val="0"/>
      <w:jc w:val="both"/>
    </w:pPr>
    <w:rPr>
      <w:rFonts w:ascii="Calibri" w:hAnsi="Calibri" w:eastAsia="宋体" w:cs="Calibri"/>
      <w:lang w:val="en-US" w:eastAsia="zh-CN" w:bidi="ar-SA"/>
    </w:rPr>
  </w:style>
  <w:style w:type="paragraph" w:customStyle="1" w:styleId="538">
    <w:name w:val="xl9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539">
    <w:name w:val="msonormalcxspmiddle"/>
    <w:basedOn w:val="1"/>
    <w:autoRedefine/>
    <w:qFormat/>
    <w:uiPriority w:val="99"/>
    <w:pPr>
      <w:widowControl/>
      <w:spacing w:before="100" w:beforeAutospacing="1" w:after="100" w:afterAutospacing="1" w:line="276" w:lineRule="auto"/>
      <w:jc w:val="left"/>
    </w:pPr>
    <w:rPr>
      <w:rFonts w:ascii="宋体" w:hAnsi="宋体" w:cs="宋体"/>
      <w:kern w:val="0"/>
      <w:sz w:val="24"/>
      <w:szCs w:val="24"/>
    </w:rPr>
  </w:style>
  <w:style w:type="paragraph" w:customStyle="1" w:styleId="540">
    <w:name w:val="样式1"/>
    <w:basedOn w:val="1"/>
    <w:next w:val="6"/>
    <w:autoRedefine/>
    <w:qFormat/>
    <w:uiPriority w:val="99"/>
    <w:pPr>
      <w:spacing w:line="360" w:lineRule="auto"/>
      <w:ind w:firstLine="420" w:firstLineChars="200"/>
    </w:pPr>
    <w:rPr>
      <w:rFonts w:ascii="宋体" w:hAnsi="宋体" w:cs="宋体"/>
    </w:rPr>
  </w:style>
  <w:style w:type="paragraph" w:customStyle="1" w:styleId="541">
    <w:name w:val="••"/>
    <w:basedOn w:val="1"/>
    <w:autoRedefine/>
    <w:qFormat/>
    <w:uiPriority w:val="99"/>
    <w:pPr>
      <w:numPr>
        <w:ilvl w:val="0"/>
        <w:numId w:val="6"/>
      </w:numPr>
      <w:tabs>
        <w:tab w:val="left" w:pos="2465"/>
        <w:tab w:val="clear" w:pos="360"/>
      </w:tabs>
      <w:adjustRightInd w:val="0"/>
      <w:snapToGrid w:val="0"/>
      <w:spacing w:before="120" w:after="120"/>
      <w:ind w:left="2465" w:hanging="567" w:firstLineChars="0"/>
      <w:textAlignment w:val="baseline"/>
    </w:pPr>
    <w:rPr>
      <w:kern w:val="0"/>
      <w:sz w:val="24"/>
      <w:szCs w:val="24"/>
    </w:rPr>
  </w:style>
  <w:style w:type="paragraph" w:customStyle="1" w:styleId="542">
    <w:name w:val="样式 四号 首行缩进:  1.06 厘米 行距: 固定值 24 磅"/>
    <w:basedOn w:val="1"/>
    <w:autoRedefine/>
    <w:qFormat/>
    <w:uiPriority w:val="99"/>
    <w:pPr>
      <w:ind w:right="68"/>
      <w:jc w:val="center"/>
    </w:pPr>
    <w:rPr>
      <w:sz w:val="24"/>
      <w:szCs w:val="24"/>
    </w:rPr>
  </w:style>
  <w:style w:type="paragraph" w:customStyle="1" w:styleId="543">
    <w:name w:val="前期一级标题"/>
    <w:basedOn w:val="1"/>
    <w:autoRedefine/>
    <w:qFormat/>
    <w:uiPriority w:val="99"/>
    <w:pPr>
      <w:pageBreakBefore/>
      <w:widowControl/>
      <w:numPr>
        <w:ilvl w:val="0"/>
        <w:numId w:val="7"/>
      </w:numPr>
      <w:tabs>
        <w:tab w:val="left" w:pos="340"/>
        <w:tab w:val="clear" w:pos="2040"/>
      </w:tabs>
      <w:spacing w:before="260" w:after="260" w:line="360" w:lineRule="auto"/>
      <w:ind w:left="0" w:leftChars="0" w:firstLine="0" w:firstLineChars="0"/>
      <w:outlineLvl w:val="0"/>
    </w:pPr>
    <w:rPr>
      <w:b/>
      <w:bCs/>
      <w:kern w:val="0"/>
      <w:sz w:val="24"/>
      <w:szCs w:val="24"/>
    </w:rPr>
  </w:style>
  <w:style w:type="paragraph" w:customStyle="1" w:styleId="544">
    <w:name w:val="xl2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45">
    <w:name w:val="前期二级标题"/>
    <w:basedOn w:val="543"/>
    <w:autoRedefine/>
    <w:qFormat/>
    <w:uiPriority w:val="99"/>
    <w:pPr>
      <w:pageBreakBefore w:val="0"/>
      <w:outlineLvl w:val="1"/>
    </w:pPr>
  </w:style>
  <w:style w:type="paragraph" w:customStyle="1" w:styleId="546">
    <w:name w:val="1 正文"/>
    <w:basedOn w:val="86"/>
    <w:autoRedefine/>
    <w:qFormat/>
    <w:uiPriority w:val="99"/>
    <w:pPr>
      <w:spacing w:line="480" w:lineRule="exact"/>
      <w:ind w:firstLine="480" w:firstLineChars="200"/>
    </w:pPr>
    <w:rPr>
      <w:sz w:val="24"/>
      <w:szCs w:val="24"/>
    </w:rPr>
  </w:style>
  <w:style w:type="paragraph" w:customStyle="1" w:styleId="547">
    <w:name w:val="标题 51"/>
    <w:basedOn w:val="1"/>
    <w:autoRedefine/>
    <w:qFormat/>
    <w:uiPriority w:val="99"/>
    <w:pPr>
      <w:autoSpaceDE w:val="0"/>
      <w:autoSpaceDN w:val="0"/>
      <w:adjustRightInd w:val="0"/>
      <w:spacing w:after="200" w:line="276" w:lineRule="auto"/>
      <w:jc w:val="left"/>
      <w:outlineLvl w:val="4"/>
    </w:pPr>
    <w:rPr>
      <w:rFonts w:ascii="黑体" w:eastAsia="黑体" w:cs="黑体"/>
      <w:kern w:val="0"/>
      <w:sz w:val="32"/>
      <w:szCs w:val="32"/>
    </w:rPr>
  </w:style>
  <w:style w:type="paragraph" w:customStyle="1" w:styleId="548">
    <w:name w:val="陈底注加"/>
    <w:basedOn w:val="1"/>
    <w:next w:val="1"/>
    <w:autoRedefine/>
    <w:qFormat/>
    <w:uiPriority w:val="99"/>
    <w:pPr>
      <w:spacing w:line="288" w:lineRule="auto"/>
    </w:pPr>
    <w:rPr>
      <w:lang w:val="zh-CN"/>
    </w:rPr>
  </w:style>
  <w:style w:type="paragraph" w:customStyle="1" w:styleId="549">
    <w:name w:val="缩进正文"/>
    <w:basedOn w:val="1"/>
    <w:autoRedefine/>
    <w:qFormat/>
    <w:uiPriority w:val="99"/>
    <w:pPr>
      <w:adjustRightInd w:val="0"/>
      <w:snapToGrid w:val="0"/>
      <w:spacing w:line="560" w:lineRule="atLeast"/>
      <w:ind w:firstLine="629"/>
    </w:pPr>
    <w:rPr>
      <w:rFonts w:eastAsia="仿宋_GB2312"/>
      <w:sz w:val="32"/>
      <w:szCs w:val="32"/>
    </w:rPr>
  </w:style>
  <w:style w:type="paragraph" w:customStyle="1" w:styleId="550">
    <w:name w:val="样式 样式 样式 洋正 + 左侧:  0 厘米 首行缩进:  0 字符 + 首行缩进:  2 字符 + 左侧:  0.85 厘米..."/>
    <w:basedOn w:val="1"/>
    <w:autoRedefine/>
    <w:qFormat/>
    <w:uiPriority w:val="99"/>
    <w:pPr>
      <w:snapToGrid w:val="0"/>
      <w:spacing w:line="360" w:lineRule="auto"/>
      <w:ind w:firstLine="480" w:firstLineChars="200"/>
    </w:pPr>
    <w:rPr>
      <w:sz w:val="24"/>
      <w:szCs w:val="24"/>
    </w:rPr>
  </w:style>
  <w:style w:type="paragraph" w:customStyle="1" w:styleId="551">
    <w:name w:val="样式 标题 3条标题1.1.1标题 3 Char节标题1.1.1条标题1.1.1.13h33rd levelH3...1"/>
    <w:basedOn w:val="5"/>
    <w:autoRedefine/>
    <w:qFormat/>
    <w:uiPriority w:val="99"/>
    <w:pPr>
      <w:numPr>
        <w:ilvl w:val="2"/>
        <w:numId w:val="3"/>
      </w:numPr>
      <w:tabs>
        <w:tab w:val="left" w:pos="1200"/>
      </w:tabs>
      <w:spacing w:before="0" w:after="0" w:line="480" w:lineRule="exact"/>
      <w:ind w:left="0" w:leftChars="0" w:firstLine="0" w:firstLineChars="0"/>
    </w:pPr>
    <w:rPr>
      <w:rFonts w:ascii="宋体" w:eastAsia="宋体" w:cs="宋体"/>
      <w:kern w:val="0"/>
    </w:rPr>
  </w:style>
  <w:style w:type="paragraph" w:customStyle="1" w:styleId="552">
    <w:name w:val="00正文"/>
    <w:basedOn w:val="1"/>
    <w:autoRedefine/>
    <w:qFormat/>
    <w:uiPriority w:val="99"/>
    <w:pPr>
      <w:spacing w:line="360" w:lineRule="auto"/>
      <w:ind w:firstLine="480"/>
      <w:jc w:val="left"/>
    </w:pPr>
    <w:rPr>
      <w:color w:val="000000"/>
      <w:sz w:val="24"/>
      <w:szCs w:val="24"/>
    </w:rPr>
  </w:style>
  <w:style w:type="paragraph" w:customStyle="1" w:styleId="553">
    <w:name w:val="级别 2"/>
    <w:basedOn w:val="3"/>
    <w:next w:val="86"/>
    <w:autoRedefine/>
    <w:qFormat/>
    <w:uiPriority w:val="99"/>
    <w:pPr>
      <w:numPr>
        <w:ilvl w:val="1"/>
        <w:numId w:val="5"/>
      </w:numPr>
      <w:tabs>
        <w:tab w:val="left" w:pos="1200"/>
      </w:tabs>
      <w:spacing w:before="0" w:after="0" w:line="400" w:lineRule="exact"/>
      <w:ind w:left="0" w:leftChars="0" w:firstLine="0" w:firstLineChars="0"/>
      <w:outlineLvl w:val="1"/>
    </w:pPr>
    <w:rPr>
      <w:kern w:val="2"/>
      <w:sz w:val="30"/>
      <w:szCs w:val="30"/>
    </w:rPr>
  </w:style>
  <w:style w:type="paragraph" w:customStyle="1" w:styleId="554">
    <w:name w:val="p0"/>
    <w:basedOn w:val="1"/>
    <w:autoRedefine/>
    <w:qFormat/>
    <w:uiPriority w:val="99"/>
    <w:pPr>
      <w:widowControl/>
      <w:spacing w:after="200" w:line="273" w:lineRule="auto"/>
      <w:jc w:val="left"/>
    </w:pPr>
    <w:rPr>
      <w:rFonts w:ascii="宋体" w:hAnsi="宋体" w:cs="宋体"/>
      <w:kern w:val="0"/>
    </w:rPr>
  </w:style>
  <w:style w:type="paragraph" w:customStyle="1" w:styleId="555">
    <w:name w:val="样式 内容 + 左侧:  0.85 厘米 首行缩进:  0 字符1"/>
    <w:basedOn w:val="137"/>
    <w:autoRedefine/>
    <w:qFormat/>
    <w:uiPriority w:val="99"/>
    <w:pPr>
      <w:widowControl/>
      <w:tabs>
        <w:tab w:val="left" w:pos="915"/>
      </w:tabs>
      <w:adjustRightInd w:val="0"/>
      <w:snapToGrid w:val="0"/>
      <w:spacing w:beforeLines="100" w:line="360" w:lineRule="auto"/>
      <w:ind w:firstLine="0" w:firstLineChars="0"/>
    </w:pPr>
    <w:rPr>
      <w:rFonts w:ascii="Times New Roman" w:cs="Times New Roman"/>
    </w:rPr>
  </w:style>
  <w:style w:type="paragraph" w:customStyle="1" w:styleId="556">
    <w:name w:val="样式 宋体 四号 行距: 最小值 24 磅"/>
    <w:basedOn w:val="1"/>
    <w:autoRedefine/>
    <w:qFormat/>
    <w:uiPriority w:val="99"/>
    <w:pPr>
      <w:adjustRightInd w:val="0"/>
      <w:snapToGrid w:val="0"/>
      <w:spacing w:beforeLines="50" w:line="360" w:lineRule="auto"/>
      <w:ind w:firstLine="480" w:firstLineChars="200"/>
    </w:pPr>
    <w:rPr>
      <w:sz w:val="24"/>
      <w:szCs w:val="24"/>
    </w:rPr>
  </w:style>
  <w:style w:type="paragraph" w:customStyle="1" w:styleId="557">
    <w:name w:val="xl40"/>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558">
    <w:name w:val="Char Char Char Char Char Char Char Char Char Char Char Char Char11"/>
    <w:basedOn w:val="1"/>
    <w:autoRedefine/>
    <w:qFormat/>
    <w:uiPriority w:val="99"/>
    <w:rPr>
      <w:sz w:val="24"/>
      <w:szCs w:val="24"/>
    </w:rPr>
  </w:style>
  <w:style w:type="paragraph" w:customStyle="1" w:styleId="559">
    <w:name w:val="Char1 Char Char Char2"/>
    <w:basedOn w:val="1"/>
    <w:autoRedefine/>
    <w:qFormat/>
    <w:uiPriority w:val="99"/>
    <w:rPr>
      <w:sz w:val="24"/>
      <w:szCs w:val="24"/>
    </w:rPr>
  </w:style>
  <w:style w:type="paragraph" w:customStyle="1" w:styleId="560">
    <w:name w:val="标题2"/>
    <w:basedOn w:val="1"/>
    <w:autoRedefine/>
    <w:qFormat/>
    <w:uiPriority w:val="99"/>
    <w:pPr>
      <w:jc w:val="center"/>
    </w:pPr>
    <w:rPr>
      <w:rFonts w:ascii="宋体" w:hAnsi="宋体" w:cs="宋体"/>
      <w:sz w:val="24"/>
      <w:szCs w:val="24"/>
    </w:rPr>
  </w:style>
  <w:style w:type="paragraph" w:customStyle="1" w:styleId="561">
    <w:name w:val="标题 11"/>
    <w:basedOn w:val="1"/>
    <w:autoRedefine/>
    <w:qFormat/>
    <w:uiPriority w:val="99"/>
    <w:pPr>
      <w:autoSpaceDE w:val="0"/>
      <w:autoSpaceDN w:val="0"/>
      <w:adjustRightInd w:val="0"/>
      <w:spacing w:after="200" w:line="276" w:lineRule="auto"/>
      <w:ind w:left="3389"/>
      <w:jc w:val="left"/>
      <w:outlineLvl w:val="0"/>
    </w:pPr>
    <w:rPr>
      <w:rFonts w:ascii="黑体" w:eastAsia="黑体" w:cs="黑体"/>
      <w:kern w:val="0"/>
      <w:sz w:val="72"/>
      <w:szCs w:val="72"/>
    </w:rPr>
  </w:style>
  <w:style w:type="paragraph" w:customStyle="1" w:styleId="562">
    <w:name w:val="正文文本缩进1"/>
    <w:basedOn w:val="51"/>
    <w:autoRedefine/>
    <w:qFormat/>
    <w:uiPriority w:val="99"/>
    <w:pPr>
      <w:adjustRightInd/>
      <w:spacing w:line="480" w:lineRule="exact"/>
      <w:ind w:firstLine="200" w:firstLineChars="200"/>
      <w:textAlignment w:val="auto"/>
    </w:pPr>
    <w:rPr>
      <w:rFonts w:ascii="Times New Roman" w:cs="Times New Roman"/>
      <w:kern w:val="2"/>
    </w:rPr>
  </w:style>
  <w:style w:type="paragraph" w:customStyle="1" w:styleId="563">
    <w:name w:val="xl26"/>
    <w:basedOn w:val="1"/>
    <w:autoRedefine/>
    <w:qFormat/>
    <w:uiPriority w:val="99"/>
    <w:pPr>
      <w:widowControl/>
      <w:spacing w:before="100" w:beforeAutospacing="1" w:after="100" w:afterAutospacing="1"/>
      <w:jc w:val="center"/>
      <w:textAlignment w:val="center"/>
    </w:pPr>
    <w:rPr>
      <w:rFonts w:ascii="宋体" w:cs="宋体"/>
      <w:kern w:val="0"/>
      <w:sz w:val="24"/>
      <w:szCs w:val="24"/>
    </w:rPr>
  </w:style>
  <w:style w:type="paragraph" w:customStyle="1" w:styleId="564">
    <w:name w:val="默认段落字体 Para Char Char Char Char Char Char Char Char Char Char Char Char Char Char Char1 Char Char Char Char"/>
    <w:basedOn w:val="26"/>
    <w:autoRedefine/>
    <w:qFormat/>
    <w:uiPriority w:val="99"/>
    <w:pPr>
      <w:adjustRightInd w:val="0"/>
      <w:spacing w:line="436" w:lineRule="exact"/>
      <w:ind w:left="357"/>
      <w:jc w:val="left"/>
      <w:outlineLvl w:val="3"/>
    </w:pPr>
    <w:rPr>
      <w:rFonts w:ascii="Tahoma" w:hAnsi="Tahoma" w:cs="Tahoma"/>
      <w:b/>
      <w:bCs/>
    </w:rPr>
  </w:style>
  <w:style w:type="paragraph" w:customStyle="1" w:styleId="565">
    <w:name w:val="Char Char Char Char Char Char Char Char1"/>
    <w:basedOn w:val="1"/>
    <w:autoRedefine/>
    <w:qFormat/>
    <w:uiPriority w:val="99"/>
    <w:rPr>
      <w:sz w:val="24"/>
      <w:szCs w:val="24"/>
    </w:rPr>
  </w:style>
  <w:style w:type="paragraph" w:customStyle="1" w:styleId="566">
    <w:name w:val="样式 标题 1章 + 非加粗"/>
    <w:basedOn w:val="3"/>
    <w:autoRedefine/>
    <w:qFormat/>
    <w:uiPriority w:val="99"/>
    <w:pPr>
      <w:pageBreakBefore/>
      <w:adjustRightInd w:val="0"/>
      <w:snapToGrid w:val="0"/>
      <w:spacing w:before="240" w:after="240" w:line="360" w:lineRule="auto"/>
      <w:jc w:val="left"/>
      <w:textAlignment w:val="baseline"/>
    </w:pPr>
    <w:rPr>
      <w:rFonts w:ascii="黑体" w:eastAsia="黑体" w:cs="黑体"/>
      <w:b w:val="0"/>
      <w:bCs w:val="0"/>
      <w:sz w:val="32"/>
      <w:szCs w:val="32"/>
    </w:rPr>
  </w:style>
  <w:style w:type="paragraph" w:customStyle="1" w:styleId="567">
    <w:name w:val="表格正文"/>
    <w:basedOn w:val="1"/>
    <w:autoRedefine/>
    <w:qFormat/>
    <w:uiPriority w:val="99"/>
  </w:style>
  <w:style w:type="paragraph" w:customStyle="1" w:styleId="568">
    <w:name w:val="CM10"/>
    <w:basedOn w:val="116"/>
    <w:next w:val="116"/>
    <w:autoRedefine/>
    <w:qFormat/>
    <w:uiPriority w:val="99"/>
    <w:rPr>
      <w:rFonts w:ascii="Arial" w:hAnsi="Arial" w:cs="Arial"/>
      <w:color w:val="auto"/>
    </w:rPr>
  </w:style>
  <w:style w:type="paragraph" w:customStyle="1" w:styleId="569">
    <w:name w:val="编制单位"/>
    <w:basedOn w:val="1"/>
    <w:autoRedefine/>
    <w:qFormat/>
    <w:uiPriority w:val="99"/>
    <w:pPr>
      <w:jc w:val="center"/>
    </w:pPr>
    <w:rPr>
      <w:b/>
      <w:bCs/>
      <w:spacing w:val="24"/>
      <w:sz w:val="36"/>
      <w:szCs w:val="36"/>
    </w:rPr>
  </w:style>
  <w:style w:type="paragraph" w:customStyle="1" w:styleId="570">
    <w:name w:val="Char4"/>
    <w:basedOn w:val="1"/>
    <w:autoRedefine/>
    <w:qFormat/>
    <w:uiPriority w:val="99"/>
    <w:rPr>
      <w:sz w:val="24"/>
      <w:szCs w:val="24"/>
    </w:rPr>
  </w:style>
  <w:style w:type="paragraph" w:customStyle="1" w:styleId="571">
    <w:name w:val="表格侧编号"/>
    <w:next w:val="1"/>
    <w:autoRedefine/>
    <w:qFormat/>
    <w:uiPriority w:val="99"/>
    <w:pPr>
      <w:widowControl w:val="0"/>
      <w:adjustRightInd w:val="0"/>
      <w:spacing w:line="360" w:lineRule="auto"/>
      <w:jc w:val="center"/>
      <w:textAlignment w:val="baseline"/>
    </w:pPr>
    <w:rPr>
      <w:rFonts w:ascii="仿宋_GB2312" w:hAnsi="宋体" w:eastAsia="仿宋_GB2312" w:cs="仿宋_GB2312"/>
      <w:b/>
      <w:bCs/>
      <w:sz w:val="21"/>
      <w:szCs w:val="21"/>
      <w:lang w:val="en-US" w:eastAsia="zh-CN" w:bidi="ar-SA"/>
    </w:rPr>
  </w:style>
  <w:style w:type="paragraph" w:customStyle="1" w:styleId="572">
    <w:name w:val="xl86"/>
    <w:basedOn w:val="1"/>
    <w:autoRedefine/>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573">
    <w:name w:val="居中文字"/>
    <w:basedOn w:val="1"/>
    <w:autoRedefine/>
    <w:qFormat/>
    <w:uiPriority w:val="99"/>
    <w:pPr>
      <w:adjustRightInd w:val="0"/>
      <w:spacing w:before="120" w:after="60"/>
      <w:jc w:val="center"/>
      <w:textAlignment w:val="baseline"/>
    </w:pPr>
    <w:rPr>
      <w:kern w:val="0"/>
      <w:sz w:val="32"/>
      <w:szCs w:val="32"/>
    </w:rPr>
  </w:style>
  <w:style w:type="paragraph" w:customStyle="1" w:styleId="574">
    <w:name w:val="Char42"/>
    <w:basedOn w:val="1"/>
    <w:autoRedefine/>
    <w:qFormat/>
    <w:uiPriority w:val="99"/>
    <w:rPr>
      <w:sz w:val="24"/>
      <w:szCs w:val="24"/>
    </w:rPr>
  </w:style>
  <w:style w:type="paragraph" w:customStyle="1" w:styleId="575">
    <w:name w:val="洋大"/>
    <w:basedOn w:val="1"/>
    <w:next w:val="3"/>
    <w:autoRedefine/>
    <w:qFormat/>
    <w:uiPriority w:val="99"/>
    <w:pPr>
      <w:spacing w:line="360" w:lineRule="auto"/>
      <w:jc w:val="center"/>
    </w:pPr>
    <w:rPr>
      <w:b/>
      <w:bCs/>
      <w:sz w:val="44"/>
      <w:szCs w:val="44"/>
    </w:rPr>
  </w:style>
  <w:style w:type="paragraph" w:customStyle="1" w:styleId="576">
    <w:name w:val="表题注"/>
    <w:basedOn w:val="22"/>
    <w:autoRedefine/>
    <w:qFormat/>
    <w:uiPriority w:val="99"/>
    <w:pPr>
      <w:keepNext/>
      <w:tabs>
        <w:tab w:val="left" w:pos="600"/>
      </w:tabs>
      <w:adjustRightInd w:val="0"/>
      <w:spacing w:line="360" w:lineRule="auto"/>
      <w:ind w:firstLine="0" w:firstLineChars="0"/>
      <w:jc w:val="left"/>
      <w:textAlignment w:val="baseline"/>
    </w:pPr>
    <w:rPr>
      <w:color w:val="auto"/>
      <w:kern w:val="0"/>
      <w:sz w:val="21"/>
      <w:szCs w:val="21"/>
    </w:rPr>
  </w:style>
  <w:style w:type="paragraph" w:customStyle="1" w:styleId="577">
    <w:name w:val="Formatvorlage1"/>
    <w:basedOn w:val="1"/>
    <w:autoRedefine/>
    <w:qFormat/>
    <w:uiPriority w:val="99"/>
    <w:pPr>
      <w:widowControl/>
      <w:jc w:val="left"/>
    </w:pPr>
    <w:rPr>
      <w:rFonts w:ascii="Arial" w:hAnsi="Arial" w:cs="Arial"/>
      <w:kern w:val="0"/>
      <w:sz w:val="22"/>
      <w:szCs w:val="22"/>
      <w:lang w:eastAsia="de-DE"/>
    </w:rPr>
  </w:style>
  <w:style w:type="paragraph" w:customStyle="1" w:styleId="578">
    <w:name w:val="Char Char Char Char Char Char Char Char Char Char Char Char Char Char Char Char Char Char Char Char Char Char2"/>
    <w:basedOn w:val="1"/>
    <w:autoRedefine/>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579">
    <w:name w:val="标题 71"/>
    <w:basedOn w:val="1"/>
    <w:autoRedefine/>
    <w:qFormat/>
    <w:uiPriority w:val="99"/>
    <w:pPr>
      <w:autoSpaceDE w:val="0"/>
      <w:autoSpaceDN w:val="0"/>
      <w:adjustRightInd w:val="0"/>
      <w:spacing w:after="200" w:line="276" w:lineRule="auto"/>
      <w:jc w:val="left"/>
      <w:outlineLvl w:val="6"/>
    </w:pPr>
    <w:rPr>
      <w:rFonts w:ascii="黑体" w:eastAsia="黑体" w:cs="黑体"/>
      <w:kern w:val="0"/>
      <w:sz w:val="28"/>
      <w:szCs w:val="28"/>
    </w:rPr>
  </w:style>
  <w:style w:type="paragraph" w:customStyle="1" w:styleId="580">
    <w:name w:val="font7"/>
    <w:basedOn w:val="1"/>
    <w:autoRedefine/>
    <w:qFormat/>
    <w:uiPriority w:val="99"/>
    <w:pPr>
      <w:widowControl/>
      <w:spacing w:before="100" w:beforeAutospacing="1" w:after="100" w:afterAutospacing="1"/>
      <w:jc w:val="left"/>
    </w:pPr>
    <w:rPr>
      <w:rFonts w:ascii="宋体" w:hAnsi="宋体" w:cs="宋体"/>
      <w:kern w:val="0"/>
      <w:sz w:val="22"/>
      <w:szCs w:val="22"/>
    </w:rPr>
  </w:style>
  <w:style w:type="paragraph" w:customStyle="1" w:styleId="581">
    <w:name w:val="xl8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18"/>
      <w:szCs w:val="18"/>
    </w:rPr>
  </w:style>
  <w:style w:type="paragraph" w:customStyle="1" w:styleId="582">
    <w:name w:val="biao"/>
    <w:basedOn w:val="1"/>
    <w:autoRedefine/>
    <w:qFormat/>
    <w:uiPriority w:val="99"/>
    <w:pPr>
      <w:tabs>
        <w:tab w:val="left" w:pos="2340"/>
      </w:tabs>
      <w:autoSpaceDE w:val="0"/>
      <w:autoSpaceDN w:val="0"/>
      <w:adjustRightInd w:val="0"/>
      <w:spacing w:line="240" w:lineRule="atLeast"/>
      <w:jc w:val="center"/>
    </w:pPr>
    <w:rPr>
      <w:rFonts w:ascii="黑体" w:hAnsi="Tms Rmn" w:eastAsia="黑体" w:cs="黑体"/>
      <w:kern w:val="0"/>
      <w:sz w:val="30"/>
      <w:szCs w:val="30"/>
    </w:rPr>
  </w:style>
  <w:style w:type="paragraph" w:customStyle="1" w:styleId="583">
    <w:name w:val="样式 洋正 + 左侧:  0 厘米 首行缩进:  0 字符"/>
    <w:basedOn w:val="194"/>
    <w:autoRedefine/>
    <w:qFormat/>
    <w:uiPriority w:val="99"/>
    <w:pPr>
      <w:keepLines/>
      <w:ind w:firstLine="480"/>
    </w:pPr>
  </w:style>
  <w:style w:type="paragraph" w:customStyle="1" w:styleId="584">
    <w:name w:val="xl5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2"/>
      <w:szCs w:val="22"/>
    </w:rPr>
  </w:style>
  <w:style w:type="paragraph" w:customStyle="1" w:styleId="585">
    <w:name w:val="xl80"/>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pPr>
    <w:rPr>
      <w:rFonts w:ascii="宋体" w:hAnsi="宋体" w:cs="宋体"/>
      <w:color w:val="000000"/>
      <w:kern w:val="0"/>
      <w:sz w:val="18"/>
      <w:szCs w:val="18"/>
    </w:rPr>
  </w:style>
  <w:style w:type="paragraph" w:customStyle="1" w:styleId="586">
    <w:name w:val="p14"/>
    <w:basedOn w:val="1"/>
    <w:autoRedefine/>
    <w:qFormat/>
    <w:uiPriority w:val="99"/>
    <w:pPr>
      <w:widowControl/>
      <w:spacing w:after="200" w:line="480" w:lineRule="auto"/>
      <w:jc w:val="left"/>
    </w:pPr>
    <w:rPr>
      <w:rFonts w:ascii="宋体" w:hAnsi="宋体" w:cs="宋体"/>
      <w:kern w:val="0"/>
    </w:rPr>
  </w:style>
  <w:style w:type="paragraph" w:customStyle="1" w:styleId="587">
    <w:name w:val="正文(无缩进)"/>
    <w:basedOn w:val="148"/>
    <w:autoRedefine/>
    <w:qFormat/>
    <w:uiPriority w:val="99"/>
    <w:pPr>
      <w:ind w:firstLine="0" w:firstLineChars="0"/>
    </w:pPr>
  </w:style>
  <w:style w:type="paragraph" w:customStyle="1" w:styleId="588">
    <w:name w:val="xl5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22"/>
      <w:szCs w:val="22"/>
    </w:rPr>
  </w:style>
  <w:style w:type="paragraph" w:customStyle="1" w:styleId="589">
    <w:name w:val="副标题1"/>
    <w:basedOn w:val="1"/>
    <w:autoRedefine/>
    <w:qFormat/>
    <w:uiPriority w:val="99"/>
    <w:pPr>
      <w:numPr>
        <w:ilvl w:val="1"/>
        <w:numId w:val="1"/>
      </w:numPr>
      <w:tabs>
        <w:tab w:val="left" w:pos="1440"/>
        <w:tab w:val="left" w:pos="1620"/>
      </w:tabs>
      <w:ind w:left="142" w:hanging="360"/>
    </w:pPr>
  </w:style>
  <w:style w:type="paragraph" w:customStyle="1" w:styleId="590">
    <w:name w:val="xl6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2"/>
      <w:szCs w:val="22"/>
    </w:rPr>
  </w:style>
  <w:style w:type="paragraph" w:customStyle="1" w:styleId="591">
    <w:name w:val="Char Char Char Char Char1 Char1"/>
    <w:basedOn w:val="1"/>
    <w:autoRedefine/>
    <w:qFormat/>
    <w:uiPriority w:val="99"/>
    <w:rPr>
      <w:sz w:val="24"/>
      <w:szCs w:val="24"/>
    </w:rPr>
  </w:style>
  <w:style w:type="paragraph" w:customStyle="1" w:styleId="592">
    <w:name w:val="Char Char Char Char Char Char1 Char Char Char Char Char1 Char Char Char Char1"/>
    <w:basedOn w:val="1"/>
    <w:autoRedefine/>
    <w:qFormat/>
    <w:uiPriority w:val="99"/>
    <w:rPr>
      <w:sz w:val="24"/>
      <w:szCs w:val="24"/>
    </w:rPr>
  </w:style>
  <w:style w:type="paragraph" w:customStyle="1" w:styleId="593">
    <w:name w:val="一号"/>
    <w:autoRedefine/>
    <w:semiHidden/>
    <w:qFormat/>
    <w:uiPriority w:val="99"/>
    <w:pPr>
      <w:spacing w:line="360" w:lineRule="auto"/>
      <w:jc w:val="center"/>
    </w:pPr>
    <w:rPr>
      <w:rFonts w:ascii="Calibri" w:hAnsi="Calibri" w:eastAsia="宋体" w:cs="Calibri"/>
      <w:b/>
      <w:bCs/>
      <w:sz w:val="52"/>
      <w:szCs w:val="52"/>
      <w:lang w:val="en-US" w:eastAsia="zh-CN" w:bidi="ar-SA"/>
    </w:rPr>
  </w:style>
  <w:style w:type="paragraph" w:customStyle="1" w:styleId="594">
    <w:name w:val="Char Char Char Char Char1 Char Char Char Char"/>
    <w:basedOn w:val="1"/>
    <w:autoRedefine/>
    <w:qFormat/>
    <w:uiPriority w:val="99"/>
    <w:pPr>
      <w:spacing w:line="360" w:lineRule="auto"/>
    </w:pPr>
    <w:rPr>
      <w:rFonts w:ascii="Tahoma" w:hAnsi="Tahoma" w:cs="Tahoma"/>
      <w:sz w:val="24"/>
      <w:szCs w:val="24"/>
    </w:rPr>
  </w:style>
  <w:style w:type="paragraph" w:customStyle="1" w:styleId="595">
    <w:name w:val="样式 标题3 + 行距: 1.5 倍行距"/>
    <w:basedOn w:val="596"/>
    <w:autoRedefine/>
    <w:qFormat/>
    <w:uiPriority w:val="99"/>
    <w:pPr>
      <w:keepNext w:val="0"/>
      <w:tabs>
        <w:tab w:val="left" w:pos="720"/>
        <w:tab w:val="left" w:pos="840"/>
        <w:tab w:val="left" w:pos="900"/>
        <w:tab w:val="left" w:pos="1560"/>
      </w:tabs>
      <w:snapToGrid w:val="0"/>
      <w:spacing w:beforeLines="25" w:afterLines="25" w:line="300" w:lineRule="auto"/>
      <w:ind w:left="0" w:firstLine="0"/>
    </w:pPr>
  </w:style>
  <w:style w:type="paragraph" w:customStyle="1" w:styleId="596">
    <w:name w:val="标题3"/>
    <w:basedOn w:val="5"/>
    <w:autoRedefine/>
    <w:qFormat/>
    <w:uiPriority w:val="99"/>
    <w:pPr>
      <w:keepLines w:val="0"/>
      <w:tabs>
        <w:tab w:val="left" w:pos="840"/>
        <w:tab w:val="left" w:pos="900"/>
        <w:tab w:val="left" w:pos="1560"/>
      </w:tabs>
      <w:adjustRightInd w:val="0"/>
      <w:spacing w:before="0" w:after="0" w:line="360" w:lineRule="auto"/>
      <w:ind w:left="840" w:hanging="360" w:firstLineChars="0"/>
      <w:textAlignment w:val="baseline"/>
    </w:pPr>
    <w:rPr>
      <w:rFonts w:ascii="Times New Roman" w:hAnsi="Times New Roman" w:eastAsia="宋体" w:cs="Times New Roman"/>
      <w:kern w:val="0"/>
      <w:sz w:val="24"/>
      <w:szCs w:val="24"/>
    </w:rPr>
  </w:style>
  <w:style w:type="paragraph" w:customStyle="1" w:styleId="597">
    <w:name w:val="Normal_0_0_0_0"/>
    <w:basedOn w:val="537"/>
    <w:autoRedefine/>
    <w:qFormat/>
    <w:uiPriority w:val="99"/>
    <w:pPr>
      <w:jc w:val="left"/>
    </w:pPr>
    <w:rPr>
      <w:sz w:val="24"/>
      <w:szCs w:val="24"/>
    </w:rPr>
  </w:style>
  <w:style w:type="paragraph" w:customStyle="1" w:styleId="598">
    <w:name w:val="Char Char Char Char Char Char Char Char Char2"/>
    <w:basedOn w:val="1"/>
    <w:autoRedefine/>
    <w:qFormat/>
    <w:uiPriority w:val="99"/>
    <w:rPr>
      <w:sz w:val="24"/>
      <w:szCs w:val="24"/>
    </w:rPr>
  </w:style>
  <w:style w:type="paragraph" w:customStyle="1" w:styleId="599">
    <w:name w:val="Char Char Char Char Char111"/>
    <w:basedOn w:val="1"/>
    <w:autoRedefine/>
    <w:qFormat/>
    <w:uiPriority w:val="99"/>
    <w:rPr>
      <w:sz w:val="24"/>
      <w:szCs w:val="24"/>
    </w:rPr>
  </w:style>
  <w:style w:type="paragraph" w:customStyle="1" w:styleId="600">
    <w:name w:val="Char Char1 Char Char Char Char Char Char Char Char Char Char11"/>
    <w:basedOn w:val="1"/>
    <w:autoRedefine/>
    <w:qFormat/>
    <w:uiPriority w:val="99"/>
    <w:rPr>
      <w:sz w:val="24"/>
      <w:szCs w:val="24"/>
    </w:rPr>
  </w:style>
  <w:style w:type="paragraph" w:customStyle="1" w:styleId="601">
    <w:name w:val="Char Char Char Char Char1 Char Char11"/>
    <w:basedOn w:val="1"/>
    <w:autoRedefine/>
    <w:qFormat/>
    <w:uiPriority w:val="99"/>
    <w:rPr>
      <w:sz w:val="24"/>
      <w:szCs w:val="24"/>
    </w:rPr>
  </w:style>
  <w:style w:type="paragraph" w:customStyle="1" w:styleId="602">
    <w:name w:val="Char Char Char Char Char Char Char Char Char Char Char Char Char Char Char Char Char Char"/>
    <w:basedOn w:val="1"/>
    <w:autoRedefine/>
    <w:qFormat/>
    <w:uiPriority w:val="99"/>
    <w:pPr>
      <w:spacing w:after="200" w:line="276" w:lineRule="auto"/>
    </w:pPr>
    <w:rPr>
      <w:sz w:val="24"/>
      <w:szCs w:val="24"/>
    </w:rPr>
  </w:style>
  <w:style w:type="paragraph" w:customStyle="1" w:styleId="603">
    <w:name w:val="样式 标题 1 + 黑体 四号"/>
    <w:basedOn w:val="3"/>
    <w:autoRedefine/>
    <w:qFormat/>
    <w:uiPriority w:val="99"/>
    <w:pPr>
      <w:spacing w:before="0" w:after="0" w:line="480" w:lineRule="auto"/>
    </w:pPr>
    <w:rPr>
      <w:rFonts w:ascii="宋体" w:hAnsi="黑体" w:cs="宋体"/>
      <w:sz w:val="24"/>
      <w:szCs w:val="24"/>
    </w:rPr>
  </w:style>
  <w:style w:type="paragraph" w:customStyle="1" w:styleId="604">
    <w:name w:val="xl3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605">
    <w:name w:val="Char Char Char Char4"/>
    <w:basedOn w:val="1"/>
    <w:autoRedefine/>
    <w:qFormat/>
    <w:uiPriority w:val="99"/>
    <w:rPr>
      <w:sz w:val="24"/>
      <w:szCs w:val="24"/>
    </w:rPr>
  </w:style>
  <w:style w:type="paragraph" w:customStyle="1" w:styleId="606">
    <w:name w:val="电视塔表格"/>
    <w:basedOn w:val="1"/>
    <w:autoRedefine/>
    <w:qFormat/>
    <w:uiPriority w:val="99"/>
    <w:pPr>
      <w:spacing w:after="60" w:line="360" w:lineRule="auto"/>
      <w:jc w:val="center"/>
    </w:pPr>
    <w:rPr>
      <w:sz w:val="24"/>
      <w:szCs w:val="24"/>
    </w:rPr>
  </w:style>
  <w:style w:type="paragraph" w:customStyle="1" w:styleId="607">
    <w:name w:val="样式 目录 2 + 首行缩进:  3 字符"/>
    <w:basedOn w:val="74"/>
    <w:autoRedefine/>
    <w:qFormat/>
    <w:uiPriority w:val="99"/>
    <w:pPr>
      <w:ind w:firstLine="723"/>
    </w:pPr>
    <w:rPr>
      <w:b/>
      <w:bCs/>
      <w:smallCaps w:val="0"/>
    </w:rPr>
  </w:style>
  <w:style w:type="paragraph" w:customStyle="1" w:styleId="608">
    <w:name w:val="Char61"/>
    <w:basedOn w:val="1"/>
    <w:autoRedefine/>
    <w:qFormat/>
    <w:uiPriority w:val="99"/>
    <w:pPr>
      <w:tabs>
        <w:tab w:val="left" w:pos="794"/>
        <w:tab w:val="left" w:pos="1191"/>
        <w:tab w:val="left" w:pos="1588"/>
        <w:tab w:val="left" w:pos="1985"/>
      </w:tabs>
      <w:autoSpaceDE w:val="0"/>
      <w:autoSpaceDN w:val="0"/>
      <w:adjustRightInd w:val="0"/>
      <w:spacing w:before="136" w:after="200" w:line="276" w:lineRule="auto"/>
    </w:pPr>
    <w:rPr>
      <w:rFonts w:ascii="Tahoma" w:hAnsi="Tahoma" w:cs="Tahoma"/>
      <w:kern w:val="0"/>
      <w:sz w:val="24"/>
      <w:szCs w:val="24"/>
      <w:lang w:val="en-GB"/>
    </w:rPr>
  </w:style>
  <w:style w:type="paragraph" w:customStyle="1" w:styleId="609">
    <w:name w:val="Char Char Char Char Char1 Char Char Char1"/>
    <w:basedOn w:val="1"/>
    <w:autoRedefine/>
    <w:qFormat/>
    <w:uiPriority w:val="99"/>
    <w:rPr>
      <w:sz w:val="24"/>
      <w:szCs w:val="24"/>
    </w:rPr>
  </w:style>
  <w:style w:type="paragraph" w:customStyle="1" w:styleId="610">
    <w:name w:val="文件标题"/>
    <w:basedOn w:val="1"/>
    <w:autoRedefine/>
    <w:qFormat/>
    <w:uiPriority w:val="99"/>
    <w:pPr>
      <w:autoSpaceDE w:val="0"/>
      <w:autoSpaceDN w:val="0"/>
      <w:adjustRightInd w:val="0"/>
      <w:spacing w:after="240" w:line="276" w:lineRule="auto"/>
      <w:jc w:val="center"/>
    </w:pPr>
    <w:rPr>
      <w:rFonts w:ascii="Arial Black" w:hAnsi="Arial Black" w:cs="Arial Black"/>
      <w:kern w:val="0"/>
      <w:sz w:val="48"/>
      <w:szCs w:val="48"/>
    </w:rPr>
  </w:style>
  <w:style w:type="paragraph" w:customStyle="1" w:styleId="611">
    <w:name w:val="CM53"/>
    <w:basedOn w:val="1"/>
    <w:next w:val="1"/>
    <w:autoRedefine/>
    <w:qFormat/>
    <w:uiPriority w:val="99"/>
    <w:pPr>
      <w:autoSpaceDE w:val="0"/>
      <w:autoSpaceDN w:val="0"/>
      <w:adjustRightInd w:val="0"/>
      <w:spacing w:after="418"/>
      <w:jc w:val="left"/>
    </w:pPr>
    <w:rPr>
      <w:rFonts w:ascii="宋体" w:cs="宋体"/>
      <w:kern w:val="0"/>
      <w:sz w:val="24"/>
      <w:szCs w:val="24"/>
    </w:rPr>
  </w:style>
  <w:style w:type="paragraph" w:customStyle="1" w:styleId="612">
    <w:name w:val="徐京伦－－标题2"/>
    <w:basedOn w:val="1"/>
    <w:autoRedefine/>
    <w:qFormat/>
    <w:uiPriority w:val="99"/>
    <w:pPr>
      <w:numPr>
        <w:ilvl w:val="0"/>
        <w:numId w:val="8"/>
      </w:numPr>
      <w:tabs>
        <w:tab w:val="left" w:pos="425"/>
        <w:tab w:val="clear" w:pos="2040"/>
      </w:tabs>
      <w:adjustRightInd w:val="0"/>
      <w:spacing w:line="480" w:lineRule="atLeast"/>
      <w:ind w:left="425" w:leftChars="0" w:hanging="425" w:firstLineChars="0"/>
      <w:textAlignment w:val="baseline"/>
    </w:pPr>
    <w:rPr>
      <w:b/>
      <w:bCs/>
      <w:spacing w:val="2"/>
      <w:kern w:val="0"/>
      <w:sz w:val="24"/>
      <w:szCs w:val="24"/>
    </w:rPr>
  </w:style>
  <w:style w:type="paragraph" w:customStyle="1" w:styleId="613">
    <w:name w:val="Char Char Char1 Char Char Char"/>
    <w:basedOn w:val="1"/>
    <w:autoRedefine/>
    <w:qFormat/>
    <w:uiPriority w:val="99"/>
    <w:pPr>
      <w:adjustRightInd w:val="0"/>
      <w:spacing w:line="312" w:lineRule="atLeast"/>
      <w:textAlignment w:val="baseline"/>
    </w:pPr>
    <w:rPr>
      <w:kern w:val="0"/>
    </w:rPr>
  </w:style>
  <w:style w:type="paragraph" w:customStyle="1" w:styleId="614">
    <w:name w:val="xl4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2"/>
      <w:szCs w:val="22"/>
    </w:rPr>
  </w:style>
  <w:style w:type="paragraph" w:customStyle="1" w:styleId="615">
    <w:name w:val="_Style 306"/>
    <w:next w:val="1"/>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616">
    <w:name w:val="Char Char1 Char Char Char Char Char Char1"/>
    <w:basedOn w:val="1"/>
    <w:autoRedefine/>
    <w:qFormat/>
    <w:uiPriority w:val="99"/>
    <w:pPr>
      <w:adjustRightInd w:val="0"/>
      <w:spacing w:line="312" w:lineRule="atLeast"/>
      <w:textAlignment w:val="baseline"/>
    </w:pPr>
    <w:rPr>
      <w:kern w:val="0"/>
    </w:rPr>
  </w:style>
  <w:style w:type="paragraph" w:customStyle="1" w:styleId="617">
    <w:name w:val="五号"/>
    <w:autoRedefine/>
    <w:semiHidden/>
    <w:qFormat/>
    <w:uiPriority w:val="99"/>
    <w:pPr>
      <w:spacing w:line="240" w:lineRule="atLeast"/>
      <w:jc w:val="both"/>
    </w:pPr>
    <w:rPr>
      <w:rFonts w:ascii="Calibri" w:hAnsi="Calibri" w:eastAsia="宋体" w:cs="Calibri"/>
      <w:sz w:val="21"/>
      <w:szCs w:val="21"/>
      <w:lang w:val="en-US" w:eastAsia="zh-CN" w:bidi="ar-SA"/>
    </w:rPr>
  </w:style>
  <w:style w:type="paragraph" w:customStyle="1" w:styleId="618">
    <w:name w:val="Char Char Char1 Char Char Char Char Char Char Char Char Char Char"/>
    <w:basedOn w:val="1"/>
    <w:autoRedefine/>
    <w:qFormat/>
    <w:uiPriority w:val="99"/>
    <w:rPr>
      <w:sz w:val="24"/>
      <w:szCs w:val="24"/>
    </w:rPr>
  </w:style>
  <w:style w:type="paragraph" w:customStyle="1" w:styleId="619">
    <w:name w:val="标题 21"/>
    <w:basedOn w:val="1"/>
    <w:autoRedefine/>
    <w:qFormat/>
    <w:uiPriority w:val="99"/>
    <w:pPr>
      <w:autoSpaceDE w:val="0"/>
      <w:autoSpaceDN w:val="0"/>
      <w:adjustRightInd w:val="0"/>
      <w:spacing w:after="200" w:line="276" w:lineRule="auto"/>
      <w:jc w:val="left"/>
      <w:outlineLvl w:val="1"/>
    </w:pPr>
    <w:rPr>
      <w:rFonts w:ascii="宋体" w:cs="宋体"/>
      <w:kern w:val="0"/>
      <w:sz w:val="48"/>
      <w:szCs w:val="48"/>
    </w:rPr>
  </w:style>
  <w:style w:type="paragraph" w:customStyle="1" w:styleId="620">
    <w:name w:val="Char Char1 Char Char Char Char Char Char Char Char Char Char"/>
    <w:basedOn w:val="1"/>
    <w:autoRedefine/>
    <w:qFormat/>
    <w:uiPriority w:val="99"/>
    <w:rPr>
      <w:sz w:val="24"/>
      <w:szCs w:val="24"/>
    </w:rPr>
  </w:style>
  <w:style w:type="paragraph" w:customStyle="1" w:styleId="621">
    <w:name w:val="Char Char1 Char"/>
    <w:basedOn w:val="1"/>
    <w:autoRedefine/>
    <w:qFormat/>
    <w:uiPriority w:val="99"/>
    <w:rPr>
      <w:sz w:val="24"/>
      <w:szCs w:val="24"/>
    </w:rPr>
  </w:style>
  <w:style w:type="paragraph" w:customStyle="1" w:styleId="622">
    <w:name w:val="样式 首行缩进:  2 字符"/>
    <w:basedOn w:val="1"/>
    <w:autoRedefine/>
    <w:qFormat/>
    <w:uiPriority w:val="99"/>
    <w:pPr>
      <w:spacing w:line="360" w:lineRule="auto"/>
      <w:ind w:firstLine="420" w:firstLineChars="200"/>
    </w:pPr>
    <w:rPr>
      <w:sz w:val="24"/>
      <w:szCs w:val="24"/>
    </w:rPr>
  </w:style>
  <w:style w:type="paragraph" w:customStyle="1" w:styleId="623">
    <w:name w:val="港珠澳正文"/>
    <w:basedOn w:val="1"/>
    <w:autoRedefine/>
    <w:qFormat/>
    <w:uiPriority w:val="99"/>
    <w:pPr>
      <w:spacing w:beforeLines="100" w:afterLines="100" w:line="360" w:lineRule="auto"/>
      <w:ind w:firstLine="200" w:firstLineChars="200"/>
      <w:jc w:val="left"/>
    </w:pPr>
    <w:rPr>
      <w:color w:val="000000"/>
      <w:sz w:val="24"/>
      <w:szCs w:val="24"/>
    </w:rPr>
  </w:style>
  <w:style w:type="paragraph" w:customStyle="1" w:styleId="624">
    <w:name w:val="CM3"/>
    <w:basedOn w:val="1"/>
    <w:next w:val="1"/>
    <w:autoRedefine/>
    <w:qFormat/>
    <w:uiPriority w:val="99"/>
    <w:pPr>
      <w:autoSpaceDE w:val="0"/>
      <w:autoSpaceDN w:val="0"/>
      <w:adjustRightInd w:val="0"/>
      <w:spacing w:line="468" w:lineRule="atLeast"/>
      <w:jc w:val="left"/>
    </w:pPr>
    <w:rPr>
      <w:rFonts w:ascii="宋体" w:cs="宋体"/>
      <w:kern w:val="0"/>
      <w:sz w:val="24"/>
      <w:szCs w:val="24"/>
    </w:rPr>
  </w:style>
  <w:style w:type="paragraph" w:customStyle="1" w:styleId="625">
    <w:name w:val="Char Char Char Char Char Char Char Char Char Char Char1 Char1 Char Char Char Char Char Char"/>
    <w:basedOn w:val="1"/>
    <w:autoRedefine/>
    <w:qFormat/>
    <w:uiPriority w:val="99"/>
    <w:pPr>
      <w:widowControl/>
      <w:spacing w:before="100" w:beforeAutospacing="1" w:after="100" w:afterAutospacing="1" w:line="330" w:lineRule="atLeast"/>
      <w:ind w:left="360"/>
      <w:jc w:val="left"/>
    </w:pPr>
    <w:rPr>
      <w:rFonts w:ascii="??" w:hAnsi="??" w:cs="??"/>
      <w:color w:val="51585D"/>
      <w:kern w:val="0"/>
    </w:rPr>
  </w:style>
  <w:style w:type="paragraph" w:customStyle="1" w:styleId="626">
    <w:name w:val="杠"/>
    <w:basedOn w:val="21"/>
    <w:autoRedefine/>
    <w:qFormat/>
    <w:uiPriority w:val="99"/>
    <w:pPr>
      <w:numPr>
        <w:ilvl w:val="0"/>
        <w:numId w:val="9"/>
      </w:numPr>
      <w:tabs>
        <w:tab w:val="left" w:pos="425"/>
        <w:tab w:val="left" w:pos="1320"/>
      </w:tabs>
      <w:adjustRightInd w:val="0"/>
      <w:snapToGrid w:val="0"/>
      <w:spacing w:before="120" w:line="300" w:lineRule="auto"/>
      <w:ind w:left="1559" w:hanging="720" w:firstLineChars="0"/>
      <w:textAlignment w:val="baseline"/>
    </w:pPr>
    <w:rPr>
      <w:rFonts w:ascii="Arial" w:hAnsi="Arial" w:cs="Arial"/>
    </w:rPr>
  </w:style>
  <w:style w:type="paragraph" w:customStyle="1" w:styleId="627">
    <w:name w:val="xl9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kern w:val="0"/>
      <w:sz w:val="18"/>
      <w:szCs w:val="18"/>
    </w:rPr>
  </w:style>
  <w:style w:type="paragraph" w:customStyle="1" w:styleId="628">
    <w:name w:val="小五"/>
    <w:autoRedefine/>
    <w:semiHidden/>
    <w:qFormat/>
    <w:uiPriority w:val="99"/>
    <w:pPr>
      <w:spacing w:after="120" w:line="240" w:lineRule="atLeast"/>
      <w:ind w:firstLine="850" w:firstLineChars="850"/>
    </w:pPr>
    <w:rPr>
      <w:rFonts w:ascii="Calibri" w:hAnsi="Calibri" w:eastAsia="宋体" w:cs="Calibri"/>
      <w:position w:val="-6"/>
      <w:sz w:val="18"/>
      <w:szCs w:val="18"/>
      <w:lang w:val="en-US" w:eastAsia="zh-CN" w:bidi="ar-SA"/>
    </w:rPr>
  </w:style>
  <w:style w:type="paragraph" w:customStyle="1" w:styleId="629">
    <w:name w:val="AOHead4"/>
    <w:basedOn w:val="1"/>
    <w:next w:val="630"/>
    <w:autoRedefine/>
    <w:qFormat/>
    <w:uiPriority w:val="99"/>
    <w:pPr>
      <w:widowControl/>
      <w:spacing w:before="240" w:after="200" w:line="260" w:lineRule="atLeast"/>
      <w:outlineLvl w:val="3"/>
    </w:pPr>
    <w:rPr>
      <w:kern w:val="0"/>
      <w:sz w:val="22"/>
      <w:szCs w:val="22"/>
      <w:lang w:val="en-GB" w:eastAsia="en-US"/>
    </w:rPr>
  </w:style>
  <w:style w:type="paragraph" w:customStyle="1" w:styleId="630">
    <w:name w:val="AODocTxtL3"/>
    <w:basedOn w:val="1"/>
    <w:autoRedefine/>
    <w:qFormat/>
    <w:uiPriority w:val="99"/>
    <w:pPr>
      <w:widowControl/>
      <w:spacing w:before="240" w:after="200" w:line="260" w:lineRule="atLeast"/>
    </w:pPr>
    <w:rPr>
      <w:kern w:val="0"/>
      <w:sz w:val="22"/>
      <w:szCs w:val="22"/>
      <w:lang w:val="en-GB" w:eastAsia="en-US"/>
    </w:rPr>
  </w:style>
  <w:style w:type="paragraph" w:customStyle="1" w:styleId="631">
    <w:name w:val="样式 标题 4 + Times New Roman 黑色 段前: 0 磅 段后: 0 磅 行距: 固定值 24 磅"/>
    <w:basedOn w:val="6"/>
    <w:autoRedefine/>
    <w:qFormat/>
    <w:uiPriority w:val="99"/>
    <w:pPr>
      <w:keepNext w:val="0"/>
      <w:keepLines w:val="0"/>
      <w:adjustRightInd w:val="0"/>
      <w:spacing w:before="0" w:after="0" w:line="480" w:lineRule="exact"/>
      <w:jc w:val="left"/>
      <w:textAlignment w:val="baseline"/>
    </w:pPr>
    <w:rPr>
      <w:rFonts w:ascii="Times New Roman" w:hAnsi="Times New Roman" w:eastAsia="宋体" w:cs="Times New Roman"/>
      <w:color w:val="000000"/>
      <w:kern w:val="0"/>
    </w:rPr>
  </w:style>
  <w:style w:type="paragraph" w:customStyle="1" w:styleId="632">
    <w:name w:val="表格居中"/>
    <w:basedOn w:val="1"/>
    <w:autoRedefine/>
    <w:qFormat/>
    <w:uiPriority w:val="99"/>
    <w:pPr>
      <w:spacing w:line="360" w:lineRule="exact"/>
      <w:jc w:val="center"/>
    </w:pPr>
    <w:rPr>
      <w:sz w:val="24"/>
      <w:szCs w:val="24"/>
    </w:rPr>
  </w:style>
  <w:style w:type="paragraph" w:customStyle="1" w:styleId="633">
    <w:name w:val="样式5"/>
    <w:basedOn w:val="54"/>
    <w:autoRedefine/>
    <w:semiHidden/>
    <w:qFormat/>
    <w:uiPriority w:val="99"/>
    <w:pPr>
      <w:pBdr>
        <w:top w:val="single" w:color="auto" w:sz="4" w:space="1"/>
      </w:pBdr>
      <w:jc w:val="right"/>
    </w:pPr>
  </w:style>
  <w:style w:type="paragraph" w:customStyle="1" w:styleId="634">
    <w:name w:val="Char Char Char Char Char1 Char11"/>
    <w:basedOn w:val="1"/>
    <w:autoRedefine/>
    <w:qFormat/>
    <w:uiPriority w:val="99"/>
    <w:rPr>
      <w:sz w:val="24"/>
      <w:szCs w:val="24"/>
    </w:rPr>
  </w:style>
  <w:style w:type="paragraph" w:customStyle="1" w:styleId="635">
    <w:name w:val="List Paragraph1"/>
    <w:basedOn w:val="1"/>
    <w:autoRedefine/>
    <w:qFormat/>
    <w:uiPriority w:val="99"/>
    <w:pPr>
      <w:ind w:firstLine="420" w:firstLineChars="200"/>
    </w:pPr>
  </w:style>
  <w:style w:type="paragraph" w:customStyle="1" w:styleId="636">
    <w:name w:val="WPSOffice手动目录 2"/>
    <w:autoRedefine/>
    <w:qFormat/>
    <w:uiPriority w:val="99"/>
    <w:pPr>
      <w:ind w:left="200" w:leftChars="200"/>
    </w:pPr>
    <w:rPr>
      <w:rFonts w:ascii="Calibri" w:hAnsi="Calibri" w:eastAsia="宋体" w:cs="Calibri"/>
      <w:lang w:val="en-US" w:eastAsia="zh-CN" w:bidi="ar-SA"/>
    </w:rPr>
  </w:style>
  <w:style w:type="paragraph" w:customStyle="1" w:styleId="637">
    <w:name w:val="级别 5"/>
    <w:basedOn w:val="3"/>
    <w:next w:val="86"/>
    <w:autoRedefine/>
    <w:qFormat/>
    <w:uiPriority w:val="99"/>
    <w:pPr>
      <w:numPr>
        <w:ilvl w:val="4"/>
        <w:numId w:val="5"/>
      </w:numPr>
      <w:tabs>
        <w:tab w:val="left" w:pos="1200"/>
      </w:tabs>
      <w:spacing w:before="0" w:after="0" w:line="400" w:lineRule="exact"/>
      <w:ind w:left="0" w:leftChars="0" w:firstLine="0" w:firstLineChars="0"/>
      <w:outlineLvl w:val="4"/>
    </w:pPr>
    <w:rPr>
      <w:kern w:val="2"/>
      <w:sz w:val="24"/>
      <w:szCs w:val="24"/>
    </w:rPr>
  </w:style>
  <w:style w:type="paragraph" w:customStyle="1" w:styleId="638">
    <w:name w:val="封面标准文稿编辑信息"/>
    <w:autoRedefine/>
    <w:qFormat/>
    <w:uiPriority w:val="99"/>
    <w:pPr>
      <w:numPr>
        <w:ilvl w:val="2"/>
        <w:numId w:val="10"/>
      </w:numPr>
      <w:tabs>
        <w:tab w:val="left" w:pos="1620"/>
      </w:tabs>
      <w:spacing w:before="180" w:line="180" w:lineRule="exact"/>
      <w:ind w:left="0" w:firstLine="0"/>
      <w:jc w:val="center"/>
    </w:pPr>
    <w:rPr>
      <w:rFonts w:ascii="宋体" w:hAnsi="Calibri" w:eastAsia="宋体" w:cs="宋体"/>
      <w:sz w:val="21"/>
      <w:szCs w:val="21"/>
      <w:lang w:val="en-US" w:eastAsia="zh-CN" w:bidi="ar-SA"/>
    </w:rPr>
  </w:style>
  <w:style w:type="paragraph" w:customStyle="1" w:styleId="639">
    <w:name w:val="徐京伦-标题5"/>
    <w:basedOn w:val="7"/>
    <w:autoRedefine/>
    <w:qFormat/>
    <w:uiPriority w:val="99"/>
    <w:pPr>
      <w:widowControl/>
      <w:numPr>
        <w:ilvl w:val="4"/>
        <w:numId w:val="4"/>
      </w:numPr>
      <w:tabs>
        <w:tab w:val="left" w:pos="360"/>
        <w:tab w:val="left" w:pos="964"/>
        <w:tab w:val="clear" w:pos="1008"/>
      </w:tabs>
      <w:snapToGrid w:val="0"/>
      <w:spacing w:before="120" w:after="120" w:line="240" w:lineRule="auto"/>
      <w:ind w:left="992" w:hanging="992" w:firstLineChars="0"/>
      <w:jc w:val="left"/>
      <w:textAlignment w:val="auto"/>
    </w:pPr>
    <w:rPr>
      <w:b w:val="0"/>
      <w:bCs w:val="0"/>
    </w:rPr>
  </w:style>
  <w:style w:type="paragraph" w:customStyle="1" w:styleId="640">
    <w:name w:val="正文文本缩进 21"/>
    <w:basedOn w:val="1"/>
    <w:autoRedefine/>
    <w:qFormat/>
    <w:uiPriority w:val="99"/>
    <w:pPr>
      <w:autoSpaceDE w:val="0"/>
      <w:autoSpaceDN w:val="0"/>
      <w:adjustRightInd w:val="0"/>
      <w:snapToGrid w:val="0"/>
      <w:spacing w:before="60" w:after="60" w:line="240" w:lineRule="atLeast"/>
      <w:ind w:firstLine="567"/>
      <w:textAlignment w:val="baseline"/>
    </w:pPr>
    <w:rPr>
      <w:kern w:val="0"/>
      <w:sz w:val="28"/>
      <w:szCs w:val="28"/>
    </w:rPr>
  </w:style>
  <w:style w:type="paragraph" w:customStyle="1" w:styleId="641">
    <w:name w:val="Char3"/>
    <w:basedOn w:val="1"/>
    <w:autoRedefine/>
    <w:qFormat/>
    <w:uiPriority w:val="99"/>
    <w:rPr>
      <w:sz w:val="24"/>
      <w:szCs w:val="24"/>
    </w:rPr>
  </w:style>
  <w:style w:type="paragraph" w:customStyle="1" w:styleId="642">
    <w:name w:val="样式 洋正 + 左侧:  0.85 厘米 首行缩进:  0 字符"/>
    <w:basedOn w:val="194"/>
    <w:autoRedefine/>
    <w:qFormat/>
    <w:uiPriority w:val="99"/>
    <w:pPr>
      <w:keepLines/>
      <w:tabs>
        <w:tab w:val="left" w:pos="915"/>
      </w:tabs>
    </w:pPr>
  </w:style>
  <w:style w:type="paragraph" w:customStyle="1" w:styleId="643">
    <w:name w:val="xl6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644">
    <w:name w:val="样式 四号 首行缩进:  0.74 厘米 段前: 7.8 磅 行距: 固定值 25 磅"/>
    <w:basedOn w:val="1"/>
    <w:next w:val="87"/>
    <w:autoRedefine/>
    <w:qFormat/>
    <w:uiPriority w:val="99"/>
    <w:pPr>
      <w:spacing w:before="156" w:line="500" w:lineRule="exact"/>
      <w:ind w:firstLine="420"/>
    </w:pPr>
    <w:rPr>
      <w:sz w:val="28"/>
      <w:szCs w:val="28"/>
    </w:rPr>
  </w:style>
  <w:style w:type="paragraph" w:customStyle="1" w:styleId="645">
    <w:name w:val="段"/>
    <w:basedOn w:val="1"/>
    <w:autoRedefine/>
    <w:qFormat/>
    <w:uiPriority w:val="99"/>
    <w:pPr>
      <w:adjustRightInd w:val="0"/>
      <w:snapToGrid w:val="0"/>
      <w:spacing w:after="200" w:line="360" w:lineRule="auto"/>
      <w:ind w:firstLine="560" w:firstLineChars="200"/>
    </w:pPr>
    <w:rPr>
      <w:rFonts w:ascii="宋体" w:hAnsi="宋体" w:cs="宋体"/>
      <w:color w:val="0000FF"/>
      <w:sz w:val="28"/>
      <w:szCs w:val="28"/>
    </w:rPr>
  </w:style>
  <w:style w:type="paragraph" w:customStyle="1" w:styleId="646">
    <w:name w:val="样式 徐京伦-标题5 + 行距: 1.5 倍行距"/>
    <w:basedOn w:val="639"/>
    <w:autoRedefine/>
    <w:qFormat/>
    <w:uiPriority w:val="99"/>
    <w:pPr>
      <w:numPr>
        <w:ilvl w:val="0"/>
        <w:numId w:val="0"/>
      </w:numPr>
      <w:tabs>
        <w:tab w:val="left" w:pos="340"/>
      </w:tabs>
    </w:pPr>
  </w:style>
  <w:style w:type="paragraph" w:customStyle="1" w:styleId="647">
    <w:name w:val="Char Char Char1 Char Char Char Char Char Char Char Char Char2"/>
    <w:basedOn w:val="1"/>
    <w:autoRedefine/>
    <w:qFormat/>
    <w:uiPriority w:val="99"/>
    <w:pPr>
      <w:adjustRightInd w:val="0"/>
      <w:spacing w:line="312" w:lineRule="atLeast"/>
      <w:textAlignment w:val="baseline"/>
    </w:pPr>
    <w:rPr>
      <w:kern w:val="0"/>
    </w:rPr>
  </w:style>
  <w:style w:type="paragraph" w:customStyle="1" w:styleId="648">
    <w:name w:val="日期2"/>
    <w:basedOn w:val="1"/>
    <w:next w:val="1"/>
    <w:autoRedefine/>
    <w:qFormat/>
    <w:uiPriority w:val="99"/>
    <w:pPr>
      <w:adjustRightInd w:val="0"/>
      <w:textAlignment w:val="baseline"/>
    </w:pPr>
    <w:rPr>
      <w:kern w:val="24"/>
      <w:sz w:val="28"/>
      <w:szCs w:val="28"/>
    </w:rPr>
  </w:style>
  <w:style w:type="paragraph" w:customStyle="1" w:styleId="649">
    <w:name w:val="样式 目录 3 + 四号 行距: 固定值 24 磅"/>
    <w:basedOn w:val="60"/>
    <w:autoRedefine/>
    <w:qFormat/>
    <w:uiPriority w:val="99"/>
    <w:pPr>
      <w:ind w:left="0"/>
      <w:jc w:val="both"/>
    </w:pPr>
    <w:rPr>
      <w:sz w:val="28"/>
      <w:szCs w:val="28"/>
    </w:rPr>
  </w:style>
  <w:style w:type="paragraph" w:customStyle="1" w:styleId="650">
    <w:name w:val="xl97"/>
    <w:basedOn w:val="1"/>
    <w:autoRedefine/>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651">
    <w:name w:val="Char Char Char Char Char Char Char Char11"/>
    <w:basedOn w:val="1"/>
    <w:autoRedefine/>
    <w:qFormat/>
    <w:uiPriority w:val="99"/>
    <w:rPr>
      <w:sz w:val="24"/>
      <w:szCs w:val="24"/>
    </w:rPr>
  </w:style>
  <w:style w:type="paragraph" w:customStyle="1" w:styleId="652">
    <w:name w:val="CM4"/>
    <w:basedOn w:val="1"/>
    <w:next w:val="1"/>
    <w:autoRedefine/>
    <w:qFormat/>
    <w:uiPriority w:val="99"/>
    <w:pPr>
      <w:autoSpaceDE w:val="0"/>
      <w:autoSpaceDN w:val="0"/>
      <w:adjustRightInd w:val="0"/>
      <w:spacing w:line="468" w:lineRule="atLeast"/>
      <w:jc w:val="left"/>
    </w:pPr>
    <w:rPr>
      <w:rFonts w:ascii="宋体" w:cs="宋体"/>
      <w:kern w:val="0"/>
      <w:sz w:val="24"/>
      <w:szCs w:val="24"/>
    </w:rPr>
  </w:style>
  <w:style w:type="paragraph" w:customStyle="1" w:styleId="653">
    <w:name w:val="bb"/>
    <w:basedOn w:val="1"/>
    <w:autoRedefine/>
    <w:qFormat/>
    <w:uiPriority w:val="99"/>
    <w:pPr>
      <w:autoSpaceDE w:val="0"/>
      <w:autoSpaceDN w:val="0"/>
      <w:adjustRightInd w:val="0"/>
      <w:spacing w:line="360" w:lineRule="atLeast"/>
      <w:ind w:left="240" w:firstLine="360"/>
      <w:textAlignment w:val="baseline"/>
    </w:pPr>
    <w:rPr>
      <w:rFonts w:ascii="宋体" w:cs="宋体"/>
      <w:kern w:val="0"/>
      <w:sz w:val="24"/>
      <w:szCs w:val="24"/>
    </w:rPr>
  </w:style>
  <w:style w:type="paragraph" w:customStyle="1" w:styleId="654">
    <w:name w:val="ST20-3"/>
    <w:basedOn w:val="1"/>
    <w:autoRedefine/>
    <w:qFormat/>
    <w:uiPriority w:val="99"/>
    <w:pPr>
      <w:numPr>
        <w:ilvl w:val="0"/>
        <w:numId w:val="4"/>
      </w:numPr>
      <w:tabs>
        <w:tab w:val="left" w:pos="680"/>
        <w:tab w:val="clear" w:pos="360"/>
      </w:tabs>
      <w:adjustRightInd w:val="0"/>
      <w:snapToGrid w:val="0"/>
      <w:spacing w:after="160" w:line="300" w:lineRule="auto"/>
      <w:ind w:left="794" w:hanging="170"/>
    </w:pPr>
    <w:rPr>
      <w:rFonts w:ascii="Arial" w:hAnsi="Arial" w:cs="Arial"/>
      <w:sz w:val="24"/>
      <w:szCs w:val="24"/>
    </w:rPr>
  </w:style>
  <w:style w:type="paragraph" w:customStyle="1" w:styleId="655">
    <w:name w:val="xl7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656">
    <w:name w:val="xl31"/>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657">
    <w:name w:val="Char Char Char Char Char Char Char Char Char Char Char Char Char Char Char"/>
    <w:basedOn w:val="1"/>
    <w:autoRedefine/>
    <w:qFormat/>
    <w:uiPriority w:val="99"/>
    <w:pPr>
      <w:spacing w:after="200" w:line="240" w:lineRule="atLeast"/>
      <w:ind w:left="420" w:firstLine="420"/>
    </w:pPr>
    <w:rPr>
      <w:kern w:val="0"/>
    </w:rPr>
  </w:style>
  <w:style w:type="paragraph" w:customStyle="1" w:styleId="658">
    <w:name w:val="样式 洋正 + 左侧:  0.85 厘米 首行缩进:  2 字符"/>
    <w:basedOn w:val="194"/>
    <w:autoRedefine/>
    <w:qFormat/>
    <w:uiPriority w:val="99"/>
    <w:pPr>
      <w:keepLines/>
      <w:ind w:firstLine="480"/>
    </w:pPr>
  </w:style>
  <w:style w:type="paragraph" w:customStyle="1" w:styleId="659">
    <w:name w:val="Char Char Char Char Char Char Char5"/>
    <w:basedOn w:val="1"/>
    <w:autoRedefine/>
    <w:qFormat/>
    <w:uiPriority w:val="99"/>
  </w:style>
  <w:style w:type="paragraph" w:customStyle="1" w:styleId="660">
    <w:name w:val="Char Char Char Char Char Char Char Char Char Char Char Char Char Char"/>
    <w:basedOn w:val="1"/>
    <w:autoRedefine/>
    <w:qFormat/>
    <w:uiPriority w:val="99"/>
    <w:pPr>
      <w:spacing w:line="360" w:lineRule="auto"/>
      <w:ind w:firstLine="200" w:firstLineChars="200"/>
    </w:pPr>
    <w:rPr>
      <w:rFonts w:ascii="宋体" w:hAnsi="宋体" w:cs="宋体"/>
      <w:sz w:val="24"/>
      <w:szCs w:val="24"/>
    </w:rPr>
  </w:style>
  <w:style w:type="paragraph" w:customStyle="1" w:styleId="661">
    <w:name w:val="Heading 11"/>
    <w:basedOn w:val="1"/>
    <w:autoRedefine/>
    <w:qFormat/>
    <w:uiPriority w:val="99"/>
    <w:pPr>
      <w:autoSpaceDE w:val="0"/>
      <w:autoSpaceDN w:val="0"/>
      <w:adjustRightInd w:val="0"/>
      <w:spacing w:after="200" w:line="276" w:lineRule="auto"/>
      <w:ind w:left="3389"/>
      <w:jc w:val="left"/>
      <w:outlineLvl w:val="0"/>
    </w:pPr>
    <w:rPr>
      <w:rFonts w:ascii="黑体" w:eastAsia="黑体" w:cs="黑体"/>
      <w:kern w:val="0"/>
      <w:sz w:val="72"/>
      <w:szCs w:val="72"/>
    </w:rPr>
  </w:style>
  <w:style w:type="paragraph" w:customStyle="1" w:styleId="662">
    <w:name w:val="xl7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18"/>
      <w:szCs w:val="18"/>
    </w:rPr>
  </w:style>
  <w:style w:type="paragraph" w:customStyle="1" w:styleId="663">
    <w:name w:val="彩色列表 - 强调文字颜色 11"/>
    <w:basedOn w:val="1"/>
    <w:autoRedefine/>
    <w:qFormat/>
    <w:uiPriority w:val="99"/>
    <w:pPr>
      <w:spacing w:after="200" w:line="276" w:lineRule="auto"/>
      <w:ind w:firstLine="420" w:firstLineChars="200"/>
    </w:pPr>
  </w:style>
  <w:style w:type="paragraph" w:customStyle="1" w:styleId="664">
    <w:name w:val="TOC Heading"/>
    <w:basedOn w:val="3"/>
    <w:next w:val="1"/>
    <w:autoRedefine/>
    <w:qFormat/>
    <w:uiPriority w:val="99"/>
    <w:pPr>
      <w:widowControl/>
      <w:spacing w:before="480" w:after="0" w:line="276" w:lineRule="auto"/>
      <w:jc w:val="left"/>
      <w:outlineLvl w:val="9"/>
    </w:pPr>
    <w:rPr>
      <w:rFonts w:ascii="Cambria" w:hAnsi="Cambria" w:cs="Cambria"/>
      <w:color w:val="365F91"/>
      <w:kern w:val="0"/>
      <w:sz w:val="28"/>
      <w:szCs w:val="28"/>
    </w:rPr>
  </w:style>
  <w:style w:type="paragraph" w:customStyle="1" w:styleId="665">
    <w:name w:val="样式 样式 正文文本缩进正文文字缩进 + 首行缩进:  2 字符2 + 首行缩进:  2 字符"/>
    <w:basedOn w:val="1"/>
    <w:autoRedefine/>
    <w:qFormat/>
    <w:uiPriority w:val="99"/>
    <w:pPr>
      <w:spacing w:line="360" w:lineRule="auto"/>
      <w:ind w:firstLine="200" w:firstLineChars="100"/>
      <w:jc w:val="left"/>
    </w:pPr>
    <w:rPr>
      <w:rFonts w:ascii="Arial" w:hAnsi="Arial" w:cs="Arial"/>
      <w:sz w:val="24"/>
      <w:szCs w:val="24"/>
    </w:rPr>
  </w:style>
  <w:style w:type="paragraph" w:customStyle="1" w:styleId="666">
    <w:name w:val="xl4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color w:val="000000"/>
      <w:kern w:val="0"/>
      <w:sz w:val="22"/>
      <w:szCs w:val="22"/>
    </w:rPr>
  </w:style>
  <w:style w:type="paragraph" w:customStyle="1" w:styleId="667">
    <w:name w:val="Char Char Char Char Char1 Char Char Char Char1"/>
    <w:basedOn w:val="1"/>
    <w:autoRedefine/>
    <w:qFormat/>
    <w:uiPriority w:val="99"/>
    <w:pPr>
      <w:spacing w:line="360" w:lineRule="auto"/>
    </w:pPr>
    <w:rPr>
      <w:rFonts w:ascii="Tahoma" w:hAnsi="Tahoma" w:cs="Tahoma"/>
      <w:sz w:val="24"/>
      <w:szCs w:val="24"/>
    </w:rPr>
  </w:style>
  <w:style w:type="paragraph" w:customStyle="1" w:styleId="668">
    <w:name w:val="font1"/>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69">
    <w:name w:val="xl49"/>
    <w:basedOn w:val="1"/>
    <w:autoRedefine/>
    <w:qFormat/>
    <w:uiPriority w:val="99"/>
    <w:pPr>
      <w:widowControl/>
      <w:spacing w:before="100" w:beforeAutospacing="1" w:after="100" w:afterAutospacing="1"/>
      <w:jc w:val="center"/>
      <w:textAlignment w:val="center"/>
    </w:pPr>
    <w:rPr>
      <w:rFonts w:ascii="宋体" w:hAnsi="宋体" w:cs="宋体"/>
      <w:kern w:val="0"/>
      <w:sz w:val="24"/>
      <w:szCs w:val="24"/>
    </w:rPr>
  </w:style>
  <w:style w:type="paragraph" w:customStyle="1" w:styleId="670">
    <w:name w:val="表格"/>
    <w:basedOn w:val="1"/>
    <w:autoRedefine/>
    <w:qFormat/>
    <w:uiPriority w:val="99"/>
    <w:pPr>
      <w:jc w:val="center"/>
      <w:textAlignment w:val="center"/>
    </w:pPr>
    <w:rPr>
      <w:rFonts w:ascii="华文细黑" w:hAnsi="华文细黑" w:cs="华文细黑"/>
      <w:kern w:val="0"/>
    </w:rPr>
  </w:style>
  <w:style w:type="paragraph" w:customStyle="1" w:styleId="671">
    <w:name w:val="xl6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22"/>
      <w:szCs w:val="22"/>
    </w:rPr>
  </w:style>
  <w:style w:type="paragraph" w:customStyle="1" w:styleId="672">
    <w:name w:val="Char311"/>
    <w:basedOn w:val="1"/>
    <w:autoRedefine/>
    <w:qFormat/>
    <w:uiPriority w:val="99"/>
    <w:pPr>
      <w:tabs>
        <w:tab w:val="left" w:pos="360"/>
      </w:tabs>
    </w:pPr>
    <w:rPr>
      <w:sz w:val="24"/>
      <w:szCs w:val="24"/>
    </w:rPr>
  </w:style>
  <w:style w:type="paragraph" w:customStyle="1" w:styleId="673">
    <w:name w:val="AOHead2"/>
    <w:basedOn w:val="1"/>
    <w:next w:val="459"/>
    <w:autoRedefine/>
    <w:qFormat/>
    <w:uiPriority w:val="99"/>
    <w:pPr>
      <w:keepNext/>
      <w:widowControl/>
      <w:spacing w:before="300" w:after="100" w:afterAutospacing="1" w:line="400" w:lineRule="exact"/>
      <w:outlineLvl w:val="1"/>
    </w:pPr>
    <w:rPr>
      <w:rFonts w:ascii="黑体" w:hAnsi="宋体" w:eastAsia="黑体" w:cs="黑体"/>
      <w:b/>
      <w:bCs/>
      <w:kern w:val="28"/>
      <w:sz w:val="28"/>
      <w:szCs w:val="28"/>
      <w:lang w:val="en-GB"/>
    </w:rPr>
  </w:style>
  <w:style w:type="paragraph" w:customStyle="1" w:styleId="674">
    <w:name w:val="Char Char2 Char Char Char Char Char Char"/>
    <w:basedOn w:val="1"/>
    <w:autoRedefine/>
    <w:qFormat/>
    <w:uiPriority w:val="99"/>
    <w:pPr>
      <w:pageBreakBefore/>
      <w:spacing w:after="200" w:line="360" w:lineRule="auto"/>
    </w:pPr>
  </w:style>
  <w:style w:type="paragraph" w:customStyle="1" w:styleId="675">
    <w:name w:val="Char Char1 Char Char Char Char Char Char"/>
    <w:basedOn w:val="1"/>
    <w:autoRedefine/>
    <w:qFormat/>
    <w:uiPriority w:val="99"/>
    <w:pPr>
      <w:adjustRightInd w:val="0"/>
      <w:spacing w:line="312" w:lineRule="atLeast"/>
      <w:textAlignment w:val="baseline"/>
    </w:pPr>
    <w:rPr>
      <w:kern w:val="0"/>
    </w:rPr>
  </w:style>
  <w:style w:type="paragraph" w:customStyle="1" w:styleId="676">
    <w:name w:val="xl85"/>
    <w:basedOn w:val="1"/>
    <w:autoRedefine/>
    <w:qFormat/>
    <w:uiPriority w:val="99"/>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宋体" w:hAnsi="宋体" w:cs="宋体"/>
      <w:color w:val="000000"/>
      <w:kern w:val="0"/>
      <w:sz w:val="18"/>
      <w:szCs w:val="18"/>
    </w:rPr>
  </w:style>
  <w:style w:type="paragraph" w:customStyle="1" w:styleId="677">
    <w:name w:val="Normal_0_0_0"/>
    <w:basedOn w:val="537"/>
    <w:autoRedefine/>
    <w:qFormat/>
    <w:uiPriority w:val="99"/>
    <w:pPr>
      <w:jc w:val="left"/>
    </w:pPr>
    <w:rPr>
      <w:sz w:val="24"/>
      <w:szCs w:val="24"/>
    </w:rPr>
  </w:style>
  <w:style w:type="paragraph" w:customStyle="1" w:styleId="678">
    <w:name w:val="xl104"/>
    <w:basedOn w:val="1"/>
    <w:autoRedefine/>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pPr>
    <w:rPr>
      <w:rFonts w:ascii="?" w:hAnsi="宋体" w:eastAsia="?" w:cs="?"/>
      <w:b/>
      <w:bCs/>
      <w:color w:val="000000"/>
      <w:kern w:val="0"/>
      <w:sz w:val="18"/>
      <w:szCs w:val="18"/>
    </w:rPr>
  </w:style>
  <w:style w:type="paragraph" w:customStyle="1" w:styleId="679">
    <w:name w:val="Char3 Char Char Char"/>
    <w:basedOn w:val="1"/>
    <w:autoRedefine/>
    <w:qFormat/>
    <w:uiPriority w:val="99"/>
    <w:pPr>
      <w:spacing w:line="360" w:lineRule="auto"/>
    </w:pPr>
    <w:rPr>
      <w:rFonts w:ascii="Tahoma" w:hAnsi="Tahoma" w:cs="Tahoma"/>
      <w:sz w:val="24"/>
      <w:szCs w:val="24"/>
    </w:rPr>
  </w:style>
  <w:style w:type="paragraph" w:customStyle="1" w:styleId="680">
    <w:name w:val="小四"/>
    <w:autoRedefine/>
    <w:semiHidden/>
    <w:qFormat/>
    <w:uiPriority w:val="99"/>
    <w:pPr>
      <w:ind w:left="30" w:leftChars="30"/>
      <w:jc w:val="both"/>
    </w:pPr>
    <w:rPr>
      <w:rFonts w:ascii="Calibri" w:hAnsi="Calibri" w:eastAsia="宋体" w:cs="Calibri"/>
      <w:sz w:val="24"/>
      <w:szCs w:val="24"/>
      <w:lang w:val="en-US" w:eastAsia="zh-CN" w:bidi="ar-SA"/>
    </w:rPr>
  </w:style>
  <w:style w:type="paragraph" w:customStyle="1" w:styleId="681">
    <w:name w:val="xl109"/>
    <w:basedOn w:val="1"/>
    <w:autoRedefine/>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 w:hAnsi="宋体" w:eastAsia="?" w:cs="?"/>
      <w:b/>
      <w:bCs/>
      <w:color w:val="000000"/>
      <w:kern w:val="0"/>
      <w:sz w:val="18"/>
      <w:szCs w:val="18"/>
    </w:rPr>
  </w:style>
  <w:style w:type="paragraph" w:customStyle="1" w:styleId="682">
    <w:name w:val="表二"/>
    <w:basedOn w:val="1"/>
    <w:autoRedefine/>
    <w:qFormat/>
    <w:uiPriority w:val="99"/>
    <w:pPr>
      <w:adjustRightInd w:val="0"/>
      <w:snapToGrid w:val="0"/>
      <w:spacing w:after="200" w:line="276" w:lineRule="auto"/>
    </w:pPr>
    <w:rPr>
      <w:kern w:val="0"/>
    </w:rPr>
  </w:style>
  <w:style w:type="paragraph" w:customStyle="1" w:styleId="683">
    <w:name w:val="xl72"/>
    <w:basedOn w:val="1"/>
    <w:autoRedefine/>
    <w:qFormat/>
    <w:uiPriority w:val="99"/>
    <w:pPr>
      <w:widowControl/>
      <w:pBdr>
        <w:top w:val="single" w:color="auto" w:sz="4" w:space="0"/>
        <w:left w:val="single" w:color="auto" w:sz="4" w:space="0"/>
        <w:bottom w:val="single" w:color="auto" w:sz="4" w:space="0"/>
      </w:pBdr>
      <w:shd w:val="clear" w:color="auto" w:fill="FFFFFF"/>
      <w:spacing w:before="100" w:beforeAutospacing="1" w:after="100" w:afterAutospacing="1"/>
    </w:pPr>
    <w:rPr>
      <w:rFonts w:ascii="宋体" w:hAnsi="宋体" w:cs="宋体"/>
      <w:kern w:val="0"/>
      <w:sz w:val="22"/>
      <w:szCs w:val="22"/>
    </w:rPr>
  </w:style>
  <w:style w:type="paragraph" w:customStyle="1" w:styleId="684">
    <w:name w:val="TOC 标题2"/>
    <w:basedOn w:val="3"/>
    <w:next w:val="1"/>
    <w:autoRedefine/>
    <w:qFormat/>
    <w:uiPriority w:val="99"/>
    <w:pPr>
      <w:widowControl/>
      <w:spacing w:before="480" w:after="0" w:line="276" w:lineRule="auto"/>
      <w:jc w:val="left"/>
      <w:outlineLvl w:val="9"/>
    </w:pPr>
    <w:rPr>
      <w:rFonts w:ascii="Cambria" w:hAnsi="Cambria" w:cs="Cambria"/>
      <w:color w:val="365F91"/>
      <w:kern w:val="0"/>
      <w:sz w:val="28"/>
      <w:szCs w:val="28"/>
    </w:rPr>
  </w:style>
  <w:style w:type="paragraph" w:customStyle="1" w:styleId="685">
    <w:name w:val="正文4"/>
    <w:autoRedefine/>
    <w:qFormat/>
    <w:uiPriority w:val="99"/>
    <w:pPr>
      <w:widowControl w:val="0"/>
      <w:adjustRightInd w:val="0"/>
      <w:spacing w:line="312" w:lineRule="atLeast"/>
      <w:jc w:val="both"/>
      <w:textAlignment w:val="baseline"/>
    </w:pPr>
    <w:rPr>
      <w:rFonts w:ascii="Calibri" w:hAnsi="Calibri" w:eastAsia="宋体" w:cs="Calibri"/>
      <w:lang w:val="en-US" w:eastAsia="zh-CN" w:bidi="ar-SA"/>
    </w:rPr>
  </w:style>
  <w:style w:type="paragraph" w:customStyle="1" w:styleId="686">
    <w:name w:val="Char22"/>
    <w:basedOn w:val="1"/>
    <w:autoRedefine/>
    <w:qFormat/>
    <w:uiPriority w:val="99"/>
    <w:rPr>
      <w:sz w:val="24"/>
      <w:szCs w:val="24"/>
    </w:rPr>
  </w:style>
  <w:style w:type="paragraph" w:customStyle="1" w:styleId="687">
    <w:name w:val="Char Char Char Char Char2"/>
    <w:basedOn w:val="1"/>
    <w:autoRedefine/>
    <w:qFormat/>
    <w:uiPriority w:val="99"/>
    <w:rPr>
      <w:sz w:val="24"/>
      <w:szCs w:val="24"/>
    </w:rPr>
  </w:style>
  <w:style w:type="paragraph" w:customStyle="1" w:styleId="688">
    <w:name w:val="表格(中)"/>
    <w:basedOn w:val="1"/>
    <w:autoRedefine/>
    <w:qFormat/>
    <w:uiPriority w:val="99"/>
    <w:pPr>
      <w:spacing w:line="360" w:lineRule="auto"/>
      <w:jc w:val="center"/>
    </w:pPr>
    <w:rPr>
      <w:sz w:val="24"/>
      <w:szCs w:val="24"/>
    </w:rPr>
  </w:style>
  <w:style w:type="paragraph" w:customStyle="1" w:styleId="689">
    <w:name w:val="普正文2"/>
    <w:basedOn w:val="1"/>
    <w:autoRedefine/>
    <w:qFormat/>
    <w:uiPriority w:val="99"/>
    <w:pPr>
      <w:adjustRightInd w:val="0"/>
      <w:spacing w:line="318" w:lineRule="atLeast"/>
      <w:ind w:left="964" w:hanging="907"/>
      <w:textAlignment w:val="baseline"/>
    </w:pPr>
    <w:rPr>
      <w:rFonts w:ascii="宋体" w:cs="宋体"/>
      <w:kern w:val="0"/>
      <w:sz w:val="28"/>
      <w:szCs w:val="28"/>
    </w:rPr>
  </w:style>
  <w:style w:type="paragraph" w:customStyle="1" w:styleId="690">
    <w:name w:val="xl2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691">
    <w:name w:val="样式 标题 1合同标题卷标题H1章节标题b1 + 宋体 小三 段前: 0 磅 段后: 0 磅 行距: 单倍行距"/>
    <w:next w:val="23"/>
    <w:autoRedefine/>
    <w:qFormat/>
    <w:uiPriority w:val="99"/>
    <w:pPr>
      <w:keepNext/>
      <w:keepLines/>
      <w:widowControl w:val="0"/>
      <w:tabs>
        <w:tab w:val="left" w:pos="360"/>
        <w:tab w:val="left" w:pos="425"/>
      </w:tabs>
      <w:jc w:val="both"/>
      <w:outlineLvl w:val="1"/>
    </w:pPr>
    <w:rPr>
      <w:rFonts w:ascii="宋体" w:hAnsi="宋体" w:eastAsia="黑体" w:cs="宋体"/>
      <w:b/>
      <w:bCs/>
      <w:kern w:val="2"/>
      <w:sz w:val="30"/>
      <w:szCs w:val="30"/>
      <w:lang w:val="en-US" w:eastAsia="zh-CN" w:bidi="ar-SA"/>
    </w:rPr>
  </w:style>
  <w:style w:type="paragraph" w:customStyle="1" w:styleId="692">
    <w:name w:val="文档正文"/>
    <w:basedOn w:val="1"/>
    <w:autoRedefine/>
    <w:qFormat/>
    <w:uiPriority w:val="99"/>
    <w:pPr>
      <w:adjustRightInd w:val="0"/>
      <w:spacing w:line="312" w:lineRule="atLeast"/>
      <w:ind w:firstLine="567"/>
      <w:textAlignment w:val="baseline"/>
    </w:pPr>
    <w:rPr>
      <w:rFonts w:ascii="长城仿宋" w:eastAsia="长城仿宋" w:cs="长城仿宋"/>
      <w:kern w:val="0"/>
      <w:sz w:val="28"/>
      <w:szCs w:val="28"/>
    </w:rPr>
  </w:style>
  <w:style w:type="paragraph" w:customStyle="1" w:styleId="693">
    <w:name w:val="Char Char Char Char Char Char"/>
    <w:basedOn w:val="1"/>
    <w:autoRedefine/>
    <w:qFormat/>
    <w:uiPriority w:val="99"/>
    <w:pPr>
      <w:adjustRightInd w:val="0"/>
      <w:spacing w:line="312" w:lineRule="atLeast"/>
      <w:textAlignment w:val="baseline"/>
    </w:pPr>
    <w:rPr>
      <w:kern w:val="0"/>
    </w:rPr>
  </w:style>
  <w:style w:type="paragraph" w:customStyle="1" w:styleId="694">
    <w:name w:val="Char Char16"/>
    <w:basedOn w:val="1"/>
    <w:autoRedefine/>
    <w:qFormat/>
    <w:uiPriority w:val="99"/>
    <w:rPr>
      <w:sz w:val="24"/>
      <w:szCs w:val="24"/>
    </w:rPr>
  </w:style>
  <w:style w:type="paragraph" w:customStyle="1" w:styleId="695">
    <w:name w:val="修订11"/>
    <w:autoRedefine/>
    <w:qFormat/>
    <w:uiPriority w:val="99"/>
    <w:pPr>
      <w:spacing w:after="200" w:line="276" w:lineRule="auto"/>
    </w:pPr>
    <w:rPr>
      <w:rFonts w:ascii="Calibri" w:hAnsi="Calibri" w:eastAsia="宋体" w:cs="Calibri"/>
      <w:kern w:val="2"/>
      <w:sz w:val="21"/>
      <w:szCs w:val="21"/>
      <w:lang w:val="en-US" w:eastAsia="zh-CN" w:bidi="ar-SA"/>
    </w:rPr>
  </w:style>
  <w:style w:type="paragraph" w:customStyle="1" w:styleId="696">
    <w:name w:val="Char Char Char Char Char"/>
    <w:basedOn w:val="1"/>
    <w:autoRedefine/>
    <w:qFormat/>
    <w:uiPriority w:val="99"/>
    <w:rPr>
      <w:sz w:val="24"/>
      <w:szCs w:val="24"/>
    </w:rPr>
  </w:style>
  <w:style w:type="paragraph" w:customStyle="1" w:styleId="697">
    <w:name w:val="xl5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698">
    <w:name w:val="工程建设节标题"/>
    <w:basedOn w:val="699"/>
    <w:next w:val="5"/>
    <w:autoRedefine/>
    <w:semiHidden/>
    <w:qFormat/>
    <w:uiPriority w:val="99"/>
    <w:pPr>
      <w:tabs>
        <w:tab w:val="left" w:pos="525"/>
        <w:tab w:val="left" w:pos="2224"/>
      </w:tabs>
      <w:spacing w:before="400" w:after="400" w:line="240" w:lineRule="auto"/>
      <w:ind w:left="2224" w:hanging="420"/>
      <w:outlineLvl w:val="2"/>
    </w:pPr>
    <w:rPr>
      <w:sz w:val="21"/>
      <w:szCs w:val="21"/>
    </w:rPr>
  </w:style>
  <w:style w:type="paragraph" w:customStyle="1" w:styleId="699">
    <w:name w:val="工程建设章标题"/>
    <w:next w:val="5"/>
    <w:autoRedefine/>
    <w:semiHidden/>
    <w:qFormat/>
    <w:uiPriority w:val="99"/>
    <w:pPr>
      <w:spacing w:before="640" w:after="560" w:line="480" w:lineRule="exact"/>
      <w:jc w:val="center"/>
      <w:outlineLvl w:val="1"/>
    </w:pPr>
    <w:rPr>
      <w:rFonts w:ascii="黑体" w:hAnsi="Calibri" w:eastAsia="黑体" w:cs="黑体"/>
      <w:b/>
      <w:bCs/>
      <w:sz w:val="28"/>
      <w:szCs w:val="28"/>
      <w:lang w:val="en-US" w:eastAsia="zh-CN" w:bidi="ar-SA"/>
    </w:rPr>
  </w:style>
  <w:style w:type="paragraph" w:customStyle="1" w:styleId="700">
    <w:name w:val="_Style 47"/>
    <w:basedOn w:val="1"/>
    <w:autoRedefine/>
    <w:qFormat/>
    <w:uiPriority w:val="99"/>
  </w:style>
  <w:style w:type="paragraph" w:customStyle="1" w:styleId="701">
    <w:name w:val="Normal_0_1"/>
    <w:basedOn w:val="537"/>
    <w:autoRedefine/>
    <w:qFormat/>
    <w:uiPriority w:val="99"/>
    <w:pPr>
      <w:jc w:val="left"/>
    </w:pPr>
    <w:rPr>
      <w:sz w:val="24"/>
      <w:szCs w:val="24"/>
    </w:rPr>
  </w:style>
  <w:style w:type="paragraph" w:customStyle="1" w:styleId="702">
    <w:name w:val="xl3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2"/>
      <w:szCs w:val="22"/>
    </w:rPr>
  </w:style>
  <w:style w:type="paragraph" w:customStyle="1" w:styleId="703">
    <w:name w:val="@5级标题"/>
    <w:basedOn w:val="587"/>
    <w:autoRedefine/>
    <w:qFormat/>
    <w:uiPriority w:val="99"/>
    <w:pPr>
      <w:numPr>
        <w:ilvl w:val="4"/>
        <w:numId w:val="2"/>
      </w:numPr>
      <w:tabs>
        <w:tab w:val="left" w:pos="780"/>
        <w:tab w:val="left" w:pos="992"/>
      </w:tabs>
      <w:ind w:left="992" w:hanging="992"/>
      <w:outlineLvl w:val="4"/>
    </w:pPr>
  </w:style>
  <w:style w:type="paragraph" w:customStyle="1" w:styleId="704">
    <w:name w:val="xl3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705">
    <w:name w:val="xl78"/>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pPr>
    <w:rPr>
      <w:rFonts w:ascii="宋体" w:hAnsi="宋体" w:cs="宋体"/>
      <w:color w:val="000000"/>
      <w:kern w:val="0"/>
      <w:sz w:val="18"/>
      <w:szCs w:val="18"/>
    </w:rPr>
  </w:style>
  <w:style w:type="paragraph" w:customStyle="1" w:styleId="706">
    <w:name w:val="Char6"/>
    <w:basedOn w:val="1"/>
    <w:autoRedefine/>
    <w:qFormat/>
    <w:uiPriority w:val="99"/>
  </w:style>
  <w:style w:type="paragraph" w:customStyle="1" w:styleId="707">
    <w:name w:val="Char Char1 Char4"/>
    <w:basedOn w:val="1"/>
    <w:autoRedefine/>
    <w:qFormat/>
    <w:uiPriority w:val="99"/>
    <w:rPr>
      <w:sz w:val="24"/>
      <w:szCs w:val="24"/>
    </w:rPr>
  </w:style>
  <w:style w:type="paragraph" w:customStyle="1" w:styleId="708">
    <w:name w:val="级别 1"/>
    <w:basedOn w:val="3"/>
    <w:next w:val="86"/>
    <w:autoRedefine/>
    <w:qFormat/>
    <w:uiPriority w:val="99"/>
    <w:pPr>
      <w:numPr>
        <w:ilvl w:val="0"/>
        <w:numId w:val="5"/>
      </w:numPr>
      <w:tabs>
        <w:tab w:val="clear" w:pos="1200"/>
      </w:tabs>
      <w:spacing w:before="0" w:after="0" w:line="400" w:lineRule="exact"/>
      <w:ind w:left="0" w:leftChars="0" w:firstLine="0" w:firstLineChars="0"/>
    </w:pPr>
    <w:rPr>
      <w:kern w:val="2"/>
      <w:sz w:val="32"/>
      <w:szCs w:val="32"/>
    </w:rPr>
  </w:style>
  <w:style w:type="paragraph" w:customStyle="1" w:styleId="709">
    <w:name w:val="默认段落字体 Para Char Char Char Char"/>
    <w:basedOn w:val="1"/>
    <w:autoRedefine/>
    <w:qFormat/>
    <w:uiPriority w:val="99"/>
    <w:rPr>
      <w:sz w:val="28"/>
      <w:szCs w:val="28"/>
    </w:rPr>
  </w:style>
  <w:style w:type="paragraph" w:customStyle="1" w:styleId="710">
    <w:name w:val="xl105"/>
    <w:basedOn w:val="1"/>
    <w:autoRedefine/>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 w:hAnsi="宋体" w:eastAsia="?" w:cs="?"/>
      <w:b/>
      <w:bCs/>
      <w:color w:val="000000"/>
      <w:kern w:val="0"/>
      <w:sz w:val="18"/>
      <w:szCs w:val="18"/>
    </w:rPr>
  </w:style>
  <w:style w:type="paragraph" w:customStyle="1" w:styleId="711">
    <w:name w:val="Char Char1 Char Char"/>
    <w:basedOn w:val="1"/>
    <w:autoRedefine/>
    <w:qFormat/>
    <w:uiPriority w:val="99"/>
    <w:pPr>
      <w:tabs>
        <w:tab w:val="left" w:pos="425"/>
      </w:tabs>
      <w:spacing w:after="200" w:line="276" w:lineRule="auto"/>
      <w:ind w:left="425" w:hanging="425"/>
    </w:pPr>
  </w:style>
  <w:style w:type="paragraph" w:customStyle="1" w:styleId="712">
    <w:name w:val="Char Char Char1 Char Char Char2"/>
    <w:basedOn w:val="1"/>
    <w:autoRedefine/>
    <w:qFormat/>
    <w:uiPriority w:val="99"/>
    <w:pPr>
      <w:adjustRightInd w:val="0"/>
      <w:spacing w:line="312" w:lineRule="atLeast"/>
      <w:textAlignment w:val="baseline"/>
    </w:pPr>
    <w:rPr>
      <w:kern w:val="0"/>
    </w:rPr>
  </w:style>
  <w:style w:type="paragraph" w:customStyle="1" w:styleId="713">
    <w:name w:val="Char Char Char Char Char1 Char Char Char Char2"/>
    <w:basedOn w:val="1"/>
    <w:autoRedefine/>
    <w:qFormat/>
    <w:uiPriority w:val="99"/>
    <w:pPr>
      <w:spacing w:line="360" w:lineRule="auto"/>
    </w:pPr>
    <w:rPr>
      <w:rFonts w:ascii="Tahoma" w:hAnsi="Tahoma" w:cs="Tahoma"/>
      <w:sz w:val="24"/>
      <w:szCs w:val="24"/>
    </w:rPr>
  </w:style>
  <w:style w:type="paragraph" w:customStyle="1" w:styleId="714">
    <w:name w:val="text"/>
    <w:basedOn w:val="1"/>
    <w:autoRedefine/>
    <w:qFormat/>
    <w:uiPriority w:val="99"/>
    <w:pPr>
      <w:widowControl/>
      <w:spacing w:before="100" w:beforeAutospacing="1" w:after="100" w:afterAutospacing="1"/>
      <w:jc w:val="center"/>
    </w:pPr>
    <w:rPr>
      <w:rFonts w:ascii="宋体" w:hAnsi="宋体" w:cs="宋体"/>
      <w:color w:val="000000"/>
      <w:kern w:val="0"/>
    </w:rPr>
  </w:style>
  <w:style w:type="paragraph" w:customStyle="1" w:styleId="715">
    <w:name w:val="样式 内容 + 左侧:  0.85 厘米 首行缩进:  0 字符"/>
    <w:basedOn w:val="137"/>
    <w:autoRedefine/>
    <w:qFormat/>
    <w:uiPriority w:val="99"/>
    <w:pPr>
      <w:widowControl/>
      <w:adjustRightInd w:val="0"/>
      <w:snapToGrid w:val="0"/>
      <w:spacing w:beforeLines="100" w:line="360" w:lineRule="auto"/>
      <w:ind w:firstLine="0" w:firstLineChars="0"/>
    </w:pPr>
    <w:rPr>
      <w:rFonts w:ascii="Times New Roman" w:cs="Times New Roman"/>
      <w:kern w:val="0"/>
    </w:rPr>
  </w:style>
  <w:style w:type="paragraph" w:customStyle="1" w:styleId="716">
    <w:name w:val="样式 样式 样式 样式 正文缩进 + 首行缩进:  2 字符 + 首行缩进:  2 字符 + 首行缩进:  2 字符 + 首行缩..."/>
    <w:basedOn w:val="1"/>
    <w:autoRedefine/>
    <w:qFormat/>
    <w:uiPriority w:val="99"/>
    <w:pPr>
      <w:widowControl/>
      <w:adjustRightInd w:val="0"/>
      <w:spacing w:before="60" w:after="60" w:line="480" w:lineRule="auto"/>
      <w:ind w:firstLine="200" w:firstLineChars="200"/>
      <w:jc w:val="left"/>
      <w:textAlignment w:val="baseline"/>
    </w:pPr>
    <w:rPr>
      <w:rFonts w:ascii="宋体" w:cs="宋体"/>
      <w:kern w:val="0"/>
      <w:sz w:val="28"/>
      <w:szCs w:val="28"/>
    </w:rPr>
  </w:style>
  <w:style w:type="paragraph" w:customStyle="1" w:styleId="717">
    <w:name w:val="Char Char Char Char Char Char Char Char Char Char"/>
    <w:basedOn w:val="1"/>
    <w:autoRedefine/>
    <w:qFormat/>
    <w:uiPriority w:val="99"/>
  </w:style>
  <w:style w:type="paragraph" w:customStyle="1" w:styleId="718">
    <w:name w:val="font17"/>
    <w:basedOn w:val="1"/>
    <w:autoRedefine/>
    <w:qFormat/>
    <w:uiPriority w:val="99"/>
    <w:pPr>
      <w:widowControl/>
      <w:spacing w:before="100" w:beforeAutospacing="1" w:after="100" w:afterAutospacing="1"/>
      <w:jc w:val="left"/>
    </w:pPr>
    <w:rPr>
      <w:rFonts w:ascii="宋体" w:hAnsi="宋体" w:cs="宋体"/>
      <w:kern w:val="0"/>
      <w:sz w:val="20"/>
      <w:szCs w:val="20"/>
    </w:rPr>
  </w:style>
  <w:style w:type="paragraph" w:customStyle="1" w:styleId="719">
    <w:name w:val="Char Char Char Char1"/>
    <w:basedOn w:val="1"/>
    <w:autoRedefine/>
    <w:qFormat/>
    <w:uiPriority w:val="99"/>
    <w:rPr>
      <w:sz w:val="24"/>
      <w:szCs w:val="24"/>
    </w:rPr>
  </w:style>
  <w:style w:type="paragraph" w:customStyle="1" w:styleId="720">
    <w:name w:val="正文2"/>
    <w:autoRedefine/>
    <w:qFormat/>
    <w:uiPriority w:val="99"/>
    <w:pPr>
      <w:widowControl w:val="0"/>
      <w:autoSpaceDE w:val="0"/>
      <w:autoSpaceDN w:val="0"/>
      <w:adjustRightInd w:val="0"/>
      <w:spacing w:line="360" w:lineRule="atLeast"/>
      <w:ind w:left="425" w:hanging="425"/>
      <w:textAlignment w:val="bottom"/>
    </w:pPr>
    <w:rPr>
      <w:rFonts w:ascii="宋体" w:hAnsi="Calibri" w:eastAsia="宋体" w:cs="宋体"/>
      <w:position w:val="-6"/>
      <w:sz w:val="32"/>
      <w:szCs w:val="32"/>
      <w:lang w:val="en-US" w:eastAsia="zh-CN" w:bidi="ar-SA"/>
    </w:rPr>
  </w:style>
  <w:style w:type="paragraph" w:customStyle="1" w:styleId="721">
    <w:name w:val="样式 小四 加粗 居中 行距: 固定值 25 磅"/>
    <w:basedOn w:val="1"/>
    <w:autoRedefine/>
    <w:qFormat/>
    <w:uiPriority w:val="99"/>
    <w:pPr>
      <w:spacing w:line="500" w:lineRule="exact"/>
      <w:jc w:val="center"/>
    </w:pPr>
    <w:rPr>
      <w:b/>
      <w:bCs/>
      <w:sz w:val="28"/>
      <w:szCs w:val="28"/>
    </w:rPr>
  </w:style>
  <w:style w:type="paragraph" w:customStyle="1" w:styleId="722">
    <w:name w:val="报告图题"/>
    <w:basedOn w:val="1"/>
    <w:next w:val="1"/>
    <w:autoRedefine/>
    <w:qFormat/>
    <w:uiPriority w:val="99"/>
    <w:pPr>
      <w:spacing w:before="120" w:after="120" w:line="400" w:lineRule="exact"/>
      <w:jc w:val="center"/>
    </w:pPr>
    <w:rPr>
      <w:rFonts w:ascii="黑体" w:eastAsia="黑体" w:cs="黑体"/>
    </w:rPr>
  </w:style>
  <w:style w:type="paragraph" w:customStyle="1" w:styleId="723">
    <w:name w:val="Char Char Char Char Char1 Char Char1"/>
    <w:basedOn w:val="1"/>
    <w:autoRedefine/>
    <w:qFormat/>
    <w:uiPriority w:val="99"/>
    <w:rPr>
      <w:sz w:val="24"/>
      <w:szCs w:val="24"/>
    </w:rPr>
  </w:style>
  <w:style w:type="paragraph" w:customStyle="1" w:styleId="724">
    <w:name w:val="样式 样式1 + 首行缩进:  2 字符"/>
    <w:basedOn w:val="1"/>
    <w:autoRedefine/>
    <w:qFormat/>
    <w:uiPriority w:val="99"/>
    <w:pPr>
      <w:spacing w:line="440" w:lineRule="atLeast"/>
      <w:ind w:firstLine="480" w:firstLineChars="200"/>
    </w:pPr>
    <w:rPr>
      <w:sz w:val="24"/>
      <w:szCs w:val="24"/>
    </w:rPr>
  </w:style>
  <w:style w:type="paragraph" w:customStyle="1" w:styleId="725">
    <w:name w:val="Char Char Char Char Char Char Char1"/>
    <w:basedOn w:val="1"/>
    <w:autoRedefine/>
    <w:qFormat/>
    <w:uiPriority w:val="99"/>
  </w:style>
  <w:style w:type="paragraph" w:customStyle="1" w:styleId="726">
    <w:name w:val="样式 标题 3 + Times New Roman 自动设置"/>
    <w:basedOn w:val="5"/>
    <w:autoRedefine/>
    <w:qFormat/>
    <w:uiPriority w:val="99"/>
    <w:pPr>
      <w:tabs>
        <w:tab w:val="left" w:pos="1080"/>
      </w:tabs>
      <w:autoSpaceDE w:val="0"/>
      <w:autoSpaceDN w:val="0"/>
      <w:adjustRightInd w:val="0"/>
      <w:spacing w:before="120" w:after="120" w:line="240" w:lineRule="auto"/>
      <w:ind w:firstLine="0" w:firstLineChars="0"/>
      <w:jc w:val="left"/>
      <w:textAlignment w:val="bottom"/>
    </w:pPr>
    <w:rPr>
      <w:rFonts w:ascii="Times New Roman" w:hAnsi="Times New Roman" w:eastAsia="宋体" w:cs="Times New Roman"/>
      <w:b/>
      <w:bCs/>
      <w:kern w:val="0"/>
      <w:sz w:val="24"/>
      <w:szCs w:val="24"/>
    </w:rPr>
  </w:style>
  <w:style w:type="paragraph" w:customStyle="1" w:styleId="727">
    <w:name w:val="Char Char Char Char Char1 Char Char"/>
    <w:basedOn w:val="1"/>
    <w:autoRedefine/>
    <w:qFormat/>
    <w:uiPriority w:val="99"/>
    <w:rPr>
      <w:sz w:val="24"/>
      <w:szCs w:val="24"/>
    </w:rPr>
  </w:style>
  <w:style w:type="paragraph" w:customStyle="1" w:styleId="728">
    <w:name w:val="Heading 81"/>
    <w:basedOn w:val="1"/>
    <w:autoRedefine/>
    <w:qFormat/>
    <w:uiPriority w:val="99"/>
    <w:pPr>
      <w:autoSpaceDE w:val="0"/>
      <w:autoSpaceDN w:val="0"/>
      <w:adjustRightInd w:val="0"/>
      <w:spacing w:after="200" w:line="276" w:lineRule="auto"/>
      <w:ind w:left="148"/>
      <w:jc w:val="left"/>
      <w:outlineLvl w:val="7"/>
    </w:pPr>
    <w:rPr>
      <w:rFonts w:ascii="黑体" w:eastAsia="黑体" w:cs="黑体"/>
      <w:kern w:val="0"/>
      <w:sz w:val="24"/>
      <w:szCs w:val="24"/>
    </w:rPr>
  </w:style>
  <w:style w:type="paragraph" w:customStyle="1" w:styleId="729">
    <w:name w:val="Char Char Char1 Char"/>
    <w:basedOn w:val="1"/>
    <w:autoRedefine/>
    <w:qFormat/>
    <w:uiPriority w:val="99"/>
    <w:rPr>
      <w:sz w:val="24"/>
      <w:szCs w:val="24"/>
    </w:rPr>
  </w:style>
  <w:style w:type="paragraph" w:customStyle="1" w:styleId="730">
    <w:name w:val="样式 标题 2h2l22nd levelTitre22Header 2节标题 1.1BSH-2 + Times ..."/>
    <w:basedOn w:val="4"/>
    <w:autoRedefine/>
    <w:qFormat/>
    <w:uiPriority w:val="99"/>
    <w:pPr>
      <w:tabs>
        <w:tab w:val="left" w:pos="576"/>
      </w:tabs>
      <w:autoSpaceDE w:val="0"/>
      <w:autoSpaceDN w:val="0"/>
      <w:adjustRightInd w:val="0"/>
      <w:spacing w:beforeLines="100" w:afterLines="100" w:line="480" w:lineRule="exact"/>
      <w:ind w:left="578" w:hanging="578"/>
      <w:jc w:val="left"/>
    </w:pPr>
    <w:rPr>
      <w:rFonts w:ascii="Times New Roman" w:hAnsi="Times New Roman" w:eastAsia="宋体" w:cs="Times New Roman"/>
      <w:sz w:val="24"/>
      <w:szCs w:val="24"/>
    </w:rPr>
  </w:style>
  <w:style w:type="paragraph" w:customStyle="1" w:styleId="731">
    <w:name w:val="Char Char Char Char Char Char Char Char Char Char Char Char"/>
    <w:basedOn w:val="1"/>
    <w:autoRedefine/>
    <w:semiHidden/>
    <w:qFormat/>
    <w:uiPriority w:val="99"/>
    <w:pPr>
      <w:spacing w:line="360" w:lineRule="auto"/>
    </w:pPr>
    <w:rPr>
      <w:rFonts w:eastAsia="黑体"/>
      <w:sz w:val="24"/>
      <w:szCs w:val="24"/>
    </w:rPr>
  </w:style>
  <w:style w:type="paragraph" w:customStyle="1" w:styleId="732">
    <w:name w:val="标准正文"/>
    <w:basedOn w:val="1"/>
    <w:autoRedefine/>
    <w:qFormat/>
    <w:uiPriority w:val="99"/>
    <w:pPr>
      <w:ind w:firstLine="560" w:firstLineChars="200"/>
    </w:pPr>
    <w:rPr>
      <w:rFonts w:ascii="仿宋_GB2312" w:eastAsia="仿宋_GB2312" w:cs="仿宋_GB2312"/>
      <w:sz w:val="28"/>
      <w:szCs w:val="28"/>
    </w:rPr>
  </w:style>
  <w:style w:type="paragraph" w:customStyle="1" w:styleId="733">
    <w:name w:val="Char41"/>
    <w:basedOn w:val="1"/>
    <w:autoRedefine/>
    <w:qFormat/>
    <w:uiPriority w:val="99"/>
    <w:pPr>
      <w:spacing w:line="360" w:lineRule="auto"/>
    </w:pPr>
    <w:rPr>
      <w:rFonts w:ascii="Tahoma" w:hAnsi="Tahoma" w:cs="Tahoma"/>
      <w:sz w:val="24"/>
      <w:szCs w:val="24"/>
    </w:rPr>
  </w:style>
  <w:style w:type="paragraph" w:customStyle="1" w:styleId="734">
    <w:name w:val="Char Char Char Char Char Char Char3"/>
    <w:basedOn w:val="1"/>
    <w:autoRedefine/>
    <w:qFormat/>
    <w:uiPriority w:val="99"/>
    <w:rPr>
      <w:sz w:val="24"/>
      <w:szCs w:val="24"/>
    </w:rPr>
  </w:style>
  <w:style w:type="paragraph" w:customStyle="1" w:styleId="735">
    <w:name w:val="正文41"/>
    <w:autoRedefine/>
    <w:qFormat/>
    <w:uiPriority w:val="99"/>
    <w:pPr>
      <w:widowControl w:val="0"/>
      <w:adjustRightInd w:val="0"/>
      <w:spacing w:line="312" w:lineRule="atLeast"/>
      <w:jc w:val="both"/>
      <w:textAlignment w:val="baseline"/>
    </w:pPr>
    <w:rPr>
      <w:rFonts w:ascii="Calibri" w:hAnsi="Calibri" w:eastAsia="宋体" w:cs="Calibri"/>
      <w:lang w:val="en-US" w:eastAsia="zh-CN" w:bidi="ar-SA"/>
    </w:rPr>
  </w:style>
  <w:style w:type="paragraph" w:customStyle="1" w:styleId="736">
    <w:name w:val="样式 小四 行距: 固定值 24 磅"/>
    <w:basedOn w:val="1"/>
    <w:autoRedefine/>
    <w:qFormat/>
    <w:uiPriority w:val="99"/>
    <w:pPr>
      <w:adjustRightInd w:val="0"/>
      <w:snapToGrid w:val="0"/>
      <w:spacing w:line="480" w:lineRule="exact"/>
      <w:ind w:firstLine="200" w:firstLineChars="200"/>
    </w:pPr>
    <w:rPr>
      <w:sz w:val="24"/>
      <w:szCs w:val="24"/>
    </w:rPr>
  </w:style>
  <w:style w:type="paragraph" w:customStyle="1" w:styleId="737">
    <w:name w:val="修订1"/>
    <w:autoRedefine/>
    <w:qFormat/>
    <w:uiPriority w:val="99"/>
    <w:rPr>
      <w:rFonts w:ascii="Calibri" w:hAnsi="Calibri" w:eastAsia="宋体" w:cs="Calibri"/>
      <w:kern w:val="2"/>
      <w:sz w:val="21"/>
      <w:szCs w:val="21"/>
      <w:lang w:val="en-US" w:eastAsia="zh-CN" w:bidi="ar-SA"/>
    </w:rPr>
  </w:style>
  <w:style w:type="paragraph" w:customStyle="1" w:styleId="738">
    <w:name w:val="注释5号"/>
    <w:autoRedefine/>
    <w:qFormat/>
    <w:uiPriority w:val="99"/>
    <w:pPr>
      <w:spacing w:before="156" w:after="156"/>
      <w:ind w:left="900" w:leftChars="200" w:hanging="420" w:hangingChars="200"/>
    </w:pPr>
    <w:rPr>
      <w:rFonts w:ascii="Calibri" w:hAnsi="Calibri" w:eastAsia="宋体" w:cs="Calibri"/>
      <w:sz w:val="21"/>
      <w:szCs w:val="21"/>
      <w:lang w:val="en-US" w:eastAsia="zh-CN" w:bidi="ar-SA"/>
    </w:rPr>
  </w:style>
  <w:style w:type="paragraph" w:customStyle="1" w:styleId="739">
    <w:name w:val="xl6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740">
    <w:name w:val="表格样式2"/>
    <w:basedOn w:val="1"/>
    <w:autoRedefine/>
    <w:qFormat/>
    <w:uiPriority w:val="99"/>
    <w:pPr>
      <w:widowControl/>
      <w:spacing w:line="276" w:lineRule="auto"/>
      <w:jc w:val="left"/>
    </w:pPr>
    <w:rPr>
      <w:rFonts w:ascii="仿宋_GB2312" w:hAnsi="宋体" w:eastAsia="仿宋_GB2312" w:cs="仿宋_GB2312"/>
      <w:kern w:val="0"/>
      <w:sz w:val="18"/>
      <w:szCs w:val="18"/>
      <w:lang w:val="zh-CN"/>
    </w:rPr>
  </w:style>
  <w:style w:type="paragraph" w:customStyle="1" w:styleId="741">
    <w:name w:val="表名"/>
    <w:basedOn w:val="1"/>
    <w:autoRedefine/>
    <w:qFormat/>
    <w:uiPriority w:val="99"/>
    <w:pPr>
      <w:overflowPunct w:val="0"/>
      <w:spacing w:before="120"/>
      <w:jc w:val="center"/>
      <w:textAlignment w:val="baseline"/>
    </w:pPr>
    <w:rPr>
      <w:rFonts w:ascii="Arial" w:hAnsi="Arial" w:eastAsia="黑体" w:cs="Arial"/>
    </w:rPr>
  </w:style>
  <w:style w:type="paragraph" w:customStyle="1" w:styleId="742">
    <w:name w:val="小二"/>
    <w:autoRedefine/>
    <w:semiHidden/>
    <w:qFormat/>
    <w:uiPriority w:val="99"/>
    <w:pPr>
      <w:spacing w:before="120" w:line="120" w:lineRule="atLeast"/>
      <w:jc w:val="center"/>
    </w:pPr>
    <w:rPr>
      <w:rFonts w:ascii="Calibri" w:hAnsi="Calibri" w:eastAsia="宋体" w:cs="Calibri"/>
      <w:b/>
      <w:bCs/>
      <w:position w:val="-6"/>
      <w:sz w:val="36"/>
      <w:szCs w:val="36"/>
      <w:lang w:val="en-US" w:eastAsia="zh-CN" w:bidi="ar-SA"/>
    </w:rPr>
  </w:style>
  <w:style w:type="paragraph" w:customStyle="1" w:styleId="743">
    <w:name w:val="xl81"/>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pPr>
    <w:rPr>
      <w:rFonts w:ascii="宋体" w:hAnsi="宋体" w:cs="宋体"/>
      <w:kern w:val="0"/>
      <w:sz w:val="18"/>
      <w:szCs w:val="18"/>
    </w:rPr>
  </w:style>
  <w:style w:type="paragraph" w:customStyle="1" w:styleId="744">
    <w:name w:val="AONormal"/>
    <w:autoRedefine/>
    <w:qFormat/>
    <w:uiPriority w:val="99"/>
    <w:pPr>
      <w:spacing w:after="200" w:line="260" w:lineRule="atLeast"/>
      <w:jc w:val="both"/>
    </w:pPr>
    <w:rPr>
      <w:rFonts w:ascii="Calibri" w:hAnsi="Calibri" w:eastAsia="宋体" w:cs="Calibri"/>
      <w:sz w:val="22"/>
      <w:szCs w:val="22"/>
      <w:lang w:val="en-GB" w:eastAsia="en-US" w:bidi="ar-SA"/>
    </w:rPr>
  </w:style>
  <w:style w:type="paragraph" w:customStyle="1" w:styleId="745">
    <w:name w:val="font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46">
    <w:name w:val="Char Char Char1 Char Char Char Char11"/>
    <w:basedOn w:val="1"/>
    <w:autoRedefine/>
    <w:qFormat/>
    <w:uiPriority w:val="99"/>
    <w:rPr>
      <w:sz w:val="24"/>
      <w:szCs w:val="24"/>
    </w:rPr>
  </w:style>
  <w:style w:type="paragraph" w:customStyle="1" w:styleId="747">
    <w:name w:val="CM9"/>
    <w:basedOn w:val="116"/>
    <w:next w:val="116"/>
    <w:autoRedefine/>
    <w:qFormat/>
    <w:uiPriority w:val="99"/>
    <w:rPr>
      <w:rFonts w:ascii="Arial" w:hAnsi="Arial" w:cs="Arial"/>
      <w:color w:val="auto"/>
    </w:rPr>
  </w:style>
  <w:style w:type="paragraph" w:customStyle="1" w:styleId="748">
    <w:name w:val="样式 标题 33h33rd levelH3l3CT条标题1.1.1标题 3 Char + Times New R..."/>
    <w:basedOn w:val="5"/>
    <w:autoRedefine/>
    <w:qFormat/>
    <w:uiPriority w:val="99"/>
    <w:pPr>
      <w:spacing w:beforeLines="50" w:afterLines="50" w:line="480" w:lineRule="exact"/>
      <w:ind w:firstLine="0" w:firstLineChars="0"/>
      <w:outlineLvl w:val="9"/>
    </w:pPr>
    <w:rPr>
      <w:rFonts w:ascii="Times New Roman" w:hAnsi="Times New Roman" w:eastAsia="宋体" w:cs="Times New Roman"/>
      <w:sz w:val="24"/>
      <w:szCs w:val="24"/>
    </w:rPr>
  </w:style>
  <w:style w:type="paragraph" w:customStyle="1" w:styleId="749">
    <w:name w:val="签署页"/>
    <w:basedOn w:val="1"/>
    <w:autoRedefine/>
    <w:qFormat/>
    <w:uiPriority w:val="99"/>
    <w:pPr>
      <w:spacing w:line="400" w:lineRule="exact"/>
    </w:pPr>
    <w:rPr>
      <w:b/>
      <w:bCs/>
      <w:sz w:val="32"/>
      <w:szCs w:val="32"/>
    </w:rPr>
  </w:style>
  <w:style w:type="paragraph" w:customStyle="1" w:styleId="750">
    <w:name w:val="Char43"/>
    <w:basedOn w:val="1"/>
    <w:autoRedefine/>
    <w:qFormat/>
    <w:uiPriority w:val="99"/>
    <w:rPr>
      <w:sz w:val="24"/>
      <w:szCs w:val="24"/>
    </w:rPr>
  </w:style>
  <w:style w:type="paragraph" w:customStyle="1" w:styleId="751">
    <w:name w:val="Char Char Char Char Char Char Char Char Char Char Char Char Char Char Char Char Char Char Char Char Char Char Char Char Char Char Char Char Char Char Char Char Char Char"/>
    <w:basedOn w:val="1"/>
    <w:autoRedefine/>
    <w:qFormat/>
    <w:uiPriority w:val="99"/>
    <w:pPr>
      <w:spacing w:after="200" w:line="276" w:lineRule="auto"/>
    </w:pPr>
    <w:rPr>
      <w:sz w:val="28"/>
      <w:szCs w:val="28"/>
    </w:rPr>
  </w:style>
  <w:style w:type="paragraph" w:customStyle="1" w:styleId="752">
    <w:name w:val="标题 31"/>
    <w:basedOn w:val="1"/>
    <w:autoRedefine/>
    <w:qFormat/>
    <w:uiPriority w:val="99"/>
    <w:pPr>
      <w:autoSpaceDE w:val="0"/>
      <w:autoSpaceDN w:val="0"/>
      <w:adjustRightInd w:val="0"/>
      <w:spacing w:after="200" w:line="276" w:lineRule="auto"/>
      <w:ind w:left="2"/>
      <w:jc w:val="left"/>
      <w:outlineLvl w:val="2"/>
    </w:pPr>
    <w:rPr>
      <w:rFonts w:ascii="黑体" w:eastAsia="黑体" w:cs="黑体"/>
      <w:kern w:val="0"/>
      <w:sz w:val="44"/>
      <w:szCs w:val="44"/>
    </w:rPr>
  </w:style>
  <w:style w:type="paragraph" w:customStyle="1" w:styleId="753">
    <w:name w:val="港珠澳插图"/>
    <w:basedOn w:val="1"/>
    <w:autoRedefine/>
    <w:qFormat/>
    <w:uiPriority w:val="99"/>
    <w:pPr>
      <w:adjustRightInd w:val="0"/>
      <w:snapToGrid w:val="0"/>
      <w:spacing w:before="60"/>
      <w:jc w:val="center"/>
    </w:pPr>
    <w:rPr>
      <w:color w:val="000000"/>
      <w:sz w:val="24"/>
      <w:szCs w:val="24"/>
    </w:rPr>
  </w:style>
  <w:style w:type="paragraph" w:customStyle="1" w:styleId="754">
    <w:name w:val="style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55">
    <w:name w:val="插图"/>
    <w:basedOn w:val="21"/>
    <w:autoRedefine/>
    <w:qFormat/>
    <w:uiPriority w:val="99"/>
    <w:pPr>
      <w:spacing w:before="180" w:line="240" w:lineRule="atLeast"/>
      <w:ind w:firstLine="0" w:firstLineChars="0"/>
      <w:jc w:val="center"/>
    </w:pPr>
    <w:rPr>
      <w:b/>
      <w:bCs/>
      <w:spacing w:val="4"/>
      <w:kern w:val="0"/>
    </w:rPr>
  </w:style>
  <w:style w:type="paragraph" w:customStyle="1" w:styleId="756">
    <w:name w:val="Char Char1 Char5"/>
    <w:basedOn w:val="1"/>
    <w:autoRedefine/>
    <w:qFormat/>
    <w:uiPriority w:val="99"/>
    <w:pPr>
      <w:spacing w:line="360" w:lineRule="auto"/>
    </w:pPr>
    <w:rPr>
      <w:rFonts w:ascii="Tahoma" w:hAnsi="Tahoma" w:cs="Tahoma"/>
      <w:sz w:val="24"/>
      <w:szCs w:val="24"/>
    </w:rPr>
  </w:style>
  <w:style w:type="paragraph" w:customStyle="1" w:styleId="757">
    <w:name w:val="_Style 1"/>
    <w:basedOn w:val="1"/>
    <w:autoRedefine/>
    <w:qFormat/>
    <w:uiPriority w:val="99"/>
    <w:pPr>
      <w:spacing w:after="200" w:line="276" w:lineRule="auto"/>
      <w:ind w:firstLine="420" w:firstLineChars="200"/>
    </w:pPr>
    <w:rPr>
      <w:sz w:val="30"/>
      <w:szCs w:val="30"/>
    </w:rPr>
  </w:style>
  <w:style w:type="paragraph" w:customStyle="1" w:styleId="758">
    <w:name w:val="CM11"/>
    <w:basedOn w:val="116"/>
    <w:next w:val="116"/>
    <w:autoRedefine/>
    <w:qFormat/>
    <w:uiPriority w:val="99"/>
    <w:rPr>
      <w:rFonts w:ascii="Arial" w:hAnsi="Arial" w:cs="Arial"/>
      <w:color w:val="auto"/>
    </w:rPr>
  </w:style>
  <w:style w:type="paragraph" w:customStyle="1" w:styleId="759">
    <w:name w:val="xl3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2"/>
      <w:szCs w:val="22"/>
    </w:rPr>
  </w:style>
  <w:style w:type="paragraph" w:customStyle="1" w:styleId="760">
    <w:name w:val="目录文字"/>
    <w:basedOn w:val="1"/>
    <w:autoRedefine/>
    <w:qFormat/>
    <w:uiPriority w:val="99"/>
    <w:pPr>
      <w:widowControl/>
      <w:spacing w:line="480" w:lineRule="auto"/>
      <w:jc w:val="left"/>
    </w:pPr>
    <w:rPr>
      <w:rFonts w:ascii="宋体" w:hAnsi="宋体" w:cs="宋体"/>
      <w:kern w:val="0"/>
      <w:sz w:val="24"/>
      <w:szCs w:val="24"/>
    </w:rPr>
  </w:style>
  <w:style w:type="paragraph" w:customStyle="1" w:styleId="761">
    <w:name w:val="xl4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762">
    <w:name w:val="xl90"/>
    <w:basedOn w:val="1"/>
    <w:autoRedefine/>
    <w:qFormat/>
    <w:uiPriority w:val="99"/>
    <w:pPr>
      <w:widowControl/>
      <w:pBdr>
        <w:top w:val="single" w:color="auto" w:sz="4" w:space="0"/>
        <w:left w:val="single" w:color="auto" w:sz="4" w:space="0"/>
        <w:bottom w:val="single" w:color="auto" w:sz="4" w:space="0"/>
        <w:right w:val="single" w:color="auto" w:sz="8" w:space="0"/>
      </w:pBdr>
      <w:shd w:val="clear" w:color="000000" w:fill="92D050"/>
      <w:spacing w:before="100" w:beforeAutospacing="1" w:after="100" w:afterAutospacing="1"/>
      <w:jc w:val="right"/>
    </w:pPr>
    <w:rPr>
      <w:rFonts w:ascii="宋体" w:hAnsi="宋体" w:cs="宋体"/>
      <w:color w:val="000000"/>
      <w:kern w:val="0"/>
      <w:sz w:val="18"/>
      <w:szCs w:val="18"/>
    </w:rPr>
  </w:style>
  <w:style w:type="paragraph" w:customStyle="1" w:styleId="763">
    <w:name w:val="诉讼"/>
    <w:basedOn w:val="1"/>
    <w:next w:val="1"/>
    <w:autoRedefine/>
    <w:qFormat/>
    <w:uiPriority w:val="99"/>
    <w:pPr>
      <w:tabs>
        <w:tab w:val="center" w:pos="420"/>
      </w:tabs>
      <w:adjustRightInd w:val="0"/>
      <w:spacing w:beforeLines="300" w:afterLines="200" w:line="360" w:lineRule="auto"/>
      <w:jc w:val="center"/>
      <w:textAlignment w:val="baseline"/>
    </w:pPr>
    <w:rPr>
      <w:rFonts w:ascii="宋体" w:eastAsia="方正仿宋简体" w:cs="宋体"/>
      <w:b/>
      <w:bCs/>
      <w:kern w:val="0"/>
      <w:sz w:val="52"/>
      <w:szCs w:val="52"/>
    </w:rPr>
  </w:style>
  <w:style w:type="paragraph" w:customStyle="1" w:styleId="764">
    <w:name w:val="电站名称"/>
    <w:basedOn w:val="1"/>
    <w:autoRedefine/>
    <w:qFormat/>
    <w:uiPriority w:val="99"/>
    <w:pPr>
      <w:jc w:val="center"/>
    </w:pPr>
    <w:rPr>
      <w:rFonts w:eastAsia="华文仿宋"/>
      <w:b/>
      <w:bCs/>
      <w:spacing w:val="24"/>
      <w:sz w:val="48"/>
      <w:szCs w:val="48"/>
    </w:rPr>
  </w:style>
  <w:style w:type="paragraph" w:customStyle="1" w:styleId="765">
    <w:name w:val="font15"/>
    <w:basedOn w:val="1"/>
    <w:autoRedefine/>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766">
    <w:name w:val="注释"/>
    <w:basedOn w:val="35"/>
    <w:autoRedefine/>
    <w:qFormat/>
    <w:uiPriority w:val="99"/>
    <w:pPr>
      <w:spacing w:beforeLines="100" w:afterLines="100"/>
      <w:ind w:left="0" w:leftChars="0"/>
      <w:jc w:val="center"/>
    </w:pPr>
    <w:rPr>
      <w:rFonts w:ascii="仿宋_GB2312" w:eastAsia="仿宋_GB2312" w:cs="仿宋_GB2312"/>
      <w:sz w:val="36"/>
      <w:szCs w:val="36"/>
    </w:rPr>
  </w:style>
  <w:style w:type="paragraph" w:customStyle="1" w:styleId="767">
    <w:name w:val="Char Char4 Char Char Char Char Char Char Char Char"/>
    <w:basedOn w:val="1"/>
    <w:autoRedefine/>
    <w:qFormat/>
    <w:uiPriority w:val="99"/>
    <w:pPr>
      <w:pageBreakBefore/>
      <w:spacing w:after="200" w:line="360" w:lineRule="auto"/>
    </w:pPr>
  </w:style>
  <w:style w:type="paragraph" w:customStyle="1" w:styleId="768">
    <w:name w:val="Char Char Char Char Char Char1 Char Char Char Char Char1 Char Char Char Char11"/>
    <w:basedOn w:val="1"/>
    <w:autoRedefine/>
    <w:qFormat/>
    <w:uiPriority w:val="99"/>
    <w:rPr>
      <w:sz w:val="24"/>
      <w:szCs w:val="24"/>
    </w:rPr>
  </w:style>
  <w:style w:type="paragraph" w:customStyle="1" w:styleId="769">
    <w:name w:val="纯文本1"/>
    <w:basedOn w:val="1"/>
    <w:autoRedefine/>
    <w:qFormat/>
    <w:uiPriority w:val="99"/>
    <w:pPr>
      <w:adjustRightInd w:val="0"/>
      <w:spacing w:line="312" w:lineRule="atLeast"/>
      <w:textAlignment w:val="baseline"/>
    </w:pPr>
    <w:rPr>
      <w:rFonts w:ascii="宋体" w:hAnsi="Courier New" w:cs="宋体"/>
      <w:kern w:val="0"/>
    </w:rPr>
  </w:style>
  <w:style w:type="paragraph" w:customStyle="1" w:styleId="770">
    <w:name w:val="默认段落字体 Char Char Char"/>
    <w:basedOn w:val="1"/>
    <w:autoRedefine/>
    <w:qFormat/>
    <w:uiPriority w:val="99"/>
    <w:rPr>
      <w:sz w:val="24"/>
      <w:szCs w:val="24"/>
    </w:rPr>
  </w:style>
  <w:style w:type="paragraph" w:customStyle="1" w:styleId="771">
    <w:name w:val="Char Char21"/>
    <w:basedOn w:val="1"/>
    <w:autoRedefine/>
    <w:semiHidden/>
    <w:qFormat/>
    <w:uiPriority w:val="99"/>
    <w:rPr>
      <w:rFonts w:ascii="宋体" w:hAnsi="Courier New" w:cs="宋体"/>
    </w:rPr>
  </w:style>
  <w:style w:type="paragraph" w:customStyle="1" w:styleId="772">
    <w:name w:val="徐京伦－标题2"/>
    <w:basedOn w:val="1"/>
    <w:autoRedefine/>
    <w:qFormat/>
    <w:uiPriority w:val="99"/>
    <w:pPr>
      <w:adjustRightInd w:val="0"/>
      <w:snapToGrid w:val="0"/>
      <w:spacing w:line="480" w:lineRule="atLeast"/>
      <w:ind w:firstLine="482" w:firstLineChars="200"/>
      <w:outlineLvl w:val="1"/>
    </w:pPr>
    <w:rPr>
      <w:b/>
      <w:bCs/>
      <w:sz w:val="24"/>
      <w:szCs w:val="24"/>
    </w:rPr>
  </w:style>
  <w:style w:type="paragraph" w:customStyle="1" w:styleId="773">
    <w:name w:val="表格正文居中小五"/>
    <w:basedOn w:val="1"/>
    <w:autoRedefine/>
    <w:qFormat/>
    <w:uiPriority w:val="99"/>
    <w:rPr>
      <w:rFonts w:ascii="宋体" w:hAnsi="宋体" w:cs="宋体"/>
    </w:rPr>
  </w:style>
  <w:style w:type="paragraph" w:customStyle="1" w:styleId="774">
    <w:name w:val="Char1 Char Char Char4"/>
    <w:basedOn w:val="1"/>
    <w:autoRedefine/>
    <w:qFormat/>
    <w:uiPriority w:val="99"/>
    <w:rPr>
      <w:sz w:val="24"/>
      <w:szCs w:val="24"/>
    </w:rPr>
  </w:style>
  <w:style w:type="paragraph" w:customStyle="1" w:styleId="775">
    <w:name w:val="正文12"/>
    <w:basedOn w:val="1"/>
    <w:autoRedefine/>
    <w:qFormat/>
    <w:uiPriority w:val="99"/>
    <w:pPr>
      <w:tabs>
        <w:tab w:val="left" w:pos="0"/>
        <w:tab w:val="left" w:pos="425"/>
      </w:tabs>
      <w:adjustRightInd w:val="0"/>
      <w:spacing w:line="360" w:lineRule="auto"/>
      <w:ind w:left="425" w:hanging="425"/>
      <w:textAlignment w:val="baseline"/>
    </w:pPr>
    <w:rPr>
      <w:rFonts w:ascii="宋体" w:hAnsi="宋体" w:cs="宋体"/>
      <w:kern w:val="0"/>
    </w:rPr>
  </w:style>
  <w:style w:type="paragraph" w:customStyle="1" w:styleId="776">
    <w:name w:val="默认段落字体 Para"/>
    <w:basedOn w:val="1"/>
    <w:autoRedefine/>
    <w:qFormat/>
    <w:uiPriority w:val="99"/>
    <w:pPr>
      <w:adjustRightInd w:val="0"/>
      <w:spacing w:line="312" w:lineRule="atLeast"/>
      <w:textAlignment w:val="baseline"/>
    </w:pPr>
    <w:rPr>
      <w:kern w:val="0"/>
    </w:rPr>
  </w:style>
  <w:style w:type="paragraph" w:customStyle="1" w:styleId="777">
    <w:name w:val="1 Char"/>
    <w:basedOn w:val="1"/>
    <w:autoRedefine/>
    <w:qFormat/>
    <w:uiPriority w:val="99"/>
    <w:pPr>
      <w:widowControl/>
      <w:spacing w:after="200" w:line="276" w:lineRule="auto"/>
      <w:jc w:val="left"/>
    </w:pPr>
    <w:rPr>
      <w:rFonts w:ascii="宋体" w:cs="宋体"/>
      <w:kern w:val="0"/>
      <w:sz w:val="24"/>
      <w:szCs w:val="24"/>
    </w:rPr>
  </w:style>
  <w:style w:type="paragraph" w:customStyle="1" w:styleId="778">
    <w:name w:val="Char Char Char1 Char2"/>
    <w:basedOn w:val="1"/>
    <w:autoRedefine/>
    <w:qFormat/>
    <w:uiPriority w:val="99"/>
    <w:rPr>
      <w:sz w:val="24"/>
      <w:szCs w:val="24"/>
    </w:rPr>
  </w:style>
  <w:style w:type="paragraph" w:customStyle="1" w:styleId="779">
    <w:name w:val="报告表中"/>
    <w:basedOn w:val="1"/>
    <w:autoRedefine/>
    <w:qFormat/>
    <w:uiPriority w:val="99"/>
    <w:pPr>
      <w:jc w:val="center"/>
    </w:pPr>
    <w:rPr>
      <w:sz w:val="18"/>
      <w:szCs w:val="18"/>
    </w:rPr>
  </w:style>
  <w:style w:type="paragraph" w:customStyle="1" w:styleId="780">
    <w:name w:val="font6"/>
    <w:basedOn w:val="1"/>
    <w:autoRedefine/>
    <w:qFormat/>
    <w:uiPriority w:val="99"/>
    <w:pPr>
      <w:widowControl/>
      <w:spacing w:before="100" w:beforeAutospacing="1" w:after="100" w:afterAutospacing="1"/>
      <w:jc w:val="left"/>
    </w:pPr>
    <w:rPr>
      <w:rFonts w:ascii="宋体" w:hAnsi="宋体" w:cs="宋体"/>
      <w:kern w:val="0"/>
      <w:sz w:val="18"/>
      <w:szCs w:val="18"/>
    </w:rPr>
  </w:style>
  <w:style w:type="paragraph" w:customStyle="1" w:styleId="781">
    <w:name w:val="默认段落字体 Para Char"/>
    <w:basedOn w:val="1"/>
    <w:autoRedefine/>
    <w:qFormat/>
    <w:uiPriority w:val="99"/>
    <w:pPr>
      <w:spacing w:line="360" w:lineRule="auto"/>
    </w:pPr>
    <w:rPr>
      <w:rFonts w:ascii="Tahoma" w:hAnsi="Tahoma" w:cs="Tahoma"/>
      <w:sz w:val="24"/>
      <w:szCs w:val="24"/>
    </w:rPr>
  </w:style>
  <w:style w:type="paragraph" w:customStyle="1" w:styleId="782">
    <w:name w:val="Char Char Char1 Char Char Char Char3"/>
    <w:basedOn w:val="1"/>
    <w:autoRedefine/>
    <w:qFormat/>
    <w:uiPriority w:val="99"/>
    <w:pPr>
      <w:spacing w:after="200" w:line="276" w:lineRule="auto"/>
    </w:pPr>
  </w:style>
  <w:style w:type="paragraph" w:customStyle="1" w:styleId="783">
    <w:name w:val="Char Char Char Char Char Char1 Char Char Char Char Char1 Char Char Char Char"/>
    <w:basedOn w:val="1"/>
    <w:autoRedefine/>
    <w:qFormat/>
    <w:uiPriority w:val="99"/>
    <w:rPr>
      <w:sz w:val="24"/>
      <w:szCs w:val="24"/>
    </w:rPr>
  </w:style>
  <w:style w:type="paragraph" w:customStyle="1" w:styleId="784">
    <w:name w:val="AODocTxt"/>
    <w:basedOn w:val="1"/>
    <w:autoRedefine/>
    <w:qFormat/>
    <w:uiPriority w:val="99"/>
    <w:pPr>
      <w:widowControl/>
      <w:tabs>
        <w:tab w:val="left" w:pos="1026"/>
        <w:tab w:val="left" w:pos="1140"/>
      </w:tabs>
      <w:spacing w:before="240" w:after="200" w:line="260" w:lineRule="atLeast"/>
      <w:ind w:left="1026" w:hanging="720"/>
    </w:pPr>
    <w:rPr>
      <w:kern w:val="0"/>
      <w:sz w:val="22"/>
      <w:szCs w:val="22"/>
      <w:lang w:val="en-GB" w:eastAsia="en-US"/>
    </w:rPr>
  </w:style>
  <w:style w:type="paragraph" w:customStyle="1" w:styleId="785">
    <w:name w:val="Char Char Char1 Char Char Char1"/>
    <w:basedOn w:val="1"/>
    <w:autoRedefine/>
    <w:qFormat/>
    <w:uiPriority w:val="99"/>
    <w:pPr>
      <w:adjustRightInd w:val="0"/>
      <w:spacing w:line="312" w:lineRule="atLeast"/>
      <w:textAlignment w:val="baseline"/>
    </w:pPr>
    <w:rPr>
      <w:kern w:val="0"/>
    </w:rPr>
  </w:style>
  <w:style w:type="paragraph" w:customStyle="1" w:styleId="786">
    <w:name w:val="样式 标题3"/>
    <w:basedOn w:val="5"/>
    <w:autoRedefine/>
    <w:qFormat/>
    <w:uiPriority w:val="99"/>
    <w:pPr>
      <w:spacing w:beforeLines="50" w:afterLines="50" w:line="360" w:lineRule="auto"/>
      <w:ind w:firstLine="200" w:firstLineChars="0"/>
      <w:jc w:val="left"/>
    </w:pPr>
    <w:rPr>
      <w:rFonts w:ascii="宋体" w:eastAsia="宋体" w:cs="宋体"/>
    </w:rPr>
  </w:style>
  <w:style w:type="paragraph" w:customStyle="1" w:styleId="787">
    <w:name w:val="样式 四号 加粗 行距: 固定值 24 磅"/>
    <w:basedOn w:val="4"/>
    <w:autoRedefine/>
    <w:qFormat/>
    <w:uiPriority w:val="99"/>
    <w:pPr>
      <w:tabs>
        <w:tab w:val="left" w:pos="576"/>
      </w:tabs>
      <w:spacing w:before="0" w:after="0" w:line="240" w:lineRule="auto"/>
      <w:ind w:left="578" w:right="-4" w:rightChars="-2" w:hanging="578"/>
      <w:jc w:val="left"/>
    </w:pPr>
    <w:rPr>
      <w:rFonts w:ascii="Times New Roman" w:hAnsi="Times New Roman" w:eastAsia="宋体" w:cs="Times New Roman"/>
      <w:b w:val="0"/>
      <w:bCs w:val="0"/>
      <w:sz w:val="28"/>
      <w:szCs w:val="28"/>
      <w:lang w:val="zh-CN"/>
    </w:rPr>
  </w:style>
  <w:style w:type="paragraph" w:customStyle="1" w:styleId="788">
    <w:name w:val="xl3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2"/>
      <w:szCs w:val="22"/>
    </w:rPr>
  </w:style>
  <w:style w:type="paragraph" w:customStyle="1" w:styleId="789">
    <w:name w:val="表格注解"/>
    <w:basedOn w:val="21"/>
    <w:autoRedefine/>
    <w:qFormat/>
    <w:uiPriority w:val="99"/>
    <w:pPr>
      <w:spacing w:before="60" w:after="60"/>
      <w:ind w:firstLine="482" w:firstLineChars="0"/>
    </w:pPr>
    <w:rPr>
      <w:spacing w:val="4"/>
      <w:kern w:val="0"/>
    </w:rPr>
  </w:style>
  <w:style w:type="paragraph" w:customStyle="1" w:styleId="790">
    <w:name w:val="Char Char Char Char Char1 Char"/>
    <w:basedOn w:val="1"/>
    <w:autoRedefine/>
    <w:qFormat/>
    <w:uiPriority w:val="99"/>
    <w:rPr>
      <w:sz w:val="24"/>
      <w:szCs w:val="24"/>
    </w:rPr>
  </w:style>
  <w:style w:type="paragraph" w:customStyle="1" w:styleId="791">
    <w:name w:val="正文1 Char Char Char"/>
    <w:basedOn w:val="1"/>
    <w:autoRedefine/>
    <w:qFormat/>
    <w:uiPriority w:val="99"/>
    <w:pPr>
      <w:adjustRightInd w:val="0"/>
      <w:snapToGrid w:val="0"/>
    </w:pPr>
    <w:rPr>
      <w:sz w:val="24"/>
      <w:szCs w:val="24"/>
    </w:rPr>
  </w:style>
  <w:style w:type="paragraph" w:customStyle="1" w:styleId="792">
    <w:name w:val="样式 宋体 小四 行距: 1.5 倍行距"/>
    <w:basedOn w:val="1"/>
    <w:autoRedefine/>
    <w:qFormat/>
    <w:uiPriority w:val="99"/>
    <w:pPr>
      <w:spacing w:line="360" w:lineRule="auto"/>
      <w:ind w:firstLine="480" w:firstLineChars="200"/>
    </w:pPr>
    <w:rPr>
      <w:rFonts w:ascii="宋体" w:hAnsi="宋体" w:cs="宋体"/>
      <w:sz w:val="24"/>
      <w:szCs w:val="24"/>
    </w:rPr>
  </w:style>
  <w:style w:type="paragraph" w:customStyle="1" w:styleId="793">
    <w:name w:val="xl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794">
    <w:name w:val="xl9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795">
    <w:name w:val="Blockquote"/>
    <w:basedOn w:val="1"/>
    <w:autoRedefine/>
    <w:qFormat/>
    <w:uiPriority w:val="99"/>
    <w:pPr>
      <w:widowControl/>
      <w:autoSpaceDE w:val="0"/>
      <w:autoSpaceDN w:val="0"/>
      <w:adjustRightInd w:val="0"/>
      <w:spacing w:before="100" w:after="100" w:line="276" w:lineRule="auto"/>
      <w:ind w:left="360" w:right="360"/>
      <w:jc w:val="left"/>
    </w:pPr>
    <w:rPr>
      <w:kern w:val="0"/>
      <w:sz w:val="24"/>
      <w:szCs w:val="24"/>
      <w:lang w:eastAsia="en-US"/>
    </w:rPr>
  </w:style>
  <w:style w:type="paragraph" w:customStyle="1" w:styleId="796">
    <w:name w:val="xl98"/>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797">
    <w:name w:val="xl3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22"/>
      <w:szCs w:val="22"/>
    </w:rPr>
  </w:style>
  <w:style w:type="paragraph" w:customStyle="1" w:styleId="798">
    <w:name w:val="font10"/>
    <w:basedOn w:val="1"/>
    <w:autoRedefine/>
    <w:qFormat/>
    <w:uiPriority w:val="99"/>
    <w:pPr>
      <w:widowControl/>
      <w:spacing w:before="100" w:beforeAutospacing="1" w:after="100" w:afterAutospacing="1"/>
      <w:jc w:val="left"/>
    </w:pPr>
    <w:rPr>
      <w:kern w:val="0"/>
      <w:sz w:val="22"/>
      <w:szCs w:val="22"/>
    </w:rPr>
  </w:style>
  <w:style w:type="paragraph" w:customStyle="1" w:styleId="799">
    <w:name w:val="CM60"/>
    <w:basedOn w:val="116"/>
    <w:next w:val="116"/>
    <w:autoRedefine/>
    <w:qFormat/>
    <w:uiPriority w:val="99"/>
    <w:pPr>
      <w:spacing w:after="200" w:line="276" w:lineRule="auto"/>
    </w:pPr>
    <w:rPr>
      <w:rFonts w:ascii="Times New Roman" w:cs="Times New Roman"/>
      <w:color w:val="auto"/>
    </w:rPr>
  </w:style>
  <w:style w:type="paragraph" w:customStyle="1" w:styleId="800">
    <w:name w:val="图名"/>
    <w:basedOn w:val="1"/>
    <w:autoRedefine/>
    <w:qFormat/>
    <w:uiPriority w:val="99"/>
    <w:pPr>
      <w:tabs>
        <w:tab w:val="left" w:pos="540"/>
      </w:tabs>
      <w:spacing w:beforeLines="50" w:line="360" w:lineRule="auto"/>
      <w:jc w:val="center"/>
    </w:pPr>
    <w:rPr>
      <w:b/>
      <w:bCs/>
      <w:sz w:val="24"/>
      <w:szCs w:val="24"/>
    </w:rPr>
  </w:style>
  <w:style w:type="paragraph" w:customStyle="1" w:styleId="801">
    <w:name w:val="内容3"/>
    <w:basedOn w:val="1"/>
    <w:autoRedefine/>
    <w:qFormat/>
    <w:uiPriority w:val="99"/>
    <w:pPr>
      <w:widowControl/>
      <w:numPr>
        <w:ilvl w:val="1"/>
        <w:numId w:val="10"/>
      </w:numPr>
      <w:tabs>
        <w:tab w:val="left" w:pos="1287"/>
        <w:tab w:val="left" w:pos="1620"/>
      </w:tabs>
      <w:spacing w:line="360" w:lineRule="auto"/>
      <w:ind w:left="1134" w:leftChars="0" w:hanging="567" w:firstLineChars="0"/>
    </w:pPr>
    <w:rPr>
      <w:sz w:val="24"/>
      <w:szCs w:val="24"/>
    </w:rPr>
  </w:style>
  <w:style w:type="paragraph" w:customStyle="1" w:styleId="802">
    <w:name w:val="xl6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803">
    <w:name w:val="6'"/>
    <w:basedOn w:val="1"/>
    <w:autoRedefine/>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804">
    <w:name w:val="Char4 Char Char Char"/>
    <w:basedOn w:val="1"/>
    <w:autoRedefine/>
    <w:qFormat/>
    <w:uiPriority w:val="99"/>
    <w:pPr>
      <w:spacing w:line="360" w:lineRule="auto"/>
    </w:pPr>
    <w:rPr>
      <w:rFonts w:ascii="Tahoma" w:hAnsi="Tahoma" w:cs="Tahoma"/>
      <w:sz w:val="24"/>
      <w:szCs w:val="24"/>
    </w:rPr>
  </w:style>
  <w:style w:type="paragraph" w:customStyle="1" w:styleId="805">
    <w:name w:val="Char5"/>
    <w:basedOn w:val="1"/>
    <w:autoRedefine/>
    <w:qFormat/>
    <w:uiPriority w:val="99"/>
    <w:rPr>
      <w:sz w:val="24"/>
      <w:szCs w:val="24"/>
    </w:rPr>
  </w:style>
  <w:style w:type="paragraph" w:customStyle="1" w:styleId="806">
    <w:name w:val="a"/>
    <w:basedOn w:val="1"/>
    <w:autoRedefine/>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807">
    <w:name w:val="修订版本号"/>
    <w:autoRedefine/>
    <w:qFormat/>
    <w:uiPriority w:val="99"/>
    <w:pPr>
      <w:spacing w:after="200" w:line="276" w:lineRule="auto"/>
    </w:pPr>
    <w:rPr>
      <w:rFonts w:ascii="Calibri" w:hAnsi="Calibri" w:eastAsia="宋体" w:cs="Calibri"/>
      <w:kern w:val="2"/>
      <w:sz w:val="21"/>
      <w:szCs w:val="21"/>
      <w:lang w:val="en-US" w:eastAsia="zh-CN" w:bidi="ar-SA"/>
    </w:rPr>
  </w:style>
  <w:style w:type="paragraph" w:customStyle="1" w:styleId="808">
    <w:name w:val="xl108"/>
    <w:basedOn w:val="1"/>
    <w:autoRedefine/>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 w:hAnsi="宋体" w:eastAsia="?" w:cs="?"/>
      <w:b/>
      <w:bCs/>
      <w:kern w:val="0"/>
      <w:sz w:val="18"/>
      <w:szCs w:val="18"/>
    </w:rPr>
  </w:style>
  <w:style w:type="paragraph" w:customStyle="1" w:styleId="809">
    <w:name w:val="修订21"/>
    <w:autoRedefine/>
    <w:qFormat/>
    <w:uiPriority w:val="99"/>
    <w:rPr>
      <w:rFonts w:ascii="Calibri" w:hAnsi="Calibri" w:eastAsia="宋体" w:cs="Calibri"/>
      <w:kern w:val="2"/>
      <w:sz w:val="21"/>
      <w:szCs w:val="21"/>
      <w:lang w:val="en-US" w:eastAsia="zh-CN" w:bidi="ar-SA"/>
    </w:rPr>
  </w:style>
  <w:style w:type="paragraph" w:customStyle="1" w:styleId="810">
    <w:name w:val="Char1 Char Char Char Char Char Char Char Char Char Char Char Char"/>
    <w:basedOn w:val="1"/>
    <w:autoRedefine/>
    <w:qFormat/>
    <w:uiPriority w:val="99"/>
    <w:rPr>
      <w:sz w:val="24"/>
      <w:szCs w:val="24"/>
    </w:rPr>
  </w:style>
  <w:style w:type="paragraph" w:customStyle="1" w:styleId="811">
    <w:name w:val="xl102"/>
    <w:basedOn w:val="1"/>
    <w:autoRedefine/>
    <w:qFormat/>
    <w:uiPriority w:val="99"/>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pPr>
    <w:rPr>
      <w:rFonts w:ascii="宋体" w:hAnsi="宋体" w:cs="宋体"/>
      <w:color w:val="000000"/>
      <w:kern w:val="0"/>
      <w:sz w:val="18"/>
      <w:szCs w:val="18"/>
    </w:rPr>
  </w:style>
  <w:style w:type="paragraph" w:customStyle="1" w:styleId="812">
    <w:name w:val="xl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813">
    <w:name w:val="表格小五号"/>
    <w:basedOn w:val="1"/>
    <w:autoRedefine/>
    <w:qFormat/>
    <w:uiPriority w:val="99"/>
    <w:pPr>
      <w:spacing w:line="250" w:lineRule="atLeast"/>
      <w:ind w:left="-57" w:right="93"/>
      <w:jc w:val="right"/>
    </w:pPr>
    <w:rPr>
      <w:color w:val="000000"/>
      <w:spacing w:val="-8"/>
      <w:sz w:val="18"/>
      <w:szCs w:val="18"/>
    </w:rPr>
  </w:style>
  <w:style w:type="paragraph" w:customStyle="1" w:styleId="814">
    <w:name w:val="样式 Times New Roman 首行缩进:  2 字符"/>
    <w:basedOn w:val="1"/>
    <w:autoRedefine/>
    <w:qFormat/>
    <w:uiPriority w:val="99"/>
    <w:pPr>
      <w:adjustRightInd w:val="0"/>
      <w:spacing w:after="200" w:line="240" w:lineRule="atLeast"/>
      <w:ind w:firstLine="200" w:firstLineChars="200"/>
    </w:pPr>
  </w:style>
  <w:style w:type="paragraph" w:customStyle="1" w:styleId="815">
    <w:name w:val="Char Char Char"/>
    <w:basedOn w:val="1"/>
    <w:autoRedefine/>
    <w:qFormat/>
    <w:uiPriority w:val="99"/>
  </w:style>
  <w:style w:type="paragraph" w:customStyle="1" w:styleId="816">
    <w:name w:val="Plain Text1"/>
    <w:basedOn w:val="1"/>
    <w:autoRedefine/>
    <w:qFormat/>
    <w:uiPriority w:val="99"/>
    <w:pPr>
      <w:overflowPunct w:val="0"/>
      <w:autoSpaceDE w:val="0"/>
      <w:autoSpaceDN w:val="0"/>
      <w:adjustRightInd w:val="0"/>
      <w:snapToGrid w:val="0"/>
      <w:textAlignment w:val="baseline"/>
    </w:pPr>
    <w:rPr>
      <w:rFonts w:ascii="宋体" w:cs="宋体"/>
      <w:kern w:val="0"/>
      <w:sz w:val="28"/>
      <w:szCs w:val="28"/>
    </w:rPr>
  </w:style>
  <w:style w:type="paragraph" w:customStyle="1" w:styleId="817">
    <w:name w:val="样式 正文缩进s4标题4 + (符号) 宋体 四号 行距: 固定值 24 磅"/>
    <w:basedOn w:val="21"/>
    <w:autoRedefine/>
    <w:qFormat/>
    <w:uiPriority w:val="99"/>
    <w:pPr>
      <w:adjustRightInd w:val="0"/>
      <w:snapToGrid w:val="0"/>
      <w:spacing w:line="480" w:lineRule="exact"/>
      <w:ind w:left="13" w:leftChars="6" w:firstLine="560"/>
      <w:textAlignment w:val="baseline"/>
    </w:pPr>
    <w:rPr>
      <w:rFonts w:hAnsi="宋体"/>
      <w:kern w:val="0"/>
      <w:sz w:val="28"/>
      <w:szCs w:val="28"/>
    </w:rPr>
  </w:style>
  <w:style w:type="paragraph" w:customStyle="1" w:styleId="818">
    <w:name w:val="列表2"/>
    <w:basedOn w:val="65"/>
    <w:autoRedefine/>
    <w:qFormat/>
    <w:uiPriority w:val="99"/>
    <w:pPr>
      <w:adjustRightInd w:val="0"/>
      <w:spacing w:line="360" w:lineRule="atLeast"/>
      <w:ind w:left="420" w:hanging="420" w:firstLineChars="0"/>
      <w:jc w:val="left"/>
      <w:textAlignment w:val="baseline"/>
    </w:pPr>
    <w:rPr>
      <w:kern w:val="0"/>
      <w:sz w:val="24"/>
      <w:szCs w:val="24"/>
    </w:rPr>
  </w:style>
  <w:style w:type="paragraph" w:customStyle="1" w:styleId="819">
    <w:name w:val="Heading 31"/>
    <w:basedOn w:val="1"/>
    <w:autoRedefine/>
    <w:qFormat/>
    <w:uiPriority w:val="99"/>
    <w:pPr>
      <w:autoSpaceDE w:val="0"/>
      <w:autoSpaceDN w:val="0"/>
      <w:adjustRightInd w:val="0"/>
      <w:spacing w:after="200" w:line="276" w:lineRule="auto"/>
      <w:ind w:left="2"/>
      <w:jc w:val="left"/>
      <w:outlineLvl w:val="2"/>
    </w:pPr>
    <w:rPr>
      <w:rFonts w:ascii="黑体" w:eastAsia="黑体" w:cs="黑体"/>
      <w:kern w:val="0"/>
      <w:sz w:val="44"/>
      <w:szCs w:val="44"/>
    </w:rPr>
  </w:style>
  <w:style w:type="paragraph" w:customStyle="1" w:styleId="820">
    <w:name w:val="Char Char Char Char Char Char Char Char Char1 Char"/>
    <w:basedOn w:val="1"/>
    <w:autoRedefine/>
    <w:qFormat/>
    <w:uiPriority w:val="99"/>
    <w:rPr>
      <w:sz w:val="24"/>
      <w:szCs w:val="24"/>
    </w:rPr>
  </w:style>
  <w:style w:type="paragraph" w:customStyle="1" w:styleId="821">
    <w:name w:val="标题 5李洪"/>
    <w:basedOn w:val="1"/>
    <w:autoRedefine/>
    <w:qFormat/>
    <w:uiPriority w:val="99"/>
    <w:pPr>
      <w:numPr>
        <w:ilvl w:val="4"/>
        <w:numId w:val="5"/>
      </w:numPr>
      <w:tabs>
        <w:tab w:val="left" w:pos="567"/>
        <w:tab w:val="left" w:pos="1200"/>
      </w:tabs>
      <w:ind w:left="567"/>
    </w:pPr>
  </w:style>
  <w:style w:type="paragraph" w:customStyle="1" w:styleId="822">
    <w:name w:val="Body"/>
    <w:autoRedefine/>
    <w:qFormat/>
    <w:uiPriority w:val="99"/>
    <w:pPr>
      <w:tabs>
        <w:tab w:val="left" w:pos="0"/>
      </w:tabs>
      <w:spacing w:after="140" w:line="290" w:lineRule="auto"/>
      <w:jc w:val="both"/>
    </w:pPr>
    <w:rPr>
      <w:rFonts w:ascii="Arial" w:hAnsi="Arial" w:eastAsia="宋体" w:cs="Arial"/>
      <w:kern w:val="20"/>
      <w:lang w:val="en-GB" w:eastAsia="en-US" w:bidi="ar-SA"/>
    </w:rPr>
  </w:style>
  <w:style w:type="paragraph" w:customStyle="1" w:styleId="823">
    <w:name w:val="CM37"/>
    <w:basedOn w:val="116"/>
    <w:next w:val="116"/>
    <w:autoRedefine/>
    <w:qFormat/>
    <w:uiPriority w:val="99"/>
    <w:pPr>
      <w:spacing w:after="200" w:line="276" w:lineRule="auto"/>
    </w:pPr>
    <w:rPr>
      <w:rFonts w:ascii="Times New Roman" w:cs="Times New Roman"/>
      <w:color w:val="auto"/>
    </w:rPr>
  </w:style>
  <w:style w:type="paragraph" w:customStyle="1" w:styleId="824">
    <w:name w:val="xl5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2"/>
      <w:szCs w:val="22"/>
    </w:rPr>
  </w:style>
  <w:style w:type="paragraph" w:customStyle="1" w:styleId="825">
    <w:name w:val="Char Char2"/>
    <w:basedOn w:val="1"/>
    <w:autoRedefine/>
    <w:semiHidden/>
    <w:qFormat/>
    <w:uiPriority w:val="99"/>
    <w:rPr>
      <w:rFonts w:ascii="宋体" w:hAnsi="Courier New" w:cs="宋体"/>
    </w:rPr>
  </w:style>
  <w:style w:type="paragraph" w:customStyle="1" w:styleId="826">
    <w:name w:val="表三"/>
    <w:basedOn w:val="682"/>
    <w:autoRedefine/>
    <w:qFormat/>
    <w:uiPriority w:val="99"/>
    <w:pPr>
      <w:ind w:right="-34" w:rightChars="-34"/>
      <w:jc w:val="right"/>
    </w:pPr>
  </w:style>
  <w:style w:type="paragraph" w:customStyle="1" w:styleId="827">
    <w:name w:val="Normal_2_1"/>
    <w:basedOn w:val="537"/>
    <w:autoRedefine/>
    <w:qFormat/>
    <w:uiPriority w:val="99"/>
    <w:pPr>
      <w:jc w:val="left"/>
    </w:pPr>
    <w:rPr>
      <w:sz w:val="24"/>
      <w:szCs w:val="24"/>
    </w:rPr>
  </w:style>
  <w:style w:type="paragraph" w:customStyle="1" w:styleId="828">
    <w:name w:val="委托书正文"/>
    <w:basedOn w:val="21"/>
    <w:autoRedefine/>
    <w:qFormat/>
    <w:uiPriority w:val="99"/>
    <w:pPr>
      <w:spacing w:before="60" w:after="60" w:line="240" w:lineRule="atLeast"/>
      <w:ind w:firstLine="482" w:firstLineChars="0"/>
    </w:pPr>
    <w:rPr>
      <w:rFonts w:eastAsia="华文仿宋"/>
      <w:spacing w:val="4"/>
      <w:kern w:val="0"/>
      <w:sz w:val="28"/>
      <w:szCs w:val="28"/>
    </w:rPr>
  </w:style>
  <w:style w:type="paragraph" w:customStyle="1" w:styleId="829">
    <w:name w:val="表表"/>
    <w:basedOn w:val="1"/>
    <w:autoRedefine/>
    <w:qFormat/>
    <w:uiPriority w:val="99"/>
    <w:rPr>
      <w:sz w:val="24"/>
      <w:szCs w:val="24"/>
    </w:rPr>
  </w:style>
  <w:style w:type="paragraph" w:customStyle="1" w:styleId="830">
    <w:name w:val="表格头"/>
    <w:basedOn w:val="1"/>
    <w:autoRedefine/>
    <w:qFormat/>
    <w:uiPriority w:val="99"/>
    <w:pPr>
      <w:adjustRightInd w:val="0"/>
      <w:spacing w:line="360" w:lineRule="auto"/>
      <w:ind w:firstLine="200" w:firstLineChars="200"/>
      <w:jc w:val="left"/>
      <w:textAlignment w:val="baseline"/>
    </w:pPr>
    <w:rPr>
      <w:rFonts w:ascii="宋体" w:cs="宋体"/>
      <w:b/>
      <w:bCs/>
      <w:kern w:val="0"/>
      <w:sz w:val="24"/>
      <w:szCs w:val="24"/>
    </w:rPr>
  </w:style>
  <w:style w:type="paragraph" w:customStyle="1" w:styleId="831">
    <w:name w:val="pa-15"/>
    <w:basedOn w:val="1"/>
    <w:autoRedefine/>
    <w:qFormat/>
    <w:uiPriority w:val="99"/>
    <w:pPr>
      <w:widowControl/>
      <w:spacing w:after="200" w:line="320" w:lineRule="atLeast"/>
    </w:pPr>
    <w:rPr>
      <w:rFonts w:ascii="宋体" w:hAnsi="宋体" w:cs="宋体"/>
      <w:kern w:val="0"/>
      <w:sz w:val="24"/>
      <w:szCs w:val="24"/>
    </w:rPr>
  </w:style>
  <w:style w:type="paragraph" w:customStyle="1" w:styleId="832">
    <w:name w:val="样式 标题 3条标题1.1.13h33rd levelH3l3CT标题 3，宋体，四号，三级（1.1.1） + ..."/>
    <w:basedOn w:val="5"/>
    <w:autoRedefine/>
    <w:qFormat/>
    <w:uiPriority w:val="99"/>
    <w:pPr>
      <w:adjustRightInd w:val="0"/>
      <w:spacing w:before="120" w:after="0" w:line="360" w:lineRule="auto"/>
      <w:ind w:firstLine="0" w:firstLineChars="0"/>
      <w:textAlignment w:val="baseline"/>
    </w:pPr>
    <w:rPr>
      <w:rFonts w:ascii="Times New Roman" w:hAnsi="Times New Roman" w:eastAsia="宋体" w:cs="Times New Roman"/>
      <w:b/>
      <w:bCs/>
      <w:kern w:val="0"/>
      <w:sz w:val="24"/>
      <w:szCs w:val="24"/>
    </w:rPr>
  </w:style>
  <w:style w:type="paragraph" w:customStyle="1" w:styleId="833">
    <w:name w:val="Char Char Char Char Char Char Char12"/>
    <w:basedOn w:val="1"/>
    <w:autoRedefine/>
    <w:qFormat/>
    <w:uiPriority w:val="99"/>
  </w:style>
  <w:style w:type="paragraph" w:customStyle="1" w:styleId="834">
    <w:name w:val="Char Char Char1"/>
    <w:basedOn w:val="1"/>
    <w:autoRedefine/>
    <w:qFormat/>
    <w:uiPriority w:val="99"/>
    <w:rPr>
      <w:sz w:val="24"/>
      <w:szCs w:val="24"/>
    </w:rPr>
  </w:style>
  <w:style w:type="paragraph" w:customStyle="1" w:styleId="835">
    <w:name w:val="黑"/>
    <w:basedOn w:val="1"/>
    <w:autoRedefine/>
    <w:qFormat/>
    <w:uiPriority w:val="99"/>
    <w:pPr>
      <w:adjustRightInd w:val="0"/>
      <w:spacing w:line="560" w:lineRule="exact"/>
      <w:ind w:firstLine="556"/>
      <w:textAlignment w:val="baseline"/>
    </w:pPr>
    <w:rPr>
      <w:rFonts w:ascii="黑体" w:eastAsia="黑体" w:cs="黑体"/>
      <w:b/>
      <w:bCs/>
      <w:color w:val="000000"/>
      <w:spacing w:val="20"/>
      <w:kern w:val="0"/>
      <w:sz w:val="30"/>
      <w:szCs w:val="30"/>
    </w:rPr>
  </w:style>
  <w:style w:type="paragraph" w:customStyle="1" w:styleId="836">
    <w:name w:val="日期4"/>
    <w:basedOn w:val="1"/>
    <w:next w:val="1"/>
    <w:autoRedefine/>
    <w:qFormat/>
    <w:uiPriority w:val="99"/>
    <w:pPr>
      <w:adjustRightInd w:val="0"/>
      <w:textAlignment w:val="baseline"/>
    </w:pPr>
    <w:rPr>
      <w:kern w:val="24"/>
      <w:sz w:val="28"/>
      <w:szCs w:val="28"/>
    </w:rPr>
  </w:style>
  <w:style w:type="paragraph" w:customStyle="1" w:styleId="837">
    <w:name w:val="丰宁电站"/>
    <w:basedOn w:val="1"/>
    <w:autoRedefine/>
    <w:qFormat/>
    <w:uiPriority w:val="99"/>
    <w:pPr>
      <w:jc w:val="center"/>
    </w:pPr>
    <w:rPr>
      <w:rFonts w:ascii="华文中宋" w:hAnsi="华文中宋" w:eastAsia="华文中宋" w:cs="华文中宋"/>
      <w:spacing w:val="24"/>
      <w:sz w:val="48"/>
      <w:szCs w:val="48"/>
    </w:rPr>
  </w:style>
  <w:style w:type="paragraph" w:customStyle="1" w:styleId="838">
    <w:name w:val="Char Char1 Char Char Char Char Char Char11"/>
    <w:basedOn w:val="1"/>
    <w:autoRedefine/>
    <w:qFormat/>
    <w:uiPriority w:val="99"/>
    <w:pPr>
      <w:adjustRightInd w:val="0"/>
      <w:spacing w:line="312" w:lineRule="atLeast"/>
      <w:textAlignment w:val="baseline"/>
    </w:pPr>
    <w:rPr>
      <w:kern w:val="0"/>
    </w:rPr>
  </w:style>
  <w:style w:type="paragraph" w:customStyle="1" w:styleId="839">
    <w:name w:val="样式 标题 1 + 黑体 三号 非加粗 居中 段前: 6 磅 段后: 6 磅 行距: 固定值 20 磅"/>
    <w:basedOn w:val="3"/>
    <w:autoRedefine/>
    <w:qFormat/>
    <w:uiPriority w:val="99"/>
    <w:pPr>
      <w:spacing w:before="120" w:after="120" w:line="400" w:lineRule="exact"/>
      <w:jc w:val="center"/>
    </w:pPr>
    <w:rPr>
      <w:rFonts w:ascii="黑体" w:hAnsi="黑体" w:eastAsia="黑体" w:cs="黑体"/>
      <w:b w:val="0"/>
      <w:bCs w:val="0"/>
      <w:sz w:val="32"/>
      <w:szCs w:val="32"/>
    </w:rPr>
  </w:style>
  <w:style w:type="paragraph" w:customStyle="1" w:styleId="840">
    <w:name w:val="Char Char Char Char Char Char Char Char Char Char1"/>
    <w:basedOn w:val="1"/>
    <w:autoRedefine/>
    <w:qFormat/>
    <w:uiPriority w:val="99"/>
    <w:pPr>
      <w:tabs>
        <w:tab w:val="left" w:pos="425"/>
      </w:tabs>
      <w:spacing w:after="200" w:line="276" w:lineRule="auto"/>
      <w:ind w:left="425" w:hanging="425"/>
    </w:pPr>
    <w:rPr>
      <w:rFonts w:eastAsia="方正仿宋简体"/>
      <w:sz w:val="30"/>
      <w:szCs w:val="30"/>
    </w:rPr>
  </w:style>
  <w:style w:type="paragraph" w:customStyle="1" w:styleId="841">
    <w:name w:val="样式 标题 1标题 1 Char + 加粗"/>
    <w:basedOn w:val="3"/>
    <w:autoRedefine/>
    <w:qFormat/>
    <w:uiPriority w:val="99"/>
    <w:pPr>
      <w:keepLines w:val="0"/>
      <w:adjustRightInd w:val="0"/>
      <w:spacing w:before="0" w:after="0" w:line="360" w:lineRule="auto"/>
      <w:jc w:val="center"/>
      <w:textAlignment w:val="baseline"/>
    </w:pPr>
    <w:rPr>
      <w:kern w:val="0"/>
      <w:sz w:val="36"/>
      <w:szCs w:val="36"/>
    </w:rPr>
  </w:style>
  <w:style w:type="paragraph" w:customStyle="1" w:styleId="842">
    <w:name w:val="Char1 Char Char1"/>
    <w:basedOn w:val="1"/>
    <w:autoRedefine/>
    <w:qFormat/>
    <w:uiPriority w:val="99"/>
  </w:style>
  <w:style w:type="paragraph" w:customStyle="1" w:styleId="843">
    <w:name w:val="xl6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844">
    <w:name w:val="xl99"/>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 w:hAnsi="宋体" w:eastAsia="????" w:cs="????"/>
      <w:color w:val="000000"/>
      <w:kern w:val="0"/>
      <w:sz w:val="18"/>
      <w:szCs w:val="18"/>
    </w:rPr>
  </w:style>
  <w:style w:type="paragraph" w:customStyle="1" w:styleId="845">
    <w:name w:val="Char Char Char Char Char Char Char Char Char Char Char Char Char Char Char Char"/>
    <w:basedOn w:val="1"/>
    <w:autoRedefine/>
    <w:qFormat/>
    <w:uiPriority w:val="99"/>
    <w:pPr>
      <w:tabs>
        <w:tab w:val="left" w:pos="360"/>
      </w:tabs>
      <w:spacing w:line="480" w:lineRule="exact"/>
      <w:ind w:firstLine="560" w:firstLineChars="200"/>
    </w:pPr>
    <w:rPr>
      <w:sz w:val="28"/>
      <w:szCs w:val="28"/>
    </w:rPr>
  </w:style>
  <w:style w:type="paragraph" w:customStyle="1" w:styleId="846">
    <w:name w:val="@3级标题"/>
    <w:basedOn w:val="5"/>
    <w:autoRedefine/>
    <w:qFormat/>
    <w:uiPriority w:val="99"/>
    <w:pPr>
      <w:numPr>
        <w:ilvl w:val="2"/>
        <w:numId w:val="2"/>
      </w:numPr>
      <w:tabs>
        <w:tab w:val="left" w:pos="780"/>
        <w:tab w:val="left" w:pos="1200"/>
      </w:tabs>
      <w:spacing w:line="416" w:lineRule="auto"/>
      <w:ind w:left="1920" w:firstLine="0" w:firstLineChars="0"/>
    </w:pPr>
    <w:rPr>
      <w:rFonts w:ascii="Times New Roman" w:hAnsi="Times New Roman" w:eastAsia="宋体" w:cs="Times New Roman"/>
      <w:b/>
      <w:bCs/>
      <w:sz w:val="30"/>
      <w:szCs w:val="30"/>
    </w:rPr>
  </w:style>
  <w:style w:type="paragraph" w:customStyle="1" w:styleId="847">
    <w:name w:val="默认段落字体 Para Char Char Char Char Char Char Char Char Char Char Char Char Char Char Char Char Char Char Char Char Char Char Char Char Char Char Char Char Char Char Char"/>
    <w:basedOn w:val="1"/>
    <w:autoRedefine/>
    <w:qFormat/>
    <w:uiPriority w:val="99"/>
    <w:pPr>
      <w:adjustRightInd w:val="0"/>
      <w:spacing w:line="312" w:lineRule="atLeast"/>
      <w:textAlignment w:val="baseline"/>
    </w:pPr>
    <w:rPr>
      <w:kern w:val="0"/>
    </w:rPr>
  </w:style>
  <w:style w:type="paragraph" w:customStyle="1" w:styleId="848">
    <w:name w:val="段落样式"/>
    <w:basedOn w:val="1"/>
    <w:autoRedefine/>
    <w:qFormat/>
    <w:uiPriority w:val="99"/>
    <w:pPr>
      <w:keepNext/>
      <w:suppressLineNumbers/>
      <w:suppressAutoHyphens/>
      <w:topLinePunct/>
      <w:adjustRightInd w:val="0"/>
      <w:snapToGrid w:val="0"/>
      <w:spacing w:line="480" w:lineRule="atLeast"/>
      <w:ind w:firstLine="482"/>
      <w:textAlignment w:val="baseline"/>
    </w:pPr>
    <w:rPr>
      <w:w w:val="90"/>
      <w:kern w:val="0"/>
      <w:sz w:val="28"/>
      <w:szCs w:val="28"/>
    </w:rPr>
  </w:style>
  <w:style w:type="paragraph" w:customStyle="1" w:styleId="849">
    <w:name w:val="xl89"/>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pPr>
    <w:rPr>
      <w:rFonts w:ascii="宋体" w:hAnsi="宋体" w:cs="宋体"/>
      <w:kern w:val="0"/>
      <w:sz w:val="18"/>
      <w:szCs w:val="18"/>
    </w:rPr>
  </w:style>
  <w:style w:type="paragraph" w:customStyle="1" w:styleId="850">
    <w:name w:val="日期3"/>
    <w:basedOn w:val="1"/>
    <w:next w:val="1"/>
    <w:autoRedefine/>
    <w:qFormat/>
    <w:uiPriority w:val="99"/>
    <w:pPr>
      <w:adjustRightInd w:val="0"/>
      <w:textAlignment w:val="baseline"/>
    </w:pPr>
    <w:rPr>
      <w:kern w:val="24"/>
      <w:sz w:val="28"/>
      <w:szCs w:val="28"/>
    </w:rPr>
  </w:style>
  <w:style w:type="paragraph" w:customStyle="1" w:styleId="851">
    <w:name w:val="Char Char1 Char2"/>
    <w:basedOn w:val="1"/>
    <w:autoRedefine/>
    <w:qFormat/>
    <w:uiPriority w:val="99"/>
    <w:pPr>
      <w:spacing w:line="360" w:lineRule="auto"/>
    </w:pPr>
    <w:rPr>
      <w:rFonts w:ascii="Tahoma" w:hAnsi="Tahoma" w:cs="Tahoma"/>
      <w:sz w:val="24"/>
      <w:szCs w:val="24"/>
    </w:rPr>
  </w:style>
  <w:style w:type="paragraph" w:customStyle="1" w:styleId="852">
    <w:name w:val="北海分级目录"/>
    <w:basedOn w:val="1"/>
    <w:autoRedefine/>
    <w:qFormat/>
    <w:uiPriority w:val="99"/>
    <w:pPr>
      <w:spacing w:line="360" w:lineRule="auto"/>
      <w:ind w:firstLine="422" w:firstLineChars="200"/>
    </w:pPr>
    <w:rPr>
      <w:rFonts w:ascii="宋体" w:hAnsi="宋体" w:cs="宋体"/>
      <w:b/>
      <w:bCs/>
    </w:rPr>
  </w:style>
  <w:style w:type="paragraph" w:customStyle="1" w:styleId="853">
    <w:name w:val="Char Char Char Char Char Char1"/>
    <w:basedOn w:val="1"/>
    <w:autoRedefine/>
    <w:qFormat/>
    <w:uiPriority w:val="99"/>
    <w:pPr>
      <w:adjustRightInd w:val="0"/>
      <w:spacing w:line="312" w:lineRule="atLeast"/>
      <w:textAlignment w:val="baseline"/>
    </w:pPr>
    <w:rPr>
      <w:kern w:val="0"/>
    </w:rPr>
  </w:style>
  <w:style w:type="paragraph" w:customStyle="1" w:styleId="854">
    <w:name w:val="Char12"/>
    <w:basedOn w:val="1"/>
    <w:autoRedefine/>
    <w:qFormat/>
    <w:uiPriority w:val="99"/>
    <w:rPr>
      <w:sz w:val="24"/>
      <w:szCs w:val="24"/>
    </w:rPr>
  </w:style>
  <w:style w:type="paragraph" w:customStyle="1" w:styleId="855">
    <w:name w:val="前言、引言标题"/>
    <w:next w:val="1"/>
    <w:autoRedefine/>
    <w:semiHidden/>
    <w:qFormat/>
    <w:uiPriority w:val="99"/>
    <w:pPr>
      <w:shd w:val="clear" w:color="FFFFFF" w:fill="FFFFFF"/>
      <w:adjustRightInd w:val="0"/>
      <w:snapToGrid w:val="0"/>
      <w:spacing w:before="240" w:after="240" w:line="360" w:lineRule="auto"/>
      <w:jc w:val="center"/>
      <w:outlineLvl w:val="0"/>
    </w:pPr>
    <w:rPr>
      <w:rFonts w:ascii="黑体" w:hAnsi="Calibri" w:eastAsia="黑体" w:cs="黑体"/>
      <w:sz w:val="24"/>
      <w:szCs w:val="24"/>
      <w:lang w:val="en-US" w:eastAsia="zh-CN" w:bidi="ar-SA"/>
    </w:rPr>
  </w:style>
  <w:style w:type="paragraph" w:customStyle="1" w:styleId="856">
    <w:name w:val="p2"/>
    <w:basedOn w:val="1"/>
    <w:autoRedefine/>
    <w:qFormat/>
    <w:uiPriority w:val="99"/>
    <w:pPr>
      <w:widowControl/>
      <w:spacing w:line="480" w:lineRule="auto"/>
      <w:ind w:firstLine="420"/>
      <w:jc w:val="left"/>
    </w:pPr>
    <w:rPr>
      <w:rFonts w:ascii="宋体" w:hAnsi="宋体" w:cs="宋体"/>
      <w:kern w:val="0"/>
    </w:rPr>
  </w:style>
  <w:style w:type="paragraph" w:customStyle="1" w:styleId="857">
    <w:name w:val="Char4 Char Char Char1"/>
    <w:basedOn w:val="1"/>
    <w:autoRedefine/>
    <w:qFormat/>
    <w:uiPriority w:val="99"/>
    <w:pPr>
      <w:spacing w:line="360" w:lineRule="auto"/>
    </w:pPr>
    <w:rPr>
      <w:rFonts w:ascii="Tahoma" w:hAnsi="Tahoma" w:cs="Tahoma"/>
      <w:sz w:val="24"/>
      <w:szCs w:val="24"/>
    </w:rPr>
  </w:style>
  <w:style w:type="paragraph" w:customStyle="1" w:styleId="858">
    <w:name w:val="xl2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rPr>
  </w:style>
  <w:style w:type="paragraph" w:customStyle="1" w:styleId="859">
    <w:name w:val="工程建设公式标题"/>
    <w:basedOn w:val="860"/>
    <w:autoRedefine/>
    <w:semiHidden/>
    <w:qFormat/>
    <w:uiPriority w:val="99"/>
    <w:pPr>
      <w:tabs>
        <w:tab w:val="left" w:pos="360"/>
        <w:tab w:val="left" w:pos="525"/>
        <w:tab w:val="left" w:pos="735"/>
        <w:tab w:val="left" w:pos="2224"/>
        <w:tab w:val="left" w:pos="2644"/>
      </w:tabs>
      <w:jc w:val="center"/>
      <w:outlineLvl w:val="6"/>
    </w:pPr>
  </w:style>
  <w:style w:type="paragraph" w:customStyle="1" w:styleId="860">
    <w:name w:val="工程建设条标题"/>
    <w:basedOn w:val="698"/>
    <w:next w:val="5"/>
    <w:autoRedefine/>
    <w:semiHidden/>
    <w:qFormat/>
    <w:uiPriority w:val="99"/>
    <w:pPr>
      <w:tabs>
        <w:tab w:val="left" w:pos="360"/>
        <w:tab w:val="left" w:pos="735"/>
        <w:tab w:val="left" w:pos="2644"/>
      </w:tabs>
      <w:spacing w:before="0" w:after="0"/>
      <w:ind w:left="2644"/>
      <w:jc w:val="both"/>
      <w:outlineLvl w:val="3"/>
    </w:pPr>
    <w:rPr>
      <w:b w:val="0"/>
      <w:bCs w:val="0"/>
    </w:rPr>
  </w:style>
  <w:style w:type="paragraph" w:customStyle="1" w:styleId="861">
    <w:name w:val="Char Char Char1 Char1"/>
    <w:basedOn w:val="4"/>
    <w:autoRedefine/>
    <w:qFormat/>
    <w:uiPriority w:val="99"/>
    <w:pPr>
      <w:tabs>
        <w:tab w:val="left" w:pos="425"/>
        <w:tab w:val="left" w:pos="576"/>
        <w:tab w:val="left" w:pos="680"/>
      </w:tabs>
      <w:adjustRightInd w:val="0"/>
      <w:spacing w:before="0" w:after="0" w:line="480" w:lineRule="exact"/>
      <w:ind w:left="425" w:hanging="425"/>
    </w:pPr>
    <w:rPr>
      <w:rFonts w:ascii="Times New Roman" w:hAnsi="Times New Roman" w:eastAsia="宋体" w:cs="Times New Roman"/>
      <w:kern w:val="0"/>
      <w:sz w:val="24"/>
      <w:szCs w:val="24"/>
    </w:rPr>
  </w:style>
  <w:style w:type="paragraph" w:customStyle="1" w:styleId="862">
    <w:name w:val="Char1"/>
    <w:basedOn w:val="1"/>
    <w:autoRedefine/>
    <w:qFormat/>
    <w:uiPriority w:val="99"/>
    <w:pPr>
      <w:widowControl/>
      <w:spacing w:before="100" w:beforeAutospacing="1" w:after="100" w:afterAutospacing="1" w:line="330" w:lineRule="atLeast"/>
      <w:ind w:left="360"/>
      <w:jc w:val="left"/>
    </w:pPr>
    <w:rPr>
      <w:rFonts w:ascii="??" w:hAnsi="??" w:cs="??"/>
      <w:color w:val="51585D"/>
      <w:kern w:val="0"/>
    </w:rPr>
  </w:style>
  <w:style w:type="paragraph" w:customStyle="1" w:styleId="863">
    <w:name w:val="川岛图"/>
    <w:basedOn w:val="1"/>
    <w:autoRedefine/>
    <w:qFormat/>
    <w:uiPriority w:val="99"/>
    <w:pPr>
      <w:adjustRightInd w:val="0"/>
      <w:snapToGrid w:val="0"/>
      <w:spacing w:afterLines="50"/>
      <w:jc w:val="center"/>
    </w:pPr>
    <w:rPr>
      <w:rFonts w:ascii="宋体" w:hAnsi="宋体" w:cs="宋体"/>
      <w:sz w:val="24"/>
      <w:szCs w:val="24"/>
    </w:rPr>
  </w:style>
  <w:style w:type="paragraph" w:customStyle="1" w:styleId="864">
    <w:name w:val="CM57"/>
    <w:basedOn w:val="116"/>
    <w:next w:val="116"/>
    <w:autoRedefine/>
    <w:qFormat/>
    <w:uiPriority w:val="99"/>
    <w:pPr>
      <w:spacing w:after="200" w:line="276" w:lineRule="auto"/>
    </w:pPr>
    <w:rPr>
      <w:rFonts w:ascii="Times New Roman" w:cs="Times New Roman"/>
      <w:color w:val="auto"/>
    </w:rPr>
  </w:style>
  <w:style w:type="paragraph" w:customStyle="1" w:styleId="865">
    <w:name w:val="川岛插图"/>
    <w:basedOn w:val="866"/>
    <w:autoRedefine/>
    <w:qFormat/>
    <w:uiPriority w:val="99"/>
    <w:pPr>
      <w:ind w:firstLine="480"/>
      <w:jc w:val="center"/>
    </w:pPr>
  </w:style>
  <w:style w:type="paragraph" w:customStyle="1" w:styleId="866">
    <w:name w:val="样式 港珠澳正文 + 首行缩进:  2 字符 段前: 1 行 段后: 1 行"/>
    <w:basedOn w:val="623"/>
    <w:autoRedefine/>
    <w:qFormat/>
    <w:uiPriority w:val="99"/>
    <w:pPr>
      <w:spacing w:beforeLines="0" w:afterLines="0"/>
    </w:pPr>
  </w:style>
  <w:style w:type="paragraph" w:customStyle="1" w:styleId="867">
    <w:name w:val="ST20_1"/>
    <w:basedOn w:val="1"/>
    <w:next w:val="1"/>
    <w:autoRedefine/>
    <w:qFormat/>
    <w:uiPriority w:val="99"/>
    <w:pPr>
      <w:keepNext/>
      <w:keepLines/>
      <w:tabs>
        <w:tab w:val="left" w:pos="720"/>
        <w:tab w:val="left" w:pos="907"/>
        <w:tab w:val="right" w:leader="dot" w:pos="8400"/>
      </w:tabs>
      <w:adjustRightInd w:val="0"/>
      <w:snapToGrid w:val="0"/>
      <w:spacing w:before="120" w:after="120" w:line="300" w:lineRule="auto"/>
      <w:ind w:left="907" w:hanging="510"/>
      <w:jc w:val="left"/>
    </w:pPr>
    <w:rPr>
      <w:rFonts w:ascii="Arial" w:hAnsi="Arial" w:cs="Arial"/>
      <w:kern w:val="0"/>
      <w:sz w:val="24"/>
      <w:szCs w:val="24"/>
    </w:rPr>
  </w:style>
  <w:style w:type="paragraph" w:customStyle="1" w:styleId="868">
    <w:name w:val="xl2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69">
    <w:name w:val="font11"/>
    <w:basedOn w:val="1"/>
    <w:autoRedefine/>
    <w:qFormat/>
    <w:uiPriority w:val="99"/>
    <w:pPr>
      <w:widowControl/>
      <w:spacing w:before="100" w:beforeAutospacing="1" w:after="100" w:afterAutospacing="1"/>
      <w:jc w:val="left"/>
    </w:pPr>
    <w:rPr>
      <w:rFonts w:ascii="Arial" w:hAnsi="Arial" w:cs="Arial"/>
      <w:kern w:val="0"/>
      <w:sz w:val="22"/>
      <w:szCs w:val="22"/>
    </w:rPr>
  </w:style>
  <w:style w:type="paragraph" w:customStyle="1" w:styleId="870">
    <w:name w:val="Normal_2_0_0"/>
    <w:basedOn w:val="537"/>
    <w:autoRedefine/>
    <w:qFormat/>
    <w:uiPriority w:val="99"/>
    <w:pPr>
      <w:jc w:val="left"/>
    </w:pPr>
    <w:rPr>
      <w:sz w:val="24"/>
      <w:szCs w:val="24"/>
    </w:rPr>
  </w:style>
  <w:style w:type="paragraph" w:customStyle="1" w:styleId="871">
    <w:name w:val="缺省文本"/>
    <w:basedOn w:val="1"/>
    <w:autoRedefine/>
    <w:qFormat/>
    <w:uiPriority w:val="99"/>
    <w:pPr>
      <w:autoSpaceDE w:val="0"/>
      <w:autoSpaceDN w:val="0"/>
      <w:adjustRightInd w:val="0"/>
      <w:spacing w:after="200" w:line="276" w:lineRule="auto"/>
      <w:jc w:val="left"/>
    </w:pPr>
    <w:rPr>
      <w:kern w:val="0"/>
      <w:sz w:val="24"/>
      <w:szCs w:val="24"/>
    </w:rPr>
  </w:style>
  <w:style w:type="paragraph" w:customStyle="1" w:styleId="872">
    <w:name w:val="Biao00"/>
    <w:autoRedefine/>
    <w:qFormat/>
    <w:uiPriority w:val="99"/>
    <w:pPr>
      <w:widowControl w:val="0"/>
      <w:spacing w:after="200" w:line="240" w:lineRule="atLeast"/>
      <w:jc w:val="center"/>
    </w:pPr>
    <w:rPr>
      <w:rFonts w:ascii="Arial" w:hAnsi="Arial" w:eastAsia="仿宋_GB2312" w:cs="Arial"/>
      <w:w w:val="90"/>
      <w:kern w:val="18"/>
      <w:sz w:val="24"/>
      <w:szCs w:val="24"/>
      <w:lang w:val="en-US" w:eastAsia="zh-CN" w:bidi="ar-SA"/>
    </w:rPr>
  </w:style>
  <w:style w:type="paragraph" w:customStyle="1" w:styleId="873">
    <w:name w:val="正文文本 22"/>
    <w:basedOn w:val="1"/>
    <w:autoRedefine/>
    <w:qFormat/>
    <w:uiPriority w:val="99"/>
    <w:pPr>
      <w:widowControl/>
      <w:tabs>
        <w:tab w:val="left" w:pos="360"/>
      </w:tabs>
    </w:pPr>
    <w:rPr>
      <w:kern w:val="0"/>
      <w:sz w:val="24"/>
      <w:szCs w:val="24"/>
      <w:lang w:val="en-GB"/>
    </w:rPr>
  </w:style>
  <w:style w:type="paragraph" w:customStyle="1" w:styleId="874">
    <w:name w:val="样式 11 磅 首行缩进:  0.74 厘米 行距: 固定值 18 磅"/>
    <w:basedOn w:val="1"/>
    <w:autoRedefine/>
    <w:qFormat/>
    <w:uiPriority w:val="99"/>
    <w:pPr>
      <w:spacing w:before="100" w:beforeAutospacing="1" w:after="100" w:afterAutospacing="1"/>
      <w:ind w:firstLine="454"/>
    </w:pPr>
    <w:rPr>
      <w:sz w:val="24"/>
      <w:szCs w:val="24"/>
    </w:rPr>
  </w:style>
  <w:style w:type="paragraph" w:customStyle="1" w:styleId="875">
    <w:name w:val="xl10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 w:hAnsi="宋体" w:eastAsia="?" w:cs="?"/>
      <w:b/>
      <w:bCs/>
      <w:color w:val="000000"/>
      <w:kern w:val="0"/>
      <w:sz w:val="18"/>
      <w:szCs w:val="18"/>
    </w:rPr>
  </w:style>
  <w:style w:type="paragraph" w:customStyle="1" w:styleId="876">
    <w:name w:val="Char Char Char Char Char1 Char Char Char11"/>
    <w:basedOn w:val="1"/>
    <w:autoRedefine/>
    <w:qFormat/>
    <w:uiPriority w:val="99"/>
    <w:rPr>
      <w:sz w:val="24"/>
      <w:szCs w:val="24"/>
    </w:rPr>
  </w:style>
  <w:style w:type="paragraph" w:customStyle="1" w:styleId="877">
    <w:name w:val="附录一级条标题"/>
    <w:basedOn w:val="1"/>
    <w:next w:val="5"/>
    <w:autoRedefine/>
    <w:qFormat/>
    <w:uiPriority w:val="99"/>
    <w:pPr>
      <w:widowControl/>
      <w:numPr>
        <w:ilvl w:val="3"/>
        <w:numId w:val="10"/>
      </w:numPr>
      <w:tabs>
        <w:tab w:val="left" w:pos="1620"/>
      </w:tabs>
      <w:wordWrap w:val="0"/>
      <w:overflowPunct w:val="0"/>
      <w:autoSpaceDE w:val="0"/>
      <w:autoSpaceDN w:val="0"/>
      <w:ind w:left="0" w:leftChars="0" w:firstLine="0" w:firstLineChars="0"/>
      <w:textAlignment w:val="baseline"/>
      <w:outlineLvl w:val="2"/>
    </w:pPr>
    <w:rPr>
      <w:rFonts w:ascii="黑体" w:eastAsia="黑体" w:cs="黑体"/>
      <w:kern w:val="21"/>
    </w:rPr>
  </w:style>
  <w:style w:type="paragraph" w:customStyle="1" w:styleId="878">
    <w:name w:val="正文文本 23"/>
    <w:basedOn w:val="1"/>
    <w:autoRedefine/>
    <w:qFormat/>
    <w:uiPriority w:val="99"/>
    <w:pPr>
      <w:widowControl/>
      <w:tabs>
        <w:tab w:val="left" w:pos="360"/>
      </w:tabs>
    </w:pPr>
    <w:rPr>
      <w:kern w:val="0"/>
      <w:sz w:val="24"/>
      <w:szCs w:val="24"/>
      <w:lang w:val="en-GB"/>
    </w:rPr>
  </w:style>
  <w:style w:type="paragraph" w:customStyle="1" w:styleId="879">
    <w:name w:val="Char Char"/>
    <w:basedOn w:val="1"/>
    <w:autoRedefine/>
    <w:qFormat/>
    <w:uiPriority w:val="99"/>
  </w:style>
  <w:style w:type="paragraph" w:customStyle="1" w:styleId="880">
    <w:name w:val="报告小节标题"/>
    <w:basedOn w:val="5"/>
    <w:next w:val="1"/>
    <w:autoRedefine/>
    <w:qFormat/>
    <w:uiPriority w:val="99"/>
    <w:pPr>
      <w:widowControl/>
      <w:numPr>
        <w:ilvl w:val="2"/>
        <w:numId w:val="9"/>
      </w:numPr>
      <w:tabs>
        <w:tab w:val="left" w:pos="645"/>
        <w:tab w:val="left" w:pos="780"/>
        <w:tab w:val="left" w:pos="1200"/>
      </w:tabs>
      <w:spacing w:before="240" w:after="120" w:line="400" w:lineRule="exact"/>
      <w:ind w:left="813" w:leftChars="0" w:firstLine="0" w:firstLineChars="0"/>
    </w:pPr>
    <w:rPr>
      <w:rFonts w:ascii="宋体" w:cs="宋体"/>
      <w:b/>
      <w:bCs/>
      <w:kern w:val="0"/>
    </w:rPr>
  </w:style>
  <w:style w:type="paragraph" w:customStyle="1" w:styleId="881">
    <w:name w:val="xl30"/>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kern w:val="0"/>
    </w:rPr>
  </w:style>
  <w:style w:type="paragraph" w:customStyle="1" w:styleId="882">
    <w:name w:val="9"/>
    <w:basedOn w:val="1"/>
    <w:autoRedefine/>
    <w:qFormat/>
    <w:uiPriority w:val="99"/>
    <w:pPr>
      <w:autoSpaceDE w:val="0"/>
      <w:autoSpaceDN w:val="0"/>
      <w:adjustRightInd w:val="0"/>
      <w:spacing w:beforeLines="30" w:afterLines="30" w:line="360" w:lineRule="auto"/>
      <w:ind w:firstLine="478" w:firstLineChars="199"/>
    </w:pPr>
    <w:rPr>
      <w:rFonts w:ascii="宋体" w:hAnsi="宋体" w:cs="宋体"/>
      <w:kern w:val="0"/>
      <w:sz w:val="24"/>
      <w:szCs w:val="24"/>
    </w:rPr>
  </w:style>
  <w:style w:type="paragraph" w:customStyle="1" w:styleId="883">
    <w:name w:val="Char31"/>
    <w:basedOn w:val="1"/>
    <w:autoRedefine/>
    <w:qFormat/>
    <w:uiPriority w:val="99"/>
    <w:pPr>
      <w:widowControl/>
      <w:spacing w:after="160" w:line="240" w:lineRule="exact"/>
      <w:jc w:val="left"/>
    </w:pPr>
    <w:rPr>
      <w:kern w:val="0"/>
      <w:sz w:val="20"/>
      <w:szCs w:val="20"/>
    </w:rPr>
  </w:style>
  <w:style w:type="paragraph" w:customStyle="1" w:styleId="884">
    <w:name w:val="Char"/>
    <w:basedOn w:val="1"/>
    <w:autoRedefine/>
    <w:qFormat/>
    <w:uiPriority w:val="99"/>
    <w:rPr>
      <w:sz w:val="24"/>
      <w:szCs w:val="24"/>
    </w:rPr>
  </w:style>
  <w:style w:type="paragraph" w:customStyle="1" w:styleId="885">
    <w:name w:val="无间隔1"/>
    <w:autoRedefine/>
    <w:qFormat/>
    <w:uiPriority w:val="99"/>
    <w:pPr>
      <w:widowControl w:val="0"/>
      <w:spacing w:after="200" w:line="276" w:lineRule="auto"/>
      <w:jc w:val="both"/>
    </w:pPr>
    <w:rPr>
      <w:rFonts w:ascii="Calibri" w:hAnsi="Calibri" w:eastAsia="宋体" w:cs="Calibri"/>
      <w:kern w:val="2"/>
      <w:sz w:val="21"/>
      <w:szCs w:val="21"/>
      <w:lang w:val="en-US" w:eastAsia="zh-CN" w:bidi="ar-SA"/>
    </w:rPr>
  </w:style>
  <w:style w:type="paragraph" w:customStyle="1" w:styleId="886">
    <w:name w:val="CM7"/>
    <w:basedOn w:val="116"/>
    <w:next w:val="116"/>
    <w:autoRedefine/>
    <w:qFormat/>
    <w:uiPriority w:val="99"/>
    <w:pPr>
      <w:spacing w:after="200" w:line="191" w:lineRule="atLeast"/>
    </w:pPr>
    <w:rPr>
      <w:rFonts w:ascii="Times New Roman" w:cs="Times New Roman"/>
      <w:color w:val="auto"/>
    </w:rPr>
  </w:style>
  <w:style w:type="paragraph" w:customStyle="1" w:styleId="887">
    <w:name w:val="Char Char1 Char1"/>
    <w:basedOn w:val="1"/>
    <w:autoRedefine/>
    <w:qFormat/>
    <w:uiPriority w:val="99"/>
    <w:pPr>
      <w:spacing w:line="360" w:lineRule="auto"/>
    </w:pPr>
    <w:rPr>
      <w:rFonts w:ascii="Tahoma" w:hAnsi="Tahoma" w:cs="Tahoma"/>
      <w:sz w:val="24"/>
      <w:szCs w:val="24"/>
    </w:rPr>
  </w:style>
  <w:style w:type="paragraph" w:customStyle="1" w:styleId="888">
    <w:name w:val="aa"/>
    <w:basedOn w:val="1"/>
    <w:autoRedefine/>
    <w:qFormat/>
    <w:uiPriority w:val="99"/>
    <w:pPr>
      <w:autoSpaceDE w:val="0"/>
      <w:autoSpaceDN w:val="0"/>
      <w:adjustRightInd w:val="0"/>
      <w:spacing w:line="360" w:lineRule="atLeast"/>
      <w:ind w:left="240"/>
      <w:textAlignment w:val="baseline"/>
    </w:pPr>
    <w:rPr>
      <w:rFonts w:ascii="宋体" w:cs="宋体"/>
      <w:kern w:val="0"/>
      <w:sz w:val="24"/>
      <w:szCs w:val="24"/>
    </w:rPr>
  </w:style>
  <w:style w:type="paragraph" w:customStyle="1" w:styleId="889">
    <w:name w:val="xl39"/>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kern w:val="0"/>
      <w:sz w:val="22"/>
      <w:szCs w:val="22"/>
    </w:rPr>
  </w:style>
  <w:style w:type="paragraph" w:customStyle="1" w:styleId="890">
    <w:name w:val="Char Char Char11"/>
    <w:basedOn w:val="1"/>
    <w:autoRedefine/>
    <w:qFormat/>
    <w:uiPriority w:val="99"/>
    <w:rPr>
      <w:sz w:val="24"/>
      <w:szCs w:val="24"/>
    </w:rPr>
  </w:style>
  <w:style w:type="paragraph" w:customStyle="1" w:styleId="891">
    <w:name w:val="CM12"/>
    <w:basedOn w:val="1"/>
    <w:next w:val="1"/>
    <w:autoRedefine/>
    <w:qFormat/>
    <w:uiPriority w:val="99"/>
    <w:pPr>
      <w:autoSpaceDE w:val="0"/>
      <w:autoSpaceDN w:val="0"/>
      <w:adjustRightInd w:val="0"/>
      <w:spacing w:line="468" w:lineRule="atLeast"/>
      <w:jc w:val="left"/>
    </w:pPr>
    <w:rPr>
      <w:rFonts w:ascii="宋体" w:cs="宋体"/>
      <w:kern w:val="0"/>
      <w:sz w:val="24"/>
      <w:szCs w:val="24"/>
    </w:rPr>
  </w:style>
  <w:style w:type="paragraph" w:customStyle="1" w:styleId="892">
    <w:name w:val="Char Char3"/>
    <w:basedOn w:val="1"/>
    <w:autoRedefine/>
    <w:qFormat/>
    <w:uiPriority w:val="99"/>
    <w:pPr>
      <w:tabs>
        <w:tab w:val="left" w:pos="425"/>
      </w:tabs>
      <w:spacing w:after="200" w:line="276" w:lineRule="auto"/>
      <w:ind w:left="425" w:hanging="425"/>
    </w:pPr>
  </w:style>
  <w:style w:type="paragraph" w:customStyle="1" w:styleId="893">
    <w:name w:val="Char Char Char Char"/>
    <w:basedOn w:val="1"/>
    <w:autoRedefine/>
    <w:qFormat/>
    <w:uiPriority w:val="99"/>
    <w:rPr>
      <w:sz w:val="24"/>
      <w:szCs w:val="24"/>
    </w:rPr>
  </w:style>
  <w:style w:type="paragraph" w:customStyle="1" w:styleId="894">
    <w:name w:val="Char1 Char Char Char Char Char Char2"/>
    <w:basedOn w:val="1"/>
    <w:autoRedefine/>
    <w:qFormat/>
    <w:uiPriority w:val="99"/>
    <w:rPr>
      <w:sz w:val="24"/>
      <w:szCs w:val="24"/>
    </w:rPr>
  </w:style>
  <w:style w:type="paragraph" w:customStyle="1" w:styleId="895">
    <w:name w:val="Char Char Char Char5"/>
    <w:basedOn w:val="1"/>
    <w:autoRedefine/>
    <w:qFormat/>
    <w:uiPriority w:val="99"/>
    <w:pPr>
      <w:spacing w:line="360" w:lineRule="auto"/>
      <w:ind w:firstLine="200" w:firstLineChars="200"/>
    </w:pPr>
    <w:rPr>
      <w:rFonts w:ascii="宋体" w:hAnsi="宋体" w:cs="宋体"/>
      <w:sz w:val="24"/>
      <w:szCs w:val="24"/>
    </w:rPr>
  </w:style>
  <w:style w:type="paragraph" w:customStyle="1" w:styleId="896">
    <w:name w:val="样式 标题 2 + Times New Roman 段前: 12 磅"/>
    <w:basedOn w:val="4"/>
    <w:autoRedefine/>
    <w:qFormat/>
    <w:uiPriority w:val="99"/>
    <w:pPr>
      <w:tabs>
        <w:tab w:val="left" w:pos="576"/>
      </w:tabs>
      <w:adjustRightInd w:val="0"/>
      <w:snapToGrid w:val="0"/>
      <w:spacing w:before="120" w:after="120" w:line="240" w:lineRule="auto"/>
      <w:ind w:left="578" w:hanging="578"/>
      <w:jc w:val="left"/>
    </w:pPr>
    <w:rPr>
      <w:rFonts w:ascii="黑体" w:hAnsi="Times New Roman" w:cs="黑体"/>
      <w:b w:val="0"/>
      <w:bCs w:val="0"/>
      <w:color w:val="000000"/>
      <w:sz w:val="28"/>
      <w:szCs w:val="28"/>
    </w:rPr>
  </w:style>
  <w:style w:type="paragraph" w:customStyle="1" w:styleId="897">
    <w:name w:val="正文11"/>
    <w:basedOn w:val="1"/>
    <w:autoRedefine/>
    <w:qFormat/>
    <w:uiPriority w:val="99"/>
    <w:pPr>
      <w:ind w:firstLine="200" w:firstLineChars="200"/>
    </w:pPr>
    <w:rPr>
      <w:rFonts w:eastAsia="仿宋_GB2312"/>
      <w:sz w:val="28"/>
      <w:szCs w:val="28"/>
    </w:rPr>
  </w:style>
  <w:style w:type="paragraph" w:customStyle="1" w:styleId="898">
    <w:name w:val="目录"/>
    <w:basedOn w:val="1"/>
    <w:autoRedefine/>
    <w:qFormat/>
    <w:uiPriority w:val="99"/>
    <w:pPr>
      <w:tabs>
        <w:tab w:val="left" w:pos="2880"/>
      </w:tabs>
      <w:spacing w:line="240" w:lineRule="atLeast"/>
      <w:jc w:val="center"/>
    </w:pPr>
    <w:rPr>
      <w:b/>
      <w:bCs/>
      <w:sz w:val="36"/>
      <w:szCs w:val="36"/>
    </w:rPr>
  </w:style>
  <w:style w:type="paragraph" w:customStyle="1" w:styleId="899">
    <w:name w:val="font8"/>
    <w:basedOn w:val="1"/>
    <w:autoRedefine/>
    <w:qFormat/>
    <w:uiPriority w:val="99"/>
    <w:pPr>
      <w:widowControl/>
      <w:spacing w:before="100" w:beforeAutospacing="1" w:after="100" w:afterAutospacing="1"/>
      <w:jc w:val="left"/>
    </w:pPr>
    <w:rPr>
      <w:rFonts w:ascii="宋体" w:hAnsi="宋体" w:cs="宋体"/>
      <w:kern w:val="0"/>
      <w:sz w:val="22"/>
      <w:szCs w:val="22"/>
    </w:rPr>
  </w:style>
  <w:style w:type="paragraph" w:customStyle="1" w:styleId="900">
    <w:name w:val="非居中表格"/>
    <w:basedOn w:val="670"/>
    <w:autoRedefine/>
    <w:qFormat/>
    <w:uiPriority w:val="99"/>
    <w:pPr>
      <w:adjustRightInd w:val="0"/>
      <w:spacing w:before="60" w:after="60"/>
      <w:textAlignment w:val="baseline"/>
    </w:pPr>
    <w:rPr>
      <w:rFonts w:ascii="宋体" w:hAnsi="Times New Roman" w:cs="宋体"/>
      <w:sz w:val="24"/>
      <w:szCs w:val="24"/>
    </w:rPr>
  </w:style>
  <w:style w:type="paragraph" w:customStyle="1" w:styleId="901">
    <w:name w:val="Char Char Char4"/>
    <w:basedOn w:val="1"/>
    <w:autoRedefine/>
    <w:qFormat/>
    <w:uiPriority w:val="99"/>
  </w:style>
  <w:style w:type="paragraph" w:customStyle="1" w:styleId="902">
    <w:name w:val="Char23"/>
    <w:basedOn w:val="1"/>
    <w:autoRedefine/>
    <w:qFormat/>
    <w:uiPriority w:val="99"/>
    <w:rPr>
      <w:sz w:val="24"/>
      <w:szCs w:val="24"/>
    </w:rPr>
  </w:style>
  <w:style w:type="paragraph" w:customStyle="1" w:styleId="903">
    <w:name w:val="样式 标题 2 + 首行缩进:  2 字符"/>
    <w:basedOn w:val="4"/>
    <w:autoRedefine/>
    <w:qFormat/>
    <w:uiPriority w:val="99"/>
    <w:pPr>
      <w:tabs>
        <w:tab w:val="left" w:pos="576"/>
      </w:tabs>
      <w:spacing w:before="120" w:after="120" w:line="240" w:lineRule="auto"/>
      <w:ind w:left="578" w:hanging="578"/>
      <w:jc w:val="left"/>
    </w:pPr>
    <w:rPr>
      <w:rFonts w:ascii="Times New Roman" w:hAnsi="Times New Roman" w:eastAsia="宋体" w:cs="Times New Roman"/>
      <w:sz w:val="28"/>
      <w:szCs w:val="28"/>
    </w:rPr>
  </w:style>
  <w:style w:type="paragraph" w:customStyle="1" w:styleId="904">
    <w:name w:val="xl4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b/>
      <w:bCs/>
      <w:kern w:val="0"/>
      <w:sz w:val="22"/>
      <w:szCs w:val="22"/>
    </w:rPr>
  </w:style>
  <w:style w:type="paragraph" w:customStyle="1" w:styleId="905">
    <w:name w:val="Char1 Char Char Char1 Char Char Char Char Char Char Char Char"/>
    <w:basedOn w:val="1"/>
    <w:autoRedefine/>
    <w:qFormat/>
    <w:uiPriority w:val="99"/>
    <w:pPr>
      <w:spacing w:line="360" w:lineRule="auto"/>
      <w:ind w:firstLine="200" w:firstLineChars="200"/>
    </w:pPr>
    <w:rPr>
      <w:rFonts w:ascii="宋体" w:hAnsi="宋体" w:cs="宋体"/>
      <w:sz w:val="24"/>
      <w:szCs w:val="24"/>
    </w:rPr>
  </w:style>
  <w:style w:type="paragraph" w:customStyle="1" w:styleId="906">
    <w:name w:val="样式3"/>
    <w:basedOn w:val="45"/>
    <w:autoRedefine/>
    <w:qFormat/>
    <w:uiPriority w:val="99"/>
    <w:pPr>
      <w:spacing w:line="240" w:lineRule="atLeast"/>
      <w:outlineLvl w:val="0"/>
    </w:pPr>
    <w:rPr>
      <w:sz w:val="28"/>
      <w:szCs w:val="28"/>
    </w:rPr>
  </w:style>
  <w:style w:type="paragraph" w:customStyle="1" w:styleId="907">
    <w:name w:val="报告名称"/>
    <w:basedOn w:val="1"/>
    <w:autoRedefine/>
    <w:qFormat/>
    <w:uiPriority w:val="99"/>
    <w:pPr>
      <w:jc w:val="center"/>
    </w:pPr>
    <w:rPr>
      <w:rFonts w:eastAsia="黑体"/>
      <w:spacing w:val="24"/>
      <w:sz w:val="96"/>
      <w:szCs w:val="96"/>
    </w:rPr>
  </w:style>
  <w:style w:type="paragraph" w:customStyle="1" w:styleId="908">
    <w:name w:val="样式 目录 2 + 首行缩进:  3 字符1"/>
    <w:basedOn w:val="74"/>
    <w:autoRedefine/>
    <w:qFormat/>
    <w:uiPriority w:val="99"/>
    <w:pPr>
      <w:ind w:firstLine="723"/>
    </w:pPr>
    <w:rPr>
      <w:b/>
      <w:bCs/>
      <w:smallCaps w:val="0"/>
    </w:rPr>
  </w:style>
  <w:style w:type="paragraph" w:customStyle="1" w:styleId="909">
    <w:name w:val="Char Char Char Char Char Char Char4"/>
    <w:basedOn w:val="1"/>
    <w:autoRedefine/>
    <w:qFormat/>
    <w:uiPriority w:val="99"/>
  </w:style>
  <w:style w:type="paragraph" w:customStyle="1" w:styleId="910">
    <w:name w:val="xl6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2"/>
      <w:szCs w:val="22"/>
    </w:rPr>
  </w:style>
  <w:style w:type="paragraph" w:customStyle="1" w:styleId="911">
    <w:name w:val="Heading 71"/>
    <w:basedOn w:val="1"/>
    <w:autoRedefine/>
    <w:qFormat/>
    <w:uiPriority w:val="99"/>
    <w:pPr>
      <w:autoSpaceDE w:val="0"/>
      <w:autoSpaceDN w:val="0"/>
      <w:adjustRightInd w:val="0"/>
      <w:spacing w:after="200" w:line="276" w:lineRule="auto"/>
      <w:jc w:val="left"/>
      <w:outlineLvl w:val="6"/>
    </w:pPr>
    <w:rPr>
      <w:rFonts w:ascii="黑体" w:eastAsia="黑体" w:cs="黑体"/>
      <w:kern w:val="0"/>
      <w:sz w:val="28"/>
      <w:szCs w:val="28"/>
    </w:rPr>
  </w:style>
  <w:style w:type="paragraph" w:customStyle="1" w:styleId="912">
    <w:name w:val="级别 3"/>
    <w:basedOn w:val="3"/>
    <w:next w:val="86"/>
    <w:autoRedefine/>
    <w:qFormat/>
    <w:uiPriority w:val="99"/>
    <w:pPr>
      <w:keepNext w:val="0"/>
      <w:keepLines w:val="0"/>
      <w:adjustRightInd w:val="0"/>
      <w:snapToGrid w:val="0"/>
      <w:spacing w:before="0" w:after="0" w:line="400" w:lineRule="exact"/>
      <w:outlineLvl w:val="2"/>
    </w:pPr>
    <w:rPr>
      <w:color w:val="000000"/>
      <w:kern w:val="2"/>
      <w:sz w:val="24"/>
      <w:szCs w:val="24"/>
    </w:rPr>
  </w:style>
  <w:style w:type="paragraph" w:customStyle="1" w:styleId="913">
    <w:name w:val="标题 61"/>
    <w:basedOn w:val="1"/>
    <w:autoRedefine/>
    <w:qFormat/>
    <w:uiPriority w:val="99"/>
    <w:pPr>
      <w:autoSpaceDE w:val="0"/>
      <w:autoSpaceDN w:val="0"/>
      <w:adjustRightInd w:val="0"/>
      <w:spacing w:after="200" w:line="276" w:lineRule="auto"/>
      <w:ind w:left="2"/>
      <w:jc w:val="left"/>
      <w:outlineLvl w:val="5"/>
    </w:pPr>
    <w:rPr>
      <w:rFonts w:ascii="黑体" w:eastAsia="黑体" w:cs="黑体"/>
      <w:kern w:val="0"/>
      <w:sz w:val="30"/>
      <w:szCs w:val="30"/>
    </w:rPr>
  </w:style>
  <w:style w:type="paragraph" w:customStyle="1" w:styleId="914">
    <w:name w:val="张勋节格式左"/>
    <w:basedOn w:val="1"/>
    <w:autoRedefine/>
    <w:qFormat/>
    <w:uiPriority w:val="99"/>
    <w:pPr>
      <w:jc w:val="left"/>
    </w:pPr>
    <w:rPr>
      <w:b/>
      <w:bCs/>
      <w:sz w:val="28"/>
      <w:szCs w:val="28"/>
    </w:rPr>
  </w:style>
  <w:style w:type="paragraph" w:customStyle="1" w:styleId="915">
    <w:name w:val="Char Char1 Char Char Char Char Char Char Char Char Char Char1"/>
    <w:basedOn w:val="1"/>
    <w:autoRedefine/>
    <w:qFormat/>
    <w:uiPriority w:val="99"/>
    <w:rPr>
      <w:sz w:val="24"/>
      <w:szCs w:val="24"/>
    </w:rPr>
  </w:style>
  <w:style w:type="paragraph" w:customStyle="1" w:styleId="916">
    <w:name w:val="表格1"/>
    <w:basedOn w:val="1"/>
    <w:autoRedefine/>
    <w:qFormat/>
    <w:uiPriority w:val="99"/>
    <w:pPr>
      <w:tabs>
        <w:tab w:val="left" w:pos="0"/>
      </w:tabs>
      <w:adjustRightInd w:val="0"/>
      <w:snapToGrid w:val="0"/>
      <w:spacing w:line="360" w:lineRule="atLeast"/>
      <w:jc w:val="center"/>
      <w:textAlignment w:val="baseline"/>
    </w:pPr>
    <w:rPr>
      <w:kern w:val="0"/>
    </w:rPr>
  </w:style>
  <w:style w:type="paragraph" w:customStyle="1" w:styleId="917">
    <w:name w:val="公式"/>
    <w:basedOn w:val="21"/>
    <w:autoRedefine/>
    <w:qFormat/>
    <w:uiPriority w:val="99"/>
    <w:pPr>
      <w:spacing w:before="60" w:after="60" w:line="240" w:lineRule="atLeast"/>
      <w:ind w:firstLine="482" w:firstLineChars="0"/>
    </w:pPr>
    <w:rPr>
      <w:spacing w:val="4"/>
      <w:kern w:val="0"/>
      <w:sz w:val="28"/>
      <w:szCs w:val="28"/>
    </w:rPr>
  </w:style>
  <w:style w:type="paragraph" w:customStyle="1" w:styleId="918">
    <w:name w:val="xl70"/>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kern w:val="0"/>
      <w:sz w:val="22"/>
      <w:szCs w:val="22"/>
    </w:rPr>
  </w:style>
  <w:style w:type="paragraph" w:customStyle="1" w:styleId="919">
    <w:name w:val="徐京伦－标题1"/>
    <w:basedOn w:val="3"/>
    <w:autoRedefine/>
    <w:qFormat/>
    <w:uiPriority w:val="99"/>
    <w:pPr>
      <w:numPr>
        <w:ilvl w:val="2"/>
        <w:numId w:val="4"/>
      </w:numPr>
      <w:tabs>
        <w:tab w:val="left" w:pos="340"/>
        <w:tab w:val="left" w:pos="360"/>
        <w:tab w:val="left" w:pos="709"/>
      </w:tabs>
      <w:spacing w:before="90" w:after="90" w:line="300" w:lineRule="auto"/>
      <w:ind w:left="425" w:hanging="425" w:firstLineChars="0"/>
      <w:jc w:val="left"/>
      <w:textAlignment w:val="baseline"/>
    </w:pPr>
    <w:rPr>
      <w:rFonts w:ascii="Arial" w:hAnsi="Arial" w:eastAsia="黑体" w:cs="Arial"/>
      <w:b w:val="0"/>
      <w:bCs w:val="0"/>
      <w:color w:val="000000"/>
      <w:kern w:val="0"/>
      <w:sz w:val="28"/>
      <w:szCs w:val="28"/>
    </w:rPr>
  </w:style>
  <w:style w:type="paragraph" w:customStyle="1" w:styleId="920">
    <w:name w:val="form_first"/>
    <w:basedOn w:val="1"/>
    <w:autoRedefine/>
    <w:qFormat/>
    <w:uiPriority w:val="99"/>
    <w:pPr>
      <w:autoSpaceDE w:val="0"/>
      <w:autoSpaceDN w:val="0"/>
      <w:adjustRightInd w:val="0"/>
      <w:spacing w:line="360" w:lineRule="auto"/>
      <w:jc w:val="center"/>
    </w:pPr>
    <w:rPr>
      <w:color w:val="000000"/>
      <w:kern w:val="0"/>
    </w:rPr>
  </w:style>
  <w:style w:type="paragraph" w:customStyle="1" w:styleId="921">
    <w:name w:val="Table Paragraph"/>
    <w:basedOn w:val="1"/>
    <w:autoRedefine/>
    <w:qFormat/>
    <w:uiPriority w:val="99"/>
    <w:pPr>
      <w:autoSpaceDE w:val="0"/>
      <w:autoSpaceDN w:val="0"/>
      <w:adjustRightInd w:val="0"/>
      <w:spacing w:after="200" w:line="276" w:lineRule="auto"/>
      <w:jc w:val="left"/>
    </w:pPr>
    <w:rPr>
      <w:kern w:val="0"/>
      <w:sz w:val="24"/>
      <w:szCs w:val="24"/>
    </w:rPr>
  </w:style>
  <w:style w:type="paragraph" w:customStyle="1" w:styleId="922">
    <w:name w:val="Preformatted"/>
    <w:basedOn w:val="1"/>
    <w:autoRedefine/>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200" w:line="276" w:lineRule="auto"/>
      <w:jc w:val="left"/>
    </w:pPr>
    <w:rPr>
      <w:rFonts w:ascii="Courier New" w:hAnsi="Courier New" w:cs="Courier New"/>
      <w:kern w:val="0"/>
      <w:sz w:val="20"/>
      <w:szCs w:val="20"/>
    </w:rPr>
  </w:style>
  <w:style w:type="paragraph" w:customStyle="1" w:styleId="923">
    <w:name w:val="Char Char1"/>
    <w:basedOn w:val="1"/>
    <w:autoRedefine/>
    <w:qFormat/>
    <w:uiPriority w:val="99"/>
    <w:rPr>
      <w:sz w:val="24"/>
      <w:szCs w:val="24"/>
    </w:rPr>
  </w:style>
  <w:style w:type="paragraph" w:customStyle="1" w:styleId="924">
    <w:name w:val="Char Char Char Char Char Char2"/>
    <w:basedOn w:val="1"/>
    <w:autoRedefine/>
    <w:qFormat/>
    <w:uiPriority w:val="99"/>
    <w:pPr>
      <w:adjustRightInd w:val="0"/>
      <w:spacing w:line="312" w:lineRule="atLeast"/>
      <w:textAlignment w:val="baseline"/>
    </w:pPr>
    <w:rPr>
      <w:kern w:val="0"/>
    </w:rPr>
  </w:style>
  <w:style w:type="paragraph" w:customStyle="1" w:styleId="925">
    <w:name w:val="样式 样式 @ + 首行缩进:  2 字符"/>
    <w:basedOn w:val="336"/>
    <w:autoRedefine/>
    <w:qFormat/>
    <w:uiPriority w:val="99"/>
    <w:rPr>
      <w:rFonts w:ascii="宋体" w:cs="宋体"/>
    </w:rPr>
  </w:style>
  <w:style w:type="paragraph" w:customStyle="1" w:styleId="926">
    <w:name w:val="Char6 Char Char Char1"/>
    <w:basedOn w:val="1"/>
    <w:autoRedefine/>
    <w:qFormat/>
    <w:uiPriority w:val="99"/>
    <w:pPr>
      <w:tabs>
        <w:tab w:val="left" w:pos="794"/>
        <w:tab w:val="left" w:pos="1191"/>
        <w:tab w:val="left" w:pos="1588"/>
        <w:tab w:val="left" w:pos="1985"/>
      </w:tabs>
      <w:autoSpaceDE w:val="0"/>
      <w:autoSpaceDN w:val="0"/>
      <w:adjustRightInd w:val="0"/>
      <w:spacing w:before="136" w:after="200" w:line="276" w:lineRule="auto"/>
    </w:pPr>
    <w:rPr>
      <w:rFonts w:ascii="Tahoma" w:hAnsi="Tahoma" w:cs="Tahoma"/>
      <w:kern w:val="0"/>
      <w:sz w:val="24"/>
      <w:szCs w:val="24"/>
      <w:lang w:val="en-GB"/>
    </w:rPr>
  </w:style>
  <w:style w:type="paragraph" w:customStyle="1" w:styleId="927">
    <w:name w:val="样式 标题 2h2l22nd levelTitre22Header 2标题 2 Char + (西文) Times..."/>
    <w:basedOn w:val="4"/>
    <w:autoRedefine/>
    <w:qFormat/>
    <w:uiPriority w:val="99"/>
    <w:pPr>
      <w:tabs>
        <w:tab w:val="left" w:pos="576"/>
      </w:tabs>
      <w:spacing w:beforeLines="50" w:after="0" w:line="480" w:lineRule="exact"/>
      <w:ind w:left="578" w:right="-4" w:rightChars="-2" w:hanging="578"/>
      <w:jc w:val="left"/>
    </w:pPr>
    <w:rPr>
      <w:rFonts w:ascii="Times New Roman" w:hAnsi="Times New Roman" w:eastAsia="宋体" w:cs="Times New Roman"/>
      <w:sz w:val="28"/>
      <w:szCs w:val="28"/>
    </w:rPr>
  </w:style>
  <w:style w:type="paragraph" w:customStyle="1" w:styleId="928">
    <w:name w:val="CM56"/>
    <w:basedOn w:val="116"/>
    <w:next w:val="116"/>
    <w:autoRedefine/>
    <w:qFormat/>
    <w:uiPriority w:val="99"/>
    <w:pPr>
      <w:spacing w:after="200" w:line="276" w:lineRule="auto"/>
    </w:pPr>
    <w:rPr>
      <w:rFonts w:ascii="Times New Roman" w:cs="Times New Roman"/>
      <w:color w:val="auto"/>
    </w:rPr>
  </w:style>
  <w:style w:type="paragraph" w:customStyle="1" w:styleId="929">
    <w:name w:val="Char Char Char1 Char Char Char Char Char Char Char Char Char Char2"/>
    <w:basedOn w:val="1"/>
    <w:autoRedefine/>
    <w:qFormat/>
    <w:uiPriority w:val="99"/>
    <w:rPr>
      <w:sz w:val="24"/>
      <w:szCs w:val="24"/>
    </w:rPr>
  </w:style>
  <w:style w:type="paragraph" w:customStyle="1" w:styleId="930">
    <w:name w:val="Heading 51"/>
    <w:basedOn w:val="1"/>
    <w:autoRedefine/>
    <w:qFormat/>
    <w:uiPriority w:val="99"/>
    <w:pPr>
      <w:autoSpaceDE w:val="0"/>
      <w:autoSpaceDN w:val="0"/>
      <w:adjustRightInd w:val="0"/>
      <w:spacing w:after="200" w:line="276" w:lineRule="auto"/>
      <w:jc w:val="left"/>
      <w:outlineLvl w:val="4"/>
    </w:pPr>
    <w:rPr>
      <w:rFonts w:ascii="黑体" w:eastAsia="黑体" w:cs="黑体"/>
      <w:kern w:val="0"/>
      <w:sz w:val="32"/>
      <w:szCs w:val="32"/>
    </w:rPr>
  </w:style>
  <w:style w:type="paragraph" w:customStyle="1" w:styleId="931">
    <w:name w:val="xl4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22"/>
      <w:szCs w:val="22"/>
    </w:rPr>
  </w:style>
  <w:style w:type="paragraph" w:customStyle="1" w:styleId="932">
    <w:name w:val="xl51"/>
    <w:basedOn w:val="1"/>
    <w:autoRedefine/>
    <w:semiHidden/>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Narrow" w:hAnsi="Arial Narrow" w:cs="Arial Narrow"/>
      <w:kern w:val="0"/>
      <w:sz w:val="20"/>
      <w:szCs w:val="20"/>
    </w:rPr>
  </w:style>
  <w:style w:type="paragraph" w:customStyle="1" w:styleId="933">
    <w:name w:val="徐京伦－标题3"/>
    <w:basedOn w:val="5"/>
    <w:autoRedefine/>
    <w:qFormat/>
    <w:uiPriority w:val="99"/>
    <w:pPr>
      <w:tabs>
        <w:tab w:val="left" w:pos="1080"/>
        <w:tab w:val="left" w:pos="2041"/>
      </w:tabs>
      <w:autoSpaceDE w:val="0"/>
      <w:autoSpaceDN w:val="0"/>
      <w:adjustRightInd w:val="0"/>
      <w:spacing w:before="0" w:after="0" w:line="360" w:lineRule="auto"/>
      <w:ind w:left="2041" w:hanging="453" w:firstLineChars="0"/>
      <w:jc w:val="left"/>
      <w:textAlignment w:val="bottom"/>
    </w:pPr>
    <w:rPr>
      <w:rFonts w:ascii="宋体" w:hAnsi="Times New Roman" w:eastAsia="宋体" w:cs="宋体"/>
      <w:b/>
      <w:bCs/>
      <w:color w:val="000000"/>
      <w:kern w:val="0"/>
      <w:sz w:val="24"/>
      <w:szCs w:val="24"/>
    </w:rPr>
  </w:style>
  <w:style w:type="paragraph" w:customStyle="1" w:styleId="934">
    <w:name w:val="Char Char Char2"/>
    <w:basedOn w:val="1"/>
    <w:autoRedefine/>
    <w:qFormat/>
    <w:uiPriority w:val="99"/>
    <w:pPr>
      <w:adjustRightInd w:val="0"/>
      <w:spacing w:line="312" w:lineRule="atLeast"/>
      <w:textAlignment w:val="baseline"/>
    </w:pPr>
    <w:rPr>
      <w:kern w:val="0"/>
    </w:rPr>
  </w:style>
  <w:style w:type="paragraph" w:customStyle="1" w:styleId="935">
    <w:name w:val="Char1 Char Char Char Char Char Char1"/>
    <w:basedOn w:val="1"/>
    <w:autoRedefine/>
    <w:qFormat/>
    <w:uiPriority w:val="99"/>
    <w:rPr>
      <w:sz w:val="24"/>
      <w:szCs w:val="24"/>
    </w:rPr>
  </w:style>
  <w:style w:type="paragraph" w:customStyle="1" w:styleId="936">
    <w:name w:val="修订111"/>
    <w:autoRedefine/>
    <w:qFormat/>
    <w:uiPriority w:val="99"/>
    <w:rPr>
      <w:rFonts w:ascii="Calibri" w:hAnsi="Calibri" w:eastAsia="宋体" w:cs="Calibri"/>
      <w:kern w:val="2"/>
      <w:sz w:val="21"/>
      <w:szCs w:val="21"/>
      <w:lang w:val="en-US" w:eastAsia="zh-CN" w:bidi="ar-SA"/>
    </w:rPr>
  </w:style>
  <w:style w:type="paragraph" w:customStyle="1" w:styleId="937">
    <w:name w:val="Char1 Char Char Char"/>
    <w:basedOn w:val="1"/>
    <w:autoRedefine/>
    <w:qFormat/>
    <w:uiPriority w:val="99"/>
    <w:rPr>
      <w:sz w:val="24"/>
      <w:szCs w:val="24"/>
    </w:rPr>
  </w:style>
  <w:style w:type="paragraph" w:customStyle="1" w:styleId="938">
    <w:name w:val="Char21"/>
    <w:basedOn w:val="1"/>
    <w:autoRedefine/>
    <w:qFormat/>
    <w:uiPriority w:val="99"/>
    <w:pPr>
      <w:widowControl/>
      <w:spacing w:before="100" w:beforeAutospacing="1" w:after="100" w:afterAutospacing="1" w:line="330" w:lineRule="atLeast"/>
      <w:ind w:left="360"/>
      <w:jc w:val="left"/>
    </w:pPr>
    <w:rPr>
      <w:rFonts w:ascii="??" w:hAnsi="??" w:cs="??"/>
      <w:color w:val="51585D"/>
      <w:kern w:val="0"/>
      <w:sz w:val="24"/>
      <w:szCs w:val="24"/>
    </w:rPr>
  </w:style>
  <w:style w:type="paragraph" w:customStyle="1" w:styleId="939">
    <w:name w:val="Char1 Char Char11"/>
    <w:basedOn w:val="1"/>
    <w:autoRedefine/>
    <w:qFormat/>
    <w:uiPriority w:val="99"/>
  </w:style>
  <w:style w:type="paragraph" w:customStyle="1" w:styleId="940">
    <w:name w:val="Char Char Char1 Char21"/>
    <w:basedOn w:val="1"/>
    <w:autoRedefine/>
    <w:qFormat/>
    <w:uiPriority w:val="99"/>
    <w:rPr>
      <w:sz w:val="24"/>
      <w:szCs w:val="24"/>
    </w:rPr>
  </w:style>
  <w:style w:type="paragraph" w:customStyle="1" w:styleId="941">
    <w:name w:val="xl7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s="宋体"/>
      <w:kern w:val="0"/>
      <w:sz w:val="22"/>
      <w:szCs w:val="22"/>
    </w:rPr>
  </w:style>
  <w:style w:type="paragraph" w:customStyle="1" w:styleId="942">
    <w:name w:val="Char Char Char Char Char Char Char2"/>
    <w:basedOn w:val="1"/>
    <w:autoRedefine/>
    <w:qFormat/>
    <w:uiPriority w:val="99"/>
    <w:pPr>
      <w:adjustRightInd w:val="0"/>
      <w:spacing w:line="312" w:lineRule="atLeast"/>
      <w:textAlignment w:val="baseline"/>
    </w:pPr>
    <w:rPr>
      <w:kern w:val="0"/>
    </w:rPr>
  </w:style>
  <w:style w:type="paragraph" w:customStyle="1" w:styleId="943">
    <w:name w:val="正文 New"/>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944">
    <w:name w:val="Char Char Char1 Char Char Char Char Char Char Char Char Char"/>
    <w:basedOn w:val="1"/>
    <w:autoRedefine/>
    <w:qFormat/>
    <w:uiPriority w:val="99"/>
    <w:pPr>
      <w:adjustRightInd w:val="0"/>
      <w:spacing w:line="312" w:lineRule="atLeast"/>
      <w:textAlignment w:val="baseline"/>
    </w:pPr>
    <w:rPr>
      <w:kern w:val="0"/>
    </w:rPr>
  </w:style>
  <w:style w:type="paragraph" w:customStyle="1" w:styleId="945">
    <w:name w:val="Char Char Char1 Char Char Char Char Char Char Char"/>
    <w:basedOn w:val="1"/>
    <w:autoRedefine/>
    <w:qFormat/>
    <w:uiPriority w:val="99"/>
    <w:rPr>
      <w:sz w:val="24"/>
      <w:szCs w:val="24"/>
    </w:rPr>
  </w:style>
  <w:style w:type="paragraph" w:customStyle="1" w:styleId="946">
    <w:name w:val="Char Char Char Char Char Char Char Char Char Char11"/>
    <w:basedOn w:val="1"/>
    <w:autoRedefine/>
    <w:qFormat/>
    <w:uiPriority w:val="99"/>
    <w:pPr>
      <w:tabs>
        <w:tab w:val="left" w:pos="425"/>
      </w:tabs>
      <w:spacing w:after="200" w:line="276" w:lineRule="auto"/>
      <w:ind w:left="425" w:hanging="425"/>
    </w:pPr>
    <w:rPr>
      <w:rFonts w:ascii="Arial" w:hAnsi="Arial" w:eastAsia="黑体" w:cs="Arial"/>
      <w:b/>
      <w:bCs/>
      <w:sz w:val="32"/>
      <w:szCs w:val="32"/>
    </w:rPr>
  </w:style>
  <w:style w:type="paragraph" w:customStyle="1" w:styleId="947">
    <w:name w:val="@4级标题"/>
    <w:basedOn w:val="6"/>
    <w:autoRedefine/>
    <w:qFormat/>
    <w:uiPriority w:val="99"/>
    <w:pPr>
      <w:numPr>
        <w:ilvl w:val="3"/>
        <w:numId w:val="2"/>
      </w:numPr>
      <w:tabs>
        <w:tab w:val="left" w:pos="780"/>
        <w:tab w:val="left" w:pos="864"/>
      </w:tabs>
      <w:spacing w:before="80" w:after="80" w:line="360" w:lineRule="auto"/>
      <w:ind w:left="2064" w:hanging="864"/>
    </w:pPr>
    <w:rPr>
      <w:rFonts w:ascii="Times New Roman" w:hAnsi="Times New Roman" w:eastAsia="宋体" w:cs="Times New Roman"/>
      <w:b w:val="0"/>
      <w:bCs w:val="0"/>
      <w:kern w:val="0"/>
      <w:sz w:val="24"/>
      <w:szCs w:val="24"/>
    </w:rPr>
  </w:style>
  <w:style w:type="paragraph" w:customStyle="1" w:styleId="948">
    <w:name w:val="Simone"/>
    <w:basedOn w:val="1"/>
    <w:autoRedefine/>
    <w:qFormat/>
    <w:uiPriority w:val="99"/>
    <w:pPr>
      <w:widowControl/>
      <w:jc w:val="left"/>
    </w:pPr>
    <w:rPr>
      <w:rFonts w:ascii="Arial" w:hAnsi="Arial" w:cs="Arial"/>
      <w:b/>
      <w:bCs/>
      <w:kern w:val="0"/>
      <w:sz w:val="24"/>
      <w:szCs w:val="24"/>
      <w:u w:val="single"/>
      <w:lang w:eastAsia="de-DE"/>
    </w:rPr>
  </w:style>
  <w:style w:type="paragraph" w:customStyle="1" w:styleId="949">
    <w:name w:val="报告短公式"/>
    <w:basedOn w:val="1"/>
    <w:next w:val="1"/>
    <w:autoRedefine/>
    <w:qFormat/>
    <w:uiPriority w:val="99"/>
    <w:pPr>
      <w:numPr>
        <w:ilvl w:val="1"/>
        <w:numId w:val="9"/>
      </w:numPr>
      <w:tabs>
        <w:tab w:val="left" w:pos="567"/>
        <w:tab w:val="left" w:pos="780"/>
        <w:tab w:val="left" w:pos="1134"/>
        <w:tab w:val="left" w:pos="1701"/>
        <w:tab w:val="left" w:pos="2268"/>
        <w:tab w:val="left" w:pos="2835"/>
        <w:tab w:val="left" w:pos="3402"/>
        <w:tab w:val="left" w:pos="3969"/>
        <w:tab w:val="left" w:pos="4536"/>
        <w:tab w:val="left" w:pos="7371"/>
      </w:tabs>
      <w:adjustRightInd w:val="0"/>
      <w:snapToGrid w:val="0"/>
      <w:spacing w:before="200" w:after="200" w:line="360" w:lineRule="auto"/>
      <w:ind w:left="733" w:leftChars="0" w:hanging="624" w:firstLineChars="0"/>
    </w:pPr>
    <w:rPr>
      <w:sz w:val="18"/>
      <w:szCs w:val="18"/>
    </w:rPr>
  </w:style>
  <w:style w:type="paragraph" w:customStyle="1" w:styleId="950">
    <w:name w:val="样式 徐京伦－标题2 + 右侧:  0.99 字符"/>
    <w:basedOn w:val="772"/>
    <w:autoRedefine/>
    <w:qFormat/>
    <w:uiPriority w:val="99"/>
    <w:pPr>
      <w:numPr>
        <w:ilvl w:val="1"/>
        <w:numId w:val="4"/>
      </w:numPr>
      <w:tabs>
        <w:tab w:val="left" w:pos="360"/>
        <w:tab w:val="left" w:pos="510"/>
      </w:tabs>
      <w:spacing w:line="312" w:lineRule="atLeast"/>
      <w:ind w:left="567" w:right="208" w:firstLine="482" w:firstLineChars="200"/>
      <w:textAlignment w:val="baseline"/>
    </w:pPr>
  </w:style>
  <w:style w:type="paragraph" w:customStyle="1" w:styleId="951">
    <w:name w:val="Char2"/>
    <w:basedOn w:val="1"/>
    <w:autoRedefine/>
    <w:qFormat/>
    <w:uiPriority w:val="99"/>
    <w:rPr>
      <w:sz w:val="24"/>
      <w:szCs w:val="24"/>
    </w:rPr>
  </w:style>
  <w:style w:type="paragraph" w:customStyle="1" w:styleId="952">
    <w:name w:val="Char121"/>
    <w:basedOn w:val="1"/>
    <w:autoRedefine/>
    <w:qFormat/>
    <w:uiPriority w:val="99"/>
    <w:pPr>
      <w:tabs>
        <w:tab w:val="left" w:pos="360"/>
      </w:tabs>
    </w:pPr>
    <w:rPr>
      <w:sz w:val="24"/>
      <w:szCs w:val="24"/>
    </w:rPr>
  </w:style>
  <w:style w:type="paragraph" w:customStyle="1" w:styleId="953">
    <w:name w:val="voortekst"/>
    <w:basedOn w:val="1"/>
    <w:autoRedefine/>
    <w:semiHidden/>
    <w:qFormat/>
    <w:uiPriority w:val="99"/>
    <w:pPr>
      <w:widowControl/>
      <w:spacing w:line="140" w:lineRule="exact"/>
      <w:jc w:val="left"/>
    </w:pPr>
    <w:rPr>
      <w:rFonts w:ascii="Verdana" w:hAnsi="Verdana" w:cs="Verdana"/>
      <w:b/>
      <w:bCs/>
      <w:kern w:val="0"/>
      <w:sz w:val="14"/>
      <w:szCs w:val="14"/>
      <w:lang w:val="nl-NL" w:eastAsia="en-GB"/>
    </w:rPr>
  </w:style>
  <w:style w:type="paragraph" w:customStyle="1" w:styleId="954">
    <w:name w:val="前期正文"/>
    <w:autoRedefine/>
    <w:qFormat/>
    <w:uiPriority w:val="99"/>
    <w:pPr>
      <w:spacing w:line="360" w:lineRule="auto"/>
      <w:ind w:firstLine="480" w:firstLineChars="200"/>
      <w:jc w:val="both"/>
    </w:pPr>
    <w:rPr>
      <w:rFonts w:ascii="Calibri" w:hAnsi="Calibri" w:eastAsia="宋体" w:cs="Calibri"/>
      <w:kern w:val="2"/>
      <w:sz w:val="24"/>
      <w:szCs w:val="24"/>
      <w:lang w:val="en-US" w:eastAsia="zh-CN" w:bidi="ar-SA"/>
    </w:rPr>
  </w:style>
  <w:style w:type="paragraph" w:customStyle="1" w:styleId="955">
    <w:name w:val="mjd"/>
    <w:basedOn w:val="1"/>
    <w:autoRedefine/>
    <w:qFormat/>
    <w:uiPriority w:val="99"/>
    <w:pPr>
      <w:tabs>
        <w:tab w:val="left" w:pos="1080"/>
        <w:tab w:val="left" w:pos="6960"/>
      </w:tabs>
      <w:autoSpaceDE w:val="0"/>
      <w:autoSpaceDN w:val="0"/>
      <w:adjustRightInd w:val="0"/>
      <w:spacing w:line="312" w:lineRule="atLeast"/>
      <w:ind w:left="1080" w:hanging="1080"/>
      <w:jc w:val="left"/>
    </w:pPr>
    <w:rPr>
      <w:rFonts w:ascii="宋体" w:hAnsi="Tms Rmn" w:cs="宋体"/>
      <w:kern w:val="0"/>
    </w:rPr>
  </w:style>
  <w:style w:type="paragraph" w:customStyle="1" w:styleId="956">
    <w:name w:val="Table of Contents"/>
    <w:basedOn w:val="84"/>
    <w:autoRedefine/>
    <w:qFormat/>
    <w:uiPriority w:val="99"/>
    <w:pPr>
      <w:widowControl/>
      <w:adjustRightInd/>
      <w:spacing w:after="480" w:line="276" w:lineRule="auto"/>
      <w:textAlignment w:val="auto"/>
    </w:pPr>
    <w:rPr>
      <w:rFonts w:ascii="B Frutiger Bold" w:hAnsi="B Frutiger Bold" w:cs="B Frutiger Bold"/>
      <w:sz w:val="24"/>
      <w:szCs w:val="24"/>
      <w:lang w:val="en-AU"/>
    </w:rPr>
  </w:style>
  <w:style w:type="paragraph" w:customStyle="1" w:styleId="957">
    <w:name w:val="样式 标题 1 + 小四"/>
    <w:basedOn w:val="3"/>
    <w:autoRedefine/>
    <w:qFormat/>
    <w:uiPriority w:val="99"/>
    <w:pPr>
      <w:keepNext w:val="0"/>
      <w:tabs>
        <w:tab w:val="left" w:pos="6761"/>
      </w:tabs>
      <w:snapToGrid w:val="0"/>
      <w:spacing w:before="0" w:after="0" w:line="400" w:lineRule="exact"/>
    </w:pPr>
    <w:rPr>
      <w:color w:val="000000"/>
      <w:sz w:val="24"/>
      <w:szCs w:val="24"/>
    </w:rPr>
  </w:style>
  <w:style w:type="paragraph" w:customStyle="1" w:styleId="958">
    <w:name w:val="xl4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959">
    <w:name w:val="标题1"/>
    <w:basedOn w:val="1"/>
    <w:autoRedefine/>
    <w:qFormat/>
    <w:uiPriority w:val="99"/>
    <w:rPr>
      <w:rFonts w:eastAsia="黑体"/>
      <w:b/>
      <w:bCs/>
      <w:kern w:val="0"/>
      <w:sz w:val="30"/>
      <w:szCs w:val="30"/>
    </w:rPr>
  </w:style>
  <w:style w:type="paragraph" w:customStyle="1" w:styleId="960">
    <w:name w:val="Char Char Char Char Char21"/>
    <w:basedOn w:val="1"/>
    <w:autoRedefine/>
    <w:qFormat/>
    <w:uiPriority w:val="99"/>
    <w:rPr>
      <w:sz w:val="24"/>
      <w:szCs w:val="24"/>
    </w:rPr>
  </w:style>
  <w:style w:type="paragraph" w:customStyle="1" w:styleId="961">
    <w:name w:val="flNote"/>
    <w:basedOn w:val="1"/>
    <w:autoRedefine/>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962">
    <w:name w:val="段落"/>
    <w:basedOn w:val="1"/>
    <w:autoRedefine/>
    <w:qFormat/>
    <w:uiPriority w:val="99"/>
    <w:pPr>
      <w:adjustRightInd w:val="0"/>
      <w:spacing w:line="400" w:lineRule="atLeast"/>
      <w:ind w:firstLine="482"/>
      <w:jc w:val="left"/>
      <w:textAlignment w:val="baseline"/>
    </w:pPr>
    <w:rPr>
      <w:kern w:val="0"/>
      <w:sz w:val="28"/>
      <w:szCs w:val="28"/>
    </w:rPr>
  </w:style>
  <w:style w:type="paragraph" w:customStyle="1" w:styleId="963">
    <w:name w:val="Char Char Char3"/>
    <w:basedOn w:val="1"/>
    <w:autoRedefine/>
    <w:qFormat/>
    <w:uiPriority w:val="99"/>
    <w:pPr>
      <w:adjustRightInd w:val="0"/>
      <w:spacing w:line="312" w:lineRule="atLeast"/>
      <w:textAlignment w:val="baseline"/>
    </w:pPr>
    <w:rPr>
      <w:kern w:val="0"/>
    </w:rPr>
  </w:style>
  <w:style w:type="paragraph" w:customStyle="1" w:styleId="964">
    <w:name w:val="插图右对齐"/>
    <w:basedOn w:val="755"/>
    <w:autoRedefine/>
    <w:qFormat/>
    <w:uiPriority w:val="99"/>
    <w:pPr>
      <w:spacing w:before="60" w:after="60"/>
      <w:jc w:val="right"/>
    </w:pPr>
  </w:style>
  <w:style w:type="paragraph" w:customStyle="1" w:styleId="965">
    <w:name w:val="4 Char Char Char Char Char Char Char Char Char Char Char Char Char Char Char Char Char Char Char Char Char Char"/>
    <w:basedOn w:val="1"/>
    <w:autoRedefine/>
    <w:qFormat/>
    <w:uiPriority w:val="99"/>
    <w:pPr>
      <w:spacing w:after="200" w:line="276" w:lineRule="auto"/>
    </w:pPr>
  </w:style>
  <w:style w:type="paragraph" w:customStyle="1" w:styleId="966">
    <w:name w:val="Char Char Char Char Char Char Char Char Char Char Char Char Char Char Char1"/>
    <w:basedOn w:val="1"/>
    <w:autoRedefine/>
    <w:qFormat/>
    <w:uiPriority w:val="99"/>
    <w:pPr>
      <w:spacing w:after="200" w:line="240" w:lineRule="atLeast"/>
      <w:ind w:left="420" w:firstLine="420"/>
    </w:pPr>
    <w:rPr>
      <w:kern w:val="0"/>
    </w:rPr>
  </w:style>
  <w:style w:type="paragraph" w:customStyle="1" w:styleId="967">
    <w:name w:val="xl79"/>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 w:hAnsi="宋体" w:eastAsia="????" w:cs="????"/>
      <w:color w:val="000000"/>
      <w:kern w:val="0"/>
      <w:sz w:val="18"/>
      <w:szCs w:val="18"/>
    </w:rPr>
  </w:style>
  <w:style w:type="paragraph" w:customStyle="1" w:styleId="968">
    <w:name w:val="正文1 Char Char"/>
    <w:basedOn w:val="1"/>
    <w:autoRedefine/>
    <w:qFormat/>
    <w:uiPriority w:val="99"/>
    <w:pPr>
      <w:numPr>
        <w:ilvl w:val="0"/>
        <w:numId w:val="7"/>
      </w:numPr>
      <w:tabs>
        <w:tab w:val="left" w:pos="1834"/>
      </w:tabs>
      <w:adjustRightInd w:val="0"/>
      <w:snapToGrid w:val="0"/>
      <w:ind w:left="425" w:hanging="425"/>
    </w:pPr>
    <w:rPr>
      <w:sz w:val="24"/>
      <w:szCs w:val="24"/>
    </w:rPr>
  </w:style>
  <w:style w:type="paragraph" w:customStyle="1" w:styleId="969">
    <w:name w:val="Char Char Char Char Char1 Char Char Char111"/>
    <w:basedOn w:val="1"/>
    <w:autoRedefine/>
    <w:qFormat/>
    <w:uiPriority w:val="99"/>
    <w:rPr>
      <w:sz w:val="24"/>
      <w:szCs w:val="24"/>
    </w:rPr>
  </w:style>
  <w:style w:type="paragraph" w:customStyle="1" w:styleId="970">
    <w:name w:val="样式2"/>
    <w:basedOn w:val="5"/>
    <w:autoRedefine/>
    <w:qFormat/>
    <w:uiPriority w:val="99"/>
    <w:rPr>
      <w:i/>
      <w:iCs/>
    </w:rPr>
  </w:style>
  <w:style w:type="paragraph" w:customStyle="1" w:styleId="971">
    <w:name w:val="AOTOCTitle"/>
    <w:basedOn w:val="1"/>
    <w:next w:val="1"/>
    <w:autoRedefine/>
    <w:qFormat/>
    <w:uiPriority w:val="99"/>
    <w:pPr>
      <w:widowControl/>
      <w:spacing w:before="240" w:after="200" w:line="260" w:lineRule="atLeast"/>
      <w:jc w:val="center"/>
    </w:pPr>
    <w:rPr>
      <w:b/>
      <w:bCs/>
      <w:caps/>
      <w:kern w:val="0"/>
      <w:sz w:val="22"/>
      <w:szCs w:val="22"/>
      <w:lang w:val="en-GB" w:eastAsia="en-US"/>
    </w:rPr>
  </w:style>
  <w:style w:type="paragraph" w:customStyle="1" w:styleId="972">
    <w:name w:val="font9"/>
    <w:basedOn w:val="1"/>
    <w:autoRedefine/>
    <w:qFormat/>
    <w:uiPriority w:val="99"/>
    <w:pPr>
      <w:widowControl/>
      <w:spacing w:before="100" w:beforeAutospacing="1" w:after="100" w:afterAutospacing="1"/>
      <w:jc w:val="left"/>
    </w:pPr>
    <w:rPr>
      <w:rFonts w:ascii="宋体" w:hAnsi="宋体" w:cs="宋体"/>
      <w:color w:val="000000"/>
      <w:kern w:val="0"/>
      <w:sz w:val="22"/>
      <w:szCs w:val="22"/>
    </w:rPr>
  </w:style>
  <w:style w:type="paragraph" w:customStyle="1" w:styleId="973">
    <w:name w:val="样式 洋正 + 首行缩进:  2 字符"/>
    <w:basedOn w:val="1"/>
    <w:autoRedefine/>
    <w:qFormat/>
    <w:uiPriority w:val="99"/>
    <w:pPr>
      <w:snapToGrid w:val="0"/>
      <w:spacing w:line="360" w:lineRule="auto"/>
      <w:ind w:firstLine="200" w:firstLineChars="200"/>
      <w:jc w:val="left"/>
    </w:pPr>
    <w:rPr>
      <w:sz w:val="24"/>
      <w:szCs w:val="24"/>
    </w:rPr>
  </w:style>
  <w:style w:type="paragraph" w:customStyle="1" w:styleId="974">
    <w:name w:val="签署签名"/>
    <w:basedOn w:val="1"/>
    <w:autoRedefine/>
    <w:qFormat/>
    <w:uiPriority w:val="99"/>
    <w:pPr>
      <w:tabs>
        <w:tab w:val="left" w:pos="2880"/>
      </w:tabs>
      <w:spacing w:line="400" w:lineRule="exact"/>
    </w:pPr>
    <w:rPr>
      <w:sz w:val="32"/>
      <w:szCs w:val="32"/>
    </w:rPr>
  </w:style>
  <w:style w:type="paragraph" w:customStyle="1" w:styleId="975">
    <w:name w:val="xl77"/>
    <w:basedOn w:val="1"/>
    <w:autoRedefine/>
    <w:qFormat/>
    <w:uiPriority w:val="99"/>
    <w:pPr>
      <w:widowControl/>
      <w:pBdr>
        <w:top w:val="single" w:color="auto" w:sz="4" w:space="0"/>
        <w:left w:val="single" w:color="auto" w:sz="8" w:space="0"/>
        <w:bottom w:val="single" w:color="auto" w:sz="4" w:space="0"/>
        <w:right w:val="single" w:color="auto" w:sz="4" w:space="0"/>
      </w:pBdr>
      <w:shd w:val="clear" w:color="000000" w:fill="92D050"/>
      <w:spacing w:before="100" w:beforeAutospacing="1" w:after="100" w:afterAutospacing="1"/>
      <w:jc w:val="left"/>
    </w:pPr>
    <w:rPr>
      <w:rFonts w:ascii="宋体" w:hAnsi="宋体" w:cs="宋体"/>
      <w:color w:val="000000"/>
      <w:kern w:val="0"/>
      <w:sz w:val="18"/>
      <w:szCs w:val="18"/>
    </w:rPr>
  </w:style>
  <w:style w:type="paragraph" w:customStyle="1" w:styleId="976">
    <w:name w:val="Standard.bz"/>
    <w:autoRedefine/>
    <w:qFormat/>
    <w:uiPriority w:val="99"/>
    <w:rPr>
      <w:rFonts w:ascii="Arial" w:hAnsi="Arial" w:eastAsia="宋体" w:cs="Arial"/>
      <w:sz w:val="22"/>
      <w:szCs w:val="22"/>
      <w:lang w:val="de-DE" w:eastAsia="de-DE" w:bidi="ar-SA"/>
    </w:rPr>
  </w:style>
  <w:style w:type="paragraph" w:customStyle="1" w:styleId="977">
    <w:name w:val="Char Char Char Char Char Char Char Char Char Char Char Char Char"/>
    <w:basedOn w:val="1"/>
    <w:autoRedefine/>
    <w:qFormat/>
    <w:uiPriority w:val="99"/>
    <w:rPr>
      <w:sz w:val="24"/>
      <w:szCs w:val="24"/>
    </w:rPr>
  </w:style>
  <w:style w:type="paragraph" w:customStyle="1" w:styleId="978">
    <w:name w:val="1"/>
    <w:basedOn w:val="1"/>
    <w:autoRedefine/>
    <w:qFormat/>
    <w:uiPriority w:val="99"/>
  </w:style>
  <w:style w:type="paragraph" w:customStyle="1" w:styleId="979">
    <w:name w:val="标题 4李洪"/>
    <w:basedOn w:val="1"/>
    <w:autoRedefine/>
    <w:qFormat/>
    <w:uiPriority w:val="99"/>
    <w:pPr>
      <w:numPr>
        <w:ilvl w:val="3"/>
        <w:numId w:val="5"/>
      </w:numPr>
      <w:tabs>
        <w:tab w:val="left" w:pos="567"/>
        <w:tab w:val="left" w:pos="1200"/>
      </w:tabs>
      <w:ind w:left="567"/>
    </w:pPr>
  </w:style>
  <w:style w:type="paragraph" w:customStyle="1" w:styleId="980">
    <w:name w:val="Char Char Char Char Char Char Char Char Char"/>
    <w:basedOn w:val="1"/>
    <w:autoRedefine/>
    <w:qFormat/>
    <w:uiPriority w:val="99"/>
    <w:rPr>
      <w:sz w:val="24"/>
      <w:szCs w:val="24"/>
    </w:rPr>
  </w:style>
  <w:style w:type="paragraph" w:customStyle="1" w:styleId="981">
    <w:name w:val="样式 标题 1章 + 小二 左侧:  0 厘米 首行缩进:  0 厘米 段前: 17 磅 段后: 16.5 磅 行距..."/>
    <w:basedOn w:val="3"/>
    <w:autoRedefine/>
    <w:qFormat/>
    <w:uiPriority w:val="99"/>
    <w:pPr>
      <w:tabs>
        <w:tab w:val="left" w:pos="360"/>
      </w:tabs>
      <w:adjustRightInd w:val="0"/>
      <w:spacing w:line="360" w:lineRule="auto"/>
      <w:jc w:val="left"/>
      <w:textAlignment w:val="baseline"/>
    </w:pPr>
    <w:rPr>
      <w:sz w:val="36"/>
      <w:szCs w:val="36"/>
    </w:rPr>
  </w:style>
  <w:style w:type="paragraph" w:customStyle="1" w:styleId="982">
    <w:name w:val="成1"/>
    <w:autoRedefine/>
    <w:qFormat/>
    <w:uiPriority w:val="99"/>
    <w:pPr>
      <w:pageBreakBefore/>
      <w:spacing w:beforeLines="50" w:afterLines="50" w:line="360" w:lineRule="auto"/>
      <w:ind w:left="425" w:hanging="425"/>
      <w:jc w:val="center"/>
      <w:outlineLvl w:val="0"/>
    </w:pPr>
    <w:rPr>
      <w:rFonts w:ascii="Calibri" w:hAnsi="Calibri" w:eastAsia="宋体" w:cs="Calibri"/>
      <w:b/>
      <w:bCs/>
      <w:kern w:val="2"/>
      <w:sz w:val="24"/>
      <w:szCs w:val="24"/>
      <w:lang w:val="en-US" w:eastAsia="zh-CN" w:bidi="ar-SA"/>
    </w:rPr>
  </w:style>
  <w:style w:type="paragraph" w:customStyle="1" w:styleId="983">
    <w:name w:val="CM5"/>
    <w:basedOn w:val="116"/>
    <w:next w:val="116"/>
    <w:autoRedefine/>
    <w:qFormat/>
    <w:uiPriority w:val="99"/>
    <w:pPr>
      <w:spacing w:after="200" w:line="180" w:lineRule="atLeast"/>
    </w:pPr>
    <w:rPr>
      <w:rFonts w:ascii="Times New Roman" w:cs="Times New Roman"/>
      <w:color w:val="auto"/>
    </w:rPr>
  </w:style>
  <w:style w:type="paragraph" w:customStyle="1" w:styleId="984">
    <w:name w:val="表格正文居中"/>
    <w:basedOn w:val="1"/>
    <w:autoRedefine/>
    <w:qFormat/>
    <w:uiPriority w:val="99"/>
    <w:pPr>
      <w:jc w:val="center"/>
    </w:pPr>
    <w:rPr>
      <w:rFonts w:ascii="宋体" w:hAnsi="宋体" w:cs="宋体"/>
    </w:rPr>
  </w:style>
  <w:style w:type="paragraph" w:customStyle="1" w:styleId="985">
    <w:name w:val="图"/>
    <w:basedOn w:val="1"/>
    <w:next w:val="1"/>
    <w:autoRedefine/>
    <w:qFormat/>
    <w:uiPriority w:val="99"/>
    <w:pPr>
      <w:spacing w:line="360" w:lineRule="auto"/>
      <w:jc w:val="center"/>
    </w:pPr>
    <w:rPr>
      <w:sz w:val="24"/>
      <w:szCs w:val="24"/>
    </w:rPr>
  </w:style>
  <w:style w:type="paragraph" w:customStyle="1" w:styleId="986">
    <w:name w:val="环境影响评价大纲"/>
    <w:basedOn w:val="1"/>
    <w:autoRedefine/>
    <w:qFormat/>
    <w:uiPriority w:val="99"/>
    <w:pPr>
      <w:adjustRightInd w:val="0"/>
      <w:spacing w:line="315" w:lineRule="atLeast"/>
      <w:jc w:val="center"/>
      <w:textAlignment w:val="baseline"/>
    </w:pPr>
    <w:rPr>
      <w:rFonts w:ascii="宋体" w:eastAsia="黑体" w:cs="宋体"/>
      <w:spacing w:val="24"/>
      <w:kern w:val="0"/>
      <w:sz w:val="84"/>
      <w:szCs w:val="84"/>
    </w:rPr>
  </w:style>
  <w:style w:type="paragraph" w:customStyle="1" w:styleId="987">
    <w:name w:val="表"/>
    <w:basedOn w:val="1"/>
    <w:autoRedefine/>
    <w:qFormat/>
    <w:uiPriority w:val="99"/>
    <w:pPr>
      <w:widowControl/>
      <w:autoSpaceDE w:val="0"/>
      <w:autoSpaceDN w:val="0"/>
      <w:adjustRightInd w:val="0"/>
      <w:snapToGrid w:val="0"/>
      <w:jc w:val="center"/>
    </w:pPr>
    <w:rPr>
      <w:color w:val="000000"/>
      <w:kern w:val="0"/>
      <w:sz w:val="24"/>
      <w:szCs w:val="24"/>
      <w:lang w:val="zh-CN"/>
    </w:rPr>
  </w:style>
  <w:style w:type="paragraph" w:customStyle="1" w:styleId="988">
    <w:name w:val="川岛表格"/>
    <w:basedOn w:val="1"/>
    <w:autoRedefine/>
    <w:qFormat/>
    <w:uiPriority w:val="99"/>
    <w:pPr>
      <w:jc w:val="center"/>
    </w:pPr>
    <w:rPr>
      <w:rFonts w:ascii="宋体" w:hAnsi="宋体" w:cs="宋体"/>
      <w:sz w:val="24"/>
      <w:szCs w:val="24"/>
    </w:rPr>
  </w:style>
  <w:style w:type="paragraph" w:customStyle="1" w:styleId="989">
    <w:name w:val="xl6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990">
    <w:name w:val="Char Char Char Char Char Char Char11"/>
    <w:basedOn w:val="1"/>
    <w:autoRedefine/>
    <w:qFormat/>
    <w:uiPriority w:val="99"/>
  </w:style>
  <w:style w:type="paragraph" w:customStyle="1" w:styleId="991">
    <w:name w:val="Char Char Char1 Char Char Char Char1"/>
    <w:basedOn w:val="1"/>
    <w:autoRedefine/>
    <w:qFormat/>
    <w:uiPriority w:val="99"/>
    <w:rPr>
      <w:sz w:val="24"/>
      <w:szCs w:val="24"/>
    </w:rPr>
  </w:style>
  <w:style w:type="paragraph" w:customStyle="1" w:styleId="992">
    <w:name w:val="港珠澳表格"/>
    <w:basedOn w:val="1"/>
    <w:autoRedefine/>
    <w:qFormat/>
    <w:uiPriority w:val="99"/>
    <w:pPr>
      <w:adjustRightInd w:val="0"/>
      <w:snapToGrid w:val="0"/>
      <w:spacing w:after="60"/>
      <w:jc w:val="center"/>
    </w:pPr>
    <w:rPr>
      <w:sz w:val="24"/>
      <w:szCs w:val="24"/>
    </w:rPr>
  </w:style>
  <w:style w:type="paragraph" w:customStyle="1" w:styleId="993">
    <w:name w:val="Char Char Char1 Char Char Char Char Char Char11"/>
    <w:basedOn w:val="1"/>
    <w:autoRedefine/>
    <w:qFormat/>
    <w:uiPriority w:val="99"/>
    <w:pPr>
      <w:adjustRightInd w:val="0"/>
      <w:spacing w:line="312" w:lineRule="atLeast"/>
      <w:textAlignment w:val="baseline"/>
    </w:pPr>
    <w:rPr>
      <w:kern w:val="0"/>
    </w:rPr>
  </w:style>
  <w:style w:type="paragraph" w:customStyle="1" w:styleId="994">
    <w:name w:val="xl9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3"/>
      <w:szCs w:val="23"/>
    </w:rPr>
  </w:style>
  <w:style w:type="paragraph" w:customStyle="1" w:styleId="995">
    <w:name w:val="样式 标题 1章标题 1h11st levelSection Headl1-*+标题 1 Char + 宋体 四..."/>
    <w:basedOn w:val="3"/>
    <w:autoRedefine/>
    <w:qFormat/>
    <w:uiPriority w:val="99"/>
    <w:pPr>
      <w:numPr>
        <w:ilvl w:val="0"/>
        <w:numId w:val="3"/>
      </w:numPr>
      <w:tabs>
        <w:tab w:val="clear" w:pos="1200"/>
      </w:tabs>
      <w:spacing w:before="0" w:after="0" w:line="480" w:lineRule="exact"/>
      <w:ind w:left="0" w:leftChars="0" w:firstLine="0" w:firstLineChars="0"/>
    </w:pPr>
    <w:rPr>
      <w:rFonts w:ascii="宋体" w:hAnsi="宋体" w:cs="宋体"/>
      <w:b w:val="0"/>
      <w:bCs w:val="0"/>
      <w:kern w:val="0"/>
      <w:sz w:val="28"/>
      <w:szCs w:val="28"/>
    </w:rPr>
  </w:style>
  <w:style w:type="paragraph" w:customStyle="1" w:styleId="996">
    <w:name w:val="表格样式1"/>
    <w:basedOn w:val="1"/>
    <w:autoRedefine/>
    <w:qFormat/>
    <w:uiPriority w:val="99"/>
    <w:pPr>
      <w:adjustRightInd w:val="0"/>
      <w:spacing w:before="60" w:after="60" w:line="40" w:lineRule="atLeast"/>
      <w:jc w:val="center"/>
    </w:pPr>
    <w:rPr>
      <w:kern w:val="0"/>
    </w:rPr>
  </w:style>
  <w:style w:type="paragraph" w:customStyle="1" w:styleId="997">
    <w:name w:val="Char Char Char Char Char Char Char Char Char Char Char Char Char Char Char Char1"/>
    <w:basedOn w:val="1"/>
    <w:autoRedefine/>
    <w:qFormat/>
    <w:uiPriority w:val="99"/>
    <w:pPr>
      <w:tabs>
        <w:tab w:val="left" w:pos="360"/>
      </w:tabs>
      <w:spacing w:line="480" w:lineRule="exact"/>
      <w:ind w:firstLine="560" w:firstLineChars="200"/>
    </w:pPr>
    <w:rPr>
      <w:sz w:val="28"/>
      <w:szCs w:val="28"/>
    </w:rPr>
  </w:style>
  <w:style w:type="paragraph" w:customStyle="1" w:styleId="998">
    <w:name w:val="xl389"/>
    <w:basedOn w:val="1"/>
    <w:autoRedefine/>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999">
    <w:name w:val="Char Char1 Char Char Char Char"/>
    <w:basedOn w:val="1"/>
    <w:autoRedefine/>
    <w:qFormat/>
    <w:uiPriority w:val="99"/>
    <w:pPr>
      <w:tabs>
        <w:tab w:val="left" w:pos="425"/>
      </w:tabs>
      <w:spacing w:after="200" w:line="276" w:lineRule="auto"/>
      <w:ind w:left="425" w:hanging="425"/>
    </w:pPr>
  </w:style>
  <w:style w:type="paragraph" w:customStyle="1" w:styleId="1000">
    <w:name w:val="正文20"/>
    <w:basedOn w:val="21"/>
    <w:autoRedefine/>
    <w:qFormat/>
    <w:uiPriority w:val="99"/>
    <w:pPr>
      <w:spacing w:before="60" w:after="60" w:line="400" w:lineRule="exact"/>
      <w:ind w:firstLine="482" w:firstLineChars="0"/>
    </w:pPr>
    <w:rPr>
      <w:spacing w:val="4"/>
      <w:kern w:val="0"/>
      <w:sz w:val="28"/>
      <w:szCs w:val="28"/>
    </w:rPr>
  </w:style>
  <w:style w:type="paragraph" w:customStyle="1" w:styleId="1001">
    <w:name w:val="Heading 61"/>
    <w:basedOn w:val="1"/>
    <w:autoRedefine/>
    <w:qFormat/>
    <w:uiPriority w:val="99"/>
    <w:pPr>
      <w:autoSpaceDE w:val="0"/>
      <w:autoSpaceDN w:val="0"/>
      <w:adjustRightInd w:val="0"/>
      <w:spacing w:after="200" w:line="276" w:lineRule="auto"/>
      <w:ind w:left="2"/>
      <w:jc w:val="left"/>
      <w:outlineLvl w:val="5"/>
    </w:pPr>
    <w:rPr>
      <w:rFonts w:ascii="黑体" w:eastAsia="黑体" w:cs="黑体"/>
      <w:kern w:val="0"/>
      <w:sz w:val="30"/>
      <w:szCs w:val="30"/>
    </w:rPr>
  </w:style>
  <w:style w:type="paragraph" w:customStyle="1" w:styleId="1002">
    <w:name w:val="样式 首行缩进 + 五号 居中"/>
    <w:basedOn w:val="1"/>
    <w:autoRedefine/>
    <w:semiHidden/>
    <w:qFormat/>
    <w:uiPriority w:val="99"/>
    <w:pPr>
      <w:adjustRightInd w:val="0"/>
      <w:snapToGrid w:val="0"/>
      <w:spacing w:line="360" w:lineRule="exact"/>
      <w:jc w:val="center"/>
    </w:pPr>
    <w:rPr>
      <w:kern w:val="0"/>
    </w:rPr>
  </w:style>
  <w:style w:type="paragraph" w:customStyle="1" w:styleId="1003">
    <w:name w:val="Report Text"/>
    <w:autoRedefine/>
    <w:qFormat/>
    <w:uiPriority w:val="99"/>
    <w:pPr>
      <w:suppressAutoHyphens/>
      <w:spacing w:after="180" w:line="260" w:lineRule="atLeast"/>
      <w:ind w:left="1253"/>
      <w:jc w:val="both"/>
    </w:pPr>
    <w:rPr>
      <w:rFonts w:ascii="Arial" w:hAnsi="Arial" w:eastAsia="宋体" w:cs="Arial"/>
      <w:sz w:val="22"/>
      <w:szCs w:val="22"/>
      <w:lang w:val="en-GB" w:eastAsia="ar-SA" w:bidi="ar-SA"/>
    </w:rPr>
  </w:style>
  <w:style w:type="paragraph" w:customStyle="1" w:styleId="1004">
    <w:name w:val="Char Char Char1 Char Char Char Char"/>
    <w:basedOn w:val="1"/>
    <w:autoRedefine/>
    <w:qFormat/>
    <w:uiPriority w:val="99"/>
    <w:rPr>
      <w:sz w:val="24"/>
      <w:szCs w:val="24"/>
    </w:rPr>
  </w:style>
  <w:style w:type="paragraph" w:customStyle="1" w:styleId="1005">
    <w:name w:val="委托书标题"/>
    <w:basedOn w:val="828"/>
    <w:autoRedefine/>
    <w:qFormat/>
    <w:uiPriority w:val="99"/>
    <w:rPr>
      <w:rFonts w:eastAsia="黑体"/>
    </w:rPr>
  </w:style>
  <w:style w:type="paragraph" w:customStyle="1" w:styleId="1006">
    <w:name w:val="xl6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2"/>
      <w:szCs w:val="22"/>
    </w:rPr>
  </w:style>
  <w:style w:type="paragraph" w:customStyle="1" w:styleId="1007">
    <w:name w:val="标题 3李洪"/>
    <w:basedOn w:val="1"/>
    <w:autoRedefine/>
    <w:qFormat/>
    <w:uiPriority w:val="99"/>
    <w:pPr>
      <w:numPr>
        <w:ilvl w:val="2"/>
        <w:numId w:val="5"/>
      </w:numPr>
      <w:tabs>
        <w:tab w:val="left" w:pos="567"/>
        <w:tab w:val="left" w:pos="1200"/>
      </w:tabs>
    </w:pPr>
  </w:style>
  <w:style w:type="paragraph" w:customStyle="1" w:styleId="1008">
    <w:name w:val="Char Char Char1 Char Char Char Char Char Char Char Char Char Char1"/>
    <w:basedOn w:val="1"/>
    <w:autoRedefine/>
    <w:qFormat/>
    <w:uiPriority w:val="99"/>
    <w:rPr>
      <w:sz w:val="24"/>
      <w:szCs w:val="24"/>
    </w:rPr>
  </w:style>
  <w:style w:type="paragraph" w:customStyle="1" w:styleId="1009">
    <w:name w:val="Char Char Char1 Char Char Char Char Char Char Char Char Char1"/>
    <w:basedOn w:val="1"/>
    <w:autoRedefine/>
    <w:qFormat/>
    <w:uiPriority w:val="99"/>
    <w:pPr>
      <w:adjustRightInd w:val="0"/>
      <w:spacing w:line="312" w:lineRule="atLeast"/>
      <w:textAlignment w:val="baseline"/>
    </w:pPr>
    <w:rPr>
      <w:kern w:val="0"/>
    </w:rPr>
  </w:style>
  <w:style w:type="paragraph" w:customStyle="1" w:styleId="1010">
    <w:name w:val="Char1 Char Char Char Char Char Char"/>
    <w:basedOn w:val="1"/>
    <w:autoRedefine/>
    <w:qFormat/>
    <w:uiPriority w:val="99"/>
    <w:rPr>
      <w:sz w:val="24"/>
      <w:szCs w:val="24"/>
    </w:rPr>
  </w:style>
  <w:style w:type="paragraph" w:customStyle="1" w:styleId="1011">
    <w:name w:val="p10"/>
    <w:basedOn w:val="1"/>
    <w:autoRedefine/>
    <w:semiHidden/>
    <w:qFormat/>
    <w:uiPriority w:val="99"/>
    <w:pPr>
      <w:widowControl/>
      <w:spacing w:before="100" w:beforeAutospacing="1" w:after="100" w:afterAutospacing="1"/>
      <w:jc w:val="left"/>
    </w:pPr>
    <w:rPr>
      <w:rFonts w:ascii="宋体" w:hAnsi="宋体" w:cs="宋体"/>
      <w:kern w:val="0"/>
    </w:rPr>
  </w:style>
  <w:style w:type="paragraph" w:customStyle="1" w:styleId="1012">
    <w:name w:val="样式 标题 3 + 四号 段前: 0 磅 段后: 0 磅 行距: 1.5 倍行距 Char"/>
    <w:basedOn w:val="5"/>
    <w:autoRedefine/>
    <w:qFormat/>
    <w:uiPriority w:val="99"/>
    <w:pPr>
      <w:tabs>
        <w:tab w:val="left" w:pos="660"/>
      </w:tabs>
      <w:adjustRightInd w:val="0"/>
      <w:spacing w:before="0" w:after="0" w:line="360" w:lineRule="auto"/>
      <w:ind w:firstLine="0" w:firstLineChars="0"/>
      <w:textAlignment w:val="baseline"/>
    </w:pPr>
    <w:rPr>
      <w:rFonts w:ascii="Times New Roman" w:hAnsi="Times New Roman" w:eastAsia="宋体" w:cs="Times New Roman"/>
      <w:kern w:val="0"/>
    </w:rPr>
  </w:style>
  <w:style w:type="paragraph" w:customStyle="1" w:styleId="1013">
    <w:name w:val="Char Char Char Char Char Char Char Char Char Char Char Char Char Char Char Char Char Char Char Char Char Char"/>
    <w:basedOn w:val="1"/>
    <w:autoRedefine/>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014">
    <w:name w:val="成2"/>
    <w:autoRedefine/>
    <w:qFormat/>
    <w:uiPriority w:val="99"/>
    <w:pPr>
      <w:tabs>
        <w:tab w:val="left" w:pos="567"/>
      </w:tabs>
      <w:spacing w:before="156" w:after="156" w:line="360" w:lineRule="auto"/>
      <w:ind w:left="567" w:hanging="567"/>
      <w:outlineLvl w:val="1"/>
    </w:pPr>
    <w:rPr>
      <w:rFonts w:ascii="Calibri" w:hAnsi="Calibri" w:eastAsia="宋体" w:cs="Calibri"/>
      <w:b/>
      <w:bCs/>
      <w:kern w:val="2"/>
      <w:sz w:val="24"/>
      <w:szCs w:val="24"/>
      <w:lang w:val="en-US" w:eastAsia="zh-CN" w:bidi="ar-SA"/>
    </w:rPr>
  </w:style>
  <w:style w:type="paragraph" w:customStyle="1" w:styleId="1015">
    <w:name w:val="xl5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1016">
    <w:name w:val="tiao"/>
    <w:basedOn w:val="1"/>
    <w:autoRedefine/>
    <w:qFormat/>
    <w:uiPriority w:val="99"/>
    <w:pPr>
      <w:autoSpaceDE w:val="0"/>
      <w:autoSpaceDN w:val="0"/>
      <w:adjustRightInd w:val="0"/>
      <w:spacing w:line="360" w:lineRule="atLeast"/>
      <w:ind w:left="964" w:hanging="964"/>
    </w:pPr>
    <w:rPr>
      <w:rFonts w:ascii="宋体" w:hAnsi="Tms Rmn" w:cs="宋体"/>
      <w:kern w:val="0"/>
      <w:sz w:val="24"/>
      <w:szCs w:val="24"/>
    </w:rPr>
  </w:style>
  <w:style w:type="paragraph" w:customStyle="1" w:styleId="1017">
    <w:name w:val="AOHead3"/>
    <w:basedOn w:val="1"/>
    <w:next w:val="1"/>
    <w:autoRedefine/>
    <w:qFormat/>
    <w:uiPriority w:val="99"/>
    <w:pPr>
      <w:widowControl/>
      <w:snapToGrid w:val="0"/>
      <w:spacing w:after="200" w:line="360" w:lineRule="auto"/>
      <w:ind w:left="1260" w:leftChars="600"/>
      <w:outlineLvl w:val="2"/>
    </w:pPr>
    <w:rPr>
      <w:rFonts w:ascii="宋体" w:hAnsi="宋体" w:cs="宋体"/>
      <w:color w:val="0000FF"/>
      <w:kern w:val="0"/>
      <w:sz w:val="24"/>
      <w:szCs w:val="24"/>
    </w:rPr>
  </w:style>
  <w:style w:type="paragraph" w:customStyle="1" w:styleId="1018">
    <w:name w:val="Char Char Char Char Char Char Char Char Char Char Char Char Char1"/>
    <w:basedOn w:val="1"/>
    <w:autoRedefine/>
    <w:qFormat/>
    <w:uiPriority w:val="99"/>
    <w:pPr>
      <w:adjustRightInd w:val="0"/>
      <w:snapToGrid w:val="0"/>
      <w:spacing w:line="480" w:lineRule="exact"/>
      <w:ind w:firstLine="200" w:firstLineChars="200"/>
    </w:pPr>
    <w:rPr>
      <w:sz w:val="24"/>
      <w:szCs w:val="24"/>
    </w:rPr>
  </w:style>
  <w:style w:type="paragraph" w:customStyle="1" w:styleId="1019">
    <w:name w:val="xl25"/>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020">
    <w:name w:val="xl8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18"/>
      <w:szCs w:val="18"/>
    </w:rPr>
  </w:style>
  <w:style w:type="paragraph" w:customStyle="1" w:styleId="1021">
    <w:name w:val="A"/>
    <w:basedOn w:val="1"/>
    <w:autoRedefine/>
    <w:qFormat/>
    <w:uiPriority w:val="99"/>
    <w:pPr>
      <w:adjustRightInd w:val="0"/>
      <w:spacing w:line="480" w:lineRule="atLeast"/>
      <w:jc w:val="center"/>
      <w:textAlignment w:val="baseline"/>
    </w:pPr>
    <w:rPr>
      <w:rFonts w:ascii="宋体" w:cs="宋体"/>
      <w:kern w:val="0"/>
      <w:sz w:val="32"/>
      <w:szCs w:val="32"/>
    </w:rPr>
  </w:style>
  <w:style w:type="paragraph" w:customStyle="1" w:styleId="1022">
    <w:name w:val="CM17"/>
    <w:basedOn w:val="116"/>
    <w:next w:val="116"/>
    <w:autoRedefine/>
    <w:qFormat/>
    <w:uiPriority w:val="99"/>
    <w:rPr>
      <w:rFonts w:ascii="Arial" w:hAnsi="Arial" w:cs="Arial"/>
      <w:color w:val="auto"/>
    </w:rPr>
  </w:style>
  <w:style w:type="paragraph" w:customStyle="1" w:styleId="1023">
    <w:name w:val="xl4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color w:val="000000"/>
      <w:kern w:val="0"/>
      <w:sz w:val="22"/>
      <w:szCs w:val="22"/>
    </w:rPr>
  </w:style>
  <w:style w:type="paragraph" w:customStyle="1" w:styleId="1024">
    <w:name w:val="标题33"/>
    <w:basedOn w:val="1"/>
    <w:autoRedefine/>
    <w:qFormat/>
    <w:uiPriority w:val="99"/>
    <w:pPr>
      <w:spacing w:after="200" w:line="520" w:lineRule="exact"/>
      <w:ind w:firstLine="200" w:firstLineChars="200"/>
      <w:jc w:val="left"/>
    </w:pPr>
    <w:rPr>
      <w:rFonts w:ascii="宋体" w:cs="宋体"/>
      <w:color w:val="FF0000"/>
      <w:kern w:val="0"/>
      <w:sz w:val="28"/>
      <w:szCs w:val="28"/>
    </w:rPr>
  </w:style>
  <w:style w:type="paragraph" w:customStyle="1" w:styleId="1025">
    <w:name w:val="xl103"/>
    <w:basedOn w:val="1"/>
    <w:autoRedefine/>
    <w:qFormat/>
    <w:uiPriority w:val="99"/>
    <w:pPr>
      <w:widowControl/>
      <w:spacing w:before="100" w:beforeAutospacing="1" w:after="100" w:afterAutospacing="1"/>
      <w:jc w:val="center"/>
    </w:pPr>
    <w:rPr>
      <w:rFonts w:ascii="?" w:hAnsi="宋体" w:eastAsia="?" w:cs="?"/>
      <w:b/>
      <w:bCs/>
      <w:color w:val="000000"/>
      <w:kern w:val="0"/>
      <w:sz w:val="24"/>
      <w:szCs w:val="24"/>
    </w:rPr>
  </w:style>
  <w:style w:type="paragraph" w:customStyle="1" w:styleId="1026">
    <w:name w:val="标题 2李洪"/>
    <w:basedOn w:val="1"/>
    <w:autoRedefine/>
    <w:qFormat/>
    <w:uiPriority w:val="99"/>
    <w:pPr>
      <w:numPr>
        <w:ilvl w:val="1"/>
        <w:numId w:val="5"/>
      </w:numPr>
      <w:tabs>
        <w:tab w:val="left" w:pos="993"/>
        <w:tab w:val="left" w:pos="1200"/>
        <w:tab w:val="left" w:pos="1844"/>
      </w:tabs>
      <w:ind w:left="1277"/>
    </w:pPr>
  </w:style>
  <w:style w:type="paragraph" w:customStyle="1" w:styleId="1027">
    <w:name w:val="CM70"/>
    <w:basedOn w:val="1"/>
    <w:next w:val="1"/>
    <w:autoRedefine/>
    <w:qFormat/>
    <w:uiPriority w:val="99"/>
    <w:pPr>
      <w:autoSpaceDE w:val="0"/>
      <w:autoSpaceDN w:val="0"/>
      <w:adjustRightInd w:val="0"/>
      <w:spacing w:after="470"/>
      <w:jc w:val="left"/>
    </w:pPr>
    <w:rPr>
      <w:rFonts w:ascii="Fang Song" w:eastAsia="Fang Song" w:cs="Fang Song"/>
      <w:kern w:val="0"/>
      <w:sz w:val="24"/>
      <w:szCs w:val="24"/>
    </w:rPr>
  </w:style>
  <w:style w:type="paragraph" w:customStyle="1" w:styleId="1028">
    <w:name w:val="Char Char Char1 Char Char Char Char Char Char"/>
    <w:basedOn w:val="1"/>
    <w:autoRedefine/>
    <w:qFormat/>
    <w:uiPriority w:val="99"/>
    <w:pPr>
      <w:adjustRightInd w:val="0"/>
      <w:spacing w:line="312" w:lineRule="atLeast"/>
      <w:textAlignment w:val="baseline"/>
    </w:pPr>
    <w:rPr>
      <w:kern w:val="0"/>
    </w:rPr>
  </w:style>
  <w:style w:type="paragraph" w:customStyle="1" w:styleId="1029">
    <w:name w:val="大标题"/>
    <w:basedOn w:val="1"/>
    <w:autoRedefine/>
    <w:qFormat/>
    <w:uiPriority w:val="99"/>
    <w:pPr>
      <w:autoSpaceDE w:val="0"/>
      <w:autoSpaceDN w:val="0"/>
      <w:adjustRightInd w:val="0"/>
      <w:spacing w:after="560" w:line="276" w:lineRule="auto"/>
      <w:jc w:val="center"/>
    </w:pPr>
    <w:rPr>
      <w:rFonts w:ascii="Arial Black" w:hAnsi="Arial Black" w:cs="Arial Black"/>
      <w:b/>
      <w:bCs/>
      <w:kern w:val="0"/>
      <w:sz w:val="56"/>
      <w:szCs w:val="56"/>
    </w:rPr>
  </w:style>
  <w:style w:type="paragraph" w:customStyle="1" w:styleId="1030">
    <w:name w:val="TOC 标题1"/>
    <w:basedOn w:val="3"/>
    <w:next w:val="1"/>
    <w:autoRedefine/>
    <w:qFormat/>
    <w:uiPriority w:val="99"/>
    <w:pPr>
      <w:widowControl/>
      <w:spacing w:before="480" w:after="0" w:line="276" w:lineRule="auto"/>
      <w:jc w:val="left"/>
      <w:outlineLvl w:val="9"/>
    </w:pPr>
    <w:rPr>
      <w:rFonts w:ascii="Cambria" w:hAnsi="Cambria" w:cs="Cambria"/>
      <w:color w:val="365F91"/>
      <w:kern w:val="0"/>
      <w:sz w:val="28"/>
      <w:szCs w:val="28"/>
      <w:lang w:eastAsia="en-US"/>
    </w:rPr>
  </w:style>
  <w:style w:type="paragraph" w:customStyle="1" w:styleId="1031">
    <w:name w:val="ST20-2"/>
    <w:basedOn w:val="1"/>
    <w:autoRedefine/>
    <w:qFormat/>
    <w:uiPriority w:val="99"/>
    <w:pPr>
      <w:tabs>
        <w:tab w:val="left" w:pos="425"/>
        <w:tab w:val="left" w:pos="567"/>
        <w:tab w:val="left" w:pos="720"/>
      </w:tabs>
      <w:adjustRightInd w:val="0"/>
      <w:snapToGrid w:val="0"/>
      <w:spacing w:after="120" w:line="300" w:lineRule="auto"/>
      <w:ind w:left="1247" w:hanging="425"/>
    </w:pPr>
    <w:rPr>
      <w:rFonts w:ascii="宋体" w:hAnsi="Arial" w:cs="宋体"/>
      <w:sz w:val="24"/>
      <w:szCs w:val="24"/>
    </w:rPr>
  </w:style>
  <w:style w:type="paragraph" w:customStyle="1" w:styleId="1032">
    <w:name w:val="_Style 42"/>
    <w:basedOn w:val="1"/>
    <w:autoRedefine/>
    <w:qFormat/>
    <w:uiPriority w:val="99"/>
    <w:pPr>
      <w:spacing w:after="200" w:line="276" w:lineRule="auto"/>
      <w:ind w:firstLine="360" w:firstLineChars="150"/>
    </w:pPr>
    <w:rPr>
      <w:rFonts w:ascii="Tahoma" w:hAnsi="Tahoma" w:cs="Tahoma"/>
      <w:sz w:val="24"/>
      <w:szCs w:val="24"/>
    </w:rPr>
  </w:style>
  <w:style w:type="paragraph" w:customStyle="1" w:styleId="1033">
    <w:name w:val="正文3"/>
    <w:autoRedefine/>
    <w:qFormat/>
    <w:uiPriority w:val="99"/>
    <w:pPr>
      <w:widowControl w:val="0"/>
      <w:adjustRightInd w:val="0"/>
      <w:spacing w:line="312" w:lineRule="atLeast"/>
      <w:jc w:val="both"/>
      <w:textAlignment w:val="baseline"/>
    </w:pPr>
    <w:rPr>
      <w:rFonts w:ascii="Calibri" w:hAnsi="Calibri" w:eastAsia="宋体" w:cs="Calibri"/>
      <w:lang w:val="en-US" w:eastAsia="zh-CN" w:bidi="ar-SA"/>
    </w:rPr>
  </w:style>
  <w:style w:type="paragraph" w:customStyle="1" w:styleId="1034">
    <w:name w:val="样式 五号 + 加粗"/>
    <w:basedOn w:val="617"/>
    <w:autoRedefine/>
    <w:semiHidden/>
    <w:qFormat/>
    <w:uiPriority w:val="99"/>
    <w:pPr>
      <w:ind w:firstLine="350" w:firstLineChars="350"/>
    </w:pPr>
    <w:rPr>
      <w:b/>
      <w:bCs/>
    </w:rPr>
  </w:style>
  <w:style w:type="paragraph" w:customStyle="1" w:styleId="1035">
    <w:name w:val="xl88"/>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pPr>
    <w:rPr>
      <w:rFonts w:ascii="宋体" w:hAnsi="宋体" w:cs="宋体"/>
      <w:color w:val="000000"/>
      <w:kern w:val="0"/>
      <w:sz w:val="18"/>
      <w:szCs w:val="18"/>
    </w:rPr>
  </w:style>
  <w:style w:type="paragraph" w:customStyle="1" w:styleId="1036">
    <w:name w:val="样式 标题 1章标题 1-*+h11st levelSection Headl1标题 1 Char标题 1 Ch...4"/>
    <w:basedOn w:val="3"/>
    <w:autoRedefine/>
    <w:qFormat/>
    <w:uiPriority w:val="99"/>
    <w:pPr>
      <w:tabs>
        <w:tab w:val="left" w:pos="425"/>
      </w:tabs>
      <w:spacing w:beforeLines="50" w:afterLines="50" w:line="480" w:lineRule="exact"/>
      <w:ind w:left="425" w:hanging="425"/>
      <w:jc w:val="left"/>
    </w:pPr>
    <w:rPr>
      <w:rFonts w:hAnsi="宋体"/>
      <w:color w:val="0000FF"/>
      <w:sz w:val="28"/>
      <w:szCs w:val="28"/>
    </w:rPr>
  </w:style>
  <w:style w:type="paragraph" w:customStyle="1" w:styleId="1037">
    <w:name w:val="普通 (Web)"/>
    <w:basedOn w:val="1"/>
    <w:autoRedefine/>
    <w:qFormat/>
    <w:uiPriority w:val="99"/>
    <w:pPr>
      <w:adjustRightInd w:val="0"/>
      <w:spacing w:line="360" w:lineRule="atLeast"/>
      <w:jc w:val="left"/>
      <w:textAlignment w:val="baseline"/>
    </w:pPr>
    <w:rPr>
      <w:kern w:val="0"/>
      <w:sz w:val="24"/>
      <w:szCs w:val="24"/>
    </w:rPr>
  </w:style>
  <w:style w:type="paragraph" w:customStyle="1" w:styleId="1038">
    <w:name w:val="Char Char Char111"/>
    <w:basedOn w:val="1"/>
    <w:autoRedefine/>
    <w:qFormat/>
    <w:uiPriority w:val="99"/>
    <w:rPr>
      <w:sz w:val="24"/>
      <w:szCs w:val="24"/>
    </w:rPr>
  </w:style>
  <w:style w:type="paragraph" w:customStyle="1" w:styleId="1039">
    <w:name w:val="Char Char Char1 Char Char Char Char Char Char1"/>
    <w:basedOn w:val="1"/>
    <w:autoRedefine/>
    <w:qFormat/>
    <w:uiPriority w:val="99"/>
    <w:pPr>
      <w:adjustRightInd w:val="0"/>
      <w:spacing w:line="312" w:lineRule="atLeast"/>
      <w:textAlignment w:val="baseline"/>
    </w:pPr>
    <w:rPr>
      <w:kern w:val="0"/>
    </w:rPr>
  </w:style>
  <w:style w:type="paragraph" w:customStyle="1" w:styleId="1040">
    <w:name w:val="表标题"/>
    <w:basedOn w:val="1"/>
    <w:autoRedefine/>
    <w:qFormat/>
    <w:uiPriority w:val="99"/>
    <w:pPr>
      <w:keepNext/>
      <w:adjustRightInd w:val="0"/>
      <w:snapToGrid w:val="0"/>
      <w:spacing w:beforeLines="20" w:afterLines="20" w:line="440" w:lineRule="atLeast"/>
      <w:jc w:val="center"/>
      <w:textAlignment w:val="baseline"/>
    </w:pPr>
    <w:rPr>
      <w:kern w:val="0"/>
      <w:sz w:val="24"/>
      <w:szCs w:val="24"/>
    </w:rPr>
  </w:style>
  <w:style w:type="paragraph" w:customStyle="1" w:styleId="1041">
    <w:name w:val="标题1 Char Char Char"/>
    <w:basedOn w:val="3"/>
    <w:autoRedefine/>
    <w:qFormat/>
    <w:uiPriority w:val="99"/>
    <w:pPr>
      <w:tabs>
        <w:tab w:val="center" w:pos="4512"/>
        <w:tab w:val="center" w:pos="4606"/>
      </w:tabs>
      <w:adjustRightInd w:val="0"/>
      <w:snapToGrid w:val="0"/>
      <w:spacing w:before="0" w:afterLines="50" w:line="360" w:lineRule="auto"/>
      <w:textAlignment w:val="baseline"/>
    </w:pPr>
    <w:rPr>
      <w:sz w:val="24"/>
      <w:szCs w:val="24"/>
    </w:rPr>
  </w:style>
  <w:style w:type="paragraph" w:customStyle="1" w:styleId="1042">
    <w:name w:val="风电小表"/>
    <w:basedOn w:val="773"/>
    <w:autoRedefine/>
    <w:qFormat/>
    <w:uiPriority w:val="99"/>
    <w:pPr>
      <w:spacing w:line="220" w:lineRule="exact"/>
      <w:jc w:val="center"/>
    </w:pPr>
    <w:rPr>
      <w:kern w:val="0"/>
    </w:rPr>
  </w:style>
  <w:style w:type="paragraph" w:customStyle="1" w:styleId="1043">
    <w:name w:val="Char Char Char Char1 Char Char Char Char Char Char"/>
    <w:basedOn w:val="26"/>
    <w:autoRedefine/>
    <w:qFormat/>
    <w:uiPriority w:val="99"/>
    <w:pPr>
      <w:spacing w:line="436" w:lineRule="exact"/>
    </w:pPr>
  </w:style>
  <w:style w:type="paragraph" w:customStyle="1" w:styleId="1044">
    <w:name w:val="徐京伦－－标题1"/>
    <w:basedOn w:val="4"/>
    <w:next w:val="1"/>
    <w:autoRedefine/>
    <w:qFormat/>
    <w:uiPriority w:val="99"/>
    <w:pPr>
      <w:keepLines w:val="0"/>
      <w:numPr>
        <w:ilvl w:val="1"/>
        <w:numId w:val="8"/>
      </w:numPr>
      <w:tabs>
        <w:tab w:val="left" w:pos="567"/>
        <w:tab w:val="left" w:pos="2040"/>
      </w:tabs>
      <w:adjustRightInd w:val="0"/>
      <w:spacing w:before="120" w:after="120" w:line="360" w:lineRule="auto"/>
      <w:ind w:left="567" w:right="-1055" w:hanging="567"/>
      <w:jc w:val="left"/>
      <w:textAlignment w:val="baseline"/>
    </w:pPr>
    <w:rPr>
      <w:rFonts w:ascii="Times New Roman" w:hAnsi="Times New Roman" w:cs="Times New Roman"/>
      <w:color w:val="000000"/>
      <w:spacing w:val="2"/>
      <w:sz w:val="24"/>
      <w:szCs w:val="24"/>
      <w:lang w:val="zh-CN"/>
    </w:rPr>
  </w:style>
  <w:style w:type="table" w:customStyle="1" w:styleId="1045">
    <w:name w:val="网格型2"/>
    <w:autoRedefine/>
    <w:qFormat/>
    <w:uiPriority w:val="99"/>
    <w:pPr>
      <w:widowControl w:val="0"/>
      <w:jc w:val="both"/>
    </w:pPr>
    <w:rPr>
      <w:rFonts w:cs="Calibri"/>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46">
    <w:name w:val="常规1"/>
    <w:autoRedefine/>
    <w:qFormat/>
    <w:uiPriority w:val="99"/>
    <w:pPr>
      <w:spacing w:before="100" w:beforeAutospacing="1" w:after="100" w:afterAutospacing="1"/>
    </w:pPr>
    <w:rPr>
      <w:rFonts w:ascii="宋体" w:hAnsi="宋体" w:cs="宋体"/>
      <w:lang w:val="en-US" w:eastAsia="zh-CN" w:bidi="ar-SA"/>
    </w:rPr>
    <w:tblPr>
      <w:tblCellMar>
        <w:top w:w="0" w:type="dxa"/>
        <w:left w:w="0" w:type="dxa"/>
        <w:bottom w:w="0" w:type="dxa"/>
        <w:right w:w="0" w:type="dxa"/>
      </w:tblCellMar>
    </w:tblPr>
  </w:style>
  <w:style w:type="table" w:customStyle="1" w:styleId="1047">
    <w:name w:val="网格型1"/>
    <w:autoRedefine/>
    <w:qFormat/>
    <w:uiPriority w:val="99"/>
    <w:pPr>
      <w:widowControl w:val="0"/>
      <w:adjustRightInd w:val="0"/>
      <w:spacing w:line="360" w:lineRule="atLeast"/>
      <w:textAlignment w:val="baseline"/>
    </w:pPr>
    <w:rPr>
      <w:rFonts w:cs="Calibri"/>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48">
    <w:name w:val="正文_0"/>
    <w:autoRedefine/>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1049">
    <w:name w:val="协议书标题2"/>
    <w:basedOn w:val="4"/>
    <w:next w:val="1"/>
    <w:autoRedefine/>
    <w:qFormat/>
    <w:uiPriority w:val="0"/>
    <w:pPr>
      <w:keepNext w:val="0"/>
      <w:keepLines w:val="0"/>
      <w:numPr>
        <w:ilvl w:val="0"/>
        <w:numId w:val="11"/>
      </w:numPr>
      <w:tabs>
        <w:tab w:val="left" w:pos="567"/>
      </w:tabs>
      <w:spacing w:line="360" w:lineRule="auto"/>
      <w:ind w:firstLine="0" w:firstLineChars="0"/>
      <w:jc w:val="left"/>
    </w:pPr>
    <w:rPr>
      <w:rFonts w:ascii="宋体" w:hAnsi="宋体" w:eastAsia="宋体"/>
      <w:sz w:val="24"/>
    </w:rPr>
  </w:style>
  <w:style w:type="paragraph" w:customStyle="1" w:styleId="1050">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051">
    <w:name w:val="通用标题2"/>
    <w:basedOn w:val="4"/>
    <w:next w:val="1"/>
    <w:autoRedefine/>
    <w:qFormat/>
    <w:uiPriority w:val="0"/>
    <w:pPr>
      <w:keepNext w:val="0"/>
      <w:keepLines w:val="0"/>
      <w:numPr>
        <w:ilvl w:val="0"/>
        <w:numId w:val="12"/>
      </w:numPr>
      <w:tabs>
        <w:tab w:val="left" w:pos="993"/>
      </w:tabs>
      <w:spacing w:line="360" w:lineRule="auto"/>
      <w:ind w:firstLineChars="0"/>
    </w:pPr>
    <w:rPr>
      <w:rFonts w:ascii="黑体" w:hAnsi="黑体"/>
    </w:rPr>
  </w:style>
  <w:style w:type="paragraph" w:customStyle="1" w:styleId="1052">
    <w:name w:val="通用标题3"/>
    <w:next w:val="1"/>
    <w:autoRedefine/>
    <w:qFormat/>
    <w:uiPriority w:val="0"/>
    <w:pPr>
      <w:widowControl w:val="0"/>
      <w:numPr>
        <w:ilvl w:val="1"/>
        <w:numId w:val="13"/>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053">
    <w:name w:val="通用标题4"/>
    <w:next w:val="1"/>
    <w:autoRedefine/>
    <w:qFormat/>
    <w:uiPriority w:val="0"/>
    <w:pPr>
      <w:numPr>
        <w:ilvl w:val="2"/>
        <w:numId w:val="13"/>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054">
    <w:name w:val="通用标题5"/>
    <w:autoRedefine/>
    <w:qFormat/>
    <w:uiPriority w:val="0"/>
    <w:pPr>
      <w:widowControl w:val="0"/>
      <w:numPr>
        <w:ilvl w:val="3"/>
        <w:numId w:val="13"/>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055">
    <w:name w:val="通用标题6"/>
    <w:basedOn w:val="1"/>
    <w:autoRedefine/>
    <w:qFormat/>
    <w:uiPriority w:val="0"/>
    <w:pPr>
      <w:numPr>
        <w:ilvl w:val="4"/>
        <w:numId w:val="14"/>
      </w:numPr>
      <w:tabs>
        <w:tab w:val="left" w:pos="993"/>
      </w:tabs>
      <w:wordWrap/>
      <w:topLinePunct w:val="0"/>
      <w:ind w:firstLine="0" w:firstLineChars="0"/>
    </w:pPr>
  </w:style>
  <w:style w:type="paragraph" w:customStyle="1" w:styleId="1056">
    <w:name w:val="专用标题2"/>
    <w:basedOn w:val="4"/>
    <w:next w:val="1"/>
    <w:autoRedefine/>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 w:type="paragraph" w:customStyle="1" w:styleId="1057">
    <w:name w:val="附件标题"/>
    <w:basedOn w:val="4"/>
    <w:next w:val="1"/>
    <w:autoRedefine/>
    <w:qFormat/>
    <w:uiPriority w:val="0"/>
    <w:pPr>
      <w:numPr>
        <w:ilvl w:val="0"/>
        <w:numId w:val="15"/>
      </w:numPr>
      <w:tabs>
        <w:tab w:val="left" w:pos="1134"/>
      </w:tabs>
      <w:spacing w:line="360" w:lineRule="auto"/>
      <w:ind w:firstLine="0" w:firstLineChars="0"/>
      <w:jc w:val="center"/>
    </w:pPr>
    <w:rPr>
      <w:rFonts w:ascii="黑体" w:hAnsi="黑体"/>
      <w:sz w:val="30"/>
      <w:szCs w:val="30"/>
    </w:rPr>
  </w:style>
  <w:style w:type="paragraph" w:styleId="1058">
    <w:name w:val="List Paragraph"/>
    <w:basedOn w:val="1"/>
    <w:autoRedefine/>
    <w:qFormat/>
    <w:uiPriority w:val="34"/>
    <w:pPr>
      <w:ind w:firstLine="420" w:firstLineChars="200"/>
    </w:pPr>
  </w:style>
  <w:style w:type="paragraph" w:customStyle="1" w:styleId="1059">
    <w:name w:val="Char Char71"/>
    <w:basedOn w:val="1"/>
    <w:autoRedefine/>
    <w:qFormat/>
    <w:uiPriority w:val="0"/>
    <w:pPr>
      <w:widowControl/>
      <w:adjustRightInd w:val="0"/>
      <w:snapToGrid w:val="0"/>
      <w:spacing w:line="360" w:lineRule="auto"/>
      <w:ind w:firstLine="200" w:firstLineChars="200"/>
      <w:jc w:val="left"/>
    </w:pPr>
    <w:rPr>
      <w:rFonts w:ascii="宋体" w:hAnsi="宋体" w:cs="宋体" w:eastAsiaTheme="minorEastAsia"/>
      <w:kern w:val="0"/>
      <w:sz w:val="24"/>
      <w:szCs w:val="22"/>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6.wmf"/><Relationship Id="rId24" Type="http://schemas.openxmlformats.org/officeDocument/2006/relationships/oleObject" Target="embeddings/oleObject5.bin"/><Relationship Id="rId23" Type="http://schemas.openxmlformats.org/officeDocument/2006/relationships/image" Target="media/image5.wmf"/><Relationship Id="rId22" Type="http://schemas.openxmlformats.org/officeDocument/2006/relationships/oleObject" Target="embeddings/oleObject4.bin"/><Relationship Id="rId21" Type="http://schemas.openxmlformats.org/officeDocument/2006/relationships/image" Target="media/image4.wmf"/><Relationship Id="rId20" Type="http://schemas.openxmlformats.org/officeDocument/2006/relationships/oleObject" Target="embeddings/oleObject3.bin"/><Relationship Id="rId2" Type="http://schemas.openxmlformats.org/officeDocument/2006/relationships/settings" Target="settings.xml"/><Relationship Id="rId19" Type="http://schemas.openxmlformats.org/officeDocument/2006/relationships/image" Target="media/image3.wmf"/><Relationship Id="rId18" Type="http://schemas.openxmlformats.org/officeDocument/2006/relationships/oleObject" Target="embeddings/oleObject2.bin"/><Relationship Id="rId17" Type="http://schemas.openxmlformats.org/officeDocument/2006/relationships/image" Target="media/image2.wmf"/><Relationship Id="rId16" Type="http://schemas.openxmlformats.org/officeDocument/2006/relationships/oleObject" Target="embeddings/oleObject1.bin"/><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185</Pages>
  <Words>4792</Words>
  <Characters>5253</Characters>
  <Lines>781</Lines>
  <Paragraphs>219</Paragraphs>
  <TotalTime>25</TotalTime>
  <ScaleCrop>false</ScaleCrop>
  <LinksUpToDate>false</LinksUpToDate>
  <CharactersWithSpaces>5292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2020-09-05T04:52:00Z</dcterms:created>
  <dc:creator>1</dc:creator>
  <cp:lastModifiedBy>Windows10</cp:lastModifiedBy>
  <cp:lastPrinted>2025-04-28T01:19:00Z</cp:lastPrinted>
  <dcterms:modified xsi:type="dcterms:W3CDTF">2026-04-29T09:38:15Z</dcterms:modified>
  <dc:title>中华人民共和国</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90D316FB1F83428387DD585663F25D54</vt:lpwstr>
  </property>
  <property fmtid="{D5CDD505-2E9C-101B-9397-08002B2CF9AE}" pid="3" name="KSOProductBuildVer">
    <vt:lpwstr>2052-12.1.0.25865</vt:lpwstr>
  </property>
  <property fmtid="{D5CDD505-2E9C-101B-9397-08002B2CF9AE}" pid="4" name="KSOTemplateDocerSaveRecord">
    <vt:lpwstr>eyJoZGlkIjoiZmY0NDE3YWNiNTRkNWVjOTgzZWM5ZjE5MGVjNzAxNTgiLCJ1c2VySWQiOiIzNDQzNzA5NzgifQ==</vt:lpwstr>
  </property>
</Properties>
</file>