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0B764">
      <w:pPr>
        <w:pStyle w:val="26"/>
        <w:ind w:left="0" w:leftChars="0" w:firstLine="0" w:firstLineChars="0"/>
        <w:jc w:val="center"/>
        <w:rPr>
          <w:rFonts w:hint="eastAsia" w:ascii="方正仿宋_GB18030" w:hAnsi="方正仿宋_GB18030" w:eastAsia="方正仿宋_GB18030" w:cs="方正仿宋_GB18030"/>
          <w:b/>
          <w:bCs/>
          <w:kern w:val="0"/>
          <w:sz w:val="44"/>
          <w:szCs w:val="44"/>
          <w:u w:val="none"/>
          <w:lang w:val="en-US" w:eastAsia="zh-CN"/>
        </w:rPr>
      </w:pPr>
      <w:bookmarkStart w:id="0" w:name="_Toc375559996"/>
      <w:bookmarkStart w:id="1" w:name="_Toc300834926"/>
      <w:bookmarkStart w:id="2" w:name="_Toc144974478"/>
      <w:bookmarkStart w:id="3" w:name="_Toc152042286"/>
      <w:bookmarkStart w:id="4" w:name="_Toc247527532"/>
      <w:r>
        <w:rPr>
          <w:rFonts w:hint="eastAsia" w:ascii="方正仿宋_GB18030" w:hAnsi="方正仿宋_GB18030" w:eastAsia="方正仿宋_GB18030" w:cs="方正仿宋_GB18030"/>
          <w:b/>
          <w:bCs/>
          <w:kern w:val="0"/>
          <w:sz w:val="44"/>
          <w:szCs w:val="44"/>
          <w:u w:val="none"/>
          <w:lang w:val="en-US" w:eastAsia="zh-CN"/>
        </w:rPr>
        <w:t>牟定县绿色综合分拣中心建设项目设计施工总承包（EPC）</w:t>
      </w:r>
    </w:p>
    <w:p w14:paraId="2A5FB0C1">
      <w:pPr>
        <w:pStyle w:val="27"/>
        <w:rPr>
          <w:rFonts w:hint="eastAsia" w:ascii="方正仿宋_GB18030" w:hAnsi="方正仿宋_GB18030" w:eastAsia="方正仿宋_GB18030" w:cs="方正仿宋_GB18030"/>
        </w:rPr>
      </w:pPr>
    </w:p>
    <w:p w14:paraId="746993D6">
      <w:pPr>
        <w:spacing w:line="360" w:lineRule="auto"/>
        <w:jc w:val="center"/>
        <w:rPr>
          <w:rFonts w:hint="eastAsia" w:ascii="方正仿宋_GB18030" w:hAnsi="方正仿宋_GB18030" w:eastAsia="方正仿宋_GB18030" w:cs="方正仿宋_GB18030"/>
          <w:snapToGrid w:val="0"/>
          <w:kern w:val="0"/>
          <w:sz w:val="31"/>
          <w:szCs w:val="31"/>
        </w:rPr>
      </w:pPr>
      <w:r>
        <w:rPr>
          <w:rFonts w:hint="eastAsia" w:ascii="方正仿宋_GB18030" w:hAnsi="方正仿宋_GB18030" w:eastAsia="方正仿宋_GB18030" w:cs="方正仿宋_GB18030"/>
          <w:b/>
          <w:bCs w:val="0"/>
        </w:rPr>
        <w:drawing>
          <wp:inline distT="0" distB="0" distL="114300" distR="114300">
            <wp:extent cx="2479675" cy="22790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2479675" cy="2279015"/>
                    </a:xfrm>
                    <a:prstGeom prst="rect">
                      <a:avLst/>
                    </a:prstGeom>
                    <a:noFill/>
                    <a:ln>
                      <a:noFill/>
                    </a:ln>
                  </pic:spPr>
                </pic:pic>
              </a:graphicData>
            </a:graphic>
          </wp:inline>
        </w:drawing>
      </w:r>
    </w:p>
    <w:p w14:paraId="3E55AB77">
      <w:pPr>
        <w:pageBreakBefore w:val="0"/>
        <w:widowControl/>
        <w:wordWrap w:val="0"/>
        <w:topLinePunct w:val="0"/>
        <w:bidi w:val="0"/>
        <w:jc w:val="center"/>
        <w:textAlignment w:val="auto"/>
        <w:rPr>
          <w:rFonts w:hint="eastAsia" w:ascii="仿宋" w:hAnsi="仿宋" w:eastAsia="仿宋" w:cs="仿宋"/>
          <w:b/>
          <w:bCs/>
          <w:kern w:val="0"/>
          <w:sz w:val="32"/>
          <w:szCs w:val="32"/>
        </w:rPr>
      </w:pPr>
      <w:r>
        <w:rPr>
          <w:rFonts w:hint="eastAsia" w:ascii="仿宋" w:hAnsi="仿宋" w:eastAsia="仿宋" w:cs="仿宋"/>
          <w:b/>
          <w:bCs/>
          <w:kern w:val="0"/>
          <w:sz w:val="32"/>
          <w:szCs w:val="32"/>
        </w:rPr>
        <w:t>项目编号：YNCL-2026-032-0101</w:t>
      </w:r>
    </w:p>
    <w:p w14:paraId="0B6C8559">
      <w:pPr>
        <w:pageBreakBefore w:val="0"/>
        <w:widowControl/>
        <w:wordWrap w:val="0"/>
        <w:topLinePunct w:val="0"/>
        <w:bidi w:val="0"/>
        <w:jc w:val="center"/>
        <w:textAlignment w:val="auto"/>
        <w:rPr>
          <w:rFonts w:hint="eastAsia" w:ascii="方正仿宋_GB18030" w:hAnsi="方正仿宋_GB18030" w:eastAsia="方正仿宋_GB18030" w:cs="方正仿宋_GB18030"/>
          <w:b/>
          <w:bCs/>
          <w:kern w:val="0"/>
          <w:sz w:val="21"/>
          <w:szCs w:val="21"/>
          <w:lang w:eastAsia="zh-CN"/>
        </w:rPr>
      </w:pPr>
    </w:p>
    <w:p w14:paraId="6512C7CE">
      <w:pPr>
        <w:pageBreakBefore w:val="0"/>
        <w:widowControl/>
        <w:wordWrap w:val="0"/>
        <w:topLinePunct w:val="0"/>
        <w:bidi w:val="0"/>
        <w:spacing w:line="360" w:lineRule="auto"/>
        <w:jc w:val="center"/>
        <w:textAlignment w:val="auto"/>
        <w:rPr>
          <w:rFonts w:hint="eastAsia" w:ascii="方正仿宋_GB18030" w:hAnsi="方正仿宋_GB18030" w:eastAsia="方正仿宋_GB18030" w:cs="方正仿宋_GB18030"/>
          <w:b/>
          <w:kern w:val="0"/>
          <w:sz w:val="72"/>
          <w:szCs w:val="72"/>
        </w:rPr>
      </w:pPr>
      <w:r>
        <w:rPr>
          <w:rFonts w:hint="eastAsia" w:ascii="方正仿宋_GB18030" w:hAnsi="方正仿宋_GB18030" w:eastAsia="方正仿宋_GB18030" w:cs="方正仿宋_GB18030"/>
          <w:b/>
          <w:kern w:val="0"/>
          <w:sz w:val="72"/>
          <w:szCs w:val="72"/>
          <w:lang w:val="en-US" w:eastAsia="zh-CN"/>
        </w:rPr>
        <w:t>招 标 文 件</w:t>
      </w:r>
    </w:p>
    <w:p w14:paraId="068465FF">
      <w:pPr>
        <w:pageBreakBefore w:val="0"/>
        <w:widowControl/>
        <w:wordWrap w:val="0"/>
        <w:topLinePunct w:val="0"/>
        <w:bidi w:val="0"/>
        <w:spacing w:line="540" w:lineRule="exact"/>
        <w:jc w:val="left"/>
        <w:textAlignment w:val="auto"/>
        <w:rPr>
          <w:rFonts w:hint="eastAsia" w:ascii="方正仿宋_GB18030" w:hAnsi="方正仿宋_GB18030" w:eastAsia="方正仿宋_GB18030" w:cs="方正仿宋_GB18030"/>
          <w:kern w:val="0"/>
          <w:sz w:val="20"/>
          <w:szCs w:val="21"/>
        </w:rPr>
      </w:pPr>
    </w:p>
    <w:p w14:paraId="394D8F03">
      <w:pPr>
        <w:pageBreakBefore w:val="0"/>
        <w:widowControl/>
        <w:wordWrap w:val="0"/>
        <w:topLinePunct w:val="0"/>
        <w:bidi w:val="0"/>
        <w:spacing w:line="360" w:lineRule="auto"/>
        <w:jc w:val="left"/>
        <w:textAlignment w:val="auto"/>
        <w:rPr>
          <w:rFonts w:hint="eastAsia" w:ascii="方正仿宋_GB18030" w:hAnsi="方正仿宋_GB18030" w:eastAsia="方正仿宋_GB18030" w:cs="方正仿宋_GB18030"/>
          <w:kern w:val="0"/>
          <w:sz w:val="32"/>
          <w:szCs w:val="20"/>
        </w:rPr>
      </w:pPr>
    </w:p>
    <w:p w14:paraId="1DB15EF1">
      <w:pPr>
        <w:spacing w:line="480" w:lineRule="auto"/>
        <w:ind w:left="0" w:leftChars="0" w:firstLine="1682" w:firstLineChars="600"/>
        <w:jc w:val="both"/>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b/>
          <w:sz w:val="28"/>
          <w:szCs w:val="28"/>
          <w:lang w:eastAsia="zh-CN"/>
        </w:rPr>
        <w:t>招标人：牟定县国有资本投资运营集团有限公司</w:t>
      </w:r>
    </w:p>
    <w:p w14:paraId="7A4C92F1">
      <w:pPr>
        <w:spacing w:line="480" w:lineRule="auto"/>
        <w:ind w:left="0" w:leftChars="0" w:firstLine="1682" w:firstLineChars="600"/>
        <w:jc w:val="both"/>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b/>
          <w:sz w:val="28"/>
          <w:szCs w:val="28"/>
          <w:lang w:eastAsia="zh-CN"/>
        </w:rPr>
        <w:t>招标代理机构：云南策澜工程管理服务有限公司</w:t>
      </w:r>
    </w:p>
    <w:p w14:paraId="498D2785">
      <w:pPr>
        <w:spacing w:line="480" w:lineRule="auto"/>
        <w:jc w:val="center"/>
        <w:rPr>
          <w:rFonts w:hint="eastAsia" w:ascii="方正仿宋_GB18030" w:hAnsi="方正仿宋_GB18030" w:eastAsia="方正仿宋_GB18030" w:cs="方正仿宋_GB18030"/>
          <w:snapToGrid w:val="0"/>
          <w:kern w:val="0"/>
          <w:sz w:val="40"/>
          <w:szCs w:val="40"/>
        </w:rPr>
      </w:pPr>
      <w:r>
        <w:rPr>
          <w:rFonts w:hint="eastAsia" w:ascii="方正仿宋_GB18030" w:hAnsi="方正仿宋_GB18030" w:eastAsia="方正仿宋_GB18030" w:cs="方正仿宋_GB18030"/>
          <w:b/>
          <w:sz w:val="28"/>
          <w:szCs w:val="28"/>
          <w:lang w:eastAsia="zh-CN"/>
        </w:rPr>
        <w:t>二〇二</w:t>
      </w:r>
      <w:r>
        <w:rPr>
          <w:rFonts w:hint="eastAsia" w:ascii="方正仿宋_GB18030" w:hAnsi="方正仿宋_GB18030" w:eastAsia="方正仿宋_GB18030" w:cs="方正仿宋_GB18030"/>
          <w:b/>
          <w:sz w:val="28"/>
          <w:szCs w:val="28"/>
          <w:lang w:val="en-US" w:eastAsia="zh-CN"/>
        </w:rPr>
        <w:t>六</w:t>
      </w:r>
      <w:r>
        <w:rPr>
          <w:rFonts w:hint="eastAsia" w:ascii="方正仿宋_GB18030" w:hAnsi="方正仿宋_GB18030" w:eastAsia="方正仿宋_GB18030" w:cs="方正仿宋_GB18030"/>
          <w:b/>
          <w:sz w:val="28"/>
          <w:szCs w:val="28"/>
        </w:rPr>
        <w:t>年</w:t>
      </w:r>
      <w:r>
        <w:rPr>
          <w:rFonts w:hint="eastAsia" w:ascii="方正仿宋_GB18030" w:hAnsi="方正仿宋_GB18030" w:eastAsia="方正仿宋_GB18030" w:cs="方正仿宋_GB18030"/>
          <w:b/>
          <w:sz w:val="28"/>
          <w:szCs w:val="28"/>
          <w:lang w:val="en-US" w:eastAsia="zh-CN"/>
        </w:rPr>
        <w:t>四</w:t>
      </w:r>
      <w:r>
        <w:rPr>
          <w:rFonts w:hint="eastAsia" w:ascii="方正仿宋_GB18030" w:hAnsi="方正仿宋_GB18030" w:eastAsia="方正仿宋_GB18030" w:cs="方正仿宋_GB18030"/>
          <w:b/>
          <w:sz w:val="28"/>
          <w:szCs w:val="28"/>
        </w:rPr>
        <w:t>月</w:t>
      </w:r>
    </w:p>
    <w:p w14:paraId="7BF29AC8">
      <w:pPr>
        <w:spacing w:line="240" w:lineRule="auto"/>
        <w:jc w:val="center"/>
        <w:rPr>
          <w:rFonts w:hint="eastAsia" w:ascii="方正仿宋_GB2312" w:hAnsi="方正仿宋_GB2312" w:eastAsia="方正仿宋_GB2312" w:cs="方正仿宋_GB2312"/>
          <w:b/>
          <w:bCs/>
          <w:color w:val="auto"/>
          <w:sz w:val="32"/>
          <w:szCs w:val="32"/>
          <w:highlight w:val="none"/>
          <w:lang w:eastAsia="zh-CN"/>
        </w:rPr>
      </w:pPr>
    </w:p>
    <w:p w14:paraId="5DE76AA8">
      <w:pPr>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br w:type="page"/>
      </w:r>
    </w:p>
    <w:p w14:paraId="2047926C">
      <w:pPr>
        <w:jc w:val="center"/>
        <w:outlineLvl w:val="9"/>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目   录</w:t>
      </w:r>
      <w:bookmarkEnd w:id="0"/>
      <w:bookmarkEnd w:id="1"/>
      <w:bookmarkEnd w:id="2"/>
      <w:bookmarkEnd w:id="3"/>
      <w:bookmarkEnd w:id="4"/>
    </w:p>
    <w:p w14:paraId="213FF4A1">
      <w:pPr>
        <w:pStyle w:val="21"/>
        <w:tabs>
          <w:tab w:val="right" w:leader="dot" w:pos="9752"/>
        </w:tabs>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TOC \o "1-3" \h \u </w:instrText>
      </w:r>
      <w:r>
        <w:rPr>
          <w:rFonts w:hint="eastAsia" w:ascii="方正仿宋_GB2312" w:hAnsi="方正仿宋_GB2312" w:eastAsia="方正仿宋_GB2312" w:cs="方正仿宋_GB2312"/>
          <w:color w:val="auto"/>
          <w:sz w:val="24"/>
          <w:szCs w:val="24"/>
          <w:highlight w:val="none"/>
        </w:rPr>
        <w:fldChar w:fldCharType="separate"/>
      </w:r>
      <w:r>
        <w:rPr>
          <w:color w:val="auto"/>
          <w:highlight w:val="none"/>
        </w:rPr>
        <w:fldChar w:fldCharType="begin"/>
      </w:r>
      <w:r>
        <w:rPr>
          <w:color w:val="auto"/>
          <w:highlight w:val="none"/>
        </w:rPr>
        <w:instrText xml:space="preserve"> HYPERLINK \l "_Toc1605" </w:instrText>
      </w:r>
      <w:r>
        <w:rPr>
          <w:color w:val="auto"/>
          <w:highlight w:val="none"/>
        </w:rPr>
        <w:fldChar w:fldCharType="separate"/>
      </w:r>
      <w:r>
        <w:rPr>
          <w:rFonts w:hint="eastAsia" w:ascii="方正仿宋_GB2312" w:hAnsi="方正仿宋_GB2312" w:eastAsia="方正仿宋_GB2312" w:cs="方正仿宋_GB2312"/>
          <w:bCs/>
          <w:color w:val="auto"/>
          <w:szCs w:val="32"/>
          <w:highlight w:val="none"/>
        </w:rPr>
        <w:t>第一章 招标公告</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_Toc1605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1C6DE009">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"_Toc9025" </w:instrText>
      </w:r>
      <w:r>
        <w:rPr>
          <w:color w:val="auto"/>
          <w:highlight w:val="none"/>
        </w:rPr>
        <w:fldChar w:fldCharType="separate"/>
      </w:r>
      <w:r>
        <w:rPr>
          <w:rFonts w:hint="eastAsia" w:ascii="方正仿宋_GB2312" w:hAnsi="方正仿宋_GB2312" w:eastAsia="方正仿宋_GB2312" w:cs="方正仿宋_GB2312"/>
          <w:bCs/>
          <w:color w:val="auto"/>
          <w:kern w:val="0"/>
          <w:szCs w:val="28"/>
          <w:highlight w:val="none"/>
          <w:lang w:val="en-US" w:eastAsia="zh-CN"/>
        </w:rPr>
        <w:t>一、</w:t>
      </w:r>
      <w:r>
        <w:rPr>
          <w:rFonts w:hint="eastAsia" w:ascii="方正仿宋_GB2312" w:hAnsi="方正仿宋_GB2312" w:eastAsia="方正仿宋_GB2312" w:cs="方正仿宋_GB2312"/>
          <w:bCs/>
          <w:color w:val="auto"/>
          <w:kern w:val="0"/>
          <w:szCs w:val="28"/>
          <w:highlight w:val="none"/>
        </w:rPr>
        <w:t>招标条件</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_Toc9025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08832F1">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"_Toc29177" </w:instrText>
      </w:r>
      <w:r>
        <w:rPr>
          <w:color w:val="auto"/>
          <w:highlight w:val="none"/>
        </w:rPr>
        <w:fldChar w:fldCharType="separate"/>
      </w:r>
      <w:r>
        <w:rPr>
          <w:rFonts w:hint="eastAsia" w:ascii="方正仿宋_GB2312" w:hAnsi="方正仿宋_GB2312" w:eastAsia="方正仿宋_GB2312" w:cs="方正仿宋_GB2312"/>
          <w:bCs w:val="0"/>
          <w:color w:val="auto"/>
          <w:kern w:val="0"/>
          <w:szCs w:val="24"/>
          <w:highlight w:val="none"/>
          <w:lang w:val="en-US" w:eastAsia="zh-CN"/>
        </w:rPr>
        <w:t xml:space="preserve">二、 </w:t>
      </w:r>
      <w:r>
        <w:rPr>
          <w:rFonts w:hint="eastAsia" w:ascii="方正仿宋_GB2312" w:hAnsi="方正仿宋_GB2312" w:eastAsia="方正仿宋_GB2312" w:cs="方正仿宋_GB2312"/>
          <w:bCs/>
          <w:color w:val="auto"/>
          <w:kern w:val="0"/>
          <w:szCs w:val="28"/>
          <w:highlight w:val="none"/>
        </w:rPr>
        <w:t>项目概况与招标范围</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_Toc29177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12260A77">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"_Toc891" </w:instrText>
      </w:r>
      <w:r>
        <w:rPr>
          <w:color w:val="auto"/>
          <w:highlight w:val="none"/>
        </w:rPr>
        <w:fldChar w:fldCharType="separate"/>
      </w:r>
      <w:r>
        <w:rPr>
          <w:rFonts w:hint="eastAsia" w:ascii="方正仿宋_GB2312" w:hAnsi="方正仿宋_GB2312" w:eastAsia="方正仿宋_GB2312" w:cs="方正仿宋_GB2312"/>
          <w:bCs/>
          <w:color w:val="auto"/>
          <w:kern w:val="0"/>
          <w:szCs w:val="28"/>
          <w:highlight w:val="none"/>
          <w:lang w:val="en-US" w:eastAsia="zh-CN"/>
        </w:rPr>
        <w:t>三、</w:t>
      </w:r>
      <w:r>
        <w:rPr>
          <w:rFonts w:hint="eastAsia" w:ascii="方正仿宋_GB2312" w:hAnsi="方正仿宋_GB2312" w:eastAsia="方正仿宋_GB2312" w:cs="方正仿宋_GB2312"/>
          <w:bCs/>
          <w:color w:val="auto"/>
          <w:kern w:val="0"/>
          <w:szCs w:val="28"/>
          <w:highlight w:val="none"/>
        </w:rPr>
        <w:t>投标人资格要求</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_Toc891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B8973B8">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"_Toc18912" </w:instrText>
      </w:r>
      <w:r>
        <w:rPr>
          <w:color w:val="auto"/>
          <w:highlight w:val="none"/>
        </w:rPr>
        <w:fldChar w:fldCharType="separate"/>
      </w:r>
      <w:r>
        <w:rPr>
          <w:rFonts w:hint="eastAsia" w:ascii="方正仿宋_GB2312" w:hAnsi="方正仿宋_GB2312" w:eastAsia="方正仿宋_GB2312" w:cs="方正仿宋_GB2312"/>
          <w:bCs/>
          <w:color w:val="auto"/>
          <w:szCs w:val="28"/>
          <w:highlight w:val="none"/>
        </w:rPr>
        <w:t>四、招标文件的获取</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_Toc18912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8</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4F13EECB">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"_Toc27169" </w:instrText>
      </w:r>
      <w:r>
        <w:rPr>
          <w:color w:val="auto"/>
          <w:highlight w:val="none"/>
        </w:rPr>
        <w:fldChar w:fldCharType="separate"/>
      </w:r>
      <w:r>
        <w:rPr>
          <w:rFonts w:hint="eastAsia" w:ascii="方正仿宋_GB2312" w:hAnsi="方正仿宋_GB2312" w:eastAsia="方正仿宋_GB2312" w:cs="方正仿宋_GB2312"/>
          <w:bCs/>
          <w:color w:val="auto"/>
          <w:szCs w:val="28"/>
          <w:highlight w:val="none"/>
          <w:lang w:val="en-US" w:eastAsia="zh-CN"/>
        </w:rPr>
        <w:t>五、</w:t>
      </w:r>
      <w:r>
        <w:rPr>
          <w:rFonts w:hint="eastAsia" w:ascii="方正仿宋_GB2312" w:hAnsi="方正仿宋_GB2312" w:eastAsia="方正仿宋_GB2312" w:cs="方正仿宋_GB2312"/>
          <w:bCs/>
          <w:color w:val="auto"/>
          <w:szCs w:val="28"/>
          <w:highlight w:val="none"/>
          <w:lang w:val="zh-CN"/>
        </w:rPr>
        <w:t>投标文件的递交</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_Toc27169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10</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591FD1E1">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"_Toc17028" </w:instrText>
      </w:r>
      <w:r>
        <w:rPr>
          <w:color w:val="auto"/>
          <w:highlight w:val="none"/>
        </w:rPr>
        <w:fldChar w:fldCharType="separate"/>
      </w:r>
      <w:r>
        <w:rPr>
          <w:rFonts w:hint="eastAsia" w:ascii="方正仿宋_GB2312" w:hAnsi="方正仿宋_GB2312" w:eastAsia="方正仿宋_GB2312" w:cs="方正仿宋_GB2312"/>
          <w:bCs/>
          <w:color w:val="auto"/>
          <w:szCs w:val="28"/>
          <w:highlight w:val="none"/>
          <w:lang w:val="en-US" w:eastAsia="zh-CN"/>
        </w:rPr>
        <w:t>六、</w:t>
      </w:r>
      <w:r>
        <w:rPr>
          <w:rFonts w:hint="eastAsia" w:ascii="方正仿宋_GB2312" w:hAnsi="方正仿宋_GB2312" w:eastAsia="方正仿宋_GB2312" w:cs="方正仿宋_GB2312"/>
          <w:bCs/>
          <w:color w:val="auto"/>
          <w:szCs w:val="28"/>
          <w:highlight w:val="none"/>
          <w:lang w:val="zh-CN"/>
        </w:rPr>
        <w:t>其他要求</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_Toc17028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10</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57291D84">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"_Toc5017" </w:instrText>
      </w:r>
      <w:r>
        <w:rPr>
          <w:color w:val="auto"/>
          <w:highlight w:val="none"/>
        </w:rPr>
        <w:fldChar w:fldCharType="separate"/>
      </w:r>
      <w:r>
        <w:rPr>
          <w:rFonts w:hint="eastAsia" w:ascii="方正仿宋_GB2312" w:hAnsi="方正仿宋_GB2312" w:eastAsia="方正仿宋_GB2312" w:cs="方正仿宋_GB2312"/>
          <w:bCs/>
          <w:color w:val="auto"/>
          <w:szCs w:val="28"/>
          <w:highlight w:val="none"/>
          <w:lang w:val="en-US" w:eastAsia="zh-CN"/>
        </w:rPr>
        <w:t>七、</w:t>
      </w:r>
      <w:r>
        <w:rPr>
          <w:rFonts w:hint="eastAsia" w:ascii="方正仿宋_GB2312" w:hAnsi="方正仿宋_GB2312" w:eastAsia="方正仿宋_GB2312" w:cs="方正仿宋_GB2312"/>
          <w:bCs/>
          <w:color w:val="auto"/>
          <w:szCs w:val="28"/>
          <w:highlight w:val="none"/>
          <w:lang w:val="zh-CN" w:eastAsia="zh-CN"/>
        </w:rPr>
        <w:t>发布公告的媒介</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_Toc5017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12</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5987D32">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"_Toc16524" </w:instrText>
      </w:r>
      <w:r>
        <w:rPr>
          <w:color w:val="auto"/>
          <w:highlight w:val="none"/>
        </w:rPr>
        <w:fldChar w:fldCharType="separate"/>
      </w:r>
      <w:r>
        <w:rPr>
          <w:rFonts w:hint="eastAsia" w:ascii="方正仿宋_GB2312" w:hAnsi="方正仿宋_GB2312" w:eastAsia="方正仿宋_GB2312" w:cs="方正仿宋_GB2312"/>
          <w:bCs/>
          <w:color w:val="auto"/>
          <w:szCs w:val="28"/>
          <w:highlight w:val="none"/>
          <w:lang w:val="en-US" w:eastAsia="zh-CN"/>
        </w:rPr>
        <w:t>八、</w:t>
      </w:r>
      <w:r>
        <w:rPr>
          <w:rFonts w:hint="eastAsia" w:ascii="方正仿宋_GB2312" w:hAnsi="方正仿宋_GB2312" w:eastAsia="方正仿宋_GB2312" w:cs="方正仿宋_GB2312"/>
          <w:bCs/>
          <w:color w:val="auto"/>
          <w:szCs w:val="28"/>
          <w:highlight w:val="none"/>
        </w:rPr>
        <w:t>联系方式</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_Toc16524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10</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366B06FE">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"_Toc22457"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第二章 投标人须知</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_Toc22457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47F21DEE">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"_Toc13852"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投标人须知前附表</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_Toc13852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6F83AC6F">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"_Toc13020"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1. 总则</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_Toc13020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30</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1063C93C">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"_Toc10008"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2. 招标文件</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_Toc10008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C693AC5">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"_Toc13408"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3. 投标文件</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_Toc13408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5377004D">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"_Toc4671"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4. 投标</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_Toc4671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37</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5C90F498">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"_Toc23658"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5. 开标</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_Toc23658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37</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81B7CE3">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"_Toc13252"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6. 评标</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_Toc13252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38</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5D3452EE">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"_Toc10387"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7. 合同授予</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_Toc10387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38</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5BABA824">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"_Toc17477"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8. 纪律和监督</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_Toc17477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39</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678D462">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"_Toc706"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9. 需要补充的其他内容</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_Toc706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40</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7904743A">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"_Toc21188" </w:instrText>
      </w:r>
      <w:r>
        <w:rPr>
          <w:color w:val="auto"/>
          <w:highlight w:val="none"/>
        </w:rPr>
        <w:fldChar w:fldCharType="separate"/>
      </w:r>
      <w:r>
        <w:rPr>
          <w:rFonts w:hint="eastAsia" w:ascii="方正仿宋_GB2312" w:hAnsi="方正仿宋_GB2312" w:eastAsia="方正仿宋_GB2312" w:cs="方正仿宋_GB2312"/>
          <w:color w:val="auto"/>
          <w:highlight w:val="none"/>
        </w:rPr>
        <w:t>附件一：开标记录表</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_Toc21188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41</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4EF65A35">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"_Toc16322" </w:instrText>
      </w:r>
      <w:r>
        <w:rPr>
          <w:color w:val="auto"/>
          <w:highlight w:val="none"/>
        </w:rPr>
        <w:fldChar w:fldCharType="separate"/>
      </w:r>
      <w:r>
        <w:rPr>
          <w:rFonts w:hint="eastAsia" w:ascii="方正仿宋_GB2312" w:hAnsi="方正仿宋_GB2312" w:eastAsia="方正仿宋_GB2312" w:cs="方正仿宋_GB2312"/>
          <w:bCs/>
          <w:color w:val="auto"/>
          <w:szCs w:val="32"/>
          <w:highlight w:val="none"/>
        </w:rPr>
        <w:t>附件二：问题澄清通知</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_Toc16322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42</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CF21D40">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"_Toc9066" </w:instrText>
      </w:r>
      <w:r>
        <w:rPr>
          <w:color w:val="auto"/>
          <w:highlight w:val="none"/>
        </w:rPr>
        <w:fldChar w:fldCharType="separate"/>
      </w:r>
      <w:r>
        <w:rPr>
          <w:rFonts w:hint="eastAsia" w:ascii="方正仿宋_GB2312" w:hAnsi="方正仿宋_GB2312" w:eastAsia="方正仿宋_GB2312" w:cs="方正仿宋_GB2312"/>
          <w:bCs/>
          <w:color w:val="auto"/>
          <w:szCs w:val="32"/>
          <w:highlight w:val="none"/>
        </w:rPr>
        <w:t>附件三：问题的澄清</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_Toc9066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337E3CA2">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"_Toc29563" </w:instrText>
      </w:r>
      <w:r>
        <w:rPr>
          <w:color w:val="auto"/>
          <w:highlight w:val="none"/>
        </w:rPr>
        <w:fldChar w:fldCharType="separate"/>
      </w:r>
      <w:r>
        <w:rPr>
          <w:rFonts w:hint="eastAsia" w:ascii="方正仿宋_GB2312" w:hAnsi="方正仿宋_GB2312" w:eastAsia="方正仿宋_GB2312" w:cs="方正仿宋_GB2312"/>
          <w:color w:val="auto"/>
          <w:highlight w:val="none"/>
        </w:rPr>
        <w:t>附件四：中标通知书</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_Toc29563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6B976BC8">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"_Toc24921" </w:instrText>
      </w:r>
      <w:r>
        <w:rPr>
          <w:color w:val="auto"/>
          <w:highlight w:val="none"/>
        </w:rPr>
        <w:fldChar w:fldCharType="separate"/>
      </w:r>
      <w:r>
        <w:rPr>
          <w:rFonts w:hint="eastAsia" w:ascii="方正仿宋_GB2312" w:hAnsi="方正仿宋_GB2312" w:eastAsia="方正仿宋_GB2312" w:cs="方正仿宋_GB2312"/>
          <w:color w:val="auto"/>
          <w:highlight w:val="none"/>
        </w:rPr>
        <w:t>附件五：中标结果通知书</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_Toc24921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45</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43835204">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"_Toc20474" </w:instrText>
      </w:r>
      <w:r>
        <w:rPr>
          <w:color w:val="auto"/>
          <w:highlight w:val="none"/>
        </w:rPr>
        <w:fldChar w:fldCharType="separate"/>
      </w:r>
      <w:r>
        <w:rPr>
          <w:rFonts w:hint="eastAsia" w:ascii="方正仿宋_GB2312" w:hAnsi="方正仿宋_GB2312" w:eastAsia="方正仿宋_GB2312" w:cs="方正仿宋_GB2312"/>
          <w:color w:val="auto"/>
          <w:highlight w:val="none"/>
        </w:rPr>
        <w:t>附件六：确认通知</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_Toc20474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46</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61C342ED">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"_Toc9242" </w:instrText>
      </w:r>
      <w:r>
        <w:rPr>
          <w:color w:val="auto"/>
          <w:highlight w:val="none"/>
        </w:rPr>
        <w:fldChar w:fldCharType="separate"/>
      </w:r>
      <w:r>
        <w:rPr>
          <w:rFonts w:hint="eastAsia" w:ascii="方正仿宋_GB2312" w:hAnsi="方正仿宋_GB2312" w:eastAsia="方正仿宋_GB2312" w:cs="方正仿宋_GB2312"/>
          <w:color w:val="auto"/>
          <w:highlight w:val="none"/>
        </w:rPr>
        <w:t>附件七：电子投标文件编制及上传要求</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_Toc9242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47</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7F12069">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"_Toc11687"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第三章 评标办法（综合评估法）</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_Toc11687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49F01330">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"_Toc3430"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评标办法前附表</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_Toc3430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48</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31271D77">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"_Toc3686"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1. 评标方法</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_Toc3686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53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43712B9D">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"_Toc10849"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2. 评审标准</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_Toc10849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53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12C94219">
      <w:pPr>
        <w:pStyle w:val="10"/>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"_Toc14958"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3. 评标程序</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_Toc14958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54</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355D44C6">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"_Toc19734" </w:instrText>
      </w:r>
      <w:r>
        <w:rPr>
          <w:color w:val="auto"/>
          <w:highlight w:val="none"/>
        </w:rPr>
        <w:fldChar w:fldCharType="separate"/>
      </w:r>
      <w:r>
        <w:rPr>
          <w:rFonts w:hint="eastAsia" w:ascii="方正仿宋_GB2312" w:hAnsi="方正仿宋_GB2312" w:eastAsia="方正仿宋_GB2312" w:cs="方正仿宋_GB2312"/>
          <w:bCs/>
          <w:color w:val="auto"/>
          <w:szCs w:val="32"/>
          <w:highlight w:val="none"/>
        </w:rPr>
        <w:t>第四章 合同条款及格式</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_Toc19734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62</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265EF4E">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"_Toc24739" </w:instrText>
      </w:r>
      <w:r>
        <w:rPr>
          <w:color w:val="auto"/>
          <w:highlight w:val="none"/>
        </w:rPr>
        <w:fldChar w:fldCharType="separate"/>
      </w:r>
      <w:r>
        <w:rPr>
          <w:rFonts w:hint="eastAsia" w:ascii="方正仿宋_GB2312" w:hAnsi="方正仿宋_GB2312" w:eastAsia="方正仿宋_GB2312" w:cs="方正仿宋_GB2312"/>
          <w:bCs/>
          <w:color w:val="auto"/>
          <w:kern w:val="2"/>
          <w:szCs w:val="36"/>
          <w:highlight w:val="none"/>
          <w:lang w:val="zh-CN" w:eastAsia="zh-CN" w:bidi="ar-SA"/>
        </w:rPr>
        <w:t>第一部分  合同协议书</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_Toc24739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63</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6429EBAC">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"_Toc3579" </w:instrText>
      </w:r>
      <w:r>
        <w:rPr>
          <w:color w:val="auto"/>
          <w:highlight w:val="none"/>
        </w:rPr>
        <w:fldChar w:fldCharType="separate"/>
      </w:r>
      <w:r>
        <w:rPr>
          <w:rFonts w:hint="eastAsia" w:ascii="方正仿宋_GB2312" w:hAnsi="方正仿宋_GB2312" w:eastAsia="方正仿宋_GB2312" w:cs="方正仿宋_GB2312"/>
          <w:bCs/>
          <w:color w:val="auto"/>
          <w:kern w:val="2"/>
          <w:szCs w:val="36"/>
          <w:highlight w:val="none"/>
          <w:lang w:val="zh-CN" w:eastAsia="zh-CN" w:bidi="ar-SA"/>
        </w:rPr>
        <w:t>第二部分 通用合同条件</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_Toc3579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66</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0AACAE13">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"_Toc27698" </w:instrText>
      </w:r>
      <w:r>
        <w:rPr>
          <w:color w:val="auto"/>
          <w:highlight w:val="none"/>
        </w:rPr>
        <w:fldChar w:fldCharType="separate"/>
      </w:r>
      <w:r>
        <w:rPr>
          <w:rFonts w:hint="eastAsia" w:ascii="方正仿宋_GB2312" w:hAnsi="方正仿宋_GB2312" w:eastAsia="方正仿宋_GB2312" w:cs="方正仿宋_GB2312"/>
          <w:bCs/>
          <w:color w:val="auto"/>
          <w:kern w:val="2"/>
          <w:szCs w:val="36"/>
          <w:highlight w:val="none"/>
          <w:lang w:val="zh-CN" w:eastAsia="zh-CN" w:bidi="ar-SA"/>
        </w:rPr>
        <w:t>第三部分 专用合同条件</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_Toc27698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132</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1DDBBAFD">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"_Toc31189" </w:instrText>
      </w:r>
      <w:r>
        <w:rPr>
          <w:color w:val="auto"/>
          <w:highlight w:val="none"/>
        </w:rPr>
        <w:fldChar w:fldCharType="separate"/>
      </w:r>
      <w:r>
        <w:rPr>
          <w:rFonts w:hint="eastAsia" w:ascii="方正仿宋_GB2312" w:hAnsi="方正仿宋_GB2312" w:eastAsia="方正仿宋_GB2312" w:cs="方正仿宋_GB2312"/>
          <w:bCs/>
          <w:color w:val="auto"/>
          <w:kern w:val="0"/>
          <w:szCs w:val="24"/>
          <w:highlight w:val="none"/>
        </w:rPr>
        <w:t>第五章  发包人要求</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_Toc31189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165</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2D20BAF4">
      <w:pPr>
        <w:pStyle w:val="21"/>
        <w:tabs>
          <w:tab w:val="right" w:leader="dot" w:pos="9752"/>
        </w:tabs>
        <w:rPr>
          <w:rFonts w:hint="eastAsia" w:ascii="方正仿宋_GB2312" w:hAnsi="方正仿宋_GB2312" w:eastAsia="方正仿宋_GB2312" w:cs="方正仿宋_GB2312"/>
          <w:color w:val="auto"/>
          <w:highlight w:val="none"/>
        </w:rPr>
      </w:pPr>
      <w:r>
        <w:rPr>
          <w:color w:val="auto"/>
          <w:highlight w:val="none"/>
        </w:rPr>
        <w:fldChar w:fldCharType="begin"/>
      </w:r>
      <w:r>
        <w:rPr>
          <w:color w:val="auto"/>
          <w:highlight w:val="none"/>
        </w:rPr>
        <w:instrText xml:space="preserve"> HYPERLINK \l "_Toc23974" </w:instrText>
      </w:r>
      <w:r>
        <w:rPr>
          <w:color w:val="auto"/>
          <w:highlight w:val="none"/>
        </w:rPr>
        <w:fldChar w:fldCharType="separate"/>
      </w:r>
      <w:r>
        <w:rPr>
          <w:rFonts w:hint="eastAsia" w:ascii="方正仿宋_GB2312" w:hAnsi="方正仿宋_GB2312" w:eastAsia="方正仿宋_GB2312" w:cs="方正仿宋_GB2312"/>
          <w:bCs/>
          <w:color w:val="auto"/>
          <w:szCs w:val="24"/>
          <w:highlight w:val="none"/>
        </w:rPr>
        <w:t>第六章  投标文件格式</w:t>
      </w:r>
      <w:r>
        <w:rPr>
          <w:rFonts w:hint="eastAsia" w:ascii="方正仿宋_GB2312" w:hAnsi="方正仿宋_GB2312" w:eastAsia="方正仿宋_GB2312" w:cs="方正仿宋_GB2312"/>
          <w:color w:val="auto"/>
          <w:highlight w:val="none"/>
        </w:rPr>
        <w:tab/>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PAGEREF _Toc23974 \h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color w:val="auto"/>
          <w:highlight w:val="none"/>
        </w:rPr>
        <w:t>168</w:t>
      </w:r>
      <w:r>
        <w:rPr>
          <w:rFonts w:hint="eastAsia" w:ascii="方正仿宋_GB2312" w:hAnsi="方正仿宋_GB2312" w:eastAsia="方正仿宋_GB2312" w:cs="方正仿宋_GB2312"/>
          <w:color w:val="auto"/>
          <w:highlight w:val="none"/>
        </w:rPr>
        <w:fldChar w:fldCharType="end"/>
      </w:r>
      <w:r>
        <w:rPr>
          <w:rFonts w:hint="eastAsia" w:ascii="方正仿宋_GB2312" w:hAnsi="方正仿宋_GB2312" w:eastAsia="方正仿宋_GB2312" w:cs="方正仿宋_GB2312"/>
          <w:color w:val="auto"/>
          <w:highlight w:val="none"/>
        </w:rPr>
        <w:fldChar w:fldCharType="end"/>
      </w:r>
    </w:p>
    <w:p w14:paraId="025F3186">
      <w:pPr>
        <w:pStyle w:val="36"/>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Cs w:val="24"/>
          <w:highlight w:val="none"/>
        </w:rPr>
        <w:fldChar w:fldCharType="end"/>
      </w:r>
    </w:p>
    <w:p w14:paraId="64C12BA9">
      <w:pPr>
        <w:pStyle w:val="36"/>
        <w:rPr>
          <w:rFonts w:hint="eastAsia" w:ascii="方正仿宋_GB2312" w:hAnsi="方正仿宋_GB2312" w:eastAsia="方正仿宋_GB2312" w:cs="方正仿宋_GB2312"/>
          <w:color w:val="auto"/>
          <w:sz w:val="24"/>
          <w:szCs w:val="24"/>
          <w:highlight w:val="none"/>
        </w:rPr>
      </w:pPr>
    </w:p>
    <w:p w14:paraId="1D545EF8">
      <w:pPr>
        <w:tabs>
          <w:tab w:val="center" w:pos="4819"/>
        </w:tabs>
        <w:jc w:val="left"/>
        <w:outlineLvl w:val="9"/>
        <w:rPr>
          <w:rFonts w:hint="eastAsia" w:ascii="方正仿宋_GB2312" w:hAnsi="方正仿宋_GB2312" w:eastAsia="方正仿宋_GB2312" w:cs="方正仿宋_GB2312"/>
          <w:color w:val="auto"/>
          <w:sz w:val="24"/>
          <w:szCs w:val="24"/>
          <w:highlight w:val="none"/>
        </w:rPr>
      </w:pPr>
      <w:bookmarkStart w:id="5" w:name="_Toc247513932"/>
      <w:bookmarkStart w:id="6" w:name="_Toc247527533"/>
      <w:bookmarkStart w:id="7" w:name="_Toc152045511"/>
      <w:bookmarkStart w:id="8" w:name="_Toc152042287"/>
      <w:bookmarkStart w:id="9" w:name="_Toc144974479"/>
    </w:p>
    <w:p w14:paraId="223275A1">
      <w:pPr>
        <w:bidi w:val="0"/>
        <w:rPr>
          <w:rFonts w:hint="eastAsia" w:ascii="方正仿宋_GB2312" w:hAnsi="方正仿宋_GB2312" w:eastAsia="方正仿宋_GB2312" w:cs="方正仿宋_GB2312"/>
          <w:color w:val="auto"/>
          <w:kern w:val="2"/>
          <w:sz w:val="21"/>
          <w:szCs w:val="24"/>
          <w:highlight w:val="none"/>
          <w:lang w:val="en-US" w:eastAsia="zh-CN" w:bidi="ar-SA"/>
        </w:rPr>
      </w:pPr>
    </w:p>
    <w:p w14:paraId="2FA5A502">
      <w:pPr>
        <w:bidi w:val="0"/>
        <w:rPr>
          <w:rFonts w:hint="eastAsia" w:ascii="方正仿宋_GB2312" w:hAnsi="方正仿宋_GB2312" w:eastAsia="方正仿宋_GB2312" w:cs="方正仿宋_GB2312"/>
          <w:color w:val="auto"/>
          <w:highlight w:val="none"/>
          <w:lang w:val="en-US" w:eastAsia="zh-CN"/>
        </w:rPr>
      </w:pPr>
    </w:p>
    <w:p w14:paraId="54E26DC5">
      <w:pPr>
        <w:bidi w:val="0"/>
        <w:rPr>
          <w:rFonts w:hint="eastAsia" w:ascii="方正仿宋_GB2312" w:hAnsi="方正仿宋_GB2312" w:eastAsia="方正仿宋_GB2312" w:cs="方正仿宋_GB2312"/>
          <w:color w:val="auto"/>
          <w:highlight w:val="none"/>
          <w:lang w:val="en-US" w:eastAsia="zh-CN"/>
        </w:rPr>
      </w:pPr>
    </w:p>
    <w:p w14:paraId="070B9535">
      <w:pPr>
        <w:bidi w:val="0"/>
        <w:rPr>
          <w:rFonts w:hint="eastAsia" w:ascii="方正仿宋_GB2312" w:hAnsi="方正仿宋_GB2312" w:eastAsia="方正仿宋_GB2312" w:cs="方正仿宋_GB2312"/>
          <w:color w:val="auto"/>
          <w:highlight w:val="none"/>
          <w:lang w:val="en-US" w:eastAsia="zh-CN"/>
        </w:rPr>
      </w:pPr>
    </w:p>
    <w:p w14:paraId="629B66C0">
      <w:pPr>
        <w:bidi w:val="0"/>
        <w:rPr>
          <w:rFonts w:hint="eastAsia" w:ascii="方正仿宋_GB2312" w:hAnsi="方正仿宋_GB2312" w:eastAsia="方正仿宋_GB2312" w:cs="方正仿宋_GB2312"/>
          <w:color w:val="auto"/>
          <w:highlight w:val="none"/>
          <w:lang w:val="en-US" w:eastAsia="zh-CN"/>
        </w:rPr>
      </w:pPr>
    </w:p>
    <w:p w14:paraId="0D49D610">
      <w:pPr>
        <w:bidi w:val="0"/>
        <w:rPr>
          <w:rFonts w:hint="eastAsia" w:ascii="方正仿宋_GB2312" w:hAnsi="方正仿宋_GB2312" w:eastAsia="方正仿宋_GB2312" w:cs="方正仿宋_GB2312"/>
          <w:color w:val="auto"/>
          <w:highlight w:val="none"/>
          <w:lang w:val="en-US" w:eastAsia="zh-CN"/>
        </w:rPr>
      </w:pPr>
    </w:p>
    <w:bookmarkEnd w:id="5"/>
    <w:bookmarkEnd w:id="6"/>
    <w:p w14:paraId="74F0226E">
      <w:pPr>
        <w:rPr>
          <w:rFonts w:hint="eastAsia" w:ascii="方正仿宋_GB2312" w:hAnsi="方正仿宋_GB2312" w:eastAsia="方正仿宋_GB2312" w:cs="方正仿宋_GB2312"/>
          <w:b/>
          <w:bCs/>
          <w:color w:val="auto"/>
          <w:sz w:val="32"/>
          <w:szCs w:val="32"/>
          <w:highlight w:val="none"/>
        </w:rPr>
      </w:pPr>
      <w:bookmarkStart w:id="10" w:name="_Toc1605"/>
      <w:bookmarkStart w:id="11" w:name="_Toc247527534"/>
      <w:bookmarkStart w:id="12" w:name="_Toc375559998"/>
      <w:bookmarkStart w:id="13" w:name="_Toc247513933"/>
      <w:r>
        <w:rPr>
          <w:rFonts w:hint="eastAsia" w:ascii="方正仿宋_GB2312" w:hAnsi="方正仿宋_GB2312" w:eastAsia="方正仿宋_GB2312" w:cs="方正仿宋_GB2312"/>
          <w:b/>
          <w:bCs/>
          <w:color w:val="auto"/>
          <w:sz w:val="32"/>
          <w:szCs w:val="32"/>
          <w:highlight w:val="none"/>
        </w:rPr>
        <w:br w:type="page"/>
      </w:r>
    </w:p>
    <w:p w14:paraId="140D6458">
      <w:pPr>
        <w:keepNext w:val="0"/>
        <w:keepLines w:val="0"/>
        <w:pageBreakBefore w:val="0"/>
        <w:widowControl w:val="0"/>
        <w:kinsoku/>
        <w:wordWrap/>
        <w:overflowPunct/>
        <w:topLinePunct w:val="0"/>
        <w:autoSpaceDE/>
        <w:autoSpaceDN/>
        <w:bidi w:val="0"/>
        <w:spacing w:line="360" w:lineRule="auto"/>
        <w:jc w:val="center"/>
        <w:outlineLvl w:val="1"/>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第一章 招标公告</w:t>
      </w:r>
      <w:bookmarkEnd w:id="7"/>
      <w:bookmarkEnd w:id="8"/>
      <w:bookmarkEnd w:id="9"/>
      <w:bookmarkEnd w:id="10"/>
      <w:bookmarkEnd w:id="11"/>
      <w:bookmarkEnd w:id="12"/>
      <w:bookmarkEnd w:id="13"/>
    </w:p>
    <w:p w14:paraId="029B944F">
      <w:pPr>
        <w:keepNext w:val="0"/>
        <w:keepLines w:val="0"/>
        <w:pageBreakBefore w:val="0"/>
        <w:widowControl w:val="0"/>
        <w:numPr>
          <w:ilvl w:val="0"/>
          <w:numId w:val="0"/>
        </w:numPr>
        <w:tabs>
          <w:tab w:val="center" w:pos="4536"/>
        </w:tabs>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kern w:val="0"/>
          <w:sz w:val="28"/>
          <w:szCs w:val="28"/>
          <w:highlight w:val="none"/>
        </w:rPr>
      </w:pPr>
      <w:bookmarkStart w:id="14" w:name="_Toc370454375"/>
      <w:bookmarkStart w:id="15" w:name="_Toc152042289"/>
      <w:bookmarkStart w:id="16" w:name="_Toc247513935"/>
      <w:bookmarkStart w:id="17" w:name="_Toc247527536"/>
      <w:bookmarkStart w:id="18" w:name="_Toc152045513"/>
      <w:bookmarkStart w:id="19" w:name="_Toc144974481"/>
      <w:bookmarkStart w:id="20" w:name="_Toc375560000"/>
      <w:bookmarkStart w:id="21" w:name="_Toc29177"/>
      <w:bookmarkStart w:id="22" w:name="_Toc144974480"/>
      <w:bookmarkStart w:id="23" w:name="_Toc152045512"/>
      <w:bookmarkStart w:id="24" w:name="_Toc247527535"/>
      <w:bookmarkStart w:id="25" w:name="_Toc370454374"/>
      <w:bookmarkStart w:id="26" w:name="_Toc9025"/>
      <w:bookmarkStart w:id="27" w:name="_Toc247513934"/>
      <w:bookmarkStart w:id="28" w:name="_Toc375559999"/>
      <w:bookmarkStart w:id="29" w:name="_Toc152042288"/>
      <w:bookmarkStart w:id="30" w:name="_Toc19052"/>
      <w:bookmarkStart w:id="31" w:name="_Toc31370"/>
      <w:bookmarkStart w:id="32" w:name="_Toc11686"/>
      <w:bookmarkStart w:id="33" w:name="_Toc152042303"/>
      <w:bookmarkStart w:id="34" w:name="_Toc375560006"/>
      <w:bookmarkStart w:id="35" w:name="_Toc247513950"/>
      <w:bookmarkStart w:id="36" w:name="_Toc247527551"/>
      <w:bookmarkStart w:id="37" w:name="_Toc144974495"/>
      <w:bookmarkStart w:id="38" w:name="_Toc152045527"/>
      <w:r>
        <w:rPr>
          <w:rFonts w:hint="eastAsia" w:ascii="方正仿宋_GB2312" w:hAnsi="方正仿宋_GB2312" w:eastAsia="方正仿宋_GB2312" w:cs="方正仿宋_GB2312"/>
          <w:b/>
          <w:bCs/>
          <w:color w:val="auto"/>
          <w:kern w:val="0"/>
          <w:sz w:val="28"/>
          <w:szCs w:val="28"/>
          <w:highlight w:val="none"/>
          <w:lang w:val="en-US" w:eastAsia="zh-CN"/>
        </w:rPr>
        <w:t>1.</w:t>
      </w:r>
      <w:r>
        <w:rPr>
          <w:rFonts w:hint="eastAsia" w:ascii="方正仿宋_GB2312" w:hAnsi="方正仿宋_GB2312" w:eastAsia="方正仿宋_GB2312" w:cs="方正仿宋_GB2312"/>
          <w:b/>
          <w:bCs/>
          <w:color w:val="auto"/>
          <w:kern w:val="0"/>
          <w:sz w:val="28"/>
          <w:szCs w:val="28"/>
          <w:highlight w:val="none"/>
        </w:rPr>
        <w:t>招标条件</w:t>
      </w:r>
    </w:p>
    <w:p w14:paraId="307C77D8">
      <w:pPr>
        <w:keepNext w:val="0"/>
        <w:keepLines w:val="0"/>
        <w:pageBreakBefore w:val="0"/>
        <w:widowControl w:val="0"/>
        <w:tabs>
          <w:tab w:val="left" w:pos="7216"/>
        </w:tabs>
        <w:kinsoku/>
        <w:wordWrap/>
        <w:overflowPunct/>
        <w:topLinePunct w:val="0"/>
        <w:autoSpaceDE/>
        <w:autoSpaceDN/>
        <w:bidi w:val="0"/>
        <w:adjustRightInd/>
        <w:snapToGrid w:val="0"/>
        <w:spacing w:after="0" w:line="360" w:lineRule="auto"/>
        <w:ind w:right="-168" w:rightChars="-80" w:firstLine="480" w:firstLineChars="200"/>
        <w:jc w:val="both"/>
        <w:textAlignment w:val="auto"/>
        <w:outlineLvl w:val="9"/>
        <w:rPr>
          <w:rFonts w:hint="eastAsia" w:ascii="方正仿宋_GB2312" w:hAnsi="方正仿宋_GB2312" w:eastAsia="方正仿宋_GB2312" w:cs="方正仿宋_GB2312"/>
          <w:b/>
          <w:bCs/>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u w:val="none"/>
        </w:rPr>
        <w:t>本招标项目牟定县绿色综合分拣中心建设项目已由牟定县发展和改革局以云南省固定资产投资项目备案证(备案号[项目代码]：2504-532323-04-01-354957)批准建设，建设资金来自企业自筹，招标人为</w:t>
      </w:r>
      <w:r>
        <w:rPr>
          <w:rFonts w:hint="eastAsia" w:ascii="方正仿宋_GB2312" w:hAnsi="方正仿宋_GB2312" w:eastAsia="方正仿宋_GB2312" w:cs="方正仿宋_GB2312"/>
          <w:b w:val="0"/>
          <w:bCs w:val="0"/>
          <w:color w:val="auto"/>
          <w:kern w:val="0"/>
          <w:sz w:val="24"/>
          <w:szCs w:val="24"/>
          <w:highlight w:val="none"/>
          <w:u w:val="none"/>
          <w:lang w:eastAsia="zh-CN"/>
        </w:rPr>
        <w:t>牟定县国有资本投资运营集团有限公司</w:t>
      </w:r>
      <w:r>
        <w:rPr>
          <w:rFonts w:hint="eastAsia" w:ascii="方正仿宋_GB2312" w:hAnsi="方正仿宋_GB2312" w:eastAsia="方正仿宋_GB2312" w:cs="方正仿宋_GB2312"/>
          <w:b w:val="0"/>
          <w:bCs w:val="0"/>
          <w:color w:val="auto"/>
          <w:kern w:val="0"/>
          <w:sz w:val="24"/>
          <w:szCs w:val="24"/>
          <w:highlight w:val="none"/>
          <w:u w:val="none"/>
        </w:rPr>
        <w:t>，招标代理机构为云南策澜工程管理服务有限公司，项目已具备招标条件，现对该项目设计、施工总承包（EPC）进行公开招标。</w:t>
      </w:r>
    </w:p>
    <w:p w14:paraId="4F818FA8">
      <w:pPr>
        <w:keepNext w:val="0"/>
        <w:keepLines w:val="0"/>
        <w:pageBreakBefore w:val="0"/>
        <w:widowControl w:val="0"/>
        <w:numPr>
          <w:ilvl w:val="0"/>
          <w:numId w:val="0"/>
        </w:numPr>
        <w:tabs>
          <w:tab w:val="center" w:pos="4536"/>
        </w:tabs>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bCs/>
          <w:color w:val="auto"/>
          <w:kern w:val="0"/>
          <w:sz w:val="28"/>
          <w:szCs w:val="28"/>
          <w:highlight w:val="none"/>
          <w:lang w:val="en-US" w:eastAsia="zh-CN"/>
        </w:rPr>
        <w:t>2.</w:t>
      </w:r>
      <w:r>
        <w:rPr>
          <w:rFonts w:hint="eastAsia" w:ascii="方正仿宋_GB2312" w:hAnsi="方正仿宋_GB2312" w:eastAsia="方正仿宋_GB2312" w:cs="方正仿宋_GB2312"/>
          <w:b/>
          <w:bCs/>
          <w:color w:val="auto"/>
          <w:kern w:val="0"/>
          <w:sz w:val="28"/>
          <w:szCs w:val="28"/>
          <w:highlight w:val="none"/>
        </w:rPr>
        <w:t>项目概况与招标范围</w:t>
      </w:r>
      <w:bookmarkEnd w:id="14"/>
      <w:bookmarkEnd w:id="15"/>
      <w:bookmarkEnd w:id="16"/>
      <w:bookmarkEnd w:id="17"/>
      <w:bookmarkEnd w:id="18"/>
      <w:bookmarkEnd w:id="19"/>
      <w:bookmarkEnd w:id="20"/>
      <w:bookmarkEnd w:id="21"/>
      <w:r>
        <w:rPr>
          <w:rFonts w:hint="eastAsia" w:ascii="方正仿宋_GB2312" w:hAnsi="方正仿宋_GB2312" w:eastAsia="方正仿宋_GB2312" w:cs="方正仿宋_GB2312"/>
          <w:b/>
          <w:bCs/>
          <w:color w:val="auto"/>
          <w:kern w:val="0"/>
          <w:sz w:val="28"/>
          <w:szCs w:val="28"/>
          <w:highlight w:val="none"/>
          <w:lang w:eastAsia="zh-CN"/>
        </w:rPr>
        <w:tab/>
      </w:r>
    </w:p>
    <w:p w14:paraId="4CE44C3B">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2.1项目名称：牟定县绿色综合分拣中心建设项目设计施工总承包（EPC）</w:t>
      </w:r>
    </w:p>
    <w:p w14:paraId="21FA4B59">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2.2项目建设地点：云南牟定产业园区黄龙山片区。</w:t>
      </w:r>
    </w:p>
    <w:p w14:paraId="1394E29C">
      <w:pPr>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firstLine="480" w:firstLineChars="200"/>
        <w:jc w:val="both"/>
        <w:textAlignment w:val="auto"/>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2.3项目建设内容及规模：新建一个年分拣能力为12万吨的综合化绿色分拣中心，项目规划用地面积28.94亩，建设以废纸类、废塑料类、废弃电子电器产品等再生资源综合（中型）绿色分拣中心，建设生产线3条，项目建设内容主要包括：（1）购置分选设备（16套）、拆解机器人（2套）、剪切（2套）、破碎（4套）、清洗（2套）、打包（4套）等绿色智能化分拣设备、除尘设备3套、除气设备3套、污水处理设备2套及智能化管理设备等；（2）新建厂房8300㎡，主要包括分拣车间、拆解加工车间、破碎加工车间、清洗消毒车间、打包压缩车间、原料仓库、成品仓库、管理用房并配套场地道路硬化，给排水、消防、供配电、绿化等附属设施。</w:t>
      </w:r>
    </w:p>
    <w:p w14:paraId="13B67EB9">
      <w:pPr>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firstLine="480" w:firstLineChars="200"/>
        <w:jc w:val="both"/>
        <w:textAlignment w:val="auto"/>
        <w:rPr>
          <w:rFonts w:hint="eastAsia" w:ascii="方正仿宋_GB2312" w:hAnsi="方正仿宋_GB2312" w:eastAsia="方正仿宋_GB2312" w:cs="方正仿宋_GB2312"/>
          <w:color w:val="auto"/>
          <w:kern w:val="2"/>
          <w:sz w:val="24"/>
          <w:szCs w:val="24"/>
          <w:highlight w:val="none"/>
          <w:u w:val="none"/>
          <w:lang w:val="en-US" w:eastAsia="zh-CN" w:bidi="ar-SA"/>
        </w:rPr>
      </w:pPr>
      <w:r>
        <w:rPr>
          <w:rFonts w:hint="eastAsia" w:ascii="方正仿宋_GB2312" w:hAnsi="方正仿宋_GB2312" w:eastAsia="方正仿宋_GB2312" w:cs="方正仿宋_GB2312"/>
          <w:b w:val="0"/>
          <w:bCs w:val="0"/>
          <w:color w:val="auto"/>
          <w:kern w:val="0"/>
          <w:sz w:val="24"/>
          <w:szCs w:val="24"/>
          <w:highlight w:val="none"/>
          <w:lang w:val="en-US" w:eastAsia="zh-CN"/>
        </w:rPr>
        <w:t>2.4项目估算总投资：约6230.32万元。</w:t>
      </w:r>
    </w:p>
    <w:p w14:paraId="70414FE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2.5工期</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val="en-US" w:eastAsia="zh-CN"/>
        </w:rPr>
        <w:t>450日历天</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04E95EA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2.6</w:t>
      </w:r>
      <w:bookmarkEnd w:id="22"/>
      <w:bookmarkEnd w:id="23"/>
      <w:bookmarkEnd w:id="24"/>
      <w:bookmarkEnd w:id="25"/>
      <w:bookmarkEnd w:id="26"/>
      <w:bookmarkEnd w:id="27"/>
      <w:bookmarkEnd w:id="28"/>
      <w:bookmarkEnd w:id="29"/>
      <w:bookmarkStart w:id="39" w:name="_Toc247513936"/>
      <w:bookmarkStart w:id="40" w:name="_Toc152042290"/>
      <w:bookmarkStart w:id="41" w:name="_Toc247527537"/>
      <w:bookmarkStart w:id="42" w:name="_Toc152045514"/>
      <w:bookmarkStart w:id="43" w:name="_Toc375560001"/>
      <w:bookmarkStart w:id="44" w:name="_Toc144974482"/>
      <w:bookmarkStart w:id="45" w:name="_Toc370454376"/>
      <w:bookmarkStart w:id="46" w:name="_Toc891"/>
      <w:r>
        <w:rPr>
          <w:rFonts w:hint="eastAsia" w:ascii="方正仿宋_GB2312" w:hAnsi="方正仿宋_GB2312" w:eastAsia="方正仿宋_GB2312" w:cs="方正仿宋_GB2312"/>
          <w:b w:val="0"/>
          <w:bCs w:val="0"/>
          <w:color w:val="auto"/>
          <w:kern w:val="0"/>
          <w:sz w:val="24"/>
          <w:szCs w:val="24"/>
          <w:highlight w:val="none"/>
          <w:lang w:val="en-US" w:eastAsia="zh-CN"/>
        </w:rPr>
        <w:t>招标范围：本项目范围内全部修建性详细规划 初步设计 施工图设计、工程总承包及项目实施过程中的配合服务。包括但不限于本项目的初步设计、施工图设计、工程施工直至竣工验收合格及整体移交、工程缺陷期内的缺陷修复和保修期内的保修工作。</w:t>
      </w:r>
    </w:p>
    <w:p w14:paraId="38A67A96">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2.6.1设计：完成本项目建设内容范围内全部工程及配套设施等的初步设计、施工图设计（含方案设计优化），完成设计全套成果资料制作；配合审图公司完成施工图审查；配合甲方完成行政主管部门的审批、专家咨询、组织专家论证会、资料收集等相关工作；施工过程中的全过程设计服务及协调工作，设计后期的跟踪服务等，工作范围以设计任务书及合同签订为准。</w:t>
      </w:r>
    </w:p>
    <w:p w14:paraId="0C7E7908">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2.6.2施工：完成本项目经审查通过的施工图设计包含的全部施工内容等相关工作，组织验收；完成竣工图的编制、资料归档，配合甲方完成竣工结算审计工作及缺陷责任期内的缺陷修复和保修期内的保修工作等。</w:t>
      </w:r>
    </w:p>
    <w:p w14:paraId="06D76E47">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2.7质量要求：</w:t>
      </w:r>
    </w:p>
    <w:p w14:paraId="1D60E6A2">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2.7.1设计：符合国家、行业及地方现行的相关标准及强制性规范，满足相关部门审批要求并一次性通过审批；并对提供的设计成果质量终身负责。</w:t>
      </w:r>
    </w:p>
    <w:p w14:paraId="746FC24A">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2.7.2施工：符合设计要求，执行《建筑工程施工质量验收统一标准》（GB50300-2013）及国家、省、市现行的质量验收标准，一次性验收合格，并保证各专项工程验收通过。</w:t>
      </w:r>
    </w:p>
    <w:p w14:paraId="70F1F286">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2.7.3总承包承诺：执行《建设项目工程总承包管理规范》（GB/T50358-2017）及国家、省、市现行法规、规范的相关规定。</w:t>
      </w:r>
    </w:p>
    <w:p w14:paraId="6A235796">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2.8标段划分：本项目只设一个标段。</w:t>
      </w:r>
    </w:p>
    <w:p w14:paraId="6AFCCD89">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9"/>
        <w:rPr>
          <w:rFonts w:hint="eastAsia" w:ascii="方正仿宋_GB2312" w:hAnsi="方正仿宋_GB2312" w:eastAsia="方正仿宋_GB2312" w:cs="方正仿宋_GB2312"/>
          <w:b/>
          <w:bCs/>
          <w:color w:val="auto"/>
          <w:kern w:val="0"/>
          <w:sz w:val="28"/>
          <w:szCs w:val="28"/>
          <w:highlight w:val="none"/>
        </w:rPr>
      </w:pPr>
      <w:r>
        <w:rPr>
          <w:rFonts w:hint="eastAsia" w:ascii="方正仿宋_GB2312" w:hAnsi="方正仿宋_GB2312" w:eastAsia="方正仿宋_GB2312" w:cs="方正仿宋_GB2312"/>
          <w:b/>
          <w:bCs/>
          <w:color w:val="auto"/>
          <w:kern w:val="0"/>
          <w:sz w:val="28"/>
          <w:szCs w:val="28"/>
          <w:highlight w:val="none"/>
          <w:lang w:val="en-US" w:eastAsia="zh-CN"/>
        </w:rPr>
        <w:t>3.</w:t>
      </w:r>
      <w:r>
        <w:rPr>
          <w:rFonts w:hint="eastAsia" w:ascii="方正仿宋_GB2312" w:hAnsi="方正仿宋_GB2312" w:eastAsia="方正仿宋_GB2312" w:cs="方正仿宋_GB2312"/>
          <w:b/>
          <w:bCs/>
          <w:color w:val="auto"/>
          <w:kern w:val="0"/>
          <w:sz w:val="28"/>
          <w:szCs w:val="28"/>
          <w:highlight w:val="none"/>
        </w:rPr>
        <w:t>投标人资格要求</w:t>
      </w:r>
      <w:bookmarkEnd w:id="39"/>
      <w:bookmarkEnd w:id="40"/>
      <w:bookmarkEnd w:id="41"/>
      <w:bookmarkEnd w:id="42"/>
      <w:bookmarkEnd w:id="43"/>
      <w:bookmarkEnd w:id="44"/>
      <w:bookmarkEnd w:id="45"/>
      <w:bookmarkEnd w:id="46"/>
    </w:p>
    <w:p w14:paraId="77435F5E">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3.1营业执照要求：</w:t>
      </w:r>
      <w:r>
        <w:rPr>
          <w:rFonts w:hint="eastAsia" w:ascii="方正仿宋_GB2312" w:hAnsi="方正仿宋_GB2312" w:eastAsia="方正仿宋_GB2312" w:cs="方正仿宋_GB2312"/>
          <w:b w:val="0"/>
          <w:bCs w:val="0"/>
          <w:color w:val="auto"/>
          <w:kern w:val="0"/>
          <w:sz w:val="24"/>
          <w:szCs w:val="24"/>
          <w:highlight w:val="none"/>
        </w:rPr>
        <w:t>投标人必须是在中华人民共和国境内依法成立，具有独立法人资格和独立承担民事责任能力的企业</w:t>
      </w:r>
      <w:r>
        <w:rPr>
          <w:rFonts w:hint="eastAsia" w:ascii="方正仿宋_GB2312" w:hAnsi="方正仿宋_GB2312" w:eastAsia="方正仿宋_GB2312" w:cs="方正仿宋_GB2312"/>
          <w:b w:val="0"/>
          <w:bCs w:val="0"/>
          <w:color w:val="auto"/>
          <w:kern w:val="0"/>
          <w:sz w:val="24"/>
          <w:szCs w:val="24"/>
          <w:highlight w:val="none"/>
          <w:lang w:eastAsia="zh-CN"/>
        </w:rPr>
        <w:t>；必</w:t>
      </w:r>
      <w:r>
        <w:rPr>
          <w:rFonts w:hint="eastAsia" w:ascii="方正仿宋_GB2312" w:hAnsi="方正仿宋_GB2312" w:eastAsia="方正仿宋_GB2312" w:cs="方正仿宋_GB2312"/>
          <w:b w:val="0"/>
          <w:bCs w:val="0"/>
          <w:color w:val="auto"/>
          <w:kern w:val="0"/>
          <w:sz w:val="24"/>
          <w:szCs w:val="24"/>
          <w:highlight w:val="none"/>
        </w:rPr>
        <w:t>须具有合格有效的营业执照</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009E9088">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3.2资质要求：投标人须</w:t>
      </w:r>
      <w:r>
        <w:rPr>
          <w:rFonts w:hint="eastAsia" w:ascii="方正仿宋_GB2312" w:hAnsi="方正仿宋_GB2312" w:eastAsia="方正仿宋_GB2312" w:cs="方正仿宋_GB2312"/>
          <w:b w:val="0"/>
          <w:bCs w:val="0"/>
          <w:color w:val="auto"/>
          <w:kern w:val="0"/>
          <w:sz w:val="24"/>
          <w:szCs w:val="24"/>
          <w:highlight w:val="none"/>
        </w:rPr>
        <w:t>同时具备国家建</w:t>
      </w:r>
      <w:r>
        <w:rPr>
          <w:rFonts w:hint="eastAsia" w:ascii="方正仿宋_GB2312" w:hAnsi="方正仿宋_GB2312" w:eastAsia="方正仿宋_GB2312" w:cs="方正仿宋_GB2312"/>
          <w:b w:val="0"/>
          <w:bCs w:val="0"/>
          <w:color w:val="auto"/>
          <w:kern w:val="0"/>
          <w:sz w:val="24"/>
          <w:szCs w:val="24"/>
          <w:highlight w:val="none"/>
          <w:lang w:val="en-US" w:eastAsia="zh-CN"/>
        </w:rPr>
        <w:t>设行政主管部门核发的以下资质（若同一投标人不能同时具备以下资质要求的，可组成联合体投标）：</w:t>
      </w:r>
    </w:p>
    <w:p w14:paraId="22117DF6">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3.2.1设计资质要求：具备工程设计综合资质或工程设计建筑行业（建筑工程）专业乙级及以上资质（专业乙级以上资质包括行业资质）。</w:t>
      </w:r>
    </w:p>
    <w:p w14:paraId="6774F25E">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3.2.2施工资质要求：具备建筑工程施工总承包叁级及以上（含叁级）资质，并具备有效的安全生产许可证书，并在人员、资金等方面具有相应的施工能力。</w:t>
      </w:r>
    </w:p>
    <w:p w14:paraId="0E2A7F5B">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3.3本次招标接受联合体投标（联合体的家数不得超</w:t>
      </w:r>
      <w:r>
        <w:rPr>
          <w:rFonts w:hint="eastAsia" w:ascii="方正仿宋_GB2312" w:hAnsi="方正仿宋_GB2312" w:eastAsia="方正仿宋_GB2312" w:cs="方正仿宋_GB2312"/>
          <w:b w:val="0"/>
          <w:bCs w:val="0"/>
          <w:color w:val="auto"/>
          <w:kern w:val="0"/>
          <w:sz w:val="24"/>
          <w:szCs w:val="24"/>
          <w:highlight w:val="none"/>
        </w:rPr>
        <w:t>过</w:t>
      </w:r>
      <w:r>
        <w:rPr>
          <w:rFonts w:hint="eastAsia" w:ascii="方正仿宋_GB2312" w:hAnsi="方正仿宋_GB2312" w:eastAsia="方正仿宋_GB2312" w:cs="方正仿宋_GB2312"/>
          <w:b w:val="0"/>
          <w:bCs w:val="0"/>
          <w:color w:val="auto"/>
          <w:kern w:val="0"/>
          <w:sz w:val="24"/>
          <w:szCs w:val="24"/>
          <w:highlight w:val="none"/>
          <w:lang w:val="en-US" w:eastAsia="zh-CN"/>
        </w:rPr>
        <w:t>2</w:t>
      </w:r>
      <w:r>
        <w:rPr>
          <w:rFonts w:hint="eastAsia" w:ascii="方正仿宋_GB2312" w:hAnsi="方正仿宋_GB2312" w:eastAsia="方正仿宋_GB2312" w:cs="方正仿宋_GB2312"/>
          <w:b w:val="0"/>
          <w:bCs w:val="0"/>
          <w:color w:val="auto"/>
          <w:kern w:val="0"/>
          <w:sz w:val="24"/>
          <w:szCs w:val="24"/>
          <w:highlight w:val="none"/>
        </w:rPr>
        <w:t>家，联合体投标的牵头人必须是</w:t>
      </w:r>
      <w:r>
        <w:rPr>
          <w:rFonts w:hint="eastAsia" w:ascii="方正仿宋_GB2312" w:hAnsi="方正仿宋_GB2312" w:eastAsia="方正仿宋_GB2312" w:cs="方正仿宋_GB2312"/>
          <w:b w:val="0"/>
          <w:bCs w:val="0"/>
          <w:color w:val="auto"/>
          <w:kern w:val="0"/>
          <w:sz w:val="24"/>
          <w:szCs w:val="24"/>
          <w:highlight w:val="none"/>
          <w:lang w:eastAsia="zh-CN"/>
        </w:rPr>
        <w:t>施工方</w:t>
      </w:r>
      <w:r>
        <w:rPr>
          <w:rFonts w:hint="eastAsia" w:ascii="方正仿宋_GB2312" w:hAnsi="方正仿宋_GB2312" w:eastAsia="方正仿宋_GB2312" w:cs="方正仿宋_GB2312"/>
          <w:b w:val="0"/>
          <w:bCs w:val="0"/>
          <w:color w:val="auto"/>
          <w:kern w:val="0"/>
          <w:sz w:val="24"/>
          <w:szCs w:val="24"/>
          <w:highlight w:val="none"/>
        </w:rPr>
        <w:t>），并满足以下要求：</w:t>
      </w:r>
    </w:p>
    <w:p w14:paraId="75F20624">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3.3.1</w:t>
      </w:r>
      <w:r>
        <w:rPr>
          <w:rFonts w:hint="eastAsia" w:ascii="方正仿宋_GB2312" w:hAnsi="方正仿宋_GB2312" w:eastAsia="方正仿宋_GB2312" w:cs="方正仿宋_GB2312"/>
          <w:b w:val="0"/>
          <w:bCs w:val="0"/>
          <w:color w:val="auto"/>
          <w:kern w:val="0"/>
          <w:sz w:val="24"/>
          <w:szCs w:val="24"/>
          <w:highlight w:val="none"/>
        </w:rPr>
        <w:t>联合体各方应签订联合体协议书，明确约定各方拟承担的工作和责任，并将联合体协议书随投标文件一并提交招标人。</w:t>
      </w:r>
    </w:p>
    <w:p w14:paraId="1A720AFA">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3.3.2</w:t>
      </w:r>
      <w:r>
        <w:rPr>
          <w:rFonts w:hint="eastAsia" w:ascii="方正仿宋_GB2312" w:hAnsi="方正仿宋_GB2312" w:eastAsia="方正仿宋_GB2312" w:cs="方正仿宋_GB2312"/>
          <w:b w:val="0"/>
          <w:bCs w:val="0"/>
          <w:color w:val="auto"/>
          <w:kern w:val="0"/>
          <w:sz w:val="24"/>
          <w:szCs w:val="24"/>
          <w:highlight w:val="none"/>
        </w:rPr>
        <w:t>投标人的投标文件及中标后签署的合同协议书对联合体各方均具有法律约束力。</w:t>
      </w:r>
    </w:p>
    <w:p w14:paraId="48C6927C">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3.3.3</w:t>
      </w:r>
      <w:r>
        <w:rPr>
          <w:rFonts w:hint="eastAsia" w:ascii="方正仿宋_GB2312" w:hAnsi="方正仿宋_GB2312" w:eastAsia="方正仿宋_GB2312" w:cs="方正仿宋_GB2312"/>
          <w:b w:val="0"/>
          <w:bCs w:val="0"/>
          <w:color w:val="auto"/>
          <w:kern w:val="0"/>
          <w:sz w:val="24"/>
          <w:szCs w:val="24"/>
          <w:highlight w:val="none"/>
        </w:rPr>
        <w:t>联合体中标后，联合体按招标文件要求与招标人签订合同，联合体各方为履行合同向招标人承担各自范围内相应责任。</w:t>
      </w:r>
    </w:p>
    <w:p w14:paraId="5EB897B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3.3.4</w:t>
      </w:r>
      <w:r>
        <w:rPr>
          <w:rFonts w:hint="eastAsia" w:ascii="方正仿宋_GB2312" w:hAnsi="方正仿宋_GB2312" w:eastAsia="方正仿宋_GB2312" w:cs="方正仿宋_GB2312"/>
          <w:b w:val="0"/>
          <w:bCs w:val="0"/>
          <w:color w:val="auto"/>
          <w:kern w:val="0"/>
          <w:sz w:val="24"/>
          <w:szCs w:val="24"/>
          <w:highlight w:val="none"/>
        </w:rPr>
        <w:t>由同一专业的单位组成的联合体，按照资质等级较低的单位确定资质等级。</w:t>
      </w:r>
    </w:p>
    <w:p w14:paraId="1097CB49">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3.3.5</w:t>
      </w:r>
      <w:r>
        <w:rPr>
          <w:rFonts w:hint="eastAsia" w:ascii="方正仿宋_GB2312" w:hAnsi="方正仿宋_GB2312" w:eastAsia="方正仿宋_GB2312" w:cs="方正仿宋_GB2312"/>
          <w:b w:val="0"/>
          <w:bCs w:val="0"/>
          <w:color w:val="auto"/>
          <w:kern w:val="0"/>
          <w:sz w:val="24"/>
          <w:szCs w:val="24"/>
          <w:highlight w:val="none"/>
        </w:rPr>
        <w:t>联合体投标的，应当以联合体各方或者</w:t>
      </w:r>
      <w:r>
        <w:rPr>
          <w:rFonts w:hint="eastAsia" w:ascii="方正仿宋_GB2312" w:hAnsi="方正仿宋_GB2312" w:eastAsia="方正仿宋_GB2312" w:cs="方正仿宋_GB2312"/>
          <w:b w:val="0"/>
          <w:bCs w:val="0"/>
          <w:color w:val="auto"/>
          <w:kern w:val="0"/>
          <w:sz w:val="24"/>
          <w:szCs w:val="24"/>
          <w:highlight w:val="none"/>
          <w:lang w:eastAsia="zh-CN"/>
        </w:rPr>
        <w:t>联合体</w:t>
      </w:r>
      <w:r>
        <w:rPr>
          <w:rFonts w:hint="eastAsia" w:ascii="方正仿宋_GB2312" w:hAnsi="方正仿宋_GB2312" w:eastAsia="方正仿宋_GB2312" w:cs="方正仿宋_GB2312"/>
          <w:b w:val="0"/>
          <w:bCs w:val="0"/>
          <w:color w:val="auto"/>
          <w:kern w:val="0"/>
          <w:sz w:val="24"/>
          <w:szCs w:val="24"/>
          <w:highlight w:val="none"/>
        </w:rPr>
        <w:t>牵头人的名义提交投标保证金。以</w:t>
      </w:r>
      <w:r>
        <w:rPr>
          <w:rFonts w:hint="eastAsia" w:ascii="方正仿宋_GB2312" w:hAnsi="方正仿宋_GB2312" w:eastAsia="方正仿宋_GB2312" w:cs="方正仿宋_GB2312"/>
          <w:b w:val="0"/>
          <w:bCs w:val="0"/>
          <w:color w:val="auto"/>
          <w:kern w:val="0"/>
          <w:sz w:val="24"/>
          <w:szCs w:val="24"/>
          <w:highlight w:val="none"/>
          <w:lang w:eastAsia="zh-CN"/>
        </w:rPr>
        <w:t>联合体</w:t>
      </w:r>
      <w:r>
        <w:rPr>
          <w:rFonts w:hint="eastAsia" w:ascii="方正仿宋_GB2312" w:hAnsi="方正仿宋_GB2312" w:eastAsia="方正仿宋_GB2312" w:cs="方正仿宋_GB2312"/>
          <w:b w:val="0"/>
          <w:bCs w:val="0"/>
          <w:color w:val="auto"/>
          <w:kern w:val="0"/>
          <w:sz w:val="24"/>
          <w:szCs w:val="24"/>
          <w:highlight w:val="none"/>
        </w:rPr>
        <w:t>牵头人名义提交的投标保证金，对联合体各成员具有约束力。</w:t>
      </w:r>
    </w:p>
    <w:p w14:paraId="693B6BB7">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3.3.6</w:t>
      </w:r>
      <w:r>
        <w:rPr>
          <w:rFonts w:hint="eastAsia" w:ascii="方正仿宋_GB2312" w:hAnsi="方正仿宋_GB2312" w:eastAsia="方正仿宋_GB2312" w:cs="方正仿宋_GB2312"/>
          <w:b w:val="0"/>
          <w:bCs w:val="0"/>
          <w:color w:val="auto"/>
          <w:kern w:val="0"/>
          <w:sz w:val="24"/>
          <w:szCs w:val="24"/>
          <w:highlight w:val="none"/>
        </w:rPr>
        <w:t>两个以上法人或者其他组织可以组成一个联合体，以一个投标人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w:t>
      </w:r>
    </w:p>
    <w:p w14:paraId="3991D43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3.3.7</w:t>
      </w:r>
      <w:r>
        <w:rPr>
          <w:rFonts w:hint="eastAsia" w:ascii="方正仿宋_GB2312" w:hAnsi="方正仿宋_GB2312" w:eastAsia="方正仿宋_GB2312" w:cs="方正仿宋_GB2312"/>
          <w:b w:val="0"/>
          <w:bCs w:val="0"/>
          <w:color w:val="auto"/>
          <w:kern w:val="0"/>
          <w:sz w:val="24"/>
          <w:szCs w:val="24"/>
          <w:highlight w:val="none"/>
        </w:rPr>
        <w:t>联合体资质应符合法律法规的规定，并按照联合体协议约定的分工进行认定。</w:t>
      </w:r>
    </w:p>
    <w:p w14:paraId="2058212B">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3.4项目人员配备要求：</w:t>
      </w:r>
    </w:p>
    <w:p w14:paraId="7B39691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3.4.1总承包项目负责人资格要求：具备建筑工程专业二级及以上（含二级）注册建造师资格（可以和</w:t>
      </w:r>
      <w:r>
        <w:rPr>
          <w:rFonts w:hint="eastAsia" w:ascii="方正仿宋_GB2312" w:hAnsi="方正仿宋_GB2312" w:eastAsia="方正仿宋_GB2312" w:cs="方正仿宋_GB2312"/>
          <w:b w:val="0"/>
          <w:bCs w:val="0"/>
          <w:color w:val="auto"/>
          <w:kern w:val="0"/>
          <w:sz w:val="24"/>
          <w:szCs w:val="24"/>
          <w:highlight w:val="none"/>
        </w:rPr>
        <w:t>施工项目负责人</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lang w:val="en-US" w:eastAsia="zh-CN"/>
        </w:rPr>
        <w:t>项目经理）为同一人），并取得有效的安全生产考核合格证书（B证），且注册在投标人单位，须提供注册单位（如为联合体投标的，则为联合体协议中明确的施工方）2025年10月至投标截止时间任意连续3个月的基本养老保险参保证明原件扫描件(社保部门书面出具并加盖印章的参保证明或社保网查询下载打印的参保证明）。</w:t>
      </w:r>
    </w:p>
    <w:p w14:paraId="5D144476">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3.4.2设计负责人的资格要求：拟派往本项目的设计负责人须具备一级注册建筑师资格，且注册在投标人单位，须提供注册单位2025年10月至投标截止时间任意连续3个月的基本养老保险参保证明原件扫描件(社保部门书面出具并加盖印章的参保证明或社保网查询下载打印的参保证明），</w:t>
      </w:r>
      <w:r>
        <w:rPr>
          <w:rFonts w:hint="eastAsia" w:ascii="仿宋" w:hAnsi="仿宋" w:eastAsia="仿宋" w:cs="仿宋"/>
          <w:color w:val="auto"/>
          <w:spacing w:val="9"/>
          <w:sz w:val="24"/>
          <w:szCs w:val="24"/>
          <w:highlight w:val="none"/>
        </w:rPr>
        <w:t>已经退休的</w:t>
      </w:r>
      <w:r>
        <w:rPr>
          <w:rFonts w:hint="eastAsia" w:ascii="仿宋" w:hAnsi="仿宋" w:eastAsia="仿宋" w:cs="仿宋"/>
          <w:color w:val="auto"/>
          <w:spacing w:val="9"/>
          <w:sz w:val="24"/>
          <w:szCs w:val="24"/>
          <w:highlight w:val="none"/>
          <w:lang w:eastAsia="zh-CN"/>
        </w:rPr>
        <w:t>，需</w:t>
      </w:r>
      <w:r>
        <w:rPr>
          <w:rFonts w:hint="eastAsia" w:ascii="仿宋" w:hAnsi="仿宋" w:eastAsia="仿宋" w:cs="仿宋"/>
          <w:color w:val="auto"/>
          <w:spacing w:val="9"/>
          <w:sz w:val="24"/>
          <w:szCs w:val="24"/>
          <w:highlight w:val="none"/>
        </w:rPr>
        <w:t>要提供返聘协议及退休证书</w:t>
      </w:r>
      <w:r>
        <w:rPr>
          <w:rFonts w:hint="eastAsia" w:ascii="方正仿宋_GB2312" w:hAnsi="方正仿宋_GB2312" w:eastAsia="方正仿宋_GB2312" w:cs="方正仿宋_GB2312"/>
          <w:b w:val="0"/>
          <w:bCs w:val="0"/>
          <w:color w:val="auto"/>
          <w:kern w:val="0"/>
          <w:sz w:val="24"/>
          <w:szCs w:val="24"/>
          <w:highlight w:val="none"/>
          <w:lang w:val="en-US" w:eastAsia="zh-CN"/>
        </w:rPr>
        <w:t>。</w:t>
      </w:r>
    </w:p>
    <w:p w14:paraId="4E1A7BB0">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3.4.3施工负责人（项目经理）的资格要求：具备建筑工程专业二级及以上（含二级）注册建造师资格，并取得有效的安全生产考核合格证书（B证），且注册在投标人单位，须提供注册单位2025年10月至投标截止时间任意连续3个月的基本养老保险参保证明原件扫描件(社保部门书面出具并加盖印章的参保证明或社保网查询下载打印的参保证明）。</w:t>
      </w:r>
    </w:p>
    <w:p w14:paraId="70D7BA5A">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3.5</w:t>
      </w:r>
      <w:r>
        <w:rPr>
          <w:rFonts w:hint="eastAsia" w:ascii="方正仿宋_GB2312" w:hAnsi="方正仿宋_GB2312" w:eastAsia="方正仿宋_GB2312" w:cs="方正仿宋_GB2312"/>
          <w:b w:val="0"/>
          <w:bCs w:val="0"/>
          <w:color w:val="auto"/>
          <w:kern w:val="0"/>
          <w:sz w:val="24"/>
          <w:szCs w:val="24"/>
          <w:highlight w:val="none"/>
        </w:rPr>
        <w:t>项目管理机构及人员要求</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1766ACBE">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3.</w:t>
      </w:r>
      <w:r>
        <w:rPr>
          <w:rFonts w:hint="eastAsia" w:ascii="方正仿宋_GB2312" w:hAnsi="方正仿宋_GB2312" w:eastAsia="方正仿宋_GB2312" w:cs="方正仿宋_GB2312"/>
          <w:b w:val="0"/>
          <w:bCs w:val="0"/>
          <w:color w:val="auto"/>
          <w:kern w:val="0"/>
          <w:sz w:val="24"/>
          <w:szCs w:val="24"/>
          <w:highlight w:val="none"/>
          <w:lang w:val="en-US" w:eastAsia="zh-CN"/>
        </w:rPr>
        <w:t>5</w:t>
      </w:r>
      <w:r>
        <w:rPr>
          <w:rFonts w:hint="eastAsia" w:ascii="方正仿宋_GB2312" w:hAnsi="方正仿宋_GB2312" w:eastAsia="方正仿宋_GB2312" w:cs="方正仿宋_GB2312"/>
          <w:b w:val="0"/>
          <w:bCs w:val="0"/>
          <w:color w:val="auto"/>
          <w:kern w:val="0"/>
          <w:sz w:val="24"/>
          <w:szCs w:val="24"/>
          <w:highlight w:val="none"/>
          <w:lang w:val="zh-CN"/>
        </w:rPr>
        <w:t>.1拟配备设计人员要求：</w:t>
      </w:r>
    </w:p>
    <w:p w14:paraId="76C6826D">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①建筑专业负责人：须具备</w:t>
      </w:r>
      <w:r>
        <w:rPr>
          <w:rFonts w:hint="eastAsia" w:ascii="方正仿宋_GB2312" w:hAnsi="方正仿宋_GB2312" w:eastAsia="方正仿宋_GB2312" w:cs="方正仿宋_GB2312"/>
          <w:b w:val="0"/>
          <w:bCs w:val="0"/>
          <w:color w:val="auto"/>
          <w:kern w:val="0"/>
          <w:sz w:val="24"/>
          <w:szCs w:val="24"/>
          <w:highlight w:val="none"/>
          <w:lang w:val="en-US" w:eastAsia="zh-CN"/>
        </w:rPr>
        <w:t>一</w:t>
      </w:r>
      <w:r>
        <w:rPr>
          <w:rFonts w:hint="eastAsia" w:ascii="方正仿宋_GB2312" w:hAnsi="方正仿宋_GB2312" w:eastAsia="方正仿宋_GB2312" w:cs="方正仿宋_GB2312"/>
          <w:b w:val="0"/>
          <w:bCs w:val="0"/>
          <w:color w:val="auto"/>
          <w:kern w:val="0"/>
          <w:sz w:val="24"/>
          <w:szCs w:val="24"/>
          <w:highlight w:val="none"/>
          <w:lang w:val="zh-CN"/>
        </w:rPr>
        <w:t>级注册建筑师资格</w:t>
      </w:r>
      <w:r>
        <w:rPr>
          <w:rFonts w:hint="eastAsia" w:ascii="方正仿宋_GB2312" w:hAnsi="方正仿宋_GB2312" w:eastAsia="方正仿宋_GB2312" w:cs="方正仿宋_GB2312"/>
          <w:b w:val="0"/>
          <w:bCs w:val="0"/>
          <w:color w:val="auto"/>
          <w:kern w:val="0"/>
          <w:sz w:val="24"/>
          <w:szCs w:val="24"/>
          <w:highlight w:val="none"/>
          <w:lang w:val="en-US" w:eastAsia="zh-CN"/>
        </w:rPr>
        <w:t>或</w:t>
      </w:r>
      <w:r>
        <w:rPr>
          <w:rFonts w:hint="eastAsia" w:ascii="方正仿宋_GB2312" w:hAnsi="方正仿宋_GB2312" w:eastAsia="方正仿宋_GB2312" w:cs="方正仿宋_GB2312"/>
          <w:b w:val="0"/>
          <w:bCs w:val="0"/>
          <w:color w:val="auto"/>
          <w:kern w:val="0"/>
          <w:sz w:val="24"/>
          <w:szCs w:val="24"/>
          <w:highlight w:val="none"/>
          <w:lang w:val="zh-CN"/>
        </w:rPr>
        <w:t>高级以上（含高级）职称；</w:t>
      </w:r>
    </w:p>
    <w:p w14:paraId="1416EF1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②结构专业负责人：须具备二级以上（含二级）注册结构师资格</w:t>
      </w:r>
      <w:r>
        <w:rPr>
          <w:rFonts w:hint="eastAsia" w:ascii="方正仿宋_GB2312" w:hAnsi="方正仿宋_GB2312" w:eastAsia="方正仿宋_GB2312" w:cs="方正仿宋_GB2312"/>
          <w:b w:val="0"/>
          <w:bCs w:val="0"/>
          <w:color w:val="auto"/>
          <w:kern w:val="0"/>
          <w:sz w:val="24"/>
          <w:szCs w:val="24"/>
          <w:highlight w:val="none"/>
          <w:lang w:val="en-US" w:eastAsia="zh-CN"/>
        </w:rPr>
        <w:t>或</w:t>
      </w:r>
      <w:r>
        <w:rPr>
          <w:rFonts w:hint="eastAsia" w:ascii="方正仿宋_GB2312" w:hAnsi="方正仿宋_GB2312" w:eastAsia="方正仿宋_GB2312" w:cs="方正仿宋_GB2312"/>
          <w:b w:val="0"/>
          <w:bCs w:val="0"/>
          <w:color w:val="auto"/>
          <w:kern w:val="0"/>
          <w:sz w:val="24"/>
          <w:szCs w:val="24"/>
          <w:highlight w:val="none"/>
          <w:lang w:val="zh-CN"/>
        </w:rPr>
        <w:t>中级以上（含中级）职称；</w:t>
      </w:r>
    </w:p>
    <w:p w14:paraId="7EC1F117">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en-US" w:eastAsia="zh-CN"/>
        </w:rPr>
        <w:t>其余</w:t>
      </w:r>
      <w:r>
        <w:rPr>
          <w:rFonts w:hint="eastAsia" w:ascii="方正仿宋_GB2312" w:hAnsi="方正仿宋_GB2312" w:eastAsia="方正仿宋_GB2312" w:cs="方正仿宋_GB2312"/>
          <w:b w:val="0"/>
          <w:bCs w:val="0"/>
          <w:color w:val="auto"/>
          <w:kern w:val="0"/>
          <w:sz w:val="24"/>
          <w:szCs w:val="24"/>
          <w:highlight w:val="none"/>
          <w:lang w:val="zh-CN"/>
        </w:rPr>
        <w:t>设计人员由投标人根据项目情况自行配备。</w:t>
      </w:r>
      <w:r>
        <w:rPr>
          <w:rFonts w:hint="eastAsia" w:ascii="方正仿宋_GB2312" w:hAnsi="方正仿宋_GB2312" w:eastAsia="方正仿宋_GB2312" w:cs="方正仿宋_GB2312"/>
          <w:b w:val="0"/>
          <w:bCs w:val="0"/>
          <w:color w:val="auto"/>
          <w:kern w:val="0"/>
          <w:sz w:val="24"/>
          <w:szCs w:val="24"/>
          <w:highlight w:val="none"/>
          <w:lang w:val="en-US" w:eastAsia="zh-CN"/>
        </w:rPr>
        <w:t>所有拟配备设计人员须</w:t>
      </w:r>
      <w:r>
        <w:rPr>
          <w:rFonts w:hint="eastAsia" w:ascii="方正仿宋_GB2312" w:hAnsi="方正仿宋_GB2312" w:eastAsia="方正仿宋_GB2312" w:cs="方正仿宋_GB2312"/>
          <w:b w:val="0"/>
          <w:bCs w:val="0"/>
          <w:color w:val="auto"/>
          <w:kern w:val="0"/>
          <w:sz w:val="24"/>
          <w:szCs w:val="24"/>
          <w:highlight w:val="none"/>
          <w:lang w:val="zh-CN"/>
        </w:rPr>
        <w:t>提供职称证书、身份证和社保部门出具的</w:t>
      </w:r>
      <w:r>
        <w:rPr>
          <w:rFonts w:hint="eastAsia" w:ascii="方正仿宋_GB2312" w:hAnsi="方正仿宋_GB2312" w:eastAsia="方正仿宋_GB2312" w:cs="方正仿宋_GB2312"/>
          <w:b w:val="0"/>
          <w:bCs w:val="0"/>
          <w:color w:val="auto"/>
          <w:kern w:val="0"/>
          <w:sz w:val="24"/>
          <w:szCs w:val="24"/>
          <w:highlight w:val="none"/>
          <w:lang w:val="en-US" w:eastAsia="zh-CN"/>
        </w:rPr>
        <w:t>本单位2025年10月至投标截止时间任意连续3个月的基本养老保险参保证明原件扫描件(社保部门书面出具并加盖印章的参保证明或社保网查询下载打印的参保证明）。</w:t>
      </w:r>
    </w:p>
    <w:p w14:paraId="467C8BAD">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rPr>
        <w:t>3.</w:t>
      </w:r>
      <w:r>
        <w:rPr>
          <w:rFonts w:hint="eastAsia" w:ascii="方正仿宋_GB2312" w:hAnsi="方正仿宋_GB2312" w:eastAsia="方正仿宋_GB2312" w:cs="方正仿宋_GB2312"/>
          <w:b w:val="0"/>
          <w:bCs w:val="0"/>
          <w:color w:val="auto"/>
          <w:kern w:val="0"/>
          <w:sz w:val="24"/>
          <w:szCs w:val="24"/>
          <w:highlight w:val="none"/>
          <w:lang w:val="en-US" w:eastAsia="zh-CN"/>
        </w:rPr>
        <w:t>5</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val="en-US" w:eastAsia="zh-CN"/>
        </w:rPr>
        <w:t>2</w:t>
      </w:r>
      <w:r>
        <w:rPr>
          <w:rFonts w:hint="eastAsia" w:ascii="方正仿宋_GB2312" w:hAnsi="方正仿宋_GB2312" w:eastAsia="方正仿宋_GB2312" w:cs="方正仿宋_GB2312"/>
          <w:b w:val="0"/>
          <w:bCs w:val="0"/>
          <w:color w:val="auto"/>
          <w:kern w:val="0"/>
          <w:sz w:val="24"/>
          <w:szCs w:val="24"/>
          <w:highlight w:val="none"/>
        </w:rPr>
        <w:t>拟配备项目施工管理人员要求：</w:t>
      </w:r>
    </w:p>
    <w:p w14:paraId="586A802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拟配备的项目技术负责人须具备工程类中级以上（含中级）职称或建筑工程专业二级以上（含二级）注册建造师资格，</w:t>
      </w:r>
      <w:r>
        <w:rPr>
          <w:rFonts w:hint="eastAsia" w:ascii="方正仿宋_GB2312" w:hAnsi="方正仿宋_GB2312" w:eastAsia="方正仿宋_GB2312" w:cs="方正仿宋_GB2312"/>
          <w:b w:val="0"/>
          <w:bCs w:val="0"/>
          <w:color w:val="auto"/>
          <w:kern w:val="0"/>
          <w:sz w:val="24"/>
          <w:szCs w:val="24"/>
          <w:highlight w:val="none"/>
        </w:rPr>
        <w:t>并</w:t>
      </w:r>
      <w:r>
        <w:rPr>
          <w:rFonts w:hint="eastAsia" w:ascii="方正仿宋_GB2312" w:hAnsi="方正仿宋_GB2312" w:eastAsia="方正仿宋_GB2312" w:cs="方正仿宋_GB2312"/>
          <w:b w:val="0"/>
          <w:bCs w:val="0"/>
          <w:color w:val="auto"/>
          <w:kern w:val="0"/>
          <w:sz w:val="24"/>
          <w:szCs w:val="24"/>
          <w:highlight w:val="none"/>
          <w:lang w:val="zh-CN"/>
        </w:rPr>
        <w:t>提供相关证书原件扫描件和</w:t>
      </w:r>
      <w:r>
        <w:rPr>
          <w:rFonts w:hint="eastAsia" w:ascii="方正仿宋_GB2312" w:hAnsi="方正仿宋_GB2312" w:eastAsia="方正仿宋_GB2312" w:cs="方正仿宋_GB2312"/>
          <w:b w:val="0"/>
          <w:bCs w:val="0"/>
          <w:color w:val="auto"/>
          <w:kern w:val="0"/>
          <w:sz w:val="24"/>
          <w:szCs w:val="24"/>
          <w:highlight w:val="none"/>
          <w:lang w:val="en-US" w:eastAsia="zh-CN"/>
        </w:rPr>
        <w:t>本单位2025年10月至投标截止时间任意连续3个月的基本养老保险参保证明原件扫描件(社保部门书面出具并加盖印章的参保证明或社保网查询下载打印的参保证明）。</w:t>
      </w:r>
    </w:p>
    <w:p w14:paraId="6A5CD46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zh-CN"/>
        </w:rPr>
        <w:t>拟配备的施工现场专业（管理）人员不得低于招标文件中“施工现场专业（管理）人员配备表”</w:t>
      </w:r>
      <w:r>
        <w:rPr>
          <w:rFonts w:hint="eastAsia" w:ascii="方正仿宋_GB2312" w:hAnsi="方正仿宋_GB2312" w:eastAsia="方正仿宋_GB2312" w:cs="方正仿宋_GB2312"/>
          <w:b w:val="0"/>
          <w:bCs w:val="0"/>
          <w:color w:val="auto"/>
          <w:kern w:val="0"/>
          <w:sz w:val="24"/>
          <w:szCs w:val="24"/>
          <w:highlight w:val="none"/>
        </w:rPr>
        <w:t>的</w:t>
      </w:r>
      <w:r>
        <w:rPr>
          <w:rFonts w:hint="eastAsia" w:ascii="方正仿宋_GB2312" w:hAnsi="方正仿宋_GB2312" w:eastAsia="方正仿宋_GB2312" w:cs="方正仿宋_GB2312"/>
          <w:b w:val="0"/>
          <w:bCs w:val="0"/>
          <w:color w:val="auto"/>
          <w:kern w:val="0"/>
          <w:sz w:val="24"/>
          <w:szCs w:val="24"/>
          <w:highlight w:val="none"/>
          <w:lang w:val="zh-CN"/>
        </w:rPr>
        <w:t>要求。施工员、安全员、质量员</w:t>
      </w:r>
      <w:r>
        <w:rPr>
          <w:rFonts w:hint="eastAsia" w:ascii="方正仿宋_GB2312" w:hAnsi="方正仿宋_GB2312" w:eastAsia="方正仿宋_GB2312" w:cs="方正仿宋_GB2312"/>
          <w:b w:val="0"/>
          <w:bCs w:val="0"/>
          <w:color w:val="auto"/>
          <w:kern w:val="0"/>
          <w:sz w:val="24"/>
          <w:szCs w:val="24"/>
          <w:highlight w:val="none"/>
          <w:lang w:val="en-US" w:eastAsia="zh-CN"/>
        </w:rPr>
        <w:t>须</w:t>
      </w:r>
      <w:r>
        <w:rPr>
          <w:rFonts w:hint="eastAsia" w:ascii="方正仿宋_GB2312" w:hAnsi="方正仿宋_GB2312" w:eastAsia="方正仿宋_GB2312" w:cs="方正仿宋_GB2312"/>
          <w:b w:val="0"/>
          <w:bCs w:val="0"/>
          <w:color w:val="auto"/>
          <w:kern w:val="0"/>
          <w:sz w:val="24"/>
          <w:szCs w:val="24"/>
          <w:highlight w:val="none"/>
        </w:rPr>
        <w:t>提供</w:t>
      </w:r>
      <w:r>
        <w:rPr>
          <w:rFonts w:hint="eastAsia" w:ascii="方正仿宋_GB2312" w:hAnsi="方正仿宋_GB2312" w:eastAsia="方正仿宋_GB2312" w:cs="方正仿宋_GB2312"/>
          <w:b w:val="0"/>
          <w:bCs w:val="0"/>
          <w:color w:val="auto"/>
          <w:kern w:val="0"/>
          <w:sz w:val="24"/>
          <w:szCs w:val="24"/>
          <w:highlight w:val="none"/>
          <w:lang w:val="en-US" w:eastAsia="zh-CN"/>
        </w:rPr>
        <w:t>本单位2025年10月至投标截止时间任意连续3个月的基本养老保险参保证明原件扫描件</w:t>
      </w:r>
      <w:r>
        <w:rPr>
          <w:rFonts w:hint="eastAsia" w:ascii="方正仿宋_GB2312" w:hAnsi="方正仿宋_GB2312" w:eastAsia="方正仿宋_GB2312" w:cs="方正仿宋_GB2312"/>
          <w:b w:val="0"/>
          <w:bCs w:val="0"/>
          <w:color w:val="auto"/>
          <w:kern w:val="0"/>
          <w:sz w:val="24"/>
          <w:szCs w:val="24"/>
          <w:highlight w:val="none"/>
          <w:u w:val="none"/>
          <w:lang w:val="en-US" w:eastAsia="zh-CN"/>
        </w:rPr>
        <w:t>(</w:t>
      </w:r>
      <w:r>
        <w:rPr>
          <w:rFonts w:hint="eastAsia" w:ascii="方正仿宋_GB2312" w:hAnsi="方正仿宋_GB2312" w:eastAsia="方正仿宋_GB2312" w:cs="方正仿宋_GB2312"/>
          <w:b w:val="0"/>
          <w:bCs w:val="0"/>
          <w:color w:val="auto"/>
          <w:kern w:val="0"/>
          <w:sz w:val="24"/>
          <w:szCs w:val="24"/>
          <w:highlight w:val="none"/>
          <w:lang w:val="en-US" w:eastAsia="zh-CN"/>
        </w:rPr>
        <w:t>社保部门书面出具并加盖印章的参保证明或社保网查询下载打印的参保证明）</w:t>
      </w:r>
      <w:r>
        <w:rPr>
          <w:rFonts w:hint="eastAsia" w:ascii="方正仿宋_GB2312" w:hAnsi="方正仿宋_GB2312" w:eastAsia="方正仿宋_GB2312" w:cs="方正仿宋_GB2312"/>
          <w:b w:val="0"/>
          <w:bCs w:val="0"/>
          <w:color w:val="auto"/>
          <w:kern w:val="0"/>
          <w:sz w:val="24"/>
          <w:szCs w:val="24"/>
          <w:highlight w:val="none"/>
          <w:lang w:val="zh-CN"/>
        </w:rPr>
        <w:t>。</w:t>
      </w:r>
    </w:p>
    <w:p w14:paraId="738E1B0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eastAsia="方正仿宋_GB2312"/>
          <w:color w:val="auto"/>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注：拟派该项目人员社保证明中的缴费单位应与投标单位一致，否则不予认可。</w:t>
      </w:r>
    </w:p>
    <w:p w14:paraId="03A28B57">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Cs/>
          <w:color w:val="auto"/>
          <w:kern w:val="0"/>
          <w:sz w:val="24"/>
          <w:szCs w:val="24"/>
          <w:highlight w:val="none"/>
          <w:lang w:val="en-US" w:eastAsia="zh-CN" w:bidi="ar-SA"/>
        </w:rPr>
      </w:pPr>
      <w:r>
        <w:rPr>
          <w:rFonts w:hint="eastAsia" w:ascii="方正仿宋_GB2312" w:hAnsi="方正仿宋_GB2312" w:eastAsia="方正仿宋_GB2312" w:cs="方正仿宋_GB2312"/>
          <w:b w:val="0"/>
          <w:bCs w:val="0"/>
          <w:color w:val="auto"/>
          <w:kern w:val="0"/>
          <w:sz w:val="24"/>
          <w:szCs w:val="24"/>
          <w:highlight w:val="none"/>
          <w:lang w:val="en-US" w:eastAsia="zh-CN"/>
        </w:rPr>
        <w:t>3.6财务要求：具有顺利完成本招标项目设计、施工的财务能力，</w:t>
      </w:r>
      <w:r>
        <w:rPr>
          <w:rFonts w:hint="eastAsia" w:ascii="方正仿宋_GB2312" w:hAnsi="方正仿宋_GB2312" w:eastAsia="方正仿宋_GB2312" w:cs="方正仿宋_GB2312"/>
          <w:bCs/>
          <w:color w:val="auto"/>
          <w:kern w:val="0"/>
          <w:sz w:val="24"/>
          <w:szCs w:val="24"/>
          <w:highlight w:val="none"/>
          <w:lang w:val="en-US" w:eastAsia="zh-CN" w:bidi="ar-SA"/>
        </w:rPr>
        <w:t>提供企业2024年或2025年度的经审计机构审计的财务报表（包括资产负债表、现金流量表、利润表或损益表、财务情况说明书、公司财务制度），2025年及以后成立的企业，此项不审查，若联合体投标的，联合体各方均需提供。</w:t>
      </w:r>
    </w:p>
    <w:p w14:paraId="40ED4F7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3.7</w:t>
      </w:r>
      <w:r>
        <w:rPr>
          <w:rFonts w:hint="eastAsia" w:ascii="方正仿宋_GB2312" w:hAnsi="方正仿宋_GB2312" w:eastAsia="方正仿宋_GB2312" w:cs="方正仿宋_GB2312"/>
          <w:b w:val="0"/>
          <w:bCs w:val="0"/>
          <w:color w:val="auto"/>
          <w:kern w:val="0"/>
          <w:sz w:val="24"/>
          <w:szCs w:val="24"/>
          <w:highlight w:val="none"/>
        </w:rPr>
        <w:t>信誉要求：</w:t>
      </w:r>
    </w:p>
    <w:p w14:paraId="45927248">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bookmarkStart w:id="47" w:name="_Toc18912"/>
      <w:bookmarkStart w:id="48" w:name="_Toc4224"/>
      <w:bookmarkStart w:id="49" w:name="_Toc28138"/>
      <w:r>
        <w:rPr>
          <w:rFonts w:hint="eastAsia" w:ascii="方正仿宋_GB2312" w:hAnsi="方正仿宋_GB2312" w:eastAsia="方正仿宋_GB2312" w:cs="方正仿宋_GB2312"/>
          <w:b w:val="0"/>
          <w:bCs w:val="0"/>
          <w:color w:val="auto"/>
          <w:kern w:val="0"/>
          <w:sz w:val="24"/>
          <w:szCs w:val="24"/>
          <w:highlight w:val="none"/>
          <w:lang w:val="en-US" w:eastAsia="zh-CN"/>
        </w:rPr>
        <w:t>3.7.1</w:t>
      </w:r>
      <w:r>
        <w:rPr>
          <w:rFonts w:hint="eastAsia" w:ascii="方正仿宋_GB2312" w:hAnsi="方正仿宋_GB2312" w:eastAsia="方正仿宋_GB2312" w:cs="方正仿宋_GB2312"/>
          <w:b w:val="0"/>
          <w:bCs w:val="0"/>
          <w:color w:val="auto"/>
          <w:kern w:val="0"/>
          <w:sz w:val="24"/>
          <w:szCs w:val="24"/>
          <w:highlight w:val="none"/>
        </w:rPr>
        <w:t>投标人当前没有处于被责令停产、投标资格取消、财产被接管或冻结、破产等状态；投标人近三年内未曾骗取中标或严重违约或发生重大工程质量、安全事故，没有被建设行政主管部门列入黑名单的情况（</w:t>
      </w:r>
      <w:r>
        <w:rPr>
          <w:rFonts w:hint="eastAsia" w:ascii="方正仿宋_GB2312" w:hAnsi="方正仿宋_GB2312" w:eastAsia="方正仿宋_GB2312" w:cs="方正仿宋_GB2312"/>
          <w:b w:val="0"/>
          <w:bCs w:val="0"/>
          <w:color w:val="auto"/>
          <w:kern w:val="0"/>
          <w:sz w:val="24"/>
          <w:szCs w:val="24"/>
          <w:highlight w:val="none"/>
          <w:lang w:val="zh-CN" w:eastAsia="zh-CN"/>
        </w:rPr>
        <w:t>如未出现上述情况，投标人须</w:t>
      </w:r>
      <w:r>
        <w:rPr>
          <w:rFonts w:hint="eastAsia" w:ascii="方正仿宋_GB2312" w:hAnsi="方正仿宋_GB2312" w:eastAsia="方正仿宋_GB2312" w:cs="方正仿宋_GB2312"/>
          <w:b w:val="0"/>
          <w:bCs w:val="0"/>
          <w:color w:val="auto"/>
          <w:kern w:val="0"/>
          <w:sz w:val="24"/>
          <w:szCs w:val="24"/>
          <w:highlight w:val="none"/>
          <w:lang w:val="en-US" w:eastAsia="zh-CN"/>
        </w:rPr>
        <w:t>作出</w:t>
      </w:r>
      <w:r>
        <w:rPr>
          <w:rFonts w:hint="eastAsia" w:ascii="方正仿宋_GB2312" w:hAnsi="方正仿宋_GB2312" w:eastAsia="方正仿宋_GB2312" w:cs="方正仿宋_GB2312"/>
          <w:b w:val="0"/>
          <w:bCs w:val="0"/>
          <w:color w:val="auto"/>
          <w:kern w:val="0"/>
          <w:sz w:val="24"/>
          <w:szCs w:val="24"/>
          <w:highlight w:val="none"/>
          <w:lang w:val="zh-CN" w:eastAsia="zh-CN"/>
        </w:rPr>
        <w:t>承诺，若为联合体投标的，联合体投标的各成员均须作出承诺，并对其真实性负责</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69225454">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3.7.2</w:t>
      </w:r>
      <w:r>
        <w:rPr>
          <w:rFonts w:hint="eastAsia" w:ascii="方正仿宋_GB2312" w:hAnsi="方正仿宋_GB2312" w:eastAsia="方正仿宋_GB2312" w:cs="方正仿宋_GB2312"/>
          <w:b w:val="0"/>
          <w:bCs w:val="0"/>
          <w:color w:val="auto"/>
          <w:kern w:val="0"/>
          <w:sz w:val="24"/>
          <w:szCs w:val="24"/>
          <w:highlight w:val="none"/>
        </w:rPr>
        <w:t>企业、企业法定代表人及拟派项目负责人通过“中国裁判文书网”查询犯罪档案记录，案由类型检索为行贿、受贿案件（</w:t>
      </w:r>
      <w:r>
        <w:rPr>
          <w:rFonts w:hint="eastAsia" w:ascii="方正仿宋_GB2312" w:hAnsi="方正仿宋_GB2312" w:eastAsia="方正仿宋_GB2312" w:cs="方正仿宋_GB2312"/>
          <w:b w:val="0"/>
          <w:bCs w:val="0"/>
          <w:color w:val="auto"/>
          <w:kern w:val="0"/>
          <w:sz w:val="24"/>
          <w:szCs w:val="24"/>
          <w:highlight w:val="none"/>
          <w:lang w:val="zh-CN" w:eastAsia="zh-CN"/>
        </w:rPr>
        <w:t>投标人自行在中国裁判文书网查询，提供承诺函，若为联合体投标的，联合体投标的各成员均须提供</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53A40C05">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3.7.3</w:t>
      </w:r>
      <w:r>
        <w:rPr>
          <w:rFonts w:hint="eastAsia" w:ascii="方正仿宋_GB2312" w:hAnsi="方正仿宋_GB2312" w:eastAsia="方正仿宋_GB2312" w:cs="方正仿宋_GB2312"/>
          <w:b w:val="0"/>
          <w:bCs w:val="0"/>
          <w:color w:val="auto"/>
          <w:kern w:val="0"/>
          <w:sz w:val="24"/>
          <w:szCs w:val="24"/>
          <w:highlight w:val="none"/>
          <w:lang w:val="zh-CN" w:eastAsia="zh-CN"/>
        </w:rPr>
        <w:t>近三年企业、企业法定代表人及拟派项目负责人未被“信用中国”网站及中国执行信息公开网列为失信被执行人（投标人自行在“信用中国”网站及中国执行信息公开网查询，提供承诺函，若为联合体投标的，联合体投标的各成员均须提供）；</w:t>
      </w:r>
    </w:p>
    <w:p w14:paraId="7EE121D5">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3.7.4</w:t>
      </w:r>
      <w:r>
        <w:rPr>
          <w:rFonts w:hint="eastAsia" w:ascii="方正仿宋_GB2312" w:hAnsi="方正仿宋_GB2312" w:eastAsia="方正仿宋_GB2312" w:cs="方正仿宋_GB2312"/>
          <w:b w:val="0"/>
          <w:bCs w:val="0"/>
          <w:color w:val="auto"/>
          <w:kern w:val="0"/>
          <w:sz w:val="24"/>
          <w:szCs w:val="24"/>
          <w:highlight w:val="none"/>
        </w:rPr>
        <w:t>投标人</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lang w:val="zh-CN" w:eastAsia="zh-CN"/>
        </w:rPr>
        <w:t>联合体投标的由牵头人提供</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rPr>
        <w:t>近3年未出现拖欠农民工工资情况（投标人提供未出现拖欠农民工工资情况承诺，并对其真实性负责</w:t>
      </w:r>
      <w:r>
        <w:rPr>
          <w:rFonts w:hint="eastAsia" w:ascii="方正仿宋_GB2312" w:hAnsi="方正仿宋_GB2312" w:eastAsia="方正仿宋_GB2312" w:cs="方正仿宋_GB2312"/>
          <w:b w:val="0"/>
          <w:bCs w:val="0"/>
          <w:color w:val="auto"/>
          <w:kern w:val="0"/>
          <w:sz w:val="24"/>
          <w:szCs w:val="24"/>
          <w:highlight w:val="none"/>
          <w:lang w:eastAsia="zh-CN"/>
        </w:rPr>
        <w:t xml:space="preserve">）； </w:t>
      </w:r>
    </w:p>
    <w:p w14:paraId="221D811A">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3.7.5</w:t>
      </w:r>
      <w:r>
        <w:rPr>
          <w:rFonts w:hint="eastAsia" w:ascii="方正仿宋_GB2312" w:hAnsi="方正仿宋_GB2312" w:eastAsia="方正仿宋_GB2312" w:cs="方正仿宋_GB2312"/>
          <w:b w:val="0"/>
          <w:bCs w:val="0"/>
          <w:color w:val="auto"/>
          <w:kern w:val="0"/>
          <w:sz w:val="24"/>
          <w:szCs w:val="24"/>
          <w:highlight w:val="none"/>
        </w:rPr>
        <w:t>投标人</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lang w:val="zh-CN" w:eastAsia="zh-CN"/>
        </w:rPr>
        <w:t>联合体投标的由牵头人提供</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rPr>
        <w:t>农民工工资：根据中华人民共和国国务院令第724号《保障农民工工资支付条例》要求，针对农民工工资支付事项，承包人须在工程项目所在地人社部门足额缴纳农民工工资保证金，并严格按人社部门的相关要求支付农民工工资（提供承诺书）</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268D8E1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3.7.6</w:t>
      </w:r>
      <w:r>
        <w:rPr>
          <w:rFonts w:hint="eastAsia" w:ascii="方正仿宋_GB2312" w:hAnsi="方正仿宋_GB2312" w:eastAsia="方正仿宋_GB2312" w:cs="方正仿宋_GB2312"/>
          <w:b w:val="0"/>
          <w:bCs w:val="0"/>
          <w:color w:val="auto"/>
          <w:kern w:val="0"/>
          <w:sz w:val="24"/>
          <w:szCs w:val="24"/>
          <w:highlight w:val="none"/>
        </w:rPr>
        <w:t>诉讼及仲裁：投标人近三年有无诉讼及仲裁案件（以中国裁判文书网查询结果为准并提供截图）。若有诉讼及仲裁案件情况，且诉讼及仲裁案件不影响投标人在本招标项目履约能力的，投标人须提供声明函。</w:t>
      </w:r>
      <w:r>
        <w:rPr>
          <w:rFonts w:hint="eastAsia" w:ascii="方正仿宋_GB2312" w:hAnsi="方正仿宋_GB2312" w:eastAsia="方正仿宋_GB2312" w:cs="方正仿宋_GB2312"/>
          <w:b w:val="0"/>
          <w:bCs w:val="0"/>
          <w:color w:val="auto"/>
          <w:kern w:val="0"/>
          <w:sz w:val="24"/>
          <w:szCs w:val="24"/>
          <w:highlight w:val="none"/>
          <w:lang w:val="zh-CN" w:eastAsia="zh-CN"/>
        </w:rPr>
        <w:t>（若为联合体投标的，联合体投标的各成员均须提供）</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0A7C281A">
      <w:pPr>
        <w:keepNext w:val="0"/>
        <w:keepLines w:val="0"/>
        <w:pageBreakBefore w:val="0"/>
        <w:widowControl w:val="0"/>
        <w:kinsoku/>
        <w:wordWrap/>
        <w:overflowPunct/>
        <w:topLinePunct w:val="0"/>
        <w:autoSpaceDE/>
        <w:autoSpaceDN/>
        <w:bidi w:val="0"/>
        <w:snapToGrid w:val="0"/>
        <w:spacing w:line="360" w:lineRule="auto"/>
        <w:ind w:firstLine="484" w:firstLineChars="202"/>
        <w:textAlignment w:val="auto"/>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 w:val="0"/>
          <w:bCs w:val="0"/>
          <w:color w:val="auto"/>
          <w:kern w:val="0"/>
          <w:sz w:val="24"/>
          <w:szCs w:val="24"/>
          <w:highlight w:val="none"/>
          <w:lang w:val="en-US" w:eastAsia="zh-CN"/>
        </w:rPr>
        <w:t>3.7</w:t>
      </w:r>
      <w:r>
        <w:rPr>
          <w:rFonts w:hint="eastAsia" w:ascii="方正仿宋_GB2312" w:hAnsi="方正仿宋_GB2312" w:eastAsia="方正仿宋_GB2312" w:cs="方正仿宋_GB2312"/>
          <w:b w:val="0"/>
          <w:bCs/>
          <w:color w:val="auto"/>
          <w:kern w:val="0"/>
          <w:sz w:val="24"/>
          <w:szCs w:val="24"/>
          <w:highlight w:val="none"/>
          <w:lang w:val="en-US" w:eastAsia="zh-CN"/>
        </w:rPr>
        <w:t>.7</w:t>
      </w:r>
      <w:r>
        <w:rPr>
          <w:rFonts w:hint="eastAsia" w:ascii="方正仿宋_GB2312" w:hAnsi="方正仿宋_GB2312" w:eastAsia="方正仿宋_GB2312" w:cs="方正仿宋_GB2312"/>
          <w:bCs/>
          <w:color w:val="auto"/>
          <w:sz w:val="24"/>
          <w:szCs w:val="24"/>
          <w:highlight w:val="none"/>
          <w:lang w:val="zh-CN"/>
        </w:rPr>
        <w:t>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14:paraId="4D231588">
      <w:pPr>
        <w:keepNext w:val="0"/>
        <w:keepLines w:val="0"/>
        <w:pageBreakBefore w:val="0"/>
        <w:widowControl w:val="0"/>
        <w:kinsoku/>
        <w:wordWrap/>
        <w:overflowPunct/>
        <w:topLinePunct w:val="0"/>
        <w:autoSpaceDE/>
        <w:autoSpaceDN/>
        <w:bidi w:val="0"/>
        <w:snapToGrid w:val="0"/>
        <w:spacing w:after="0" w:line="360" w:lineRule="auto"/>
        <w:ind w:firstLine="484" w:firstLineChars="202"/>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3.7</w:t>
      </w:r>
      <w:r>
        <w:rPr>
          <w:rFonts w:hint="eastAsia" w:ascii="方正仿宋_GB2312" w:hAnsi="方正仿宋_GB2312" w:eastAsia="方正仿宋_GB2312" w:cs="方正仿宋_GB2312"/>
          <w:b w:val="0"/>
          <w:bCs/>
          <w:color w:val="auto"/>
          <w:kern w:val="0"/>
          <w:sz w:val="24"/>
          <w:szCs w:val="24"/>
          <w:highlight w:val="none"/>
          <w:lang w:val="en-US" w:eastAsia="zh-CN"/>
        </w:rPr>
        <w:t>.8</w:t>
      </w:r>
      <w:r>
        <w:rPr>
          <w:rFonts w:hint="eastAsia" w:ascii="方正仿宋_GB2312" w:hAnsi="方正仿宋_GB2312" w:eastAsia="方正仿宋_GB2312" w:cs="方正仿宋_GB2312"/>
          <w:bCs/>
          <w:color w:val="auto"/>
          <w:sz w:val="24"/>
          <w:szCs w:val="24"/>
          <w:highlight w:val="none"/>
          <w:lang w:val="zh-CN"/>
        </w:rPr>
        <w:t>各投标人应诚信投标，并签署《诚信投标承诺书》</w:t>
      </w:r>
      <w:r>
        <w:rPr>
          <w:rFonts w:hint="eastAsia" w:ascii="方正仿宋_GB2312" w:hAnsi="方正仿宋_GB2312" w:eastAsia="方正仿宋_GB2312" w:cs="方正仿宋_GB2312"/>
          <w:bCs/>
          <w:color w:val="auto"/>
          <w:sz w:val="24"/>
          <w:szCs w:val="24"/>
          <w:highlight w:val="none"/>
          <w:lang w:val="en-US" w:eastAsia="zh-CN"/>
        </w:rPr>
        <w:t>和</w:t>
      </w:r>
      <w:r>
        <w:rPr>
          <w:rFonts w:hint="eastAsia" w:ascii="方正仿宋_GB2312" w:hAnsi="方正仿宋_GB2312" w:eastAsia="方正仿宋_GB2312" w:cs="方正仿宋_GB2312"/>
          <w:bCs/>
          <w:color w:val="auto"/>
          <w:sz w:val="24"/>
          <w:szCs w:val="24"/>
          <w:highlight w:val="none"/>
          <w:lang w:val="zh-CN"/>
        </w:rPr>
        <w:t>《建设工程投标人依法依规参加投标活动承诺书》（格式详见投标文件格式要求），确保电子投标文件提交的所有材料真实、准确、有效和完整，若投标人提供虚假材料，一经查实，即取消投标资格；对伪造、变造有关证件、材料、信息，骗取投标资格或中标的，将按照相关法律法规进行严肃处罚。投标人的资格审查和诚信承诺贯穿招投标工作服务全过程，在招投标服务各环节发现投标人不符合投标资格条件和提供虚假材料的，不论是评标过程中还是结果公示中，或者已签订合同并执行完毕，招标人、监管单位均可追究由其造成的一切后果（包括但不限于刑事及民事责任）。</w:t>
      </w:r>
    </w:p>
    <w:bookmarkEnd w:id="47"/>
    <w:bookmarkEnd w:id="48"/>
    <w:p w14:paraId="5CB29512">
      <w:pPr>
        <w:keepNext w:val="0"/>
        <w:keepLines w:val="0"/>
        <w:pageBreakBefore w:val="0"/>
        <w:widowControl w:val="0"/>
        <w:kinsoku/>
        <w:wordWrap/>
        <w:overflowPunct/>
        <w:topLinePunct w:val="0"/>
        <w:autoSpaceDE/>
        <w:autoSpaceDN/>
        <w:bidi w:val="0"/>
        <w:snapToGrid w:val="0"/>
        <w:spacing w:after="0" w:line="360" w:lineRule="auto"/>
        <w:ind w:firstLine="484" w:firstLineChars="202"/>
        <w:textAlignment w:val="auto"/>
        <w:rPr>
          <w:rFonts w:hint="default" w:ascii="方正仿宋_GB2312" w:hAnsi="方正仿宋_GB2312" w:eastAsia="方正仿宋_GB2312" w:cs="方正仿宋_GB2312"/>
          <w:bCs/>
          <w:color w:val="auto"/>
          <w:sz w:val="24"/>
          <w:szCs w:val="24"/>
          <w:highlight w:val="none"/>
          <w:lang w:val="en-US" w:eastAsia="zh-CN"/>
        </w:rPr>
      </w:pPr>
      <w:bookmarkStart w:id="50" w:name="_Toc16524"/>
      <w:r>
        <w:rPr>
          <w:rFonts w:hint="eastAsia" w:ascii="方正仿宋_GB2312" w:hAnsi="方正仿宋_GB2312" w:eastAsia="方正仿宋_GB2312" w:cs="方正仿宋_GB2312"/>
          <w:bCs/>
          <w:color w:val="auto"/>
          <w:sz w:val="24"/>
          <w:szCs w:val="24"/>
          <w:highlight w:val="none"/>
          <w:lang w:val="en-US" w:eastAsia="zh-CN"/>
        </w:rPr>
        <w:t>3.8资格审查方式为资格后审。</w:t>
      </w:r>
    </w:p>
    <w:p w14:paraId="43F4C4A2">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kern w:val="0"/>
          <w:sz w:val="28"/>
          <w:szCs w:val="28"/>
          <w:highlight w:val="none"/>
        </w:rPr>
      </w:pPr>
      <w:r>
        <w:rPr>
          <w:rFonts w:hint="eastAsia" w:ascii="方正仿宋_GB2312" w:hAnsi="方正仿宋_GB2312" w:eastAsia="方正仿宋_GB2312" w:cs="方正仿宋_GB2312"/>
          <w:b/>
          <w:bCs/>
          <w:color w:val="auto"/>
          <w:kern w:val="0"/>
          <w:sz w:val="28"/>
          <w:szCs w:val="28"/>
          <w:highlight w:val="none"/>
          <w:lang w:val="en-US" w:eastAsia="zh-CN"/>
        </w:rPr>
        <w:t>4.</w:t>
      </w:r>
      <w:r>
        <w:rPr>
          <w:rFonts w:hint="eastAsia" w:ascii="方正仿宋_GB2312" w:hAnsi="方正仿宋_GB2312" w:eastAsia="方正仿宋_GB2312" w:cs="方正仿宋_GB2312"/>
          <w:b/>
          <w:bCs/>
          <w:color w:val="auto"/>
          <w:kern w:val="0"/>
          <w:sz w:val="28"/>
          <w:szCs w:val="28"/>
          <w:highlight w:val="none"/>
        </w:rPr>
        <w:t>招标文件的获取</w:t>
      </w:r>
    </w:p>
    <w:p w14:paraId="56A85D10">
      <w:pPr>
        <w:keepNext w:val="0"/>
        <w:keepLines w:val="0"/>
        <w:pageBreakBefore w:val="0"/>
        <w:widowControl w:val="0"/>
        <w:kinsoku/>
        <w:wordWrap/>
        <w:overflowPunct/>
        <w:topLinePunct w:val="0"/>
        <w:autoSpaceDE/>
        <w:autoSpaceDN/>
        <w:bidi w:val="0"/>
        <w:snapToGrid w:val="0"/>
        <w:spacing w:after="0" w:line="360" w:lineRule="auto"/>
        <w:ind w:firstLine="484" w:firstLineChars="202"/>
        <w:textAlignment w:val="auto"/>
        <w:rPr>
          <w:rFonts w:hint="eastAsia" w:ascii="方正仿宋_GB2312" w:hAnsi="方正仿宋_GB2312" w:eastAsia="方正仿宋_GB2312" w:cs="方正仿宋_GB2312"/>
          <w:bCs/>
          <w:color w:val="auto"/>
          <w:sz w:val="24"/>
          <w:szCs w:val="24"/>
          <w:highlight w:val="none"/>
          <w:lang w:val="zh-CN"/>
        </w:rPr>
      </w:pPr>
      <w:bookmarkStart w:id="51" w:name="_Toc27169"/>
      <w:bookmarkStart w:id="52" w:name="_Toc7061"/>
      <w:r>
        <w:rPr>
          <w:rFonts w:hint="eastAsia" w:ascii="方正仿宋_GB2312" w:hAnsi="方正仿宋_GB2312" w:eastAsia="方正仿宋_GB2312" w:cs="方正仿宋_GB2312"/>
          <w:bCs/>
          <w:color w:val="auto"/>
          <w:sz w:val="24"/>
          <w:szCs w:val="24"/>
          <w:highlight w:val="none"/>
          <w:lang w:val="zh-CN"/>
        </w:rPr>
        <w:t>凡有意参加投标者，请于</w:t>
      </w:r>
      <w:r>
        <w:rPr>
          <w:rFonts w:hint="eastAsia" w:ascii="方正仿宋_GB2312" w:hAnsi="方正仿宋_GB2312" w:eastAsia="方正仿宋_GB2312" w:cs="方正仿宋_GB2312"/>
          <w:bCs/>
          <w:color w:val="auto"/>
          <w:sz w:val="24"/>
          <w:szCs w:val="24"/>
          <w:highlight w:val="none"/>
          <w:lang w:val="en-US" w:eastAsia="zh-CN"/>
        </w:rPr>
        <w:t>2026</w:t>
      </w:r>
      <w:r>
        <w:rPr>
          <w:rFonts w:hint="eastAsia" w:ascii="方正仿宋_GB2312" w:hAnsi="方正仿宋_GB2312" w:eastAsia="方正仿宋_GB2312" w:cs="方正仿宋_GB2312"/>
          <w:bCs/>
          <w:color w:val="auto"/>
          <w:sz w:val="24"/>
          <w:szCs w:val="24"/>
          <w:highlight w:val="none"/>
          <w:lang w:val="zh-CN"/>
        </w:rPr>
        <w:t>年</w:t>
      </w: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Cs/>
          <w:color w:val="auto"/>
          <w:sz w:val="24"/>
          <w:szCs w:val="24"/>
          <w:highlight w:val="none"/>
          <w:lang w:val="zh-CN"/>
        </w:rPr>
        <w:t>月</w:t>
      </w: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Cs/>
          <w:color w:val="auto"/>
          <w:sz w:val="24"/>
          <w:szCs w:val="24"/>
          <w:highlight w:val="none"/>
          <w:lang w:val="zh-CN"/>
        </w:rPr>
        <w:t>日至</w:t>
      </w:r>
      <w:r>
        <w:rPr>
          <w:rFonts w:hint="eastAsia" w:ascii="方正仿宋_GB2312" w:hAnsi="方正仿宋_GB2312" w:eastAsia="方正仿宋_GB2312" w:cs="方正仿宋_GB2312"/>
          <w:bCs/>
          <w:color w:val="auto"/>
          <w:sz w:val="24"/>
          <w:szCs w:val="24"/>
          <w:highlight w:val="none"/>
          <w:lang w:val="en-US" w:eastAsia="zh-CN"/>
        </w:rPr>
        <w:t>2026</w:t>
      </w:r>
      <w:r>
        <w:rPr>
          <w:rFonts w:hint="eastAsia" w:ascii="方正仿宋_GB2312" w:hAnsi="方正仿宋_GB2312" w:eastAsia="方正仿宋_GB2312" w:cs="方正仿宋_GB2312"/>
          <w:bCs/>
          <w:color w:val="auto"/>
          <w:sz w:val="24"/>
          <w:szCs w:val="24"/>
          <w:highlight w:val="none"/>
          <w:lang w:val="zh-CN"/>
        </w:rPr>
        <w:t>年</w:t>
      </w: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Cs/>
          <w:color w:val="auto"/>
          <w:sz w:val="24"/>
          <w:szCs w:val="24"/>
          <w:highlight w:val="none"/>
          <w:lang w:val="zh-CN"/>
        </w:rPr>
        <w:t>月</w:t>
      </w: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Cs/>
          <w:color w:val="auto"/>
          <w:sz w:val="24"/>
          <w:szCs w:val="24"/>
          <w:highlight w:val="none"/>
          <w:lang w:val="zh-CN"/>
        </w:rPr>
        <w:t>日，登录云南省公共资源交易信息网（网址：https://ggzy.yn.gov.cn/homePage/）选择“楚雄州”，凭企业数字证书（CA）在网上获取招标文件及其它招标资料。未办理企业数字证书（CA）的企业需要按照云南省公共资源交易电子认证的要求，办理企业数字证书（CA），并在云南省公共资源交易中心网完成注册通过后，便可获取招标文件，此为获取招标文件的唯一途径。</w:t>
      </w:r>
    </w:p>
    <w:p w14:paraId="376C04EC">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sz w:val="28"/>
          <w:szCs w:val="28"/>
          <w:highlight w:val="none"/>
          <w:lang w:val="zh-CN"/>
        </w:rPr>
      </w:pPr>
      <w:r>
        <w:rPr>
          <w:rFonts w:hint="eastAsia" w:ascii="方正仿宋_GB2312" w:hAnsi="方正仿宋_GB2312" w:eastAsia="方正仿宋_GB2312" w:cs="方正仿宋_GB2312"/>
          <w:b/>
          <w:bCs/>
          <w:color w:val="auto"/>
          <w:sz w:val="28"/>
          <w:szCs w:val="28"/>
          <w:highlight w:val="none"/>
          <w:lang w:val="en-US" w:eastAsia="zh-CN"/>
        </w:rPr>
        <w:t>5.</w:t>
      </w:r>
      <w:r>
        <w:rPr>
          <w:rFonts w:hint="eastAsia" w:ascii="方正仿宋_GB2312" w:hAnsi="方正仿宋_GB2312" w:eastAsia="方正仿宋_GB2312" w:cs="方正仿宋_GB2312"/>
          <w:b/>
          <w:bCs/>
          <w:color w:val="auto"/>
          <w:sz w:val="28"/>
          <w:szCs w:val="28"/>
          <w:highlight w:val="none"/>
          <w:lang w:val="zh-CN"/>
        </w:rPr>
        <w:t>投标文件的递交</w:t>
      </w:r>
      <w:bookmarkEnd w:id="51"/>
    </w:p>
    <w:p w14:paraId="25B0D524">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bookmarkStart w:id="53" w:name="_Toc221949531"/>
      <w:bookmarkStart w:id="54" w:name="_Toc17028"/>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.1递交投标文件截止时间（投标截止时间，下同）</w:t>
      </w:r>
      <w:bookmarkEnd w:id="53"/>
      <w:r>
        <w:rPr>
          <w:rFonts w:hint="eastAsia" w:ascii="方正仿宋_GB2312" w:hAnsi="方正仿宋_GB2312" w:eastAsia="方正仿宋_GB2312" w:cs="方正仿宋_GB2312"/>
          <w:color w:val="auto"/>
          <w:sz w:val="24"/>
          <w:szCs w:val="24"/>
          <w:highlight w:val="none"/>
          <w:lang w:val="zh-CN" w:eastAsia="zh-CN"/>
        </w:rPr>
        <w:t>为 2026年</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lang w:val="zh-CN" w:eastAsia="zh-CN"/>
        </w:rPr>
        <w:t>月</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lang w:val="zh-CN" w:eastAsia="zh-CN"/>
        </w:rPr>
        <w:t>日</w:t>
      </w:r>
      <w:r>
        <w:rPr>
          <w:rFonts w:hint="eastAsia" w:ascii="方正仿宋_GB2312" w:hAnsi="方正仿宋_GB2312" w:eastAsia="方正仿宋_GB2312" w:cs="方正仿宋_GB2312"/>
          <w:color w:val="auto"/>
          <w:sz w:val="24"/>
          <w:szCs w:val="24"/>
          <w:highlight w:val="none"/>
          <w:lang w:val="en-US" w:eastAsia="zh-CN"/>
        </w:rPr>
        <w:t>08</w:t>
      </w:r>
      <w:r>
        <w:rPr>
          <w:rFonts w:hint="eastAsia" w:ascii="方正仿宋_GB2312" w:hAnsi="方正仿宋_GB2312" w:eastAsia="方正仿宋_GB2312" w:cs="方正仿宋_GB2312"/>
          <w:color w:val="auto"/>
          <w:sz w:val="24"/>
          <w:szCs w:val="24"/>
          <w:highlight w:val="none"/>
          <w:lang w:val="zh-CN" w:eastAsia="zh-CN"/>
        </w:rPr>
        <w:t>:</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lang w:val="zh-CN" w:eastAsia="zh-CN"/>
        </w:rPr>
        <w:t>0，开标地点为牟定县公共资源交易中心。</w:t>
      </w:r>
    </w:p>
    <w:p w14:paraId="6540FFF9">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.2网上递交：投标人在提交投标文件截止时间前，登录云南省公共资源交易信息网（网址：https://ggzy.yn.gov.cn/homePage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zh-CN" w:eastAsia="zh-CN"/>
        </w:rPr>
        <w:t>）选择“楚雄州”，完成所有电子投标文件的上传，网上确认电子签名，并打印“上传投标文件回执”，投标截止时间前未完成投标文件传输的，视为撤回投标文件（如因修改重新上传投标文件后，需再次确认并打印回执）。</w:t>
      </w:r>
    </w:p>
    <w:p w14:paraId="076A8083">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bookmarkStart w:id="55" w:name="_Toc22447"/>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.3开标方式：采用网上开标远程解密方式。</w:t>
      </w:r>
      <w:bookmarkEnd w:id="55"/>
    </w:p>
    <w:p w14:paraId="76B6CBE2">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3.1开标时投标单位无须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云南省公共资源交易信息网（网址：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zh-CN" w:eastAsia="zh-CN"/>
        </w:rPr>
        <w:t>）选择“楚雄州”，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3AF09646">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.3.2开标系统下达网上解密指令后，投标单位点击上方【网上解密】进入网上解密界面，各投标单位必须在系统下达的时间内完成解密工作；</w:t>
      </w:r>
    </w:p>
    <w:p w14:paraId="5E325C32">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3.3开标过程中，待全部投标单位解密成功唱标后投标单位如有问题，在系统默认3分钟内在线发起异议，点击右上角的【提出异议】按钮，填写异议详细内容之后进行提交，由招标人(招标代理机构）给予对应的回复，开标结果无须签名确认；</w:t>
      </w:r>
    </w:p>
    <w:p w14:paraId="57F4C3C5">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.3.4各投标人应当提前熟悉和掌握网上开标远程解密详细操作，操作步骤可登录云南省公共资源交易中心在线培训与考核系统选择投标人，自行学习《云南省公共资源交易电子化平台智能开标系统培训教材》；</w:t>
      </w:r>
    </w:p>
    <w:p w14:paraId="4FD5E4B3">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lang w:val="zh-CN" w:eastAsia="zh-CN"/>
        </w:rPr>
        <w:t>.3.5开标当天投标人无法正常登录系统、无法正常解密的，应及时联系筑龙客服说明问题并请求远程协助检查确认问题，同时联系招标人(招标代理机构）说明情况；</w:t>
      </w:r>
    </w:p>
    <w:p w14:paraId="70510D6E">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zh-CN" w:eastAsia="zh-CN"/>
        </w:rPr>
        <w:t>5.3.6有关电子化远程解密网上开标未尽事宜，登录全国公共资源交易平台(云南省)云南省公共资源交易信息网(网址:https://ggzy.yn.gov.cn/homePage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zh-CN" w:eastAsia="zh-CN"/>
        </w:rPr>
        <w:t>)在首页交易指引自行学习交易规则、交易流程、操作指南等相关内容。</w:t>
      </w:r>
    </w:p>
    <w:p w14:paraId="71F0D13B">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sz w:val="28"/>
          <w:szCs w:val="28"/>
          <w:highlight w:val="none"/>
          <w:lang w:val="zh-CN"/>
        </w:rPr>
      </w:pPr>
      <w:r>
        <w:rPr>
          <w:rFonts w:hint="eastAsia" w:ascii="方正仿宋_GB2312" w:hAnsi="方正仿宋_GB2312" w:eastAsia="方正仿宋_GB2312" w:cs="方正仿宋_GB2312"/>
          <w:b/>
          <w:bCs/>
          <w:color w:val="auto"/>
          <w:sz w:val="28"/>
          <w:szCs w:val="28"/>
          <w:highlight w:val="none"/>
          <w:lang w:val="en-US" w:eastAsia="zh-CN"/>
        </w:rPr>
        <w:t>6.</w:t>
      </w:r>
      <w:bookmarkEnd w:id="54"/>
      <w:r>
        <w:rPr>
          <w:rFonts w:hint="eastAsia" w:ascii="方正仿宋_GB2312" w:hAnsi="方正仿宋_GB2312" w:eastAsia="方正仿宋_GB2312" w:cs="方正仿宋_GB2312"/>
          <w:b/>
          <w:bCs/>
          <w:color w:val="auto"/>
          <w:sz w:val="28"/>
          <w:szCs w:val="28"/>
          <w:highlight w:val="none"/>
          <w:lang w:val="en-US" w:eastAsia="zh-CN"/>
        </w:rPr>
        <w:t>异议（质疑）及投诉渠道</w:t>
      </w:r>
    </w:p>
    <w:bookmarkEnd w:id="52"/>
    <w:p w14:paraId="059E4A9F">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2"/>
        <w:rPr>
          <w:rFonts w:hint="eastAsia" w:ascii="方正仿宋_GB2312" w:hAnsi="方正仿宋_GB2312" w:eastAsia="方正仿宋_GB2312" w:cs="方正仿宋_GB2312"/>
          <w:color w:val="auto"/>
          <w:sz w:val="24"/>
          <w:szCs w:val="24"/>
          <w:highlight w:val="none"/>
          <w:lang w:val="en-US" w:eastAsia="zh-CN"/>
        </w:rPr>
      </w:pPr>
      <w:bookmarkStart w:id="56" w:name="_Toc5017"/>
      <w:r>
        <w:rPr>
          <w:rFonts w:hint="eastAsia" w:ascii="方正仿宋_GB2312" w:hAnsi="方正仿宋_GB2312" w:eastAsia="方正仿宋_GB2312" w:cs="方正仿宋_GB2312"/>
          <w:color w:val="auto"/>
          <w:sz w:val="24"/>
          <w:szCs w:val="24"/>
          <w:highlight w:val="none"/>
          <w:lang w:val="en-US" w:eastAsia="zh-CN"/>
        </w:rPr>
        <w:t>鼓励异议及投诉通过线上方式进行，也可采用线下纸质方式进行。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14:paraId="5EC711DA">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sz w:val="28"/>
          <w:szCs w:val="28"/>
          <w:highlight w:val="none"/>
          <w:lang w:val="en-US" w:eastAsia="zh-CN"/>
        </w:rPr>
      </w:pPr>
      <w:r>
        <w:rPr>
          <w:rFonts w:hint="eastAsia" w:ascii="方正仿宋_GB2312" w:hAnsi="方正仿宋_GB2312" w:eastAsia="方正仿宋_GB2312" w:cs="方正仿宋_GB2312"/>
          <w:b/>
          <w:bCs/>
          <w:color w:val="auto"/>
          <w:sz w:val="28"/>
          <w:szCs w:val="28"/>
          <w:highlight w:val="none"/>
          <w:lang w:val="en-US" w:eastAsia="zh-CN"/>
        </w:rPr>
        <w:t>7.</w:t>
      </w:r>
      <w:r>
        <w:rPr>
          <w:rFonts w:hint="eastAsia" w:ascii="方正仿宋_GB2312" w:hAnsi="方正仿宋_GB2312" w:eastAsia="方正仿宋_GB2312" w:cs="方正仿宋_GB2312"/>
          <w:b/>
          <w:bCs/>
          <w:color w:val="auto"/>
          <w:sz w:val="28"/>
          <w:szCs w:val="28"/>
          <w:highlight w:val="none"/>
          <w:lang w:val="zh-CN" w:eastAsia="zh-CN"/>
        </w:rPr>
        <w:t>发布公告的媒介</w:t>
      </w:r>
      <w:bookmarkEnd w:id="56"/>
    </w:p>
    <w:p w14:paraId="32F95F04">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zh-CN" w:eastAsia="zh-CN"/>
        </w:rPr>
        <w:t>本次招标公告同时在云南省公共资源交易信息网（网址：https://ggzy.yn.gov.cn/homePage</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lang w:val="zh-CN" w:eastAsia="zh-CN"/>
        </w:rPr>
        <w:t>）、</w:t>
      </w:r>
      <w:r>
        <w:rPr>
          <w:rFonts w:hint="eastAsia" w:ascii="方正仿宋_GB2312" w:hAnsi="方正仿宋_GB2312" w:eastAsia="方正仿宋_GB2312" w:cs="方正仿宋_GB2312"/>
          <w:color w:val="auto"/>
          <w:sz w:val="24"/>
          <w:szCs w:val="24"/>
          <w:highlight w:val="none"/>
          <w:lang w:val="zh-CN" w:eastAsia="zh-CN"/>
        </w:rPr>
        <w:fldChar w:fldCharType="begin"/>
      </w:r>
      <w:r>
        <w:rPr>
          <w:rFonts w:hint="eastAsia" w:ascii="方正仿宋_GB2312" w:hAnsi="方正仿宋_GB2312" w:eastAsia="方正仿宋_GB2312" w:cs="方正仿宋_GB2312"/>
          <w:color w:val="auto"/>
          <w:sz w:val="24"/>
          <w:szCs w:val="24"/>
          <w:highlight w:val="none"/>
          <w:lang w:val="zh-CN" w:eastAsia="zh-CN"/>
        </w:rPr>
        <w:instrText xml:space="preserve"> AUTOTEXT  input22 \* MERGEFORMAT </w:instrText>
      </w:r>
      <w:r>
        <w:rPr>
          <w:rFonts w:hint="eastAsia" w:ascii="方正仿宋_GB2312" w:hAnsi="方正仿宋_GB2312" w:eastAsia="方正仿宋_GB2312" w:cs="方正仿宋_GB2312"/>
          <w:color w:val="auto"/>
          <w:sz w:val="24"/>
          <w:szCs w:val="24"/>
          <w:highlight w:val="none"/>
          <w:lang w:val="zh-CN" w:eastAsia="zh-CN"/>
        </w:rPr>
        <w:fldChar w:fldCharType="separate"/>
      </w:r>
      <w:r>
        <w:rPr>
          <w:rFonts w:hint="eastAsia" w:ascii="方正仿宋_GB2312" w:hAnsi="方正仿宋_GB2312" w:eastAsia="方正仿宋_GB2312" w:cs="方正仿宋_GB2312"/>
          <w:color w:val="auto"/>
          <w:sz w:val="24"/>
          <w:szCs w:val="24"/>
          <w:highlight w:val="none"/>
          <w:lang w:val="zh-CN" w:eastAsia="zh-CN"/>
        </w:rPr>
        <w:t>云南省建设监管公共</w:t>
      </w:r>
      <w:r>
        <w:rPr>
          <w:rFonts w:hint="eastAsia" w:ascii="方正仿宋_GB2312" w:hAnsi="方正仿宋_GB2312" w:eastAsia="方正仿宋_GB2312" w:cs="方正仿宋_GB2312"/>
          <w:color w:val="auto"/>
          <w:sz w:val="24"/>
          <w:szCs w:val="24"/>
          <w:highlight w:val="none"/>
          <w:lang w:val="zh-CN" w:eastAsia="zh-CN"/>
        </w:rPr>
        <w:fldChar w:fldCharType="end"/>
      </w:r>
      <w:r>
        <w:rPr>
          <w:rFonts w:hint="eastAsia" w:ascii="方正仿宋_GB2312" w:hAnsi="方正仿宋_GB2312" w:eastAsia="方正仿宋_GB2312" w:cs="方正仿宋_GB2312"/>
          <w:color w:val="auto"/>
          <w:sz w:val="24"/>
          <w:szCs w:val="24"/>
          <w:highlight w:val="none"/>
          <w:lang w:val="zh-CN" w:eastAsia="zh-CN"/>
        </w:rPr>
        <w:t>服务平台（网址：https://www.ynjzjgcx.com）、中国招标投标公共服务平台（网址：http://www.cebpubservice.com）上公开发布。招标人及招标代理机构对其他网站或媒体转载的公告及公告内容不承担任何责任。</w:t>
      </w:r>
    </w:p>
    <w:p w14:paraId="30D39067">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2"/>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lang w:val="en-US" w:eastAsia="zh-CN"/>
        </w:rPr>
        <w:t>8.</w:t>
      </w:r>
      <w:r>
        <w:rPr>
          <w:rFonts w:hint="eastAsia" w:ascii="方正仿宋_GB2312" w:hAnsi="方正仿宋_GB2312" w:eastAsia="方正仿宋_GB2312" w:cs="方正仿宋_GB2312"/>
          <w:b/>
          <w:bCs/>
          <w:color w:val="auto"/>
          <w:sz w:val="28"/>
          <w:szCs w:val="28"/>
          <w:highlight w:val="none"/>
        </w:rPr>
        <w:t>联系方式</w:t>
      </w:r>
      <w:bookmarkEnd w:id="49"/>
      <w:bookmarkEnd w:id="50"/>
    </w:p>
    <w:p w14:paraId="7F765AE5">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rPr>
        <w:t>招</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标 人：</w:t>
      </w:r>
      <w:r>
        <w:rPr>
          <w:rFonts w:hint="eastAsia" w:ascii="方正仿宋_GB2312" w:hAnsi="方正仿宋_GB2312" w:eastAsia="方正仿宋_GB2312" w:cs="方正仿宋_GB2312"/>
          <w:color w:val="auto"/>
          <w:sz w:val="24"/>
          <w:szCs w:val="24"/>
          <w:highlight w:val="none"/>
          <w:lang w:val="en-US" w:eastAsia="zh-CN"/>
        </w:rPr>
        <w:t>牟定县国有资本投资运营集团有限公司</w:t>
      </w:r>
    </w:p>
    <w:p w14:paraId="774188C6">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地    址：</w:t>
      </w:r>
      <w:r>
        <w:rPr>
          <w:rFonts w:hint="eastAsia" w:ascii="方正仿宋_GB2312" w:hAnsi="方正仿宋_GB2312" w:eastAsia="方正仿宋_GB2312" w:cs="方正仿宋_GB2312"/>
          <w:color w:val="auto"/>
          <w:sz w:val="24"/>
          <w:szCs w:val="24"/>
          <w:highlight w:val="none"/>
          <w:lang w:eastAsia="zh-CN"/>
        </w:rPr>
        <w:t>云南省楚雄彝族自治州</w:t>
      </w:r>
      <w:r>
        <w:rPr>
          <w:rFonts w:hint="eastAsia" w:ascii="方正仿宋_GB2312" w:hAnsi="方正仿宋_GB2312" w:eastAsia="方正仿宋_GB2312" w:cs="方正仿宋_GB2312"/>
          <w:color w:val="auto"/>
          <w:sz w:val="24"/>
          <w:szCs w:val="24"/>
          <w:highlight w:val="none"/>
          <w:lang w:val="en-US" w:eastAsia="zh-CN"/>
        </w:rPr>
        <w:t>牟定县共和镇中园大道</w:t>
      </w:r>
    </w:p>
    <w:p w14:paraId="408CBE57">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联 系 人：鲁兴艳</w:t>
      </w:r>
      <w:r>
        <w:rPr>
          <w:rFonts w:hint="eastAsia" w:ascii="方正仿宋_GB2312" w:hAnsi="方正仿宋_GB2312" w:eastAsia="方正仿宋_GB2312" w:cs="方正仿宋_GB2312"/>
          <w:color w:val="auto"/>
          <w:sz w:val="24"/>
          <w:szCs w:val="24"/>
          <w:highlight w:val="none"/>
          <w:lang w:val="en-US" w:eastAsia="zh-CN"/>
        </w:rPr>
        <w:t xml:space="preserve">  </w:t>
      </w:r>
    </w:p>
    <w:p w14:paraId="60F94F7B">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联系电话：</w:t>
      </w:r>
      <w:r>
        <w:rPr>
          <w:rFonts w:hint="eastAsia" w:ascii="方正仿宋_GB2312" w:hAnsi="方正仿宋_GB2312" w:eastAsia="方正仿宋_GB2312" w:cs="方正仿宋_GB2312"/>
          <w:color w:val="auto"/>
          <w:sz w:val="24"/>
          <w:szCs w:val="24"/>
          <w:highlight w:val="none"/>
          <w:lang w:eastAsia="zh-CN"/>
        </w:rPr>
        <w:t>13508788408</w:t>
      </w:r>
      <w:r>
        <w:rPr>
          <w:rFonts w:hint="eastAsia" w:ascii="方正仿宋_GB2312" w:hAnsi="方正仿宋_GB2312" w:eastAsia="方正仿宋_GB2312" w:cs="方正仿宋_GB2312"/>
          <w:color w:val="auto"/>
          <w:sz w:val="24"/>
          <w:szCs w:val="24"/>
          <w:highlight w:val="none"/>
          <w:lang w:val="en-US" w:eastAsia="zh-CN"/>
        </w:rPr>
        <w:t xml:space="preserve">  </w:t>
      </w:r>
    </w:p>
    <w:p w14:paraId="050A960D">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color w:val="auto"/>
          <w:sz w:val="24"/>
          <w:szCs w:val="24"/>
          <w:highlight w:val="none"/>
        </w:rPr>
      </w:pPr>
    </w:p>
    <w:p w14:paraId="4E24F911">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招标代理机构：</w:t>
      </w:r>
      <w:r>
        <w:rPr>
          <w:rFonts w:hint="eastAsia" w:ascii="方正仿宋_GB2312" w:hAnsi="方正仿宋_GB2312" w:eastAsia="方正仿宋_GB2312" w:cs="方正仿宋_GB2312"/>
          <w:color w:val="auto"/>
          <w:sz w:val="24"/>
          <w:szCs w:val="24"/>
          <w:highlight w:val="none"/>
          <w:lang w:val="en-US" w:eastAsia="zh-CN"/>
        </w:rPr>
        <w:t>云南策澜工程管理服务有限公司</w:t>
      </w:r>
    </w:p>
    <w:p w14:paraId="26FCE1FF">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ascii="方正仿宋_GB2312" w:hAnsi="方正仿宋_GB2312" w:eastAsia="方正仿宋_GB2312" w:cs="方正仿宋_GB2312"/>
          <w:b w:val="0"/>
          <w:i w:val="0"/>
          <w:caps w:val="0"/>
          <w:color w:val="auto"/>
          <w:spacing w:val="0"/>
          <w:w w:val="100"/>
          <w:sz w:val="24"/>
          <w:szCs w:val="24"/>
          <w:highlight w:val="none"/>
          <w:lang w:val="en-US" w:eastAsia="zh-CN"/>
        </w:rPr>
      </w:pPr>
      <w:r>
        <w:rPr>
          <w:rFonts w:hint="eastAsia" w:ascii="方正仿宋_GB2312" w:hAnsi="方正仿宋_GB2312" w:eastAsia="方正仿宋_GB2312" w:cs="方正仿宋_GB2312"/>
          <w:b w:val="0"/>
          <w:i w:val="0"/>
          <w:caps w:val="0"/>
          <w:color w:val="auto"/>
          <w:spacing w:val="0"/>
          <w:w w:val="100"/>
          <w:sz w:val="24"/>
          <w:szCs w:val="24"/>
          <w:highlight w:val="none"/>
        </w:rPr>
        <w:t>地        址：</w:t>
      </w:r>
      <w:r>
        <w:rPr>
          <w:rFonts w:hint="eastAsia" w:ascii="方正仿宋_GB2312" w:hAnsi="方正仿宋_GB2312" w:eastAsia="方正仿宋_GB2312" w:cs="方正仿宋_GB2312"/>
          <w:color w:val="auto"/>
          <w:sz w:val="24"/>
          <w:szCs w:val="24"/>
          <w:highlight w:val="none"/>
          <w:lang w:eastAsia="zh-CN"/>
        </w:rPr>
        <w:t>云南省楚雄彝族自治州</w:t>
      </w:r>
      <w:r>
        <w:rPr>
          <w:rFonts w:hint="eastAsia" w:ascii="方正仿宋_GB2312" w:hAnsi="方正仿宋_GB2312" w:eastAsia="方正仿宋_GB2312" w:cs="方正仿宋_GB2312"/>
          <w:color w:val="auto"/>
          <w:sz w:val="24"/>
          <w:szCs w:val="24"/>
          <w:highlight w:val="none"/>
          <w:lang w:val="en-US" w:eastAsia="zh-CN"/>
        </w:rPr>
        <w:t>楚雄市汇东胜景375栋</w:t>
      </w:r>
    </w:p>
    <w:p w14:paraId="7F1A523C">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b w:val="0"/>
          <w:i w:val="0"/>
          <w:caps w:val="0"/>
          <w:color w:val="auto"/>
          <w:spacing w:val="0"/>
          <w:w w:val="100"/>
          <w:sz w:val="24"/>
          <w:szCs w:val="24"/>
          <w:highlight w:val="none"/>
          <w:lang w:eastAsia="zh-CN"/>
        </w:rPr>
      </w:pPr>
      <w:r>
        <w:rPr>
          <w:rFonts w:hint="eastAsia" w:ascii="方正仿宋_GB2312" w:hAnsi="方正仿宋_GB2312" w:eastAsia="方正仿宋_GB2312" w:cs="方正仿宋_GB2312"/>
          <w:b w:val="0"/>
          <w:i w:val="0"/>
          <w:caps w:val="0"/>
          <w:color w:val="auto"/>
          <w:spacing w:val="0"/>
          <w:w w:val="100"/>
          <w:sz w:val="24"/>
          <w:szCs w:val="24"/>
          <w:highlight w:val="none"/>
        </w:rPr>
        <w:t>联   系   人：</w:t>
      </w:r>
      <w:r>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t>王鸿靖</w:t>
      </w:r>
    </w:p>
    <w:p w14:paraId="4C4C3C62">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ascii="方正仿宋_GB2312" w:hAnsi="方正仿宋_GB2312" w:eastAsia="方正仿宋_GB2312" w:cs="方正仿宋_GB2312"/>
          <w:b w:val="0"/>
          <w:i w:val="0"/>
          <w:caps w:val="0"/>
          <w:color w:val="auto"/>
          <w:spacing w:val="0"/>
          <w:w w:val="100"/>
          <w:sz w:val="24"/>
          <w:szCs w:val="24"/>
          <w:highlight w:val="none"/>
          <w:lang w:val="en-US" w:eastAsia="zh-CN"/>
        </w:rPr>
      </w:pPr>
      <w:r>
        <w:rPr>
          <w:rFonts w:hint="eastAsia" w:ascii="方正仿宋_GB2312" w:hAnsi="方正仿宋_GB2312" w:eastAsia="方正仿宋_GB2312" w:cs="方正仿宋_GB2312"/>
          <w:b w:val="0"/>
          <w:i w:val="0"/>
          <w:caps w:val="0"/>
          <w:color w:val="auto"/>
          <w:spacing w:val="0"/>
          <w:w w:val="100"/>
          <w:sz w:val="24"/>
          <w:szCs w:val="24"/>
          <w:highlight w:val="none"/>
        </w:rPr>
        <w:t>联 系  电 话：</w:t>
      </w:r>
      <w:r>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t>13187647775</w:t>
      </w:r>
    </w:p>
    <w:p w14:paraId="1FFCD89F">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pPr>
    </w:p>
    <w:p w14:paraId="410BD3E0">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pPr>
      <w:r>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t>行政监督部门：牟定县住房和城乡建设局</w:t>
      </w:r>
    </w:p>
    <w:p w14:paraId="1DE0BBB9">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pPr>
      <w:r>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t>电话：0878-5211523</w:t>
      </w:r>
    </w:p>
    <w:p w14:paraId="471F8C19">
      <w:pPr>
        <w:keepNext w:val="0"/>
        <w:keepLines w:val="0"/>
        <w:pageBreakBefore w:val="0"/>
        <w:widowControl w:val="0"/>
        <w:kinsoku/>
        <w:wordWrap/>
        <w:overflowPunct/>
        <w:topLinePunct w:val="0"/>
        <w:autoSpaceDE/>
        <w:autoSpaceDN/>
        <w:bidi w:val="0"/>
        <w:snapToGrid w:val="0"/>
        <w:spacing w:after="0" w:line="360" w:lineRule="auto"/>
        <w:ind w:right="-393" w:rightChars="-187" w:firstLine="480" w:firstLineChars="200"/>
        <w:textAlignment w:val="auto"/>
        <w:outlineLvl w:val="9"/>
        <w:rPr>
          <w:rFonts w:hint="default"/>
          <w:color w:val="auto"/>
          <w:highlight w:val="none"/>
          <w:lang w:val="en-US" w:eastAsia="zh-CN"/>
        </w:rPr>
      </w:pPr>
      <w:r>
        <w:rPr>
          <w:rFonts w:hint="eastAsia" w:ascii="方正仿宋_GB2312" w:hAnsi="方正仿宋_GB2312" w:eastAsia="方正仿宋_GB2312" w:cs="方正仿宋_GB2312"/>
          <w:b w:val="0"/>
          <w:i w:val="0"/>
          <w:caps w:val="0"/>
          <w:color w:val="auto"/>
          <w:spacing w:val="0"/>
          <w:w w:val="100"/>
          <w:sz w:val="24"/>
          <w:szCs w:val="24"/>
          <w:highlight w:val="none"/>
          <w:lang w:val="en-US" w:eastAsia="zh-CN"/>
        </w:rPr>
        <w:t>日期：2026年  月  日</w:t>
      </w:r>
    </w:p>
    <w:bookmarkEnd w:id="30"/>
    <w:bookmarkEnd w:id="31"/>
    <w:bookmarkEnd w:id="32"/>
    <w:p w14:paraId="20AD3875">
      <w:pPr>
        <w:rPr>
          <w:rFonts w:hint="eastAsia" w:ascii="方正仿宋_GB2312" w:hAnsi="方正仿宋_GB2312" w:eastAsia="方正仿宋_GB2312" w:cs="方正仿宋_GB2312"/>
          <w:b/>
          <w:bCs/>
          <w:color w:val="auto"/>
          <w:sz w:val="24"/>
          <w:szCs w:val="24"/>
          <w:highlight w:val="none"/>
        </w:rPr>
      </w:pPr>
      <w:bookmarkStart w:id="57" w:name="_Toc22457"/>
      <w:r>
        <w:rPr>
          <w:rFonts w:hint="eastAsia" w:ascii="方正仿宋_GB2312" w:hAnsi="方正仿宋_GB2312" w:eastAsia="方正仿宋_GB2312" w:cs="方正仿宋_GB2312"/>
          <w:b/>
          <w:bCs/>
          <w:color w:val="auto"/>
          <w:sz w:val="24"/>
          <w:szCs w:val="24"/>
          <w:highlight w:val="none"/>
        </w:rPr>
        <w:br w:type="page"/>
      </w:r>
    </w:p>
    <w:p w14:paraId="1B5ACDE1">
      <w:pPr>
        <w:spacing w:line="240" w:lineRule="auto"/>
        <w:jc w:val="center"/>
        <w:outlineLvl w:val="1"/>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第二章 投标人须知</w:t>
      </w:r>
      <w:bookmarkEnd w:id="33"/>
      <w:bookmarkEnd w:id="34"/>
      <w:bookmarkEnd w:id="35"/>
      <w:bookmarkEnd w:id="36"/>
      <w:bookmarkEnd w:id="37"/>
      <w:bookmarkEnd w:id="38"/>
      <w:bookmarkEnd w:id="57"/>
    </w:p>
    <w:p w14:paraId="17AD3050">
      <w:pPr>
        <w:spacing w:line="240" w:lineRule="auto"/>
        <w:jc w:val="center"/>
        <w:outlineLvl w:val="2"/>
        <w:rPr>
          <w:rFonts w:hint="eastAsia" w:ascii="方正仿宋_GB2312" w:hAnsi="方正仿宋_GB2312" w:eastAsia="方正仿宋_GB2312" w:cs="方正仿宋_GB2312"/>
          <w:b/>
          <w:bCs/>
          <w:color w:val="auto"/>
          <w:sz w:val="24"/>
          <w:szCs w:val="24"/>
          <w:highlight w:val="none"/>
        </w:rPr>
      </w:pPr>
      <w:bookmarkStart w:id="58" w:name="_Toc13852"/>
      <w:bookmarkStart w:id="59" w:name="_Toc152042304"/>
      <w:bookmarkStart w:id="60" w:name="_Toc370454382"/>
      <w:bookmarkStart w:id="61" w:name="_Toc375560007"/>
      <w:bookmarkStart w:id="62" w:name="_Toc152045528"/>
      <w:bookmarkStart w:id="63" w:name="_Toc144974496"/>
      <w:bookmarkStart w:id="64" w:name="_Toc247527552"/>
      <w:bookmarkStart w:id="65" w:name="_Toc247513951"/>
      <w:r>
        <w:rPr>
          <w:rFonts w:hint="eastAsia" w:ascii="方正仿宋_GB2312" w:hAnsi="方正仿宋_GB2312" w:eastAsia="方正仿宋_GB2312" w:cs="方正仿宋_GB2312"/>
          <w:b/>
          <w:bCs/>
          <w:color w:val="auto"/>
          <w:sz w:val="24"/>
          <w:szCs w:val="24"/>
          <w:highlight w:val="none"/>
        </w:rPr>
        <w:t>投标人须知前附表</w:t>
      </w:r>
      <w:bookmarkEnd w:id="58"/>
      <w:bookmarkEnd w:id="59"/>
      <w:bookmarkEnd w:id="60"/>
      <w:bookmarkEnd w:id="61"/>
      <w:bookmarkEnd w:id="62"/>
      <w:bookmarkEnd w:id="63"/>
      <w:bookmarkEnd w:id="64"/>
      <w:bookmarkEnd w:id="65"/>
    </w:p>
    <w:tbl>
      <w:tblPr>
        <w:tblStyle w:val="28"/>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07"/>
        <w:gridCol w:w="1634"/>
        <w:gridCol w:w="6899"/>
      </w:tblGrid>
      <w:tr w14:paraId="78053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007" w:type="dxa"/>
            <w:shd w:val="clear" w:color="auto" w:fill="auto"/>
            <w:vAlign w:val="center"/>
          </w:tcPr>
          <w:p w14:paraId="564D0C9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条款号</w:t>
            </w:r>
          </w:p>
        </w:tc>
        <w:tc>
          <w:tcPr>
            <w:tcW w:w="1634" w:type="dxa"/>
            <w:shd w:val="clear" w:color="auto" w:fill="auto"/>
            <w:vAlign w:val="center"/>
          </w:tcPr>
          <w:p w14:paraId="73C8E67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条款名称</w:t>
            </w:r>
          </w:p>
        </w:tc>
        <w:tc>
          <w:tcPr>
            <w:tcW w:w="6899" w:type="dxa"/>
            <w:shd w:val="clear" w:color="auto" w:fill="auto"/>
            <w:vAlign w:val="center"/>
          </w:tcPr>
          <w:p w14:paraId="6A90C7A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编  列  内  容</w:t>
            </w:r>
          </w:p>
        </w:tc>
      </w:tr>
      <w:tr w14:paraId="6427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D5E7D7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1.1.2</w:t>
            </w:r>
          </w:p>
        </w:tc>
        <w:tc>
          <w:tcPr>
            <w:tcW w:w="1634" w:type="dxa"/>
            <w:shd w:val="clear" w:color="auto" w:fill="auto"/>
            <w:vAlign w:val="center"/>
          </w:tcPr>
          <w:p w14:paraId="2026FCC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招标人</w:t>
            </w:r>
          </w:p>
        </w:tc>
        <w:tc>
          <w:tcPr>
            <w:tcW w:w="6899" w:type="dxa"/>
            <w:shd w:val="clear" w:color="auto" w:fill="auto"/>
            <w:vAlign w:val="center"/>
          </w:tcPr>
          <w:p w14:paraId="41490427">
            <w:pPr>
              <w:keepNext w:val="0"/>
              <w:keepLines w:val="0"/>
              <w:pageBreakBefore w:val="0"/>
              <w:widowControl w:val="0"/>
              <w:kinsoku/>
              <w:wordWrap/>
              <w:overflowPunct/>
              <w:topLinePunct w:val="0"/>
              <w:autoSpaceDE/>
              <w:autoSpaceDN/>
              <w:bidi w:val="0"/>
              <w:snapToGrid w:val="0"/>
              <w:spacing w:after="0" w:line="360" w:lineRule="auto"/>
              <w:ind w:right="-393" w:rightChars="-187"/>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名    称：牟定县国有资本投资运营集团有限公司</w:t>
            </w:r>
          </w:p>
          <w:p w14:paraId="7A8F04B8">
            <w:pPr>
              <w:keepNext w:val="0"/>
              <w:keepLines w:val="0"/>
              <w:pageBreakBefore w:val="0"/>
              <w:widowControl w:val="0"/>
              <w:kinsoku/>
              <w:wordWrap/>
              <w:overflowPunct/>
              <w:topLinePunct w:val="0"/>
              <w:autoSpaceDE/>
              <w:autoSpaceDN/>
              <w:bidi w:val="0"/>
              <w:snapToGrid w:val="0"/>
              <w:spacing w:after="0" w:line="360" w:lineRule="auto"/>
              <w:ind w:right="-393" w:rightChars="-187"/>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地    址：</w:t>
            </w:r>
            <w:r>
              <w:rPr>
                <w:rFonts w:hint="eastAsia" w:ascii="方正仿宋_GB2312" w:hAnsi="方正仿宋_GB2312" w:eastAsia="方正仿宋_GB2312" w:cs="方正仿宋_GB2312"/>
                <w:color w:val="auto"/>
                <w:sz w:val="24"/>
                <w:szCs w:val="24"/>
                <w:highlight w:val="none"/>
                <w:lang w:eastAsia="zh-CN"/>
              </w:rPr>
              <w:t>云南省楚雄彝族自治州</w:t>
            </w:r>
            <w:r>
              <w:rPr>
                <w:rFonts w:hint="eastAsia" w:ascii="方正仿宋_GB2312" w:hAnsi="方正仿宋_GB2312" w:eastAsia="方正仿宋_GB2312" w:cs="方正仿宋_GB2312"/>
                <w:color w:val="auto"/>
                <w:sz w:val="24"/>
                <w:szCs w:val="24"/>
                <w:highlight w:val="none"/>
                <w:lang w:val="en-US" w:eastAsia="zh-CN"/>
              </w:rPr>
              <w:t>牟定县共和镇中园大道</w:t>
            </w:r>
          </w:p>
          <w:p w14:paraId="1389AF16">
            <w:pPr>
              <w:keepNext w:val="0"/>
              <w:keepLines w:val="0"/>
              <w:pageBreakBefore w:val="0"/>
              <w:widowControl w:val="0"/>
              <w:kinsoku/>
              <w:wordWrap/>
              <w:overflowPunct/>
              <w:topLinePunct w:val="0"/>
              <w:autoSpaceDE/>
              <w:autoSpaceDN/>
              <w:bidi w:val="0"/>
              <w:snapToGrid w:val="0"/>
              <w:spacing w:after="0" w:line="360" w:lineRule="auto"/>
              <w:ind w:right="-393" w:rightChars="-187"/>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联 系 人：鲁兴艳  </w:t>
            </w:r>
          </w:p>
          <w:p w14:paraId="4359898D">
            <w:pPr>
              <w:keepNext w:val="0"/>
              <w:keepLines w:val="0"/>
              <w:pageBreakBefore w:val="0"/>
              <w:widowControl w:val="0"/>
              <w:kinsoku/>
              <w:wordWrap/>
              <w:overflowPunct/>
              <w:topLinePunct w:val="0"/>
              <w:autoSpaceDE/>
              <w:autoSpaceDN/>
              <w:bidi w:val="0"/>
              <w:snapToGrid w:val="0"/>
              <w:spacing w:after="0" w:line="360" w:lineRule="auto"/>
              <w:ind w:right="-393" w:rightChars="-187"/>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联系电话：13508788408  </w:t>
            </w:r>
          </w:p>
        </w:tc>
      </w:tr>
      <w:tr w14:paraId="2620B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3F84BB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1.1.3</w:t>
            </w:r>
          </w:p>
        </w:tc>
        <w:tc>
          <w:tcPr>
            <w:tcW w:w="1634" w:type="dxa"/>
            <w:shd w:val="clear" w:color="auto" w:fill="auto"/>
            <w:vAlign w:val="center"/>
          </w:tcPr>
          <w:p w14:paraId="7115B57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招标代理机构</w:t>
            </w:r>
          </w:p>
        </w:tc>
        <w:tc>
          <w:tcPr>
            <w:tcW w:w="6899" w:type="dxa"/>
            <w:shd w:val="clear" w:color="auto" w:fill="auto"/>
            <w:vAlign w:val="center"/>
          </w:tcPr>
          <w:p w14:paraId="0E01622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名    称</w:t>
            </w:r>
            <w:r>
              <w:rPr>
                <w:rFonts w:hint="eastAsia" w:ascii="方正仿宋_GB2312" w:hAnsi="方正仿宋_GB2312" w:eastAsia="方正仿宋_GB2312" w:cs="方正仿宋_GB2312"/>
                <w:color w:val="auto"/>
                <w:sz w:val="24"/>
                <w:szCs w:val="24"/>
                <w:highlight w:val="none"/>
              </w:rPr>
              <w:t>：云南策澜工程管理服务有限公司</w:t>
            </w:r>
          </w:p>
          <w:p w14:paraId="51C75277">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 </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址：云南省楚雄彝族自治州楚雄市汇东胜景375栋</w:t>
            </w:r>
          </w:p>
          <w:p w14:paraId="0B10BB7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联   系   人：王鸿靖</w:t>
            </w:r>
          </w:p>
          <w:p w14:paraId="37096C0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联 系  电 话：13187647775</w:t>
            </w:r>
          </w:p>
        </w:tc>
      </w:tr>
      <w:tr w14:paraId="00E33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2A4F29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1.1.4</w:t>
            </w:r>
          </w:p>
        </w:tc>
        <w:tc>
          <w:tcPr>
            <w:tcW w:w="1634" w:type="dxa"/>
            <w:shd w:val="clear" w:color="auto" w:fill="auto"/>
            <w:vAlign w:val="center"/>
          </w:tcPr>
          <w:p w14:paraId="596A8A3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项目名称</w:t>
            </w:r>
          </w:p>
        </w:tc>
        <w:tc>
          <w:tcPr>
            <w:tcW w:w="6899" w:type="dxa"/>
            <w:shd w:val="clear" w:color="auto" w:fill="auto"/>
            <w:vAlign w:val="center"/>
          </w:tcPr>
          <w:p w14:paraId="00134F21">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牟定县绿色综合分拣中心建设项目设计施工总承包（EPC）</w:t>
            </w:r>
          </w:p>
        </w:tc>
      </w:tr>
      <w:tr w14:paraId="04989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03658A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1.1.5</w:t>
            </w:r>
          </w:p>
        </w:tc>
        <w:tc>
          <w:tcPr>
            <w:tcW w:w="1634" w:type="dxa"/>
            <w:shd w:val="clear" w:color="auto" w:fill="auto"/>
            <w:vAlign w:val="center"/>
          </w:tcPr>
          <w:p w14:paraId="6ABD1B7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建设地点</w:t>
            </w:r>
          </w:p>
        </w:tc>
        <w:tc>
          <w:tcPr>
            <w:tcW w:w="6899" w:type="dxa"/>
            <w:shd w:val="clear" w:color="auto" w:fill="auto"/>
            <w:vAlign w:val="center"/>
          </w:tcPr>
          <w:p w14:paraId="4C60AF99">
            <w:pPr>
              <w:pStyle w:val="23"/>
              <w:keepNext w:val="0"/>
              <w:keepLines w:val="0"/>
              <w:pageBreakBefore w:val="0"/>
              <w:kinsoku/>
              <w:wordWrap/>
              <w:overflowPunct/>
              <w:topLinePunct w:val="0"/>
              <w:bidi w:val="0"/>
              <w:snapToGrid w:val="0"/>
              <w:spacing w:after="0" w:line="360" w:lineRule="auto"/>
              <w:ind w:right="-107" w:rightChars="-51"/>
              <w:textAlignment w:val="auto"/>
              <w:outlineLvl w:val="9"/>
              <w:rPr>
                <w:rFonts w:hint="eastAsia" w:ascii="方正仿宋_GB2312" w:hAnsi="方正仿宋_GB2312" w:eastAsia="方正仿宋_GB2312" w:cs="方正仿宋_GB2312"/>
                <w:bCs/>
                <w:color w:val="auto"/>
                <w:kern w:val="2"/>
                <w:sz w:val="24"/>
                <w:szCs w:val="24"/>
                <w:highlight w:val="none"/>
                <w:lang w:eastAsia="zh-CN"/>
              </w:rPr>
            </w:pPr>
            <w:r>
              <w:rPr>
                <w:rFonts w:hint="eastAsia" w:ascii="方正仿宋_GB2312" w:hAnsi="方正仿宋_GB2312" w:eastAsia="方正仿宋_GB2312" w:cs="方正仿宋_GB2312"/>
                <w:bCs/>
                <w:color w:val="auto"/>
                <w:kern w:val="2"/>
                <w:sz w:val="24"/>
                <w:szCs w:val="24"/>
                <w:highlight w:val="none"/>
                <w:lang w:val="en-US" w:eastAsia="zh-CN"/>
              </w:rPr>
              <w:t>云南牟定产业园区黄龙山片区</w:t>
            </w:r>
          </w:p>
        </w:tc>
      </w:tr>
      <w:tr w14:paraId="3690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85AD0F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1.2.1</w:t>
            </w:r>
          </w:p>
        </w:tc>
        <w:tc>
          <w:tcPr>
            <w:tcW w:w="1634" w:type="dxa"/>
            <w:shd w:val="clear" w:color="auto" w:fill="auto"/>
            <w:vAlign w:val="center"/>
          </w:tcPr>
          <w:p w14:paraId="4672C9C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资金来源</w:t>
            </w:r>
          </w:p>
        </w:tc>
        <w:tc>
          <w:tcPr>
            <w:tcW w:w="6899" w:type="dxa"/>
            <w:shd w:val="clear" w:color="auto" w:fill="auto"/>
            <w:vAlign w:val="center"/>
          </w:tcPr>
          <w:p w14:paraId="218EE812">
            <w:pPr>
              <w:pStyle w:val="23"/>
              <w:keepNext w:val="0"/>
              <w:keepLines w:val="0"/>
              <w:pageBreakBefore w:val="0"/>
              <w:kinsoku/>
              <w:wordWrap/>
              <w:overflowPunct/>
              <w:topLinePunct w:val="0"/>
              <w:bidi w:val="0"/>
              <w:snapToGrid w:val="0"/>
              <w:spacing w:after="0" w:line="360" w:lineRule="auto"/>
              <w:ind w:right="-107" w:rightChars="-51"/>
              <w:textAlignment w:val="auto"/>
              <w:outlineLvl w:val="9"/>
              <w:rPr>
                <w:rFonts w:hint="eastAsia" w:ascii="方正仿宋_GB2312" w:hAnsi="方正仿宋_GB2312" w:eastAsia="方正仿宋_GB2312" w:cs="方正仿宋_GB2312"/>
                <w:bCs/>
                <w:color w:val="auto"/>
                <w:kern w:val="2"/>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u w:val="none"/>
                <w:lang w:val="en-US" w:eastAsia="zh-CN"/>
              </w:rPr>
              <w:t>自筹</w:t>
            </w:r>
          </w:p>
        </w:tc>
      </w:tr>
      <w:tr w14:paraId="4D4C1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E4C88B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1.2.2</w:t>
            </w:r>
          </w:p>
        </w:tc>
        <w:tc>
          <w:tcPr>
            <w:tcW w:w="1634" w:type="dxa"/>
            <w:shd w:val="clear" w:color="auto" w:fill="auto"/>
            <w:vAlign w:val="center"/>
          </w:tcPr>
          <w:p w14:paraId="034B853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资金落实情况</w:t>
            </w:r>
          </w:p>
        </w:tc>
        <w:tc>
          <w:tcPr>
            <w:tcW w:w="6899" w:type="dxa"/>
            <w:shd w:val="clear" w:color="auto" w:fill="auto"/>
            <w:vAlign w:val="center"/>
          </w:tcPr>
          <w:p w14:paraId="36B189B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已落实</w:t>
            </w:r>
          </w:p>
        </w:tc>
      </w:tr>
      <w:tr w14:paraId="72671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E96948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bookmarkStart w:id="66" w:name="_Hlk90114669"/>
            <w:r>
              <w:rPr>
                <w:rFonts w:hint="eastAsia" w:ascii="方正仿宋_GB2312" w:hAnsi="方正仿宋_GB2312" w:eastAsia="方正仿宋_GB2312" w:cs="方正仿宋_GB2312"/>
                <w:color w:val="auto"/>
                <w:sz w:val="24"/>
                <w:szCs w:val="24"/>
                <w:highlight w:val="none"/>
              </w:rPr>
              <w:t>1.3.1</w:t>
            </w:r>
          </w:p>
        </w:tc>
        <w:tc>
          <w:tcPr>
            <w:tcW w:w="1634" w:type="dxa"/>
            <w:shd w:val="clear" w:color="auto" w:fill="auto"/>
            <w:vAlign w:val="center"/>
          </w:tcPr>
          <w:p w14:paraId="4FCD636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招标范围</w:t>
            </w:r>
          </w:p>
        </w:tc>
        <w:tc>
          <w:tcPr>
            <w:tcW w:w="6899" w:type="dxa"/>
            <w:shd w:val="clear" w:color="auto" w:fill="auto"/>
            <w:vAlign w:val="center"/>
          </w:tcPr>
          <w:p w14:paraId="79FE32A2">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详见招标文件第一章“招标公告二、项目概况及招标范围”</w:t>
            </w:r>
          </w:p>
        </w:tc>
      </w:tr>
      <w:bookmarkEnd w:id="66"/>
      <w:tr w14:paraId="2EEE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8C5E74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1.3.2</w:t>
            </w:r>
          </w:p>
        </w:tc>
        <w:tc>
          <w:tcPr>
            <w:tcW w:w="1634" w:type="dxa"/>
            <w:shd w:val="clear" w:color="auto" w:fill="auto"/>
            <w:vAlign w:val="center"/>
          </w:tcPr>
          <w:p w14:paraId="04E26D6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计划工期</w:t>
            </w:r>
          </w:p>
        </w:tc>
        <w:tc>
          <w:tcPr>
            <w:tcW w:w="6899" w:type="dxa"/>
            <w:shd w:val="clear" w:color="auto" w:fill="auto"/>
            <w:vAlign w:val="center"/>
          </w:tcPr>
          <w:p w14:paraId="69BB0BE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lang w:val="en-US" w:eastAsia="zh-CN"/>
              </w:rPr>
              <w:t>450日历天</w:t>
            </w:r>
            <w:r>
              <w:rPr>
                <w:rFonts w:hint="eastAsia" w:ascii="方正仿宋_GB2312" w:hAnsi="方正仿宋_GB2312" w:eastAsia="方正仿宋_GB2312" w:cs="方正仿宋_GB2312"/>
                <w:color w:val="auto"/>
                <w:sz w:val="24"/>
                <w:szCs w:val="24"/>
                <w:highlight w:val="none"/>
                <w:lang w:eastAsia="zh-CN"/>
              </w:rPr>
              <w:t>。</w:t>
            </w:r>
          </w:p>
        </w:tc>
      </w:tr>
      <w:tr w14:paraId="5D35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9CC44F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1.3.3</w:t>
            </w:r>
          </w:p>
        </w:tc>
        <w:tc>
          <w:tcPr>
            <w:tcW w:w="1634" w:type="dxa"/>
            <w:shd w:val="clear" w:color="auto" w:fill="auto"/>
            <w:vAlign w:val="center"/>
          </w:tcPr>
          <w:p w14:paraId="058E224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质量要求</w:t>
            </w:r>
          </w:p>
        </w:tc>
        <w:tc>
          <w:tcPr>
            <w:tcW w:w="6899" w:type="dxa"/>
            <w:shd w:val="clear" w:color="auto" w:fill="auto"/>
            <w:vAlign w:val="center"/>
          </w:tcPr>
          <w:p w14:paraId="77E69CDF">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详见招标文件第一章“招标公告2、项目概况及招标范围”</w:t>
            </w:r>
          </w:p>
        </w:tc>
      </w:tr>
      <w:tr w14:paraId="1BD3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F75F6A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1.4.1</w:t>
            </w:r>
          </w:p>
        </w:tc>
        <w:tc>
          <w:tcPr>
            <w:tcW w:w="1634" w:type="dxa"/>
            <w:shd w:val="clear" w:color="auto" w:fill="auto"/>
            <w:vAlign w:val="center"/>
          </w:tcPr>
          <w:p w14:paraId="4CA18F8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投标人资质条件、能力和</w:t>
            </w:r>
          </w:p>
          <w:p w14:paraId="23B7BB6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信誉</w:t>
            </w:r>
          </w:p>
        </w:tc>
        <w:tc>
          <w:tcPr>
            <w:tcW w:w="6899" w:type="dxa"/>
            <w:shd w:val="clear" w:color="auto" w:fill="auto"/>
            <w:vAlign w:val="center"/>
          </w:tcPr>
          <w:p w14:paraId="4FCD0EAB">
            <w:pPr>
              <w:keepNext w:val="0"/>
              <w:keepLines w:val="0"/>
              <w:pageBreakBefore w:val="0"/>
              <w:widowControl w:val="0"/>
              <w:kinsoku/>
              <w:wordWrap/>
              <w:overflowPunct/>
              <w:topLinePunct w:val="0"/>
              <w:autoSpaceDE/>
              <w:autoSpaceDN/>
              <w:bidi w:val="0"/>
              <w:adjustRightInd w:val="0"/>
              <w:snapToGrid w:val="0"/>
              <w:spacing w:after="0" w:line="360" w:lineRule="auto"/>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详见招标文件第一章“招标公告3、投标人资格要求”</w:t>
            </w:r>
          </w:p>
        </w:tc>
      </w:tr>
      <w:tr w14:paraId="30C9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tcPr>
          <w:p w14:paraId="01D415B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3EA7ECA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683F5F3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5E10BCA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1.4.2</w:t>
            </w:r>
          </w:p>
        </w:tc>
        <w:tc>
          <w:tcPr>
            <w:tcW w:w="1634" w:type="dxa"/>
            <w:shd w:val="clear" w:color="auto" w:fill="auto"/>
          </w:tcPr>
          <w:p w14:paraId="389CA53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2AFF1BA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2EAB6CD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5CA358E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是否接受联合体投标</w:t>
            </w:r>
          </w:p>
        </w:tc>
        <w:tc>
          <w:tcPr>
            <w:tcW w:w="6899" w:type="dxa"/>
            <w:shd w:val="clear" w:color="auto" w:fill="auto"/>
          </w:tcPr>
          <w:p w14:paraId="109D5652">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kern w:val="0"/>
                <w:sz w:val="24"/>
                <w:szCs w:val="24"/>
                <w:highlight w:val="none"/>
                <w:lang w:val="zh-CN"/>
              </w:rPr>
              <w:t>不接受</w:t>
            </w:r>
          </w:p>
          <w:p w14:paraId="156EBFA9">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■接受，应满足下列要求：（联合体的家数不得超过</w:t>
            </w:r>
            <w:r>
              <w:rPr>
                <w:rFonts w:hint="eastAsia" w:ascii="方正仿宋_GB2312" w:hAnsi="方正仿宋_GB2312" w:eastAsia="方正仿宋_GB2312" w:cs="方正仿宋_GB2312"/>
                <w:color w:val="auto"/>
                <w:kern w:val="0"/>
                <w:sz w:val="24"/>
                <w:szCs w:val="24"/>
                <w:highlight w:val="none"/>
                <w:lang w:val="en-US" w:eastAsia="zh-CN"/>
              </w:rPr>
              <w:t>2</w:t>
            </w:r>
            <w:r>
              <w:rPr>
                <w:rFonts w:hint="eastAsia" w:ascii="方正仿宋_GB2312" w:hAnsi="方正仿宋_GB2312" w:eastAsia="方正仿宋_GB2312" w:cs="方正仿宋_GB2312"/>
                <w:color w:val="auto"/>
                <w:kern w:val="0"/>
                <w:sz w:val="24"/>
                <w:szCs w:val="24"/>
                <w:highlight w:val="none"/>
                <w:lang w:val="zh-CN"/>
              </w:rPr>
              <w:t>家，联合体投标的牵头人必须是</w:t>
            </w:r>
            <w:r>
              <w:rPr>
                <w:rFonts w:hint="eastAsia" w:ascii="方正仿宋_GB2312" w:hAnsi="方正仿宋_GB2312" w:eastAsia="方正仿宋_GB2312" w:cs="方正仿宋_GB2312"/>
                <w:color w:val="auto"/>
                <w:kern w:val="0"/>
                <w:sz w:val="24"/>
                <w:szCs w:val="24"/>
                <w:highlight w:val="none"/>
                <w:lang w:val="en-US" w:eastAsia="zh-CN"/>
              </w:rPr>
              <w:t>施工方</w:t>
            </w:r>
            <w:r>
              <w:rPr>
                <w:rFonts w:hint="eastAsia" w:ascii="方正仿宋_GB2312" w:hAnsi="方正仿宋_GB2312" w:eastAsia="方正仿宋_GB2312" w:cs="方正仿宋_GB2312"/>
                <w:color w:val="auto"/>
                <w:kern w:val="0"/>
                <w:sz w:val="24"/>
                <w:szCs w:val="24"/>
                <w:highlight w:val="none"/>
                <w:lang w:val="zh-CN"/>
              </w:rPr>
              <w:t>），并满足以下要求：</w:t>
            </w:r>
          </w:p>
          <w:p w14:paraId="15B0EA3B">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①联合体各方应签订联合体协议书，明确约定各方拟承担的工作和责任，并将联合体协议书随投标文件一并提交招标人。</w:t>
            </w:r>
          </w:p>
          <w:p w14:paraId="1060F956">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②投标人的投标文件及中标后签署的合同协议书对联合体各方均具有法律约束力。</w:t>
            </w:r>
          </w:p>
          <w:p w14:paraId="63E63856">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lang w:val="zh-CN"/>
              </w:rPr>
              <w:t>③</w:t>
            </w:r>
            <w:r>
              <w:rPr>
                <w:rFonts w:hint="eastAsia" w:ascii="方正仿宋_GB2312" w:hAnsi="方正仿宋_GB2312" w:eastAsia="方正仿宋_GB2312" w:cs="方正仿宋_GB2312"/>
                <w:b w:val="0"/>
                <w:bCs w:val="0"/>
                <w:color w:val="auto"/>
                <w:kern w:val="0"/>
                <w:sz w:val="24"/>
                <w:szCs w:val="24"/>
                <w:highlight w:val="none"/>
              </w:rPr>
              <w:t>联合体中标后，联合体按招标文件要求与招标人签订合同，联合体各方为履行合同向招标人承担各自范围内相应责任。</w:t>
            </w:r>
          </w:p>
          <w:p w14:paraId="6BFC12CB">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④由同一专业的单位组成的联合体，按照资质等级较低的单位确定资质等级。</w:t>
            </w:r>
          </w:p>
          <w:p w14:paraId="629F03E1">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⑤联合体投标的，应当以联合体各方或者联合体牵头人的名义提交投标保证金。以联合体牵头人名义提交的投标保证金，对联合体各成员具有约束力。</w:t>
            </w:r>
          </w:p>
          <w:p w14:paraId="08A40091">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⑥两个以上法人或者其他组织可以组成一个联合体，以一个投标人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w:t>
            </w:r>
          </w:p>
          <w:p w14:paraId="7E4AA890">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⑦联合体资质应符合法律法规的规定，并按照联合体协议约定的分工进行认定。</w:t>
            </w:r>
          </w:p>
        </w:tc>
      </w:tr>
      <w:tr w14:paraId="5B834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15348D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1.5</w:t>
            </w:r>
          </w:p>
        </w:tc>
        <w:tc>
          <w:tcPr>
            <w:tcW w:w="1634" w:type="dxa"/>
            <w:shd w:val="clear" w:color="auto" w:fill="auto"/>
            <w:vAlign w:val="center"/>
          </w:tcPr>
          <w:p w14:paraId="61F8976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费用承担和</w:t>
            </w:r>
          </w:p>
          <w:p w14:paraId="0A947F5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设计成果补偿</w:t>
            </w:r>
          </w:p>
        </w:tc>
        <w:tc>
          <w:tcPr>
            <w:tcW w:w="6899" w:type="dxa"/>
            <w:shd w:val="clear" w:color="auto" w:fill="auto"/>
            <w:vAlign w:val="center"/>
          </w:tcPr>
          <w:p w14:paraId="505CD4A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■不补偿</w:t>
            </w:r>
          </w:p>
          <w:p w14:paraId="60AC96FC">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□补偿，补偿标准：</w:t>
            </w:r>
            <w:r>
              <w:rPr>
                <w:rFonts w:hint="eastAsia" w:ascii="方正仿宋_GB2312" w:hAnsi="方正仿宋_GB2312" w:eastAsia="方正仿宋_GB2312" w:cs="方正仿宋_GB2312"/>
                <w:color w:val="auto"/>
                <w:sz w:val="24"/>
                <w:szCs w:val="24"/>
                <w:highlight w:val="none"/>
                <w:u w:val="single"/>
              </w:rPr>
              <w:t xml:space="preserve">  /  </w:t>
            </w:r>
          </w:p>
        </w:tc>
      </w:tr>
      <w:tr w14:paraId="3A4F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1B4F72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1.9.1</w:t>
            </w:r>
          </w:p>
        </w:tc>
        <w:tc>
          <w:tcPr>
            <w:tcW w:w="1634" w:type="dxa"/>
            <w:shd w:val="clear" w:color="auto" w:fill="auto"/>
            <w:vAlign w:val="center"/>
          </w:tcPr>
          <w:p w14:paraId="2351D3D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踏勘现场</w:t>
            </w:r>
          </w:p>
        </w:tc>
        <w:tc>
          <w:tcPr>
            <w:tcW w:w="6899" w:type="dxa"/>
            <w:shd w:val="clear" w:color="auto" w:fill="auto"/>
            <w:vAlign w:val="center"/>
          </w:tcPr>
          <w:p w14:paraId="71FB28B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■不组织</w:t>
            </w:r>
          </w:p>
          <w:p w14:paraId="530D326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□组织，踏勘时间：</w:t>
            </w:r>
          </w:p>
          <w:p w14:paraId="68E1E8C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踏勘集中地点：</w:t>
            </w:r>
          </w:p>
        </w:tc>
      </w:tr>
      <w:tr w14:paraId="1D2FC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BC5BB1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1.10.1</w:t>
            </w:r>
          </w:p>
        </w:tc>
        <w:tc>
          <w:tcPr>
            <w:tcW w:w="1634" w:type="dxa"/>
            <w:shd w:val="clear" w:color="auto" w:fill="auto"/>
            <w:vAlign w:val="center"/>
          </w:tcPr>
          <w:p w14:paraId="6AF339D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投标预备会</w:t>
            </w:r>
          </w:p>
        </w:tc>
        <w:tc>
          <w:tcPr>
            <w:tcW w:w="6899" w:type="dxa"/>
            <w:shd w:val="clear" w:color="auto" w:fill="auto"/>
            <w:vAlign w:val="center"/>
          </w:tcPr>
          <w:p w14:paraId="24A8CE0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■不召开</w:t>
            </w:r>
          </w:p>
          <w:p w14:paraId="121F82CB">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□召开，召开时间：</w:t>
            </w:r>
          </w:p>
          <w:p w14:paraId="0DA6FE1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召开地点：</w:t>
            </w:r>
          </w:p>
        </w:tc>
      </w:tr>
      <w:tr w14:paraId="2495C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C128A6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1.10.2</w:t>
            </w:r>
          </w:p>
        </w:tc>
        <w:tc>
          <w:tcPr>
            <w:tcW w:w="1634" w:type="dxa"/>
            <w:shd w:val="clear" w:color="auto" w:fill="auto"/>
            <w:vAlign w:val="center"/>
          </w:tcPr>
          <w:p w14:paraId="21D91B90">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投标人提出问题的截止时间</w:t>
            </w:r>
          </w:p>
        </w:tc>
        <w:tc>
          <w:tcPr>
            <w:tcW w:w="6899" w:type="dxa"/>
            <w:shd w:val="clear" w:color="auto" w:fill="auto"/>
            <w:vAlign w:val="center"/>
          </w:tcPr>
          <w:p w14:paraId="41A09AE9">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bookmarkStart w:id="67" w:name="_Toc21843"/>
            <w:bookmarkStart w:id="68" w:name="_Toc30371"/>
            <w:r>
              <w:rPr>
                <w:rFonts w:hint="eastAsia" w:ascii="方正仿宋_GB2312" w:hAnsi="方正仿宋_GB2312" w:eastAsia="方正仿宋_GB2312" w:cs="方正仿宋_GB2312"/>
                <w:color w:val="auto"/>
                <w:kern w:val="0"/>
                <w:sz w:val="24"/>
                <w:szCs w:val="24"/>
                <w:highlight w:val="none"/>
              </w:rPr>
              <w:t>投标截止时间10日以前，所有获取了招标文件的潜在投标人凭企业数字证书（CA）</w:t>
            </w:r>
            <w:r>
              <w:rPr>
                <w:rFonts w:hint="eastAsia" w:ascii="方正仿宋_GB2312" w:hAnsi="方正仿宋_GB2312" w:eastAsia="方正仿宋_GB2312" w:cs="方正仿宋_GB2312"/>
                <w:color w:val="auto"/>
                <w:sz w:val="24"/>
                <w:szCs w:val="24"/>
                <w:highlight w:val="none"/>
                <w:lang w:val="en-US" w:eastAsia="zh-CN"/>
              </w:rPr>
              <w:t>登录全国公共资源交易平台（云南省） （</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/）选择“楚雄州”</w:t>
            </w:r>
            <w:r>
              <w:rPr>
                <w:rFonts w:hint="eastAsia" w:ascii="方正仿宋_GB2312" w:hAnsi="方正仿宋_GB2312" w:eastAsia="方正仿宋_GB2312" w:cs="方正仿宋_GB2312"/>
                <w:color w:val="auto"/>
                <w:kern w:val="0"/>
                <w:sz w:val="24"/>
                <w:szCs w:val="24"/>
                <w:highlight w:val="none"/>
              </w:rPr>
              <w:t>，通过网络在线方式向招标人或招标代理进行不署名提问。</w:t>
            </w:r>
            <w:bookmarkEnd w:id="67"/>
            <w:bookmarkEnd w:id="68"/>
          </w:p>
        </w:tc>
      </w:tr>
      <w:tr w14:paraId="6637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A4AEB93">
            <w:pPr>
              <w:keepNext w:val="0"/>
              <w:keepLines w:val="0"/>
              <w:pageBreakBefore w:val="0"/>
              <w:kinsoku/>
              <w:wordWrap/>
              <w:overflowPunct/>
              <w:topLinePunct w:val="0"/>
              <w:bidi w:val="0"/>
              <w:snapToGrid w:val="0"/>
              <w:spacing w:after="0" w:line="360" w:lineRule="auto"/>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1.10.3</w:t>
            </w:r>
          </w:p>
        </w:tc>
        <w:tc>
          <w:tcPr>
            <w:tcW w:w="1634" w:type="dxa"/>
            <w:shd w:val="clear" w:color="auto" w:fill="auto"/>
            <w:vAlign w:val="center"/>
          </w:tcPr>
          <w:p w14:paraId="302EA5C3">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投标人确认收到招标文件修改的时间</w:t>
            </w:r>
          </w:p>
        </w:tc>
        <w:tc>
          <w:tcPr>
            <w:tcW w:w="6899" w:type="dxa"/>
            <w:shd w:val="clear" w:color="auto" w:fill="auto"/>
            <w:vAlign w:val="center"/>
          </w:tcPr>
          <w:p w14:paraId="415571F9">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投标人自行登录全国公共资源交易平台（云南省）（</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/）选择“楚雄州”获取澄清，无需回复确认已收到该修改文件。</w:t>
            </w:r>
          </w:p>
        </w:tc>
      </w:tr>
      <w:tr w14:paraId="02554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12E685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1.10.</w:t>
            </w:r>
            <w:r>
              <w:rPr>
                <w:rFonts w:hint="eastAsia" w:ascii="方正仿宋_GB2312" w:hAnsi="方正仿宋_GB2312" w:eastAsia="方正仿宋_GB2312" w:cs="方正仿宋_GB2312"/>
                <w:color w:val="auto"/>
                <w:sz w:val="24"/>
                <w:szCs w:val="24"/>
                <w:highlight w:val="none"/>
                <w:lang w:val="en-US" w:eastAsia="zh-CN"/>
              </w:rPr>
              <w:t>4</w:t>
            </w:r>
          </w:p>
        </w:tc>
        <w:tc>
          <w:tcPr>
            <w:tcW w:w="1634" w:type="dxa"/>
            <w:shd w:val="clear" w:color="auto" w:fill="auto"/>
            <w:vAlign w:val="center"/>
          </w:tcPr>
          <w:p w14:paraId="0937DB00">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招标人书面澄清的时间</w:t>
            </w:r>
          </w:p>
        </w:tc>
        <w:tc>
          <w:tcPr>
            <w:tcW w:w="6899" w:type="dxa"/>
            <w:shd w:val="clear" w:color="auto" w:fill="auto"/>
            <w:vAlign w:val="center"/>
          </w:tcPr>
          <w:p w14:paraId="1D7D94F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投标截止时间至少15日前，由招标人以补遗书方式按程序报有关主管部门备案后，提交公共资源交易中心统一通过网络向潜在投标人发布，所有获取了招标文件的潜在投标人登录</w:t>
            </w:r>
            <w:r>
              <w:rPr>
                <w:rFonts w:hint="eastAsia" w:ascii="方正仿宋_GB2312" w:hAnsi="方正仿宋_GB2312" w:eastAsia="方正仿宋_GB2312" w:cs="方正仿宋_GB2312"/>
                <w:color w:val="auto"/>
                <w:sz w:val="24"/>
                <w:szCs w:val="24"/>
                <w:highlight w:val="none"/>
                <w:lang w:val="en-US" w:eastAsia="zh-CN"/>
              </w:rPr>
              <w:t>全国公共资源交易平台（云南省） （</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/）选择“楚雄州”</w:t>
            </w:r>
            <w:r>
              <w:rPr>
                <w:rFonts w:hint="eastAsia" w:ascii="方正仿宋_GB2312" w:hAnsi="方正仿宋_GB2312" w:eastAsia="方正仿宋_GB2312" w:cs="方正仿宋_GB2312"/>
                <w:color w:val="auto"/>
                <w:kern w:val="0"/>
                <w:sz w:val="24"/>
                <w:szCs w:val="24"/>
                <w:highlight w:val="none"/>
              </w:rPr>
              <w:t>凭企业身份认证数字证书（CA）查看澄清内容。</w:t>
            </w:r>
          </w:p>
        </w:tc>
      </w:tr>
      <w:tr w14:paraId="722BC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461C252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w:t>
            </w:r>
          </w:p>
        </w:tc>
        <w:tc>
          <w:tcPr>
            <w:tcW w:w="1634" w:type="dxa"/>
            <w:shd w:val="clear" w:color="auto" w:fill="auto"/>
            <w:vAlign w:val="center"/>
          </w:tcPr>
          <w:p w14:paraId="439C50E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招标人规定由分包人承担的工作</w:t>
            </w:r>
          </w:p>
        </w:tc>
        <w:tc>
          <w:tcPr>
            <w:tcW w:w="6899" w:type="dxa"/>
            <w:shd w:val="clear" w:color="auto" w:fill="auto"/>
            <w:vAlign w:val="center"/>
          </w:tcPr>
          <w:p w14:paraId="68F6731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无</w:t>
            </w:r>
          </w:p>
        </w:tc>
      </w:tr>
      <w:tr w14:paraId="305F8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D70CB0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1.11.2</w:t>
            </w:r>
          </w:p>
        </w:tc>
        <w:tc>
          <w:tcPr>
            <w:tcW w:w="1634" w:type="dxa"/>
            <w:shd w:val="clear" w:color="auto" w:fill="auto"/>
            <w:vAlign w:val="center"/>
          </w:tcPr>
          <w:p w14:paraId="7298567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投标人拟分包的工作</w:t>
            </w:r>
          </w:p>
        </w:tc>
        <w:tc>
          <w:tcPr>
            <w:tcW w:w="6899" w:type="dxa"/>
            <w:shd w:val="clear" w:color="auto" w:fill="auto"/>
            <w:vAlign w:val="center"/>
          </w:tcPr>
          <w:p w14:paraId="381B46E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■不允许</w:t>
            </w:r>
          </w:p>
          <w:p w14:paraId="490638F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□允许，分包内容要求：</w:t>
            </w:r>
          </w:p>
          <w:p w14:paraId="0DA1CB2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分包金额要求：</w:t>
            </w:r>
          </w:p>
          <w:p w14:paraId="33E1228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接受分包的第三人资质要求：</w:t>
            </w:r>
          </w:p>
        </w:tc>
      </w:tr>
      <w:tr w14:paraId="5D89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tcPr>
          <w:p w14:paraId="030AEE3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1.12</w:t>
            </w:r>
          </w:p>
        </w:tc>
        <w:tc>
          <w:tcPr>
            <w:tcW w:w="1634" w:type="dxa"/>
            <w:shd w:val="clear" w:color="auto" w:fill="auto"/>
          </w:tcPr>
          <w:p w14:paraId="1863ADC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偏离</w:t>
            </w:r>
          </w:p>
        </w:tc>
        <w:tc>
          <w:tcPr>
            <w:tcW w:w="6899" w:type="dxa"/>
            <w:shd w:val="clear" w:color="auto" w:fill="auto"/>
          </w:tcPr>
          <w:p w14:paraId="634C694B">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■不允许</w:t>
            </w:r>
          </w:p>
          <w:p w14:paraId="1C31A02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□允许</w:t>
            </w:r>
          </w:p>
        </w:tc>
      </w:tr>
      <w:tr w14:paraId="23397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7120B6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w:t>
            </w:r>
          </w:p>
        </w:tc>
        <w:tc>
          <w:tcPr>
            <w:tcW w:w="1634" w:type="dxa"/>
            <w:shd w:val="clear" w:color="auto" w:fill="auto"/>
            <w:vAlign w:val="center"/>
          </w:tcPr>
          <w:p w14:paraId="302EB4E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构成招标文件的其他材料</w:t>
            </w:r>
          </w:p>
        </w:tc>
        <w:tc>
          <w:tcPr>
            <w:tcW w:w="6899" w:type="dxa"/>
            <w:shd w:val="clear" w:color="auto" w:fill="auto"/>
            <w:vAlign w:val="center"/>
          </w:tcPr>
          <w:p w14:paraId="7BA82DE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招标文件的澄清及答疑等。</w:t>
            </w:r>
          </w:p>
        </w:tc>
      </w:tr>
      <w:tr w14:paraId="53198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424193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2.2.1</w:t>
            </w:r>
          </w:p>
        </w:tc>
        <w:tc>
          <w:tcPr>
            <w:tcW w:w="1634" w:type="dxa"/>
            <w:shd w:val="clear" w:color="auto" w:fill="auto"/>
            <w:vAlign w:val="center"/>
          </w:tcPr>
          <w:p w14:paraId="2B637CE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投标人要求澄清招标文件的截止时间</w:t>
            </w:r>
          </w:p>
        </w:tc>
        <w:tc>
          <w:tcPr>
            <w:tcW w:w="6899" w:type="dxa"/>
            <w:shd w:val="clear" w:color="auto" w:fill="auto"/>
            <w:vAlign w:val="center"/>
          </w:tcPr>
          <w:p w14:paraId="057D7ED1">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同1.10.2的时间要求</w:t>
            </w:r>
          </w:p>
          <w:p w14:paraId="497DC21C">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投标人应仔细阅读和检查招标文件的全部内容。如发现缺页或附件不全，应及时向招标人提出，以便补齐。如有疑问，应在投标人须知前附表规定的时间前以在线不署名提交方式登录</w:t>
            </w:r>
            <w:r>
              <w:rPr>
                <w:rFonts w:hint="eastAsia" w:ascii="方正仿宋_GB2312" w:hAnsi="方正仿宋_GB2312" w:eastAsia="方正仿宋_GB2312" w:cs="方正仿宋_GB2312"/>
                <w:color w:val="auto"/>
                <w:sz w:val="24"/>
                <w:szCs w:val="24"/>
                <w:highlight w:val="none"/>
                <w:lang w:val="en-US" w:eastAsia="zh-CN"/>
              </w:rPr>
              <w:t>全国公共资源交易平台（云南省） （</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/）选择“楚雄州”</w:t>
            </w:r>
            <w:r>
              <w:rPr>
                <w:rFonts w:hint="eastAsia" w:ascii="方正仿宋_GB2312" w:hAnsi="方正仿宋_GB2312" w:eastAsia="方正仿宋_GB2312" w:cs="方正仿宋_GB2312"/>
                <w:color w:val="auto"/>
                <w:sz w:val="24"/>
                <w:szCs w:val="24"/>
                <w:highlight w:val="none"/>
              </w:rPr>
              <w:t>，要求招标人对招标文件予以澄清。</w:t>
            </w:r>
          </w:p>
        </w:tc>
      </w:tr>
      <w:tr w14:paraId="514B2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F8F24B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2.2.2</w:t>
            </w:r>
          </w:p>
        </w:tc>
        <w:tc>
          <w:tcPr>
            <w:tcW w:w="1634" w:type="dxa"/>
            <w:shd w:val="clear" w:color="auto" w:fill="auto"/>
            <w:vAlign w:val="center"/>
          </w:tcPr>
          <w:p w14:paraId="002953D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投标截止时间</w:t>
            </w:r>
            <w:r>
              <w:rPr>
                <w:rFonts w:hint="eastAsia" w:ascii="方正仿宋_GB2312" w:hAnsi="方正仿宋_GB2312" w:eastAsia="方正仿宋_GB2312" w:cs="方正仿宋_GB2312"/>
                <w:color w:val="auto"/>
                <w:sz w:val="24"/>
                <w:szCs w:val="24"/>
                <w:highlight w:val="none"/>
                <w:lang w:val="en-US" w:eastAsia="zh-CN"/>
              </w:rPr>
              <w:t>同开标时间</w:t>
            </w:r>
          </w:p>
        </w:tc>
        <w:tc>
          <w:tcPr>
            <w:tcW w:w="6899" w:type="dxa"/>
            <w:shd w:val="clear" w:color="auto" w:fill="auto"/>
            <w:vAlign w:val="center"/>
          </w:tcPr>
          <w:p w14:paraId="440361C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2026年  月  日08</w:t>
            </w:r>
            <w:r>
              <w:rPr>
                <w:rFonts w:hint="eastAsia" w:ascii="方正仿宋_GB2312" w:hAnsi="方正仿宋_GB2312" w:eastAsia="方正仿宋_GB2312" w:cs="方正仿宋_GB2312"/>
                <w:color w:val="auto"/>
                <w:sz w:val="24"/>
                <w:szCs w:val="24"/>
                <w:highlight w:val="none"/>
              </w:rPr>
              <w:t>时</w:t>
            </w:r>
            <w:r>
              <w:rPr>
                <w:rFonts w:hint="eastAsia" w:ascii="方正仿宋_GB2312" w:hAnsi="方正仿宋_GB2312" w:eastAsia="方正仿宋_GB2312" w:cs="方正仿宋_GB2312"/>
                <w:color w:val="auto"/>
                <w:sz w:val="24"/>
                <w:szCs w:val="24"/>
                <w:highlight w:val="none"/>
                <w:lang w:val="en-US" w:eastAsia="zh-CN"/>
              </w:rPr>
              <w:t>30</w:t>
            </w:r>
            <w:r>
              <w:rPr>
                <w:rFonts w:hint="eastAsia" w:ascii="方正仿宋_GB2312" w:hAnsi="方正仿宋_GB2312" w:eastAsia="方正仿宋_GB2312" w:cs="方正仿宋_GB2312"/>
                <w:color w:val="auto"/>
                <w:sz w:val="24"/>
                <w:szCs w:val="24"/>
                <w:highlight w:val="none"/>
              </w:rPr>
              <w:t>分</w:t>
            </w:r>
          </w:p>
        </w:tc>
      </w:tr>
      <w:tr w14:paraId="59D6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03A6ECE">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2.2.3</w:t>
            </w:r>
          </w:p>
        </w:tc>
        <w:tc>
          <w:tcPr>
            <w:tcW w:w="1634" w:type="dxa"/>
            <w:shd w:val="clear" w:color="auto" w:fill="auto"/>
            <w:vAlign w:val="center"/>
          </w:tcPr>
          <w:p w14:paraId="75A629E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投标人确认收到招标文件澄清的时间</w:t>
            </w:r>
          </w:p>
        </w:tc>
        <w:tc>
          <w:tcPr>
            <w:tcW w:w="6899" w:type="dxa"/>
            <w:shd w:val="clear" w:color="auto" w:fill="auto"/>
            <w:vAlign w:val="center"/>
          </w:tcPr>
          <w:p w14:paraId="23B5D92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投标人自行登录全国公共资源交易平台（云南省）（</w:t>
            </w:r>
            <w:r>
              <w:rPr>
                <w:rFonts w:hint="eastAsia" w:ascii="方正仿宋_GB2312" w:hAnsi="方正仿宋_GB2312" w:eastAsia="方正仿宋_GB2312" w:cs="方正仿宋_GB2312"/>
                <w:color w:val="auto"/>
                <w:sz w:val="24"/>
                <w:szCs w:val="24"/>
                <w:highlight w:val="none"/>
                <w:lang w:val="zh-CN" w:eastAsia="zh-CN"/>
              </w:rPr>
              <w:t>https://ggzy.yn.gov.cn/homePage</w:t>
            </w:r>
            <w:r>
              <w:rPr>
                <w:rFonts w:hint="eastAsia" w:ascii="方正仿宋_GB2312" w:hAnsi="方正仿宋_GB2312" w:eastAsia="方正仿宋_GB2312" w:cs="方正仿宋_GB2312"/>
                <w:color w:val="auto"/>
                <w:sz w:val="24"/>
                <w:szCs w:val="24"/>
                <w:highlight w:val="none"/>
                <w:lang w:val="en-US" w:eastAsia="zh-CN"/>
              </w:rPr>
              <w:t>/）选择“楚雄州”获取澄清，无需回复确认已收到该澄清文件。</w:t>
            </w:r>
          </w:p>
        </w:tc>
      </w:tr>
      <w:tr w14:paraId="6DB3D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4CC070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3.1.1</w:t>
            </w:r>
          </w:p>
        </w:tc>
        <w:tc>
          <w:tcPr>
            <w:tcW w:w="1634" w:type="dxa"/>
            <w:shd w:val="clear" w:color="auto" w:fill="auto"/>
            <w:vAlign w:val="center"/>
          </w:tcPr>
          <w:p w14:paraId="2CD7194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构成投标文件的其他材料</w:t>
            </w:r>
          </w:p>
        </w:tc>
        <w:tc>
          <w:tcPr>
            <w:tcW w:w="6899" w:type="dxa"/>
            <w:shd w:val="clear" w:color="auto" w:fill="auto"/>
            <w:vAlign w:val="center"/>
          </w:tcPr>
          <w:p w14:paraId="6D948619">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AUTOTEXT  input137 \* MERGEFORMAT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招标文件的补遗，澄清或修改通知。</w:t>
            </w:r>
            <w:r>
              <w:rPr>
                <w:rFonts w:hint="eastAsia" w:ascii="方正仿宋_GB2312" w:hAnsi="方正仿宋_GB2312" w:eastAsia="方正仿宋_GB2312" w:cs="方正仿宋_GB2312"/>
                <w:color w:val="auto"/>
                <w:sz w:val="24"/>
                <w:szCs w:val="24"/>
                <w:highlight w:val="none"/>
              </w:rPr>
              <w:fldChar w:fldCharType="end"/>
            </w:r>
          </w:p>
        </w:tc>
      </w:tr>
      <w:tr w14:paraId="066C0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11798C1">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rPr>
              <w:t>3.2.4</w:t>
            </w:r>
          </w:p>
        </w:tc>
        <w:tc>
          <w:tcPr>
            <w:tcW w:w="1634" w:type="dxa"/>
            <w:shd w:val="clear" w:color="auto" w:fill="auto"/>
            <w:vAlign w:val="center"/>
          </w:tcPr>
          <w:p w14:paraId="79042975">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投标报价和评分计算方法</w:t>
            </w:r>
          </w:p>
        </w:tc>
        <w:tc>
          <w:tcPr>
            <w:tcW w:w="6899" w:type="dxa"/>
            <w:shd w:val="clear" w:color="auto" w:fill="auto"/>
            <w:vAlign w:val="center"/>
          </w:tcPr>
          <w:p w14:paraId="17F21F21">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见</w:t>
            </w:r>
            <w:r>
              <w:rPr>
                <w:rFonts w:hint="eastAsia" w:ascii="方正仿宋_GB2312" w:hAnsi="方正仿宋_GB2312" w:eastAsia="方正仿宋_GB2312" w:cs="方正仿宋_GB2312"/>
                <w:color w:val="auto"/>
                <w:kern w:val="0"/>
                <w:sz w:val="24"/>
                <w:szCs w:val="24"/>
                <w:highlight w:val="none"/>
              </w:rPr>
              <w:t>10.1</w:t>
            </w:r>
            <w:r>
              <w:rPr>
                <w:rFonts w:hint="eastAsia" w:ascii="方正仿宋_GB2312" w:hAnsi="方正仿宋_GB2312" w:eastAsia="方正仿宋_GB2312" w:cs="方正仿宋_GB2312"/>
                <w:color w:val="auto"/>
                <w:kern w:val="0"/>
                <w:sz w:val="24"/>
                <w:szCs w:val="24"/>
                <w:highlight w:val="none"/>
                <w:lang w:val="zh-CN"/>
              </w:rPr>
              <w:t>要求和第三章</w:t>
            </w:r>
            <w:r>
              <w:rPr>
                <w:rFonts w:hint="eastAsia" w:ascii="方正仿宋_GB2312" w:hAnsi="方正仿宋_GB2312" w:eastAsia="方正仿宋_GB2312" w:cs="方正仿宋_GB2312"/>
                <w:color w:val="auto"/>
                <w:kern w:val="0"/>
                <w:sz w:val="24"/>
                <w:szCs w:val="24"/>
                <w:highlight w:val="none"/>
              </w:rPr>
              <w:t>3.2</w:t>
            </w:r>
          </w:p>
        </w:tc>
      </w:tr>
      <w:tr w14:paraId="50F2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D44D4DC">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rPr>
              <w:t>3.2.5</w:t>
            </w:r>
          </w:p>
        </w:tc>
        <w:tc>
          <w:tcPr>
            <w:tcW w:w="1634" w:type="dxa"/>
            <w:shd w:val="clear" w:color="auto" w:fill="auto"/>
            <w:vAlign w:val="center"/>
          </w:tcPr>
          <w:p w14:paraId="319CB43C">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投标报价的其他要求</w:t>
            </w:r>
          </w:p>
        </w:tc>
        <w:tc>
          <w:tcPr>
            <w:tcW w:w="6899" w:type="dxa"/>
            <w:shd w:val="clear" w:color="auto" w:fill="auto"/>
            <w:vAlign w:val="center"/>
          </w:tcPr>
          <w:p w14:paraId="7EBF89C9">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pacing w:val="-4"/>
                <w:kern w:val="0"/>
                <w:sz w:val="24"/>
                <w:szCs w:val="24"/>
                <w:highlight w:val="none"/>
                <w:lang w:val="zh-CN"/>
              </w:rPr>
            </w:pPr>
            <w:r>
              <w:rPr>
                <w:rFonts w:hint="eastAsia" w:ascii="方正仿宋_GB2312" w:hAnsi="方正仿宋_GB2312" w:eastAsia="方正仿宋_GB2312" w:cs="方正仿宋_GB2312"/>
                <w:color w:val="auto"/>
                <w:spacing w:val="-4"/>
                <w:kern w:val="0"/>
                <w:sz w:val="24"/>
                <w:szCs w:val="24"/>
                <w:highlight w:val="none"/>
                <w:lang w:val="zh-CN"/>
              </w:rPr>
              <w:t>投标人依据市场情况及企业自身实力进行自主报价，结合</w:t>
            </w:r>
            <w:r>
              <w:rPr>
                <w:rFonts w:hint="eastAsia" w:ascii="方正仿宋_GB2312" w:hAnsi="方正仿宋_GB2312" w:eastAsia="方正仿宋_GB2312" w:cs="方正仿宋_GB2312"/>
                <w:color w:val="auto"/>
                <w:spacing w:val="-4"/>
                <w:kern w:val="0"/>
                <w:sz w:val="24"/>
                <w:szCs w:val="24"/>
                <w:highlight w:val="none"/>
              </w:rPr>
              <w:t>10.1</w:t>
            </w:r>
            <w:r>
              <w:rPr>
                <w:rFonts w:hint="eastAsia" w:ascii="方正仿宋_GB2312" w:hAnsi="方正仿宋_GB2312" w:eastAsia="方正仿宋_GB2312" w:cs="方正仿宋_GB2312"/>
                <w:color w:val="auto"/>
                <w:spacing w:val="-4"/>
                <w:kern w:val="0"/>
                <w:sz w:val="24"/>
                <w:szCs w:val="24"/>
                <w:highlight w:val="none"/>
                <w:lang w:val="zh-CN"/>
              </w:rPr>
              <w:t>要求</w:t>
            </w:r>
            <w:r>
              <w:rPr>
                <w:rFonts w:hint="eastAsia" w:ascii="方正仿宋_GB2312" w:hAnsi="方正仿宋_GB2312" w:eastAsia="方正仿宋_GB2312" w:cs="方正仿宋_GB2312"/>
                <w:color w:val="auto"/>
                <w:spacing w:val="-4"/>
                <w:kern w:val="0"/>
                <w:sz w:val="24"/>
                <w:szCs w:val="24"/>
                <w:highlight w:val="none"/>
                <w:lang w:val="en-US" w:eastAsia="zh-CN"/>
              </w:rPr>
              <w:t>报价</w:t>
            </w:r>
            <w:r>
              <w:rPr>
                <w:rFonts w:hint="eastAsia" w:ascii="方正仿宋_GB2312" w:hAnsi="方正仿宋_GB2312" w:eastAsia="方正仿宋_GB2312" w:cs="方正仿宋_GB2312"/>
                <w:color w:val="auto"/>
                <w:spacing w:val="-4"/>
                <w:kern w:val="0"/>
                <w:sz w:val="24"/>
                <w:szCs w:val="24"/>
                <w:highlight w:val="none"/>
                <w:lang w:val="zh-CN"/>
              </w:rPr>
              <w:t>。</w:t>
            </w:r>
          </w:p>
        </w:tc>
      </w:tr>
      <w:tr w14:paraId="314BF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50E49D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3.3.1</w:t>
            </w:r>
          </w:p>
        </w:tc>
        <w:tc>
          <w:tcPr>
            <w:tcW w:w="1634" w:type="dxa"/>
            <w:shd w:val="clear" w:color="auto" w:fill="auto"/>
            <w:vAlign w:val="center"/>
          </w:tcPr>
          <w:p w14:paraId="578B976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投标有效期</w:t>
            </w:r>
          </w:p>
        </w:tc>
        <w:tc>
          <w:tcPr>
            <w:tcW w:w="6899" w:type="dxa"/>
            <w:shd w:val="clear" w:color="auto" w:fill="auto"/>
            <w:vAlign w:val="center"/>
          </w:tcPr>
          <w:p w14:paraId="2DD22DD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color w:val="auto"/>
                <w:sz w:val="24"/>
                <w:szCs w:val="24"/>
                <w:highlight w:val="none"/>
                <w:lang w:val="en-US" w:eastAsia="zh-CN"/>
              </w:rPr>
              <w:t>90</w:t>
            </w:r>
            <w:r>
              <w:rPr>
                <w:rFonts w:hint="eastAsia" w:ascii="方正仿宋_GB2312" w:hAnsi="方正仿宋_GB2312" w:eastAsia="方正仿宋_GB2312" w:cs="方正仿宋_GB2312"/>
                <w:b/>
                <w:color w:val="auto"/>
                <w:sz w:val="24"/>
                <w:szCs w:val="24"/>
                <w:highlight w:val="none"/>
              </w:rPr>
              <w:t>日历天</w:t>
            </w:r>
            <w:r>
              <w:rPr>
                <w:rFonts w:hint="eastAsia" w:ascii="方正仿宋_GB2312" w:hAnsi="方正仿宋_GB2312" w:eastAsia="方正仿宋_GB2312" w:cs="方正仿宋_GB2312"/>
                <w:color w:val="auto"/>
                <w:sz w:val="24"/>
                <w:szCs w:val="24"/>
                <w:highlight w:val="none"/>
              </w:rPr>
              <w:t>（从投标截止之日算起）</w:t>
            </w:r>
          </w:p>
        </w:tc>
      </w:tr>
      <w:tr w14:paraId="6AA7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0AECB3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3.4.1</w:t>
            </w:r>
          </w:p>
        </w:tc>
        <w:tc>
          <w:tcPr>
            <w:tcW w:w="1634" w:type="dxa"/>
            <w:shd w:val="clear" w:color="auto" w:fill="auto"/>
            <w:vAlign w:val="center"/>
          </w:tcPr>
          <w:p w14:paraId="4445531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投标保证金</w:t>
            </w:r>
          </w:p>
        </w:tc>
        <w:tc>
          <w:tcPr>
            <w:tcW w:w="6899" w:type="dxa"/>
            <w:shd w:val="clear" w:color="auto" w:fill="auto"/>
            <w:vAlign w:val="center"/>
          </w:tcPr>
          <w:p w14:paraId="18D125ED">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本项目为</w:t>
            </w:r>
            <w:r>
              <w:rPr>
                <w:rFonts w:hint="eastAsia" w:ascii="方正仿宋_GB2312" w:hAnsi="方正仿宋_GB2312" w:eastAsia="方正仿宋_GB2312" w:cs="方正仿宋_GB2312"/>
                <w:color w:val="auto"/>
                <w:sz w:val="24"/>
                <w:szCs w:val="24"/>
                <w:highlight w:val="none"/>
                <w:lang w:eastAsia="zh-CN"/>
              </w:rPr>
              <w:t>企业</w:t>
            </w:r>
            <w:r>
              <w:rPr>
                <w:rFonts w:hint="eastAsia" w:ascii="方正仿宋_GB2312" w:hAnsi="方正仿宋_GB2312" w:eastAsia="方正仿宋_GB2312" w:cs="方正仿宋_GB2312"/>
                <w:color w:val="auto"/>
                <w:sz w:val="24"/>
                <w:szCs w:val="24"/>
                <w:highlight w:val="none"/>
              </w:rPr>
              <w:t>投资项目，招标规模为</w:t>
            </w:r>
            <w:r>
              <w:rPr>
                <w:rFonts w:hint="eastAsia" w:ascii="方正仿宋_GB2312" w:hAnsi="方正仿宋_GB2312" w:eastAsia="方正仿宋_GB2312" w:cs="方正仿宋_GB2312"/>
                <w:color w:val="auto"/>
                <w:sz w:val="24"/>
                <w:szCs w:val="24"/>
                <w:highlight w:val="none"/>
                <w:lang w:val="en-US" w:eastAsia="zh-CN"/>
              </w:rPr>
              <w:t>6230.32</w:t>
            </w:r>
            <w:r>
              <w:rPr>
                <w:rFonts w:hint="eastAsia" w:ascii="方正仿宋_GB2312" w:hAnsi="方正仿宋_GB2312" w:eastAsia="方正仿宋_GB2312" w:cs="方正仿宋_GB2312"/>
                <w:color w:val="auto"/>
                <w:sz w:val="24"/>
                <w:szCs w:val="24"/>
                <w:highlight w:val="none"/>
              </w:rPr>
              <w:t>万元。根据投标保证金减免相关规定，对本项目投标保证金给予减免。投标人可采用保险保函、银行转账任一形式缴纳投标保证金。</w:t>
            </w:r>
          </w:p>
          <w:p w14:paraId="7C41FA99">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（一）降低收取金额。按照投标保证金不得超过招标项目估算价的2%的规定，本项目应收取投标保证金金额为</w:t>
            </w:r>
            <w:r>
              <w:rPr>
                <w:rFonts w:hint="eastAsia" w:ascii="方正仿宋_GB2312" w:hAnsi="方正仿宋_GB2312" w:eastAsia="方正仿宋_GB2312" w:cs="方正仿宋_GB2312"/>
                <w:color w:val="auto"/>
                <w:sz w:val="24"/>
                <w:szCs w:val="24"/>
                <w:highlight w:val="none"/>
                <w:lang w:val="en-US" w:eastAsia="zh-CN"/>
              </w:rPr>
              <w:t>80</w:t>
            </w:r>
            <w:r>
              <w:rPr>
                <w:rFonts w:hint="eastAsia" w:ascii="方正仿宋_GB2312" w:hAnsi="方正仿宋_GB2312" w:eastAsia="方正仿宋_GB2312" w:cs="方正仿宋_GB2312"/>
                <w:color w:val="auto"/>
                <w:sz w:val="24"/>
                <w:szCs w:val="24"/>
                <w:highlight w:val="none"/>
              </w:rPr>
              <w:t>万元。现落实减免投标保证金降幅不得低于现收取金额的50%的政策要求，实际收取</w:t>
            </w:r>
            <w:r>
              <w:rPr>
                <w:rFonts w:hint="eastAsia" w:ascii="方正仿宋_GB2312" w:hAnsi="方正仿宋_GB2312" w:eastAsia="方正仿宋_GB2312" w:cs="方正仿宋_GB2312"/>
                <w:color w:val="auto"/>
                <w:sz w:val="24"/>
                <w:szCs w:val="24"/>
                <w:highlight w:val="none"/>
                <w:lang w:val="en-US" w:eastAsia="zh-CN"/>
              </w:rPr>
              <w:t>30</w:t>
            </w:r>
            <w:r>
              <w:rPr>
                <w:rFonts w:hint="eastAsia" w:ascii="方正仿宋_GB2312" w:hAnsi="方正仿宋_GB2312" w:eastAsia="方正仿宋_GB2312" w:cs="方正仿宋_GB2312"/>
                <w:color w:val="auto"/>
                <w:sz w:val="24"/>
                <w:szCs w:val="24"/>
                <w:highlight w:val="none"/>
              </w:rPr>
              <w:t>万元，降幅为</w:t>
            </w:r>
            <w:r>
              <w:rPr>
                <w:rFonts w:hint="eastAsia" w:ascii="方正仿宋_GB2312" w:hAnsi="方正仿宋_GB2312" w:eastAsia="方正仿宋_GB2312" w:cs="方正仿宋_GB2312"/>
                <w:color w:val="auto"/>
                <w:sz w:val="24"/>
                <w:szCs w:val="24"/>
                <w:highlight w:val="none"/>
                <w:lang w:val="en-US" w:eastAsia="zh-CN"/>
              </w:rPr>
              <w:t>62.50</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 xml:space="preserve"> </w:t>
            </w:r>
          </w:p>
          <w:p w14:paraId="64DA5774">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（二）银行转账。投标人使用注册企业数字证书（CA）时提供的基本账户，向本项目交易保证金账户转账，收款银行及（动态）账号如下。</w:t>
            </w:r>
          </w:p>
          <w:p w14:paraId="0869F777">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户名：牟定县公共资源交易中心交易保证金专户</w:t>
            </w:r>
          </w:p>
          <w:p w14:paraId="576AFC5A">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银行：中国农业银行股份有限公司牟定县支行</w:t>
            </w:r>
          </w:p>
          <w:p w14:paraId="1ED22946">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账号：</w:t>
            </w:r>
            <w:r>
              <w:rPr>
                <w:rFonts w:hint="eastAsia" w:ascii="方正仿宋_GB2312" w:hAnsi="方正仿宋_GB2312" w:eastAsia="方正仿宋_GB2312" w:cs="方正仿宋_GB2312"/>
                <w:color w:val="auto"/>
                <w:sz w:val="24"/>
                <w:szCs w:val="24"/>
                <w:highlight w:val="none"/>
                <w:lang w:val="en-US" w:eastAsia="zh-CN"/>
              </w:rPr>
              <w:t xml:space="preserve"> </w:t>
            </w:r>
          </w:p>
          <w:p w14:paraId="57D45841">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转账成功后，登录交易服务系统，进入“我的项目—选择我确认投标的项目—缴纳保证金—确认投标保证金—保证金”，按系统指引确认绑定。绑定后打印保证金缴纳回执，将保证金缴纳回执、银行付款回单附于投标文件中。</w:t>
            </w:r>
            <w:bookmarkStart w:id="1610" w:name="_GoBack"/>
            <w:bookmarkEnd w:id="1610"/>
          </w:p>
          <w:p w14:paraId="50359674">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三）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2109BED3">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p w14:paraId="72D7A3F6">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eastAsia="zh-CN"/>
              </w:rPr>
              <w:t>四</w:t>
            </w:r>
            <w:r>
              <w:rPr>
                <w:rFonts w:hint="eastAsia" w:ascii="方正仿宋_GB2312" w:hAnsi="方正仿宋_GB2312" w:eastAsia="方正仿宋_GB2312" w:cs="方正仿宋_GB2312"/>
                <w:color w:val="auto"/>
                <w:sz w:val="24"/>
                <w:szCs w:val="24"/>
                <w:highlight w:val="none"/>
              </w:rPr>
              <w:t>）其他事项说明：</w:t>
            </w:r>
          </w:p>
          <w:p w14:paraId="1DD212F9">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rPr>
              <w:t>保证金到账时间以保证金专用账户实际到账时间为准，未在规定时间前到账的保证金无效；</w:t>
            </w:r>
          </w:p>
          <w:p w14:paraId="313647DF">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请潜在投标人在跨行转账时考虑以下因素：①按照人民银行相关规定，跨行转账在工作日 16:30 时前办理手续，可以保证实时跨行到账；②跨行转账尽量采用电汇方式。</w:t>
            </w:r>
          </w:p>
        </w:tc>
      </w:tr>
      <w:tr w14:paraId="4FD62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F36E1A7">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3.4.2</w:t>
            </w:r>
          </w:p>
        </w:tc>
        <w:tc>
          <w:tcPr>
            <w:tcW w:w="1634" w:type="dxa"/>
            <w:shd w:val="clear" w:color="auto" w:fill="auto"/>
            <w:vAlign w:val="center"/>
          </w:tcPr>
          <w:p w14:paraId="0247C1C0">
            <w:pPr>
              <w:keepNext w:val="0"/>
              <w:keepLines w:val="0"/>
              <w:pageBreakBefore w:val="0"/>
              <w:tabs>
                <w:tab w:val="left" w:pos="0"/>
              </w:tabs>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zh-CN"/>
              </w:rPr>
              <w:t>投标保证金退还</w:t>
            </w:r>
          </w:p>
        </w:tc>
        <w:tc>
          <w:tcPr>
            <w:tcW w:w="6899" w:type="dxa"/>
            <w:shd w:val="clear" w:color="auto" w:fill="auto"/>
            <w:vAlign w:val="center"/>
          </w:tcPr>
          <w:p w14:paraId="76266CA3">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1.退还时间：</w:t>
            </w:r>
          </w:p>
          <w:p w14:paraId="14A6FC78">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第一中标候选人（中标人）的保证金，应在招标人与中标人签订合同后5日内退还；其余投标人的保证金，在结果公示（中标公示）结束无异议后</w:t>
            </w:r>
            <w:r>
              <w:rPr>
                <w:rFonts w:hint="eastAsia" w:ascii="方正仿宋_GB2312" w:hAnsi="方正仿宋_GB2312" w:eastAsia="方正仿宋_GB2312" w:cs="方正仿宋_GB2312"/>
                <w:color w:val="auto"/>
                <w:sz w:val="24"/>
                <w:szCs w:val="24"/>
                <w:highlight w:val="none"/>
                <w:lang w:val="en-US" w:eastAsia="zh-CN"/>
              </w:rPr>
              <w:t>5日内</w:t>
            </w:r>
            <w:r>
              <w:rPr>
                <w:rFonts w:hint="eastAsia" w:ascii="方正仿宋_GB2312" w:hAnsi="方正仿宋_GB2312" w:eastAsia="方正仿宋_GB2312" w:cs="方正仿宋_GB2312"/>
                <w:color w:val="auto"/>
                <w:sz w:val="24"/>
                <w:szCs w:val="24"/>
                <w:highlight w:val="none"/>
                <w:lang w:val="zh-CN"/>
              </w:rPr>
              <w:t>退还。招标失败的，在流标公示结束后5日内退还。</w:t>
            </w:r>
          </w:p>
          <w:p w14:paraId="405DDF88">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2.退还程序：</w:t>
            </w:r>
          </w:p>
          <w:p w14:paraId="2C9CE1B0">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①非第一中标候选人（中标人）保证金退还： </w:t>
            </w:r>
          </w:p>
          <w:p w14:paraId="57F1DF00">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非第一中标候选人（中标人）无需上门办理，交易中心在规定时限内退回投标人原缴纳账户。</w:t>
            </w:r>
          </w:p>
          <w:p w14:paraId="1754F3C8">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②第一中标候选人（中标人）保证金退还： </w:t>
            </w:r>
          </w:p>
          <w:p w14:paraId="66B3992B">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中标人的投标保证金退还应由招标人与中标人签订合同后向电子交易平台提交退还申请，交易中心在接到中标人（代理机构）提交的中标人保证金退还申请后5日内退还。</w:t>
            </w:r>
          </w:p>
          <w:p w14:paraId="670A1EF4">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③特殊情况保证金退还：</w:t>
            </w:r>
          </w:p>
          <w:p w14:paraId="64AB688A">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投标人已缴纳保证金，但未对保证金进行分配或分配失败或不参与投标等特殊情况的，由投标人提交申请和附证明资料，经审核后发起线下人工退款。</w:t>
            </w:r>
          </w:p>
          <w:p w14:paraId="0D4BE72A">
            <w:pPr>
              <w:keepNext w:val="0"/>
              <w:keepLines w:val="0"/>
              <w:pageBreakBefore w:val="0"/>
              <w:tabs>
                <w:tab w:val="left" w:pos="0"/>
              </w:tabs>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另：不参与投标的用户可在系统内自主提出保证金退还申请，须在递交投标文件截止时间前（开标截止前）完成此操作。</w:t>
            </w:r>
          </w:p>
        </w:tc>
      </w:tr>
      <w:tr w14:paraId="5B28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42750C9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3.5.2</w:t>
            </w:r>
          </w:p>
        </w:tc>
        <w:tc>
          <w:tcPr>
            <w:tcW w:w="1634" w:type="dxa"/>
            <w:shd w:val="clear" w:color="auto" w:fill="auto"/>
            <w:vAlign w:val="center"/>
          </w:tcPr>
          <w:p w14:paraId="02BCFF6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财务</w:t>
            </w:r>
            <w:r>
              <w:rPr>
                <w:rFonts w:hint="eastAsia" w:ascii="方正仿宋_GB2312" w:hAnsi="方正仿宋_GB2312" w:eastAsia="方正仿宋_GB2312" w:cs="方正仿宋_GB2312"/>
                <w:color w:val="auto"/>
                <w:sz w:val="24"/>
                <w:szCs w:val="24"/>
                <w:highlight w:val="none"/>
                <w:lang w:eastAsia="zh-CN"/>
              </w:rPr>
              <w:t>要求</w:t>
            </w:r>
          </w:p>
        </w:tc>
        <w:tc>
          <w:tcPr>
            <w:tcW w:w="6899" w:type="dxa"/>
            <w:shd w:val="clear" w:color="auto" w:fill="auto"/>
            <w:vAlign w:val="center"/>
          </w:tcPr>
          <w:p w14:paraId="42570131">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具有顺利完成本招标项目设计、施工的财务能力，提供企业2024年或2025年度的经审计机构审计的财务报表（包括资产负债表、现金流量表、利润表或损益表、财务情况说明书、公司财务制度），2025年及以后成立的企业，此项不审查，若联合体投标的，联合体各方均需提供。</w:t>
            </w:r>
          </w:p>
        </w:tc>
      </w:tr>
      <w:tr w14:paraId="421A3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50C8A6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3.5.3</w:t>
            </w:r>
          </w:p>
        </w:tc>
        <w:tc>
          <w:tcPr>
            <w:tcW w:w="1634" w:type="dxa"/>
            <w:shd w:val="clear" w:color="auto" w:fill="auto"/>
            <w:vAlign w:val="center"/>
          </w:tcPr>
          <w:p w14:paraId="6C1DF2D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近</w:t>
            </w:r>
            <w:r>
              <w:rPr>
                <w:rFonts w:hint="eastAsia" w:ascii="方正仿宋_GB2312" w:hAnsi="方正仿宋_GB2312" w:eastAsia="方正仿宋_GB2312" w:cs="方正仿宋_GB2312"/>
                <w:color w:val="auto"/>
                <w:sz w:val="24"/>
                <w:szCs w:val="24"/>
                <w:highlight w:val="none"/>
                <w:lang w:eastAsia="zh-CN"/>
              </w:rPr>
              <w:t>年来</w:t>
            </w:r>
            <w:r>
              <w:rPr>
                <w:rFonts w:hint="eastAsia" w:ascii="方正仿宋_GB2312" w:hAnsi="方正仿宋_GB2312" w:eastAsia="方正仿宋_GB2312" w:cs="方正仿宋_GB2312"/>
                <w:color w:val="auto"/>
                <w:sz w:val="24"/>
                <w:szCs w:val="24"/>
                <w:highlight w:val="none"/>
              </w:rPr>
              <w:t>承担过的类似项目</w:t>
            </w:r>
          </w:p>
        </w:tc>
        <w:tc>
          <w:tcPr>
            <w:tcW w:w="6899" w:type="dxa"/>
            <w:shd w:val="clear" w:color="auto" w:fill="auto"/>
            <w:vAlign w:val="center"/>
          </w:tcPr>
          <w:p w14:paraId="00A505A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本项目不要求。</w:t>
            </w:r>
          </w:p>
        </w:tc>
      </w:tr>
      <w:tr w14:paraId="30AA4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7465CC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3.5.5</w:t>
            </w:r>
          </w:p>
        </w:tc>
        <w:tc>
          <w:tcPr>
            <w:tcW w:w="1634" w:type="dxa"/>
            <w:shd w:val="clear" w:color="auto" w:fill="auto"/>
            <w:vAlign w:val="center"/>
          </w:tcPr>
          <w:p w14:paraId="0288AB4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近</w:t>
            </w:r>
            <w:r>
              <w:rPr>
                <w:rFonts w:hint="eastAsia" w:ascii="方正仿宋_GB2312" w:hAnsi="方正仿宋_GB2312" w:eastAsia="方正仿宋_GB2312" w:cs="方正仿宋_GB2312"/>
                <w:color w:val="auto"/>
                <w:sz w:val="24"/>
                <w:szCs w:val="24"/>
                <w:highlight w:val="none"/>
                <w:lang w:eastAsia="zh-CN"/>
              </w:rPr>
              <w:t>年来</w:t>
            </w:r>
            <w:r>
              <w:rPr>
                <w:rFonts w:hint="eastAsia" w:ascii="方正仿宋_GB2312" w:hAnsi="方正仿宋_GB2312" w:eastAsia="方正仿宋_GB2312" w:cs="方正仿宋_GB2312"/>
                <w:color w:val="auto"/>
                <w:sz w:val="24"/>
                <w:szCs w:val="24"/>
                <w:highlight w:val="none"/>
              </w:rPr>
              <w:t>发生的重大诉讼及仲裁情况</w:t>
            </w:r>
          </w:p>
        </w:tc>
        <w:tc>
          <w:tcPr>
            <w:tcW w:w="6899" w:type="dxa"/>
            <w:shd w:val="clear" w:color="auto" w:fill="auto"/>
            <w:vAlign w:val="center"/>
          </w:tcPr>
          <w:p w14:paraId="5CAE94D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近三年（</w:t>
            </w:r>
            <w:r>
              <w:rPr>
                <w:rFonts w:hint="eastAsia" w:ascii="方正仿宋_GB2312" w:hAnsi="方正仿宋_GB2312" w:eastAsia="方正仿宋_GB2312" w:cs="方正仿宋_GB2312"/>
                <w:b w:val="0"/>
                <w:bCs w:val="0"/>
                <w:color w:val="auto"/>
                <w:kern w:val="0"/>
                <w:sz w:val="24"/>
                <w:szCs w:val="24"/>
                <w:highlight w:val="none"/>
                <w:lang w:val="en-US" w:eastAsia="zh-CN"/>
              </w:rPr>
              <w:t>以中国裁判文书网查询结果为准并提供查询截图</w:t>
            </w:r>
            <w:r>
              <w:rPr>
                <w:rFonts w:hint="eastAsia" w:ascii="方正仿宋_GB2312" w:hAnsi="方正仿宋_GB2312" w:eastAsia="方正仿宋_GB2312" w:cs="方正仿宋_GB2312"/>
                <w:color w:val="auto"/>
                <w:sz w:val="24"/>
                <w:szCs w:val="24"/>
                <w:highlight w:val="none"/>
                <w:lang w:val="en-US" w:eastAsia="zh-CN"/>
              </w:rPr>
              <w:t>）</w:t>
            </w:r>
          </w:p>
        </w:tc>
      </w:tr>
      <w:tr w14:paraId="634E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tcPr>
          <w:p w14:paraId="1BF381F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p>
          <w:p w14:paraId="3EF54AD6">
            <w:pPr>
              <w:keepNext w:val="0"/>
              <w:keepLines w:val="0"/>
              <w:pageBreakBefore w:val="0"/>
              <w:kinsoku/>
              <w:wordWrap/>
              <w:overflowPunct/>
              <w:topLinePunct w:val="0"/>
              <w:bidi w:val="0"/>
              <w:snapToGrid w:val="0"/>
              <w:spacing w:after="0" w:line="360" w:lineRule="auto"/>
              <w:ind w:firstLine="240" w:firstLineChars="1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3.6</w:t>
            </w:r>
          </w:p>
        </w:tc>
        <w:tc>
          <w:tcPr>
            <w:tcW w:w="1634" w:type="dxa"/>
            <w:shd w:val="clear" w:color="auto" w:fill="auto"/>
            <w:vAlign w:val="center"/>
          </w:tcPr>
          <w:p w14:paraId="3869A13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是否允许递交备选投标方案</w:t>
            </w:r>
          </w:p>
        </w:tc>
        <w:tc>
          <w:tcPr>
            <w:tcW w:w="6899" w:type="dxa"/>
            <w:shd w:val="clear" w:color="auto" w:fill="auto"/>
          </w:tcPr>
          <w:p w14:paraId="3B56B525">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■不允许</w:t>
            </w:r>
          </w:p>
          <w:p w14:paraId="7BF02EA7">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□允许</w:t>
            </w:r>
          </w:p>
        </w:tc>
      </w:tr>
      <w:tr w14:paraId="72AD2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63F20D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3.7.1</w:t>
            </w:r>
          </w:p>
        </w:tc>
        <w:tc>
          <w:tcPr>
            <w:tcW w:w="1634" w:type="dxa"/>
            <w:shd w:val="clear" w:color="auto" w:fill="auto"/>
            <w:vAlign w:val="center"/>
          </w:tcPr>
          <w:p w14:paraId="6761679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投标文件格式</w:t>
            </w:r>
          </w:p>
        </w:tc>
        <w:tc>
          <w:tcPr>
            <w:tcW w:w="6899" w:type="dxa"/>
            <w:shd w:val="clear" w:color="auto" w:fill="auto"/>
            <w:vAlign w:val="center"/>
          </w:tcPr>
          <w:p w14:paraId="286DC215">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（1）投标人不得对招标文件格式中的内容进行删减或修改。</w:t>
            </w:r>
          </w:p>
          <w:p w14:paraId="3E432943">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（2）投标人可以在格式内容之外另行说明和增加相关内容，作为投标文件的组成部分。另行说明或自行增加的内容</w:t>
            </w:r>
            <w:r>
              <w:rPr>
                <w:rFonts w:hint="eastAsia" w:ascii="方正仿宋_GB2312" w:hAnsi="方正仿宋_GB2312" w:eastAsia="方正仿宋_GB2312" w:cs="方正仿宋_GB2312"/>
                <w:color w:val="auto"/>
                <w:sz w:val="24"/>
                <w:szCs w:val="24"/>
                <w:highlight w:val="none"/>
                <w:lang w:eastAsia="zh-CN"/>
              </w:rPr>
              <w:t>，以及</w:t>
            </w:r>
            <w:r>
              <w:rPr>
                <w:rFonts w:hint="eastAsia" w:ascii="方正仿宋_GB2312" w:hAnsi="方正仿宋_GB2312" w:eastAsia="方正仿宋_GB2312" w:cs="方正仿宋_GB2312"/>
                <w:color w:val="auto"/>
                <w:sz w:val="24"/>
                <w:szCs w:val="24"/>
                <w:highlight w:val="none"/>
              </w:rPr>
              <w:t>按投标文件格式在空格（下划线）由投标人填写的内容，不得与招标文件的强制性审查标准和禁止性规定相抵触。</w:t>
            </w:r>
          </w:p>
          <w:p w14:paraId="7F5DA6FE">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（3）按投标文件格式在空格（下划线）由投标人填写的内容，确实没有需要填写的，可以在空格中用</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斜杠（</w:t>
            </w:r>
            <w:r>
              <w:rPr>
                <w:rFonts w:hint="eastAsia" w:ascii="方正仿宋_GB2312" w:hAnsi="方正仿宋_GB2312" w:eastAsia="方正仿宋_GB2312" w:cs="方正仿宋_GB2312"/>
                <w:color w:val="auto"/>
                <w:sz w:val="24"/>
                <w:szCs w:val="24"/>
                <w:highlight w:val="none"/>
                <w:u w:val="single"/>
                <w:lang w:val="en-US" w:eastAsia="zh-CN"/>
              </w:rPr>
              <w:t xml:space="preserve"> / </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rPr>
              <w:t>”标示，也可以不填（空白）。但招标文件中另有规定的从其规定。</w:t>
            </w:r>
          </w:p>
          <w:p w14:paraId="097C1C60">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（4）投标文件应对招标文件提出的所有实质性要求和条件作出实质性响应，并且实质性响应的内容不得互相矛盾。</w:t>
            </w:r>
          </w:p>
          <w:p w14:paraId="3DC8D799">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（5）投标文件应内容完整，字迹清晰可辨。投标文件（不包括所附证明材料）字迹或印章模糊导致无法确认关键技术方案、关键工期、关键工程质量保证措施、投标价格的，应作废标处理。</w:t>
            </w:r>
          </w:p>
          <w:p w14:paraId="0C271DF9">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（6）投标文件所附证明材料应内容完整并清晰可辨。所附证明材料内容不完整或字迹、印章模糊的，评标委员会应要求投标人提供原件核验。核验按第三章“评标办法”注（2）的要求办理。  </w:t>
            </w:r>
          </w:p>
        </w:tc>
      </w:tr>
      <w:tr w14:paraId="30C65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61B8B8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3.7.3</w:t>
            </w:r>
          </w:p>
        </w:tc>
        <w:tc>
          <w:tcPr>
            <w:tcW w:w="1634" w:type="dxa"/>
            <w:shd w:val="clear" w:color="auto" w:fill="auto"/>
            <w:vAlign w:val="center"/>
          </w:tcPr>
          <w:p w14:paraId="464CBAB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投标文件电子签章及电子签名要求</w:t>
            </w:r>
          </w:p>
        </w:tc>
        <w:tc>
          <w:tcPr>
            <w:tcW w:w="6899" w:type="dxa"/>
            <w:shd w:val="clear" w:color="auto" w:fill="auto"/>
            <w:vAlign w:val="center"/>
          </w:tcPr>
          <w:p w14:paraId="5C055635">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（1）按照投标文件格式，采用单位和个人数字证书电子签章（或盖章）及电子签名（或签字）。</w:t>
            </w:r>
          </w:p>
          <w:p w14:paraId="0E32E11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（2）投标文件在需要电子签章（或盖章）的地方进行电子签章（或盖章），无需逐页电子签章（或盖章）。</w:t>
            </w:r>
          </w:p>
          <w:p w14:paraId="2249391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（3）联合体投标的，投标文件所有要求签字或盖章的地方由联合体牵头人单位根据投标文件格式盖章或签字即可</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即投标文件中除法定代表人身份证明、联合体协议书等其格式中有明确要求由各联合体成员单位分别盖章或签字的部分以外，其余要求盖章或签字处可以只由联合体牵头人盖章或签字，与联合体中各成员的行为具有同等法律效力</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w:t>
            </w:r>
          </w:p>
        </w:tc>
      </w:tr>
      <w:tr w14:paraId="79EF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FCDCD9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3.7.4</w:t>
            </w:r>
          </w:p>
        </w:tc>
        <w:tc>
          <w:tcPr>
            <w:tcW w:w="1634" w:type="dxa"/>
            <w:shd w:val="clear" w:color="auto" w:fill="auto"/>
            <w:vAlign w:val="center"/>
          </w:tcPr>
          <w:p w14:paraId="7712857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投标文件份数</w:t>
            </w:r>
          </w:p>
        </w:tc>
        <w:tc>
          <w:tcPr>
            <w:tcW w:w="6899" w:type="dxa"/>
            <w:shd w:val="clear" w:color="auto" w:fill="auto"/>
            <w:vAlign w:val="center"/>
          </w:tcPr>
          <w:p w14:paraId="77CC8B1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中标单位需在领取中标通知书时向招标人提交纸质版投标文件3份（一正二副），且必须确保与网上上传的电子投标文件一致。</w:t>
            </w:r>
          </w:p>
        </w:tc>
      </w:tr>
      <w:tr w14:paraId="285B7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CB1AB6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3.7.5</w:t>
            </w:r>
          </w:p>
        </w:tc>
        <w:tc>
          <w:tcPr>
            <w:tcW w:w="1634" w:type="dxa"/>
            <w:shd w:val="clear" w:color="auto" w:fill="auto"/>
            <w:vAlign w:val="center"/>
          </w:tcPr>
          <w:p w14:paraId="6AE5F15B">
            <w:pPr>
              <w:keepNext w:val="0"/>
              <w:keepLines w:val="0"/>
              <w:pageBreakBefore w:val="0"/>
              <w:kinsoku/>
              <w:wordWrap/>
              <w:overflowPunct/>
              <w:topLinePunct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kern w:val="0"/>
                <w:sz w:val="24"/>
                <w:szCs w:val="24"/>
                <w:highlight w:val="none"/>
              </w:rPr>
              <w:t>投标文件的上传及格式</w:t>
            </w:r>
          </w:p>
        </w:tc>
        <w:tc>
          <w:tcPr>
            <w:tcW w:w="6899" w:type="dxa"/>
            <w:shd w:val="clear" w:color="auto" w:fill="auto"/>
            <w:vAlign w:val="center"/>
          </w:tcPr>
          <w:p w14:paraId="607E02D5">
            <w:pPr>
              <w:keepNext w:val="0"/>
              <w:keepLines w:val="0"/>
              <w:pageBreakBefore w:val="0"/>
              <w:kinsoku/>
              <w:wordWrap/>
              <w:overflowPunct/>
              <w:topLinePunct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或上传的电子投标文件未能成功解密的，视为撤回投标文件。</w:t>
            </w:r>
          </w:p>
        </w:tc>
      </w:tr>
      <w:tr w14:paraId="756CF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706C5B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4.2.2</w:t>
            </w:r>
          </w:p>
        </w:tc>
        <w:tc>
          <w:tcPr>
            <w:tcW w:w="1634" w:type="dxa"/>
            <w:shd w:val="clear" w:color="auto" w:fill="auto"/>
            <w:vAlign w:val="center"/>
          </w:tcPr>
          <w:p w14:paraId="251A30F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递交投标文件地点</w:t>
            </w:r>
          </w:p>
        </w:tc>
        <w:tc>
          <w:tcPr>
            <w:tcW w:w="6899" w:type="dxa"/>
            <w:shd w:val="clear" w:color="auto" w:fill="auto"/>
            <w:vAlign w:val="center"/>
          </w:tcPr>
          <w:p w14:paraId="4318A013">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详见招标公告</w:t>
            </w:r>
          </w:p>
        </w:tc>
      </w:tr>
      <w:tr w14:paraId="21F4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750BA2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4.2.3</w:t>
            </w:r>
          </w:p>
        </w:tc>
        <w:tc>
          <w:tcPr>
            <w:tcW w:w="1634" w:type="dxa"/>
            <w:shd w:val="clear" w:color="auto" w:fill="auto"/>
            <w:vAlign w:val="center"/>
          </w:tcPr>
          <w:p w14:paraId="6058C33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是否退还投标文件</w:t>
            </w:r>
          </w:p>
        </w:tc>
        <w:tc>
          <w:tcPr>
            <w:tcW w:w="6899" w:type="dxa"/>
            <w:shd w:val="clear" w:color="auto" w:fill="auto"/>
            <w:vAlign w:val="center"/>
          </w:tcPr>
          <w:p w14:paraId="704C287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■否</w:t>
            </w:r>
          </w:p>
          <w:p w14:paraId="77ECDD6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w:t>
            </w:r>
          </w:p>
        </w:tc>
      </w:tr>
      <w:tr w14:paraId="378C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9DDD50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5.1</w:t>
            </w:r>
          </w:p>
        </w:tc>
        <w:tc>
          <w:tcPr>
            <w:tcW w:w="1634" w:type="dxa"/>
            <w:shd w:val="clear" w:color="auto" w:fill="auto"/>
            <w:vAlign w:val="center"/>
          </w:tcPr>
          <w:p w14:paraId="69A7731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开标时间</w:t>
            </w:r>
          </w:p>
          <w:p w14:paraId="518A0CC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和地点</w:t>
            </w:r>
          </w:p>
        </w:tc>
        <w:tc>
          <w:tcPr>
            <w:tcW w:w="6899" w:type="dxa"/>
            <w:shd w:val="clear" w:color="auto" w:fill="auto"/>
            <w:vAlign w:val="center"/>
          </w:tcPr>
          <w:p w14:paraId="4B673456">
            <w:pPr>
              <w:keepNext w:val="0"/>
              <w:keepLines w:val="0"/>
              <w:pageBreakBefore w:val="0"/>
              <w:kinsoku/>
              <w:wordWrap/>
              <w:overflowPunct/>
              <w:topLinePunct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开标时间：</w:t>
            </w:r>
            <w:r>
              <w:rPr>
                <w:rFonts w:hint="eastAsia" w:ascii="方正仿宋_GB2312" w:hAnsi="方正仿宋_GB2312" w:eastAsia="方正仿宋_GB2312" w:cs="方正仿宋_GB2312"/>
                <w:color w:val="auto"/>
                <w:sz w:val="24"/>
                <w:szCs w:val="24"/>
                <w:highlight w:val="none"/>
                <w:lang w:val="en-US" w:eastAsia="zh-CN"/>
              </w:rPr>
              <w:t>2026年  月  日08</w:t>
            </w:r>
            <w:r>
              <w:rPr>
                <w:rFonts w:hint="eastAsia" w:ascii="方正仿宋_GB2312" w:hAnsi="方正仿宋_GB2312" w:eastAsia="方正仿宋_GB2312" w:cs="方正仿宋_GB2312"/>
                <w:color w:val="auto"/>
                <w:sz w:val="24"/>
                <w:szCs w:val="24"/>
                <w:highlight w:val="none"/>
              </w:rPr>
              <w:t>时</w:t>
            </w:r>
            <w:r>
              <w:rPr>
                <w:rFonts w:hint="eastAsia" w:ascii="方正仿宋_GB2312" w:hAnsi="方正仿宋_GB2312" w:eastAsia="方正仿宋_GB2312" w:cs="方正仿宋_GB2312"/>
                <w:color w:val="auto"/>
                <w:sz w:val="24"/>
                <w:szCs w:val="24"/>
                <w:highlight w:val="none"/>
                <w:lang w:val="en-US" w:eastAsia="zh-CN"/>
              </w:rPr>
              <w:t>30</w:t>
            </w:r>
            <w:r>
              <w:rPr>
                <w:rFonts w:hint="eastAsia" w:ascii="方正仿宋_GB2312" w:hAnsi="方正仿宋_GB2312" w:eastAsia="方正仿宋_GB2312" w:cs="方正仿宋_GB2312"/>
                <w:color w:val="auto"/>
                <w:sz w:val="24"/>
                <w:szCs w:val="24"/>
                <w:highlight w:val="none"/>
              </w:rPr>
              <w:t>分</w:t>
            </w:r>
          </w:p>
          <w:p w14:paraId="483EA2BE">
            <w:pPr>
              <w:keepNext w:val="0"/>
              <w:keepLines w:val="0"/>
              <w:pageBreakBefore w:val="0"/>
              <w:kinsoku/>
              <w:wordWrap/>
              <w:overflowPunct/>
              <w:topLinePunct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开标地点：见招标公告</w:t>
            </w:r>
          </w:p>
        </w:tc>
      </w:tr>
      <w:tr w14:paraId="35203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CEEC31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5.2</w:t>
            </w:r>
          </w:p>
        </w:tc>
        <w:tc>
          <w:tcPr>
            <w:tcW w:w="1634" w:type="dxa"/>
            <w:shd w:val="clear" w:color="auto" w:fill="auto"/>
            <w:vAlign w:val="center"/>
          </w:tcPr>
          <w:p w14:paraId="7FDF2D7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开标程序及要求</w:t>
            </w:r>
          </w:p>
        </w:tc>
        <w:tc>
          <w:tcPr>
            <w:tcW w:w="6899" w:type="dxa"/>
            <w:shd w:val="clear" w:color="auto" w:fill="auto"/>
            <w:vAlign w:val="center"/>
          </w:tcPr>
          <w:p w14:paraId="732EBF0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开标顺序：按照开标系统从网站读取的顺序当众开标。 </w:t>
            </w:r>
          </w:p>
          <w:p w14:paraId="6EB4A208">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温馨提示：投标人应充分考虑所在地网络条件、供电状况和其他突发情况的影响。 </w:t>
            </w:r>
          </w:p>
          <w:p w14:paraId="0EDFDA4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投标人无法正常登录系统或无法正常解密的，应及时联系筑龙客服说明问题并请求远程协助，同时联系招标代理机构说明情况，解密不成功的投标文件无效。因网络、设备（包括 CA 数字证书）或供电异常、操作不当或其他突发情况等影响， 导致投标人无法正常登录系统、无法正常解密的，责任自负。</w:t>
            </w:r>
          </w:p>
        </w:tc>
      </w:tr>
      <w:tr w14:paraId="39D1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1E89F4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6.1.1</w:t>
            </w:r>
          </w:p>
        </w:tc>
        <w:tc>
          <w:tcPr>
            <w:tcW w:w="1634" w:type="dxa"/>
            <w:shd w:val="clear" w:color="auto" w:fill="auto"/>
            <w:vAlign w:val="center"/>
          </w:tcPr>
          <w:p w14:paraId="4AA0B49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评标委员会的组建</w:t>
            </w:r>
          </w:p>
        </w:tc>
        <w:tc>
          <w:tcPr>
            <w:tcW w:w="6899" w:type="dxa"/>
            <w:shd w:val="clear" w:color="auto" w:fill="auto"/>
            <w:vAlign w:val="center"/>
          </w:tcPr>
          <w:p w14:paraId="45F9E6A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评标委员会由招标人代表和有关技术经济等方面的专家组成；评标委员会构成须为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val="en-US" w:eastAsia="zh-CN"/>
              </w:rPr>
              <w:t xml:space="preserve">5 </w:t>
            </w:r>
            <w:r>
              <w:rPr>
                <w:rFonts w:hint="eastAsia" w:ascii="方正仿宋_GB2312" w:hAnsi="方正仿宋_GB2312" w:eastAsia="方正仿宋_GB2312" w:cs="方正仿宋_GB2312"/>
                <w:color w:val="auto"/>
                <w:sz w:val="24"/>
                <w:szCs w:val="24"/>
                <w:highlight w:val="none"/>
              </w:rPr>
              <w:t>人</w:t>
            </w:r>
            <w:r>
              <w:rPr>
                <w:rFonts w:hint="eastAsia" w:ascii="方正仿宋_GB2312" w:hAnsi="方正仿宋_GB2312" w:eastAsia="方正仿宋_GB2312" w:cs="方正仿宋_GB2312"/>
                <w:color w:val="auto"/>
                <w:sz w:val="24"/>
                <w:szCs w:val="24"/>
                <w:highlight w:val="none"/>
                <w:lang w:eastAsia="zh-CN"/>
              </w:rPr>
              <w:t>及</w:t>
            </w:r>
            <w:r>
              <w:rPr>
                <w:rFonts w:hint="eastAsia" w:ascii="方正仿宋_GB2312" w:hAnsi="方正仿宋_GB2312" w:eastAsia="方正仿宋_GB2312" w:cs="方正仿宋_GB2312"/>
                <w:color w:val="auto"/>
                <w:sz w:val="24"/>
                <w:szCs w:val="24"/>
                <w:highlight w:val="none"/>
              </w:rPr>
              <w:t xml:space="preserve">以上单数，其中技术、经济方面的专家不得少于成员总数的三分之二 </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评标委员会的组成应当符合相关规定</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 xml:space="preserve"> 。评标专家确定方式：评委专家从云南省综合评标专家库中随机抽取。</w:t>
            </w:r>
          </w:p>
        </w:tc>
      </w:tr>
      <w:tr w14:paraId="1C84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0C10C2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6.3</w:t>
            </w:r>
          </w:p>
        </w:tc>
        <w:tc>
          <w:tcPr>
            <w:tcW w:w="1634" w:type="dxa"/>
            <w:shd w:val="clear" w:color="auto" w:fill="auto"/>
            <w:vAlign w:val="center"/>
          </w:tcPr>
          <w:p w14:paraId="5317EC5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评标办法</w:t>
            </w:r>
          </w:p>
        </w:tc>
        <w:tc>
          <w:tcPr>
            <w:tcW w:w="6899" w:type="dxa"/>
            <w:shd w:val="clear" w:color="auto" w:fill="auto"/>
            <w:vAlign w:val="center"/>
          </w:tcPr>
          <w:p w14:paraId="028F9C5C">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综合评</w:t>
            </w:r>
            <w:r>
              <w:rPr>
                <w:rFonts w:hint="eastAsia" w:ascii="方正仿宋_GB2312" w:hAnsi="方正仿宋_GB2312" w:eastAsia="方正仿宋_GB2312" w:cs="方正仿宋_GB2312"/>
                <w:b/>
                <w:bCs/>
                <w:color w:val="auto"/>
                <w:sz w:val="24"/>
                <w:szCs w:val="24"/>
                <w:highlight w:val="none"/>
                <w:lang w:val="en-US" w:eastAsia="zh-CN"/>
              </w:rPr>
              <w:t>分</w:t>
            </w:r>
            <w:r>
              <w:rPr>
                <w:rFonts w:hint="eastAsia" w:ascii="方正仿宋_GB2312" w:hAnsi="方正仿宋_GB2312" w:eastAsia="方正仿宋_GB2312" w:cs="方正仿宋_GB2312"/>
                <w:b/>
                <w:bCs/>
                <w:color w:val="auto"/>
                <w:sz w:val="24"/>
                <w:szCs w:val="24"/>
                <w:highlight w:val="none"/>
              </w:rPr>
              <w:t>法</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eastAsia="zh-CN"/>
              </w:rPr>
              <w:t>详见</w:t>
            </w:r>
            <w:r>
              <w:rPr>
                <w:rFonts w:hint="eastAsia" w:ascii="方正仿宋_GB2312" w:hAnsi="方正仿宋_GB2312" w:eastAsia="方正仿宋_GB2312" w:cs="方正仿宋_GB2312"/>
                <w:color w:val="auto"/>
                <w:sz w:val="24"/>
                <w:szCs w:val="24"/>
                <w:highlight w:val="none"/>
              </w:rPr>
              <w:t>第三章）</w:t>
            </w:r>
          </w:p>
        </w:tc>
      </w:tr>
      <w:tr w14:paraId="1D7E6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74EE5B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7.1</w:t>
            </w:r>
          </w:p>
        </w:tc>
        <w:tc>
          <w:tcPr>
            <w:tcW w:w="1634" w:type="dxa"/>
            <w:shd w:val="clear" w:color="auto" w:fill="auto"/>
            <w:vAlign w:val="center"/>
          </w:tcPr>
          <w:p w14:paraId="5B9D9AE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是否授权评标委员会确定中标人</w:t>
            </w:r>
          </w:p>
        </w:tc>
        <w:tc>
          <w:tcPr>
            <w:tcW w:w="6899" w:type="dxa"/>
            <w:shd w:val="clear" w:color="auto" w:fill="auto"/>
            <w:vAlign w:val="center"/>
          </w:tcPr>
          <w:p w14:paraId="3D663B8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□是</w:t>
            </w:r>
          </w:p>
          <w:p w14:paraId="14037797">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■否，推荐的中标候 选人数：</w:t>
            </w:r>
            <w:r>
              <w:rPr>
                <w:rFonts w:hint="eastAsia" w:ascii="方正仿宋_GB2312" w:hAnsi="方正仿宋_GB2312" w:eastAsia="方正仿宋_GB2312" w:cs="方正仿宋_GB2312"/>
                <w:b/>
                <w:color w:val="auto"/>
                <w:sz w:val="24"/>
                <w:szCs w:val="24"/>
                <w:highlight w:val="none"/>
                <w:u w:val="single"/>
              </w:rPr>
              <w:t>3</w:t>
            </w:r>
            <w:r>
              <w:rPr>
                <w:rFonts w:hint="eastAsia" w:ascii="方正仿宋_GB2312" w:hAnsi="方正仿宋_GB2312" w:eastAsia="方正仿宋_GB2312" w:cs="方正仿宋_GB2312"/>
                <w:color w:val="auto"/>
                <w:sz w:val="24"/>
                <w:szCs w:val="24"/>
                <w:highlight w:val="none"/>
              </w:rPr>
              <w:t xml:space="preserve">人 </w:t>
            </w:r>
          </w:p>
        </w:tc>
      </w:tr>
      <w:tr w14:paraId="53735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C0B733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7.2</w:t>
            </w:r>
          </w:p>
        </w:tc>
        <w:tc>
          <w:tcPr>
            <w:tcW w:w="1634" w:type="dxa"/>
            <w:shd w:val="clear" w:color="auto" w:fill="auto"/>
            <w:vAlign w:val="center"/>
          </w:tcPr>
          <w:p w14:paraId="36FFF35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中标候选人公示媒介</w:t>
            </w:r>
          </w:p>
        </w:tc>
        <w:tc>
          <w:tcPr>
            <w:tcW w:w="6899" w:type="dxa"/>
            <w:shd w:val="clear" w:color="auto" w:fill="auto"/>
            <w:vAlign w:val="center"/>
          </w:tcPr>
          <w:p w14:paraId="12BAED59">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与招标公告发布媒介一致，公示期不少于3日</w:t>
            </w:r>
            <w:r>
              <w:rPr>
                <w:rFonts w:hint="eastAsia" w:ascii="方正仿宋_GB2312" w:hAnsi="方正仿宋_GB2312" w:eastAsia="方正仿宋_GB2312" w:cs="方正仿宋_GB2312"/>
                <w:color w:val="auto"/>
                <w:sz w:val="24"/>
                <w:szCs w:val="24"/>
                <w:highlight w:val="none"/>
                <w:lang w:val="zh-TW"/>
              </w:rPr>
              <w:t>。</w:t>
            </w:r>
          </w:p>
        </w:tc>
      </w:tr>
      <w:tr w14:paraId="79BAF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BB886E7">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7.3</w:t>
            </w:r>
          </w:p>
        </w:tc>
        <w:tc>
          <w:tcPr>
            <w:tcW w:w="1634" w:type="dxa"/>
            <w:shd w:val="clear" w:color="auto" w:fill="auto"/>
            <w:vAlign w:val="center"/>
          </w:tcPr>
          <w:p w14:paraId="5ECFEDC7">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中标通知书</w:t>
            </w:r>
          </w:p>
        </w:tc>
        <w:tc>
          <w:tcPr>
            <w:tcW w:w="6899" w:type="dxa"/>
            <w:shd w:val="clear" w:color="auto" w:fill="auto"/>
            <w:vAlign w:val="center"/>
          </w:tcPr>
          <w:p w14:paraId="34DCC011">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中标通知书发出的形式：招标人在线向中标单位发放中标通知书，中标人应及时在线上签收中标通知书。</w:t>
            </w:r>
          </w:p>
        </w:tc>
      </w:tr>
      <w:tr w14:paraId="67A6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D4B85B6">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7.4</w:t>
            </w:r>
          </w:p>
        </w:tc>
        <w:tc>
          <w:tcPr>
            <w:tcW w:w="1634" w:type="dxa"/>
            <w:shd w:val="clear" w:color="auto" w:fill="auto"/>
            <w:vAlign w:val="center"/>
          </w:tcPr>
          <w:p w14:paraId="617D9D3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签订合同</w:t>
            </w:r>
          </w:p>
        </w:tc>
        <w:tc>
          <w:tcPr>
            <w:tcW w:w="6899" w:type="dxa"/>
            <w:shd w:val="clear" w:color="auto" w:fill="auto"/>
            <w:vAlign w:val="center"/>
          </w:tcPr>
          <w:p w14:paraId="20B732A8">
            <w:pPr>
              <w:keepNext w:val="0"/>
              <w:keepLines w:val="0"/>
              <w:pageBreakBefore w:val="0"/>
              <w:kinsoku/>
              <w:wordWrap/>
              <w:overflowPunct/>
              <w:topLinePunct w:val="0"/>
              <w:bidi w:val="0"/>
              <w:snapToGrid w:val="0"/>
              <w:spacing w:after="0" w:line="360" w:lineRule="auto"/>
              <w:jc w:val="left"/>
              <w:textAlignment w:val="auto"/>
              <w:outlineLvl w:val="9"/>
              <w:rPr>
                <w:rFonts w:hint="default" w:ascii="方正仿宋_GB2312" w:hAnsi="方正仿宋_GB2312" w:eastAsia="方正仿宋_GB2312" w:cs="方正仿宋_GB2312"/>
                <w:color w:val="auto"/>
                <w:sz w:val="24"/>
                <w:szCs w:val="24"/>
                <w:highlight w:val="none"/>
                <w:lang w:val="en-US"/>
              </w:rPr>
            </w:pPr>
            <w:r>
              <w:rPr>
                <w:rFonts w:hint="eastAsia" w:ascii="方正仿宋_GB2312" w:hAnsi="方正仿宋_GB2312" w:eastAsia="方正仿宋_GB2312" w:cs="方正仿宋_GB2312"/>
                <w:color w:val="auto"/>
                <w:sz w:val="24"/>
                <w:szCs w:val="24"/>
                <w:highlight w:val="none"/>
                <w:lang w:val="en-US" w:eastAsia="zh-CN"/>
              </w:rPr>
              <w:t xml:space="preserve">中标通知书发布之日起 </w:t>
            </w:r>
            <w:r>
              <w:rPr>
                <w:rFonts w:hint="default" w:ascii="方正仿宋_GB2312" w:hAnsi="方正仿宋_GB2312" w:eastAsia="方正仿宋_GB2312" w:cs="方正仿宋_GB2312"/>
                <w:color w:val="auto"/>
                <w:sz w:val="24"/>
                <w:szCs w:val="24"/>
                <w:highlight w:val="none"/>
                <w:lang w:val="en-US" w:eastAsia="zh-CN"/>
              </w:rPr>
              <w:t xml:space="preserve">30 </w:t>
            </w:r>
            <w:r>
              <w:rPr>
                <w:rFonts w:hint="eastAsia" w:ascii="方正仿宋_GB2312" w:hAnsi="方正仿宋_GB2312" w:eastAsia="方正仿宋_GB2312" w:cs="方正仿宋_GB2312"/>
                <w:color w:val="auto"/>
                <w:sz w:val="24"/>
                <w:szCs w:val="24"/>
                <w:highlight w:val="none"/>
                <w:lang w:val="en-US" w:eastAsia="zh-CN"/>
              </w:rPr>
              <w:t>日内（应招标人要求），招标人与中标单位以线上的方式签订施工合同，实施全流程电子化交易。除不可预见情况外，中标人与招标人未在规定时间内签订合同的视为招标人放弃该项目中标资格。</w:t>
            </w:r>
          </w:p>
        </w:tc>
      </w:tr>
      <w:tr w14:paraId="68B14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899299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w:t>
            </w:r>
            <w:r>
              <w:rPr>
                <w:rFonts w:hint="eastAsia" w:ascii="方正仿宋_GB2312" w:hAnsi="方正仿宋_GB2312" w:eastAsia="方正仿宋_GB2312" w:cs="方正仿宋_GB2312"/>
                <w:color w:val="auto"/>
                <w:sz w:val="24"/>
                <w:szCs w:val="24"/>
                <w:highlight w:val="none"/>
                <w:lang w:val="en-US" w:eastAsia="zh-CN"/>
              </w:rPr>
              <w:t>5</w:t>
            </w:r>
          </w:p>
        </w:tc>
        <w:tc>
          <w:tcPr>
            <w:tcW w:w="1634" w:type="dxa"/>
            <w:shd w:val="clear" w:color="auto" w:fill="auto"/>
            <w:vAlign w:val="center"/>
          </w:tcPr>
          <w:p w14:paraId="79C03C3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履约担保</w:t>
            </w:r>
          </w:p>
        </w:tc>
        <w:tc>
          <w:tcPr>
            <w:tcW w:w="6899" w:type="dxa"/>
            <w:shd w:val="clear" w:color="auto" w:fill="auto"/>
            <w:vAlign w:val="center"/>
          </w:tcPr>
          <w:p w14:paraId="1E19CEAD">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lang w:eastAsia="zh-CN"/>
              </w:rPr>
              <w:t>）银行转账或保函或保证保险等任意非现金形式</w:t>
            </w:r>
          </w:p>
          <w:p w14:paraId="0F9303FE">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lang w:eastAsia="zh-CN"/>
              </w:rPr>
              <w:t>）履约保证金数额：为合同价款的5％</w:t>
            </w:r>
          </w:p>
        </w:tc>
      </w:tr>
      <w:tr w14:paraId="003D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AB185D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8.1</w:t>
            </w:r>
          </w:p>
        </w:tc>
        <w:tc>
          <w:tcPr>
            <w:tcW w:w="1634" w:type="dxa"/>
            <w:shd w:val="clear" w:color="auto" w:fill="auto"/>
            <w:vAlign w:val="center"/>
          </w:tcPr>
          <w:p w14:paraId="4C6C5D9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监督部门</w:t>
            </w:r>
          </w:p>
        </w:tc>
        <w:tc>
          <w:tcPr>
            <w:tcW w:w="6899" w:type="dxa"/>
            <w:shd w:val="clear" w:color="auto" w:fill="auto"/>
            <w:vAlign w:val="center"/>
          </w:tcPr>
          <w:p w14:paraId="0FDFADDC">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牟定县住房和城乡建设局</w:t>
            </w:r>
          </w:p>
          <w:p w14:paraId="1066B690">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监督电话：0878-5211523</w:t>
            </w:r>
            <w:r>
              <w:rPr>
                <w:rFonts w:hint="eastAsia" w:ascii="方正仿宋_GB2312" w:hAnsi="方正仿宋_GB2312" w:eastAsia="方正仿宋_GB2312" w:cs="方正仿宋_GB2312"/>
                <w:color w:val="auto"/>
                <w:sz w:val="24"/>
                <w:szCs w:val="24"/>
                <w:highlight w:val="none"/>
                <w:lang w:val="en-US" w:eastAsia="zh-CN"/>
              </w:rPr>
              <w:fldChar w:fldCharType="begin"/>
            </w:r>
            <w:r>
              <w:rPr>
                <w:rFonts w:hint="eastAsia" w:ascii="方正仿宋_GB2312" w:hAnsi="方正仿宋_GB2312" w:eastAsia="方正仿宋_GB2312" w:cs="方正仿宋_GB2312"/>
                <w:color w:val="auto"/>
                <w:sz w:val="24"/>
                <w:szCs w:val="24"/>
                <w:highlight w:val="none"/>
                <w:lang w:val="en-US" w:eastAsia="zh-CN"/>
              </w:rPr>
              <w:instrText xml:space="preserve"> AUTOTEXT  input24 \* MERGEFORMAT </w:instrText>
            </w:r>
            <w:r>
              <w:rPr>
                <w:rFonts w:hint="eastAsia" w:ascii="方正仿宋_GB2312" w:hAnsi="方正仿宋_GB2312" w:eastAsia="方正仿宋_GB2312" w:cs="方正仿宋_GB2312"/>
                <w:color w:val="auto"/>
                <w:sz w:val="24"/>
                <w:szCs w:val="24"/>
                <w:highlight w:val="none"/>
                <w:lang w:val="en-US" w:eastAsia="zh-CN"/>
              </w:rPr>
              <w:fldChar w:fldCharType="separate"/>
            </w:r>
            <w:r>
              <w:rPr>
                <w:rFonts w:hint="eastAsia" w:ascii="方正仿宋_GB2312" w:hAnsi="方正仿宋_GB2312" w:eastAsia="方正仿宋_GB2312" w:cs="方正仿宋_GB2312"/>
                <w:color w:val="auto"/>
                <w:sz w:val="24"/>
                <w:szCs w:val="24"/>
                <w:highlight w:val="none"/>
                <w:lang w:val="en-US" w:eastAsia="zh-CN"/>
              </w:rPr>
              <w:fldChar w:fldCharType="end"/>
            </w:r>
          </w:p>
        </w:tc>
      </w:tr>
      <w:tr w14:paraId="104D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8D08FC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w:t>
            </w:r>
          </w:p>
        </w:tc>
        <w:tc>
          <w:tcPr>
            <w:tcW w:w="8533" w:type="dxa"/>
            <w:gridSpan w:val="2"/>
            <w:shd w:val="clear" w:color="auto" w:fill="auto"/>
            <w:vAlign w:val="center"/>
          </w:tcPr>
          <w:p w14:paraId="7AFB9B3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需要补充的其他内容</w:t>
            </w:r>
          </w:p>
        </w:tc>
      </w:tr>
      <w:tr w14:paraId="628DB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9031A9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9</w:t>
            </w:r>
            <w:r>
              <w:rPr>
                <w:rFonts w:hint="eastAsia" w:ascii="方正仿宋_GB2312" w:hAnsi="方正仿宋_GB2312" w:eastAsia="方正仿宋_GB2312" w:cs="方正仿宋_GB2312"/>
                <w:color w:val="auto"/>
                <w:sz w:val="24"/>
                <w:szCs w:val="24"/>
                <w:highlight w:val="none"/>
              </w:rPr>
              <w:t>.1</w:t>
            </w:r>
          </w:p>
        </w:tc>
        <w:tc>
          <w:tcPr>
            <w:tcW w:w="1634" w:type="dxa"/>
            <w:shd w:val="clear" w:color="auto" w:fill="auto"/>
            <w:vAlign w:val="center"/>
          </w:tcPr>
          <w:p w14:paraId="7162488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报价方式</w:t>
            </w:r>
          </w:p>
        </w:tc>
        <w:tc>
          <w:tcPr>
            <w:tcW w:w="6899" w:type="dxa"/>
            <w:shd w:val="clear" w:color="auto" w:fill="auto"/>
            <w:vAlign w:val="center"/>
          </w:tcPr>
          <w:p w14:paraId="634AF09A">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（1）设计费报价方式：本项目设计以固定综合费率方式计价。投标人结合市场及企业自身实际情况以综合设计费率按百分比（%）的形式进行报价。结算时以经审定的建安工程费为基数乘以综合费率进行结算。</w:t>
            </w:r>
          </w:p>
          <w:p w14:paraId="70A723F3">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bookmarkStart w:id="69" w:name="_Hlk90115004"/>
            <w:r>
              <w:rPr>
                <w:rFonts w:hint="eastAsia" w:ascii="方正仿宋_GB2312" w:hAnsi="方正仿宋_GB2312" w:eastAsia="方正仿宋_GB2312" w:cs="方正仿宋_GB2312"/>
                <w:color w:val="auto"/>
                <w:sz w:val="24"/>
                <w:szCs w:val="24"/>
                <w:highlight w:val="none"/>
                <w:lang w:val="en-US" w:eastAsia="zh-CN"/>
              </w:rPr>
              <w:t>（2）</w:t>
            </w:r>
            <w:bookmarkEnd w:id="69"/>
            <w:r>
              <w:rPr>
                <w:rFonts w:hint="eastAsia" w:ascii="方正仿宋_GB2312" w:hAnsi="方正仿宋_GB2312" w:eastAsia="方正仿宋_GB2312" w:cs="方正仿宋_GB2312"/>
                <w:color w:val="auto"/>
                <w:sz w:val="24"/>
                <w:szCs w:val="24"/>
                <w:highlight w:val="none"/>
                <w:lang w:val="en-US" w:eastAsia="zh-CN"/>
              </w:rPr>
              <w:t>施工费报价方式：按下浮率（%）自行报价。投标人所报的费率下浮值为投标人按期完成本招标文件和合同条款上所列招标范围内所有工程内容的一个统一的优惠比例，该费率下浮值在整个合同签订及履行中固定不变，中标人不得以任何理由更改该中标的费率下浮值。</w:t>
            </w:r>
          </w:p>
        </w:tc>
      </w:tr>
      <w:tr w14:paraId="64312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39F9182">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9.2</w:t>
            </w:r>
          </w:p>
        </w:tc>
        <w:tc>
          <w:tcPr>
            <w:tcW w:w="1634" w:type="dxa"/>
            <w:shd w:val="clear" w:color="auto" w:fill="auto"/>
            <w:vAlign w:val="center"/>
          </w:tcPr>
          <w:p w14:paraId="7D53CA5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招标控制价</w:t>
            </w:r>
          </w:p>
        </w:tc>
        <w:tc>
          <w:tcPr>
            <w:tcW w:w="6899" w:type="dxa"/>
            <w:shd w:val="clear" w:color="auto" w:fill="auto"/>
            <w:vAlign w:val="center"/>
          </w:tcPr>
          <w:p w14:paraId="5A0CEDAE">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zh-TW" w:eastAsia="zh-CN"/>
              </w:rPr>
            </w:pPr>
            <w:r>
              <w:rPr>
                <w:rFonts w:hint="eastAsia" w:ascii="方正仿宋_GB2312" w:hAnsi="方正仿宋_GB2312" w:eastAsia="方正仿宋_GB2312" w:cs="方正仿宋_GB2312"/>
                <w:color w:val="auto"/>
                <w:sz w:val="24"/>
                <w:szCs w:val="24"/>
                <w:highlight w:val="none"/>
                <w:lang w:val="zh-TW" w:eastAsia="zh-CN"/>
              </w:rPr>
              <w:t>本项目中设计</w:t>
            </w:r>
            <w:r>
              <w:rPr>
                <w:rFonts w:hint="eastAsia" w:ascii="方正仿宋_GB2312" w:hAnsi="方正仿宋_GB2312" w:eastAsia="方正仿宋_GB2312" w:cs="方正仿宋_GB2312"/>
                <w:color w:val="auto"/>
                <w:sz w:val="24"/>
                <w:szCs w:val="24"/>
                <w:highlight w:val="none"/>
                <w:lang w:val="en-US" w:eastAsia="zh-CN"/>
              </w:rPr>
              <w:t>费</w:t>
            </w:r>
            <w:r>
              <w:rPr>
                <w:rFonts w:hint="eastAsia" w:ascii="方正仿宋_GB2312" w:hAnsi="方正仿宋_GB2312" w:eastAsia="方正仿宋_GB2312" w:cs="方正仿宋_GB2312"/>
                <w:color w:val="auto"/>
                <w:sz w:val="24"/>
                <w:szCs w:val="24"/>
                <w:highlight w:val="none"/>
                <w:lang w:val="zh-TW" w:eastAsia="zh-CN"/>
              </w:rPr>
              <w:t>和施工</w:t>
            </w:r>
            <w:r>
              <w:rPr>
                <w:rFonts w:hint="eastAsia" w:ascii="方正仿宋_GB2312" w:hAnsi="方正仿宋_GB2312" w:eastAsia="方正仿宋_GB2312" w:cs="方正仿宋_GB2312"/>
                <w:color w:val="auto"/>
                <w:sz w:val="24"/>
                <w:szCs w:val="24"/>
                <w:highlight w:val="none"/>
                <w:lang w:val="en-US" w:eastAsia="zh-CN"/>
              </w:rPr>
              <w:t>费</w:t>
            </w:r>
            <w:r>
              <w:rPr>
                <w:rFonts w:hint="eastAsia" w:ascii="方正仿宋_GB2312" w:hAnsi="方正仿宋_GB2312" w:eastAsia="方正仿宋_GB2312" w:cs="方正仿宋_GB2312"/>
                <w:color w:val="auto"/>
                <w:sz w:val="24"/>
                <w:szCs w:val="24"/>
                <w:highlight w:val="none"/>
                <w:lang w:val="zh-TW" w:eastAsia="zh-CN"/>
              </w:rPr>
              <w:t>均设定招标控制价，投标人的</w:t>
            </w:r>
            <w:r>
              <w:rPr>
                <w:rFonts w:hint="eastAsia" w:ascii="方正仿宋_GB2312" w:hAnsi="方正仿宋_GB2312" w:eastAsia="方正仿宋_GB2312" w:cs="方正仿宋_GB2312"/>
                <w:color w:val="auto"/>
                <w:sz w:val="24"/>
                <w:szCs w:val="24"/>
                <w:highlight w:val="none"/>
                <w:lang w:val="en-US" w:eastAsia="zh-CN"/>
              </w:rPr>
              <w:t>设计费</w:t>
            </w:r>
            <w:r>
              <w:rPr>
                <w:rFonts w:hint="eastAsia" w:ascii="方正仿宋_GB2312" w:hAnsi="方正仿宋_GB2312" w:eastAsia="方正仿宋_GB2312" w:cs="方正仿宋_GB2312"/>
                <w:color w:val="auto"/>
                <w:sz w:val="24"/>
                <w:szCs w:val="24"/>
                <w:highlight w:val="none"/>
                <w:lang w:val="zh-TW" w:eastAsia="zh-CN"/>
              </w:rPr>
              <w:t>报价不得</w:t>
            </w:r>
            <w:r>
              <w:rPr>
                <w:rFonts w:hint="eastAsia" w:ascii="方正仿宋_GB2312" w:hAnsi="方正仿宋_GB2312" w:eastAsia="方正仿宋_GB2312" w:cs="方正仿宋_GB2312"/>
                <w:color w:val="auto"/>
                <w:sz w:val="24"/>
                <w:szCs w:val="24"/>
                <w:highlight w:val="none"/>
                <w:lang w:val="en-US" w:eastAsia="zh-CN"/>
              </w:rPr>
              <w:t>高于</w:t>
            </w:r>
            <w:r>
              <w:rPr>
                <w:rFonts w:hint="eastAsia" w:ascii="方正仿宋_GB2312" w:hAnsi="方正仿宋_GB2312" w:eastAsia="方正仿宋_GB2312" w:cs="方正仿宋_GB2312"/>
                <w:color w:val="auto"/>
                <w:sz w:val="24"/>
                <w:szCs w:val="24"/>
                <w:highlight w:val="none"/>
                <w:lang w:val="zh-TW" w:eastAsia="zh-CN"/>
              </w:rPr>
              <w:t>招标控制价，</w:t>
            </w:r>
            <w:r>
              <w:rPr>
                <w:rFonts w:hint="eastAsia" w:ascii="方正仿宋_GB2312" w:hAnsi="方正仿宋_GB2312" w:eastAsia="方正仿宋_GB2312" w:cs="方正仿宋_GB2312"/>
                <w:color w:val="auto"/>
                <w:sz w:val="24"/>
                <w:szCs w:val="24"/>
                <w:highlight w:val="none"/>
                <w:lang w:val="en-US" w:eastAsia="zh-CN"/>
              </w:rPr>
              <w:t>施工费下浮率</w:t>
            </w:r>
            <w:r>
              <w:rPr>
                <w:rFonts w:hint="eastAsia" w:ascii="方正仿宋_GB2312" w:hAnsi="方正仿宋_GB2312" w:eastAsia="方正仿宋_GB2312" w:cs="方正仿宋_GB2312"/>
                <w:color w:val="auto"/>
                <w:sz w:val="24"/>
                <w:szCs w:val="24"/>
                <w:highlight w:val="none"/>
                <w:lang w:val="zh-TW" w:eastAsia="zh-CN"/>
              </w:rPr>
              <w:t>报价不得</w:t>
            </w:r>
            <w:r>
              <w:rPr>
                <w:rFonts w:hint="eastAsia" w:ascii="方正仿宋_GB2312" w:hAnsi="方正仿宋_GB2312" w:eastAsia="方正仿宋_GB2312" w:cs="方正仿宋_GB2312"/>
                <w:color w:val="auto"/>
                <w:sz w:val="24"/>
                <w:szCs w:val="24"/>
                <w:highlight w:val="none"/>
                <w:lang w:val="en-US" w:eastAsia="zh-CN"/>
              </w:rPr>
              <w:t>低于</w:t>
            </w:r>
            <w:r>
              <w:rPr>
                <w:rFonts w:hint="eastAsia" w:ascii="方正仿宋_GB2312" w:hAnsi="方正仿宋_GB2312" w:eastAsia="方正仿宋_GB2312" w:cs="方正仿宋_GB2312"/>
                <w:color w:val="auto"/>
                <w:sz w:val="24"/>
                <w:szCs w:val="24"/>
                <w:highlight w:val="none"/>
                <w:lang w:val="zh-TW" w:eastAsia="zh-CN"/>
              </w:rPr>
              <w:t>招标控制价，否则作否决投标处理。</w:t>
            </w:r>
          </w:p>
          <w:p w14:paraId="187E3377">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zh-TW" w:eastAsia="zh-CN"/>
              </w:rPr>
              <w:t>（1）</w:t>
            </w:r>
            <w:r>
              <w:rPr>
                <w:rFonts w:hint="eastAsia" w:ascii="方正仿宋_GB2312" w:hAnsi="方正仿宋_GB2312" w:eastAsia="方正仿宋_GB2312" w:cs="方正仿宋_GB2312"/>
                <w:b/>
                <w:bCs/>
                <w:color w:val="auto"/>
                <w:sz w:val="24"/>
                <w:szCs w:val="24"/>
                <w:highlight w:val="none"/>
                <w:lang w:val="en-US" w:eastAsia="zh-CN"/>
              </w:rPr>
              <w:t>设计费招标控制价：上限控制费率 2.00%，投标人所报设计费费率≤ 2.00%。</w:t>
            </w:r>
          </w:p>
          <w:p w14:paraId="61B89C5C">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zh-TW" w:eastAsia="zh-CN"/>
              </w:rPr>
              <w:t>（</w:t>
            </w:r>
            <w:r>
              <w:rPr>
                <w:rFonts w:hint="eastAsia" w:ascii="方正仿宋_GB2312" w:hAnsi="方正仿宋_GB2312" w:eastAsia="方正仿宋_GB2312" w:cs="方正仿宋_GB2312"/>
                <w:b/>
                <w:bCs/>
                <w:color w:val="auto"/>
                <w:sz w:val="24"/>
                <w:szCs w:val="24"/>
                <w:highlight w:val="none"/>
                <w:lang w:val="en-US" w:eastAsia="zh-CN"/>
              </w:rPr>
              <w:t>2</w:t>
            </w:r>
            <w:r>
              <w:rPr>
                <w:rFonts w:hint="eastAsia" w:ascii="方正仿宋_GB2312" w:hAnsi="方正仿宋_GB2312" w:eastAsia="方正仿宋_GB2312" w:cs="方正仿宋_GB2312"/>
                <w:b/>
                <w:bCs/>
                <w:color w:val="auto"/>
                <w:sz w:val="24"/>
                <w:szCs w:val="24"/>
                <w:highlight w:val="none"/>
                <w:lang w:val="zh-TW" w:eastAsia="zh-CN"/>
              </w:rPr>
              <w:t>）施工费招标控制价：下浮率</w:t>
            </w:r>
            <w:r>
              <w:rPr>
                <w:rFonts w:hint="eastAsia" w:ascii="方正仿宋_GB2312" w:hAnsi="方正仿宋_GB2312" w:eastAsia="方正仿宋_GB2312" w:cs="方正仿宋_GB2312"/>
                <w:b/>
                <w:bCs/>
                <w:color w:val="auto"/>
                <w:sz w:val="24"/>
                <w:szCs w:val="24"/>
                <w:highlight w:val="none"/>
                <w:lang w:val="en-US" w:eastAsia="zh-CN"/>
              </w:rPr>
              <w:t xml:space="preserve"> 0.50 </w:t>
            </w:r>
            <w:r>
              <w:rPr>
                <w:rFonts w:hint="eastAsia" w:ascii="方正仿宋_GB2312" w:hAnsi="方正仿宋_GB2312" w:eastAsia="方正仿宋_GB2312" w:cs="方正仿宋_GB2312"/>
                <w:b/>
                <w:bCs/>
                <w:color w:val="auto"/>
                <w:sz w:val="24"/>
                <w:szCs w:val="24"/>
                <w:highlight w:val="none"/>
                <w:lang w:val="zh-TW" w:eastAsia="zh-CN"/>
              </w:rPr>
              <w:t>%，投标人所报施工费下浮率≥</w:t>
            </w:r>
            <w:r>
              <w:rPr>
                <w:rFonts w:hint="eastAsia" w:ascii="方正仿宋_GB2312" w:hAnsi="方正仿宋_GB2312" w:eastAsia="方正仿宋_GB2312" w:cs="方正仿宋_GB2312"/>
                <w:b/>
                <w:bCs/>
                <w:color w:val="auto"/>
                <w:sz w:val="24"/>
                <w:szCs w:val="24"/>
                <w:highlight w:val="none"/>
                <w:lang w:val="en-US" w:eastAsia="zh-CN"/>
              </w:rPr>
              <w:t xml:space="preserve"> 0.50</w:t>
            </w:r>
            <w:r>
              <w:rPr>
                <w:rFonts w:hint="eastAsia" w:ascii="方正仿宋_GB2312" w:hAnsi="方正仿宋_GB2312" w:eastAsia="方正仿宋_GB2312" w:cs="方正仿宋_GB2312"/>
                <w:b/>
                <w:bCs/>
                <w:color w:val="auto"/>
                <w:sz w:val="24"/>
                <w:szCs w:val="24"/>
                <w:highlight w:val="none"/>
                <w:lang w:val="zh-TW" w:eastAsia="zh-CN"/>
              </w:rPr>
              <w:t>%。</w:t>
            </w:r>
          </w:p>
        </w:tc>
      </w:tr>
      <w:tr w14:paraId="43A3C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F28C36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9.2</w:t>
            </w:r>
          </w:p>
        </w:tc>
        <w:tc>
          <w:tcPr>
            <w:tcW w:w="1634" w:type="dxa"/>
            <w:shd w:val="clear" w:color="auto" w:fill="auto"/>
            <w:vAlign w:val="center"/>
          </w:tcPr>
          <w:p w14:paraId="508D8BD4">
            <w:pPr>
              <w:keepNext w:val="0"/>
              <w:keepLines w:val="0"/>
              <w:pageBreakBefore w:val="0"/>
              <w:kinsoku/>
              <w:wordWrap/>
              <w:overflowPunct/>
              <w:topLinePunct w:val="0"/>
              <w:bidi w:val="0"/>
              <w:snapToGrid w:val="0"/>
              <w:spacing w:line="360" w:lineRule="auto"/>
              <w:jc w:val="center"/>
              <w:textAlignment w:val="auto"/>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结算依据</w:t>
            </w:r>
          </w:p>
        </w:tc>
        <w:tc>
          <w:tcPr>
            <w:tcW w:w="6899" w:type="dxa"/>
            <w:shd w:val="clear" w:color="auto" w:fill="auto"/>
            <w:vAlign w:val="top"/>
          </w:tcPr>
          <w:p w14:paraId="24B4C3B2">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1）结算依据：审查合格的施工图完成后，施工单位进场施工前，按现行的云南省2020版建设工程造价计价依据和《楚雄州工程建设材料设备价格信息》（当期）编制工程量清单及施工造价，提交给招标人审查同意后作为结算依据。</w:t>
            </w:r>
          </w:p>
          <w:p w14:paraId="148AF640">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2）结算编制依据：合同、施工图、签证、变更、通知、经批准的施工组织设计、专项施工方案，并执行现行云南省2020版建设工程造价计价依据的和《楚雄州工程建设材料设备价格信息》（当期）相关配套定额及云南省现行计价调整文件。</w:t>
            </w:r>
          </w:p>
          <w:p w14:paraId="149C4A81">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（3）主要材料价格调整：详见第四章合同条款及格式中专用条款第16条。</w:t>
            </w:r>
          </w:p>
          <w:p w14:paraId="7731BC0D">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（4）安全生产费、税金按有关规定及本合同签订之日的云南省现行有关配套计价文件规定计算，不参与下浮。</w:t>
            </w:r>
          </w:p>
          <w:p w14:paraId="0BC24EA7">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（5）人工费调整按《云南省住房和城乡建设工程造价计价依据调整定额人工费的通知》等文件执行。</w:t>
            </w:r>
          </w:p>
          <w:p w14:paraId="2295F3C9">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建安工程费最终结算价=（经审定后的建安工程费-</w:t>
            </w:r>
            <w:bookmarkStart w:id="70" w:name="OLE_LINK3"/>
            <w:r>
              <w:rPr>
                <w:rFonts w:hint="eastAsia" w:ascii="方正仿宋_GB2312" w:hAnsi="方正仿宋_GB2312" w:eastAsia="方正仿宋_GB2312" w:cs="方正仿宋_GB2312"/>
                <w:color w:val="auto"/>
                <w:kern w:val="0"/>
                <w:sz w:val="24"/>
                <w:szCs w:val="24"/>
                <w:highlight w:val="none"/>
                <w:lang w:val="en-US" w:eastAsia="zh-CN"/>
              </w:rPr>
              <w:t>安全生产费</w:t>
            </w:r>
            <w:bookmarkEnd w:id="70"/>
            <w:r>
              <w:rPr>
                <w:rFonts w:hint="eastAsia" w:ascii="方正仿宋_GB2312" w:hAnsi="方正仿宋_GB2312" w:eastAsia="方正仿宋_GB2312" w:cs="方正仿宋_GB2312"/>
                <w:color w:val="auto"/>
                <w:kern w:val="0"/>
                <w:sz w:val="24"/>
                <w:szCs w:val="24"/>
                <w:highlight w:val="none"/>
                <w:lang w:val="en-US" w:eastAsia="zh-CN"/>
              </w:rPr>
              <w:t>-税金）*（1-投标下浮率）+安全生产费+税金。</w:t>
            </w:r>
          </w:p>
          <w:p w14:paraId="6A519D6B">
            <w:pPr>
              <w:pStyle w:val="36"/>
              <w:keepNext w:val="0"/>
              <w:keepLines w:val="0"/>
              <w:pageBreakBefore w:val="0"/>
              <w:widowControl w:val="0"/>
              <w:kinsoku/>
              <w:wordWrap/>
              <w:overflowPunct/>
              <w:topLinePunct w:val="0"/>
              <w:bidi w:val="0"/>
              <w:snapToGrid w:val="0"/>
              <w:spacing w:line="360" w:lineRule="auto"/>
              <w:textAlignment w:val="auto"/>
              <w:rPr>
                <w:rFonts w:hint="default"/>
                <w:color w:val="auto"/>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bidi="ar-SA"/>
              </w:rPr>
              <w:t>注：最终结算依据以签订的施工合同为准。</w:t>
            </w:r>
          </w:p>
        </w:tc>
      </w:tr>
      <w:tr w14:paraId="0C81B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7C7FB6D">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9.3</w:t>
            </w:r>
          </w:p>
        </w:tc>
        <w:tc>
          <w:tcPr>
            <w:tcW w:w="1634" w:type="dxa"/>
            <w:shd w:val="clear" w:color="auto" w:fill="auto"/>
            <w:vAlign w:val="center"/>
          </w:tcPr>
          <w:p w14:paraId="3151A794">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招标代理服务费</w:t>
            </w:r>
          </w:p>
        </w:tc>
        <w:tc>
          <w:tcPr>
            <w:tcW w:w="6899" w:type="dxa"/>
            <w:shd w:val="clear" w:color="auto" w:fill="auto"/>
            <w:vAlign w:val="center"/>
          </w:tcPr>
          <w:p w14:paraId="189FB13B">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eastAsia="zh-CN"/>
              </w:rPr>
            </w:pPr>
            <w:r>
              <w:rPr>
                <w:rFonts w:hint="eastAsia" w:ascii="方正仿宋_GB2312" w:hAnsi="方正仿宋_GB2312" w:eastAsia="方正仿宋_GB2312" w:cs="方正仿宋_GB2312"/>
                <w:color w:val="auto"/>
                <w:kern w:val="0"/>
                <w:sz w:val="24"/>
                <w:szCs w:val="24"/>
                <w:highlight w:val="none"/>
                <w:lang w:val="zh-CN" w:eastAsia="zh-CN"/>
              </w:rPr>
              <w:t>①</w:t>
            </w:r>
            <w:r>
              <w:rPr>
                <w:rFonts w:hint="eastAsia" w:ascii="方正仿宋_GB2312" w:hAnsi="方正仿宋_GB2312" w:eastAsia="方正仿宋_GB2312" w:cs="方正仿宋_GB2312"/>
                <w:color w:val="auto"/>
                <w:kern w:val="0"/>
                <w:sz w:val="24"/>
                <w:szCs w:val="24"/>
                <w:highlight w:val="none"/>
                <w:lang w:val="zh-CN"/>
              </w:rPr>
              <w:t>不论</w:t>
            </w:r>
            <w:r>
              <w:rPr>
                <w:rFonts w:hint="eastAsia" w:ascii="方正仿宋_GB2312" w:hAnsi="方正仿宋_GB2312" w:eastAsia="方正仿宋_GB2312" w:cs="方正仿宋_GB2312"/>
                <w:color w:val="auto"/>
                <w:kern w:val="0"/>
                <w:sz w:val="24"/>
                <w:szCs w:val="24"/>
                <w:highlight w:val="none"/>
                <w:lang w:val="zh-CN" w:eastAsia="zh-CN"/>
              </w:rPr>
              <w:t>投标</w:t>
            </w:r>
            <w:r>
              <w:rPr>
                <w:rFonts w:hint="eastAsia" w:ascii="方正仿宋_GB2312" w:hAnsi="方正仿宋_GB2312" w:eastAsia="方正仿宋_GB2312" w:cs="方正仿宋_GB2312"/>
                <w:color w:val="auto"/>
                <w:kern w:val="0"/>
                <w:sz w:val="24"/>
                <w:szCs w:val="24"/>
                <w:highlight w:val="none"/>
                <w:lang w:val="zh-CN"/>
              </w:rPr>
              <w:t>结果如何，</w:t>
            </w:r>
            <w:r>
              <w:rPr>
                <w:rFonts w:hint="eastAsia" w:ascii="方正仿宋_GB2312" w:hAnsi="方正仿宋_GB2312" w:eastAsia="方正仿宋_GB2312" w:cs="方正仿宋_GB2312"/>
                <w:color w:val="auto"/>
                <w:kern w:val="0"/>
                <w:sz w:val="24"/>
                <w:szCs w:val="24"/>
                <w:highlight w:val="none"/>
                <w:lang w:val="zh-CN" w:eastAsia="zh-CN"/>
              </w:rPr>
              <w:t>申请人</w:t>
            </w:r>
            <w:r>
              <w:rPr>
                <w:rFonts w:hint="eastAsia" w:ascii="方正仿宋_GB2312" w:hAnsi="方正仿宋_GB2312" w:eastAsia="方正仿宋_GB2312" w:cs="方正仿宋_GB2312"/>
                <w:color w:val="auto"/>
                <w:kern w:val="0"/>
                <w:sz w:val="24"/>
                <w:szCs w:val="24"/>
                <w:highlight w:val="none"/>
                <w:lang w:val="zh-CN"/>
              </w:rPr>
              <w:t>均应自行承担所有与编写和提交</w:t>
            </w:r>
            <w:r>
              <w:rPr>
                <w:rFonts w:hint="eastAsia" w:ascii="方正仿宋_GB2312" w:hAnsi="方正仿宋_GB2312" w:eastAsia="方正仿宋_GB2312" w:cs="方正仿宋_GB2312"/>
                <w:color w:val="auto"/>
                <w:kern w:val="0"/>
                <w:sz w:val="24"/>
                <w:szCs w:val="24"/>
                <w:highlight w:val="none"/>
                <w:lang w:val="zh-CN" w:eastAsia="zh-CN"/>
              </w:rPr>
              <w:t>响应文件</w:t>
            </w:r>
            <w:r>
              <w:rPr>
                <w:rFonts w:hint="eastAsia" w:ascii="方正仿宋_GB2312" w:hAnsi="方正仿宋_GB2312" w:eastAsia="方正仿宋_GB2312" w:cs="方正仿宋_GB2312"/>
                <w:color w:val="auto"/>
                <w:kern w:val="0"/>
                <w:sz w:val="24"/>
                <w:szCs w:val="24"/>
                <w:highlight w:val="none"/>
                <w:lang w:val="zh-CN"/>
              </w:rPr>
              <w:t>有关的全部费用。</w:t>
            </w:r>
          </w:p>
          <w:p w14:paraId="1E4154C3">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eastAsia="zh-CN"/>
              </w:rPr>
            </w:pPr>
            <w:r>
              <w:rPr>
                <w:rFonts w:hint="eastAsia" w:ascii="方正仿宋_GB2312" w:hAnsi="方正仿宋_GB2312" w:eastAsia="方正仿宋_GB2312" w:cs="方正仿宋_GB2312"/>
                <w:color w:val="auto"/>
                <w:kern w:val="0"/>
                <w:sz w:val="24"/>
                <w:szCs w:val="24"/>
                <w:highlight w:val="none"/>
                <w:lang w:val="zh-CN" w:eastAsia="zh-CN"/>
              </w:rPr>
              <w:t>②招标代理服务费：</w:t>
            </w:r>
            <w:r>
              <w:rPr>
                <w:rFonts w:hint="eastAsia" w:ascii="方正仿宋_GB2312" w:hAnsi="方正仿宋_GB2312" w:eastAsia="方正仿宋_GB2312" w:cs="方正仿宋_GB2312"/>
                <w:color w:val="auto"/>
                <w:kern w:val="0"/>
                <w:sz w:val="24"/>
                <w:szCs w:val="24"/>
                <w:highlight w:val="none"/>
                <w:lang w:val="en-US" w:eastAsia="zh-CN"/>
              </w:rPr>
              <w:t>86000.00元</w:t>
            </w:r>
            <w:r>
              <w:rPr>
                <w:rFonts w:hint="eastAsia" w:ascii="方正仿宋_GB2312" w:hAnsi="方正仿宋_GB2312" w:eastAsia="方正仿宋_GB2312" w:cs="方正仿宋_GB2312"/>
                <w:color w:val="auto"/>
                <w:kern w:val="0"/>
                <w:sz w:val="24"/>
                <w:szCs w:val="24"/>
                <w:highlight w:val="none"/>
                <w:lang w:val="zh-CN" w:eastAsia="zh-CN"/>
              </w:rPr>
              <w:t>；由本项目的中标人在领取中标通知书前一次性付清给招标代理公司。（若为联合体投标的由联合体牵头人支付）</w:t>
            </w:r>
          </w:p>
          <w:p w14:paraId="31CAFCB9">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③招标代理服务费收款信息：</w:t>
            </w:r>
          </w:p>
          <w:p w14:paraId="6DB4AE10">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default" w:ascii="方正仿宋_GB2312" w:hAnsi="方正仿宋_GB2312" w:eastAsia="方正仿宋_GB2312" w:cs="方正仿宋_GB2312"/>
                <w:color w:val="auto"/>
                <w:kern w:val="0"/>
                <w:sz w:val="24"/>
                <w:szCs w:val="24"/>
                <w:highlight w:val="none"/>
                <w:lang w:val="en-US" w:eastAsia="zh-CN"/>
              </w:rPr>
              <w:t>账户名称：云南策澜工程管理服务有限公司</w:t>
            </w:r>
          </w:p>
          <w:p w14:paraId="070C831C">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default" w:ascii="方正仿宋_GB2312" w:hAnsi="方正仿宋_GB2312" w:eastAsia="方正仿宋_GB2312" w:cs="方正仿宋_GB2312"/>
                <w:color w:val="auto"/>
                <w:kern w:val="0"/>
                <w:sz w:val="24"/>
                <w:szCs w:val="24"/>
                <w:highlight w:val="none"/>
                <w:lang w:val="en-US" w:eastAsia="zh-CN"/>
              </w:rPr>
              <w:t>账号：2516100209000059221</w:t>
            </w:r>
          </w:p>
          <w:p w14:paraId="35B4C069">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default" w:ascii="方正仿宋_GB2312" w:hAnsi="方正仿宋_GB2312" w:eastAsia="方正仿宋_GB2312" w:cs="方正仿宋_GB2312"/>
                <w:color w:val="auto"/>
                <w:kern w:val="0"/>
                <w:sz w:val="24"/>
                <w:szCs w:val="24"/>
                <w:highlight w:val="none"/>
                <w:lang w:val="en-US" w:eastAsia="zh-CN"/>
              </w:rPr>
              <w:t>开户银行：中国工商银行股份有限公司楚雄阳光大道支行</w:t>
            </w:r>
          </w:p>
          <w:p w14:paraId="3E005845">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default" w:ascii="方正仿宋_GB2312" w:hAnsi="方正仿宋_GB2312" w:eastAsia="方正仿宋_GB2312" w:cs="方正仿宋_GB2312"/>
                <w:color w:val="auto"/>
                <w:kern w:val="0"/>
                <w:sz w:val="24"/>
                <w:szCs w:val="24"/>
                <w:highlight w:val="none"/>
                <w:lang w:val="en-US" w:eastAsia="zh-CN" w:bidi="ar-SA"/>
              </w:rPr>
            </w:pPr>
            <w:r>
              <w:rPr>
                <w:rFonts w:hint="eastAsia" w:ascii="方正仿宋_GB2312" w:hAnsi="方正仿宋_GB2312" w:eastAsia="方正仿宋_GB2312" w:cs="方正仿宋_GB2312"/>
                <w:color w:val="auto"/>
                <w:kern w:val="0"/>
                <w:sz w:val="24"/>
                <w:szCs w:val="24"/>
                <w:highlight w:val="none"/>
                <w:lang w:val="en-US" w:eastAsia="zh-CN"/>
              </w:rPr>
              <w:t>④</w:t>
            </w:r>
            <w:bookmarkStart w:id="71" w:name="auto_fouce_3"/>
            <w:r>
              <w:rPr>
                <w:rFonts w:hint="eastAsia" w:ascii="方正仿宋_GB2312" w:hAnsi="方正仿宋_GB2312" w:eastAsia="方正仿宋_GB2312" w:cs="方正仿宋_GB2312"/>
                <w:color w:val="auto"/>
                <w:kern w:val="0"/>
                <w:sz w:val="24"/>
                <w:szCs w:val="24"/>
                <w:highlight w:val="none"/>
                <w:lang w:val="en-US" w:eastAsia="zh-CN"/>
              </w:rPr>
              <w:t>如本项目开标时投标单位超过50家（含）且由同一评标委员会评标的，交易平台将自动匹配为隔夜评标项目的隔夜评标所发生的场地费及公证费（如有）由中标人在领取中标通知书前向招标代理机构另行支付，费用金额以交易平台或公证机构出具的正式合法票据为准。</w:t>
            </w:r>
            <w:bookmarkEnd w:id="71"/>
          </w:p>
        </w:tc>
      </w:tr>
      <w:tr w14:paraId="6F222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BBBEA59">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9.4</w:t>
            </w:r>
          </w:p>
        </w:tc>
        <w:tc>
          <w:tcPr>
            <w:tcW w:w="1634" w:type="dxa"/>
            <w:shd w:val="clear" w:color="auto" w:fill="auto"/>
            <w:vAlign w:val="center"/>
          </w:tcPr>
          <w:p w14:paraId="62736C69">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报价唯一</w:t>
            </w:r>
          </w:p>
        </w:tc>
        <w:tc>
          <w:tcPr>
            <w:tcW w:w="6899" w:type="dxa"/>
            <w:shd w:val="clear" w:color="auto" w:fill="auto"/>
            <w:vAlign w:val="center"/>
          </w:tcPr>
          <w:p w14:paraId="5601616F">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设计和施工分别只能有一个有效报价，任何有选择和保留的报价将不予接受。</w:t>
            </w:r>
          </w:p>
        </w:tc>
      </w:tr>
      <w:tr w14:paraId="31787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7C07005F">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9.5</w:t>
            </w:r>
          </w:p>
        </w:tc>
        <w:tc>
          <w:tcPr>
            <w:tcW w:w="1634" w:type="dxa"/>
            <w:shd w:val="clear" w:color="auto" w:fill="auto"/>
            <w:vAlign w:val="center"/>
          </w:tcPr>
          <w:p w14:paraId="0322FC1E">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确定中标人</w:t>
            </w:r>
          </w:p>
        </w:tc>
        <w:tc>
          <w:tcPr>
            <w:tcW w:w="6899" w:type="dxa"/>
            <w:shd w:val="clear" w:color="auto" w:fill="auto"/>
            <w:vAlign w:val="center"/>
          </w:tcPr>
          <w:p w14:paraId="481E865E">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招标人按照评标委员会推荐中标候选人的顺序确定中标人。</w:t>
            </w:r>
          </w:p>
        </w:tc>
      </w:tr>
      <w:tr w14:paraId="23947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A9BDB4D">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9.6</w:t>
            </w:r>
          </w:p>
        </w:tc>
        <w:tc>
          <w:tcPr>
            <w:tcW w:w="1634" w:type="dxa"/>
            <w:shd w:val="clear" w:color="auto" w:fill="auto"/>
            <w:vAlign w:val="center"/>
          </w:tcPr>
          <w:p w14:paraId="17019C8F">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建设资金拨付</w:t>
            </w:r>
          </w:p>
        </w:tc>
        <w:tc>
          <w:tcPr>
            <w:tcW w:w="6899" w:type="dxa"/>
            <w:shd w:val="clear" w:color="auto" w:fill="auto"/>
            <w:vAlign w:val="center"/>
          </w:tcPr>
          <w:p w14:paraId="1378D3B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具体按专业合同条款执行。</w:t>
            </w:r>
          </w:p>
        </w:tc>
      </w:tr>
      <w:tr w14:paraId="786BB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2B37A73B">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9.7</w:t>
            </w:r>
          </w:p>
        </w:tc>
        <w:tc>
          <w:tcPr>
            <w:tcW w:w="1634" w:type="dxa"/>
            <w:shd w:val="clear" w:color="auto" w:fill="auto"/>
            <w:vAlign w:val="center"/>
          </w:tcPr>
          <w:p w14:paraId="381BBDEB">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压证施工制度</w:t>
            </w:r>
          </w:p>
        </w:tc>
        <w:tc>
          <w:tcPr>
            <w:tcW w:w="6899" w:type="dxa"/>
            <w:shd w:val="clear" w:color="auto" w:fill="auto"/>
            <w:vAlign w:val="center"/>
          </w:tcPr>
          <w:p w14:paraId="7C8308A6">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实行施工负责人压证施工制度。项目业主须在中标人提供投标文件承诺的上述人员的执业资格证书原件后才能签订合同，至合同标的主体工程完工后才能退还。</w:t>
            </w:r>
          </w:p>
        </w:tc>
      </w:tr>
      <w:tr w14:paraId="596D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0A05316E">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9.8</w:t>
            </w:r>
          </w:p>
        </w:tc>
        <w:tc>
          <w:tcPr>
            <w:tcW w:w="1634" w:type="dxa"/>
            <w:shd w:val="clear" w:color="auto" w:fill="auto"/>
            <w:vAlign w:val="center"/>
          </w:tcPr>
          <w:p w14:paraId="2FBE56CC">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严禁转包和</w:t>
            </w:r>
          </w:p>
          <w:p w14:paraId="45F96874">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违法分包</w:t>
            </w:r>
          </w:p>
        </w:tc>
        <w:tc>
          <w:tcPr>
            <w:tcW w:w="6899" w:type="dxa"/>
            <w:shd w:val="clear" w:color="auto" w:fill="auto"/>
            <w:vAlign w:val="center"/>
          </w:tcPr>
          <w:p w14:paraId="472096E7">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严禁转包和违法分包。未经行政主管部门批准，中标人不得变更项目经理和主要技术负责人。凡招标文件未明确可以分包的，中标人不得进行任何形式的分包。</w:t>
            </w:r>
          </w:p>
          <w:p w14:paraId="7F94B2F9">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中标人派驻施工现场的施工负责人与投标文件承诺不符的，视同转包。</w:t>
            </w:r>
          </w:p>
        </w:tc>
      </w:tr>
      <w:tr w14:paraId="7A7E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F2AD360">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9.9</w:t>
            </w:r>
          </w:p>
        </w:tc>
        <w:tc>
          <w:tcPr>
            <w:tcW w:w="1634" w:type="dxa"/>
            <w:shd w:val="clear" w:color="auto" w:fill="auto"/>
            <w:vAlign w:val="center"/>
          </w:tcPr>
          <w:p w14:paraId="5FED885F">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合同备案</w:t>
            </w:r>
          </w:p>
        </w:tc>
        <w:tc>
          <w:tcPr>
            <w:tcW w:w="6899" w:type="dxa"/>
            <w:shd w:val="clear" w:color="auto" w:fill="auto"/>
            <w:vAlign w:val="center"/>
          </w:tcPr>
          <w:p w14:paraId="05845806">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承包合同按有关规定备案。</w:t>
            </w:r>
          </w:p>
          <w:p w14:paraId="50363F5B">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双方当事人就合同产生纠纷时，以备案的中标合同作为根据。</w:t>
            </w:r>
          </w:p>
        </w:tc>
      </w:tr>
      <w:tr w14:paraId="75B9C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1A4F047">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9.10</w:t>
            </w:r>
          </w:p>
        </w:tc>
        <w:tc>
          <w:tcPr>
            <w:tcW w:w="1634" w:type="dxa"/>
            <w:shd w:val="clear" w:color="auto" w:fill="auto"/>
            <w:vAlign w:val="center"/>
          </w:tcPr>
          <w:p w14:paraId="398C8E58">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招标文件内容冲突的解决及优先适用次序</w:t>
            </w:r>
          </w:p>
        </w:tc>
        <w:tc>
          <w:tcPr>
            <w:tcW w:w="6899" w:type="dxa"/>
            <w:shd w:val="clear" w:color="auto" w:fill="auto"/>
            <w:vAlign w:val="center"/>
          </w:tcPr>
          <w:p w14:paraId="4292AA62">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（1）招标人编制的内容与国家发展改革委等9部委令2007年第56号规定“不加修改地引用”部分不相抵触。如不一致或抵触，不一致或抵触的内容无效，以“不加修改地引用”的内容为准。</w:t>
            </w:r>
          </w:p>
          <w:p w14:paraId="411A4F66">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2）招标人发出的招标文件（包括修改、澄清或补遗文件）与招投标行政监督备案的招标文件不一致的，以备案的招标文件为准，并对不一致的地方进行修改。没有备案的招标文件（包括修改、澄清或补遗文件）不作为评标的依据。</w:t>
            </w:r>
          </w:p>
          <w:p w14:paraId="380B9716">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（3）招标文件中招标人编制的内容前后有矛盾或不一致，有时间先后顺序的，以时间在后的修改、澄清或补正文件为准；没有时间先后顺序的，以公平的原则进行处理。</w:t>
            </w:r>
          </w:p>
        </w:tc>
      </w:tr>
      <w:tr w14:paraId="59E13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66B807A1">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9.11</w:t>
            </w:r>
          </w:p>
        </w:tc>
        <w:tc>
          <w:tcPr>
            <w:tcW w:w="1634" w:type="dxa"/>
            <w:shd w:val="clear" w:color="auto" w:fill="auto"/>
            <w:vAlign w:val="center"/>
          </w:tcPr>
          <w:p w14:paraId="61F51E49">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招标文件</w:t>
            </w:r>
          </w:p>
          <w:p w14:paraId="75082BDC">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的解释</w:t>
            </w:r>
          </w:p>
        </w:tc>
        <w:tc>
          <w:tcPr>
            <w:tcW w:w="6899" w:type="dxa"/>
            <w:shd w:val="clear" w:color="auto" w:fill="auto"/>
            <w:vAlign w:val="center"/>
          </w:tcPr>
          <w:p w14:paraId="7D421DDA">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b/>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1F90C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F56DB9E">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9.12</w:t>
            </w:r>
          </w:p>
        </w:tc>
        <w:tc>
          <w:tcPr>
            <w:tcW w:w="1634" w:type="dxa"/>
            <w:shd w:val="clear" w:color="auto" w:fill="auto"/>
            <w:vAlign w:val="center"/>
          </w:tcPr>
          <w:p w14:paraId="23168B81">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投标文件的真实性要求</w:t>
            </w:r>
          </w:p>
        </w:tc>
        <w:tc>
          <w:tcPr>
            <w:tcW w:w="6899" w:type="dxa"/>
            <w:shd w:val="clear" w:color="auto" w:fill="auto"/>
            <w:vAlign w:val="center"/>
          </w:tcPr>
          <w:p w14:paraId="108EEEA2">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投标人所递交的投标文件（包括有关资料、澄清）应真实可信，不存在虚假（包括隐瞒）。</w:t>
            </w:r>
          </w:p>
          <w:p w14:paraId="26E21DA2">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投标人声明不存在限制投标情形但被发现存在限制投标情形的，构成隐瞒，属于虚假投标行为。</w:t>
            </w:r>
          </w:p>
          <w:p w14:paraId="251FFA25">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如投标文件存在虚假，在评标阶段，评标委员会应将该投标文件作废标处理；中标候选人确定后发现的，招标人和招投标行政监督部门可以取消中标候选人或中标资格。</w:t>
            </w:r>
          </w:p>
        </w:tc>
      </w:tr>
      <w:tr w14:paraId="756D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5E39574">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9.13</w:t>
            </w:r>
          </w:p>
        </w:tc>
        <w:tc>
          <w:tcPr>
            <w:tcW w:w="1634" w:type="dxa"/>
            <w:shd w:val="clear" w:color="auto" w:fill="auto"/>
            <w:vAlign w:val="center"/>
          </w:tcPr>
          <w:p w14:paraId="07E27766">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知识产权</w:t>
            </w:r>
          </w:p>
        </w:tc>
        <w:tc>
          <w:tcPr>
            <w:tcW w:w="6899" w:type="dxa"/>
            <w:shd w:val="clear" w:color="auto" w:fill="auto"/>
            <w:vAlign w:val="center"/>
          </w:tcPr>
          <w:p w14:paraId="30E28FF4">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构成本招标文件各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27028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5A54543D">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9.14</w:t>
            </w:r>
          </w:p>
        </w:tc>
        <w:tc>
          <w:tcPr>
            <w:tcW w:w="1634" w:type="dxa"/>
            <w:shd w:val="clear" w:color="auto" w:fill="auto"/>
            <w:vAlign w:val="center"/>
          </w:tcPr>
          <w:p w14:paraId="3E0BBC73">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关于异议、投诉和举报</w:t>
            </w:r>
          </w:p>
        </w:tc>
        <w:tc>
          <w:tcPr>
            <w:tcW w:w="6899" w:type="dxa"/>
            <w:shd w:val="clear" w:color="auto" w:fill="auto"/>
          </w:tcPr>
          <w:p w14:paraId="664CDC7B">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投标人或其他利害关系人认为招标投标活动不符合法律法规规定的，可在规定时间内向有关部门投诉。若就招标文件、开标程序和评标结果进行投诉的，应当在《中华人民共和国招标投标法实施条例》规定时间内向招标人提出异议。</w:t>
            </w:r>
          </w:p>
          <w:p w14:paraId="7FC55DFB">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符合《工程建设项目招标投标投诉处理办法》（国家发展和改革委员会等七部委令第11号）的投诉有关部门应按职责分工予以受理，对不予受理的应一次性告知理由。投诉人对投诉处理决定不服的，可以依法申请行政复议或提起行政诉讼。</w:t>
            </w:r>
          </w:p>
          <w:p w14:paraId="6833E3C9">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1）潜在投标人或者其他利害关系人对资格预审文件有异议的，应当在提交资格预审申请文件截止时间2日前提出。对招标文件有异议的，应当在投标截止时间10日前提出。对开标的异议应当在开标会上当场提出。对依法必须进行招标项目的评标结果有异议的，应当在中标候选人公示期间提出。</w:t>
            </w:r>
          </w:p>
          <w:p w14:paraId="2B612F95">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2）投标人或者其他利害关系人认为招标投标活动不符合法律、行政法规规定的，应当在知道或者应当知道其权益受到侵害之日起十日内向有关行政监督部门提出投诉。投诉应当有明确的请求和必要的证明材料。对资格预审文件、招标文件、开标和评标结果的投诉，应当以向招标人提出异议为前提，先向招标人提出异议，对招标人在规定时限内不答复或对招标人答复不满意时才能进行投诉。</w:t>
            </w:r>
          </w:p>
          <w:p w14:paraId="7FDB371E">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3）鉴于已经实行全流程电子化交易和在线监督，鼓励异议及投诉通过线上方式进行，也可采用线下纸质方式进行。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14:paraId="0329C432">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4）招标人及招标代理机构和行政监督部门对线上异议及投诉的，采用线上方式进行受理答复，对通过线下纸质方式进行异议及投诉的，按纸质方式进行受理答复。同一内容同时进行线上异议及投诉和提交纸质进行异议及投诉的，以线上答复为主，通过在线答复后不再进行书面答复。就同一内容同时通过两个模块提交异议及投诉的，招标人及行政监督部门只通过“投标人”模块进行受理答复，在“交易监督”模块作简要告知。</w:t>
            </w:r>
          </w:p>
          <w:p w14:paraId="06171F91">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80" w:firstLineChars="200"/>
              <w:textAlignment w:val="auto"/>
              <w:outlineLvl w:val="9"/>
              <w:rPr>
                <w:rFonts w:hint="eastAsia"/>
                <w:color w:val="auto"/>
                <w:highlight w:val="none"/>
                <w:lang w:val="zh-CN"/>
              </w:rPr>
            </w:pPr>
            <w:r>
              <w:rPr>
                <w:rFonts w:hint="eastAsia" w:ascii="方正仿宋_GB2312" w:hAnsi="方正仿宋_GB2312" w:eastAsia="方正仿宋_GB2312" w:cs="方正仿宋_GB2312"/>
                <w:color w:val="auto"/>
                <w:kern w:val="0"/>
                <w:sz w:val="24"/>
                <w:szCs w:val="24"/>
                <w:highlight w:val="none"/>
                <w:lang w:val="en-US" w:eastAsia="zh-CN"/>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行政监督部门：牟定县住房和城乡建设局，联系电话：0878-5211523）。</w:t>
            </w:r>
          </w:p>
        </w:tc>
      </w:tr>
      <w:tr w14:paraId="41920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37104528">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9.15</w:t>
            </w:r>
          </w:p>
        </w:tc>
        <w:tc>
          <w:tcPr>
            <w:tcW w:w="1634" w:type="dxa"/>
            <w:shd w:val="clear" w:color="auto" w:fill="auto"/>
            <w:vAlign w:val="center"/>
          </w:tcPr>
          <w:p w14:paraId="2B9EC668">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en-US" w:eastAsia="zh-CN"/>
              </w:rPr>
              <w:t>农民</w:t>
            </w:r>
            <w:r>
              <w:rPr>
                <w:rFonts w:hint="eastAsia" w:ascii="方正仿宋_GB2312" w:hAnsi="方正仿宋_GB2312" w:eastAsia="方正仿宋_GB2312" w:cs="方正仿宋_GB2312"/>
                <w:color w:val="auto"/>
                <w:kern w:val="0"/>
                <w:sz w:val="24"/>
                <w:szCs w:val="24"/>
                <w:highlight w:val="none"/>
                <w:lang w:val="zh-CN"/>
              </w:rPr>
              <w:t>工工资保证金</w:t>
            </w:r>
          </w:p>
        </w:tc>
        <w:tc>
          <w:tcPr>
            <w:tcW w:w="6899" w:type="dxa"/>
            <w:shd w:val="clear" w:color="auto" w:fill="auto"/>
          </w:tcPr>
          <w:p w14:paraId="6D78F282">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农民工工资保证金：</w:t>
            </w:r>
            <w:r>
              <w:rPr>
                <w:rFonts w:hint="eastAsia" w:ascii="方正仿宋_GB2312" w:hAnsi="方正仿宋_GB2312" w:eastAsia="方正仿宋_GB2312" w:cs="方正仿宋_GB2312"/>
                <w:color w:val="auto"/>
                <w:sz w:val="24"/>
                <w:szCs w:val="24"/>
                <w:highlight w:val="none"/>
              </w:rPr>
              <w:t xml:space="preserve"> 现金</w:t>
            </w:r>
            <w:r>
              <w:rPr>
                <w:rFonts w:hint="eastAsia" w:ascii="方正仿宋_GB2312" w:hAnsi="方正仿宋_GB2312" w:eastAsia="方正仿宋_GB2312" w:cs="方正仿宋_GB2312"/>
                <w:color w:val="auto"/>
                <w:kern w:val="0"/>
                <w:sz w:val="24"/>
                <w:szCs w:val="24"/>
                <w:highlight w:val="none"/>
                <w:lang w:val="zh-CN"/>
              </w:rPr>
              <w:t>或银行保函（必须由公司基本账户开户行出具）</w:t>
            </w:r>
            <w:r>
              <w:rPr>
                <w:rFonts w:hint="eastAsia" w:ascii="方正仿宋_GB2312" w:hAnsi="方正仿宋_GB2312" w:eastAsia="方正仿宋_GB2312" w:cs="方正仿宋_GB2312"/>
                <w:color w:val="auto"/>
                <w:sz w:val="24"/>
                <w:szCs w:val="24"/>
                <w:highlight w:val="none"/>
              </w:rPr>
              <w:t>。</w:t>
            </w:r>
          </w:p>
          <w:p w14:paraId="07B5FD94">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中标人必须按照相关规定缴纳农民工工资保证金。</w:t>
            </w:r>
          </w:p>
          <w:p w14:paraId="77DFC42D">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不得拖欠农民工工资，对拒不改正造成恶劣影响或者严重拖欠农民工工资的建筑业企业，由有关行政部门依法给予处罚，并依法对其市场准入、招标投标资格等进行限制。</w:t>
            </w:r>
          </w:p>
        </w:tc>
      </w:tr>
      <w:tr w14:paraId="00F5A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19E868B4">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9.16</w:t>
            </w:r>
          </w:p>
        </w:tc>
        <w:tc>
          <w:tcPr>
            <w:tcW w:w="1634" w:type="dxa"/>
            <w:shd w:val="clear" w:color="auto" w:fill="auto"/>
            <w:vAlign w:val="center"/>
          </w:tcPr>
          <w:p w14:paraId="308C1E3F">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其他要求</w:t>
            </w:r>
          </w:p>
        </w:tc>
        <w:tc>
          <w:tcPr>
            <w:tcW w:w="6899" w:type="dxa"/>
            <w:shd w:val="clear" w:color="auto" w:fill="auto"/>
          </w:tcPr>
          <w:p w14:paraId="1AA41E43">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1</w:t>
            </w:r>
            <w:r>
              <w:rPr>
                <w:rFonts w:hint="eastAsia" w:ascii="方正仿宋_GB2312" w:hAnsi="方正仿宋_GB2312" w:eastAsia="方正仿宋_GB2312" w:cs="方正仿宋_GB2312"/>
                <w:color w:val="auto"/>
                <w:kern w:val="0"/>
                <w:sz w:val="24"/>
                <w:szCs w:val="24"/>
                <w:highlight w:val="none"/>
                <w:lang w:val="zh-CN"/>
              </w:rPr>
              <w:t>）中标候选人公示期间，招标人可对中标候选人的业绩进行现场核实。</w:t>
            </w:r>
          </w:p>
          <w:p w14:paraId="63F5B90E">
            <w:pPr>
              <w:pStyle w:val="36"/>
              <w:keepNext w:val="0"/>
              <w:keepLines w:val="0"/>
              <w:pageBreakBefore w:val="0"/>
              <w:numPr>
                <w:ilvl w:val="0"/>
                <w:numId w:val="0"/>
              </w:numPr>
              <w:kinsoku/>
              <w:wordWrap/>
              <w:overflowPunct/>
              <w:topLinePunct w:val="0"/>
              <w:bidi w:val="0"/>
              <w:snapToGrid w:val="0"/>
              <w:spacing w:line="360" w:lineRule="auto"/>
              <w:textAlignment w:val="auto"/>
              <w:rPr>
                <w:rFonts w:hint="eastAsia" w:ascii="方正仿宋_GB2312" w:hAnsi="方正仿宋_GB2312" w:eastAsia="方正仿宋_GB2312" w:cs="方正仿宋_GB2312"/>
                <w:b w:val="0"/>
                <w:bCs w:val="0"/>
                <w:color w:val="auto"/>
                <w:kern w:val="0"/>
                <w:sz w:val="24"/>
                <w:szCs w:val="24"/>
                <w:highlight w:val="none"/>
                <w:lang w:val="zh-CN" w:eastAsia="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2</w:t>
            </w: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b w:val="0"/>
                <w:bCs w:val="0"/>
                <w:color w:val="auto"/>
                <w:kern w:val="0"/>
                <w:sz w:val="24"/>
                <w:szCs w:val="24"/>
                <w:highlight w:val="none"/>
                <w:lang w:val="zh-CN" w:eastAsia="zh-CN"/>
              </w:rPr>
              <w:t>如在施工过程国家、地方、行业行政主管部门出具或更新的技术规范、标准、规程、强制性标准的，投标人须在投标文件中单独</w:t>
            </w:r>
            <w:r>
              <w:rPr>
                <w:rFonts w:hint="eastAsia" w:ascii="方正仿宋_GB2312" w:hAnsi="方正仿宋_GB2312" w:eastAsia="方正仿宋_GB2312" w:cs="方正仿宋_GB2312"/>
                <w:b w:val="0"/>
                <w:bCs w:val="0"/>
                <w:color w:val="auto"/>
                <w:kern w:val="0"/>
                <w:sz w:val="24"/>
                <w:szCs w:val="24"/>
                <w:highlight w:val="none"/>
                <w:lang w:val="en-US" w:eastAsia="zh-CN"/>
              </w:rPr>
              <w:t>提供声明函</w:t>
            </w:r>
            <w:r>
              <w:rPr>
                <w:rFonts w:hint="eastAsia" w:ascii="方正仿宋_GB2312" w:hAnsi="方正仿宋_GB2312" w:eastAsia="方正仿宋_GB2312" w:cs="方正仿宋_GB2312"/>
                <w:b w:val="0"/>
                <w:bCs w:val="0"/>
                <w:color w:val="auto"/>
                <w:kern w:val="0"/>
                <w:sz w:val="24"/>
                <w:szCs w:val="24"/>
                <w:highlight w:val="none"/>
                <w:lang w:val="zh-CN" w:eastAsia="zh-CN"/>
              </w:rPr>
              <w:t>声明无条件按最新的技术规范、标准、规程、强制性标准进行施工。</w:t>
            </w:r>
          </w:p>
          <w:p w14:paraId="3CEDDD03">
            <w:pPr>
              <w:pStyle w:val="36"/>
              <w:keepNext w:val="0"/>
              <w:keepLines w:val="0"/>
              <w:pageBreakBefore w:val="0"/>
              <w:numPr>
                <w:ilvl w:val="0"/>
                <w:numId w:val="0"/>
              </w:numPr>
              <w:kinsoku/>
              <w:wordWrap/>
              <w:overflowPunct/>
              <w:topLinePunct w:val="0"/>
              <w:bidi w:val="0"/>
              <w:snapToGrid w:val="0"/>
              <w:spacing w:line="360" w:lineRule="auto"/>
              <w:textAlignment w:val="auto"/>
              <w:rPr>
                <w:rFonts w:hint="eastAsia" w:ascii="方正仿宋_GB2312" w:hAnsi="方正仿宋_GB2312" w:eastAsia="方正仿宋_GB2312" w:cs="方正仿宋_GB2312"/>
                <w:b w:val="0"/>
                <w:bCs w:val="0"/>
                <w:color w:val="auto"/>
                <w:kern w:val="0"/>
                <w:sz w:val="24"/>
                <w:szCs w:val="24"/>
                <w:highlight w:val="none"/>
                <w:lang w:val="zh-CN" w:eastAsia="zh-CN"/>
              </w:rPr>
            </w:pPr>
            <w:r>
              <w:rPr>
                <w:rFonts w:hint="eastAsia" w:ascii="方正仿宋_GB2312" w:hAnsi="方正仿宋_GB2312" w:eastAsia="方正仿宋_GB2312" w:cs="方正仿宋_GB2312"/>
                <w:b w:val="0"/>
                <w:bCs w:val="0"/>
                <w:color w:val="auto"/>
                <w:kern w:val="0"/>
                <w:sz w:val="24"/>
                <w:szCs w:val="24"/>
                <w:highlight w:val="none"/>
                <w:lang w:val="zh-CN" w:eastAsia="zh-CN"/>
              </w:rPr>
              <w:t>（</w:t>
            </w:r>
            <w:r>
              <w:rPr>
                <w:rFonts w:hint="eastAsia" w:ascii="方正仿宋_GB2312" w:hAnsi="方正仿宋_GB2312" w:eastAsia="方正仿宋_GB2312" w:cs="方正仿宋_GB2312"/>
                <w:b w:val="0"/>
                <w:bCs w:val="0"/>
                <w:color w:val="auto"/>
                <w:kern w:val="0"/>
                <w:sz w:val="24"/>
                <w:szCs w:val="24"/>
                <w:highlight w:val="none"/>
                <w:lang w:val="en-US" w:eastAsia="zh-CN"/>
              </w:rPr>
              <w:t>3</w:t>
            </w:r>
            <w:r>
              <w:rPr>
                <w:rFonts w:hint="eastAsia" w:ascii="方正仿宋_GB2312" w:hAnsi="方正仿宋_GB2312" w:eastAsia="方正仿宋_GB2312" w:cs="方正仿宋_GB2312"/>
                <w:b w:val="0"/>
                <w:bCs w:val="0"/>
                <w:color w:val="auto"/>
                <w:kern w:val="0"/>
                <w:sz w:val="24"/>
                <w:szCs w:val="24"/>
                <w:highlight w:val="none"/>
                <w:lang w:val="zh-CN" w:eastAsia="zh-CN"/>
              </w:rPr>
              <w:t>）本项目中标人须在中标后购买工程保险，投标人须在投标文件中单独声明无条件购买工程保险。</w:t>
            </w:r>
          </w:p>
        </w:tc>
      </w:tr>
      <w:tr w14:paraId="3A51F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jc w:val="center"/>
        </w:trPr>
        <w:tc>
          <w:tcPr>
            <w:tcW w:w="1007" w:type="dxa"/>
            <w:shd w:val="clear" w:color="auto" w:fill="auto"/>
            <w:vAlign w:val="center"/>
          </w:tcPr>
          <w:p w14:paraId="18A98C13">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9.17</w:t>
            </w:r>
          </w:p>
        </w:tc>
        <w:tc>
          <w:tcPr>
            <w:tcW w:w="1634" w:type="dxa"/>
            <w:shd w:val="clear" w:color="auto" w:fill="auto"/>
            <w:vAlign w:val="center"/>
          </w:tcPr>
          <w:p w14:paraId="1C3DE08D">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废标条件</w:t>
            </w:r>
          </w:p>
        </w:tc>
        <w:tc>
          <w:tcPr>
            <w:tcW w:w="6899" w:type="dxa"/>
            <w:shd w:val="clear" w:color="auto" w:fill="auto"/>
          </w:tcPr>
          <w:p w14:paraId="07366F52">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1</w:t>
            </w:r>
            <w:r>
              <w:rPr>
                <w:rFonts w:hint="eastAsia" w:ascii="方正仿宋_GB2312" w:hAnsi="方正仿宋_GB2312" w:eastAsia="方正仿宋_GB2312" w:cs="方正仿宋_GB2312"/>
                <w:color w:val="auto"/>
                <w:kern w:val="0"/>
                <w:sz w:val="24"/>
                <w:szCs w:val="24"/>
                <w:highlight w:val="none"/>
                <w:lang w:val="zh-CN"/>
              </w:rPr>
              <w:t>）第二章“投标人须知”第1.4.3项、第1.4.4项规定的任何一种情形的；</w:t>
            </w:r>
          </w:p>
          <w:p w14:paraId="2A6888AE">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2</w:t>
            </w:r>
            <w:r>
              <w:rPr>
                <w:rFonts w:hint="eastAsia" w:ascii="方正仿宋_GB2312" w:hAnsi="方正仿宋_GB2312" w:eastAsia="方正仿宋_GB2312" w:cs="方正仿宋_GB2312"/>
                <w:color w:val="auto"/>
                <w:kern w:val="0"/>
                <w:sz w:val="24"/>
                <w:szCs w:val="24"/>
                <w:highlight w:val="none"/>
                <w:lang w:val="zh-CN"/>
              </w:rPr>
              <w:t>）串通投标或者弄虚作假或有其他违法行为的；</w:t>
            </w:r>
          </w:p>
          <w:p w14:paraId="41D123B3">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3</w:t>
            </w:r>
            <w:r>
              <w:rPr>
                <w:rFonts w:hint="eastAsia" w:ascii="方正仿宋_GB2312" w:hAnsi="方正仿宋_GB2312" w:eastAsia="方正仿宋_GB2312" w:cs="方正仿宋_GB2312"/>
                <w:color w:val="auto"/>
                <w:kern w:val="0"/>
                <w:sz w:val="24"/>
                <w:szCs w:val="24"/>
                <w:highlight w:val="none"/>
                <w:lang w:val="zh-CN"/>
              </w:rPr>
              <w:t>）不按评标委员会要求澄清、说明或补正的；</w:t>
            </w:r>
          </w:p>
          <w:p w14:paraId="3D68CAA3">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4</w:t>
            </w:r>
            <w:r>
              <w:rPr>
                <w:rFonts w:hint="eastAsia" w:ascii="方正仿宋_GB2312" w:hAnsi="方正仿宋_GB2312" w:eastAsia="方正仿宋_GB2312" w:cs="方正仿宋_GB2312"/>
                <w:color w:val="auto"/>
                <w:kern w:val="0"/>
                <w:sz w:val="24"/>
                <w:szCs w:val="24"/>
                <w:highlight w:val="none"/>
                <w:lang w:val="zh-CN"/>
              </w:rPr>
              <w:t>）投标报价有算术错误的，评标委员会按以下原则对投标报价进行修正，修正的价格经投标人书面确认后具有约束力。投标人不接受修正价格的，评标委员会应当否决其投标；</w:t>
            </w:r>
          </w:p>
          <w:p w14:paraId="374D29F9">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5</w:t>
            </w:r>
            <w:r>
              <w:rPr>
                <w:rFonts w:hint="eastAsia" w:ascii="方正仿宋_GB2312" w:hAnsi="方正仿宋_GB2312" w:eastAsia="方正仿宋_GB2312" w:cs="方正仿宋_GB2312"/>
                <w:color w:val="auto"/>
                <w:kern w:val="0"/>
                <w:sz w:val="24"/>
                <w:szCs w:val="24"/>
                <w:highlight w:val="none"/>
                <w:lang w:val="zh-CN"/>
              </w:rPr>
              <w:t>）投标文件中的大写金额与小写金额不一致的，以大写金额为准；</w:t>
            </w:r>
          </w:p>
          <w:p w14:paraId="2A44BE2E">
            <w:pPr>
              <w:keepNext w:val="0"/>
              <w:keepLines w:val="0"/>
              <w:pageBreakBefore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lang w:val="zh-CN"/>
              </w:rPr>
              <w:t>（</w:t>
            </w:r>
            <w:r>
              <w:rPr>
                <w:rFonts w:hint="eastAsia" w:ascii="方正仿宋_GB2312" w:hAnsi="方正仿宋_GB2312" w:eastAsia="方正仿宋_GB2312" w:cs="方正仿宋_GB2312"/>
                <w:color w:val="auto"/>
                <w:kern w:val="0"/>
                <w:sz w:val="24"/>
                <w:szCs w:val="24"/>
                <w:highlight w:val="none"/>
                <w:lang w:val="en-US" w:eastAsia="zh-CN"/>
              </w:rPr>
              <w:t>6</w:t>
            </w:r>
            <w:r>
              <w:rPr>
                <w:rFonts w:hint="eastAsia" w:ascii="方正仿宋_GB2312" w:hAnsi="方正仿宋_GB2312" w:eastAsia="方正仿宋_GB2312" w:cs="方正仿宋_GB2312"/>
                <w:color w:val="auto"/>
                <w:kern w:val="0"/>
                <w:sz w:val="24"/>
                <w:szCs w:val="24"/>
                <w:highlight w:val="none"/>
                <w:lang w:val="zh-CN"/>
              </w:rPr>
              <w:t>）总价金额与依据单价计算出的结果不一致的，以单价金额为准修正总价，但单价金额小数点有明显错误的除外。</w:t>
            </w:r>
          </w:p>
        </w:tc>
      </w:tr>
      <w:tr w14:paraId="4646D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7" w:type="dxa"/>
            <w:shd w:val="clear" w:color="auto" w:fill="auto"/>
            <w:vAlign w:val="center"/>
          </w:tcPr>
          <w:p w14:paraId="4BB23121">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outlineLvl w:val="9"/>
              <w:rPr>
                <w:rFonts w:hint="default"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9.18</w:t>
            </w:r>
          </w:p>
        </w:tc>
        <w:tc>
          <w:tcPr>
            <w:tcW w:w="1634" w:type="dxa"/>
            <w:shd w:val="clear" w:color="auto" w:fill="auto"/>
            <w:vAlign w:val="center"/>
          </w:tcPr>
          <w:p w14:paraId="5DFB416D">
            <w:pPr>
              <w:keepNext w:val="0"/>
              <w:keepLines w:val="0"/>
              <w:pageBreakBefore w:val="0"/>
              <w:kinsoku/>
              <w:wordWrap/>
              <w:overflowPunct/>
              <w:topLinePunct w:val="0"/>
              <w:autoSpaceDE w:val="0"/>
              <w:autoSpaceDN w:val="0"/>
              <w:bidi w:val="0"/>
              <w:adjustRightInd w:val="0"/>
              <w:snapToGrid w:val="0"/>
              <w:spacing w:after="0" w:line="360" w:lineRule="auto"/>
              <w:ind w:hanging="120"/>
              <w:jc w:val="center"/>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重新招标</w:t>
            </w:r>
          </w:p>
        </w:tc>
        <w:tc>
          <w:tcPr>
            <w:tcW w:w="6899" w:type="dxa"/>
            <w:shd w:val="clear" w:color="auto" w:fill="auto"/>
          </w:tcPr>
          <w:p w14:paraId="4B3D7D43">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1</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投标截止时间止，投标人少于3个的；</w:t>
            </w:r>
          </w:p>
          <w:p w14:paraId="26F8F363">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经评标委员会评审后否决所有投标的；</w:t>
            </w:r>
          </w:p>
          <w:p w14:paraId="3B18AEE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3</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评标过程中</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有效投标文件少于3个的；</w:t>
            </w:r>
          </w:p>
          <w:p w14:paraId="4A6C46D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4</w:t>
            </w:r>
            <w:r>
              <w:rPr>
                <w:rFonts w:hint="eastAsia" w:ascii="方正仿宋_GB2312" w:hAnsi="方正仿宋_GB2312" w:eastAsia="方正仿宋_GB2312" w:cs="方正仿宋_GB2312"/>
                <w:color w:val="auto"/>
                <w:sz w:val="24"/>
                <w:szCs w:val="24"/>
                <w:highlight w:val="none"/>
                <w:lang w:eastAsia="zh-CN"/>
              </w:rPr>
              <w:t>）法律法规</w:t>
            </w:r>
            <w:r>
              <w:rPr>
                <w:rFonts w:hint="eastAsia" w:ascii="方正仿宋_GB2312" w:hAnsi="方正仿宋_GB2312" w:eastAsia="方正仿宋_GB2312" w:cs="方正仿宋_GB2312"/>
                <w:color w:val="auto"/>
                <w:sz w:val="24"/>
                <w:szCs w:val="24"/>
                <w:highlight w:val="none"/>
              </w:rPr>
              <w:t>规定的应当重新招标的其他情形。</w:t>
            </w:r>
          </w:p>
        </w:tc>
      </w:tr>
    </w:tbl>
    <w:p w14:paraId="0F4C751C">
      <w:pPr>
        <w:spacing w:line="340" w:lineRule="exact"/>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注：本项目所有文件中项目名称与招标文件中项目名称不一致时，以招标文件的项目名称为准；</w:t>
      </w:r>
      <w:r>
        <w:rPr>
          <w:rFonts w:hint="eastAsia" w:ascii="方正仿宋_GB2312" w:hAnsi="方正仿宋_GB2312" w:eastAsia="方正仿宋_GB2312" w:cs="方正仿宋_GB2312"/>
          <w:color w:val="auto"/>
          <w:sz w:val="24"/>
          <w:szCs w:val="24"/>
          <w:highlight w:val="none"/>
        </w:rPr>
        <w:br w:type="page"/>
      </w:r>
    </w:p>
    <w:p w14:paraId="25859DFE">
      <w:pPr>
        <w:keepNext w:val="0"/>
        <w:keepLines w:val="0"/>
        <w:pageBreakBefore w:val="0"/>
        <w:widowControl w:val="0"/>
        <w:kinsoku/>
        <w:wordWrap/>
        <w:overflowPunct/>
        <w:topLinePunct w:val="0"/>
        <w:autoSpaceDE/>
        <w:autoSpaceDN/>
        <w:bidi w:val="0"/>
        <w:snapToGrid w:val="0"/>
        <w:spacing w:after="0" w:line="240" w:lineRule="auto"/>
        <w:jc w:val="center"/>
        <w:textAlignment w:val="auto"/>
        <w:outlineLvl w:val="2"/>
        <w:rPr>
          <w:rFonts w:hint="eastAsia" w:ascii="方正仿宋_GB2312" w:hAnsi="方正仿宋_GB2312" w:eastAsia="方正仿宋_GB2312" w:cs="方正仿宋_GB2312"/>
          <w:b/>
          <w:bCs/>
          <w:color w:val="auto"/>
          <w:sz w:val="24"/>
          <w:szCs w:val="24"/>
          <w:highlight w:val="none"/>
        </w:rPr>
      </w:pPr>
      <w:bookmarkStart w:id="72" w:name="_Toc144974497"/>
      <w:bookmarkStart w:id="73" w:name="_Toc152042305"/>
      <w:bookmarkStart w:id="74" w:name="_Toc13020"/>
      <w:bookmarkStart w:id="75" w:name="_Toc152045529"/>
      <w:bookmarkStart w:id="76" w:name="_Toc370454383"/>
      <w:bookmarkStart w:id="77" w:name="_Toc247527553"/>
      <w:bookmarkStart w:id="78" w:name="_Toc375560008"/>
      <w:bookmarkStart w:id="79" w:name="_Toc247513952"/>
      <w:r>
        <w:rPr>
          <w:rFonts w:hint="eastAsia" w:ascii="方正仿宋_GB2312" w:hAnsi="方正仿宋_GB2312" w:eastAsia="方正仿宋_GB2312" w:cs="方正仿宋_GB2312"/>
          <w:b/>
          <w:bCs/>
          <w:color w:val="auto"/>
          <w:sz w:val="24"/>
          <w:szCs w:val="24"/>
          <w:highlight w:val="none"/>
        </w:rPr>
        <w:t>1. 总则</w:t>
      </w:r>
      <w:bookmarkEnd w:id="72"/>
      <w:bookmarkEnd w:id="73"/>
      <w:bookmarkEnd w:id="74"/>
      <w:bookmarkEnd w:id="75"/>
      <w:bookmarkEnd w:id="76"/>
      <w:bookmarkEnd w:id="77"/>
      <w:bookmarkEnd w:id="78"/>
      <w:bookmarkEnd w:id="79"/>
    </w:p>
    <w:p w14:paraId="05F12E16">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80" w:name="_Toc247513953"/>
      <w:bookmarkStart w:id="81" w:name="_Toc247527554"/>
      <w:bookmarkStart w:id="82" w:name="_Toc152042306"/>
      <w:bookmarkStart w:id="83" w:name="_Toc370454384"/>
      <w:bookmarkStart w:id="84" w:name="_Toc152045530"/>
      <w:bookmarkStart w:id="85" w:name="_Toc144974498"/>
      <w:bookmarkStart w:id="86" w:name="_Toc375560009"/>
      <w:r>
        <w:rPr>
          <w:rFonts w:hint="eastAsia" w:ascii="方正仿宋_GB2312" w:hAnsi="方正仿宋_GB2312" w:eastAsia="方正仿宋_GB2312" w:cs="方正仿宋_GB2312"/>
          <w:color w:val="auto"/>
          <w:sz w:val="24"/>
          <w:szCs w:val="24"/>
          <w:highlight w:val="none"/>
        </w:rPr>
        <w:t>1.1 项目概况</w:t>
      </w:r>
      <w:bookmarkEnd w:id="80"/>
      <w:bookmarkEnd w:id="81"/>
      <w:bookmarkEnd w:id="82"/>
      <w:bookmarkEnd w:id="83"/>
      <w:bookmarkEnd w:id="84"/>
      <w:bookmarkEnd w:id="85"/>
      <w:bookmarkEnd w:id="86"/>
    </w:p>
    <w:p w14:paraId="6A2F268E">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1.1.1根据《中华人民共和国招标投标法》等有关</w:t>
      </w:r>
      <w:r>
        <w:rPr>
          <w:rFonts w:hint="eastAsia" w:ascii="方正仿宋_GB2312" w:hAnsi="方正仿宋_GB2312" w:eastAsia="方正仿宋_GB2312" w:cs="方正仿宋_GB2312"/>
          <w:color w:val="auto"/>
          <w:sz w:val="24"/>
          <w:szCs w:val="24"/>
          <w:highlight w:val="none"/>
          <w:lang w:eastAsia="zh-CN"/>
        </w:rPr>
        <w:t>法律法规</w:t>
      </w:r>
      <w:r>
        <w:rPr>
          <w:rFonts w:hint="eastAsia" w:ascii="方正仿宋_GB2312" w:hAnsi="方正仿宋_GB2312" w:eastAsia="方正仿宋_GB2312" w:cs="方正仿宋_GB2312"/>
          <w:color w:val="auto"/>
          <w:sz w:val="24"/>
          <w:szCs w:val="24"/>
          <w:highlight w:val="none"/>
        </w:rPr>
        <w:t>和规章的规定，本招标项目已具备招标条件，现对该项目</w:t>
      </w:r>
      <w:r>
        <w:rPr>
          <w:rFonts w:hint="eastAsia" w:ascii="方正仿宋_GB2312" w:hAnsi="方正仿宋_GB2312" w:eastAsia="方正仿宋_GB2312" w:cs="方正仿宋_GB2312"/>
          <w:color w:val="auto"/>
          <w:sz w:val="24"/>
          <w:szCs w:val="24"/>
          <w:highlight w:val="none"/>
          <w:lang w:val="en-US" w:eastAsia="zh-CN"/>
        </w:rPr>
        <w:t>的设计、施工总承包EPC工程总承包进行</w:t>
      </w:r>
      <w:r>
        <w:rPr>
          <w:rFonts w:hint="eastAsia" w:ascii="方正仿宋_GB2312" w:hAnsi="方正仿宋_GB2312" w:eastAsia="方正仿宋_GB2312" w:cs="方正仿宋_GB2312"/>
          <w:color w:val="auto"/>
          <w:sz w:val="24"/>
          <w:szCs w:val="24"/>
          <w:highlight w:val="none"/>
        </w:rPr>
        <w:t>招标。</w:t>
      </w:r>
    </w:p>
    <w:p w14:paraId="360637F6">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1.1.2 招标人：见投标人须知前附表。</w:t>
      </w:r>
    </w:p>
    <w:p w14:paraId="7283901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1.1.3 招标代理机构：见投标人须知前附表。</w:t>
      </w:r>
    </w:p>
    <w:p w14:paraId="385ABE7E">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1.1.4 招标项目名称：见投标人须知前附表。</w:t>
      </w:r>
    </w:p>
    <w:p w14:paraId="755FE32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1.1.5 项目建设地点：见投标人须知前附表。</w:t>
      </w:r>
    </w:p>
    <w:p w14:paraId="167A3C80">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87" w:name="_Toc370454385"/>
      <w:bookmarkStart w:id="88" w:name="_Toc144974499"/>
      <w:bookmarkStart w:id="89" w:name="_Toc152045531"/>
      <w:bookmarkStart w:id="90" w:name="_Toc152042307"/>
      <w:bookmarkStart w:id="91" w:name="_Toc247513954"/>
      <w:bookmarkStart w:id="92" w:name="_Toc375560010"/>
      <w:bookmarkStart w:id="93" w:name="_Toc247527555"/>
      <w:r>
        <w:rPr>
          <w:rFonts w:hint="eastAsia" w:ascii="方正仿宋_GB2312" w:hAnsi="方正仿宋_GB2312" w:eastAsia="方正仿宋_GB2312" w:cs="方正仿宋_GB2312"/>
          <w:color w:val="auto"/>
          <w:sz w:val="24"/>
          <w:szCs w:val="24"/>
          <w:highlight w:val="none"/>
        </w:rPr>
        <w:t>1.2 项目的资金来源和落实情况</w:t>
      </w:r>
      <w:bookmarkEnd w:id="87"/>
      <w:bookmarkEnd w:id="88"/>
      <w:bookmarkEnd w:id="89"/>
      <w:bookmarkEnd w:id="90"/>
      <w:bookmarkEnd w:id="91"/>
      <w:bookmarkEnd w:id="92"/>
      <w:bookmarkEnd w:id="93"/>
    </w:p>
    <w:p w14:paraId="0531FFB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1.2.1 资金来源及比例：见投标人须知前附表。</w:t>
      </w:r>
    </w:p>
    <w:p w14:paraId="4F76325F">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1.2.2 资金落实情况：见投标人须知前附表。</w:t>
      </w:r>
    </w:p>
    <w:p w14:paraId="2FB22FFE">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94" w:name="_Toc247527556"/>
      <w:bookmarkStart w:id="95" w:name="_Toc152045532"/>
      <w:bookmarkStart w:id="96" w:name="_Toc152042308"/>
      <w:bookmarkStart w:id="97" w:name="_Toc247513955"/>
      <w:bookmarkStart w:id="98" w:name="_Toc144974500"/>
      <w:bookmarkStart w:id="99" w:name="_Toc370454386"/>
      <w:bookmarkStart w:id="100" w:name="_Toc375560011"/>
      <w:r>
        <w:rPr>
          <w:rFonts w:hint="eastAsia" w:ascii="方正仿宋_GB2312" w:hAnsi="方正仿宋_GB2312" w:eastAsia="方正仿宋_GB2312" w:cs="方正仿宋_GB2312"/>
          <w:color w:val="auto"/>
          <w:sz w:val="24"/>
          <w:szCs w:val="24"/>
          <w:highlight w:val="none"/>
        </w:rPr>
        <w:t>1.3 招标范围、计划工期和</w:t>
      </w:r>
      <w:bookmarkEnd w:id="94"/>
      <w:bookmarkEnd w:id="95"/>
      <w:bookmarkEnd w:id="96"/>
      <w:bookmarkEnd w:id="97"/>
      <w:bookmarkEnd w:id="98"/>
      <w:r>
        <w:rPr>
          <w:rFonts w:hint="eastAsia" w:ascii="方正仿宋_GB2312" w:hAnsi="方正仿宋_GB2312" w:eastAsia="方正仿宋_GB2312" w:cs="方正仿宋_GB2312"/>
          <w:color w:val="auto"/>
          <w:sz w:val="24"/>
          <w:szCs w:val="24"/>
          <w:highlight w:val="none"/>
        </w:rPr>
        <w:t>质量标准</w:t>
      </w:r>
      <w:bookmarkEnd w:id="99"/>
      <w:bookmarkEnd w:id="100"/>
    </w:p>
    <w:p w14:paraId="4739FDA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1.3.1 招标范围：见投标人须知前附表。</w:t>
      </w:r>
    </w:p>
    <w:p w14:paraId="313F4726">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1.3.2 计划工期：见投标人须知前附表。</w:t>
      </w:r>
    </w:p>
    <w:p w14:paraId="50093AF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1.3.3 质量标准：见投标人须知前附表。</w:t>
      </w:r>
    </w:p>
    <w:p w14:paraId="1D768822">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01" w:name="_Toc144974502"/>
      <w:bookmarkStart w:id="102" w:name="_Toc370454387"/>
      <w:bookmarkStart w:id="103" w:name="_Toc247527558"/>
      <w:bookmarkStart w:id="104" w:name="_Toc247513957"/>
      <w:bookmarkStart w:id="105" w:name="_Toc152045534"/>
      <w:bookmarkStart w:id="106" w:name="_Toc152042310"/>
      <w:bookmarkStart w:id="107" w:name="_Toc375560012"/>
      <w:r>
        <w:rPr>
          <w:rFonts w:hint="eastAsia" w:ascii="方正仿宋_GB2312" w:hAnsi="方正仿宋_GB2312" w:eastAsia="方正仿宋_GB2312" w:cs="方正仿宋_GB2312"/>
          <w:color w:val="auto"/>
          <w:sz w:val="24"/>
          <w:szCs w:val="24"/>
          <w:highlight w:val="none"/>
        </w:rPr>
        <w:t>1.4 投标人资格要求</w:t>
      </w:r>
      <w:bookmarkEnd w:id="101"/>
      <w:bookmarkEnd w:id="102"/>
      <w:bookmarkEnd w:id="103"/>
      <w:bookmarkEnd w:id="104"/>
      <w:bookmarkEnd w:id="105"/>
      <w:bookmarkEnd w:id="106"/>
      <w:bookmarkEnd w:id="107"/>
    </w:p>
    <w:p w14:paraId="429F412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1.4.1 投标人应具备承担本招标项目资质条件、能力和信誉。</w:t>
      </w:r>
    </w:p>
    <w:p w14:paraId="2779BCB4">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（1）资质要求：见投标人须知前附表；</w:t>
      </w:r>
    </w:p>
    <w:p w14:paraId="357BB2CB">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（2）财务要求：见投标人须知前附表；</w:t>
      </w:r>
    </w:p>
    <w:p w14:paraId="21DEE875">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）信誉要求：见投标人须知前附表；</w:t>
      </w:r>
    </w:p>
    <w:p w14:paraId="6BE5238D">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）项目负责人的资格要求：见投标人须知前附表；</w:t>
      </w:r>
    </w:p>
    <w:p w14:paraId="13B6F8D5">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）设计负责人的资格要求：见投标人须知前附表；</w:t>
      </w:r>
    </w:p>
    <w:p w14:paraId="7F888EF3">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）施工项目经理的资格要求：见投标人须知前附表；</w:t>
      </w:r>
    </w:p>
    <w:p w14:paraId="4DFCE94A">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7</w:t>
      </w:r>
      <w:r>
        <w:rPr>
          <w:rFonts w:hint="eastAsia" w:ascii="方正仿宋_GB2312" w:hAnsi="方正仿宋_GB2312" w:eastAsia="方正仿宋_GB2312" w:cs="方正仿宋_GB2312"/>
          <w:color w:val="auto"/>
          <w:sz w:val="24"/>
          <w:szCs w:val="24"/>
          <w:highlight w:val="none"/>
        </w:rPr>
        <w:t>）施工机械设备：见投标人须知前附表；</w:t>
      </w:r>
    </w:p>
    <w:p w14:paraId="51E6C98C">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8</w:t>
      </w:r>
      <w:r>
        <w:rPr>
          <w:rFonts w:hint="eastAsia" w:ascii="方正仿宋_GB2312" w:hAnsi="方正仿宋_GB2312" w:eastAsia="方正仿宋_GB2312" w:cs="方正仿宋_GB2312"/>
          <w:color w:val="auto"/>
          <w:sz w:val="24"/>
          <w:szCs w:val="24"/>
          <w:highlight w:val="none"/>
        </w:rPr>
        <w:t>）项目管理机构及人员：见投标人须知前附表；</w:t>
      </w:r>
    </w:p>
    <w:p w14:paraId="721B4E8C">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9</w:t>
      </w:r>
      <w:r>
        <w:rPr>
          <w:rFonts w:hint="eastAsia" w:ascii="方正仿宋_GB2312" w:hAnsi="方正仿宋_GB2312" w:eastAsia="方正仿宋_GB2312" w:cs="方正仿宋_GB2312"/>
          <w:color w:val="auto"/>
          <w:sz w:val="24"/>
          <w:szCs w:val="24"/>
          <w:highlight w:val="none"/>
        </w:rPr>
        <w:t>）其他要求：见投标人须知前附表。</w:t>
      </w:r>
    </w:p>
    <w:p w14:paraId="07716736">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1.4.2 投标人须知前附表规定接受联合体投标的，除应符合本章第1.4.1项和投标人须知前附表的要求外，还应遵守以下规定： </w:t>
      </w:r>
    </w:p>
    <w:p w14:paraId="5FFBDF95">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（1）联合体各方应按招标文件提供的格式签订联合体协议书，明确联合体牵头人和各方权利义务；</w:t>
      </w:r>
    </w:p>
    <w:p w14:paraId="59566615">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（2）由同一专业的单位组成的联合体，按照资质等级较低的单位确定资质等级；</w:t>
      </w:r>
    </w:p>
    <w:p w14:paraId="0C97D16E">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（3）联合体各方不得再以自己名义单独或参加其他联合体在本招标项目中投标。</w:t>
      </w:r>
    </w:p>
    <w:p w14:paraId="0A6CDDCF">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1.4.3 投标人不得存在下列情形之一：</w:t>
      </w:r>
    </w:p>
    <w:p w14:paraId="5FE83602">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（1）为招标人不具有独立法人资格的附属机构（单位）； </w:t>
      </w:r>
    </w:p>
    <w:p w14:paraId="674F2113">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2）作</w:t>
      </w:r>
      <w:r>
        <w:rPr>
          <w:rFonts w:hint="eastAsia" w:ascii="方正仿宋_GB2312" w:hAnsi="方正仿宋_GB2312" w:eastAsia="方正仿宋_GB2312" w:cs="方正仿宋_GB2312"/>
          <w:color w:val="auto"/>
          <w:sz w:val="24"/>
          <w:szCs w:val="24"/>
          <w:highlight w:val="none"/>
        </w:rPr>
        <w:t>为本招标项目的监理人；</w:t>
      </w:r>
    </w:p>
    <w:p w14:paraId="469434B0">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 xml:space="preserve">）为本招标项目的代建人； </w:t>
      </w:r>
    </w:p>
    <w:p w14:paraId="5F6FDEF5">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 xml:space="preserve">）为本招标项目提供招标代理服务的； </w:t>
      </w:r>
    </w:p>
    <w:p w14:paraId="1A1251EE">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 xml:space="preserve">）被责令停业的； </w:t>
      </w:r>
    </w:p>
    <w:p w14:paraId="132F752E">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 xml:space="preserve">）被暂停或取消投标资格的； </w:t>
      </w:r>
    </w:p>
    <w:p w14:paraId="07E9F321">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7</w:t>
      </w:r>
      <w:r>
        <w:rPr>
          <w:rFonts w:hint="eastAsia" w:ascii="方正仿宋_GB2312" w:hAnsi="方正仿宋_GB2312" w:eastAsia="方正仿宋_GB2312" w:cs="方正仿宋_GB2312"/>
          <w:color w:val="auto"/>
          <w:sz w:val="24"/>
          <w:szCs w:val="24"/>
          <w:highlight w:val="none"/>
        </w:rPr>
        <w:t>）财产被接管或冻结的；</w:t>
      </w:r>
    </w:p>
    <w:p w14:paraId="47FD2E80">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8</w:t>
      </w:r>
      <w:r>
        <w:rPr>
          <w:rFonts w:hint="eastAsia" w:ascii="方正仿宋_GB2312" w:hAnsi="方正仿宋_GB2312" w:eastAsia="方正仿宋_GB2312" w:cs="方正仿宋_GB2312"/>
          <w:color w:val="auto"/>
          <w:sz w:val="24"/>
          <w:szCs w:val="24"/>
          <w:highlight w:val="none"/>
        </w:rPr>
        <w:t>）在最近三年内有骗取中标或严重违约或重大工程质量问题的；</w:t>
      </w:r>
    </w:p>
    <w:p w14:paraId="4F713399">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9</w:t>
      </w:r>
      <w:r>
        <w:rPr>
          <w:rFonts w:hint="eastAsia" w:ascii="方正仿宋_GB2312" w:hAnsi="方正仿宋_GB2312" w:eastAsia="方正仿宋_GB2312" w:cs="方正仿宋_GB2312"/>
          <w:color w:val="auto"/>
          <w:sz w:val="24"/>
          <w:szCs w:val="24"/>
          <w:highlight w:val="none"/>
        </w:rPr>
        <w:t>）与本招标项目的监理人或代建人或招标代理机构同为一个法定代表人的；</w:t>
      </w:r>
    </w:p>
    <w:p w14:paraId="2D1C4B0A">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10</w:t>
      </w:r>
      <w:r>
        <w:rPr>
          <w:rFonts w:hint="eastAsia" w:ascii="方正仿宋_GB2312" w:hAnsi="方正仿宋_GB2312" w:eastAsia="方正仿宋_GB2312" w:cs="方正仿宋_GB2312"/>
          <w:color w:val="auto"/>
          <w:sz w:val="24"/>
          <w:szCs w:val="24"/>
          <w:highlight w:val="none"/>
        </w:rPr>
        <w:t>）与本招标项目的监理人或代建人或招标代理机构相互控股或参股的；</w:t>
      </w:r>
    </w:p>
    <w:p w14:paraId="6F7DA310">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11</w:t>
      </w:r>
      <w:r>
        <w:rPr>
          <w:rFonts w:hint="eastAsia" w:ascii="方正仿宋_GB2312" w:hAnsi="方正仿宋_GB2312" w:eastAsia="方正仿宋_GB2312" w:cs="方正仿宋_GB2312"/>
          <w:color w:val="auto"/>
          <w:sz w:val="24"/>
          <w:szCs w:val="24"/>
          <w:highlight w:val="none"/>
        </w:rPr>
        <w:t>）与本招标项目的监理人或代建人或招标代理机构相互任职或工作的。</w:t>
      </w:r>
    </w:p>
    <w:p w14:paraId="7FAF1DC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1.4.4 单位负责人为同一人或者存在控股、管理关系的不同单位，不得同时参加本招标项目投标。</w:t>
      </w:r>
    </w:p>
    <w:p w14:paraId="3742DC54">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08" w:name="_Toc247527559"/>
      <w:bookmarkStart w:id="109" w:name="_Toc247513958"/>
      <w:bookmarkStart w:id="110" w:name="_Toc152042311"/>
      <w:bookmarkStart w:id="111" w:name="_Toc152045535"/>
      <w:bookmarkStart w:id="112" w:name="_Toc144974503"/>
      <w:bookmarkStart w:id="113" w:name="_Toc370454388"/>
      <w:bookmarkStart w:id="114" w:name="_Toc375560013"/>
      <w:r>
        <w:rPr>
          <w:rFonts w:hint="eastAsia" w:ascii="方正仿宋_GB2312" w:hAnsi="方正仿宋_GB2312" w:eastAsia="方正仿宋_GB2312" w:cs="方正仿宋_GB2312"/>
          <w:color w:val="auto"/>
          <w:sz w:val="24"/>
          <w:szCs w:val="24"/>
          <w:highlight w:val="none"/>
        </w:rPr>
        <w:t>1.5 费用承担</w:t>
      </w:r>
      <w:bookmarkEnd w:id="108"/>
      <w:bookmarkEnd w:id="109"/>
      <w:bookmarkEnd w:id="110"/>
      <w:bookmarkEnd w:id="111"/>
      <w:bookmarkEnd w:id="112"/>
      <w:r>
        <w:rPr>
          <w:rFonts w:hint="eastAsia" w:ascii="方正仿宋_GB2312" w:hAnsi="方正仿宋_GB2312" w:eastAsia="方正仿宋_GB2312" w:cs="方正仿宋_GB2312"/>
          <w:color w:val="auto"/>
          <w:sz w:val="24"/>
          <w:szCs w:val="24"/>
          <w:highlight w:val="none"/>
        </w:rPr>
        <w:t>和设计成果补偿</w:t>
      </w:r>
      <w:bookmarkEnd w:id="113"/>
      <w:bookmarkEnd w:id="114"/>
    </w:p>
    <w:p w14:paraId="73AAECE3">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1.5.1 投标人准备和参加投标活动发生的费用自理。</w:t>
      </w:r>
    </w:p>
    <w:p w14:paraId="0C00B0D9">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1.5.2 招标人对符合招标文件规定的未中标人的设计成果进行补偿的，按投标人须知前附表规定给予补偿，并有权免费使用未中标人设计成果。</w:t>
      </w:r>
    </w:p>
    <w:p w14:paraId="22C5C0A1">
      <w:pPr>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lang w:val="zh-CN" w:eastAsia="zh-CN"/>
        </w:rPr>
      </w:pPr>
      <w:r>
        <w:rPr>
          <w:rFonts w:hint="eastAsia" w:ascii="方正仿宋_GB2312" w:hAnsi="方正仿宋_GB2312" w:eastAsia="方正仿宋_GB2312" w:cs="方正仿宋_GB2312"/>
          <w:color w:val="auto"/>
          <w:sz w:val="24"/>
          <w:szCs w:val="24"/>
          <w:highlight w:val="none"/>
          <w:lang w:val="en-US" w:eastAsia="zh-CN"/>
        </w:rPr>
        <w:t>1.5.3</w:t>
      </w:r>
      <w:r>
        <w:rPr>
          <w:rFonts w:hint="eastAsia" w:ascii="方正仿宋_GB2312" w:hAnsi="方正仿宋_GB2312" w:eastAsia="方正仿宋_GB2312" w:cs="方正仿宋_GB2312"/>
          <w:color w:val="auto"/>
          <w:sz w:val="24"/>
          <w:szCs w:val="24"/>
          <w:highlight w:val="none"/>
        </w:rPr>
        <w:t>招标代理服务费：</w:t>
      </w:r>
      <w:bookmarkStart w:id="115" w:name="_Toc247527560"/>
      <w:bookmarkStart w:id="116" w:name="_Toc370454389"/>
      <w:bookmarkStart w:id="117" w:name="_Toc375560014"/>
      <w:bookmarkStart w:id="118" w:name="_Toc144974504"/>
      <w:bookmarkStart w:id="119" w:name="_Toc152042312"/>
      <w:bookmarkStart w:id="120" w:name="_Toc152045536"/>
      <w:bookmarkStart w:id="121" w:name="_Toc247513959"/>
      <w:r>
        <w:rPr>
          <w:rFonts w:hint="eastAsia" w:ascii="方正仿宋_GB2312" w:hAnsi="方正仿宋_GB2312" w:eastAsia="方正仿宋_GB2312" w:cs="方正仿宋_GB2312"/>
          <w:color w:val="auto"/>
          <w:sz w:val="24"/>
          <w:szCs w:val="24"/>
          <w:highlight w:val="none"/>
        </w:rPr>
        <w:t>见投标人须知前附表。</w:t>
      </w:r>
    </w:p>
    <w:p w14:paraId="1FCCF07E">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1.6 保密</w:t>
      </w:r>
      <w:bookmarkEnd w:id="115"/>
      <w:bookmarkEnd w:id="116"/>
      <w:bookmarkEnd w:id="117"/>
      <w:bookmarkEnd w:id="118"/>
      <w:bookmarkEnd w:id="119"/>
      <w:bookmarkEnd w:id="120"/>
      <w:bookmarkEnd w:id="121"/>
    </w:p>
    <w:p w14:paraId="569B89B6">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参与招标投标活动的各方应对招标文件和投标文件中的商业和技术等秘密保密，否则应承担相应的法律责任。 </w:t>
      </w:r>
    </w:p>
    <w:p w14:paraId="2D8508E8">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22" w:name="_Toc144974505"/>
      <w:bookmarkStart w:id="123" w:name="_Toc375560015"/>
      <w:bookmarkStart w:id="124" w:name="_Toc152042313"/>
      <w:bookmarkStart w:id="125" w:name="_Toc370454390"/>
      <w:bookmarkStart w:id="126" w:name="_Toc247527561"/>
      <w:bookmarkStart w:id="127" w:name="_Toc247513960"/>
      <w:bookmarkStart w:id="128" w:name="_Toc152045537"/>
      <w:r>
        <w:rPr>
          <w:rFonts w:hint="eastAsia" w:ascii="方正仿宋_GB2312" w:hAnsi="方正仿宋_GB2312" w:eastAsia="方正仿宋_GB2312" w:cs="方正仿宋_GB2312"/>
          <w:color w:val="auto"/>
          <w:sz w:val="24"/>
          <w:szCs w:val="24"/>
          <w:highlight w:val="none"/>
        </w:rPr>
        <w:t>1.7 语言</w:t>
      </w:r>
      <w:bookmarkEnd w:id="122"/>
      <w:r>
        <w:rPr>
          <w:rFonts w:hint="eastAsia" w:ascii="方正仿宋_GB2312" w:hAnsi="方正仿宋_GB2312" w:eastAsia="方正仿宋_GB2312" w:cs="方正仿宋_GB2312"/>
          <w:color w:val="auto"/>
          <w:sz w:val="24"/>
          <w:szCs w:val="24"/>
          <w:highlight w:val="none"/>
        </w:rPr>
        <w:t>文字</w:t>
      </w:r>
      <w:bookmarkEnd w:id="123"/>
      <w:bookmarkEnd w:id="124"/>
      <w:bookmarkEnd w:id="125"/>
      <w:bookmarkEnd w:id="126"/>
      <w:bookmarkEnd w:id="127"/>
      <w:bookmarkEnd w:id="128"/>
    </w:p>
    <w:p w14:paraId="04543DC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招标投标文件使用的语言文字为中文。专用术语使用外文的，应附有中文注释。</w:t>
      </w:r>
    </w:p>
    <w:p w14:paraId="748B2FC6">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29" w:name="_Toc152045538"/>
      <w:bookmarkStart w:id="130" w:name="_Toc152042314"/>
      <w:bookmarkStart w:id="131" w:name="_Toc144974506"/>
      <w:bookmarkStart w:id="132" w:name="_Toc247527562"/>
      <w:bookmarkStart w:id="133" w:name="_Toc247513961"/>
      <w:bookmarkStart w:id="134" w:name="_Toc375560016"/>
      <w:bookmarkStart w:id="135" w:name="_Toc370454391"/>
      <w:r>
        <w:rPr>
          <w:rFonts w:hint="eastAsia" w:ascii="方正仿宋_GB2312" w:hAnsi="方正仿宋_GB2312" w:eastAsia="方正仿宋_GB2312" w:cs="方正仿宋_GB2312"/>
          <w:color w:val="auto"/>
          <w:sz w:val="24"/>
          <w:szCs w:val="24"/>
          <w:highlight w:val="none"/>
        </w:rPr>
        <w:t>1.8 计量单位</w:t>
      </w:r>
      <w:bookmarkEnd w:id="129"/>
      <w:bookmarkEnd w:id="130"/>
      <w:bookmarkEnd w:id="131"/>
      <w:bookmarkEnd w:id="132"/>
      <w:bookmarkEnd w:id="133"/>
      <w:bookmarkEnd w:id="134"/>
      <w:bookmarkEnd w:id="135"/>
    </w:p>
    <w:p w14:paraId="05AD347B">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所有计量均采用中华人民共和国法定计量单位。</w:t>
      </w:r>
    </w:p>
    <w:p w14:paraId="0D179769">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36" w:name="_Toc370454392"/>
      <w:bookmarkStart w:id="137" w:name="_Toc152042315"/>
      <w:bookmarkStart w:id="138" w:name="_Toc152045539"/>
      <w:bookmarkStart w:id="139" w:name="_Toc144974507"/>
      <w:bookmarkStart w:id="140" w:name="_Toc247513962"/>
      <w:bookmarkStart w:id="141" w:name="_Toc247527563"/>
      <w:bookmarkStart w:id="142" w:name="_Toc375560017"/>
      <w:r>
        <w:rPr>
          <w:rFonts w:hint="eastAsia" w:ascii="方正仿宋_GB2312" w:hAnsi="方正仿宋_GB2312" w:eastAsia="方正仿宋_GB2312" w:cs="方正仿宋_GB2312"/>
          <w:color w:val="auto"/>
          <w:sz w:val="24"/>
          <w:szCs w:val="24"/>
          <w:highlight w:val="none"/>
        </w:rPr>
        <w:t>1.9 踏勘现场</w:t>
      </w:r>
      <w:bookmarkEnd w:id="136"/>
      <w:bookmarkEnd w:id="137"/>
      <w:bookmarkEnd w:id="138"/>
      <w:bookmarkEnd w:id="139"/>
      <w:bookmarkEnd w:id="140"/>
      <w:bookmarkEnd w:id="141"/>
      <w:bookmarkEnd w:id="142"/>
    </w:p>
    <w:p w14:paraId="62967A1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1.9.1 投标人须知前附表规定组织踏勘现场的，招标人按投标人须知前附表规定的时间、地点组织投标人踏勘项目现场。 </w:t>
      </w:r>
    </w:p>
    <w:p w14:paraId="7CA6D0C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1.9.2 投标人踏勘现场发生的费用自理。</w:t>
      </w:r>
    </w:p>
    <w:p w14:paraId="2CDF94C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1.9.3 除招标人的原因外，投标人自行负责在踏勘现场中所发生的人员伤亡和财产损失。</w:t>
      </w:r>
    </w:p>
    <w:p w14:paraId="771DF8A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1.9.4 招标人在踏勘现场中介绍的工程场地和相关的周边环境情况，供投标人在编制投标文件时参考，招标人不对投标人据此作出的判断和决策负责。</w:t>
      </w:r>
    </w:p>
    <w:p w14:paraId="26DB7152">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43" w:name="_Toc370454393"/>
      <w:bookmarkStart w:id="144" w:name="_Toc247513963"/>
      <w:bookmarkStart w:id="145" w:name="_Toc144974508"/>
      <w:bookmarkStart w:id="146" w:name="_Toc152042316"/>
      <w:bookmarkStart w:id="147" w:name="_Toc152045540"/>
      <w:bookmarkStart w:id="148" w:name="_Toc247527564"/>
      <w:bookmarkStart w:id="149" w:name="_Toc375560018"/>
      <w:r>
        <w:rPr>
          <w:rFonts w:hint="eastAsia" w:ascii="方正仿宋_GB2312" w:hAnsi="方正仿宋_GB2312" w:eastAsia="方正仿宋_GB2312" w:cs="方正仿宋_GB2312"/>
          <w:color w:val="auto"/>
          <w:sz w:val="24"/>
          <w:szCs w:val="24"/>
          <w:highlight w:val="none"/>
        </w:rPr>
        <w:t>1.10 投标预备会</w:t>
      </w:r>
      <w:bookmarkEnd w:id="143"/>
      <w:bookmarkEnd w:id="144"/>
      <w:bookmarkEnd w:id="145"/>
      <w:bookmarkEnd w:id="146"/>
      <w:bookmarkEnd w:id="147"/>
      <w:bookmarkEnd w:id="148"/>
      <w:bookmarkEnd w:id="149"/>
    </w:p>
    <w:p w14:paraId="76BB203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1.10.1 投标人须知前附表规定召开投标预备会的，招标人按投标人须知前附表规定的时间和地点召开投标预备会，澄清投标人提出的问题。</w:t>
      </w:r>
    </w:p>
    <w:p w14:paraId="7C71BAE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1.10.2 投标人应在投标人须知前附表规定的时间前，以书面形式将提出的问题送达招标人，以便招标人在会议期间澄清。</w:t>
      </w:r>
    </w:p>
    <w:p w14:paraId="11A7ABEA">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1.10.3 投标预备会后，招标人在投标人须知前附表规定的时间内，将对投标人所提问题的澄清，以书面形式通知所有购买招标文件的投标人。该澄清内容为招标文件的组成部分。</w:t>
      </w:r>
    </w:p>
    <w:p w14:paraId="0FF3F0C6">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50" w:name="_Toc152042317"/>
      <w:bookmarkStart w:id="151" w:name="_Toc247527565"/>
      <w:bookmarkStart w:id="152" w:name="_Toc152045541"/>
      <w:bookmarkStart w:id="153" w:name="_Toc370454394"/>
      <w:bookmarkStart w:id="154" w:name="_Toc375560019"/>
      <w:bookmarkStart w:id="155" w:name="_Toc144974509"/>
      <w:bookmarkStart w:id="156" w:name="_Toc247513964"/>
      <w:r>
        <w:rPr>
          <w:rFonts w:hint="eastAsia" w:ascii="方正仿宋_GB2312" w:hAnsi="方正仿宋_GB2312" w:eastAsia="方正仿宋_GB2312" w:cs="方正仿宋_GB2312"/>
          <w:color w:val="auto"/>
          <w:sz w:val="24"/>
          <w:szCs w:val="24"/>
          <w:highlight w:val="none"/>
        </w:rPr>
        <w:t>1.11 分包</w:t>
      </w:r>
      <w:bookmarkEnd w:id="150"/>
      <w:bookmarkEnd w:id="151"/>
      <w:bookmarkEnd w:id="152"/>
      <w:bookmarkEnd w:id="153"/>
      <w:bookmarkEnd w:id="154"/>
      <w:bookmarkEnd w:id="155"/>
      <w:bookmarkEnd w:id="156"/>
    </w:p>
    <w:p w14:paraId="03A979A7">
      <w:pPr>
        <w:keepNext w:val="0"/>
        <w:keepLines w:val="0"/>
        <w:pageBreakBefore w:val="0"/>
        <w:widowControl w:val="0"/>
        <w:kinsoku/>
        <w:wordWrap/>
        <w:overflowPunct/>
        <w:topLinePunct w:val="0"/>
        <w:autoSpaceDE/>
        <w:autoSpaceDN/>
        <w:bidi w:val="0"/>
        <w:snapToGrid w:val="0"/>
        <w:spacing w:after="0" w:line="360" w:lineRule="auto"/>
        <w:ind w:firstLine="648" w:firstLineChars="27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1.11.1 投标人须知前附表规定应当由分包人实施的非主体、非关键性工作，投标人应当提供分包人</w:t>
      </w:r>
      <w:r>
        <w:rPr>
          <w:rFonts w:hint="eastAsia" w:ascii="方正仿宋_GB2312" w:hAnsi="方正仿宋_GB2312" w:eastAsia="方正仿宋_GB2312" w:cs="方正仿宋_GB2312"/>
          <w:color w:val="auto"/>
          <w:sz w:val="24"/>
          <w:szCs w:val="24"/>
          <w:highlight w:val="none"/>
          <w:lang w:eastAsia="zh-CN"/>
        </w:rPr>
        <w:t>候选</w:t>
      </w:r>
      <w:r>
        <w:rPr>
          <w:rFonts w:hint="eastAsia" w:ascii="方正仿宋_GB2312" w:hAnsi="方正仿宋_GB2312" w:eastAsia="方正仿宋_GB2312" w:cs="方正仿宋_GB2312"/>
          <w:color w:val="auto"/>
          <w:sz w:val="24"/>
          <w:szCs w:val="24"/>
          <w:highlight w:val="none"/>
        </w:rPr>
        <w:t>名单</w:t>
      </w:r>
      <w:r>
        <w:rPr>
          <w:rFonts w:hint="eastAsia" w:ascii="方正仿宋_GB2312" w:hAnsi="方正仿宋_GB2312" w:eastAsia="方正仿宋_GB2312" w:cs="方正仿宋_GB2312"/>
          <w:color w:val="auto"/>
          <w:sz w:val="24"/>
          <w:szCs w:val="24"/>
          <w:highlight w:val="none"/>
          <w:lang w:eastAsia="zh-CN"/>
        </w:rPr>
        <w:t>及</w:t>
      </w:r>
      <w:r>
        <w:rPr>
          <w:rFonts w:hint="eastAsia" w:ascii="方正仿宋_GB2312" w:hAnsi="方正仿宋_GB2312" w:eastAsia="方正仿宋_GB2312" w:cs="方正仿宋_GB2312"/>
          <w:color w:val="auto"/>
          <w:sz w:val="24"/>
          <w:szCs w:val="24"/>
          <w:highlight w:val="none"/>
        </w:rPr>
        <w:t>相应资料。</w:t>
      </w:r>
    </w:p>
    <w:p w14:paraId="4D41C919">
      <w:pPr>
        <w:keepNext w:val="0"/>
        <w:keepLines w:val="0"/>
        <w:pageBreakBefore w:val="0"/>
        <w:widowControl w:val="0"/>
        <w:kinsoku/>
        <w:wordWrap/>
        <w:overflowPunct/>
        <w:topLinePunct w:val="0"/>
        <w:autoSpaceDE/>
        <w:autoSpaceDN/>
        <w:bidi w:val="0"/>
        <w:snapToGrid w:val="0"/>
        <w:spacing w:after="0" w:line="360" w:lineRule="auto"/>
        <w:ind w:firstLine="648" w:firstLineChars="27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1.11.2 投标人拟在中标后将中标项目的部分非主体、非关键性工作进行分包的，应符合投标人须知前附表规定的分包内容、分包金额和资质要求等限制性条件。</w:t>
      </w:r>
    </w:p>
    <w:p w14:paraId="1AB20A33">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57" w:name="_Toc247513965"/>
      <w:bookmarkStart w:id="158" w:name="_Toc247527566"/>
      <w:bookmarkStart w:id="159" w:name="_Toc375560020"/>
      <w:bookmarkStart w:id="160" w:name="_Toc370454395"/>
      <w:r>
        <w:rPr>
          <w:rFonts w:hint="eastAsia" w:ascii="方正仿宋_GB2312" w:hAnsi="方正仿宋_GB2312" w:eastAsia="方正仿宋_GB2312" w:cs="方正仿宋_GB2312"/>
          <w:color w:val="auto"/>
          <w:sz w:val="24"/>
          <w:szCs w:val="24"/>
          <w:highlight w:val="none"/>
        </w:rPr>
        <w:t>1.12 偏离</w:t>
      </w:r>
      <w:bookmarkEnd w:id="157"/>
      <w:bookmarkEnd w:id="158"/>
      <w:bookmarkEnd w:id="159"/>
      <w:bookmarkEnd w:id="160"/>
    </w:p>
    <w:p w14:paraId="00361B01">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投标人须知前附表允许投标文件偏离招标文件某些要求的，偏离应当符合招标文件规定的偏离范围和幅度。</w:t>
      </w:r>
    </w:p>
    <w:p w14:paraId="73BCCA84">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161" w:name="_Toc247527567"/>
      <w:bookmarkStart w:id="162" w:name="_Toc370454396"/>
      <w:bookmarkStart w:id="163" w:name="_Toc375560021"/>
      <w:bookmarkStart w:id="164" w:name="_Toc144974510"/>
      <w:bookmarkStart w:id="165" w:name="_Toc152042318"/>
      <w:bookmarkStart w:id="166" w:name="_Toc247513966"/>
      <w:bookmarkStart w:id="167" w:name="_Toc152045542"/>
      <w:bookmarkStart w:id="168" w:name="_Toc10008"/>
      <w:r>
        <w:rPr>
          <w:rFonts w:hint="eastAsia" w:ascii="方正仿宋_GB2312" w:hAnsi="方正仿宋_GB2312" w:eastAsia="方正仿宋_GB2312" w:cs="方正仿宋_GB2312"/>
          <w:b/>
          <w:bCs/>
          <w:color w:val="auto"/>
          <w:sz w:val="24"/>
          <w:szCs w:val="24"/>
          <w:highlight w:val="none"/>
        </w:rPr>
        <w:t>2. 招标文件</w:t>
      </w:r>
      <w:bookmarkEnd w:id="161"/>
      <w:bookmarkEnd w:id="162"/>
      <w:bookmarkEnd w:id="163"/>
      <w:bookmarkEnd w:id="164"/>
      <w:bookmarkEnd w:id="165"/>
      <w:bookmarkEnd w:id="166"/>
      <w:bookmarkEnd w:id="167"/>
      <w:bookmarkEnd w:id="168"/>
    </w:p>
    <w:p w14:paraId="1DFB5FC3">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69" w:name="_Toc370454397"/>
      <w:bookmarkStart w:id="170" w:name="_Toc152045543"/>
      <w:bookmarkStart w:id="171" w:name="_Toc247527568"/>
      <w:bookmarkStart w:id="172" w:name="_Toc144974511"/>
      <w:bookmarkStart w:id="173" w:name="_Toc247513967"/>
      <w:bookmarkStart w:id="174" w:name="_Toc152042319"/>
      <w:bookmarkStart w:id="175" w:name="_Toc375560022"/>
      <w:r>
        <w:rPr>
          <w:rFonts w:hint="eastAsia" w:ascii="方正仿宋_GB2312" w:hAnsi="方正仿宋_GB2312" w:eastAsia="方正仿宋_GB2312" w:cs="方正仿宋_GB2312"/>
          <w:color w:val="auto"/>
          <w:sz w:val="24"/>
          <w:szCs w:val="24"/>
          <w:highlight w:val="none"/>
        </w:rPr>
        <w:t>2.1 招标文件的组成</w:t>
      </w:r>
      <w:bookmarkEnd w:id="169"/>
      <w:bookmarkEnd w:id="170"/>
      <w:bookmarkEnd w:id="171"/>
      <w:bookmarkEnd w:id="172"/>
      <w:bookmarkEnd w:id="173"/>
      <w:bookmarkEnd w:id="174"/>
      <w:bookmarkEnd w:id="175"/>
    </w:p>
    <w:p w14:paraId="2BBB0771">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本招标文件包括：</w:t>
      </w:r>
    </w:p>
    <w:p w14:paraId="0C79E5C9">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（1）招标公告（或投标邀请书）；</w:t>
      </w:r>
    </w:p>
    <w:p w14:paraId="17BC0BDF">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（2）投标人须知；</w:t>
      </w:r>
    </w:p>
    <w:p w14:paraId="5CF09170">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（3）评标办法；</w:t>
      </w:r>
    </w:p>
    <w:p w14:paraId="6CD9FE06">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（4）合同条款及格式；</w:t>
      </w:r>
    </w:p>
    <w:p w14:paraId="301602FB">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（5）投标文件格式；</w:t>
      </w:r>
    </w:p>
    <w:p w14:paraId="50686BE9">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（6）投标人须知前附表规定的其他资料。</w:t>
      </w:r>
    </w:p>
    <w:p w14:paraId="21F3D1FB">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根据本章第1.10款、第2.2款和第2.3款对招标文件所作的澄清、修改，构成招标文件的组成部分。</w:t>
      </w:r>
    </w:p>
    <w:p w14:paraId="39582150">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76" w:name="_Toc375560023"/>
      <w:bookmarkStart w:id="177" w:name="_Toc144974512"/>
      <w:bookmarkStart w:id="178" w:name="_Toc247527569"/>
      <w:bookmarkStart w:id="179" w:name="_Toc370454398"/>
      <w:bookmarkStart w:id="180" w:name="_Toc152045544"/>
      <w:bookmarkStart w:id="181" w:name="_Toc247513968"/>
      <w:bookmarkStart w:id="182" w:name="_Toc152042320"/>
      <w:r>
        <w:rPr>
          <w:rFonts w:hint="eastAsia" w:ascii="方正仿宋_GB2312" w:hAnsi="方正仿宋_GB2312" w:eastAsia="方正仿宋_GB2312" w:cs="方正仿宋_GB2312"/>
          <w:color w:val="auto"/>
          <w:sz w:val="24"/>
          <w:szCs w:val="24"/>
          <w:highlight w:val="none"/>
        </w:rPr>
        <w:t>2.2 招标文件的澄清</w:t>
      </w:r>
      <w:bookmarkEnd w:id="176"/>
      <w:bookmarkEnd w:id="177"/>
      <w:bookmarkEnd w:id="178"/>
      <w:bookmarkEnd w:id="179"/>
      <w:bookmarkEnd w:id="180"/>
      <w:bookmarkEnd w:id="181"/>
      <w:bookmarkEnd w:id="182"/>
    </w:p>
    <w:p w14:paraId="4DBE93D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rPr>
      </w:pPr>
      <w:bookmarkStart w:id="183" w:name="_Toc247513969"/>
      <w:bookmarkStart w:id="184" w:name="_Toc370454399"/>
      <w:bookmarkStart w:id="185" w:name="_Toc247527570"/>
      <w:bookmarkStart w:id="186" w:name="_Toc152042321"/>
      <w:bookmarkStart w:id="187" w:name="_Toc144974513"/>
      <w:bookmarkStart w:id="188" w:name="_Toc375560024"/>
      <w:bookmarkStart w:id="189" w:name="_Toc152045545"/>
      <w:r>
        <w:rPr>
          <w:rFonts w:hint="eastAsia" w:ascii="方正仿宋_GB2312" w:hAnsi="方正仿宋_GB2312" w:eastAsia="方正仿宋_GB2312" w:cs="方正仿宋_GB2312"/>
          <w:color w:val="auto"/>
          <w:kern w:val="0"/>
          <w:sz w:val="24"/>
          <w:szCs w:val="24"/>
          <w:highlight w:val="none"/>
        </w:rPr>
        <w:t>2.2.1同1.10.2的时间要求。投标人应仔细阅读和检查招标文件的全部内容。如发现缺页或附件不全，应及时向招标人提出，以便补齐。如有疑问，应在投标人电子服务平台规定的时间前以在线署名提交方式登录</w:t>
      </w:r>
      <w:r>
        <w:rPr>
          <w:rFonts w:hint="eastAsia" w:ascii="方正仿宋_GB2312" w:hAnsi="方正仿宋_GB2312" w:eastAsia="方正仿宋_GB2312" w:cs="方正仿宋_GB2312"/>
          <w:color w:val="auto"/>
          <w:kern w:val="0"/>
          <w:sz w:val="24"/>
          <w:szCs w:val="24"/>
          <w:highlight w:val="none"/>
          <w:lang w:eastAsia="zh-CN"/>
        </w:rPr>
        <w:t>全国公共资源交易平台（云南省） （https://ggzy.yn.gov.cn）选择“楚雄州”</w:t>
      </w:r>
      <w:r>
        <w:rPr>
          <w:rFonts w:hint="eastAsia" w:ascii="方正仿宋_GB2312" w:hAnsi="方正仿宋_GB2312" w:eastAsia="方正仿宋_GB2312" w:cs="方正仿宋_GB2312"/>
          <w:color w:val="auto"/>
          <w:kern w:val="0"/>
          <w:sz w:val="24"/>
          <w:szCs w:val="24"/>
          <w:highlight w:val="none"/>
        </w:rPr>
        <w:t>楚雄州公共资源交易电子服务系统，要求招标人对招标文件予以澄清，此为提出疑问的唯一方式。</w:t>
      </w:r>
    </w:p>
    <w:p w14:paraId="4FC9759A">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2.2.2投标截止时间：见投标人须知前附表。</w:t>
      </w:r>
    </w:p>
    <w:p w14:paraId="790AAA99">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2.2.3招标澄清和补遗全部通过网络送达，请投标人在开标截止日前，务必查询网站信息，投标人自行登录</w:t>
      </w:r>
      <w:r>
        <w:rPr>
          <w:rFonts w:hint="eastAsia" w:ascii="方正仿宋_GB2312" w:hAnsi="方正仿宋_GB2312" w:eastAsia="方正仿宋_GB2312" w:cs="方正仿宋_GB2312"/>
          <w:color w:val="auto"/>
          <w:kern w:val="0"/>
          <w:sz w:val="24"/>
          <w:szCs w:val="24"/>
          <w:highlight w:val="none"/>
          <w:lang w:eastAsia="zh-CN"/>
        </w:rPr>
        <w:t>全国公共资源交易平台（云南省） （https://ggzy.yn.gov.cn）选择“楚雄州”</w:t>
      </w:r>
      <w:r>
        <w:rPr>
          <w:rFonts w:hint="eastAsia" w:ascii="方正仿宋_GB2312" w:hAnsi="方正仿宋_GB2312" w:eastAsia="方正仿宋_GB2312" w:cs="方正仿宋_GB2312"/>
          <w:color w:val="auto"/>
          <w:kern w:val="0"/>
          <w:sz w:val="24"/>
          <w:szCs w:val="24"/>
          <w:highlight w:val="none"/>
        </w:rPr>
        <w:t>楚雄州公共资源交易电子服务系统收取澄清内容，无须回复确认已收到该澄清，若错过澄清信息，由此带来的后果由投标人自行承担。</w:t>
      </w:r>
    </w:p>
    <w:p w14:paraId="728D2993">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2.3 招标文件的修改</w:t>
      </w:r>
      <w:bookmarkEnd w:id="183"/>
      <w:bookmarkEnd w:id="184"/>
      <w:bookmarkEnd w:id="185"/>
      <w:bookmarkEnd w:id="186"/>
      <w:bookmarkEnd w:id="187"/>
      <w:bookmarkEnd w:id="188"/>
      <w:bookmarkEnd w:id="189"/>
    </w:p>
    <w:p w14:paraId="3A5A9DF3">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bookmarkStart w:id="190" w:name="_Toc152042322"/>
      <w:bookmarkStart w:id="191" w:name="_Toc370454400"/>
      <w:bookmarkStart w:id="192" w:name="_Toc247527571"/>
      <w:bookmarkStart w:id="193" w:name="_Toc144974514"/>
      <w:bookmarkStart w:id="194" w:name="_Toc375560025"/>
      <w:bookmarkStart w:id="195" w:name="_Toc152045546"/>
      <w:bookmarkStart w:id="196" w:name="_Toc247513970"/>
      <w:r>
        <w:rPr>
          <w:rFonts w:hint="eastAsia" w:ascii="方正仿宋_GB2312" w:hAnsi="方正仿宋_GB2312" w:eastAsia="方正仿宋_GB2312" w:cs="方正仿宋_GB2312"/>
          <w:color w:val="auto"/>
          <w:kern w:val="0"/>
          <w:sz w:val="24"/>
          <w:szCs w:val="24"/>
          <w:highlight w:val="none"/>
        </w:rPr>
        <w:t>2.3.1在投标截止时间15天前，确需要变更招标文件内容的，招标人可主动或在解答投标人提出的澄清问题时对招标文件进行修改，并同时报主管部门备案。</w:t>
      </w:r>
    </w:p>
    <w:p w14:paraId="122CD21D">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招标人对工程量清单、评标办法做出变更的，需要重新制作电子招标文件，并重新备案，同时发布补遗文件进行说明以保证各投标人都能重新下载最新的电子招标文件用于编制电子投标文件。</w:t>
      </w:r>
    </w:p>
    <w:p w14:paraId="15E07478">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招标文件的修改将在“</w:t>
      </w:r>
      <w:r>
        <w:rPr>
          <w:rFonts w:hint="eastAsia" w:ascii="方正仿宋_GB2312" w:hAnsi="方正仿宋_GB2312" w:eastAsia="方正仿宋_GB2312" w:cs="方正仿宋_GB2312"/>
          <w:color w:val="auto"/>
          <w:kern w:val="0"/>
          <w:sz w:val="24"/>
          <w:szCs w:val="24"/>
          <w:highlight w:val="none"/>
          <w:lang w:eastAsia="zh-CN"/>
        </w:rPr>
        <w:t>全国公共资源交易平台（云南省） （https://ggzy.yn.gov.cn）选择“楚雄州”</w:t>
      </w:r>
      <w:r>
        <w:rPr>
          <w:rFonts w:hint="eastAsia" w:ascii="方正仿宋_GB2312" w:hAnsi="方正仿宋_GB2312" w:eastAsia="方正仿宋_GB2312" w:cs="方正仿宋_GB2312"/>
          <w:color w:val="auto"/>
          <w:kern w:val="0"/>
          <w:sz w:val="24"/>
          <w:szCs w:val="24"/>
          <w:highlight w:val="none"/>
        </w:rPr>
        <w:t>楚雄州公共资源交易电子服务系统”发布，招标文件的修改作为招标文件的组成部分，并具有约束力。但如果修改招标文件的时间距投标截止时间不足15天，并且修改内容影响投标文件编制的，应相应延长投标截止时间。</w:t>
      </w:r>
    </w:p>
    <w:p w14:paraId="77AD68F8">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2.3.2投标人自行登录</w:t>
      </w:r>
      <w:r>
        <w:rPr>
          <w:rFonts w:hint="eastAsia" w:ascii="方正仿宋_GB2312" w:hAnsi="方正仿宋_GB2312" w:eastAsia="方正仿宋_GB2312" w:cs="方正仿宋_GB2312"/>
          <w:color w:val="auto"/>
          <w:kern w:val="0"/>
          <w:sz w:val="24"/>
          <w:szCs w:val="24"/>
          <w:highlight w:val="none"/>
          <w:lang w:eastAsia="zh-CN"/>
        </w:rPr>
        <w:t>全国公共资源交易平台（云南省） （https://ggzy.yn.gov.cn）选择“楚雄州”</w:t>
      </w:r>
      <w:r>
        <w:rPr>
          <w:rFonts w:hint="eastAsia" w:ascii="方正仿宋_GB2312" w:hAnsi="方正仿宋_GB2312" w:eastAsia="方正仿宋_GB2312" w:cs="方正仿宋_GB2312"/>
          <w:color w:val="auto"/>
          <w:kern w:val="0"/>
          <w:sz w:val="24"/>
          <w:szCs w:val="24"/>
          <w:highlight w:val="none"/>
        </w:rPr>
        <w:t>楚雄州公共资源交易电子服务系统收取修改内容。投标人应在投标截止时间前自行查看“</w:t>
      </w:r>
      <w:r>
        <w:rPr>
          <w:rFonts w:hint="eastAsia" w:ascii="方正仿宋_GB2312" w:hAnsi="方正仿宋_GB2312" w:eastAsia="方正仿宋_GB2312" w:cs="方正仿宋_GB2312"/>
          <w:color w:val="auto"/>
          <w:kern w:val="0"/>
          <w:sz w:val="24"/>
          <w:szCs w:val="24"/>
          <w:highlight w:val="none"/>
          <w:lang w:eastAsia="zh-CN"/>
        </w:rPr>
        <w:t>全国公共资源交易平台（云南省） （https://ggzy.yn.gov.cn）选择“楚雄州”</w:t>
      </w:r>
      <w:r>
        <w:rPr>
          <w:rFonts w:hint="eastAsia" w:ascii="方正仿宋_GB2312" w:hAnsi="方正仿宋_GB2312" w:eastAsia="方正仿宋_GB2312" w:cs="方正仿宋_GB2312"/>
          <w:color w:val="auto"/>
          <w:kern w:val="0"/>
          <w:sz w:val="24"/>
          <w:szCs w:val="24"/>
          <w:highlight w:val="none"/>
        </w:rPr>
        <w:t>楚雄州公共资源交易电子服务系统”中有关该工程招标文件的答疑、补遗内容。否则，由此引起的投标损失自负。</w:t>
      </w:r>
    </w:p>
    <w:p w14:paraId="27AB041B">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2.3.3潜在投标人或者其他利害关系人对招标文件有异议的，应当在</w:t>
      </w:r>
      <w:r>
        <w:rPr>
          <w:rFonts w:hint="eastAsia" w:ascii="方正仿宋_GB2312" w:hAnsi="方正仿宋_GB2312" w:eastAsia="方正仿宋_GB2312" w:cs="方正仿宋_GB2312"/>
          <w:b/>
          <w:color w:val="auto"/>
          <w:kern w:val="0"/>
          <w:sz w:val="24"/>
          <w:szCs w:val="24"/>
          <w:highlight w:val="none"/>
        </w:rPr>
        <w:t>投标截止时间10日</w:t>
      </w:r>
      <w:r>
        <w:rPr>
          <w:rFonts w:hint="eastAsia" w:ascii="方正仿宋_GB2312" w:hAnsi="方正仿宋_GB2312" w:eastAsia="方正仿宋_GB2312" w:cs="方正仿宋_GB2312"/>
          <w:color w:val="auto"/>
          <w:kern w:val="0"/>
          <w:sz w:val="24"/>
          <w:szCs w:val="24"/>
          <w:highlight w:val="none"/>
        </w:rPr>
        <w:t>前提出。招标人应当自收到异议之日起</w:t>
      </w:r>
      <w:r>
        <w:rPr>
          <w:rFonts w:hint="eastAsia" w:ascii="方正仿宋_GB2312" w:hAnsi="方正仿宋_GB2312" w:eastAsia="方正仿宋_GB2312" w:cs="方正仿宋_GB2312"/>
          <w:b/>
          <w:color w:val="auto"/>
          <w:kern w:val="0"/>
          <w:sz w:val="24"/>
          <w:szCs w:val="24"/>
          <w:highlight w:val="none"/>
        </w:rPr>
        <w:t>3日内作出答复</w:t>
      </w:r>
      <w:r>
        <w:rPr>
          <w:rFonts w:hint="eastAsia" w:ascii="方正仿宋_GB2312" w:hAnsi="方正仿宋_GB2312" w:eastAsia="方正仿宋_GB2312" w:cs="方正仿宋_GB2312"/>
          <w:color w:val="auto"/>
          <w:kern w:val="0"/>
          <w:sz w:val="24"/>
          <w:szCs w:val="24"/>
          <w:highlight w:val="none"/>
        </w:rPr>
        <w:t>；作出答复前，应当暂停招标投标活动。</w:t>
      </w:r>
    </w:p>
    <w:p w14:paraId="0D7D382D">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2.3.4招标文件、招标文件澄清、招标文件修改文件内容均以网上发布的为准，当招标文件、招标文件澄清、招标文件修改文件内容相互矛盾时，以最后发出的为准。</w:t>
      </w:r>
    </w:p>
    <w:p w14:paraId="5023972F">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197" w:name="_Toc13408"/>
      <w:r>
        <w:rPr>
          <w:rFonts w:hint="eastAsia" w:ascii="方正仿宋_GB2312" w:hAnsi="方正仿宋_GB2312" w:eastAsia="方正仿宋_GB2312" w:cs="方正仿宋_GB2312"/>
          <w:b/>
          <w:bCs/>
          <w:color w:val="auto"/>
          <w:sz w:val="24"/>
          <w:szCs w:val="24"/>
          <w:highlight w:val="none"/>
        </w:rPr>
        <w:t>3. 投标文件</w:t>
      </w:r>
      <w:bookmarkEnd w:id="190"/>
      <w:bookmarkEnd w:id="191"/>
      <w:bookmarkEnd w:id="192"/>
      <w:bookmarkEnd w:id="193"/>
      <w:bookmarkEnd w:id="194"/>
      <w:bookmarkEnd w:id="195"/>
      <w:bookmarkEnd w:id="196"/>
      <w:bookmarkEnd w:id="197"/>
    </w:p>
    <w:p w14:paraId="0DA10D96">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198" w:name="_Toc247513971"/>
      <w:bookmarkStart w:id="199" w:name="_Toc375560026"/>
      <w:bookmarkStart w:id="200" w:name="_Toc370454401"/>
      <w:bookmarkStart w:id="201" w:name="_Toc144974515"/>
      <w:bookmarkStart w:id="202" w:name="_Toc247527572"/>
      <w:bookmarkStart w:id="203" w:name="_Toc152045547"/>
      <w:bookmarkStart w:id="204" w:name="_Toc152042323"/>
      <w:r>
        <w:rPr>
          <w:rFonts w:hint="eastAsia" w:ascii="方正仿宋_GB2312" w:hAnsi="方正仿宋_GB2312" w:eastAsia="方正仿宋_GB2312" w:cs="方正仿宋_GB2312"/>
          <w:color w:val="auto"/>
          <w:sz w:val="24"/>
          <w:szCs w:val="24"/>
          <w:highlight w:val="none"/>
        </w:rPr>
        <w:t>3.1 投标文件的组成</w:t>
      </w:r>
      <w:bookmarkEnd w:id="198"/>
      <w:bookmarkEnd w:id="199"/>
      <w:bookmarkEnd w:id="200"/>
      <w:bookmarkEnd w:id="201"/>
      <w:bookmarkEnd w:id="202"/>
      <w:bookmarkEnd w:id="203"/>
      <w:bookmarkEnd w:id="204"/>
    </w:p>
    <w:p w14:paraId="602659E9">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3.1.1 投标文件应包括下列内容：</w:t>
      </w:r>
    </w:p>
    <w:p w14:paraId="61D2815B">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（1）投标函及投标函附录；</w:t>
      </w:r>
    </w:p>
    <w:p w14:paraId="0BD27769">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（2）法定代表人身份证明或附有法定代表人身份证明的授权委托书；</w:t>
      </w:r>
    </w:p>
    <w:p w14:paraId="7B7FE683">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（3）联合体协议书；</w:t>
      </w:r>
    </w:p>
    <w:p w14:paraId="389BDBB7">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（4）投标保证金；</w:t>
      </w:r>
    </w:p>
    <w:p w14:paraId="1BF84A0B">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（5）资格审查资料；</w:t>
      </w:r>
    </w:p>
    <w:p w14:paraId="233BAB8B">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（6）投标人须知前附表规定的其他资料；</w:t>
      </w:r>
    </w:p>
    <w:p w14:paraId="6AB72E77">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（7）投标人技术标准。</w:t>
      </w:r>
    </w:p>
    <w:p w14:paraId="5F92C9FD">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3.1.2 投标人须知前附表规定不接受联合体投标的，或投标人没有组成联合体的，投标文件不包括本章第3.1.1（3）目所指的联合体协议书。 </w:t>
      </w:r>
    </w:p>
    <w:p w14:paraId="2054F583">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05" w:name="_Toc370454402"/>
      <w:bookmarkStart w:id="206" w:name="_Toc152045548"/>
      <w:bookmarkStart w:id="207" w:name="_Toc375560027"/>
      <w:bookmarkStart w:id="208" w:name="_Toc247527573"/>
      <w:bookmarkStart w:id="209" w:name="_Toc247513972"/>
      <w:bookmarkStart w:id="210" w:name="_Toc152042324"/>
      <w:bookmarkStart w:id="211" w:name="_Toc144974516"/>
      <w:r>
        <w:rPr>
          <w:rFonts w:hint="eastAsia" w:ascii="方正仿宋_GB2312" w:hAnsi="方正仿宋_GB2312" w:eastAsia="方正仿宋_GB2312" w:cs="方正仿宋_GB2312"/>
          <w:color w:val="auto"/>
          <w:sz w:val="24"/>
          <w:szCs w:val="24"/>
          <w:highlight w:val="none"/>
        </w:rPr>
        <w:t>3.2 投标报价</w:t>
      </w:r>
      <w:bookmarkEnd w:id="205"/>
      <w:bookmarkEnd w:id="206"/>
      <w:bookmarkEnd w:id="207"/>
      <w:bookmarkEnd w:id="208"/>
      <w:bookmarkEnd w:id="209"/>
      <w:bookmarkEnd w:id="210"/>
      <w:bookmarkEnd w:id="211"/>
    </w:p>
    <w:p w14:paraId="3C46D9AE">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3.2.1 投标人应按</w:t>
      </w:r>
      <w:r>
        <w:rPr>
          <w:rFonts w:hint="eastAsia" w:ascii="方正仿宋_GB2312" w:hAnsi="方正仿宋_GB2312" w:eastAsia="方正仿宋_GB2312" w:cs="方正仿宋_GB2312"/>
          <w:color w:val="auto"/>
          <w:sz w:val="24"/>
          <w:szCs w:val="24"/>
          <w:highlight w:val="none"/>
          <w:lang w:eastAsia="zh-CN"/>
        </w:rPr>
        <w:t>第六章</w:t>
      </w:r>
      <w:r>
        <w:rPr>
          <w:rFonts w:hint="eastAsia" w:ascii="方正仿宋_GB2312" w:hAnsi="方正仿宋_GB2312" w:eastAsia="方正仿宋_GB2312" w:cs="方正仿宋_GB2312"/>
          <w:color w:val="auto"/>
          <w:sz w:val="24"/>
          <w:szCs w:val="24"/>
          <w:highlight w:val="none"/>
        </w:rPr>
        <w:t>“投标文件格式”的要求填写价格。</w:t>
      </w:r>
    </w:p>
    <w:p w14:paraId="6E8E78C1">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3.2.2 投标人应充分了解施工场地的位置、周边环境、道路、装卸、保管、安装限制以及影响投标报价的其他要素。投标人根据投标设计，结合市场情况进行投标报价。</w:t>
      </w:r>
    </w:p>
    <w:p w14:paraId="3834289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3.2.3 投标人在投标截止时间前修改投标函中的投标报价</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此修改须符合本章第4.3款的有关要求。</w:t>
      </w:r>
    </w:p>
    <w:p w14:paraId="058BBF2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3.2.4 招标人设计费设有最高投标限价的，投标人的投标报价不得超过最高投标限价，最高投标限价或其计算方法在投标人须知前附表中载明；招标人建安工程费不设最高投标限价。</w:t>
      </w:r>
    </w:p>
    <w:p w14:paraId="5ED23610">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3.2.5 投标报价的其他要求见投标人须知前附表。</w:t>
      </w:r>
    </w:p>
    <w:p w14:paraId="282639FF">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12" w:name="_Toc370454403"/>
      <w:bookmarkStart w:id="213" w:name="_Toc247527574"/>
      <w:bookmarkStart w:id="214" w:name="_Toc247513973"/>
      <w:bookmarkStart w:id="215" w:name="_Toc152045549"/>
      <w:bookmarkStart w:id="216" w:name="_Toc144974517"/>
      <w:bookmarkStart w:id="217" w:name="_Toc152042325"/>
      <w:bookmarkStart w:id="218" w:name="_Toc375560028"/>
      <w:r>
        <w:rPr>
          <w:rFonts w:hint="eastAsia" w:ascii="方正仿宋_GB2312" w:hAnsi="方正仿宋_GB2312" w:eastAsia="方正仿宋_GB2312" w:cs="方正仿宋_GB2312"/>
          <w:color w:val="auto"/>
          <w:sz w:val="24"/>
          <w:szCs w:val="24"/>
          <w:highlight w:val="none"/>
        </w:rPr>
        <w:t>3.3 投标有效期</w:t>
      </w:r>
      <w:bookmarkEnd w:id="212"/>
      <w:bookmarkEnd w:id="213"/>
      <w:bookmarkEnd w:id="214"/>
      <w:bookmarkEnd w:id="215"/>
      <w:bookmarkEnd w:id="216"/>
      <w:bookmarkEnd w:id="217"/>
      <w:bookmarkEnd w:id="218"/>
    </w:p>
    <w:p w14:paraId="7C02186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3.3.1 除投标人须知前附表另有规定外，投标有效期为</w:t>
      </w:r>
      <w:r>
        <w:rPr>
          <w:rFonts w:hint="eastAsia" w:ascii="方正仿宋_GB2312" w:hAnsi="方正仿宋_GB2312" w:eastAsia="方正仿宋_GB2312" w:cs="方正仿宋_GB2312"/>
          <w:color w:val="auto"/>
          <w:sz w:val="24"/>
          <w:szCs w:val="24"/>
          <w:highlight w:val="none"/>
          <w:lang w:val="en-US" w:eastAsia="zh-CN"/>
        </w:rPr>
        <w:t>90</w:t>
      </w:r>
      <w:r>
        <w:rPr>
          <w:rFonts w:hint="eastAsia" w:ascii="方正仿宋_GB2312" w:hAnsi="方正仿宋_GB2312" w:eastAsia="方正仿宋_GB2312" w:cs="方正仿宋_GB2312"/>
          <w:color w:val="auto"/>
          <w:sz w:val="24"/>
          <w:szCs w:val="24"/>
          <w:highlight w:val="none"/>
        </w:rPr>
        <w:t>天。</w:t>
      </w:r>
    </w:p>
    <w:p w14:paraId="2557B826">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3.3.2 在投标有效期内，投标人撤销或修改其投标文件的，应承担招标文件和法律规定的责任。</w:t>
      </w:r>
    </w:p>
    <w:p w14:paraId="1DBE7191">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75CD6572">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19" w:name="_Toc152042326"/>
      <w:bookmarkStart w:id="220" w:name="_Toc247527575"/>
      <w:bookmarkStart w:id="221" w:name="_Toc247513974"/>
      <w:bookmarkStart w:id="222" w:name="_Toc375560029"/>
      <w:bookmarkStart w:id="223" w:name="_Toc370454404"/>
      <w:bookmarkStart w:id="224" w:name="_Toc144974518"/>
      <w:bookmarkStart w:id="225" w:name="_Toc152045550"/>
      <w:r>
        <w:rPr>
          <w:rFonts w:hint="eastAsia" w:ascii="方正仿宋_GB2312" w:hAnsi="方正仿宋_GB2312" w:eastAsia="方正仿宋_GB2312" w:cs="方正仿宋_GB2312"/>
          <w:color w:val="auto"/>
          <w:sz w:val="24"/>
          <w:szCs w:val="24"/>
          <w:highlight w:val="none"/>
        </w:rPr>
        <w:t>3.4 投标保证金</w:t>
      </w:r>
      <w:bookmarkEnd w:id="219"/>
      <w:bookmarkEnd w:id="220"/>
      <w:bookmarkEnd w:id="221"/>
      <w:bookmarkEnd w:id="222"/>
      <w:bookmarkEnd w:id="223"/>
      <w:bookmarkEnd w:id="224"/>
      <w:bookmarkEnd w:id="225"/>
    </w:p>
    <w:p w14:paraId="5D3F1203">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3.4.1 投标人在递交投标文件的同时，应按投标人须知前附表规定的金额、担保形式和</w:t>
      </w:r>
      <w:r>
        <w:rPr>
          <w:rFonts w:hint="eastAsia" w:ascii="方正仿宋_GB2312" w:hAnsi="方正仿宋_GB2312" w:eastAsia="方正仿宋_GB2312" w:cs="方正仿宋_GB2312"/>
          <w:color w:val="auto"/>
          <w:sz w:val="24"/>
          <w:szCs w:val="24"/>
          <w:highlight w:val="none"/>
          <w:lang w:eastAsia="zh-CN"/>
        </w:rPr>
        <w:t>第六章</w:t>
      </w:r>
      <w:r>
        <w:rPr>
          <w:rFonts w:hint="eastAsia" w:ascii="方正仿宋_GB2312" w:hAnsi="方正仿宋_GB2312" w:eastAsia="方正仿宋_GB2312" w:cs="方正仿宋_GB2312"/>
          <w:color w:val="auto"/>
          <w:sz w:val="24"/>
          <w:szCs w:val="24"/>
          <w:highlight w:val="none"/>
        </w:rPr>
        <w:t>“投标文件格式”规定的投标保证金格式递交投标保证金，并作为其投标文件的组成部分。联合体投标的，其投标保证金由牵头人递交，并应符合投标人须知前附表的规定。</w:t>
      </w:r>
    </w:p>
    <w:p w14:paraId="6F550D6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3.4.2 投标人不按本章第3.4.1项要求提交投标保证金的，评标委员会将否决其投标。</w:t>
      </w:r>
    </w:p>
    <w:p w14:paraId="557343E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3.4.3 招标人与中标人签订合同后5日内，向未中标的投标人和中标人退还投标保证金。</w:t>
      </w:r>
    </w:p>
    <w:p w14:paraId="76FF16D1">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3.4.4 有下列情形之一的，投标保证金将不予退还： </w:t>
      </w:r>
    </w:p>
    <w:p w14:paraId="73319731">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（1）投标人在规定的投标有效期内撤销或修改其投标文件；</w:t>
      </w:r>
    </w:p>
    <w:p w14:paraId="77896EB3">
      <w:pPr>
        <w:keepNext w:val="0"/>
        <w:keepLines w:val="0"/>
        <w:pageBreakBefore w:val="0"/>
        <w:widowControl w:val="0"/>
        <w:kinsoku/>
        <w:wordWrap/>
        <w:overflowPunct/>
        <w:topLinePunct w:val="0"/>
        <w:autoSpaceDE/>
        <w:autoSpaceDN/>
        <w:bidi w:val="0"/>
        <w:snapToGrid w:val="0"/>
        <w:spacing w:after="0" w:line="360" w:lineRule="auto"/>
        <w:ind w:firstLine="360" w:firstLineChars="15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（2）中标人在收到中标通知书后，无正当理由拒签合同或未按招标文件规定提交履约担保。</w:t>
      </w:r>
    </w:p>
    <w:p w14:paraId="235FDF57">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26" w:name="_Toc247513976"/>
      <w:bookmarkStart w:id="227" w:name="_Toc370454405"/>
      <w:bookmarkStart w:id="228" w:name="_Toc152045552"/>
      <w:bookmarkStart w:id="229" w:name="_Toc247527577"/>
      <w:bookmarkStart w:id="230" w:name="_Toc375560030"/>
      <w:bookmarkStart w:id="231" w:name="_Toc144974520"/>
      <w:bookmarkStart w:id="232" w:name="_Toc152042328"/>
      <w:r>
        <w:rPr>
          <w:rFonts w:hint="eastAsia" w:ascii="方正仿宋_GB2312" w:hAnsi="方正仿宋_GB2312" w:eastAsia="方正仿宋_GB2312" w:cs="方正仿宋_GB2312"/>
          <w:color w:val="auto"/>
          <w:sz w:val="24"/>
          <w:szCs w:val="24"/>
          <w:highlight w:val="none"/>
        </w:rPr>
        <w:t>3.5 资格审查资料（适用于未进行资格预审的）</w:t>
      </w:r>
      <w:bookmarkEnd w:id="226"/>
      <w:bookmarkEnd w:id="227"/>
      <w:bookmarkEnd w:id="228"/>
      <w:bookmarkEnd w:id="229"/>
      <w:bookmarkEnd w:id="230"/>
      <w:bookmarkEnd w:id="231"/>
      <w:bookmarkEnd w:id="232"/>
    </w:p>
    <w:p w14:paraId="4CEF3A2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3.5.1 “投标人基本情况表”应附投标人营业执照、资质证书等材料正本或副本的复印件。</w:t>
      </w:r>
    </w:p>
    <w:p w14:paraId="6CAE035B">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3.5.2 “近年财务状况表”近年财务状况表应附经会计师事务所或审计机构审计的财务会计报表，包括资产负债表、现金流量表、利润表等复印件，具体年份要求见投标人须知前附表。</w:t>
      </w:r>
    </w:p>
    <w:p w14:paraId="0BD1D52A">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“近年发生的重大诉讼及仲裁情况”应说明相关情况</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lang w:val="en-US" w:eastAsia="zh-CN"/>
        </w:rPr>
        <w:t>以中国裁判文书网查询结果为准并提供查询截图</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，具体年份要求见投标人须知前附表。</w:t>
      </w:r>
    </w:p>
    <w:p w14:paraId="3ABF315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 xml:space="preserve"> 投标人须知前附表规定接受联合体投标的，本章第3.5.1项至第3.5.4项规定的表格和资料应包括联合体各方相关情况。</w:t>
      </w:r>
    </w:p>
    <w:p w14:paraId="4E9C1DD8">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33" w:name="_Toc375560031"/>
      <w:bookmarkStart w:id="234" w:name="_Toc247513977"/>
      <w:bookmarkStart w:id="235" w:name="_Toc152042329"/>
      <w:bookmarkStart w:id="236" w:name="_Toc370454406"/>
      <w:bookmarkStart w:id="237" w:name="_Toc144974521"/>
      <w:bookmarkStart w:id="238" w:name="_Toc152045553"/>
      <w:bookmarkStart w:id="239" w:name="_Toc247527578"/>
      <w:r>
        <w:rPr>
          <w:rFonts w:hint="eastAsia" w:ascii="方正仿宋_GB2312" w:hAnsi="方正仿宋_GB2312" w:eastAsia="方正仿宋_GB2312" w:cs="方正仿宋_GB2312"/>
          <w:color w:val="auto"/>
          <w:sz w:val="24"/>
          <w:szCs w:val="24"/>
          <w:highlight w:val="none"/>
        </w:rPr>
        <w:t>3.6 备选投标方案</w:t>
      </w:r>
      <w:bookmarkEnd w:id="233"/>
      <w:bookmarkEnd w:id="234"/>
      <w:bookmarkEnd w:id="235"/>
      <w:bookmarkEnd w:id="236"/>
      <w:bookmarkEnd w:id="237"/>
      <w:bookmarkEnd w:id="238"/>
      <w:bookmarkEnd w:id="239"/>
    </w:p>
    <w:p w14:paraId="233DA1A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7A9DC9AE">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40" w:name="_Toc247513978"/>
      <w:bookmarkStart w:id="241" w:name="_Toc375560032"/>
      <w:bookmarkStart w:id="242" w:name="_Toc152045554"/>
      <w:bookmarkStart w:id="243" w:name="_Toc370454407"/>
      <w:bookmarkStart w:id="244" w:name="_Toc152042330"/>
      <w:bookmarkStart w:id="245" w:name="_Toc144974522"/>
      <w:bookmarkStart w:id="246" w:name="_Toc247527579"/>
      <w:r>
        <w:rPr>
          <w:rFonts w:hint="eastAsia" w:ascii="方正仿宋_GB2312" w:hAnsi="方正仿宋_GB2312" w:eastAsia="方正仿宋_GB2312" w:cs="方正仿宋_GB2312"/>
          <w:color w:val="auto"/>
          <w:sz w:val="24"/>
          <w:szCs w:val="24"/>
          <w:highlight w:val="none"/>
        </w:rPr>
        <w:t>3.7 投标文件的编制</w:t>
      </w:r>
      <w:bookmarkEnd w:id="240"/>
      <w:bookmarkEnd w:id="241"/>
      <w:bookmarkEnd w:id="242"/>
      <w:bookmarkEnd w:id="243"/>
      <w:bookmarkEnd w:id="244"/>
      <w:bookmarkEnd w:id="245"/>
      <w:bookmarkEnd w:id="246"/>
    </w:p>
    <w:p w14:paraId="13C61FEF">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3.7.1 投标文件应按</w:t>
      </w:r>
      <w:r>
        <w:rPr>
          <w:rFonts w:hint="eastAsia" w:ascii="方正仿宋_GB2312" w:hAnsi="方正仿宋_GB2312" w:eastAsia="方正仿宋_GB2312" w:cs="方正仿宋_GB2312"/>
          <w:color w:val="auto"/>
          <w:sz w:val="24"/>
          <w:szCs w:val="24"/>
          <w:highlight w:val="none"/>
          <w:lang w:eastAsia="zh-CN"/>
        </w:rPr>
        <w:t>第六章</w:t>
      </w:r>
      <w:r>
        <w:rPr>
          <w:rFonts w:hint="eastAsia" w:ascii="方正仿宋_GB2312" w:hAnsi="方正仿宋_GB2312" w:eastAsia="方正仿宋_GB2312" w:cs="方正仿宋_GB2312"/>
          <w:color w:val="auto"/>
          <w:sz w:val="24"/>
          <w:szCs w:val="24"/>
          <w:highlight w:val="none"/>
        </w:rPr>
        <w:t>“投标文件格式”进行编写，如有必要，可以增加附页，作为投标文件的组成部分。其中，投标函附录在满足招标文件实质性要求的基础上，可以提出比招标文件要求更有利于招标人的承诺。</w:t>
      </w:r>
    </w:p>
    <w:p w14:paraId="30BCFE61">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3.7.2 投标文件应当对招标文件有关招标范围、投标有效期、工期、质量标准、发包人要求等实质性内容作出响应。</w:t>
      </w:r>
    </w:p>
    <w:p w14:paraId="7B7BE932">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247" w:name="_Toc247513979"/>
      <w:bookmarkStart w:id="248" w:name="_Toc375560033"/>
      <w:bookmarkStart w:id="249" w:name="_Toc152042331"/>
      <w:bookmarkStart w:id="250" w:name="_Toc370454408"/>
      <w:bookmarkStart w:id="251" w:name="_Toc152045555"/>
      <w:bookmarkStart w:id="252" w:name="_Toc144974523"/>
      <w:bookmarkStart w:id="253" w:name="_Toc4671"/>
      <w:bookmarkStart w:id="254" w:name="_Toc247527580"/>
      <w:r>
        <w:rPr>
          <w:rFonts w:hint="eastAsia" w:ascii="方正仿宋_GB2312" w:hAnsi="方正仿宋_GB2312" w:eastAsia="方正仿宋_GB2312" w:cs="方正仿宋_GB2312"/>
          <w:b/>
          <w:bCs/>
          <w:color w:val="auto"/>
          <w:sz w:val="24"/>
          <w:szCs w:val="24"/>
          <w:highlight w:val="none"/>
        </w:rPr>
        <w:t>4. 投标</w:t>
      </w:r>
      <w:bookmarkEnd w:id="247"/>
      <w:bookmarkEnd w:id="248"/>
      <w:bookmarkEnd w:id="249"/>
      <w:bookmarkEnd w:id="250"/>
      <w:bookmarkEnd w:id="251"/>
      <w:bookmarkEnd w:id="252"/>
      <w:bookmarkEnd w:id="253"/>
      <w:bookmarkEnd w:id="254"/>
    </w:p>
    <w:p w14:paraId="31208B50">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bookmarkStart w:id="255" w:name="_Toc152045556"/>
      <w:bookmarkStart w:id="256" w:name="_Toc247513980"/>
      <w:bookmarkStart w:id="257" w:name="_Toc247527581"/>
      <w:bookmarkStart w:id="258" w:name="_Toc152042332"/>
      <w:bookmarkStart w:id="259" w:name="_Toc15094"/>
      <w:bookmarkStart w:id="260" w:name="_Toc144974524"/>
      <w:bookmarkStart w:id="261" w:name="_Toc45896938"/>
      <w:bookmarkStart w:id="262" w:name="_Toc45896642"/>
      <w:bookmarkStart w:id="263" w:name="_Toc152042333"/>
      <w:bookmarkStart w:id="264" w:name="_Toc45896939"/>
      <w:bookmarkStart w:id="265" w:name="_Toc247513981"/>
      <w:bookmarkStart w:id="266" w:name="_Toc152045557"/>
      <w:bookmarkStart w:id="267" w:name="_Toc144974525"/>
      <w:bookmarkStart w:id="268" w:name="_Toc247527582"/>
      <w:bookmarkStart w:id="269" w:name="_Toc45896643"/>
      <w:bookmarkStart w:id="270" w:name="_Toc28450"/>
      <w:bookmarkStart w:id="271" w:name="_Toc375560037"/>
      <w:bookmarkStart w:id="272" w:name="_Toc370454412"/>
      <w:bookmarkStart w:id="273" w:name="_Toc23658"/>
      <w:bookmarkStart w:id="274" w:name="_Toc144974527"/>
      <w:bookmarkStart w:id="275" w:name="_Toc247527584"/>
      <w:bookmarkStart w:id="276" w:name="_Toc152045559"/>
      <w:bookmarkStart w:id="277" w:name="_Toc152042335"/>
      <w:bookmarkStart w:id="278" w:name="_Toc247513983"/>
      <w:r>
        <w:rPr>
          <w:rFonts w:hint="eastAsia" w:ascii="方正仿宋_GB2312" w:hAnsi="方正仿宋_GB2312" w:eastAsia="方正仿宋_GB2312" w:cs="方正仿宋_GB2312"/>
          <w:color w:val="auto"/>
          <w:sz w:val="24"/>
          <w:szCs w:val="24"/>
          <w:highlight w:val="none"/>
        </w:rPr>
        <w:t>4.1投标文件的上传要求</w:t>
      </w:r>
      <w:bookmarkEnd w:id="255"/>
      <w:bookmarkEnd w:id="256"/>
      <w:bookmarkEnd w:id="257"/>
      <w:bookmarkEnd w:id="258"/>
      <w:bookmarkEnd w:id="259"/>
      <w:bookmarkEnd w:id="260"/>
    </w:p>
    <w:p w14:paraId="6F0617BE">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具体要求见投标人须知前附表</w:t>
      </w:r>
      <w:bookmarkEnd w:id="261"/>
      <w:bookmarkEnd w:id="262"/>
      <w:r>
        <w:rPr>
          <w:rFonts w:hint="eastAsia" w:ascii="方正仿宋_GB2312" w:hAnsi="方正仿宋_GB2312" w:eastAsia="方正仿宋_GB2312" w:cs="方正仿宋_GB2312"/>
          <w:color w:val="auto"/>
          <w:sz w:val="24"/>
          <w:szCs w:val="24"/>
          <w:highlight w:val="none"/>
        </w:rPr>
        <w:t>。</w:t>
      </w:r>
    </w:p>
    <w:p w14:paraId="17F5A419">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 投标文件的</w:t>
      </w:r>
      <w:bookmarkEnd w:id="263"/>
      <w:bookmarkEnd w:id="264"/>
      <w:bookmarkEnd w:id="265"/>
      <w:bookmarkEnd w:id="266"/>
      <w:bookmarkEnd w:id="267"/>
      <w:bookmarkEnd w:id="268"/>
      <w:bookmarkEnd w:id="269"/>
      <w:bookmarkEnd w:id="270"/>
      <w:r>
        <w:rPr>
          <w:rFonts w:hint="eastAsia" w:ascii="方正仿宋_GB2312" w:hAnsi="方正仿宋_GB2312" w:eastAsia="方正仿宋_GB2312" w:cs="方正仿宋_GB2312"/>
          <w:color w:val="auto"/>
          <w:sz w:val="24"/>
          <w:szCs w:val="24"/>
          <w:highlight w:val="none"/>
        </w:rPr>
        <w:t>密封</w:t>
      </w:r>
    </w:p>
    <w:p w14:paraId="41D232A7">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bookmarkStart w:id="279" w:name="_Toc17700"/>
      <w:bookmarkStart w:id="280" w:name="_Toc45896940"/>
      <w:bookmarkStart w:id="281" w:name="_Toc144974526"/>
      <w:bookmarkStart w:id="282" w:name="_Toc247513982"/>
      <w:bookmarkStart w:id="283" w:name="_Toc152042334"/>
      <w:bookmarkStart w:id="284" w:name="_Toc247527583"/>
      <w:bookmarkStart w:id="285" w:name="_Toc45896644"/>
      <w:bookmarkStart w:id="286" w:name="_Toc152045558"/>
      <w:r>
        <w:rPr>
          <w:rFonts w:hint="eastAsia" w:ascii="方正仿宋_GB2312" w:hAnsi="方正仿宋_GB2312" w:eastAsia="方正仿宋_GB2312" w:cs="方正仿宋_GB2312"/>
          <w:color w:val="auto"/>
          <w:sz w:val="24"/>
          <w:szCs w:val="24"/>
          <w:highlight w:val="none"/>
        </w:rPr>
        <w:t>具体要求见投标人须知前附表。</w:t>
      </w:r>
    </w:p>
    <w:p w14:paraId="3EFAB72A">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4.3 投标文件的修改与撤回</w:t>
      </w:r>
      <w:bookmarkEnd w:id="279"/>
      <w:bookmarkEnd w:id="280"/>
      <w:bookmarkEnd w:id="281"/>
      <w:bookmarkEnd w:id="282"/>
      <w:bookmarkEnd w:id="283"/>
      <w:bookmarkEnd w:id="284"/>
      <w:bookmarkEnd w:id="285"/>
      <w:bookmarkEnd w:id="286"/>
    </w:p>
    <w:p w14:paraId="37EE47E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在本章第2.2.2项规定的投标截止时间前，投标人可以修改或撤回已在网上递交的投标文件，无须书面形式通知招标人。</w:t>
      </w:r>
    </w:p>
    <w:p w14:paraId="41287A39">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5. 开标</w:t>
      </w:r>
      <w:bookmarkEnd w:id="271"/>
      <w:bookmarkEnd w:id="272"/>
      <w:bookmarkEnd w:id="273"/>
      <w:bookmarkEnd w:id="274"/>
      <w:bookmarkEnd w:id="275"/>
      <w:bookmarkEnd w:id="276"/>
      <w:bookmarkEnd w:id="277"/>
      <w:bookmarkEnd w:id="278"/>
    </w:p>
    <w:p w14:paraId="0BC6EDF3">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87" w:name="_Toc375560038"/>
      <w:bookmarkStart w:id="288" w:name="_Toc370454413"/>
      <w:bookmarkStart w:id="289" w:name="_Toc247527585"/>
      <w:bookmarkStart w:id="290" w:name="_Toc247513984"/>
      <w:bookmarkStart w:id="291" w:name="_Toc152042336"/>
      <w:bookmarkStart w:id="292" w:name="_Toc152045560"/>
      <w:bookmarkStart w:id="293" w:name="_Toc144974528"/>
      <w:r>
        <w:rPr>
          <w:rFonts w:hint="eastAsia" w:ascii="方正仿宋_GB2312" w:hAnsi="方正仿宋_GB2312" w:eastAsia="方正仿宋_GB2312" w:cs="方正仿宋_GB2312"/>
          <w:color w:val="auto"/>
          <w:sz w:val="24"/>
          <w:szCs w:val="24"/>
          <w:highlight w:val="none"/>
        </w:rPr>
        <w:t>5.1 开标时间和地点</w:t>
      </w:r>
      <w:bookmarkEnd w:id="287"/>
      <w:bookmarkEnd w:id="288"/>
      <w:bookmarkEnd w:id="289"/>
      <w:bookmarkEnd w:id="290"/>
      <w:bookmarkEnd w:id="291"/>
      <w:bookmarkEnd w:id="292"/>
      <w:bookmarkEnd w:id="293"/>
    </w:p>
    <w:p w14:paraId="3E2BE651">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招标人在本章第2.2.2项规定的投标截止时间（开标时间）和投标人须知前附表规定的地点公开开标，并邀请所有投标人的法定代表人或其委托代理人准时参加。</w:t>
      </w:r>
    </w:p>
    <w:p w14:paraId="12CE0D19">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294" w:name="_Toc247527586"/>
      <w:bookmarkStart w:id="295" w:name="_Toc370454414"/>
      <w:bookmarkStart w:id="296" w:name="_Toc152042337"/>
      <w:bookmarkStart w:id="297" w:name="_Toc247513985"/>
      <w:bookmarkStart w:id="298" w:name="_Toc152045561"/>
      <w:bookmarkStart w:id="299" w:name="_Toc144974529"/>
      <w:bookmarkStart w:id="300" w:name="_Toc375560039"/>
      <w:r>
        <w:rPr>
          <w:rFonts w:hint="eastAsia" w:ascii="方正仿宋_GB2312" w:hAnsi="方正仿宋_GB2312" w:eastAsia="方正仿宋_GB2312" w:cs="方正仿宋_GB2312"/>
          <w:color w:val="auto"/>
          <w:sz w:val="24"/>
          <w:szCs w:val="24"/>
          <w:highlight w:val="none"/>
        </w:rPr>
        <w:t>5.2 开标程序</w:t>
      </w:r>
      <w:bookmarkEnd w:id="294"/>
      <w:bookmarkEnd w:id="295"/>
      <w:bookmarkEnd w:id="296"/>
      <w:bookmarkEnd w:id="297"/>
      <w:bookmarkEnd w:id="298"/>
      <w:bookmarkEnd w:id="299"/>
      <w:bookmarkEnd w:id="300"/>
    </w:p>
    <w:p w14:paraId="043F6D9F">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主持人按下列程序进行开标：</w:t>
      </w:r>
    </w:p>
    <w:p w14:paraId="423D351D">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（1）宣布开标纪律；</w:t>
      </w:r>
    </w:p>
    <w:p w14:paraId="24E48B3B">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（2）公布在投标截止时间前递交投标文件的投标人名称，并点名确认投标人是否派人到场；</w:t>
      </w:r>
    </w:p>
    <w:p w14:paraId="4B66A1E2">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（3）宣布开标人、唱标人、记录人、监标人等有关人员姓名；</w:t>
      </w:r>
    </w:p>
    <w:p w14:paraId="5CBE782A">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（4）按照投标人须知前附表规定检查投标文件的密封情况；</w:t>
      </w:r>
    </w:p>
    <w:p w14:paraId="7AE7F1C9">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（5）按照投标人须知前附表的规定确定并宣布投标文件开标顺序；</w:t>
      </w:r>
    </w:p>
    <w:p w14:paraId="3F811526">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（6）设有标底的，公布标底； </w:t>
      </w:r>
    </w:p>
    <w:p w14:paraId="3ABA93DC">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（7）按照宣布的开标顺序当众开标，公布投标人名称、项目名称、投标保证金的递交情况、投标报价、质量目标、工期及其他内容，并记录在案；</w:t>
      </w:r>
    </w:p>
    <w:p w14:paraId="4966D76C">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（8）规定最高投标限价计算方法的，计算并公布最高投标限价；</w:t>
      </w:r>
    </w:p>
    <w:p w14:paraId="5B3723F4">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（9）投标人代表、招标人代表、监标人、记录人等有关人员在开标记录上签字确认；</w:t>
      </w:r>
    </w:p>
    <w:p w14:paraId="09591AD6">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（10）开标结束。</w:t>
      </w:r>
    </w:p>
    <w:p w14:paraId="295F7DDB">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01" w:name="_Toc370454415"/>
      <w:bookmarkStart w:id="302" w:name="_Toc375560040"/>
      <w:r>
        <w:rPr>
          <w:rFonts w:hint="eastAsia" w:ascii="方正仿宋_GB2312" w:hAnsi="方正仿宋_GB2312" w:eastAsia="方正仿宋_GB2312" w:cs="方正仿宋_GB2312"/>
          <w:color w:val="auto"/>
          <w:sz w:val="24"/>
          <w:szCs w:val="24"/>
          <w:highlight w:val="none"/>
        </w:rPr>
        <w:t>5.3 开标异议</w:t>
      </w:r>
      <w:bookmarkEnd w:id="301"/>
      <w:bookmarkEnd w:id="302"/>
    </w:p>
    <w:p w14:paraId="453EA7CD">
      <w:pPr>
        <w:keepNext w:val="0"/>
        <w:keepLines w:val="0"/>
        <w:pageBreakBefore w:val="0"/>
        <w:widowControl w:val="0"/>
        <w:kinsoku/>
        <w:wordWrap/>
        <w:overflowPunct/>
        <w:topLinePunct w:val="0"/>
        <w:autoSpaceDE/>
        <w:autoSpaceDN/>
        <w:bidi w:val="0"/>
        <w:snapToGrid w:val="0"/>
        <w:spacing w:after="0" w:line="360" w:lineRule="auto"/>
        <w:ind w:firstLine="410" w:firstLineChars="171"/>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投标人对开标有异议的，应当在开标现场提出，招标人当场作出答复，并制作记录。</w:t>
      </w:r>
    </w:p>
    <w:p w14:paraId="2C89883B">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303" w:name="_Toc247513986"/>
      <w:bookmarkStart w:id="304" w:name="_Toc370454416"/>
      <w:bookmarkStart w:id="305" w:name="_Toc152045562"/>
      <w:bookmarkStart w:id="306" w:name="_Toc13252"/>
      <w:bookmarkStart w:id="307" w:name="_Toc144974530"/>
      <w:bookmarkStart w:id="308" w:name="_Toc152042338"/>
      <w:bookmarkStart w:id="309" w:name="_Toc247527587"/>
      <w:bookmarkStart w:id="310" w:name="_Toc375560041"/>
      <w:r>
        <w:rPr>
          <w:rFonts w:hint="eastAsia" w:ascii="方正仿宋_GB2312" w:hAnsi="方正仿宋_GB2312" w:eastAsia="方正仿宋_GB2312" w:cs="方正仿宋_GB2312"/>
          <w:b/>
          <w:bCs/>
          <w:color w:val="auto"/>
          <w:sz w:val="24"/>
          <w:szCs w:val="24"/>
          <w:highlight w:val="none"/>
        </w:rPr>
        <w:t>6. 评标</w:t>
      </w:r>
      <w:bookmarkEnd w:id="303"/>
      <w:bookmarkEnd w:id="304"/>
      <w:bookmarkEnd w:id="305"/>
      <w:bookmarkEnd w:id="306"/>
      <w:bookmarkEnd w:id="307"/>
      <w:bookmarkEnd w:id="308"/>
      <w:bookmarkEnd w:id="309"/>
      <w:bookmarkEnd w:id="310"/>
    </w:p>
    <w:p w14:paraId="5F51DC1A">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11" w:name="_Toc247513987"/>
      <w:bookmarkStart w:id="312" w:name="_Toc144974531"/>
      <w:bookmarkStart w:id="313" w:name="_Toc247527588"/>
      <w:bookmarkStart w:id="314" w:name="_Toc370454417"/>
      <w:bookmarkStart w:id="315" w:name="_Toc375560042"/>
      <w:bookmarkStart w:id="316" w:name="_Toc152045563"/>
      <w:bookmarkStart w:id="317" w:name="_Toc152042339"/>
      <w:r>
        <w:rPr>
          <w:rFonts w:hint="eastAsia" w:ascii="方正仿宋_GB2312" w:hAnsi="方正仿宋_GB2312" w:eastAsia="方正仿宋_GB2312" w:cs="方正仿宋_GB2312"/>
          <w:color w:val="auto"/>
          <w:sz w:val="24"/>
          <w:szCs w:val="24"/>
          <w:highlight w:val="none"/>
        </w:rPr>
        <w:t>6.1 评标委员会</w:t>
      </w:r>
      <w:bookmarkEnd w:id="311"/>
      <w:bookmarkEnd w:id="312"/>
      <w:bookmarkEnd w:id="313"/>
      <w:bookmarkEnd w:id="314"/>
      <w:bookmarkEnd w:id="315"/>
      <w:bookmarkEnd w:id="316"/>
      <w:bookmarkEnd w:id="317"/>
    </w:p>
    <w:p w14:paraId="067EF293">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193534E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6.1.2 评标委员会成员有下列情形之一的，应当回避：</w:t>
      </w:r>
    </w:p>
    <w:p w14:paraId="2831FDC1">
      <w:pPr>
        <w:keepNext w:val="0"/>
        <w:keepLines w:val="0"/>
        <w:pageBreakBefore w:val="0"/>
        <w:widowControl w:val="0"/>
        <w:kinsoku/>
        <w:wordWrap/>
        <w:overflowPunct/>
        <w:topLinePunct w:val="0"/>
        <w:autoSpaceDE/>
        <w:autoSpaceDN/>
        <w:bidi w:val="0"/>
        <w:snapToGrid w:val="0"/>
        <w:spacing w:after="0" w:line="360" w:lineRule="auto"/>
        <w:ind w:firstLine="820" w:firstLineChars="342"/>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（1）投标人或投标人主要负责人的近亲属；</w:t>
      </w:r>
    </w:p>
    <w:p w14:paraId="17035936">
      <w:pPr>
        <w:keepNext w:val="0"/>
        <w:keepLines w:val="0"/>
        <w:pageBreakBefore w:val="0"/>
        <w:widowControl w:val="0"/>
        <w:kinsoku/>
        <w:wordWrap/>
        <w:overflowPunct/>
        <w:topLinePunct w:val="0"/>
        <w:autoSpaceDE/>
        <w:autoSpaceDN/>
        <w:bidi w:val="0"/>
        <w:snapToGrid w:val="0"/>
        <w:spacing w:after="0" w:line="360" w:lineRule="auto"/>
        <w:ind w:firstLine="820" w:firstLineChars="342"/>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（2）项目主管部门或者行政监督部门的人员；</w:t>
      </w:r>
    </w:p>
    <w:p w14:paraId="4EC7B1DE">
      <w:pPr>
        <w:keepNext w:val="0"/>
        <w:keepLines w:val="0"/>
        <w:pageBreakBefore w:val="0"/>
        <w:widowControl w:val="0"/>
        <w:kinsoku/>
        <w:wordWrap/>
        <w:overflowPunct/>
        <w:topLinePunct w:val="0"/>
        <w:autoSpaceDE/>
        <w:autoSpaceDN/>
        <w:bidi w:val="0"/>
        <w:snapToGrid w:val="0"/>
        <w:spacing w:after="0" w:line="360" w:lineRule="auto"/>
        <w:ind w:firstLine="820" w:firstLineChars="342"/>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（3）与投标人有经济利益关系，可能影响对投标公正评审的；</w:t>
      </w:r>
    </w:p>
    <w:p w14:paraId="3231F4EC">
      <w:pPr>
        <w:keepNext w:val="0"/>
        <w:keepLines w:val="0"/>
        <w:pageBreakBefore w:val="0"/>
        <w:widowControl w:val="0"/>
        <w:kinsoku/>
        <w:wordWrap/>
        <w:overflowPunct/>
        <w:topLinePunct w:val="0"/>
        <w:autoSpaceDE/>
        <w:autoSpaceDN/>
        <w:bidi w:val="0"/>
        <w:snapToGrid w:val="0"/>
        <w:spacing w:after="0" w:line="360" w:lineRule="auto"/>
        <w:ind w:firstLine="820" w:firstLineChars="342"/>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（4）曾因在招标、评标以及其他与招标投标有关活动中从事违法行为而受过行政处罚或刑事处罚的；</w:t>
      </w:r>
    </w:p>
    <w:p w14:paraId="73246DD0">
      <w:pPr>
        <w:keepNext w:val="0"/>
        <w:keepLines w:val="0"/>
        <w:pageBreakBefore w:val="0"/>
        <w:widowControl w:val="0"/>
        <w:kinsoku/>
        <w:wordWrap/>
        <w:overflowPunct/>
        <w:topLinePunct w:val="0"/>
        <w:autoSpaceDE/>
        <w:autoSpaceDN/>
        <w:bidi w:val="0"/>
        <w:snapToGrid w:val="0"/>
        <w:spacing w:after="0" w:line="360" w:lineRule="auto"/>
        <w:ind w:firstLine="820" w:firstLineChars="342"/>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（5）与投标人有其他利害关系。</w:t>
      </w:r>
    </w:p>
    <w:p w14:paraId="43C812D5">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18" w:name="_Toc152042340"/>
      <w:bookmarkStart w:id="319" w:name="_Toc375560043"/>
      <w:bookmarkStart w:id="320" w:name="_Toc370454418"/>
      <w:bookmarkStart w:id="321" w:name="_Toc152045564"/>
      <w:bookmarkStart w:id="322" w:name="_Toc144974532"/>
      <w:bookmarkStart w:id="323" w:name="_Toc247513988"/>
      <w:bookmarkStart w:id="324" w:name="_Toc247527589"/>
      <w:r>
        <w:rPr>
          <w:rFonts w:hint="eastAsia" w:ascii="方正仿宋_GB2312" w:hAnsi="方正仿宋_GB2312" w:eastAsia="方正仿宋_GB2312" w:cs="方正仿宋_GB2312"/>
          <w:color w:val="auto"/>
          <w:sz w:val="24"/>
          <w:szCs w:val="24"/>
          <w:highlight w:val="none"/>
        </w:rPr>
        <w:t>6.2 评标原则</w:t>
      </w:r>
      <w:bookmarkEnd w:id="318"/>
      <w:bookmarkEnd w:id="319"/>
      <w:bookmarkEnd w:id="320"/>
      <w:bookmarkEnd w:id="321"/>
      <w:bookmarkEnd w:id="322"/>
      <w:bookmarkEnd w:id="323"/>
      <w:bookmarkEnd w:id="324"/>
      <w:r>
        <w:rPr>
          <w:rFonts w:hint="eastAsia" w:ascii="方正仿宋_GB2312" w:hAnsi="方正仿宋_GB2312" w:eastAsia="方正仿宋_GB2312" w:cs="方正仿宋_GB2312"/>
          <w:color w:val="auto"/>
          <w:sz w:val="24"/>
          <w:szCs w:val="24"/>
          <w:highlight w:val="none"/>
        </w:rPr>
        <w:tab/>
      </w:r>
    </w:p>
    <w:p w14:paraId="18E426F9">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评标活动遵循公平、公正、科学和择优的原则。</w:t>
      </w:r>
    </w:p>
    <w:p w14:paraId="1078E582">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25" w:name="_Toc247513989"/>
      <w:bookmarkStart w:id="326" w:name="_Toc152045565"/>
      <w:bookmarkStart w:id="327" w:name="_Toc247527590"/>
      <w:bookmarkStart w:id="328" w:name="_Toc370454419"/>
      <w:bookmarkStart w:id="329" w:name="_Toc375560044"/>
      <w:bookmarkStart w:id="330" w:name="_Toc144974533"/>
      <w:bookmarkStart w:id="331" w:name="_Toc152042341"/>
      <w:r>
        <w:rPr>
          <w:rFonts w:hint="eastAsia" w:ascii="方正仿宋_GB2312" w:hAnsi="方正仿宋_GB2312" w:eastAsia="方正仿宋_GB2312" w:cs="方正仿宋_GB2312"/>
          <w:color w:val="auto"/>
          <w:sz w:val="24"/>
          <w:szCs w:val="24"/>
          <w:highlight w:val="none"/>
        </w:rPr>
        <w:t>6.3 评标</w:t>
      </w:r>
      <w:bookmarkEnd w:id="325"/>
      <w:bookmarkEnd w:id="326"/>
      <w:bookmarkEnd w:id="327"/>
      <w:bookmarkEnd w:id="328"/>
      <w:bookmarkEnd w:id="329"/>
      <w:bookmarkEnd w:id="330"/>
      <w:bookmarkEnd w:id="331"/>
    </w:p>
    <w:p w14:paraId="530E5F2C">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评标委员会按照第三章“评标办法”规定的方法、评审因素、标准和程序对投标文件进行评审。第三章“评标办法”没有规定的方法、评审因素和标准，不作为评标依据。</w:t>
      </w:r>
    </w:p>
    <w:p w14:paraId="6CBA5343">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332" w:name="_Toc144974534"/>
      <w:bookmarkStart w:id="333" w:name="_Toc10387"/>
      <w:bookmarkStart w:id="334" w:name="_Toc370454420"/>
      <w:bookmarkStart w:id="335" w:name="_Toc152045566"/>
      <w:bookmarkStart w:id="336" w:name="_Toc247527591"/>
      <w:bookmarkStart w:id="337" w:name="_Toc247513990"/>
      <w:bookmarkStart w:id="338" w:name="_Toc375560045"/>
      <w:bookmarkStart w:id="339" w:name="_Toc152042342"/>
      <w:r>
        <w:rPr>
          <w:rFonts w:hint="eastAsia" w:ascii="方正仿宋_GB2312" w:hAnsi="方正仿宋_GB2312" w:eastAsia="方正仿宋_GB2312" w:cs="方正仿宋_GB2312"/>
          <w:b/>
          <w:bCs/>
          <w:color w:val="auto"/>
          <w:sz w:val="24"/>
          <w:szCs w:val="24"/>
          <w:highlight w:val="none"/>
        </w:rPr>
        <w:t>7. 合同授予</w:t>
      </w:r>
      <w:bookmarkEnd w:id="332"/>
      <w:bookmarkEnd w:id="333"/>
      <w:bookmarkEnd w:id="334"/>
      <w:bookmarkEnd w:id="335"/>
      <w:bookmarkEnd w:id="336"/>
      <w:bookmarkEnd w:id="337"/>
      <w:bookmarkEnd w:id="338"/>
      <w:bookmarkEnd w:id="339"/>
    </w:p>
    <w:p w14:paraId="5733D5E9">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40" w:name="_Toc375560046"/>
      <w:bookmarkStart w:id="341" w:name="_Toc247513991"/>
      <w:bookmarkStart w:id="342" w:name="_Toc152042343"/>
      <w:bookmarkStart w:id="343" w:name="_Toc152045567"/>
      <w:bookmarkStart w:id="344" w:name="_Toc370454421"/>
      <w:bookmarkStart w:id="345" w:name="_Toc247527592"/>
      <w:bookmarkStart w:id="346" w:name="_Toc144974535"/>
      <w:r>
        <w:rPr>
          <w:rFonts w:hint="eastAsia" w:ascii="方正仿宋_GB2312" w:hAnsi="方正仿宋_GB2312" w:eastAsia="方正仿宋_GB2312" w:cs="方正仿宋_GB2312"/>
          <w:color w:val="auto"/>
          <w:sz w:val="24"/>
          <w:szCs w:val="24"/>
          <w:highlight w:val="none"/>
        </w:rPr>
        <w:t>7.1 定标方式</w:t>
      </w:r>
      <w:bookmarkEnd w:id="340"/>
      <w:bookmarkEnd w:id="341"/>
      <w:bookmarkEnd w:id="342"/>
      <w:bookmarkEnd w:id="343"/>
      <w:bookmarkEnd w:id="344"/>
      <w:bookmarkEnd w:id="345"/>
      <w:bookmarkEnd w:id="346"/>
    </w:p>
    <w:p w14:paraId="5524E8BA">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除投标人须知前附表规定评标委员会直接确定中标人外，招标人依据评标委员会推荐的中标候选人确定中标人，评标委员会推荐中标候选人的人数见投标人须知前附表。</w:t>
      </w:r>
    </w:p>
    <w:p w14:paraId="7F499648">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47" w:name="_Toc370454422"/>
      <w:bookmarkStart w:id="348" w:name="_Toc375560047"/>
      <w:r>
        <w:rPr>
          <w:rFonts w:hint="eastAsia" w:ascii="方正仿宋_GB2312" w:hAnsi="方正仿宋_GB2312" w:eastAsia="方正仿宋_GB2312" w:cs="方正仿宋_GB2312"/>
          <w:color w:val="auto"/>
          <w:sz w:val="24"/>
          <w:szCs w:val="24"/>
          <w:highlight w:val="none"/>
        </w:rPr>
        <w:t>7.2 中标候选人公示</w:t>
      </w:r>
      <w:bookmarkEnd w:id="347"/>
      <w:bookmarkEnd w:id="348"/>
    </w:p>
    <w:p w14:paraId="3092381C">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招标人在投标人须知前附表规定的媒介公示中标候选人。</w:t>
      </w:r>
    </w:p>
    <w:p w14:paraId="2FD46DA1">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49" w:name="_Toc152045568"/>
      <w:bookmarkStart w:id="350" w:name="_Toc247513992"/>
      <w:bookmarkStart w:id="351" w:name="_Toc247527593"/>
      <w:bookmarkStart w:id="352" w:name="_Toc152042344"/>
      <w:bookmarkStart w:id="353" w:name="_Toc144974536"/>
      <w:bookmarkStart w:id="354" w:name="_Toc370454423"/>
      <w:bookmarkStart w:id="355" w:name="_Toc375560048"/>
      <w:r>
        <w:rPr>
          <w:rFonts w:hint="eastAsia" w:ascii="方正仿宋_GB2312" w:hAnsi="方正仿宋_GB2312" w:eastAsia="方正仿宋_GB2312" w:cs="方正仿宋_GB2312"/>
          <w:color w:val="auto"/>
          <w:sz w:val="24"/>
          <w:szCs w:val="24"/>
          <w:highlight w:val="none"/>
        </w:rPr>
        <w:t>7.3 中标通知</w:t>
      </w:r>
      <w:bookmarkEnd w:id="349"/>
      <w:bookmarkEnd w:id="350"/>
      <w:bookmarkEnd w:id="351"/>
      <w:bookmarkEnd w:id="352"/>
      <w:bookmarkEnd w:id="353"/>
      <w:bookmarkEnd w:id="354"/>
      <w:bookmarkEnd w:id="355"/>
    </w:p>
    <w:p w14:paraId="396B029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在本章第3.3款规定的投标有效期内，招标人以书面形式向中标人发出中标通知书，同时将中标结果通知未中标的投标人。中标通知书按本章附表格式填写。</w:t>
      </w:r>
    </w:p>
    <w:p w14:paraId="1BF728B6">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56" w:name="_Toc247527594"/>
      <w:bookmarkStart w:id="357" w:name="_Toc152042345"/>
      <w:bookmarkStart w:id="358" w:name="_Toc375560049"/>
      <w:bookmarkStart w:id="359" w:name="_Toc247513993"/>
      <w:bookmarkStart w:id="360" w:name="_Toc144974537"/>
      <w:bookmarkStart w:id="361" w:name="_Toc370454424"/>
      <w:bookmarkStart w:id="362" w:name="_Toc152045569"/>
      <w:r>
        <w:rPr>
          <w:rFonts w:hint="eastAsia" w:ascii="方正仿宋_GB2312" w:hAnsi="方正仿宋_GB2312" w:eastAsia="方正仿宋_GB2312" w:cs="方正仿宋_GB2312"/>
          <w:color w:val="auto"/>
          <w:sz w:val="24"/>
          <w:szCs w:val="24"/>
          <w:highlight w:val="none"/>
        </w:rPr>
        <w:t>7.4 履约担保</w:t>
      </w:r>
      <w:bookmarkEnd w:id="356"/>
      <w:bookmarkEnd w:id="357"/>
      <w:bookmarkEnd w:id="358"/>
      <w:bookmarkEnd w:id="359"/>
      <w:bookmarkEnd w:id="360"/>
      <w:bookmarkEnd w:id="361"/>
      <w:bookmarkEnd w:id="362"/>
    </w:p>
    <w:p w14:paraId="7F176A15">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7.4.1 在签订合同前，中标人应按投标人须知前附表规定的担保形式和招标文件第四章“合同条款及格式”规定的或者事先经过招标人书面认可的履约担保格式向招标人提交履约担保。除投标人须知前附表另有规定外，履约担保金额为中标合同金额的</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%。联合体中标的，其履约担保由联合体成员根据各自分工分别提交。</w:t>
      </w:r>
    </w:p>
    <w:p w14:paraId="36F817F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14:paraId="34B043F6">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63" w:name="_Toc152045570"/>
      <w:bookmarkStart w:id="364" w:name="_Toc144974538"/>
      <w:bookmarkStart w:id="365" w:name="_Toc370454425"/>
      <w:bookmarkStart w:id="366" w:name="_Toc247527595"/>
      <w:bookmarkStart w:id="367" w:name="_Toc247513994"/>
      <w:bookmarkStart w:id="368" w:name="_Toc375560050"/>
      <w:bookmarkStart w:id="369" w:name="_Toc152042346"/>
      <w:r>
        <w:rPr>
          <w:rFonts w:hint="eastAsia" w:ascii="方正仿宋_GB2312" w:hAnsi="方正仿宋_GB2312" w:eastAsia="方正仿宋_GB2312" w:cs="方正仿宋_GB2312"/>
          <w:color w:val="auto"/>
          <w:sz w:val="24"/>
          <w:szCs w:val="24"/>
          <w:highlight w:val="none"/>
        </w:rPr>
        <w:t>7.5 签订合同</w:t>
      </w:r>
      <w:bookmarkEnd w:id="363"/>
      <w:bookmarkEnd w:id="364"/>
      <w:bookmarkEnd w:id="365"/>
      <w:bookmarkEnd w:id="366"/>
      <w:bookmarkEnd w:id="367"/>
      <w:bookmarkEnd w:id="368"/>
      <w:bookmarkEnd w:id="369"/>
    </w:p>
    <w:p w14:paraId="1391F18C">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7.5.1 招标人和中标人应当自中标通知书发出之日起15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14:paraId="37916C13">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7.5.2 发出中标通知书后，招标人无正当理由拒签合同的，招标人向中标人退还投标保证金；给中标人造成损失的，还应当赔偿损失。 </w:t>
      </w:r>
    </w:p>
    <w:p w14:paraId="11FD9538">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370" w:name="_Toc152042347"/>
      <w:bookmarkStart w:id="371" w:name="_Toc152045571"/>
      <w:bookmarkStart w:id="372" w:name="_Toc247527596"/>
      <w:bookmarkStart w:id="373" w:name="_Toc144974539"/>
      <w:bookmarkStart w:id="374" w:name="_Toc247513995"/>
      <w:bookmarkStart w:id="375" w:name="_Toc17477"/>
      <w:bookmarkStart w:id="376" w:name="_Toc370454426"/>
      <w:bookmarkStart w:id="377" w:name="_Toc375560051"/>
      <w:r>
        <w:rPr>
          <w:rFonts w:hint="eastAsia" w:ascii="方正仿宋_GB2312" w:hAnsi="方正仿宋_GB2312" w:eastAsia="方正仿宋_GB2312" w:cs="方正仿宋_GB2312"/>
          <w:b/>
          <w:bCs/>
          <w:color w:val="auto"/>
          <w:sz w:val="24"/>
          <w:szCs w:val="24"/>
          <w:highlight w:val="none"/>
        </w:rPr>
        <w:t>8.</w:t>
      </w:r>
      <w:bookmarkEnd w:id="370"/>
      <w:bookmarkEnd w:id="371"/>
      <w:bookmarkEnd w:id="372"/>
      <w:bookmarkEnd w:id="373"/>
      <w:bookmarkEnd w:id="374"/>
      <w:bookmarkStart w:id="378" w:name="_Toc152045574"/>
      <w:bookmarkStart w:id="379" w:name="_Toc247513998"/>
      <w:bookmarkStart w:id="380" w:name="_Toc144974542"/>
      <w:bookmarkStart w:id="381" w:name="_Toc247527599"/>
      <w:bookmarkStart w:id="382" w:name="_Toc152042350"/>
      <w:r>
        <w:rPr>
          <w:rFonts w:hint="eastAsia" w:ascii="方正仿宋_GB2312" w:hAnsi="方正仿宋_GB2312" w:eastAsia="方正仿宋_GB2312" w:cs="方正仿宋_GB2312"/>
          <w:b/>
          <w:bCs/>
          <w:color w:val="auto"/>
          <w:sz w:val="24"/>
          <w:szCs w:val="24"/>
          <w:highlight w:val="none"/>
        </w:rPr>
        <w:t xml:space="preserve"> 纪律和监督</w:t>
      </w:r>
      <w:bookmarkEnd w:id="375"/>
      <w:bookmarkEnd w:id="376"/>
      <w:bookmarkEnd w:id="377"/>
      <w:bookmarkEnd w:id="378"/>
      <w:bookmarkEnd w:id="379"/>
      <w:bookmarkEnd w:id="380"/>
      <w:bookmarkEnd w:id="381"/>
      <w:bookmarkEnd w:id="382"/>
    </w:p>
    <w:p w14:paraId="70D47F4E">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83" w:name="_Toc144974543"/>
      <w:bookmarkStart w:id="384" w:name="_Toc152042351"/>
      <w:bookmarkStart w:id="385" w:name="_Toc152045575"/>
      <w:bookmarkStart w:id="386" w:name="_Toc375560052"/>
      <w:bookmarkStart w:id="387" w:name="_Toc247527600"/>
      <w:bookmarkStart w:id="388" w:name="_Toc370454427"/>
      <w:bookmarkStart w:id="389" w:name="_Toc247513999"/>
      <w:r>
        <w:rPr>
          <w:rFonts w:hint="eastAsia" w:ascii="方正仿宋_GB2312" w:hAnsi="方正仿宋_GB2312" w:eastAsia="方正仿宋_GB2312" w:cs="方正仿宋_GB2312"/>
          <w:color w:val="auto"/>
          <w:sz w:val="24"/>
          <w:szCs w:val="24"/>
          <w:highlight w:val="none"/>
        </w:rPr>
        <w:t>8.1 对招标人的纪律要求</w:t>
      </w:r>
      <w:bookmarkEnd w:id="383"/>
      <w:bookmarkEnd w:id="384"/>
      <w:bookmarkEnd w:id="385"/>
      <w:bookmarkEnd w:id="386"/>
      <w:bookmarkEnd w:id="387"/>
      <w:bookmarkEnd w:id="388"/>
      <w:bookmarkEnd w:id="389"/>
    </w:p>
    <w:p w14:paraId="6727F382">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招标人</w:t>
      </w:r>
      <w:r>
        <w:rPr>
          <w:rFonts w:hint="eastAsia" w:ascii="方正仿宋_GB2312" w:hAnsi="方正仿宋_GB2312" w:eastAsia="方正仿宋_GB2312" w:cs="方正仿宋_GB2312"/>
          <w:color w:val="auto"/>
          <w:sz w:val="24"/>
          <w:szCs w:val="24"/>
          <w:highlight w:val="none"/>
          <w:lang w:eastAsia="zh-CN"/>
        </w:rPr>
        <w:t>不得泄露</w:t>
      </w:r>
      <w:r>
        <w:rPr>
          <w:rFonts w:hint="eastAsia" w:ascii="方正仿宋_GB2312" w:hAnsi="方正仿宋_GB2312" w:eastAsia="方正仿宋_GB2312" w:cs="方正仿宋_GB2312"/>
          <w:color w:val="auto"/>
          <w:sz w:val="24"/>
          <w:szCs w:val="24"/>
          <w:highlight w:val="none"/>
        </w:rPr>
        <w:t>招标投标活动中应当保密的情况和资料，不得与投标人串通损害国家利益、社会公共利益或者他人合法权益。</w:t>
      </w:r>
    </w:p>
    <w:p w14:paraId="79B78044">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90" w:name="_Toc152045576"/>
      <w:bookmarkStart w:id="391" w:name="_Toc247527601"/>
      <w:bookmarkStart w:id="392" w:name="_Toc375560053"/>
      <w:bookmarkStart w:id="393" w:name="_Toc144974544"/>
      <w:bookmarkStart w:id="394" w:name="_Toc152042352"/>
      <w:bookmarkStart w:id="395" w:name="_Toc370454428"/>
      <w:bookmarkStart w:id="396" w:name="_Toc247514000"/>
      <w:r>
        <w:rPr>
          <w:rFonts w:hint="eastAsia" w:ascii="方正仿宋_GB2312" w:hAnsi="方正仿宋_GB2312" w:eastAsia="方正仿宋_GB2312" w:cs="方正仿宋_GB2312"/>
          <w:color w:val="auto"/>
          <w:sz w:val="24"/>
          <w:szCs w:val="24"/>
          <w:highlight w:val="none"/>
        </w:rPr>
        <w:t>8.2 对投标人的纪律要求</w:t>
      </w:r>
      <w:bookmarkEnd w:id="390"/>
      <w:bookmarkEnd w:id="391"/>
      <w:bookmarkEnd w:id="392"/>
      <w:bookmarkEnd w:id="393"/>
      <w:bookmarkEnd w:id="394"/>
      <w:bookmarkEnd w:id="395"/>
      <w:bookmarkEnd w:id="396"/>
    </w:p>
    <w:p w14:paraId="39989038">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262E1A44">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397" w:name="_Toc375560054"/>
      <w:bookmarkStart w:id="398" w:name="_Toc370454429"/>
      <w:bookmarkStart w:id="399" w:name="_Toc152045577"/>
      <w:bookmarkStart w:id="400" w:name="_Toc247527602"/>
      <w:bookmarkStart w:id="401" w:name="_Toc247514001"/>
      <w:bookmarkStart w:id="402" w:name="_Toc152042353"/>
      <w:bookmarkStart w:id="403" w:name="_Toc144974545"/>
      <w:r>
        <w:rPr>
          <w:rFonts w:hint="eastAsia" w:ascii="方正仿宋_GB2312" w:hAnsi="方正仿宋_GB2312" w:eastAsia="方正仿宋_GB2312" w:cs="方正仿宋_GB2312"/>
          <w:color w:val="auto"/>
          <w:sz w:val="24"/>
          <w:szCs w:val="24"/>
          <w:highlight w:val="none"/>
        </w:rPr>
        <w:t>8.3 对评标委员会成员的纪律要求</w:t>
      </w:r>
      <w:bookmarkEnd w:id="397"/>
      <w:bookmarkEnd w:id="398"/>
      <w:bookmarkEnd w:id="399"/>
      <w:bookmarkEnd w:id="400"/>
      <w:bookmarkEnd w:id="401"/>
      <w:bookmarkEnd w:id="402"/>
      <w:bookmarkEnd w:id="403"/>
    </w:p>
    <w:p w14:paraId="0FDD0E66">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评标委员会成员不得收受他人的财物或者其他好处，不得向他人</w:t>
      </w:r>
      <w:r>
        <w:rPr>
          <w:rFonts w:hint="eastAsia" w:ascii="方正仿宋_GB2312" w:hAnsi="方正仿宋_GB2312" w:eastAsia="方正仿宋_GB2312" w:cs="方正仿宋_GB2312"/>
          <w:color w:val="auto"/>
          <w:sz w:val="24"/>
          <w:szCs w:val="24"/>
          <w:highlight w:val="none"/>
          <w:lang w:eastAsia="zh-CN"/>
        </w:rPr>
        <w:t>透露</w:t>
      </w:r>
      <w:r>
        <w:rPr>
          <w:rFonts w:hint="eastAsia" w:ascii="方正仿宋_GB2312" w:hAnsi="方正仿宋_GB2312" w:eastAsia="方正仿宋_GB2312" w:cs="方正仿宋_GB2312"/>
          <w:color w:val="auto"/>
          <w:sz w:val="24"/>
          <w:szCs w:val="24"/>
          <w:highlight w:val="none"/>
        </w:rPr>
        <w:t>对投标文件的评审和比较、中标候选人的推荐情况以</w:t>
      </w:r>
      <w:r>
        <w:rPr>
          <w:rFonts w:hint="eastAsia" w:ascii="方正仿宋_GB2312" w:hAnsi="方正仿宋_GB2312" w:eastAsia="方正仿宋_GB2312" w:cs="方正仿宋_GB2312"/>
          <w:color w:val="auto"/>
          <w:sz w:val="24"/>
          <w:szCs w:val="24"/>
          <w:highlight w:val="none"/>
          <w:lang w:eastAsia="zh-CN"/>
        </w:rPr>
        <w:t>及与</w:t>
      </w:r>
      <w:r>
        <w:rPr>
          <w:rFonts w:hint="eastAsia" w:ascii="方正仿宋_GB2312" w:hAnsi="方正仿宋_GB2312" w:eastAsia="方正仿宋_GB2312" w:cs="方正仿宋_GB2312"/>
          <w:color w:val="auto"/>
          <w:sz w:val="24"/>
          <w:szCs w:val="24"/>
          <w:highlight w:val="none"/>
        </w:rPr>
        <w:t>评标有关的其他情况。在评标活动中，评标委员会成员应当客观、公正地履行职责，遵守职业道德，不得擅离职守，影响评标程序正常进行，不得使用第三章“评标办法”没有规定的评审因素和标准进行评标。</w:t>
      </w:r>
    </w:p>
    <w:p w14:paraId="4BC05141">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404" w:name="_Toc375560055"/>
      <w:bookmarkStart w:id="405" w:name="_Toc152045578"/>
      <w:bookmarkStart w:id="406" w:name="_Toc247527603"/>
      <w:bookmarkStart w:id="407" w:name="_Toc370454430"/>
      <w:bookmarkStart w:id="408" w:name="_Toc152042354"/>
      <w:bookmarkStart w:id="409" w:name="_Toc247514002"/>
      <w:bookmarkStart w:id="410" w:name="_Toc144974546"/>
      <w:r>
        <w:rPr>
          <w:rFonts w:hint="eastAsia" w:ascii="方正仿宋_GB2312" w:hAnsi="方正仿宋_GB2312" w:eastAsia="方正仿宋_GB2312" w:cs="方正仿宋_GB2312"/>
          <w:color w:val="auto"/>
          <w:sz w:val="24"/>
          <w:szCs w:val="24"/>
          <w:highlight w:val="none"/>
        </w:rPr>
        <w:t>8.4 对与评标活动有关的工作人员的纪律要求</w:t>
      </w:r>
      <w:bookmarkEnd w:id="404"/>
      <w:bookmarkEnd w:id="405"/>
      <w:bookmarkEnd w:id="406"/>
      <w:bookmarkEnd w:id="407"/>
      <w:bookmarkEnd w:id="408"/>
      <w:bookmarkEnd w:id="409"/>
    </w:p>
    <w:p w14:paraId="6848BF1B">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bookmarkStart w:id="411" w:name="_Toc152042355"/>
      <w:r>
        <w:rPr>
          <w:rFonts w:hint="eastAsia" w:ascii="方正仿宋_GB2312" w:hAnsi="方正仿宋_GB2312" w:eastAsia="方正仿宋_GB2312" w:cs="方正仿宋_GB2312"/>
          <w:color w:val="auto"/>
          <w:sz w:val="24"/>
          <w:szCs w:val="24"/>
          <w:highlight w:val="none"/>
        </w:rPr>
        <w:t>与评标活动有关的工作人员不得收受他人的财物或者其他好处，不得向他人</w:t>
      </w:r>
      <w:r>
        <w:rPr>
          <w:rFonts w:hint="eastAsia" w:ascii="方正仿宋_GB2312" w:hAnsi="方正仿宋_GB2312" w:eastAsia="方正仿宋_GB2312" w:cs="方正仿宋_GB2312"/>
          <w:color w:val="auto"/>
          <w:sz w:val="24"/>
          <w:szCs w:val="24"/>
          <w:highlight w:val="none"/>
          <w:lang w:eastAsia="zh-CN"/>
        </w:rPr>
        <w:t>透露</w:t>
      </w:r>
      <w:r>
        <w:rPr>
          <w:rFonts w:hint="eastAsia" w:ascii="方正仿宋_GB2312" w:hAnsi="方正仿宋_GB2312" w:eastAsia="方正仿宋_GB2312" w:cs="方正仿宋_GB2312"/>
          <w:color w:val="auto"/>
          <w:sz w:val="24"/>
          <w:szCs w:val="24"/>
          <w:highlight w:val="none"/>
        </w:rPr>
        <w:t>对投标文件的评审和比较、中标候选人的推荐情况以</w:t>
      </w:r>
      <w:r>
        <w:rPr>
          <w:rFonts w:hint="eastAsia" w:ascii="方正仿宋_GB2312" w:hAnsi="方正仿宋_GB2312" w:eastAsia="方正仿宋_GB2312" w:cs="方正仿宋_GB2312"/>
          <w:color w:val="auto"/>
          <w:sz w:val="24"/>
          <w:szCs w:val="24"/>
          <w:highlight w:val="none"/>
          <w:lang w:eastAsia="zh-CN"/>
        </w:rPr>
        <w:t>及与</w:t>
      </w:r>
      <w:r>
        <w:rPr>
          <w:rFonts w:hint="eastAsia" w:ascii="方正仿宋_GB2312" w:hAnsi="方正仿宋_GB2312" w:eastAsia="方正仿宋_GB2312" w:cs="方正仿宋_GB2312"/>
          <w:color w:val="auto"/>
          <w:sz w:val="24"/>
          <w:szCs w:val="24"/>
          <w:highlight w:val="none"/>
        </w:rPr>
        <w:t>评标有关的其他情况。在评标活动中，与评标活动有关的工作人员不得擅离职守，影响评标程序正常进行。</w:t>
      </w:r>
      <w:bookmarkEnd w:id="411"/>
    </w:p>
    <w:p w14:paraId="0DB35270">
      <w:pPr>
        <w:keepNext w:val="0"/>
        <w:keepLines w:val="0"/>
        <w:pageBreakBefore w:val="0"/>
        <w:widowControl w:val="0"/>
        <w:kinsoku/>
        <w:wordWrap/>
        <w:overflowPunct/>
        <w:topLinePunct w:val="0"/>
        <w:autoSpaceDE/>
        <w:autoSpaceDN/>
        <w:bidi w:val="0"/>
        <w:snapToGrid w:val="0"/>
        <w:spacing w:after="0" w:line="360" w:lineRule="auto"/>
        <w:textAlignment w:val="auto"/>
        <w:outlineLvl w:val="9"/>
        <w:rPr>
          <w:rFonts w:hint="eastAsia" w:ascii="方正仿宋_GB2312" w:hAnsi="方正仿宋_GB2312" w:eastAsia="方正仿宋_GB2312" w:cs="方正仿宋_GB2312"/>
          <w:color w:val="auto"/>
          <w:sz w:val="24"/>
          <w:szCs w:val="24"/>
          <w:highlight w:val="none"/>
        </w:rPr>
      </w:pPr>
      <w:bookmarkStart w:id="412" w:name="_Toc247514003"/>
      <w:bookmarkStart w:id="413" w:name="_Toc152045579"/>
      <w:bookmarkStart w:id="414" w:name="_Toc370454431"/>
      <w:bookmarkStart w:id="415" w:name="_Toc375560056"/>
      <w:bookmarkStart w:id="416" w:name="_Toc152042356"/>
      <w:bookmarkStart w:id="417" w:name="_Toc247527604"/>
      <w:r>
        <w:rPr>
          <w:rFonts w:hint="eastAsia" w:ascii="方正仿宋_GB2312" w:hAnsi="方正仿宋_GB2312" w:eastAsia="方正仿宋_GB2312" w:cs="方正仿宋_GB2312"/>
          <w:color w:val="auto"/>
          <w:sz w:val="24"/>
          <w:szCs w:val="24"/>
          <w:highlight w:val="none"/>
        </w:rPr>
        <w:t>8.5 投诉</w:t>
      </w:r>
      <w:bookmarkEnd w:id="410"/>
      <w:bookmarkEnd w:id="412"/>
      <w:bookmarkEnd w:id="413"/>
      <w:bookmarkEnd w:id="414"/>
      <w:bookmarkEnd w:id="415"/>
      <w:bookmarkEnd w:id="416"/>
      <w:bookmarkEnd w:id="417"/>
    </w:p>
    <w:p w14:paraId="3D3A112D">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投标人和其他利害关系人认为本次招标活动违反</w:t>
      </w:r>
      <w:r>
        <w:rPr>
          <w:rFonts w:hint="eastAsia" w:ascii="方正仿宋_GB2312" w:hAnsi="方正仿宋_GB2312" w:eastAsia="方正仿宋_GB2312" w:cs="方正仿宋_GB2312"/>
          <w:color w:val="auto"/>
          <w:sz w:val="24"/>
          <w:szCs w:val="24"/>
          <w:highlight w:val="none"/>
          <w:lang w:eastAsia="zh-CN"/>
        </w:rPr>
        <w:t>法律法规</w:t>
      </w:r>
      <w:r>
        <w:rPr>
          <w:rFonts w:hint="eastAsia" w:ascii="方正仿宋_GB2312" w:hAnsi="方正仿宋_GB2312" w:eastAsia="方正仿宋_GB2312" w:cs="方正仿宋_GB2312"/>
          <w:color w:val="auto"/>
          <w:sz w:val="24"/>
          <w:szCs w:val="24"/>
          <w:highlight w:val="none"/>
        </w:rPr>
        <w:t>和规章规定的，有权向有关行政监督部门投诉。</w:t>
      </w:r>
    </w:p>
    <w:p w14:paraId="5FEC97E3">
      <w:pPr>
        <w:keepNext w:val="0"/>
        <w:keepLines w:val="0"/>
        <w:pageBreakBefore w:val="0"/>
        <w:widowControl w:val="0"/>
        <w:kinsoku/>
        <w:wordWrap/>
        <w:overflowPunct/>
        <w:topLinePunct w:val="0"/>
        <w:autoSpaceDE/>
        <w:autoSpaceDN/>
        <w:bidi w:val="0"/>
        <w:snapToGrid w:val="0"/>
        <w:spacing w:after="0" w:line="360" w:lineRule="auto"/>
        <w:textAlignment w:val="auto"/>
        <w:outlineLvl w:val="2"/>
        <w:rPr>
          <w:rFonts w:hint="eastAsia" w:ascii="方正仿宋_GB2312" w:hAnsi="方正仿宋_GB2312" w:eastAsia="方正仿宋_GB2312" w:cs="方正仿宋_GB2312"/>
          <w:b/>
          <w:bCs/>
          <w:color w:val="auto"/>
          <w:sz w:val="24"/>
          <w:szCs w:val="24"/>
          <w:highlight w:val="none"/>
        </w:rPr>
      </w:pPr>
      <w:bookmarkStart w:id="418" w:name="_Toc247527605"/>
      <w:bookmarkStart w:id="419" w:name="_Toc152045580"/>
      <w:bookmarkStart w:id="420" w:name="_Toc706"/>
      <w:bookmarkStart w:id="421" w:name="_Toc247514004"/>
      <w:bookmarkStart w:id="422" w:name="_Toc375560057"/>
      <w:bookmarkStart w:id="423" w:name="_Toc152042357"/>
      <w:bookmarkStart w:id="424" w:name="_Toc370454432"/>
      <w:bookmarkStart w:id="425" w:name="_Toc144974547"/>
      <w:r>
        <w:rPr>
          <w:rFonts w:hint="eastAsia" w:ascii="方正仿宋_GB2312" w:hAnsi="方正仿宋_GB2312" w:eastAsia="方正仿宋_GB2312" w:cs="方正仿宋_GB2312"/>
          <w:b/>
          <w:bCs/>
          <w:color w:val="auto"/>
          <w:sz w:val="24"/>
          <w:szCs w:val="24"/>
          <w:highlight w:val="none"/>
        </w:rPr>
        <w:t>9. 需要补充的其他内容</w:t>
      </w:r>
      <w:bookmarkEnd w:id="418"/>
      <w:bookmarkEnd w:id="419"/>
      <w:bookmarkEnd w:id="420"/>
      <w:bookmarkEnd w:id="421"/>
      <w:bookmarkEnd w:id="422"/>
      <w:bookmarkEnd w:id="423"/>
      <w:bookmarkEnd w:id="424"/>
      <w:bookmarkEnd w:id="425"/>
    </w:p>
    <w:p w14:paraId="216BC396">
      <w:pPr>
        <w:keepNext w:val="0"/>
        <w:keepLines w:val="0"/>
        <w:pageBreakBefore w:val="0"/>
        <w:widowControl w:val="0"/>
        <w:kinsoku/>
        <w:wordWrap/>
        <w:overflowPunct/>
        <w:topLinePunct w:val="0"/>
        <w:autoSpaceDE/>
        <w:autoSpaceDN/>
        <w:bidi w:val="0"/>
        <w:snapToGrid w:val="0"/>
        <w:spacing w:after="0" w:line="360" w:lineRule="auto"/>
        <w:ind w:firstLine="480" w:firstLineChars="200"/>
        <w:textAlignment w:val="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需要补充的其他内容：见投标人须知前附表。</w:t>
      </w:r>
    </w:p>
    <w:p w14:paraId="6520C463">
      <w:pPr>
        <w:pStyle w:val="4"/>
        <w:ind w:firstLine="0" w:firstLineChars="0"/>
        <w:rPr>
          <w:rFonts w:hint="eastAsia" w:ascii="方正仿宋_GB2312" w:hAnsi="方正仿宋_GB2312" w:eastAsia="方正仿宋_GB2312" w:cs="方正仿宋_GB2312"/>
          <w:color w:val="auto"/>
          <w:highlight w:val="none"/>
        </w:rPr>
      </w:pPr>
      <w:bookmarkStart w:id="426" w:name="_Toc144974565"/>
      <w:bookmarkStart w:id="427" w:name="_Toc247514022"/>
      <w:bookmarkStart w:id="428" w:name="_Toc375560065"/>
      <w:bookmarkStart w:id="429" w:name="_Toc152042375"/>
      <w:bookmarkStart w:id="430" w:name="_Toc247527623"/>
      <w:bookmarkStart w:id="431" w:name="_Toc152045598"/>
      <w:r>
        <w:rPr>
          <w:rFonts w:hint="eastAsia" w:ascii="方正仿宋_GB2312" w:hAnsi="方正仿宋_GB2312" w:eastAsia="方正仿宋_GB2312" w:cs="方正仿宋_GB2312"/>
          <w:color w:val="auto"/>
          <w:sz w:val="24"/>
          <w:szCs w:val="24"/>
          <w:highlight w:val="none"/>
        </w:rPr>
        <w:br w:type="page"/>
      </w:r>
      <w:bookmarkEnd w:id="426"/>
      <w:bookmarkEnd w:id="427"/>
      <w:bookmarkEnd w:id="428"/>
      <w:bookmarkEnd w:id="429"/>
      <w:bookmarkEnd w:id="430"/>
      <w:bookmarkEnd w:id="431"/>
      <w:bookmarkStart w:id="432" w:name="_Toc21188"/>
      <w:r>
        <w:rPr>
          <w:rFonts w:hint="eastAsia" w:ascii="方正仿宋_GB2312" w:hAnsi="方正仿宋_GB2312" w:eastAsia="方正仿宋_GB2312" w:cs="方正仿宋_GB2312"/>
          <w:color w:val="auto"/>
          <w:highlight w:val="none"/>
        </w:rPr>
        <w:t>附件一：开标记录表</w:t>
      </w:r>
      <w:bookmarkEnd w:id="432"/>
    </w:p>
    <w:p w14:paraId="73892031">
      <w:pPr>
        <w:spacing w:line="400" w:lineRule="exact"/>
        <w:rPr>
          <w:rFonts w:hint="eastAsia" w:ascii="方正仿宋_GB2312" w:hAnsi="方正仿宋_GB2312" w:eastAsia="方正仿宋_GB2312" w:cs="方正仿宋_GB2312"/>
          <w:color w:val="auto"/>
          <w:highlight w:val="none"/>
        </w:rPr>
      </w:pPr>
    </w:p>
    <w:p w14:paraId="3E7A2BB6">
      <w:pPr>
        <w:spacing w:line="40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（项目名称）</w:t>
      </w:r>
      <w:r>
        <w:rPr>
          <w:rFonts w:hint="eastAsia" w:ascii="方正仿宋_GB2312" w:hAnsi="方正仿宋_GB2312" w:eastAsia="方正仿宋_GB2312" w:cs="方正仿宋_GB2312"/>
          <w:color w:val="auto"/>
          <w:sz w:val="28"/>
          <w:szCs w:val="28"/>
          <w:highlight w:val="none"/>
          <w:lang w:val="en-US" w:eastAsia="zh-CN"/>
        </w:rPr>
        <w:t>EPC</w:t>
      </w:r>
      <w:r>
        <w:rPr>
          <w:rFonts w:hint="eastAsia" w:ascii="方正仿宋_GB2312" w:hAnsi="方正仿宋_GB2312" w:eastAsia="方正仿宋_GB2312" w:cs="方正仿宋_GB2312"/>
          <w:color w:val="auto"/>
          <w:sz w:val="28"/>
          <w:szCs w:val="28"/>
          <w:highlight w:val="none"/>
        </w:rPr>
        <w:t>招标开标记录表</w:t>
      </w:r>
    </w:p>
    <w:tbl>
      <w:tblPr>
        <w:tblStyle w:val="28"/>
        <w:tblW w:w="9517" w:type="dxa"/>
        <w:jc w:val="center"/>
        <w:tblLayout w:type="fixed"/>
        <w:tblCellMar>
          <w:top w:w="0" w:type="dxa"/>
          <w:left w:w="108" w:type="dxa"/>
          <w:bottom w:w="0" w:type="dxa"/>
          <w:right w:w="108" w:type="dxa"/>
        </w:tblCellMar>
      </w:tblPr>
      <w:tblGrid>
        <w:gridCol w:w="571"/>
        <w:gridCol w:w="749"/>
        <w:gridCol w:w="1592"/>
        <w:gridCol w:w="1952"/>
        <w:gridCol w:w="812"/>
        <w:gridCol w:w="1052"/>
        <w:gridCol w:w="1643"/>
        <w:gridCol w:w="573"/>
        <w:gridCol w:w="573"/>
      </w:tblGrid>
      <w:tr w14:paraId="2BF1EE9B">
        <w:tblPrEx>
          <w:tblCellMar>
            <w:top w:w="0" w:type="dxa"/>
            <w:left w:w="108" w:type="dxa"/>
            <w:bottom w:w="0" w:type="dxa"/>
            <w:right w:w="108" w:type="dxa"/>
          </w:tblCellMar>
        </w:tblPrEx>
        <w:trPr>
          <w:trHeight w:val="435" w:hRule="atLeast"/>
          <w:tblHeader/>
          <w:jc w:val="center"/>
        </w:trPr>
        <w:tc>
          <w:tcPr>
            <w:tcW w:w="571" w:type="dxa"/>
            <w:vMerge w:val="restart"/>
            <w:tcBorders>
              <w:top w:val="single" w:color="auto" w:sz="4" w:space="0"/>
              <w:left w:val="single" w:color="auto" w:sz="4" w:space="0"/>
              <w:right w:val="single" w:color="auto" w:sz="4" w:space="0"/>
            </w:tcBorders>
            <w:vAlign w:val="center"/>
          </w:tcPr>
          <w:p w14:paraId="6D1D32F5">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序号</w:t>
            </w:r>
          </w:p>
        </w:tc>
        <w:tc>
          <w:tcPr>
            <w:tcW w:w="749" w:type="dxa"/>
            <w:vMerge w:val="restart"/>
            <w:tcBorders>
              <w:top w:val="single" w:color="auto" w:sz="4" w:space="0"/>
              <w:left w:val="single" w:color="auto" w:sz="4" w:space="0"/>
              <w:right w:val="single" w:color="auto" w:sz="4" w:space="0"/>
            </w:tcBorders>
            <w:vAlign w:val="center"/>
          </w:tcPr>
          <w:p w14:paraId="5B85F620">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投标人</w:t>
            </w:r>
          </w:p>
        </w:tc>
        <w:tc>
          <w:tcPr>
            <w:tcW w:w="3544" w:type="dxa"/>
            <w:gridSpan w:val="2"/>
            <w:tcBorders>
              <w:top w:val="single" w:color="auto" w:sz="4" w:space="0"/>
              <w:left w:val="single" w:color="auto" w:sz="4" w:space="0"/>
              <w:bottom w:val="single" w:color="auto" w:sz="4" w:space="0"/>
              <w:right w:val="single" w:color="auto" w:sz="4" w:space="0"/>
            </w:tcBorders>
            <w:vAlign w:val="center"/>
          </w:tcPr>
          <w:p w14:paraId="6764EB2C">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投标报价</w:t>
            </w:r>
          </w:p>
        </w:tc>
        <w:tc>
          <w:tcPr>
            <w:tcW w:w="812" w:type="dxa"/>
            <w:vMerge w:val="restart"/>
            <w:tcBorders>
              <w:top w:val="single" w:color="auto" w:sz="4" w:space="0"/>
              <w:left w:val="single" w:color="auto" w:sz="4" w:space="0"/>
              <w:right w:val="single" w:color="auto" w:sz="4" w:space="0"/>
            </w:tcBorders>
            <w:vAlign w:val="center"/>
          </w:tcPr>
          <w:p w14:paraId="6BE265A9">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质量承诺</w:t>
            </w:r>
          </w:p>
        </w:tc>
        <w:tc>
          <w:tcPr>
            <w:tcW w:w="1052" w:type="dxa"/>
            <w:vMerge w:val="restart"/>
            <w:tcBorders>
              <w:top w:val="single" w:color="auto" w:sz="4" w:space="0"/>
              <w:left w:val="single" w:color="auto" w:sz="4" w:space="0"/>
              <w:right w:val="single" w:color="auto" w:sz="4" w:space="0"/>
            </w:tcBorders>
            <w:vAlign w:val="center"/>
          </w:tcPr>
          <w:p w14:paraId="3B5BBEFF">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工期承诺</w:t>
            </w:r>
          </w:p>
        </w:tc>
        <w:tc>
          <w:tcPr>
            <w:tcW w:w="1643" w:type="dxa"/>
            <w:vMerge w:val="restart"/>
            <w:tcBorders>
              <w:top w:val="single" w:color="auto" w:sz="4" w:space="0"/>
              <w:left w:val="single" w:color="auto" w:sz="4" w:space="0"/>
              <w:right w:val="single" w:color="auto" w:sz="4" w:space="0"/>
            </w:tcBorders>
            <w:vAlign w:val="center"/>
          </w:tcPr>
          <w:p w14:paraId="7484D622">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投标保证金（元）</w:t>
            </w:r>
          </w:p>
        </w:tc>
        <w:tc>
          <w:tcPr>
            <w:tcW w:w="573" w:type="dxa"/>
            <w:vMerge w:val="restart"/>
            <w:tcBorders>
              <w:top w:val="single" w:color="auto" w:sz="4" w:space="0"/>
              <w:left w:val="single" w:color="auto" w:sz="4" w:space="0"/>
              <w:right w:val="single" w:color="auto" w:sz="4" w:space="0"/>
            </w:tcBorders>
            <w:vAlign w:val="center"/>
          </w:tcPr>
          <w:p w14:paraId="7DA583B1">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说明</w:t>
            </w:r>
          </w:p>
        </w:tc>
        <w:tc>
          <w:tcPr>
            <w:tcW w:w="573" w:type="dxa"/>
            <w:vMerge w:val="restart"/>
            <w:tcBorders>
              <w:top w:val="single" w:color="auto" w:sz="4" w:space="0"/>
              <w:left w:val="single" w:color="auto" w:sz="4" w:space="0"/>
              <w:right w:val="single" w:color="auto" w:sz="4" w:space="0"/>
            </w:tcBorders>
            <w:vAlign w:val="center"/>
          </w:tcPr>
          <w:p w14:paraId="3A66C687">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r>
              <w:rPr>
                <w:rFonts w:hint="eastAsia" w:ascii="方正仿宋_GB2312" w:hAnsi="方正仿宋_GB2312" w:eastAsia="方正仿宋_GB2312" w:cs="方正仿宋_GB2312"/>
                <w:b/>
                <w:color w:val="auto"/>
                <w:sz w:val="18"/>
                <w:szCs w:val="18"/>
                <w:highlight w:val="none"/>
              </w:rPr>
              <w:t>签名</w:t>
            </w:r>
          </w:p>
        </w:tc>
      </w:tr>
      <w:tr w14:paraId="7D5BF4E3">
        <w:tblPrEx>
          <w:tblCellMar>
            <w:top w:w="0" w:type="dxa"/>
            <w:left w:w="108" w:type="dxa"/>
            <w:bottom w:w="0" w:type="dxa"/>
            <w:right w:w="108" w:type="dxa"/>
          </w:tblCellMar>
        </w:tblPrEx>
        <w:trPr>
          <w:trHeight w:val="435" w:hRule="atLeast"/>
          <w:tblHeader/>
          <w:jc w:val="center"/>
        </w:trPr>
        <w:tc>
          <w:tcPr>
            <w:tcW w:w="571" w:type="dxa"/>
            <w:vMerge w:val="continue"/>
            <w:tcBorders>
              <w:left w:val="single" w:color="auto" w:sz="4" w:space="0"/>
              <w:bottom w:val="single" w:color="auto" w:sz="4" w:space="0"/>
              <w:right w:val="single" w:color="auto" w:sz="4" w:space="0"/>
            </w:tcBorders>
            <w:vAlign w:val="center"/>
          </w:tcPr>
          <w:p w14:paraId="022F1DA7">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c>
          <w:tcPr>
            <w:tcW w:w="749" w:type="dxa"/>
            <w:vMerge w:val="continue"/>
            <w:tcBorders>
              <w:left w:val="single" w:color="auto" w:sz="4" w:space="0"/>
              <w:bottom w:val="single" w:color="auto" w:sz="4" w:space="0"/>
              <w:right w:val="single" w:color="auto" w:sz="4" w:space="0"/>
            </w:tcBorders>
            <w:vAlign w:val="center"/>
          </w:tcPr>
          <w:p w14:paraId="338703D3">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rPr>
            </w:pPr>
          </w:p>
        </w:tc>
        <w:tc>
          <w:tcPr>
            <w:tcW w:w="1592" w:type="dxa"/>
            <w:tcBorders>
              <w:top w:val="single" w:color="auto" w:sz="4" w:space="0"/>
              <w:left w:val="single" w:color="auto" w:sz="4" w:space="0"/>
              <w:bottom w:val="single" w:color="auto" w:sz="4" w:space="0"/>
              <w:right w:val="single" w:color="auto" w:sz="4" w:space="0"/>
            </w:tcBorders>
            <w:vAlign w:val="center"/>
          </w:tcPr>
          <w:p w14:paraId="2EB95676">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lang w:eastAsia="zh-CN"/>
              </w:rPr>
            </w:pPr>
            <w:r>
              <w:rPr>
                <w:rFonts w:hint="eastAsia" w:ascii="方正仿宋_GB2312" w:hAnsi="方正仿宋_GB2312" w:eastAsia="方正仿宋_GB2312" w:cs="方正仿宋_GB2312"/>
                <w:b/>
                <w:color w:val="auto"/>
                <w:sz w:val="18"/>
                <w:szCs w:val="18"/>
                <w:highlight w:val="none"/>
                <w:lang w:eastAsia="zh-CN"/>
              </w:rPr>
              <w:t>设计费</w:t>
            </w:r>
            <w:r>
              <w:rPr>
                <w:rFonts w:hint="eastAsia" w:ascii="方正仿宋_GB2312" w:hAnsi="方正仿宋_GB2312" w:eastAsia="方正仿宋_GB2312" w:cs="方正仿宋_GB2312"/>
                <w:b/>
                <w:color w:val="auto"/>
                <w:sz w:val="18"/>
                <w:szCs w:val="18"/>
                <w:highlight w:val="none"/>
              </w:rPr>
              <w:t>投标报价</w:t>
            </w:r>
          </w:p>
        </w:tc>
        <w:tc>
          <w:tcPr>
            <w:tcW w:w="1952" w:type="dxa"/>
            <w:tcBorders>
              <w:top w:val="single" w:color="auto" w:sz="4" w:space="0"/>
              <w:left w:val="single" w:color="auto" w:sz="4" w:space="0"/>
              <w:bottom w:val="single" w:color="auto" w:sz="4" w:space="0"/>
              <w:right w:val="single" w:color="auto" w:sz="4" w:space="0"/>
            </w:tcBorders>
            <w:vAlign w:val="center"/>
          </w:tcPr>
          <w:p w14:paraId="311CB9A7">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方正仿宋_GB2312" w:hAnsi="方正仿宋_GB2312" w:eastAsia="方正仿宋_GB2312" w:cs="方正仿宋_GB2312"/>
                <w:b/>
                <w:color w:val="auto"/>
                <w:sz w:val="18"/>
                <w:szCs w:val="18"/>
                <w:highlight w:val="none"/>
                <w:lang w:eastAsia="zh-CN"/>
              </w:rPr>
            </w:pPr>
            <w:r>
              <w:rPr>
                <w:rFonts w:hint="eastAsia" w:ascii="方正仿宋_GB2312" w:hAnsi="方正仿宋_GB2312" w:eastAsia="方正仿宋_GB2312" w:cs="方正仿宋_GB2312"/>
                <w:b/>
                <w:color w:val="auto"/>
                <w:sz w:val="18"/>
                <w:szCs w:val="18"/>
                <w:highlight w:val="none"/>
                <w:lang w:eastAsia="zh-CN"/>
              </w:rPr>
              <w:t>施工费</w:t>
            </w:r>
            <w:r>
              <w:rPr>
                <w:rFonts w:hint="eastAsia" w:ascii="方正仿宋_GB2312" w:hAnsi="方正仿宋_GB2312" w:eastAsia="方正仿宋_GB2312" w:cs="方正仿宋_GB2312"/>
                <w:b/>
                <w:color w:val="auto"/>
                <w:sz w:val="18"/>
                <w:szCs w:val="18"/>
                <w:highlight w:val="none"/>
              </w:rPr>
              <w:t>费率投标报价</w:t>
            </w:r>
          </w:p>
        </w:tc>
        <w:tc>
          <w:tcPr>
            <w:tcW w:w="812" w:type="dxa"/>
            <w:vMerge w:val="continue"/>
            <w:tcBorders>
              <w:left w:val="single" w:color="auto" w:sz="4" w:space="0"/>
              <w:bottom w:val="single" w:color="auto" w:sz="4" w:space="0"/>
              <w:right w:val="single" w:color="auto" w:sz="4" w:space="0"/>
            </w:tcBorders>
            <w:vAlign w:val="center"/>
          </w:tcPr>
          <w:p w14:paraId="6F84CFA7">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c>
          <w:tcPr>
            <w:tcW w:w="1052" w:type="dxa"/>
            <w:vMerge w:val="continue"/>
            <w:tcBorders>
              <w:left w:val="single" w:color="auto" w:sz="4" w:space="0"/>
              <w:bottom w:val="single" w:color="auto" w:sz="4" w:space="0"/>
              <w:right w:val="single" w:color="auto" w:sz="4" w:space="0"/>
            </w:tcBorders>
            <w:vAlign w:val="center"/>
          </w:tcPr>
          <w:p w14:paraId="0207831D">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c>
          <w:tcPr>
            <w:tcW w:w="1643" w:type="dxa"/>
            <w:vMerge w:val="continue"/>
            <w:tcBorders>
              <w:left w:val="single" w:color="auto" w:sz="4" w:space="0"/>
              <w:bottom w:val="single" w:color="auto" w:sz="4" w:space="0"/>
              <w:right w:val="single" w:color="auto" w:sz="4" w:space="0"/>
            </w:tcBorders>
            <w:vAlign w:val="center"/>
          </w:tcPr>
          <w:p w14:paraId="4E465D21">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c>
          <w:tcPr>
            <w:tcW w:w="573" w:type="dxa"/>
            <w:vMerge w:val="continue"/>
            <w:tcBorders>
              <w:left w:val="single" w:color="auto" w:sz="4" w:space="0"/>
              <w:bottom w:val="single" w:color="auto" w:sz="4" w:space="0"/>
              <w:right w:val="single" w:color="auto" w:sz="4" w:space="0"/>
            </w:tcBorders>
            <w:vAlign w:val="center"/>
          </w:tcPr>
          <w:p w14:paraId="6A7EB098">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c>
          <w:tcPr>
            <w:tcW w:w="573" w:type="dxa"/>
            <w:vMerge w:val="continue"/>
            <w:tcBorders>
              <w:left w:val="single" w:color="auto" w:sz="4" w:space="0"/>
              <w:bottom w:val="single" w:color="auto" w:sz="4" w:space="0"/>
              <w:right w:val="single" w:color="auto" w:sz="4" w:space="0"/>
            </w:tcBorders>
            <w:vAlign w:val="center"/>
          </w:tcPr>
          <w:p w14:paraId="0B9BB428">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color w:val="auto"/>
                <w:sz w:val="18"/>
                <w:szCs w:val="18"/>
                <w:highlight w:val="none"/>
              </w:rPr>
            </w:pPr>
          </w:p>
        </w:tc>
      </w:tr>
      <w:tr w14:paraId="7FAFD183">
        <w:tblPrEx>
          <w:tblCellMar>
            <w:top w:w="0" w:type="dxa"/>
            <w:left w:w="108" w:type="dxa"/>
            <w:bottom w:w="0" w:type="dxa"/>
            <w:right w:w="108" w:type="dxa"/>
          </w:tblCellMar>
        </w:tblPrEx>
        <w:trPr>
          <w:trHeight w:val="829" w:hRule="atLeast"/>
          <w:jc w:val="center"/>
        </w:trPr>
        <w:tc>
          <w:tcPr>
            <w:tcW w:w="571" w:type="dxa"/>
            <w:tcBorders>
              <w:top w:val="single" w:color="auto" w:sz="4" w:space="0"/>
              <w:left w:val="single" w:color="auto" w:sz="4" w:space="0"/>
              <w:bottom w:val="single" w:color="auto" w:sz="4" w:space="0"/>
              <w:right w:val="single" w:color="auto" w:sz="4" w:space="0"/>
            </w:tcBorders>
            <w:vAlign w:val="center"/>
          </w:tcPr>
          <w:p w14:paraId="714CF8E1">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1E85B6F0">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1592" w:type="dxa"/>
            <w:tcBorders>
              <w:top w:val="single" w:color="auto" w:sz="4" w:space="0"/>
              <w:left w:val="single" w:color="auto" w:sz="4" w:space="0"/>
              <w:bottom w:val="single" w:color="auto" w:sz="4" w:space="0"/>
              <w:right w:val="single" w:color="auto" w:sz="4" w:space="0"/>
            </w:tcBorders>
            <w:vAlign w:val="center"/>
          </w:tcPr>
          <w:p w14:paraId="465121B6">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952" w:type="dxa"/>
            <w:tcBorders>
              <w:top w:val="single" w:color="auto" w:sz="4" w:space="0"/>
              <w:left w:val="single" w:color="auto" w:sz="4" w:space="0"/>
              <w:bottom w:val="single" w:color="auto" w:sz="4" w:space="0"/>
              <w:right w:val="single" w:color="auto" w:sz="4" w:space="0"/>
            </w:tcBorders>
            <w:vAlign w:val="center"/>
          </w:tcPr>
          <w:p w14:paraId="6AF45C2A">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2" w:type="dxa"/>
            <w:tcBorders>
              <w:top w:val="single" w:color="auto" w:sz="4" w:space="0"/>
              <w:left w:val="single" w:color="auto" w:sz="4" w:space="0"/>
              <w:bottom w:val="single" w:color="auto" w:sz="4" w:space="0"/>
              <w:right w:val="single" w:color="auto" w:sz="4" w:space="0"/>
            </w:tcBorders>
            <w:vAlign w:val="center"/>
          </w:tcPr>
          <w:p w14:paraId="20CA8956">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331F8635">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643" w:type="dxa"/>
            <w:tcBorders>
              <w:top w:val="single" w:color="auto" w:sz="4" w:space="0"/>
              <w:left w:val="single" w:color="auto" w:sz="4" w:space="0"/>
              <w:bottom w:val="single" w:color="auto" w:sz="4" w:space="0"/>
              <w:right w:val="single" w:color="auto" w:sz="4" w:space="0"/>
            </w:tcBorders>
            <w:vAlign w:val="center"/>
          </w:tcPr>
          <w:p w14:paraId="20AF3FA7">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73" w:type="dxa"/>
            <w:tcBorders>
              <w:top w:val="single" w:color="auto" w:sz="4" w:space="0"/>
              <w:left w:val="single" w:color="auto" w:sz="4" w:space="0"/>
              <w:bottom w:val="single" w:color="auto" w:sz="4" w:space="0"/>
              <w:right w:val="single" w:color="auto" w:sz="4" w:space="0"/>
            </w:tcBorders>
            <w:vAlign w:val="center"/>
          </w:tcPr>
          <w:p w14:paraId="6A7A76A9">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73" w:type="dxa"/>
            <w:tcBorders>
              <w:top w:val="single" w:color="auto" w:sz="4" w:space="0"/>
              <w:left w:val="single" w:color="auto" w:sz="4" w:space="0"/>
              <w:bottom w:val="single" w:color="auto" w:sz="4" w:space="0"/>
              <w:right w:val="single" w:color="auto" w:sz="4" w:space="0"/>
            </w:tcBorders>
            <w:vAlign w:val="center"/>
          </w:tcPr>
          <w:p w14:paraId="28E0E119">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r>
      <w:tr w14:paraId="38A97A18">
        <w:tblPrEx>
          <w:tblCellMar>
            <w:top w:w="0" w:type="dxa"/>
            <w:left w:w="108" w:type="dxa"/>
            <w:bottom w:w="0" w:type="dxa"/>
            <w:right w:w="108" w:type="dxa"/>
          </w:tblCellMar>
        </w:tblPrEx>
        <w:trPr>
          <w:trHeight w:val="829" w:hRule="atLeast"/>
          <w:jc w:val="center"/>
        </w:trPr>
        <w:tc>
          <w:tcPr>
            <w:tcW w:w="571" w:type="dxa"/>
            <w:tcBorders>
              <w:top w:val="single" w:color="auto" w:sz="4" w:space="0"/>
              <w:left w:val="single" w:color="auto" w:sz="4" w:space="0"/>
              <w:bottom w:val="single" w:color="auto" w:sz="4" w:space="0"/>
              <w:right w:val="single" w:color="auto" w:sz="4" w:space="0"/>
            </w:tcBorders>
            <w:vAlign w:val="center"/>
          </w:tcPr>
          <w:p w14:paraId="472C1992">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05D4C5DE">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1592" w:type="dxa"/>
            <w:tcBorders>
              <w:top w:val="single" w:color="auto" w:sz="4" w:space="0"/>
              <w:left w:val="single" w:color="auto" w:sz="4" w:space="0"/>
              <w:bottom w:val="single" w:color="auto" w:sz="4" w:space="0"/>
              <w:right w:val="single" w:color="auto" w:sz="4" w:space="0"/>
            </w:tcBorders>
            <w:vAlign w:val="center"/>
          </w:tcPr>
          <w:p w14:paraId="7F21CD9E">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952" w:type="dxa"/>
            <w:tcBorders>
              <w:top w:val="single" w:color="auto" w:sz="4" w:space="0"/>
              <w:left w:val="single" w:color="auto" w:sz="4" w:space="0"/>
              <w:bottom w:val="single" w:color="auto" w:sz="4" w:space="0"/>
              <w:right w:val="single" w:color="auto" w:sz="4" w:space="0"/>
            </w:tcBorders>
            <w:vAlign w:val="center"/>
          </w:tcPr>
          <w:p w14:paraId="2A632470">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2" w:type="dxa"/>
            <w:tcBorders>
              <w:top w:val="single" w:color="auto" w:sz="4" w:space="0"/>
              <w:left w:val="single" w:color="auto" w:sz="4" w:space="0"/>
              <w:bottom w:val="single" w:color="auto" w:sz="4" w:space="0"/>
              <w:right w:val="single" w:color="auto" w:sz="4" w:space="0"/>
            </w:tcBorders>
            <w:vAlign w:val="center"/>
          </w:tcPr>
          <w:p w14:paraId="2D20C519">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04012CA8">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643" w:type="dxa"/>
            <w:tcBorders>
              <w:top w:val="single" w:color="auto" w:sz="4" w:space="0"/>
              <w:left w:val="single" w:color="auto" w:sz="4" w:space="0"/>
              <w:bottom w:val="single" w:color="auto" w:sz="4" w:space="0"/>
              <w:right w:val="single" w:color="auto" w:sz="4" w:space="0"/>
            </w:tcBorders>
            <w:vAlign w:val="center"/>
          </w:tcPr>
          <w:p w14:paraId="16861CF5">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73" w:type="dxa"/>
            <w:tcBorders>
              <w:top w:val="single" w:color="auto" w:sz="4" w:space="0"/>
              <w:left w:val="single" w:color="auto" w:sz="4" w:space="0"/>
              <w:bottom w:val="single" w:color="auto" w:sz="4" w:space="0"/>
              <w:right w:val="single" w:color="auto" w:sz="4" w:space="0"/>
            </w:tcBorders>
            <w:vAlign w:val="center"/>
          </w:tcPr>
          <w:p w14:paraId="3463704D">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73" w:type="dxa"/>
            <w:tcBorders>
              <w:top w:val="single" w:color="auto" w:sz="4" w:space="0"/>
              <w:left w:val="single" w:color="auto" w:sz="4" w:space="0"/>
              <w:bottom w:val="single" w:color="auto" w:sz="4" w:space="0"/>
              <w:right w:val="single" w:color="auto" w:sz="4" w:space="0"/>
            </w:tcBorders>
            <w:vAlign w:val="center"/>
          </w:tcPr>
          <w:p w14:paraId="488D6ACB">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r>
      <w:tr w14:paraId="686AC710">
        <w:tblPrEx>
          <w:tblCellMar>
            <w:top w:w="0" w:type="dxa"/>
            <w:left w:w="108" w:type="dxa"/>
            <w:bottom w:w="0" w:type="dxa"/>
            <w:right w:w="108" w:type="dxa"/>
          </w:tblCellMar>
        </w:tblPrEx>
        <w:trPr>
          <w:trHeight w:val="829" w:hRule="atLeast"/>
          <w:jc w:val="center"/>
        </w:trPr>
        <w:tc>
          <w:tcPr>
            <w:tcW w:w="571" w:type="dxa"/>
            <w:tcBorders>
              <w:top w:val="single" w:color="auto" w:sz="4" w:space="0"/>
              <w:left w:val="single" w:color="auto" w:sz="4" w:space="0"/>
              <w:bottom w:val="single" w:color="auto" w:sz="4" w:space="0"/>
              <w:right w:val="single" w:color="auto" w:sz="4" w:space="0"/>
            </w:tcBorders>
            <w:vAlign w:val="center"/>
          </w:tcPr>
          <w:p w14:paraId="1357928A">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3CAE64BB">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1592" w:type="dxa"/>
            <w:tcBorders>
              <w:top w:val="single" w:color="auto" w:sz="4" w:space="0"/>
              <w:left w:val="single" w:color="auto" w:sz="4" w:space="0"/>
              <w:bottom w:val="single" w:color="auto" w:sz="4" w:space="0"/>
              <w:right w:val="single" w:color="auto" w:sz="4" w:space="0"/>
            </w:tcBorders>
            <w:vAlign w:val="center"/>
          </w:tcPr>
          <w:p w14:paraId="3CC51690">
            <w:pPr>
              <w:snapToGrid w:val="0"/>
              <w:spacing w:line="240" w:lineRule="auto"/>
              <w:ind w:left="0" w:leftChars="0" w:right="0" w:rightChars="0" w:firstLine="0" w:firstLineChars="0"/>
              <w:jc w:val="center"/>
              <w:rPr>
                <w:rFonts w:hint="default" w:ascii="方正仿宋_GB2312" w:hAnsi="方正仿宋_GB2312" w:eastAsia="方正仿宋_GB2312" w:cs="方正仿宋_GB2312"/>
                <w:b/>
                <w:bCs/>
                <w:color w:val="auto"/>
                <w:highlight w:val="none"/>
                <w:lang w:val="en-US"/>
              </w:rPr>
            </w:pPr>
          </w:p>
        </w:tc>
        <w:tc>
          <w:tcPr>
            <w:tcW w:w="1952" w:type="dxa"/>
            <w:tcBorders>
              <w:top w:val="single" w:color="auto" w:sz="4" w:space="0"/>
              <w:left w:val="single" w:color="auto" w:sz="4" w:space="0"/>
              <w:bottom w:val="single" w:color="auto" w:sz="4" w:space="0"/>
              <w:right w:val="single" w:color="auto" w:sz="4" w:space="0"/>
            </w:tcBorders>
            <w:vAlign w:val="center"/>
          </w:tcPr>
          <w:p w14:paraId="7E6E22E0">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2" w:type="dxa"/>
            <w:tcBorders>
              <w:top w:val="single" w:color="auto" w:sz="4" w:space="0"/>
              <w:left w:val="single" w:color="auto" w:sz="4" w:space="0"/>
              <w:bottom w:val="single" w:color="auto" w:sz="4" w:space="0"/>
              <w:right w:val="single" w:color="auto" w:sz="4" w:space="0"/>
            </w:tcBorders>
            <w:vAlign w:val="center"/>
          </w:tcPr>
          <w:p w14:paraId="271632CD">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254A56D6">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643" w:type="dxa"/>
            <w:tcBorders>
              <w:top w:val="single" w:color="auto" w:sz="4" w:space="0"/>
              <w:left w:val="single" w:color="auto" w:sz="4" w:space="0"/>
              <w:bottom w:val="single" w:color="auto" w:sz="4" w:space="0"/>
              <w:right w:val="single" w:color="auto" w:sz="4" w:space="0"/>
            </w:tcBorders>
            <w:vAlign w:val="center"/>
          </w:tcPr>
          <w:p w14:paraId="0F9C65F6">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73" w:type="dxa"/>
            <w:tcBorders>
              <w:top w:val="single" w:color="auto" w:sz="4" w:space="0"/>
              <w:left w:val="single" w:color="auto" w:sz="4" w:space="0"/>
              <w:bottom w:val="single" w:color="auto" w:sz="4" w:space="0"/>
              <w:right w:val="single" w:color="auto" w:sz="4" w:space="0"/>
            </w:tcBorders>
            <w:vAlign w:val="center"/>
          </w:tcPr>
          <w:p w14:paraId="422B8979">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73" w:type="dxa"/>
            <w:tcBorders>
              <w:top w:val="single" w:color="auto" w:sz="4" w:space="0"/>
              <w:left w:val="single" w:color="auto" w:sz="4" w:space="0"/>
              <w:bottom w:val="single" w:color="auto" w:sz="4" w:space="0"/>
              <w:right w:val="single" w:color="auto" w:sz="4" w:space="0"/>
            </w:tcBorders>
            <w:vAlign w:val="center"/>
          </w:tcPr>
          <w:p w14:paraId="74607FD8">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r>
      <w:tr w14:paraId="2D5EC58B">
        <w:tblPrEx>
          <w:tblCellMar>
            <w:top w:w="0" w:type="dxa"/>
            <w:left w:w="108" w:type="dxa"/>
            <w:bottom w:w="0" w:type="dxa"/>
            <w:right w:w="108" w:type="dxa"/>
          </w:tblCellMar>
        </w:tblPrEx>
        <w:trPr>
          <w:trHeight w:val="845" w:hRule="atLeast"/>
          <w:jc w:val="center"/>
        </w:trPr>
        <w:tc>
          <w:tcPr>
            <w:tcW w:w="571" w:type="dxa"/>
            <w:tcBorders>
              <w:top w:val="single" w:color="auto" w:sz="4" w:space="0"/>
              <w:left w:val="single" w:color="auto" w:sz="4" w:space="0"/>
              <w:bottom w:val="single" w:color="auto" w:sz="4" w:space="0"/>
              <w:right w:val="single" w:color="auto" w:sz="4" w:space="0"/>
            </w:tcBorders>
            <w:vAlign w:val="center"/>
          </w:tcPr>
          <w:p w14:paraId="75F038DD">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3F225F5F">
            <w:pPr>
              <w:snapToGrid w:val="0"/>
              <w:spacing w:line="240" w:lineRule="auto"/>
              <w:ind w:left="0" w:leftChars="0" w:right="0" w:rightChars="0" w:firstLine="0" w:firstLineChars="0"/>
              <w:jc w:val="center"/>
              <w:rPr>
                <w:rFonts w:hint="eastAsia" w:ascii="方正仿宋_GB2312" w:hAnsi="方正仿宋_GB2312" w:eastAsia="方正仿宋_GB2312" w:cs="方正仿宋_GB2312"/>
                <w:color w:val="auto"/>
                <w:highlight w:val="none"/>
              </w:rPr>
            </w:pPr>
          </w:p>
        </w:tc>
        <w:tc>
          <w:tcPr>
            <w:tcW w:w="1592" w:type="dxa"/>
            <w:tcBorders>
              <w:top w:val="single" w:color="auto" w:sz="4" w:space="0"/>
              <w:left w:val="single" w:color="auto" w:sz="4" w:space="0"/>
              <w:bottom w:val="single" w:color="auto" w:sz="4" w:space="0"/>
              <w:right w:val="single" w:color="auto" w:sz="4" w:space="0"/>
            </w:tcBorders>
            <w:vAlign w:val="center"/>
          </w:tcPr>
          <w:p w14:paraId="1D99B3E9">
            <w:pPr>
              <w:snapToGrid w:val="0"/>
              <w:spacing w:line="240" w:lineRule="auto"/>
              <w:ind w:left="0" w:leftChars="0" w:right="0" w:rightChars="0" w:firstLine="0" w:firstLineChars="0"/>
              <w:jc w:val="center"/>
              <w:rPr>
                <w:rFonts w:hint="default" w:ascii="方正仿宋_GB2312" w:hAnsi="方正仿宋_GB2312" w:eastAsia="方正仿宋_GB2312" w:cs="方正仿宋_GB2312"/>
                <w:b/>
                <w:bCs/>
                <w:color w:val="auto"/>
                <w:highlight w:val="none"/>
                <w:lang w:val="en-US"/>
              </w:rPr>
            </w:pPr>
          </w:p>
        </w:tc>
        <w:tc>
          <w:tcPr>
            <w:tcW w:w="1952" w:type="dxa"/>
            <w:tcBorders>
              <w:top w:val="single" w:color="auto" w:sz="4" w:space="0"/>
              <w:left w:val="single" w:color="auto" w:sz="4" w:space="0"/>
              <w:bottom w:val="single" w:color="auto" w:sz="4" w:space="0"/>
              <w:right w:val="single" w:color="auto" w:sz="4" w:space="0"/>
            </w:tcBorders>
            <w:vAlign w:val="center"/>
          </w:tcPr>
          <w:p w14:paraId="79B86DE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812" w:type="dxa"/>
            <w:tcBorders>
              <w:top w:val="single" w:color="auto" w:sz="4" w:space="0"/>
              <w:left w:val="single" w:color="auto" w:sz="4" w:space="0"/>
              <w:bottom w:val="single" w:color="auto" w:sz="4" w:space="0"/>
              <w:right w:val="single" w:color="auto" w:sz="4" w:space="0"/>
            </w:tcBorders>
            <w:vAlign w:val="center"/>
          </w:tcPr>
          <w:p w14:paraId="4B6796C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052" w:type="dxa"/>
            <w:tcBorders>
              <w:top w:val="single" w:color="auto" w:sz="4" w:space="0"/>
              <w:left w:val="single" w:color="auto" w:sz="4" w:space="0"/>
              <w:bottom w:val="single" w:color="auto" w:sz="4" w:space="0"/>
              <w:right w:val="single" w:color="auto" w:sz="4" w:space="0"/>
            </w:tcBorders>
            <w:vAlign w:val="center"/>
          </w:tcPr>
          <w:p w14:paraId="0BF367D9">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1643" w:type="dxa"/>
            <w:tcBorders>
              <w:top w:val="single" w:color="auto" w:sz="4" w:space="0"/>
              <w:left w:val="single" w:color="auto" w:sz="4" w:space="0"/>
              <w:bottom w:val="single" w:color="auto" w:sz="4" w:space="0"/>
              <w:right w:val="single" w:color="auto" w:sz="4" w:space="0"/>
            </w:tcBorders>
            <w:vAlign w:val="center"/>
          </w:tcPr>
          <w:p w14:paraId="430535BD">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73" w:type="dxa"/>
            <w:tcBorders>
              <w:top w:val="single" w:color="auto" w:sz="4" w:space="0"/>
              <w:left w:val="single" w:color="auto" w:sz="4" w:space="0"/>
              <w:bottom w:val="single" w:color="auto" w:sz="4" w:space="0"/>
              <w:right w:val="single" w:color="auto" w:sz="4" w:space="0"/>
            </w:tcBorders>
            <w:vAlign w:val="center"/>
          </w:tcPr>
          <w:p w14:paraId="11BD1FE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c>
          <w:tcPr>
            <w:tcW w:w="573" w:type="dxa"/>
            <w:tcBorders>
              <w:top w:val="single" w:color="auto" w:sz="4" w:space="0"/>
              <w:left w:val="single" w:color="auto" w:sz="4" w:space="0"/>
              <w:bottom w:val="single" w:color="auto" w:sz="4" w:space="0"/>
              <w:right w:val="single" w:color="auto" w:sz="4" w:space="0"/>
            </w:tcBorders>
            <w:vAlign w:val="center"/>
          </w:tcPr>
          <w:p w14:paraId="59831422">
            <w:pPr>
              <w:snapToGrid w:val="0"/>
              <w:spacing w:line="240" w:lineRule="auto"/>
              <w:ind w:left="0" w:leftChars="0" w:right="0" w:rightChars="0" w:firstLine="0" w:firstLineChars="0"/>
              <w:jc w:val="center"/>
              <w:rPr>
                <w:rFonts w:hint="eastAsia" w:ascii="方正仿宋_GB2312" w:hAnsi="方正仿宋_GB2312" w:eastAsia="方正仿宋_GB2312" w:cs="方正仿宋_GB2312"/>
                <w:b/>
                <w:bCs/>
                <w:color w:val="auto"/>
                <w:highlight w:val="none"/>
              </w:rPr>
            </w:pPr>
          </w:p>
        </w:tc>
      </w:tr>
    </w:tbl>
    <w:p w14:paraId="69EED297">
      <w:pPr>
        <w:spacing w:line="400" w:lineRule="exact"/>
        <w:rPr>
          <w:rFonts w:hint="eastAsia" w:ascii="方正仿宋_GB2312" w:hAnsi="方正仿宋_GB2312" w:eastAsia="方正仿宋_GB2312" w:cs="方正仿宋_GB2312"/>
          <w:color w:val="auto"/>
          <w:highlight w:val="none"/>
        </w:rPr>
      </w:pPr>
    </w:p>
    <w:p w14:paraId="78377853">
      <w:pPr>
        <w:spacing w:line="400" w:lineRule="exact"/>
        <w:ind w:right="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rPr>
        <w:t>开标时间：____年____月____日____时____分开标地点：</w:t>
      </w:r>
      <w:r>
        <w:rPr>
          <w:rFonts w:hint="eastAsia" w:ascii="方正仿宋_GB2312" w:hAnsi="方正仿宋_GB2312" w:eastAsia="方正仿宋_GB2312" w:cs="方正仿宋_GB2312"/>
          <w:color w:val="auto"/>
          <w:highlight w:val="none"/>
        </w:rPr>
        <w:t>　</w:t>
      </w:r>
    </w:p>
    <w:p w14:paraId="5E9991DC">
      <w:pPr>
        <w:adjustRightInd w:val="0"/>
        <w:snapToGrid w:val="0"/>
        <w:spacing w:line="360" w:lineRule="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招标人代表：__________行政监管：_____________</w:t>
      </w:r>
    </w:p>
    <w:p w14:paraId="601D64F2">
      <w:pPr>
        <w:adjustRightInd w:val="0"/>
        <w:snapToGrid w:val="0"/>
        <w:spacing w:line="360" w:lineRule="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招标代理：__________交易中心：_____________</w:t>
      </w:r>
    </w:p>
    <w:p w14:paraId="59ECFAB1">
      <w:pPr>
        <w:adjustRightInd w:val="0"/>
        <w:snapToGrid w:val="0"/>
        <w:spacing w:line="360" w:lineRule="auto"/>
        <w:rPr>
          <w:rFonts w:hint="eastAsia" w:ascii="方正仿宋_GB2312" w:hAnsi="方正仿宋_GB2312" w:eastAsia="方正仿宋_GB2312" w:cs="方正仿宋_GB2312"/>
          <w:color w:val="auto"/>
          <w:sz w:val="20"/>
          <w:szCs w:val="20"/>
          <w:highlight w:val="none"/>
        </w:rPr>
      </w:pPr>
      <w:r>
        <w:rPr>
          <w:rFonts w:hint="eastAsia" w:ascii="方正仿宋_GB2312" w:hAnsi="方正仿宋_GB2312" w:eastAsia="方正仿宋_GB2312" w:cs="方正仿宋_GB2312"/>
          <w:color w:val="auto"/>
          <w:highlight w:val="none"/>
        </w:rPr>
        <w:t>年   月   日</w:t>
      </w:r>
    </w:p>
    <w:p w14:paraId="4643CE47">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r>
    </w:p>
    <w:p w14:paraId="453B140B">
      <w:pPr>
        <w:adjustRightInd w:val="0"/>
        <w:snapToGrid w:val="0"/>
        <w:spacing w:line="360" w:lineRule="auto"/>
        <w:jc w:val="left"/>
        <w:outlineLvl w:val="1"/>
        <w:rPr>
          <w:rFonts w:hint="eastAsia" w:ascii="方正仿宋_GB2312" w:hAnsi="方正仿宋_GB2312" w:eastAsia="方正仿宋_GB2312" w:cs="方正仿宋_GB2312"/>
          <w:b/>
          <w:bCs/>
          <w:color w:val="auto"/>
          <w:sz w:val="32"/>
          <w:szCs w:val="32"/>
          <w:highlight w:val="none"/>
        </w:rPr>
      </w:pPr>
      <w:bookmarkStart w:id="433" w:name="_Toc16322"/>
      <w:bookmarkStart w:id="434" w:name="_Toc45896675"/>
      <w:bookmarkStart w:id="435" w:name="_Toc45896971"/>
      <w:r>
        <w:rPr>
          <w:rFonts w:hint="eastAsia" w:ascii="方正仿宋_GB2312" w:hAnsi="方正仿宋_GB2312" w:eastAsia="方正仿宋_GB2312" w:cs="方正仿宋_GB2312"/>
          <w:b/>
          <w:bCs/>
          <w:color w:val="auto"/>
          <w:sz w:val="32"/>
          <w:szCs w:val="32"/>
          <w:highlight w:val="none"/>
        </w:rPr>
        <w:t>附件二：问题澄清通知</w:t>
      </w:r>
      <w:bookmarkEnd w:id="433"/>
      <w:bookmarkEnd w:id="434"/>
      <w:bookmarkEnd w:id="435"/>
    </w:p>
    <w:p w14:paraId="662CB409">
      <w:pPr>
        <w:adjustRightInd w:val="0"/>
        <w:snapToGrid w:val="0"/>
        <w:spacing w:line="360" w:lineRule="auto"/>
        <w:jc w:val="center"/>
        <w:rPr>
          <w:rFonts w:hint="eastAsia" w:ascii="方正仿宋_GB2312" w:hAnsi="方正仿宋_GB2312" w:eastAsia="方正仿宋_GB2312" w:cs="方正仿宋_GB2312"/>
          <w:color w:val="auto"/>
          <w:kern w:val="0"/>
          <w:sz w:val="28"/>
          <w:szCs w:val="28"/>
          <w:highlight w:val="none"/>
        </w:rPr>
      </w:pPr>
    </w:p>
    <w:p w14:paraId="39EB7B3F">
      <w:pPr>
        <w:adjustRightInd w:val="0"/>
        <w:snapToGrid w:val="0"/>
        <w:spacing w:line="360" w:lineRule="auto"/>
        <w:jc w:val="center"/>
        <w:rPr>
          <w:rFonts w:hint="eastAsia" w:ascii="方正仿宋_GB2312" w:hAnsi="方正仿宋_GB2312" w:eastAsia="方正仿宋_GB2312" w:cs="方正仿宋_GB2312"/>
          <w:color w:val="auto"/>
          <w:kern w:val="0"/>
          <w:sz w:val="28"/>
          <w:szCs w:val="28"/>
          <w:highlight w:val="none"/>
        </w:rPr>
      </w:pPr>
      <w:r>
        <w:rPr>
          <w:rFonts w:hint="eastAsia" w:ascii="方正仿宋_GB2312" w:hAnsi="方正仿宋_GB2312" w:eastAsia="方正仿宋_GB2312" w:cs="方正仿宋_GB2312"/>
          <w:color w:val="auto"/>
          <w:kern w:val="0"/>
          <w:sz w:val="28"/>
          <w:szCs w:val="28"/>
          <w:highlight w:val="none"/>
        </w:rPr>
        <w:t>问题澄清通知</w:t>
      </w:r>
    </w:p>
    <w:p w14:paraId="7D07440E">
      <w:pPr>
        <w:adjustRightInd w:val="0"/>
        <w:snapToGrid w:val="0"/>
        <w:spacing w:line="360" w:lineRule="auto"/>
        <w:ind w:firstLine="5250" w:firstLineChars="2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编号：</w:t>
      </w:r>
    </w:p>
    <w:p w14:paraId="5154FA9C">
      <w:pPr>
        <w:adjustRightInd w:val="0"/>
        <w:snapToGrid w:val="0"/>
        <w:spacing w:line="360" w:lineRule="auto"/>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_____________（投标人名称）：</w:t>
      </w:r>
    </w:p>
    <w:p w14:paraId="74BDC9A7">
      <w:pPr>
        <w:adjustRightInd w:val="0"/>
        <w:snapToGrid w:val="0"/>
        <w:spacing w:line="360" w:lineRule="auto"/>
        <w:jc w:val="left"/>
        <w:rPr>
          <w:rFonts w:hint="eastAsia" w:ascii="方正仿宋_GB2312" w:hAnsi="方正仿宋_GB2312" w:eastAsia="方正仿宋_GB2312" w:cs="方正仿宋_GB2312"/>
          <w:color w:val="auto"/>
          <w:kern w:val="0"/>
          <w:highlight w:val="none"/>
        </w:rPr>
      </w:pPr>
    </w:p>
    <w:p w14:paraId="594A8DD9">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_____________（项目名称）_____________招标的评标委员会，对你方的投标文件进行了仔细的审查，现需你方对下列问题以书面形式予以澄清：</w:t>
      </w:r>
    </w:p>
    <w:p w14:paraId="3408ED6E">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56482CF0">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1.</w:t>
      </w:r>
    </w:p>
    <w:p w14:paraId="2A995C12">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2.</w:t>
      </w:r>
    </w:p>
    <w:p w14:paraId="64965E9C">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lang w:eastAsia="zh-CN"/>
        </w:rPr>
        <w:t>……</w:t>
      </w:r>
    </w:p>
    <w:p w14:paraId="0E329822">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请将上述问题的澄清于______年____月____日____时前递交至_______________________（详细地址）或传真至_________（传真号码）。采用传真方式的，应在_______年________月________日________时前将原件扫描件递交至</w:t>
      </w:r>
    </w:p>
    <w:p w14:paraId="4CED6CD1">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_____________________________（详细地址）。</w:t>
      </w:r>
    </w:p>
    <w:p w14:paraId="0BEA352E">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7FED0810">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74F497C1">
      <w:pPr>
        <w:adjustRightInd w:val="0"/>
        <w:snapToGrid w:val="0"/>
        <w:spacing w:line="360" w:lineRule="auto"/>
        <w:ind w:firstLine="4200" w:firstLineChars="20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招标人或招标代理机构：_________（签字或盖章）</w:t>
      </w:r>
    </w:p>
    <w:p w14:paraId="7441B3E1">
      <w:pPr>
        <w:adjustRightInd w:val="0"/>
        <w:snapToGrid w:val="0"/>
        <w:spacing w:line="360" w:lineRule="auto"/>
        <w:ind w:firstLine="5250" w:firstLineChars="2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_________年________月________日</w:t>
      </w:r>
    </w:p>
    <w:p w14:paraId="1AA114A6">
      <w:pPr>
        <w:adjustRightInd w:val="0"/>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r>
    </w:p>
    <w:p w14:paraId="74ABE7E0">
      <w:pPr>
        <w:adjustRightInd w:val="0"/>
        <w:snapToGrid w:val="0"/>
        <w:spacing w:line="360" w:lineRule="auto"/>
        <w:jc w:val="left"/>
        <w:outlineLvl w:val="1"/>
        <w:rPr>
          <w:rFonts w:hint="eastAsia" w:ascii="方正仿宋_GB2312" w:hAnsi="方正仿宋_GB2312" w:eastAsia="方正仿宋_GB2312" w:cs="方正仿宋_GB2312"/>
          <w:b/>
          <w:bCs/>
          <w:color w:val="auto"/>
          <w:sz w:val="32"/>
          <w:szCs w:val="32"/>
          <w:highlight w:val="none"/>
        </w:rPr>
      </w:pPr>
      <w:bookmarkStart w:id="436" w:name="_Toc45896676"/>
      <w:bookmarkStart w:id="437" w:name="_Toc9066"/>
      <w:bookmarkStart w:id="438" w:name="_Toc45896972"/>
      <w:bookmarkStart w:id="439" w:name="_Toc11687"/>
      <w:r>
        <w:rPr>
          <w:rFonts w:hint="eastAsia" w:ascii="方正仿宋_GB2312" w:hAnsi="方正仿宋_GB2312" w:eastAsia="方正仿宋_GB2312" w:cs="方正仿宋_GB2312"/>
          <w:b/>
          <w:bCs/>
          <w:color w:val="auto"/>
          <w:sz w:val="32"/>
          <w:szCs w:val="32"/>
          <w:highlight w:val="none"/>
        </w:rPr>
        <w:t>附件三：问题的澄清</w:t>
      </w:r>
      <w:bookmarkEnd w:id="436"/>
      <w:bookmarkEnd w:id="437"/>
      <w:bookmarkEnd w:id="438"/>
    </w:p>
    <w:p w14:paraId="57FC5205">
      <w:pPr>
        <w:adjustRightInd w:val="0"/>
        <w:snapToGrid w:val="0"/>
        <w:spacing w:line="360" w:lineRule="auto"/>
        <w:jc w:val="center"/>
        <w:rPr>
          <w:rFonts w:hint="eastAsia" w:ascii="方正仿宋_GB2312" w:hAnsi="方正仿宋_GB2312" w:eastAsia="方正仿宋_GB2312" w:cs="方正仿宋_GB2312"/>
          <w:color w:val="auto"/>
          <w:kern w:val="0"/>
          <w:sz w:val="28"/>
          <w:szCs w:val="28"/>
          <w:highlight w:val="none"/>
        </w:rPr>
      </w:pPr>
    </w:p>
    <w:p w14:paraId="3D44BD37">
      <w:pPr>
        <w:adjustRightInd w:val="0"/>
        <w:snapToGrid w:val="0"/>
        <w:spacing w:line="360" w:lineRule="auto"/>
        <w:jc w:val="center"/>
        <w:rPr>
          <w:rFonts w:hint="eastAsia" w:ascii="方正仿宋_GB2312" w:hAnsi="方正仿宋_GB2312" w:eastAsia="方正仿宋_GB2312" w:cs="方正仿宋_GB2312"/>
          <w:color w:val="auto"/>
          <w:kern w:val="0"/>
          <w:sz w:val="28"/>
          <w:szCs w:val="28"/>
          <w:highlight w:val="none"/>
        </w:rPr>
      </w:pPr>
      <w:r>
        <w:rPr>
          <w:rFonts w:hint="eastAsia" w:ascii="方正仿宋_GB2312" w:hAnsi="方正仿宋_GB2312" w:eastAsia="方正仿宋_GB2312" w:cs="方正仿宋_GB2312"/>
          <w:color w:val="auto"/>
          <w:kern w:val="0"/>
          <w:sz w:val="28"/>
          <w:szCs w:val="28"/>
          <w:highlight w:val="none"/>
        </w:rPr>
        <w:t>问题的澄清</w:t>
      </w:r>
    </w:p>
    <w:p w14:paraId="339E91CC">
      <w:pPr>
        <w:adjustRightInd w:val="0"/>
        <w:snapToGrid w:val="0"/>
        <w:spacing w:line="360" w:lineRule="auto"/>
        <w:ind w:firstLine="5250" w:firstLineChars="2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编号：</w:t>
      </w:r>
    </w:p>
    <w:p w14:paraId="1BAFA4EF">
      <w:pPr>
        <w:adjustRightInd w:val="0"/>
        <w:snapToGrid w:val="0"/>
        <w:spacing w:line="360" w:lineRule="auto"/>
        <w:jc w:val="left"/>
        <w:rPr>
          <w:rFonts w:hint="eastAsia" w:ascii="方正仿宋_GB2312" w:hAnsi="方正仿宋_GB2312" w:eastAsia="方正仿宋_GB2312" w:cs="方正仿宋_GB2312"/>
          <w:color w:val="auto"/>
          <w:kern w:val="0"/>
          <w:highlight w:val="none"/>
        </w:rPr>
      </w:pPr>
    </w:p>
    <w:p w14:paraId="4D849CB5">
      <w:pPr>
        <w:adjustRightInd w:val="0"/>
        <w:snapToGrid w:val="0"/>
        <w:spacing w:line="360" w:lineRule="auto"/>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__________________（项目名称）_____________招标评标委员会：</w:t>
      </w:r>
    </w:p>
    <w:p w14:paraId="4F23E8D2">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771712F2">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问题澄清通知（编号：________）已收悉，现澄清如下：</w:t>
      </w:r>
    </w:p>
    <w:p w14:paraId="24E06C73">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1.</w:t>
      </w:r>
    </w:p>
    <w:p w14:paraId="20E9756A">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2.</w:t>
      </w:r>
    </w:p>
    <w:p w14:paraId="5519588B">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749BBD5E">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w:t>
      </w:r>
    </w:p>
    <w:p w14:paraId="421B3BAB">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368B7AFE">
      <w:pPr>
        <w:adjustRightInd w:val="0"/>
        <w:snapToGrid w:val="0"/>
        <w:spacing w:line="360" w:lineRule="auto"/>
        <w:ind w:firstLine="420" w:firstLineChars="200"/>
        <w:jc w:val="left"/>
        <w:rPr>
          <w:rFonts w:hint="eastAsia" w:ascii="方正仿宋_GB2312" w:hAnsi="方正仿宋_GB2312" w:eastAsia="方正仿宋_GB2312" w:cs="方正仿宋_GB2312"/>
          <w:color w:val="auto"/>
          <w:kern w:val="0"/>
          <w:highlight w:val="none"/>
        </w:rPr>
      </w:pPr>
    </w:p>
    <w:p w14:paraId="042BCB08">
      <w:pPr>
        <w:adjustRightInd w:val="0"/>
        <w:snapToGrid w:val="0"/>
        <w:spacing w:line="360" w:lineRule="auto"/>
        <w:ind w:firstLine="3150" w:firstLineChars="1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投标人：________________________（单位盖章）</w:t>
      </w:r>
    </w:p>
    <w:p w14:paraId="4DA3A1D2">
      <w:pPr>
        <w:adjustRightInd w:val="0"/>
        <w:snapToGrid w:val="0"/>
        <w:spacing w:line="360" w:lineRule="auto"/>
        <w:ind w:firstLine="3150" w:firstLineChars="1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法定代表人或其委托代理人：__________（电子签章）</w:t>
      </w:r>
    </w:p>
    <w:p w14:paraId="75EB0442">
      <w:pPr>
        <w:adjustRightInd w:val="0"/>
        <w:snapToGrid w:val="0"/>
        <w:spacing w:line="360" w:lineRule="auto"/>
        <w:ind w:firstLine="5250" w:firstLineChars="2500"/>
        <w:jc w:val="left"/>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________年________月________日</w:t>
      </w:r>
    </w:p>
    <w:p w14:paraId="528C852C">
      <w:pPr>
        <w:adjustRightInd w:val="0"/>
        <w:snapToGrid w:val="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r>
    </w:p>
    <w:p w14:paraId="2708174C">
      <w:pPr>
        <w:pStyle w:val="4"/>
        <w:ind w:firstLine="0" w:firstLineChars="0"/>
        <w:rPr>
          <w:rFonts w:hint="eastAsia" w:ascii="方正仿宋_GB2312" w:hAnsi="方正仿宋_GB2312" w:eastAsia="方正仿宋_GB2312" w:cs="方正仿宋_GB2312"/>
          <w:color w:val="auto"/>
          <w:highlight w:val="none"/>
        </w:rPr>
      </w:pPr>
      <w:bookmarkStart w:id="440" w:name="_Toc152045584"/>
      <w:bookmarkStart w:id="441" w:name="_Toc45896677"/>
      <w:bookmarkStart w:id="442" w:name="_Toc247527609"/>
      <w:bookmarkStart w:id="443" w:name="_Toc144974551"/>
      <w:bookmarkStart w:id="444" w:name="_Toc247514008"/>
      <w:bookmarkStart w:id="445" w:name="_Toc152042361"/>
      <w:bookmarkStart w:id="446" w:name="_Toc45896973"/>
      <w:bookmarkStart w:id="447" w:name="_Toc29563"/>
      <w:bookmarkStart w:id="448" w:name="_Toc300835005"/>
      <w:r>
        <w:rPr>
          <w:rFonts w:hint="eastAsia" w:ascii="方正仿宋_GB2312" w:hAnsi="方正仿宋_GB2312" w:eastAsia="方正仿宋_GB2312" w:cs="方正仿宋_GB2312"/>
          <w:color w:val="auto"/>
          <w:highlight w:val="none"/>
        </w:rPr>
        <w:t>附件四：中标通知书</w:t>
      </w:r>
      <w:bookmarkEnd w:id="440"/>
      <w:bookmarkEnd w:id="441"/>
      <w:bookmarkEnd w:id="442"/>
      <w:bookmarkEnd w:id="443"/>
      <w:bookmarkEnd w:id="444"/>
      <w:bookmarkEnd w:id="445"/>
      <w:bookmarkEnd w:id="446"/>
      <w:bookmarkEnd w:id="447"/>
      <w:bookmarkEnd w:id="448"/>
    </w:p>
    <w:p w14:paraId="107F2A3D">
      <w:pPr>
        <w:spacing w:line="400" w:lineRule="exact"/>
        <w:rPr>
          <w:rFonts w:hint="eastAsia" w:ascii="方正仿宋_GB2312" w:hAnsi="方正仿宋_GB2312" w:eastAsia="方正仿宋_GB2312" w:cs="方正仿宋_GB2312"/>
          <w:color w:val="auto"/>
          <w:highlight w:val="none"/>
        </w:rPr>
      </w:pPr>
    </w:p>
    <w:p w14:paraId="7E2D833D">
      <w:pPr>
        <w:spacing w:line="40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szCs w:val="28"/>
          <w:highlight w:val="none"/>
        </w:rPr>
        <w:t>中标通知书</w:t>
      </w:r>
    </w:p>
    <w:p w14:paraId="59AF4C24">
      <w:pPr>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（中标人名称）：</w:t>
      </w:r>
    </w:p>
    <w:p w14:paraId="00DA26A1">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你方于   （投标日期）所递交的（项目名称）总承包招标的投标文件已被我方接受，被确定为中标人。</w:t>
      </w:r>
    </w:p>
    <w:p w14:paraId="1FF63166">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highlight w:val="none"/>
        </w:rPr>
        <w:t>中标</w:t>
      </w:r>
      <w:r>
        <w:rPr>
          <w:rFonts w:hint="eastAsia" w:ascii="方正仿宋_GB2312" w:hAnsi="方正仿宋_GB2312" w:eastAsia="方正仿宋_GB2312" w:cs="方正仿宋_GB2312"/>
          <w:color w:val="auto"/>
          <w:sz w:val="21"/>
          <w:szCs w:val="21"/>
          <w:highlight w:val="none"/>
        </w:rPr>
        <w:t>价：</w:t>
      </w:r>
      <w:r>
        <w:rPr>
          <w:rFonts w:hint="eastAsia" w:ascii="方正仿宋_GB2312" w:hAnsi="方正仿宋_GB2312" w:eastAsia="方正仿宋_GB2312" w:cs="方正仿宋_GB2312"/>
          <w:b w:val="0"/>
          <w:bCs/>
          <w:color w:val="auto"/>
          <w:sz w:val="21"/>
          <w:szCs w:val="21"/>
          <w:highlight w:val="none"/>
          <w:lang w:eastAsia="zh-CN"/>
        </w:rPr>
        <w:t>设计费</w:t>
      </w:r>
      <w:r>
        <w:rPr>
          <w:rFonts w:hint="eastAsia" w:ascii="方正仿宋_GB2312" w:hAnsi="方正仿宋_GB2312" w:eastAsia="方正仿宋_GB2312" w:cs="方正仿宋_GB2312"/>
          <w:color w:val="auto"/>
          <w:sz w:val="21"/>
          <w:szCs w:val="21"/>
          <w:highlight w:val="none"/>
        </w:rPr>
        <w:t>投标报价</w:t>
      </w:r>
      <w:r>
        <w:rPr>
          <w:rFonts w:hint="eastAsia" w:ascii="方正仿宋_GB2312" w:hAnsi="方正仿宋_GB2312" w:eastAsia="方正仿宋_GB2312" w:cs="方正仿宋_GB2312"/>
          <w:color w:val="auto"/>
          <w:sz w:val="21"/>
          <w:szCs w:val="21"/>
          <w:highlight w:val="none"/>
          <w:u w:val="single"/>
        </w:rPr>
        <w:tab/>
      </w:r>
      <w:r>
        <w:rPr>
          <w:rFonts w:hint="eastAsia" w:ascii="方正仿宋_GB2312" w:hAnsi="方正仿宋_GB2312" w:eastAsia="方正仿宋_GB2312" w:cs="方正仿宋_GB2312"/>
          <w:color w:val="auto"/>
          <w:sz w:val="21"/>
          <w:szCs w:val="21"/>
          <w:highlight w:val="none"/>
          <w:u w:val="single"/>
        </w:rPr>
        <w:t xml:space="preserve">     </w:t>
      </w:r>
      <w:r>
        <w:rPr>
          <w:rFonts w:hint="eastAsia" w:ascii="方正仿宋_GB2312" w:hAnsi="方正仿宋_GB2312" w:eastAsia="方正仿宋_GB2312" w:cs="方正仿宋_GB2312"/>
          <w:color w:val="auto"/>
          <w:sz w:val="21"/>
          <w:szCs w:val="21"/>
          <w:highlight w:val="none"/>
          <w:u w:val="single"/>
          <w:lang w:val="en-US" w:eastAsia="zh-CN"/>
        </w:rPr>
        <w:t>%</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工程施工费下浮率投标报价</w:t>
      </w:r>
      <w:r>
        <w:rPr>
          <w:rFonts w:hint="eastAsia" w:ascii="方正仿宋_GB2312" w:hAnsi="方正仿宋_GB2312" w:eastAsia="方正仿宋_GB2312" w:cs="方正仿宋_GB2312"/>
          <w:color w:val="auto"/>
          <w:sz w:val="21"/>
          <w:szCs w:val="21"/>
          <w:highlight w:val="none"/>
          <w:u w:val="single"/>
        </w:rPr>
        <w:tab/>
      </w:r>
      <w:r>
        <w:rPr>
          <w:rFonts w:hint="eastAsia" w:ascii="方正仿宋_GB2312" w:hAnsi="方正仿宋_GB2312" w:eastAsia="方正仿宋_GB2312" w:cs="方正仿宋_GB2312"/>
          <w:color w:val="auto"/>
          <w:sz w:val="21"/>
          <w:szCs w:val="21"/>
          <w:highlight w:val="none"/>
          <w:u w:val="single"/>
        </w:rPr>
        <w:t xml:space="preserve">      </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eastAsia="zh-CN"/>
        </w:rPr>
        <w:t>；</w:t>
      </w:r>
    </w:p>
    <w:p w14:paraId="6BD736D6">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工期：  日历天。</w:t>
      </w:r>
    </w:p>
    <w:p w14:paraId="0734CA7F">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设计质量标准：</w:t>
      </w:r>
    </w:p>
    <w:p w14:paraId="3BB5A3B1">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施工质量标准：</w:t>
      </w:r>
    </w:p>
    <w:p w14:paraId="23A859BE">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总承包质量标准</w:t>
      </w:r>
      <w:r>
        <w:rPr>
          <w:rFonts w:hint="eastAsia" w:ascii="方正仿宋_GB2312" w:hAnsi="方正仿宋_GB2312" w:eastAsia="方正仿宋_GB2312" w:cs="方正仿宋_GB2312"/>
          <w:color w:val="auto"/>
          <w:highlight w:val="none"/>
          <w:lang w:eastAsia="zh-CN"/>
        </w:rPr>
        <w:t>：</w:t>
      </w:r>
    </w:p>
    <w:p w14:paraId="2F96980B">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总承包项目负责人：（姓名）。</w:t>
      </w:r>
    </w:p>
    <w:p w14:paraId="2D11077D">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施工项目负责人（项目经理）：（姓名）。</w:t>
      </w:r>
    </w:p>
    <w:p w14:paraId="2A8DA012">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设计负责人：（姓名）。</w:t>
      </w:r>
    </w:p>
    <w:p w14:paraId="538FF383">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请你方在接到本通知书后的</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rPr>
        <w:t>日</w:t>
      </w:r>
      <w:r>
        <w:rPr>
          <w:rFonts w:hint="eastAsia" w:ascii="方正仿宋_GB2312" w:hAnsi="方正仿宋_GB2312" w:eastAsia="方正仿宋_GB2312" w:cs="方正仿宋_GB2312"/>
          <w:color w:val="auto"/>
          <w:highlight w:val="none"/>
          <w:lang w:eastAsia="zh-CN"/>
        </w:rPr>
        <w:t>内（在</w:t>
      </w:r>
      <w:r>
        <w:rPr>
          <w:rFonts w:hint="eastAsia" w:ascii="方正仿宋_GB2312" w:hAnsi="方正仿宋_GB2312" w:eastAsia="方正仿宋_GB2312" w:cs="方正仿宋_GB2312"/>
          <w:color w:val="auto"/>
          <w:highlight w:val="none"/>
        </w:rPr>
        <w:t>指定地点）与我方签订</w:t>
      </w:r>
      <w:r>
        <w:rPr>
          <w:rFonts w:hint="eastAsia" w:ascii="方正仿宋_GB2312" w:hAnsi="方正仿宋_GB2312" w:eastAsia="方正仿宋_GB2312" w:cs="方正仿宋_GB2312"/>
          <w:color w:val="auto"/>
          <w:highlight w:val="none"/>
          <w:lang w:eastAsia="zh-CN"/>
        </w:rPr>
        <w:t>总承包</w:t>
      </w:r>
      <w:r>
        <w:rPr>
          <w:rFonts w:hint="eastAsia" w:ascii="方正仿宋_GB2312" w:hAnsi="方正仿宋_GB2312" w:eastAsia="方正仿宋_GB2312" w:cs="方正仿宋_GB2312"/>
          <w:color w:val="auto"/>
          <w:highlight w:val="none"/>
        </w:rPr>
        <w:t>合同，在此之前按招标文件第二章“投标人须知”第7.</w:t>
      </w:r>
      <w:r>
        <w:rPr>
          <w:rFonts w:hint="eastAsia" w:ascii="方正仿宋_GB2312" w:hAnsi="方正仿宋_GB2312" w:eastAsia="方正仿宋_GB2312" w:cs="方正仿宋_GB2312"/>
          <w:color w:val="auto"/>
          <w:highlight w:val="none"/>
          <w:lang w:val="en-US" w:eastAsia="zh-CN"/>
        </w:rPr>
        <w:t>3</w:t>
      </w:r>
      <w:r>
        <w:rPr>
          <w:rFonts w:hint="eastAsia" w:ascii="方正仿宋_GB2312" w:hAnsi="方正仿宋_GB2312" w:eastAsia="方正仿宋_GB2312" w:cs="方正仿宋_GB2312"/>
          <w:color w:val="auto"/>
          <w:highlight w:val="none"/>
        </w:rPr>
        <w:t>.1款规定向我方提交履约担保。</w:t>
      </w:r>
    </w:p>
    <w:p w14:paraId="484F02F0">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随附的澄清、说明、补正事项纪要，是本中标通知书的组成部分。</w:t>
      </w:r>
    </w:p>
    <w:p w14:paraId="27010863">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特此通知。</w:t>
      </w:r>
    </w:p>
    <w:p w14:paraId="722EDE6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附：澄清、说明、补正事项纪要</w:t>
      </w:r>
    </w:p>
    <w:p w14:paraId="2A71BBA4">
      <w:pPr>
        <w:keepNext w:val="0"/>
        <w:keepLines w:val="0"/>
        <w:pageBreakBefore w:val="0"/>
        <w:widowControl w:val="0"/>
        <w:kinsoku/>
        <w:wordWrap/>
        <w:overflowPunct/>
        <w:topLinePunct w:val="0"/>
        <w:autoSpaceDE/>
        <w:autoSpaceDN/>
        <w:bidi w:val="0"/>
        <w:adjustRightInd/>
        <w:snapToGrid/>
        <w:spacing w:after="0" w:line="540" w:lineRule="exact"/>
        <w:ind w:firstLine="3238" w:firstLineChars="1542"/>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招标人：（单位盖章）</w:t>
      </w:r>
    </w:p>
    <w:p w14:paraId="20885038">
      <w:pPr>
        <w:keepNext w:val="0"/>
        <w:keepLines w:val="0"/>
        <w:pageBreakBefore w:val="0"/>
        <w:widowControl w:val="0"/>
        <w:kinsoku/>
        <w:wordWrap/>
        <w:overflowPunct/>
        <w:topLinePunct w:val="0"/>
        <w:autoSpaceDE/>
        <w:autoSpaceDN/>
        <w:bidi w:val="0"/>
        <w:adjustRightInd/>
        <w:snapToGrid/>
        <w:spacing w:after="0" w:line="540" w:lineRule="exact"/>
        <w:ind w:firstLine="3238" w:firstLineChars="1542"/>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法定代表人：（签字）</w:t>
      </w:r>
    </w:p>
    <w:p w14:paraId="6F7038B0">
      <w:pPr>
        <w:keepNext w:val="0"/>
        <w:keepLines w:val="0"/>
        <w:pageBreakBefore w:val="0"/>
        <w:widowControl w:val="0"/>
        <w:kinsoku/>
        <w:wordWrap/>
        <w:overflowPunct/>
        <w:topLinePunct w:val="0"/>
        <w:autoSpaceDE/>
        <w:autoSpaceDN/>
        <w:bidi w:val="0"/>
        <w:adjustRightInd/>
        <w:snapToGrid/>
        <w:spacing w:after="0" w:line="540" w:lineRule="exact"/>
        <w:ind w:firstLine="3863" w:firstLineChars="184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   月   日</w:t>
      </w:r>
    </w:p>
    <w:p w14:paraId="2C9CA428">
      <w:pPr>
        <w:rPr>
          <w:rFonts w:hint="eastAsia" w:ascii="方正仿宋_GB2312" w:hAnsi="方正仿宋_GB2312" w:eastAsia="方正仿宋_GB2312" w:cs="方正仿宋_GB2312"/>
          <w:color w:val="auto"/>
          <w:highlight w:val="none"/>
        </w:rPr>
      </w:pPr>
      <w:bookmarkStart w:id="449" w:name="_Toc144974552"/>
      <w:bookmarkStart w:id="450" w:name="_Toc247527610"/>
      <w:bookmarkStart w:id="451" w:name="_Toc300835006"/>
      <w:bookmarkStart w:id="452" w:name="_Toc45896974"/>
      <w:bookmarkStart w:id="453" w:name="_Toc45896678"/>
      <w:bookmarkStart w:id="454" w:name="_Toc247514009"/>
      <w:bookmarkStart w:id="455" w:name="_Toc152045585"/>
      <w:bookmarkStart w:id="456" w:name="_Toc152042362"/>
      <w:r>
        <w:rPr>
          <w:rFonts w:hint="eastAsia" w:ascii="方正仿宋_GB2312" w:hAnsi="方正仿宋_GB2312" w:eastAsia="方正仿宋_GB2312" w:cs="方正仿宋_GB2312"/>
          <w:color w:val="auto"/>
          <w:highlight w:val="none"/>
        </w:rPr>
        <w:br w:type="page"/>
      </w:r>
    </w:p>
    <w:p w14:paraId="6A65F8EC">
      <w:pPr>
        <w:pStyle w:val="4"/>
        <w:ind w:firstLine="0" w:firstLineChars="0"/>
        <w:rPr>
          <w:rFonts w:hint="eastAsia" w:ascii="方正仿宋_GB2312" w:hAnsi="方正仿宋_GB2312" w:eastAsia="方正仿宋_GB2312" w:cs="方正仿宋_GB2312"/>
          <w:color w:val="auto"/>
          <w:highlight w:val="none"/>
        </w:rPr>
      </w:pPr>
      <w:bookmarkStart w:id="457" w:name="_Toc24921"/>
      <w:r>
        <w:rPr>
          <w:rFonts w:hint="eastAsia" w:ascii="方正仿宋_GB2312" w:hAnsi="方正仿宋_GB2312" w:eastAsia="方正仿宋_GB2312" w:cs="方正仿宋_GB2312"/>
          <w:color w:val="auto"/>
          <w:highlight w:val="none"/>
        </w:rPr>
        <w:t>附件五：中标结果通知书</w:t>
      </w:r>
      <w:bookmarkEnd w:id="449"/>
      <w:bookmarkEnd w:id="450"/>
      <w:bookmarkEnd w:id="451"/>
      <w:bookmarkEnd w:id="452"/>
      <w:bookmarkEnd w:id="453"/>
      <w:bookmarkEnd w:id="454"/>
      <w:bookmarkEnd w:id="455"/>
      <w:bookmarkEnd w:id="456"/>
      <w:bookmarkEnd w:id="457"/>
    </w:p>
    <w:p w14:paraId="7DA86BD4">
      <w:pPr>
        <w:spacing w:line="400" w:lineRule="exact"/>
        <w:rPr>
          <w:rFonts w:hint="eastAsia" w:ascii="方正仿宋_GB2312" w:hAnsi="方正仿宋_GB2312" w:eastAsia="方正仿宋_GB2312" w:cs="方正仿宋_GB2312"/>
          <w:color w:val="auto"/>
          <w:highlight w:val="none"/>
        </w:rPr>
      </w:pPr>
    </w:p>
    <w:p w14:paraId="7ACFB6A9">
      <w:pPr>
        <w:spacing w:line="40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中标结果通知书</w:t>
      </w:r>
    </w:p>
    <w:p w14:paraId="6056FCD1">
      <w:pPr>
        <w:spacing w:line="400" w:lineRule="exact"/>
        <w:rPr>
          <w:rFonts w:hint="eastAsia" w:ascii="方正仿宋_GB2312" w:hAnsi="方正仿宋_GB2312" w:eastAsia="方正仿宋_GB2312" w:cs="方正仿宋_GB2312"/>
          <w:color w:val="auto"/>
          <w:highlight w:val="none"/>
        </w:rPr>
      </w:pPr>
    </w:p>
    <w:p w14:paraId="6AE1EFED">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（未中标人名称）：</w:t>
      </w:r>
    </w:p>
    <w:p w14:paraId="099BC0F9">
      <w:pPr>
        <w:spacing w:line="440" w:lineRule="exact"/>
        <w:rPr>
          <w:rFonts w:hint="eastAsia" w:ascii="方正仿宋_GB2312" w:hAnsi="方正仿宋_GB2312" w:eastAsia="方正仿宋_GB2312" w:cs="方正仿宋_GB2312"/>
          <w:color w:val="auto"/>
          <w:highlight w:val="none"/>
        </w:rPr>
      </w:pPr>
    </w:p>
    <w:p w14:paraId="0360F0FB">
      <w:pPr>
        <w:spacing w:line="440" w:lineRule="exact"/>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我方已接受（中标人名称）于（投标日期）所递交的（项目名称）总承包招标的投标文件，确定（中标人名称）为中标人。</w:t>
      </w:r>
    </w:p>
    <w:p w14:paraId="02EE09EE">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感谢你单位对我们工作的大力支持！</w:t>
      </w:r>
    </w:p>
    <w:p w14:paraId="536A70E2">
      <w:pPr>
        <w:spacing w:line="440" w:lineRule="exact"/>
        <w:rPr>
          <w:rFonts w:hint="eastAsia" w:ascii="方正仿宋_GB2312" w:hAnsi="方正仿宋_GB2312" w:eastAsia="方正仿宋_GB2312" w:cs="方正仿宋_GB2312"/>
          <w:color w:val="auto"/>
          <w:highlight w:val="none"/>
        </w:rPr>
      </w:pPr>
    </w:p>
    <w:p w14:paraId="554593AF">
      <w:pPr>
        <w:spacing w:line="440" w:lineRule="exact"/>
        <w:rPr>
          <w:rFonts w:hint="eastAsia" w:ascii="方正仿宋_GB2312" w:hAnsi="方正仿宋_GB2312" w:eastAsia="方正仿宋_GB2312" w:cs="方正仿宋_GB2312"/>
          <w:color w:val="auto"/>
          <w:highlight w:val="none"/>
        </w:rPr>
      </w:pPr>
    </w:p>
    <w:p w14:paraId="6624572C">
      <w:pPr>
        <w:spacing w:line="440" w:lineRule="exact"/>
        <w:rPr>
          <w:rFonts w:hint="eastAsia" w:ascii="方正仿宋_GB2312" w:hAnsi="方正仿宋_GB2312" w:eastAsia="方正仿宋_GB2312" w:cs="方正仿宋_GB2312"/>
          <w:color w:val="auto"/>
          <w:highlight w:val="none"/>
        </w:rPr>
      </w:pPr>
    </w:p>
    <w:p w14:paraId="2DB3F4F9">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招标人：（单位盖章）</w:t>
      </w:r>
    </w:p>
    <w:p w14:paraId="78E1588E">
      <w:pPr>
        <w:spacing w:line="440" w:lineRule="exact"/>
        <w:rPr>
          <w:rFonts w:hint="eastAsia" w:ascii="方正仿宋_GB2312" w:hAnsi="方正仿宋_GB2312" w:eastAsia="方正仿宋_GB2312" w:cs="方正仿宋_GB2312"/>
          <w:color w:val="auto"/>
          <w:highlight w:val="none"/>
        </w:rPr>
      </w:pPr>
    </w:p>
    <w:p w14:paraId="46BC82B3">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法定代表人：（签字）</w:t>
      </w:r>
    </w:p>
    <w:p w14:paraId="06B17D6F">
      <w:pPr>
        <w:spacing w:line="440" w:lineRule="exact"/>
        <w:rPr>
          <w:rFonts w:hint="eastAsia" w:ascii="方正仿宋_GB2312" w:hAnsi="方正仿宋_GB2312" w:eastAsia="方正仿宋_GB2312" w:cs="方正仿宋_GB2312"/>
          <w:color w:val="auto"/>
          <w:highlight w:val="none"/>
        </w:rPr>
      </w:pPr>
    </w:p>
    <w:p w14:paraId="579C305B">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  月  日</w:t>
      </w:r>
    </w:p>
    <w:p w14:paraId="64025B47">
      <w:pPr>
        <w:spacing w:line="400" w:lineRule="exact"/>
        <w:rPr>
          <w:rFonts w:hint="eastAsia" w:ascii="方正仿宋_GB2312" w:hAnsi="方正仿宋_GB2312" w:eastAsia="方正仿宋_GB2312" w:cs="方正仿宋_GB2312"/>
          <w:color w:val="auto"/>
          <w:highlight w:val="none"/>
        </w:rPr>
      </w:pPr>
    </w:p>
    <w:p w14:paraId="3944044A">
      <w:pPr>
        <w:spacing w:line="4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highlight w:val="none"/>
        </w:rPr>
        <w:br w:type="page"/>
      </w:r>
    </w:p>
    <w:p w14:paraId="0E2DBCA5">
      <w:pPr>
        <w:rPr>
          <w:rFonts w:hint="eastAsia" w:ascii="方正仿宋_GB2312" w:hAnsi="方正仿宋_GB2312" w:eastAsia="方正仿宋_GB2312" w:cs="方正仿宋_GB2312"/>
          <w:color w:val="auto"/>
          <w:highlight w:val="none"/>
        </w:rPr>
      </w:pPr>
      <w:bookmarkStart w:id="458" w:name="_Toc247527611"/>
      <w:bookmarkStart w:id="459" w:name="_Toc45896975"/>
      <w:bookmarkStart w:id="460" w:name="_Toc152045586"/>
      <w:bookmarkStart w:id="461" w:name="_Toc45896679"/>
      <w:bookmarkStart w:id="462" w:name="_Toc144974553"/>
      <w:bookmarkStart w:id="463" w:name="_Toc247514010"/>
      <w:bookmarkStart w:id="464" w:name="_Toc300835007"/>
      <w:bookmarkStart w:id="465" w:name="_Toc152042363"/>
      <w:bookmarkStart w:id="466" w:name="_Toc20474"/>
      <w:r>
        <w:rPr>
          <w:rFonts w:hint="eastAsia" w:ascii="方正仿宋_GB2312" w:hAnsi="方正仿宋_GB2312" w:eastAsia="方正仿宋_GB2312" w:cs="方正仿宋_GB2312"/>
          <w:color w:val="auto"/>
          <w:highlight w:val="none"/>
        </w:rPr>
        <w:t>附件六：确认通知</w:t>
      </w:r>
      <w:bookmarkEnd w:id="458"/>
      <w:bookmarkEnd w:id="459"/>
      <w:bookmarkEnd w:id="460"/>
      <w:bookmarkEnd w:id="461"/>
      <w:bookmarkEnd w:id="462"/>
      <w:bookmarkEnd w:id="463"/>
      <w:bookmarkEnd w:id="464"/>
      <w:bookmarkEnd w:id="465"/>
      <w:bookmarkEnd w:id="466"/>
    </w:p>
    <w:p w14:paraId="7C20DC02">
      <w:pPr>
        <w:spacing w:line="400" w:lineRule="exact"/>
        <w:rPr>
          <w:rFonts w:hint="eastAsia" w:ascii="方正仿宋_GB2312" w:hAnsi="方正仿宋_GB2312" w:eastAsia="方正仿宋_GB2312" w:cs="方正仿宋_GB2312"/>
          <w:color w:val="auto"/>
          <w:highlight w:val="none"/>
        </w:rPr>
      </w:pPr>
    </w:p>
    <w:p w14:paraId="7E51747A">
      <w:pPr>
        <w:spacing w:line="40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确认通知</w:t>
      </w:r>
    </w:p>
    <w:p w14:paraId="379B1BBB">
      <w:pPr>
        <w:spacing w:line="400" w:lineRule="exact"/>
        <w:rPr>
          <w:rFonts w:hint="eastAsia" w:ascii="方正仿宋_GB2312" w:hAnsi="方正仿宋_GB2312" w:eastAsia="方正仿宋_GB2312" w:cs="方正仿宋_GB2312"/>
          <w:color w:val="auto"/>
          <w:highlight w:val="none"/>
        </w:rPr>
      </w:pPr>
    </w:p>
    <w:p w14:paraId="3ACA60C0">
      <w:pPr>
        <w:spacing w:line="440" w:lineRule="exact"/>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（招标人名称）：</w:t>
      </w:r>
    </w:p>
    <w:p w14:paraId="302FF71D">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w:t>
      </w:r>
    </w:p>
    <w:p w14:paraId="433B6C5A">
      <w:pPr>
        <w:spacing w:line="440" w:lineRule="exact"/>
        <w:ind w:firstLine="840" w:firstLineChars="4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你方于      年      月     日发出的             （项目名称）关于       </w:t>
      </w:r>
    </w:p>
    <w:p w14:paraId="784E6D37">
      <w:pPr>
        <w:spacing w:line="440" w:lineRule="exact"/>
        <w:ind w:firstLine="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               的通知，我方已于    年    月     日收到。</w:t>
      </w:r>
    </w:p>
    <w:p w14:paraId="746F9933">
      <w:pPr>
        <w:spacing w:line="44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特此确认。</w:t>
      </w:r>
    </w:p>
    <w:p w14:paraId="0490F596">
      <w:pPr>
        <w:spacing w:line="440" w:lineRule="exact"/>
        <w:rPr>
          <w:rFonts w:hint="eastAsia" w:ascii="方正仿宋_GB2312" w:hAnsi="方正仿宋_GB2312" w:eastAsia="方正仿宋_GB2312" w:cs="方正仿宋_GB2312"/>
          <w:color w:val="auto"/>
          <w:highlight w:val="none"/>
        </w:rPr>
      </w:pPr>
    </w:p>
    <w:p w14:paraId="15D7F282">
      <w:pPr>
        <w:spacing w:line="440" w:lineRule="exact"/>
        <w:rPr>
          <w:rFonts w:hint="eastAsia" w:ascii="方正仿宋_GB2312" w:hAnsi="方正仿宋_GB2312" w:eastAsia="方正仿宋_GB2312" w:cs="方正仿宋_GB2312"/>
          <w:color w:val="auto"/>
          <w:highlight w:val="none"/>
        </w:rPr>
      </w:pPr>
    </w:p>
    <w:p w14:paraId="3A0E2CB2">
      <w:pPr>
        <w:spacing w:line="440" w:lineRule="exact"/>
        <w:ind w:firstLine="5040" w:firstLineChars="24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投标人：（单位盖章）</w:t>
      </w:r>
    </w:p>
    <w:p w14:paraId="53A4671E">
      <w:pPr>
        <w:spacing w:line="440" w:lineRule="exact"/>
        <w:rPr>
          <w:rFonts w:hint="eastAsia" w:ascii="方正仿宋_GB2312" w:hAnsi="方正仿宋_GB2312" w:eastAsia="方正仿宋_GB2312" w:cs="方正仿宋_GB2312"/>
          <w:color w:val="auto"/>
          <w:highlight w:val="none"/>
        </w:rPr>
      </w:pPr>
    </w:p>
    <w:p w14:paraId="5379EE00">
      <w:pPr>
        <w:spacing w:line="440" w:lineRule="exact"/>
        <w:ind w:firstLine="5460" w:firstLineChars="26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  月  日</w:t>
      </w:r>
    </w:p>
    <w:p w14:paraId="0D083625">
      <w:pPr>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highlight w:val="none"/>
        </w:rPr>
        <w:br w:type="page"/>
      </w:r>
    </w:p>
    <w:p w14:paraId="6116F9BB">
      <w:pPr>
        <w:pStyle w:val="4"/>
        <w:spacing w:line="240" w:lineRule="auto"/>
        <w:rPr>
          <w:rFonts w:hint="eastAsia" w:ascii="方正仿宋_GB2312" w:hAnsi="方正仿宋_GB2312" w:eastAsia="方正仿宋_GB2312" w:cs="方正仿宋_GB2312"/>
          <w:color w:val="auto"/>
          <w:highlight w:val="none"/>
        </w:rPr>
      </w:pPr>
      <w:bookmarkStart w:id="467" w:name="_Toc45896976"/>
      <w:bookmarkStart w:id="468" w:name="_Toc45896680"/>
      <w:bookmarkStart w:id="469" w:name="_Toc9242"/>
      <w:r>
        <w:rPr>
          <w:rFonts w:hint="eastAsia" w:ascii="方正仿宋_GB2312" w:hAnsi="方正仿宋_GB2312" w:eastAsia="方正仿宋_GB2312" w:cs="方正仿宋_GB2312"/>
          <w:color w:val="auto"/>
          <w:highlight w:val="none"/>
        </w:rPr>
        <w:t>附件</w:t>
      </w:r>
      <w:r>
        <w:rPr>
          <w:rFonts w:hint="eastAsia" w:ascii="方正仿宋_GB2312" w:hAnsi="方正仿宋_GB2312" w:eastAsia="方正仿宋_GB2312" w:cs="方正仿宋_GB2312"/>
          <w:color w:val="auto"/>
          <w:highlight w:val="none"/>
          <w:lang w:val="en-US" w:eastAsia="zh-CN"/>
        </w:rPr>
        <w:t>七</w:t>
      </w:r>
      <w:r>
        <w:rPr>
          <w:rFonts w:hint="eastAsia" w:ascii="方正仿宋_GB2312" w:hAnsi="方正仿宋_GB2312" w:eastAsia="方正仿宋_GB2312" w:cs="方正仿宋_GB2312"/>
          <w:color w:val="auto"/>
          <w:highlight w:val="none"/>
        </w:rPr>
        <w:t>：电子投标文件编制及上传要求</w:t>
      </w:r>
      <w:bookmarkEnd w:id="467"/>
      <w:bookmarkEnd w:id="468"/>
      <w:bookmarkEnd w:id="469"/>
    </w:p>
    <w:p w14:paraId="38C480D5">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1.</w:t>
      </w:r>
      <w:r>
        <w:rPr>
          <w:rFonts w:hint="eastAsia" w:ascii="方正仿宋_GB2312" w:hAnsi="方正仿宋_GB2312" w:eastAsia="方正仿宋_GB2312" w:cs="方正仿宋_GB2312"/>
          <w:color w:val="auto"/>
          <w:highlight w:val="none"/>
        </w:rPr>
        <w:t>电子投标文件的制作应使用《云南省工程建设模块化投标文件编制系统》，生成电子签名（或签名）的投标文件，格式为*.BTBJ。如果要求提供电子效果图纸文件/电子视频演示文件，也必须使用《云南省工程建设模块化投标文件编制系统》制作生成电子签名的效果图纸文件（格式为*.BTBT）/视频演示文件（格式为*.BTBY），电子投标文件须在网上递交上传。</w:t>
      </w:r>
    </w:p>
    <w:p w14:paraId="65D5DCEF">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2.</w:t>
      </w:r>
      <w:r>
        <w:rPr>
          <w:rFonts w:hint="eastAsia" w:ascii="方正仿宋_GB2312" w:hAnsi="方正仿宋_GB2312" w:eastAsia="方正仿宋_GB2312" w:cs="方正仿宋_GB2312"/>
          <w:color w:val="auto"/>
          <w:highlight w:val="none"/>
        </w:rPr>
        <w:t>《云南省工程建设模块化投标文件编制系统》提供数字证书（CA）对投标文件进行加密功能。投标人对网上递交的投标文件应加密。如果投标人使用某个数字证书（CA）对投标文件进行了数字证书（CA）加密，需要在开标会上使用该数字证书（CA）进行现场解密，才能读取或导入投标文件，因投标人原因造成投标文件未解密的，视为撤回其投标文件。</w:t>
      </w:r>
    </w:p>
    <w:p w14:paraId="5C657268">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3.</w:t>
      </w:r>
      <w:r>
        <w:rPr>
          <w:rFonts w:hint="eastAsia" w:ascii="方正仿宋_GB2312" w:hAnsi="方正仿宋_GB2312" w:eastAsia="方正仿宋_GB2312" w:cs="方正仿宋_GB2312"/>
          <w:color w:val="auto"/>
          <w:highlight w:val="none"/>
        </w:rPr>
        <w:t>网上递交投标文件应根据招标文件要求，在投标截止时间前将电子投标文件上传至指定的开标项目，并打印“上传投标文件回执”，以表明上传成功。同时，应自行核验下载上传成功的投标文件，并进行查看和解密以确保上传投标文件的正确性。</w:t>
      </w:r>
    </w:p>
    <w:p w14:paraId="1D1C53B7">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4.</w:t>
      </w:r>
      <w:r>
        <w:rPr>
          <w:rFonts w:hint="eastAsia" w:ascii="方正仿宋_GB2312" w:hAnsi="方正仿宋_GB2312" w:eastAsia="方正仿宋_GB2312" w:cs="方正仿宋_GB2312"/>
          <w:color w:val="auto"/>
          <w:highlight w:val="none"/>
        </w:rPr>
        <w:t>投标人投标时，须按本附件“电子投标文件编制及报送要求”规定编制及网上递交电子投标文件。</w:t>
      </w:r>
    </w:p>
    <w:p w14:paraId="133FD0F8">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5.</w:t>
      </w:r>
      <w:r>
        <w:rPr>
          <w:rFonts w:hint="eastAsia" w:ascii="方正仿宋_GB2312" w:hAnsi="方正仿宋_GB2312" w:eastAsia="方正仿宋_GB2312" w:cs="方正仿宋_GB2312"/>
          <w:color w:val="auto"/>
          <w:highlight w:val="none"/>
        </w:rPr>
        <w:t>该投标文件制作及报送要求如果与招标文件规定不一致，以此投标文件制作及报送要求为准。</w:t>
      </w:r>
    </w:p>
    <w:p w14:paraId="76397625">
      <w:pPr>
        <w:pStyle w:val="52"/>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6.</w:t>
      </w:r>
      <w:r>
        <w:rPr>
          <w:rFonts w:hint="eastAsia" w:ascii="方正仿宋_GB2312" w:hAnsi="方正仿宋_GB2312" w:eastAsia="方正仿宋_GB2312" w:cs="方正仿宋_GB2312"/>
          <w:color w:val="auto"/>
          <w:highlight w:val="none"/>
        </w:rPr>
        <w:t>在编制技术标投标文件时，</w:t>
      </w:r>
      <w:r>
        <w:rPr>
          <w:rFonts w:hint="eastAsia" w:ascii="方正仿宋_GB2312" w:hAnsi="方正仿宋_GB2312" w:eastAsia="方正仿宋_GB2312" w:cs="方正仿宋_GB2312"/>
          <w:b/>
          <w:bCs/>
          <w:color w:val="auto"/>
          <w:highlight w:val="none"/>
        </w:rPr>
        <w:t>粘贴图片使用JPG格式的文件，并且每张图片的</w:t>
      </w:r>
      <w:r>
        <w:rPr>
          <w:rFonts w:hint="eastAsia" w:ascii="方正仿宋_GB2312" w:hAnsi="方正仿宋_GB2312" w:eastAsia="方正仿宋_GB2312" w:cs="方正仿宋_GB2312"/>
          <w:b/>
          <w:bCs/>
          <w:color w:val="auto"/>
          <w:highlight w:val="none"/>
          <w:lang w:eastAsia="zh-CN"/>
        </w:rPr>
        <w:t>分辨率</w:t>
      </w:r>
      <w:r>
        <w:rPr>
          <w:rFonts w:hint="eastAsia" w:ascii="方正仿宋_GB2312" w:hAnsi="方正仿宋_GB2312" w:eastAsia="方正仿宋_GB2312" w:cs="方正仿宋_GB2312"/>
          <w:b/>
          <w:bCs/>
          <w:color w:val="auto"/>
          <w:highlight w:val="none"/>
        </w:rPr>
        <w:t>应小于100dpi，最终的每份标书文件所占用的磁盘空间必须小于</w:t>
      </w:r>
      <w:r>
        <w:rPr>
          <w:rFonts w:hint="eastAsia" w:ascii="方正仿宋_GB2312" w:hAnsi="方正仿宋_GB2312" w:eastAsia="方正仿宋_GB2312" w:cs="方正仿宋_GB2312"/>
          <w:b/>
          <w:bCs/>
          <w:color w:val="auto"/>
          <w:highlight w:val="none"/>
          <w:lang w:val="en-US" w:eastAsia="zh-CN"/>
        </w:rPr>
        <w:t>100</w:t>
      </w:r>
      <w:r>
        <w:rPr>
          <w:rFonts w:hint="eastAsia" w:ascii="方正仿宋_GB2312" w:hAnsi="方正仿宋_GB2312" w:eastAsia="方正仿宋_GB2312" w:cs="方正仿宋_GB2312"/>
          <w:b/>
          <w:bCs/>
          <w:color w:val="auto"/>
          <w:highlight w:val="none"/>
        </w:rPr>
        <w:t>M。</w:t>
      </w:r>
    </w:p>
    <w:p w14:paraId="1C649DAF">
      <w:pPr>
        <w:pStyle w:val="52"/>
        <w:spacing w:line="360" w:lineRule="auto"/>
        <w:rPr>
          <w:rFonts w:hint="eastAsia" w:ascii="方正仿宋_GB2312" w:hAnsi="方正仿宋_GB2312" w:eastAsia="方正仿宋_GB2312" w:cs="方正仿宋_GB2312"/>
          <w:b/>
          <w:bCs/>
          <w:color w:val="auto"/>
          <w:highlight w:val="none"/>
        </w:rPr>
      </w:pPr>
      <w:bookmarkStart w:id="470" w:name="_Toc497754411"/>
      <w:bookmarkStart w:id="471" w:name="_Toc9368"/>
      <w:bookmarkStart w:id="472" w:name="_Toc516609419"/>
      <w:bookmarkStart w:id="473" w:name="_Toc516230809"/>
      <w:bookmarkStart w:id="474" w:name="_Toc524363213"/>
      <w:r>
        <w:rPr>
          <w:rFonts w:hint="eastAsia" w:ascii="方正仿宋_GB2312" w:hAnsi="方正仿宋_GB2312" w:eastAsia="方正仿宋_GB2312" w:cs="方正仿宋_GB2312"/>
          <w:b/>
          <w:bCs/>
          <w:color w:val="auto"/>
          <w:highlight w:val="none"/>
        </w:rPr>
        <w:t>注：不同单位的投标文件若芯片序列号、硬盘序列号、网卡序列号一致，视为由同一台电脑编制！</w:t>
      </w:r>
      <w:bookmarkEnd w:id="470"/>
      <w:bookmarkEnd w:id="471"/>
      <w:bookmarkEnd w:id="472"/>
      <w:bookmarkEnd w:id="473"/>
      <w:bookmarkEnd w:id="474"/>
    </w:p>
    <w:p w14:paraId="2BA85443">
      <w:pPr>
        <w:numPr>
          <w:ilvl w:val="0"/>
          <w:numId w:val="4"/>
        </w:numPr>
        <w:snapToGrid w:val="0"/>
        <w:spacing w:after="0" w:line="360" w:lineRule="auto"/>
        <w:jc w:val="center"/>
        <w:outlineLvl w:val="1"/>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highlight w:val="none"/>
        </w:rPr>
        <w:br w:type="page"/>
      </w:r>
      <w:r>
        <w:rPr>
          <w:rFonts w:hint="eastAsia" w:ascii="方正仿宋_GB2312" w:hAnsi="方正仿宋_GB2312" w:eastAsia="方正仿宋_GB2312" w:cs="方正仿宋_GB2312"/>
          <w:b/>
          <w:bCs/>
          <w:color w:val="auto"/>
          <w:sz w:val="24"/>
          <w:szCs w:val="24"/>
          <w:highlight w:val="none"/>
        </w:rPr>
        <w:t>评标办法（综合评估法）</w:t>
      </w:r>
      <w:bookmarkEnd w:id="439"/>
    </w:p>
    <w:p w14:paraId="20F0DE26">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outlineLvl w:val="2"/>
        <w:rPr>
          <w:rFonts w:hint="eastAsia" w:ascii="方正仿宋_GB2312" w:hAnsi="方正仿宋_GB2312" w:eastAsia="方正仿宋_GB2312" w:cs="方正仿宋_GB2312"/>
          <w:color w:val="auto"/>
          <w:sz w:val="24"/>
          <w:szCs w:val="24"/>
          <w:highlight w:val="none"/>
        </w:rPr>
      </w:pPr>
      <w:bookmarkStart w:id="475" w:name="_Toc3430"/>
      <w:r>
        <w:rPr>
          <w:rFonts w:hint="eastAsia" w:ascii="方正仿宋_GB2312" w:hAnsi="方正仿宋_GB2312" w:eastAsia="方正仿宋_GB2312" w:cs="方正仿宋_GB2312"/>
          <w:b/>
          <w:bCs/>
          <w:color w:val="auto"/>
          <w:sz w:val="24"/>
          <w:szCs w:val="24"/>
          <w:highlight w:val="none"/>
          <w:lang w:eastAsia="zh-CN"/>
        </w:rPr>
        <w:t>一、</w:t>
      </w:r>
      <w:r>
        <w:rPr>
          <w:rFonts w:hint="eastAsia" w:ascii="方正仿宋_GB2312" w:hAnsi="方正仿宋_GB2312" w:eastAsia="方正仿宋_GB2312" w:cs="方正仿宋_GB2312"/>
          <w:b/>
          <w:bCs/>
          <w:color w:val="auto"/>
          <w:sz w:val="24"/>
          <w:szCs w:val="24"/>
          <w:highlight w:val="none"/>
        </w:rPr>
        <w:t>评标办法前附表</w:t>
      </w:r>
      <w:bookmarkEnd w:id="475"/>
    </w:p>
    <w:tbl>
      <w:tblPr>
        <w:tblStyle w:val="28"/>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023"/>
        <w:gridCol w:w="1823"/>
        <w:gridCol w:w="1589"/>
        <w:gridCol w:w="4378"/>
      </w:tblGrid>
      <w:tr w14:paraId="62B04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tcBorders>
              <w:tl2br w:val="nil"/>
              <w:tr2bl w:val="nil"/>
            </w:tcBorders>
            <w:vAlign w:val="center"/>
          </w:tcPr>
          <w:p w14:paraId="73509F1F">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条款号（2.1）</w:t>
            </w:r>
          </w:p>
        </w:tc>
        <w:tc>
          <w:tcPr>
            <w:tcW w:w="1823" w:type="dxa"/>
            <w:tcBorders>
              <w:tl2br w:val="nil"/>
              <w:tr2bl w:val="nil"/>
            </w:tcBorders>
            <w:vAlign w:val="center"/>
          </w:tcPr>
          <w:p w14:paraId="69FDD103">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评审因素</w:t>
            </w:r>
          </w:p>
        </w:tc>
        <w:tc>
          <w:tcPr>
            <w:tcW w:w="5967" w:type="dxa"/>
            <w:gridSpan w:val="2"/>
            <w:tcBorders>
              <w:tl2br w:val="nil"/>
              <w:tr2bl w:val="nil"/>
            </w:tcBorders>
            <w:vAlign w:val="center"/>
          </w:tcPr>
          <w:p w14:paraId="5F91480D">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评审标准</w:t>
            </w:r>
          </w:p>
        </w:tc>
      </w:tr>
      <w:tr w14:paraId="3B759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restart"/>
            <w:tcBorders>
              <w:tl2br w:val="nil"/>
              <w:tr2bl w:val="nil"/>
            </w:tcBorders>
            <w:vAlign w:val="center"/>
          </w:tcPr>
          <w:p w14:paraId="3F35ED40">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2.1.1</w:t>
            </w:r>
          </w:p>
        </w:tc>
        <w:tc>
          <w:tcPr>
            <w:tcW w:w="1023" w:type="dxa"/>
            <w:vMerge w:val="restart"/>
            <w:tcBorders>
              <w:tl2br w:val="nil"/>
              <w:tr2bl w:val="nil"/>
            </w:tcBorders>
            <w:vAlign w:val="center"/>
          </w:tcPr>
          <w:p w14:paraId="0B8D230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形式评审标准</w:t>
            </w:r>
          </w:p>
        </w:tc>
        <w:tc>
          <w:tcPr>
            <w:tcW w:w="1823" w:type="dxa"/>
            <w:tcBorders>
              <w:tl2br w:val="nil"/>
              <w:tr2bl w:val="nil"/>
            </w:tcBorders>
            <w:vAlign w:val="center"/>
          </w:tcPr>
          <w:p w14:paraId="4D65838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投标人名称</w:t>
            </w:r>
          </w:p>
        </w:tc>
        <w:tc>
          <w:tcPr>
            <w:tcW w:w="5967" w:type="dxa"/>
            <w:gridSpan w:val="2"/>
            <w:tcBorders>
              <w:tl2br w:val="nil"/>
              <w:tr2bl w:val="nil"/>
            </w:tcBorders>
            <w:vAlign w:val="center"/>
          </w:tcPr>
          <w:p w14:paraId="52044D50">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与营业执照、资质证书一致</w:t>
            </w:r>
          </w:p>
        </w:tc>
      </w:tr>
      <w:tr w14:paraId="4EB9C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38B201B1">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32822A9C">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7A33407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投标文件的签署</w:t>
            </w:r>
          </w:p>
        </w:tc>
        <w:tc>
          <w:tcPr>
            <w:tcW w:w="5967" w:type="dxa"/>
            <w:gridSpan w:val="2"/>
            <w:tcBorders>
              <w:tl2br w:val="nil"/>
              <w:tr2bl w:val="nil"/>
            </w:tcBorders>
            <w:vAlign w:val="center"/>
          </w:tcPr>
          <w:p w14:paraId="4063F0A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符合第二章“投标人须知前附表”第3.7.4项要求</w:t>
            </w:r>
          </w:p>
        </w:tc>
      </w:tr>
      <w:tr w14:paraId="3D73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5299124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144261B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1B424DF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投标文件格式</w:t>
            </w:r>
          </w:p>
        </w:tc>
        <w:tc>
          <w:tcPr>
            <w:tcW w:w="5967" w:type="dxa"/>
            <w:gridSpan w:val="2"/>
            <w:tcBorders>
              <w:tl2br w:val="nil"/>
              <w:tr2bl w:val="nil"/>
            </w:tcBorders>
            <w:vAlign w:val="center"/>
          </w:tcPr>
          <w:p w14:paraId="51CD88D0">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符合第六章“投标文件格式”的要求</w:t>
            </w:r>
          </w:p>
        </w:tc>
      </w:tr>
      <w:tr w14:paraId="53BF7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5820C92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5303F8C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3B929B3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联合体投标人</w:t>
            </w:r>
          </w:p>
        </w:tc>
        <w:tc>
          <w:tcPr>
            <w:tcW w:w="5967" w:type="dxa"/>
            <w:gridSpan w:val="2"/>
            <w:tcBorders>
              <w:tl2br w:val="nil"/>
              <w:tr2bl w:val="nil"/>
            </w:tcBorders>
            <w:vAlign w:val="center"/>
          </w:tcPr>
          <w:p w14:paraId="4DAEB5C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提交联合体协议书，并明确联合体牵头人</w:t>
            </w:r>
          </w:p>
        </w:tc>
      </w:tr>
      <w:tr w14:paraId="3A6EB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restart"/>
            <w:tcBorders>
              <w:tl2br w:val="nil"/>
              <w:tr2bl w:val="nil"/>
            </w:tcBorders>
            <w:vAlign w:val="center"/>
          </w:tcPr>
          <w:p w14:paraId="3EBBBAE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2.1.2</w:t>
            </w:r>
          </w:p>
        </w:tc>
        <w:tc>
          <w:tcPr>
            <w:tcW w:w="1023" w:type="dxa"/>
            <w:vMerge w:val="restart"/>
            <w:tcBorders>
              <w:tl2br w:val="nil"/>
              <w:tr2bl w:val="nil"/>
            </w:tcBorders>
            <w:vAlign w:val="center"/>
          </w:tcPr>
          <w:p w14:paraId="4D42514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资格评审标准</w:t>
            </w:r>
          </w:p>
        </w:tc>
        <w:tc>
          <w:tcPr>
            <w:tcW w:w="1823" w:type="dxa"/>
            <w:tcBorders>
              <w:tl2br w:val="nil"/>
              <w:tr2bl w:val="nil"/>
            </w:tcBorders>
            <w:vAlign w:val="center"/>
          </w:tcPr>
          <w:p w14:paraId="39C34B4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营业执照</w:t>
            </w:r>
          </w:p>
        </w:tc>
        <w:tc>
          <w:tcPr>
            <w:tcW w:w="5967" w:type="dxa"/>
            <w:gridSpan w:val="2"/>
            <w:tcBorders>
              <w:tl2br w:val="nil"/>
              <w:tr2bl w:val="nil"/>
            </w:tcBorders>
            <w:vAlign w:val="center"/>
          </w:tcPr>
          <w:p w14:paraId="1CD2102C">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具备有效的营业执照</w:t>
            </w:r>
          </w:p>
        </w:tc>
      </w:tr>
      <w:tr w14:paraId="02FE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5206967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0BEB5CE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68D73F7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资质等级</w:t>
            </w:r>
          </w:p>
        </w:tc>
        <w:tc>
          <w:tcPr>
            <w:tcW w:w="5967" w:type="dxa"/>
            <w:gridSpan w:val="2"/>
            <w:tcBorders>
              <w:tl2br w:val="nil"/>
              <w:tr2bl w:val="nil"/>
            </w:tcBorders>
            <w:vAlign w:val="center"/>
          </w:tcPr>
          <w:p w14:paraId="0725A9BD">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3A953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1A1E29F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58F3192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4EA59FD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安全生产许可证</w:t>
            </w:r>
          </w:p>
        </w:tc>
        <w:tc>
          <w:tcPr>
            <w:tcW w:w="5967" w:type="dxa"/>
            <w:gridSpan w:val="2"/>
            <w:tcBorders>
              <w:tl2br w:val="nil"/>
              <w:tr2bl w:val="nil"/>
            </w:tcBorders>
            <w:vAlign w:val="center"/>
          </w:tcPr>
          <w:p w14:paraId="7C52F278">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5AAE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35CC9D1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470612A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1FA9C19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财务状况</w:t>
            </w:r>
          </w:p>
        </w:tc>
        <w:tc>
          <w:tcPr>
            <w:tcW w:w="5967" w:type="dxa"/>
            <w:gridSpan w:val="2"/>
            <w:tcBorders>
              <w:tl2br w:val="nil"/>
              <w:tr2bl w:val="nil"/>
            </w:tcBorders>
            <w:vAlign w:val="center"/>
          </w:tcPr>
          <w:p w14:paraId="43C77FD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7864B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5812373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02045A6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65DE42E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信誉</w:t>
            </w:r>
          </w:p>
        </w:tc>
        <w:tc>
          <w:tcPr>
            <w:tcW w:w="5967" w:type="dxa"/>
            <w:gridSpan w:val="2"/>
            <w:tcBorders>
              <w:tl2br w:val="nil"/>
              <w:tr2bl w:val="nil"/>
            </w:tcBorders>
          </w:tcPr>
          <w:p w14:paraId="17AA9631">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6B25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905" w:type="dxa"/>
            <w:vMerge w:val="continue"/>
            <w:tcBorders>
              <w:tl2br w:val="nil"/>
              <w:tr2bl w:val="nil"/>
            </w:tcBorders>
            <w:vAlign w:val="center"/>
          </w:tcPr>
          <w:p w14:paraId="24E7E5E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05BB8FD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3733E8B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color w:val="auto"/>
                <w:sz w:val="21"/>
                <w:szCs w:val="21"/>
                <w:highlight w:val="none"/>
                <w:lang w:val="en-US" w:eastAsia="zh-CN"/>
              </w:rPr>
              <w:t>总承包项目负责人</w:t>
            </w:r>
          </w:p>
        </w:tc>
        <w:tc>
          <w:tcPr>
            <w:tcW w:w="5967" w:type="dxa"/>
            <w:gridSpan w:val="2"/>
            <w:tcBorders>
              <w:tl2br w:val="nil"/>
              <w:tr2bl w:val="nil"/>
            </w:tcBorders>
            <w:vAlign w:val="center"/>
          </w:tcPr>
          <w:p w14:paraId="79D41C0C">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573B0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12E8A88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302788D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shd w:val="clear" w:color="auto" w:fill="auto"/>
            <w:vAlign w:val="center"/>
          </w:tcPr>
          <w:p w14:paraId="47ABFC1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9"/>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设计负责人</w:t>
            </w:r>
          </w:p>
        </w:tc>
        <w:tc>
          <w:tcPr>
            <w:tcW w:w="5967" w:type="dxa"/>
            <w:gridSpan w:val="2"/>
            <w:tcBorders>
              <w:tl2br w:val="nil"/>
              <w:tr2bl w:val="nil"/>
            </w:tcBorders>
            <w:shd w:val="clear" w:color="auto" w:fill="auto"/>
            <w:vAlign w:val="center"/>
          </w:tcPr>
          <w:p w14:paraId="264953AA">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5350B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119B69E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2B8EC3B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239084B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施工负责人（项目经理）</w:t>
            </w:r>
          </w:p>
        </w:tc>
        <w:tc>
          <w:tcPr>
            <w:tcW w:w="5967" w:type="dxa"/>
            <w:gridSpan w:val="2"/>
            <w:tcBorders>
              <w:tl2br w:val="nil"/>
              <w:tr2bl w:val="nil"/>
            </w:tcBorders>
            <w:vAlign w:val="center"/>
          </w:tcPr>
          <w:p w14:paraId="55E81AA1">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0631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76DAC4A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190AAB3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185D75C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项目管理机构及人员要求</w:t>
            </w:r>
          </w:p>
        </w:tc>
        <w:tc>
          <w:tcPr>
            <w:tcW w:w="5967" w:type="dxa"/>
            <w:gridSpan w:val="2"/>
            <w:tcBorders>
              <w:tl2br w:val="nil"/>
              <w:tr2bl w:val="nil"/>
            </w:tcBorders>
            <w:vAlign w:val="center"/>
          </w:tcPr>
          <w:p w14:paraId="79AA1108">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符合第二章“投标人须知”第1.4.1项规定</w:t>
            </w:r>
          </w:p>
        </w:tc>
      </w:tr>
      <w:tr w14:paraId="5749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756FBDE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6E6D800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3F3FD54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其他要求</w:t>
            </w:r>
          </w:p>
        </w:tc>
        <w:tc>
          <w:tcPr>
            <w:tcW w:w="5967" w:type="dxa"/>
            <w:gridSpan w:val="2"/>
            <w:tcBorders>
              <w:tl2br w:val="nil"/>
              <w:tr2bl w:val="nil"/>
            </w:tcBorders>
            <w:vAlign w:val="center"/>
          </w:tcPr>
          <w:p w14:paraId="512E5EEB">
            <w:pPr>
              <w:keepNext w:val="0"/>
              <w:keepLines w:val="0"/>
              <w:pageBreakBefore w:val="0"/>
              <w:kinsoku/>
              <w:wordWrap/>
              <w:overflowPunct/>
              <w:topLinePunct w:val="0"/>
              <w:bidi w:val="0"/>
              <w:snapToGrid w:val="0"/>
              <w:spacing w:after="0" w:line="360" w:lineRule="auto"/>
              <w:textAlignment w:val="auto"/>
              <w:outlineLvl w:val="9"/>
              <w:rPr>
                <w:rFonts w:hint="default"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rPr>
              <w:t>符合第二章“投标人须知”第1.4.1项规定</w:t>
            </w:r>
            <w:r>
              <w:rPr>
                <w:rFonts w:hint="eastAsia" w:ascii="方正仿宋_GB2312" w:hAnsi="方正仿宋_GB2312" w:eastAsia="方正仿宋_GB2312" w:cs="方正仿宋_GB2312"/>
                <w:color w:val="auto"/>
                <w:sz w:val="21"/>
                <w:szCs w:val="21"/>
                <w:highlight w:val="none"/>
                <w:lang w:val="en-US" w:eastAsia="zh-CN"/>
              </w:rPr>
              <w:t>及招标文件规定的其他要求。</w:t>
            </w:r>
          </w:p>
        </w:tc>
      </w:tr>
      <w:tr w14:paraId="5915C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restart"/>
            <w:tcBorders>
              <w:tl2br w:val="nil"/>
              <w:tr2bl w:val="nil"/>
            </w:tcBorders>
            <w:vAlign w:val="center"/>
          </w:tcPr>
          <w:p w14:paraId="470EFCE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p w14:paraId="3794AE9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2.1.3</w:t>
            </w:r>
          </w:p>
        </w:tc>
        <w:tc>
          <w:tcPr>
            <w:tcW w:w="1023" w:type="dxa"/>
            <w:vMerge w:val="restart"/>
            <w:tcBorders>
              <w:tl2br w:val="nil"/>
              <w:tr2bl w:val="nil"/>
            </w:tcBorders>
            <w:vAlign w:val="center"/>
          </w:tcPr>
          <w:p w14:paraId="27BE181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p w14:paraId="7CD3E4E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响应性评审标准</w:t>
            </w:r>
          </w:p>
        </w:tc>
        <w:tc>
          <w:tcPr>
            <w:tcW w:w="1823" w:type="dxa"/>
            <w:tcBorders>
              <w:tl2br w:val="nil"/>
              <w:tr2bl w:val="nil"/>
            </w:tcBorders>
            <w:vAlign w:val="center"/>
          </w:tcPr>
          <w:p w14:paraId="18AACE8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投标报价</w:t>
            </w:r>
          </w:p>
        </w:tc>
        <w:tc>
          <w:tcPr>
            <w:tcW w:w="5967" w:type="dxa"/>
            <w:gridSpan w:val="2"/>
            <w:tcBorders>
              <w:tl2br w:val="nil"/>
              <w:tr2bl w:val="nil"/>
            </w:tcBorders>
            <w:vAlign w:val="center"/>
          </w:tcPr>
          <w:p w14:paraId="00E51D0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符合第二章“投标人须知”第3.2项规定</w:t>
            </w:r>
          </w:p>
        </w:tc>
      </w:tr>
      <w:tr w14:paraId="7ACF5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21B0402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05F4D1F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052820D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投标内容</w:t>
            </w:r>
          </w:p>
        </w:tc>
        <w:tc>
          <w:tcPr>
            <w:tcW w:w="5967" w:type="dxa"/>
            <w:gridSpan w:val="2"/>
            <w:tcBorders>
              <w:tl2br w:val="nil"/>
              <w:tr2bl w:val="nil"/>
            </w:tcBorders>
            <w:vAlign w:val="center"/>
          </w:tcPr>
          <w:p w14:paraId="5E250DCE">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符合第二章“投标人须知”第1.3.1项规定</w:t>
            </w:r>
          </w:p>
        </w:tc>
      </w:tr>
      <w:tr w14:paraId="15D22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7681D10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227596D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6DC909F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工期</w:t>
            </w:r>
          </w:p>
        </w:tc>
        <w:tc>
          <w:tcPr>
            <w:tcW w:w="5967" w:type="dxa"/>
            <w:gridSpan w:val="2"/>
            <w:tcBorders>
              <w:tl2br w:val="nil"/>
              <w:tr2bl w:val="nil"/>
            </w:tcBorders>
            <w:vAlign w:val="center"/>
          </w:tcPr>
          <w:p w14:paraId="500733A7">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符合第二章“投标人须知”第1.3.2项规定</w:t>
            </w:r>
          </w:p>
        </w:tc>
      </w:tr>
      <w:tr w14:paraId="018FD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35E5CB9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345372C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0BB7DC0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质量标准</w:t>
            </w:r>
          </w:p>
        </w:tc>
        <w:tc>
          <w:tcPr>
            <w:tcW w:w="5967" w:type="dxa"/>
            <w:gridSpan w:val="2"/>
            <w:tcBorders>
              <w:tl2br w:val="nil"/>
              <w:tr2bl w:val="nil"/>
            </w:tcBorders>
            <w:vAlign w:val="center"/>
          </w:tcPr>
          <w:p w14:paraId="3F076D4F">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符合第二章“投标人须知”第1.3.3项规定</w:t>
            </w:r>
          </w:p>
        </w:tc>
      </w:tr>
      <w:tr w14:paraId="0C15D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02AA0A1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744C9AA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16B42A8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投标有效期</w:t>
            </w:r>
          </w:p>
        </w:tc>
        <w:tc>
          <w:tcPr>
            <w:tcW w:w="5967" w:type="dxa"/>
            <w:gridSpan w:val="2"/>
            <w:tcBorders>
              <w:tl2br w:val="nil"/>
              <w:tr2bl w:val="nil"/>
            </w:tcBorders>
            <w:vAlign w:val="center"/>
          </w:tcPr>
          <w:p w14:paraId="5569C2F4">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符合第二章“投标人须知”第3.3.1项规定</w:t>
            </w:r>
          </w:p>
        </w:tc>
      </w:tr>
      <w:tr w14:paraId="6AFE5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05" w:type="dxa"/>
            <w:vMerge w:val="continue"/>
            <w:tcBorders>
              <w:tl2br w:val="nil"/>
              <w:tr2bl w:val="nil"/>
            </w:tcBorders>
            <w:vAlign w:val="center"/>
          </w:tcPr>
          <w:p w14:paraId="1AC88D0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59815AF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28CD4E4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投标保证金</w:t>
            </w:r>
          </w:p>
        </w:tc>
        <w:tc>
          <w:tcPr>
            <w:tcW w:w="5967" w:type="dxa"/>
            <w:gridSpan w:val="2"/>
            <w:tcBorders>
              <w:tl2br w:val="nil"/>
              <w:tr2bl w:val="nil"/>
            </w:tcBorders>
            <w:vAlign w:val="center"/>
          </w:tcPr>
          <w:p w14:paraId="704795A2">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符合第二章“投标人须知”第3.4.1款规定</w:t>
            </w:r>
          </w:p>
        </w:tc>
      </w:tr>
      <w:tr w14:paraId="296AD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905" w:type="dxa"/>
            <w:vMerge w:val="continue"/>
            <w:tcBorders>
              <w:tl2br w:val="nil"/>
              <w:tr2bl w:val="nil"/>
            </w:tcBorders>
            <w:vAlign w:val="center"/>
          </w:tcPr>
          <w:p w14:paraId="122666D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vMerge w:val="continue"/>
            <w:tcBorders>
              <w:tl2br w:val="nil"/>
              <w:tr2bl w:val="nil"/>
            </w:tcBorders>
            <w:vAlign w:val="center"/>
          </w:tcPr>
          <w:p w14:paraId="0F532C7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2B49DE9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权利义务</w:t>
            </w:r>
          </w:p>
        </w:tc>
        <w:tc>
          <w:tcPr>
            <w:tcW w:w="5967" w:type="dxa"/>
            <w:gridSpan w:val="2"/>
            <w:tcBorders>
              <w:tl2br w:val="nil"/>
              <w:tr2bl w:val="nil"/>
            </w:tcBorders>
            <w:vAlign w:val="center"/>
          </w:tcPr>
          <w:p w14:paraId="64269666">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符合第四章“合同条款及格式”规定的权利义务</w:t>
            </w:r>
          </w:p>
        </w:tc>
      </w:tr>
      <w:tr w14:paraId="50893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905" w:type="dxa"/>
            <w:vMerge w:val="continue"/>
            <w:tcBorders>
              <w:tl2br w:val="nil"/>
              <w:tr2bl w:val="nil"/>
            </w:tcBorders>
            <w:vAlign w:val="center"/>
          </w:tcPr>
          <w:p w14:paraId="0C07CA44">
            <w:pPr>
              <w:keepNext w:val="0"/>
              <w:keepLines w:val="0"/>
              <w:pageBreakBefore w:val="0"/>
              <w:kinsoku/>
              <w:wordWrap/>
              <w:overflowPunct/>
              <w:topLinePunct w:val="0"/>
              <w:bidi w:val="0"/>
              <w:snapToGrid w:val="0"/>
              <w:spacing w:after="0" w:line="360" w:lineRule="auto"/>
              <w:textAlignment w:val="auto"/>
              <w:outlineLvl w:val="9"/>
              <w:rPr>
                <w:color w:val="auto"/>
                <w:highlight w:val="none"/>
              </w:rPr>
            </w:pPr>
          </w:p>
        </w:tc>
        <w:tc>
          <w:tcPr>
            <w:tcW w:w="1023" w:type="dxa"/>
            <w:vMerge w:val="continue"/>
            <w:tcBorders>
              <w:tl2br w:val="nil"/>
              <w:tr2bl w:val="nil"/>
            </w:tcBorders>
            <w:vAlign w:val="center"/>
          </w:tcPr>
          <w:p w14:paraId="10CFF1FB">
            <w:pPr>
              <w:keepNext w:val="0"/>
              <w:keepLines w:val="0"/>
              <w:pageBreakBefore w:val="0"/>
              <w:kinsoku/>
              <w:wordWrap/>
              <w:overflowPunct/>
              <w:topLinePunct w:val="0"/>
              <w:bidi w:val="0"/>
              <w:snapToGrid w:val="0"/>
              <w:spacing w:after="0" w:line="360" w:lineRule="auto"/>
              <w:textAlignment w:val="auto"/>
              <w:outlineLvl w:val="9"/>
              <w:rPr>
                <w:color w:val="auto"/>
                <w:highlight w:val="none"/>
              </w:rPr>
            </w:pPr>
          </w:p>
        </w:tc>
        <w:tc>
          <w:tcPr>
            <w:tcW w:w="1823" w:type="dxa"/>
            <w:tcBorders>
              <w:tl2br w:val="nil"/>
              <w:tr2bl w:val="nil"/>
            </w:tcBorders>
            <w:vAlign w:val="center"/>
          </w:tcPr>
          <w:p w14:paraId="39A9BA67">
            <w:pPr>
              <w:keepNext w:val="0"/>
              <w:keepLines w:val="0"/>
              <w:pageBreakBefore w:val="0"/>
              <w:kinsoku/>
              <w:wordWrap/>
              <w:overflowPunct/>
              <w:topLinePunct w:val="0"/>
              <w:bidi w:val="0"/>
              <w:snapToGrid w:val="0"/>
              <w:spacing w:after="0" w:line="360" w:lineRule="auto"/>
              <w:jc w:val="center"/>
              <w:textAlignment w:val="auto"/>
              <w:outlineLvl w:val="9"/>
              <w:rPr>
                <w:rFonts w:hint="default"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其他</w:t>
            </w:r>
          </w:p>
        </w:tc>
        <w:tc>
          <w:tcPr>
            <w:tcW w:w="5967" w:type="dxa"/>
            <w:gridSpan w:val="2"/>
            <w:tcBorders>
              <w:tl2br w:val="nil"/>
              <w:tr2bl w:val="nil"/>
            </w:tcBorders>
            <w:vAlign w:val="center"/>
          </w:tcPr>
          <w:p w14:paraId="24F5880C">
            <w:pPr>
              <w:keepNext w:val="0"/>
              <w:keepLines w:val="0"/>
              <w:pageBreakBefore w:val="0"/>
              <w:kinsoku/>
              <w:wordWrap/>
              <w:overflowPunct/>
              <w:topLinePunct w:val="0"/>
              <w:bidi w:val="0"/>
              <w:snapToGrid w:val="0"/>
              <w:spacing w:after="0" w:line="360" w:lineRule="auto"/>
              <w:textAlignment w:val="auto"/>
              <w:outlineLvl w:val="9"/>
              <w:rPr>
                <w:rFonts w:hint="default"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符合招标文件规定的其他要求。</w:t>
            </w:r>
          </w:p>
        </w:tc>
      </w:tr>
      <w:tr w14:paraId="008E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tcBorders>
              <w:tl2br w:val="nil"/>
              <w:tr2bl w:val="nil"/>
            </w:tcBorders>
            <w:vAlign w:val="center"/>
          </w:tcPr>
          <w:p w14:paraId="7E172D3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b/>
                <w:color w:val="auto"/>
                <w:sz w:val="21"/>
                <w:szCs w:val="21"/>
                <w:highlight w:val="none"/>
              </w:rPr>
            </w:pPr>
            <w:r>
              <w:rPr>
                <w:rFonts w:hint="eastAsia" w:ascii="方正仿宋_GB2312" w:hAnsi="方正仿宋_GB2312" w:eastAsia="方正仿宋_GB2312" w:cs="方正仿宋_GB2312"/>
                <w:b/>
                <w:color w:val="auto"/>
                <w:sz w:val="21"/>
                <w:szCs w:val="21"/>
                <w:highlight w:val="none"/>
              </w:rPr>
              <w:t>条款号（2.2）</w:t>
            </w:r>
          </w:p>
        </w:tc>
        <w:tc>
          <w:tcPr>
            <w:tcW w:w="1823" w:type="dxa"/>
            <w:tcBorders>
              <w:tl2br w:val="nil"/>
              <w:tr2bl w:val="nil"/>
            </w:tcBorders>
            <w:vAlign w:val="center"/>
          </w:tcPr>
          <w:p w14:paraId="7B24675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条款内容</w:t>
            </w:r>
          </w:p>
        </w:tc>
        <w:tc>
          <w:tcPr>
            <w:tcW w:w="5967" w:type="dxa"/>
            <w:gridSpan w:val="2"/>
            <w:tcBorders>
              <w:tl2br w:val="nil"/>
              <w:tr2bl w:val="nil"/>
            </w:tcBorders>
            <w:vAlign w:val="center"/>
          </w:tcPr>
          <w:p w14:paraId="7F9BE16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b/>
                <w:color w:val="auto"/>
                <w:sz w:val="21"/>
                <w:szCs w:val="21"/>
                <w:highlight w:val="none"/>
              </w:rPr>
            </w:pPr>
            <w:r>
              <w:rPr>
                <w:rFonts w:hint="eastAsia" w:ascii="方正仿宋_GB2312" w:hAnsi="方正仿宋_GB2312" w:eastAsia="方正仿宋_GB2312" w:cs="方正仿宋_GB2312"/>
                <w:b/>
                <w:color w:val="auto"/>
                <w:sz w:val="21"/>
                <w:szCs w:val="21"/>
                <w:highlight w:val="none"/>
              </w:rPr>
              <w:t>编列内容</w:t>
            </w:r>
          </w:p>
        </w:tc>
      </w:tr>
      <w:tr w14:paraId="3B96E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vMerge w:val="restart"/>
            <w:tcBorders>
              <w:tl2br w:val="nil"/>
              <w:tr2bl w:val="nil"/>
            </w:tcBorders>
            <w:vAlign w:val="center"/>
          </w:tcPr>
          <w:p w14:paraId="720DCA5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2.2.1</w:t>
            </w:r>
          </w:p>
        </w:tc>
        <w:tc>
          <w:tcPr>
            <w:tcW w:w="1823" w:type="dxa"/>
            <w:vMerge w:val="restart"/>
            <w:tcBorders>
              <w:tl2br w:val="nil"/>
              <w:tr2bl w:val="nil"/>
            </w:tcBorders>
            <w:vAlign w:val="center"/>
          </w:tcPr>
          <w:p w14:paraId="19162AC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分值构成</w:t>
            </w:r>
          </w:p>
          <w:p w14:paraId="6CDC347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总分100分</w:t>
            </w:r>
            <w:r>
              <w:rPr>
                <w:rFonts w:hint="eastAsia" w:ascii="方正仿宋_GB2312" w:hAnsi="方正仿宋_GB2312" w:eastAsia="方正仿宋_GB2312" w:cs="方正仿宋_GB2312"/>
                <w:color w:val="auto"/>
                <w:sz w:val="21"/>
                <w:szCs w:val="21"/>
                <w:highlight w:val="none"/>
                <w:lang w:eastAsia="zh-CN"/>
              </w:rPr>
              <w:t>）</w:t>
            </w:r>
          </w:p>
        </w:tc>
        <w:tc>
          <w:tcPr>
            <w:tcW w:w="1589" w:type="dxa"/>
            <w:tcBorders>
              <w:tl2br w:val="nil"/>
              <w:tr2bl w:val="nil"/>
            </w:tcBorders>
            <w:vAlign w:val="center"/>
          </w:tcPr>
          <w:p w14:paraId="09675E1A">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技术部分</w:t>
            </w:r>
          </w:p>
          <w:p w14:paraId="31D5001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评审标准</w:t>
            </w:r>
          </w:p>
          <w:p w14:paraId="5D8F148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（满分</w:t>
            </w:r>
            <w:r>
              <w:rPr>
                <w:rFonts w:hint="eastAsia" w:ascii="方正仿宋_GB2312" w:hAnsi="方正仿宋_GB2312" w:eastAsia="方正仿宋_GB2312" w:cs="方正仿宋_GB2312"/>
                <w:color w:val="auto"/>
                <w:sz w:val="21"/>
                <w:szCs w:val="21"/>
                <w:highlight w:val="none"/>
                <w:lang w:val="en-US" w:eastAsia="zh-CN"/>
              </w:rPr>
              <w:t>75</w:t>
            </w:r>
            <w:r>
              <w:rPr>
                <w:rFonts w:hint="eastAsia" w:ascii="方正仿宋_GB2312" w:hAnsi="方正仿宋_GB2312" w:eastAsia="方正仿宋_GB2312" w:cs="方正仿宋_GB2312"/>
                <w:color w:val="auto"/>
                <w:sz w:val="21"/>
                <w:szCs w:val="21"/>
                <w:highlight w:val="none"/>
              </w:rPr>
              <w:t>分）</w:t>
            </w:r>
          </w:p>
        </w:tc>
        <w:tc>
          <w:tcPr>
            <w:tcW w:w="4378" w:type="dxa"/>
            <w:tcBorders>
              <w:tl2br w:val="nil"/>
              <w:tr2bl w:val="nil"/>
            </w:tcBorders>
            <w:vAlign w:val="center"/>
          </w:tcPr>
          <w:p w14:paraId="4F47F30F">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总承包方案</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lang w:val="en-US"/>
              </w:rPr>
              <w:t>分</w:t>
            </w:r>
          </w:p>
          <w:p w14:paraId="2D4ACC56">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设计工作方案</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lang w:val="en-US"/>
              </w:rPr>
              <w:t>分</w:t>
            </w:r>
          </w:p>
          <w:p w14:paraId="1F257354">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施工</w:t>
            </w:r>
            <w:r>
              <w:rPr>
                <w:rFonts w:hint="eastAsia" w:ascii="方正仿宋_GB2312" w:hAnsi="方正仿宋_GB2312" w:eastAsia="方正仿宋_GB2312" w:cs="方正仿宋_GB2312"/>
                <w:color w:val="auto"/>
                <w:sz w:val="21"/>
                <w:szCs w:val="21"/>
                <w:highlight w:val="none"/>
                <w:lang w:val="en-US" w:eastAsia="zh-CN"/>
              </w:rPr>
              <w:t>方案</w:t>
            </w:r>
            <w:r>
              <w:rPr>
                <w:rFonts w:hint="eastAsia" w:ascii="方正仿宋_GB2312" w:hAnsi="方正仿宋_GB2312" w:eastAsia="方正仿宋_GB2312" w:cs="方正仿宋_GB2312"/>
                <w:color w:val="auto"/>
                <w:sz w:val="21"/>
                <w:szCs w:val="21"/>
                <w:highlight w:val="none"/>
                <w:lang w:val="en-US"/>
              </w:rPr>
              <w:t>评审</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25</w:t>
            </w:r>
            <w:r>
              <w:rPr>
                <w:rFonts w:hint="eastAsia" w:ascii="方正仿宋_GB2312" w:hAnsi="方正仿宋_GB2312" w:eastAsia="方正仿宋_GB2312" w:cs="方正仿宋_GB2312"/>
                <w:color w:val="auto"/>
                <w:sz w:val="21"/>
                <w:szCs w:val="21"/>
                <w:highlight w:val="none"/>
                <w:lang w:val="en-US"/>
              </w:rPr>
              <w:t>分</w:t>
            </w:r>
          </w:p>
          <w:p w14:paraId="386DF043">
            <w:pPr>
              <w:keepNext w:val="0"/>
              <w:keepLines w:val="0"/>
              <w:pageBreakBefore w:val="0"/>
              <w:kinsoku/>
              <w:wordWrap/>
              <w:overflowPunct/>
              <w:topLinePunct w:val="0"/>
              <w:bidi w:val="0"/>
              <w:snapToGrid w:val="0"/>
              <w:spacing w:after="0" w:line="360" w:lineRule="auto"/>
              <w:jc w:val="left"/>
              <w:textAlignment w:val="auto"/>
              <w:outlineLvl w:val="9"/>
              <w:rPr>
                <w:rFonts w:hint="default"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工程质量承诺及保证措施：</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p w14:paraId="1A65E8C4">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安全文明施工承诺及保证措施</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p w14:paraId="146962E8">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工期保证体系及保证措施</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p w14:paraId="476144E3">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项目风险预测与防范，事故应急预案</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tc>
      </w:tr>
      <w:tr w14:paraId="18DF4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vMerge w:val="continue"/>
            <w:tcBorders>
              <w:tl2br w:val="nil"/>
              <w:tr2bl w:val="nil"/>
            </w:tcBorders>
            <w:vAlign w:val="center"/>
          </w:tcPr>
          <w:p w14:paraId="221044E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vMerge w:val="continue"/>
            <w:tcBorders>
              <w:tl2br w:val="nil"/>
              <w:tr2bl w:val="nil"/>
            </w:tcBorders>
            <w:vAlign w:val="center"/>
          </w:tcPr>
          <w:p w14:paraId="524D620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589" w:type="dxa"/>
            <w:tcBorders>
              <w:tl2br w:val="nil"/>
              <w:tr2bl w:val="nil"/>
            </w:tcBorders>
            <w:vAlign w:val="center"/>
          </w:tcPr>
          <w:p w14:paraId="2FC8BD02">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商务部分</w:t>
            </w:r>
          </w:p>
          <w:p w14:paraId="2E38A5A1">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评审标准</w:t>
            </w:r>
          </w:p>
          <w:p w14:paraId="148A5EF8">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25</w:t>
            </w:r>
            <w:r>
              <w:rPr>
                <w:rFonts w:hint="eastAsia" w:ascii="方正仿宋_GB2312" w:hAnsi="方正仿宋_GB2312" w:eastAsia="方正仿宋_GB2312" w:cs="方正仿宋_GB2312"/>
                <w:color w:val="auto"/>
                <w:sz w:val="21"/>
                <w:szCs w:val="21"/>
                <w:highlight w:val="none"/>
                <w:lang w:val="en-US"/>
              </w:rPr>
              <w:t>分）</w:t>
            </w:r>
          </w:p>
        </w:tc>
        <w:tc>
          <w:tcPr>
            <w:tcW w:w="4378" w:type="dxa"/>
            <w:tcBorders>
              <w:tl2br w:val="nil"/>
              <w:tr2bl w:val="nil"/>
            </w:tcBorders>
            <w:vAlign w:val="center"/>
          </w:tcPr>
          <w:p w14:paraId="7ECCF1DA">
            <w:pPr>
              <w:pStyle w:val="50"/>
              <w:keepNext w:val="0"/>
              <w:keepLines w:val="0"/>
              <w:pageBreakBefore w:val="0"/>
              <w:kinsoku/>
              <w:wordWrap/>
              <w:overflowPunct/>
              <w:topLinePunct w:val="0"/>
              <w:bidi w:val="0"/>
              <w:snapToGrid w:val="0"/>
              <w:spacing w:after="0" w:line="360" w:lineRule="auto"/>
              <w:jc w:val="both"/>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eastAsia="zh-CN"/>
              </w:rPr>
              <w:t>设计费</w:t>
            </w:r>
            <w:r>
              <w:rPr>
                <w:rFonts w:hint="eastAsia" w:ascii="方正仿宋_GB2312" w:hAnsi="方正仿宋_GB2312" w:eastAsia="方正仿宋_GB2312" w:cs="方正仿宋_GB2312"/>
                <w:color w:val="auto"/>
                <w:sz w:val="21"/>
                <w:szCs w:val="21"/>
                <w:highlight w:val="none"/>
                <w:lang w:val="en-US"/>
              </w:rPr>
              <w:t>投标报价评审</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lang w:val="en-US"/>
              </w:rPr>
              <w:t>分</w:t>
            </w:r>
          </w:p>
          <w:p w14:paraId="49D67411">
            <w:pPr>
              <w:pStyle w:val="50"/>
              <w:keepNext w:val="0"/>
              <w:keepLines w:val="0"/>
              <w:pageBreakBefore w:val="0"/>
              <w:kinsoku/>
              <w:wordWrap/>
              <w:overflowPunct/>
              <w:topLinePunct w:val="0"/>
              <w:bidi w:val="0"/>
              <w:snapToGrid w:val="0"/>
              <w:spacing w:after="0" w:line="360" w:lineRule="auto"/>
              <w:jc w:val="both"/>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工程施工费下浮率投标报价评审</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20</w:t>
            </w:r>
            <w:r>
              <w:rPr>
                <w:rFonts w:hint="eastAsia" w:ascii="方正仿宋_GB2312" w:hAnsi="方正仿宋_GB2312" w:eastAsia="方正仿宋_GB2312" w:cs="方正仿宋_GB2312"/>
                <w:color w:val="auto"/>
                <w:sz w:val="21"/>
                <w:szCs w:val="21"/>
                <w:highlight w:val="none"/>
                <w:lang w:val="en-US"/>
              </w:rPr>
              <w:t>分</w:t>
            </w:r>
          </w:p>
        </w:tc>
      </w:tr>
      <w:tr w14:paraId="47CBC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vMerge w:val="continue"/>
            <w:tcBorders>
              <w:tl2br w:val="nil"/>
              <w:tr2bl w:val="nil"/>
            </w:tcBorders>
            <w:vAlign w:val="center"/>
          </w:tcPr>
          <w:p w14:paraId="426953C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75844749">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589" w:type="dxa"/>
            <w:tcBorders>
              <w:tl2br w:val="nil"/>
              <w:tr2bl w:val="nil"/>
            </w:tcBorders>
            <w:vAlign w:val="center"/>
          </w:tcPr>
          <w:p w14:paraId="59F1D456">
            <w:pPr>
              <w:keepNext w:val="0"/>
              <w:keepLines w:val="0"/>
              <w:pageBreakBefore w:val="0"/>
              <w:kinsoku/>
              <w:wordWrap/>
              <w:overflowPunct/>
              <w:topLinePunct w:val="0"/>
              <w:bidi w:val="0"/>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kern w:val="0"/>
                <w:sz w:val="21"/>
                <w:szCs w:val="21"/>
                <w:highlight w:val="none"/>
                <w:lang w:bidi="en-US"/>
              </w:rPr>
              <w:t>最终得分</w:t>
            </w:r>
          </w:p>
        </w:tc>
        <w:tc>
          <w:tcPr>
            <w:tcW w:w="4378" w:type="dxa"/>
            <w:tcBorders>
              <w:tl2br w:val="nil"/>
              <w:tr2bl w:val="nil"/>
            </w:tcBorders>
            <w:vAlign w:val="center"/>
          </w:tcPr>
          <w:p w14:paraId="52813B2A">
            <w:pPr>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kern w:val="0"/>
                <w:sz w:val="21"/>
                <w:szCs w:val="21"/>
                <w:highlight w:val="none"/>
                <w:lang w:bidi="en-US"/>
              </w:rPr>
              <w:t>最终得分＝</w:t>
            </w:r>
            <w:r>
              <w:rPr>
                <w:rFonts w:hint="eastAsia" w:ascii="方正仿宋_GB2312" w:hAnsi="方正仿宋_GB2312" w:eastAsia="方正仿宋_GB2312" w:cs="方正仿宋_GB2312"/>
                <w:color w:val="auto"/>
                <w:kern w:val="0"/>
                <w:sz w:val="21"/>
                <w:szCs w:val="21"/>
                <w:highlight w:val="none"/>
                <w:lang w:eastAsia="zh-CN" w:bidi="en-US"/>
              </w:rPr>
              <w:t>技术</w:t>
            </w:r>
            <w:r>
              <w:rPr>
                <w:rFonts w:hint="eastAsia" w:ascii="方正仿宋_GB2312" w:hAnsi="方正仿宋_GB2312" w:eastAsia="方正仿宋_GB2312" w:cs="方正仿宋_GB2312"/>
                <w:color w:val="auto"/>
                <w:kern w:val="0"/>
                <w:sz w:val="21"/>
                <w:szCs w:val="21"/>
                <w:highlight w:val="none"/>
                <w:lang w:bidi="en-US"/>
              </w:rPr>
              <w:t>部分评审评分＋</w:t>
            </w:r>
            <w:r>
              <w:rPr>
                <w:rFonts w:hint="eastAsia" w:ascii="方正仿宋_GB2312" w:hAnsi="方正仿宋_GB2312" w:eastAsia="方正仿宋_GB2312" w:cs="方正仿宋_GB2312"/>
                <w:color w:val="auto"/>
                <w:kern w:val="0"/>
                <w:sz w:val="21"/>
                <w:szCs w:val="21"/>
                <w:highlight w:val="none"/>
                <w:lang w:eastAsia="zh-CN" w:bidi="en-US"/>
              </w:rPr>
              <w:t>商务</w:t>
            </w:r>
            <w:r>
              <w:rPr>
                <w:rFonts w:hint="eastAsia" w:ascii="方正仿宋_GB2312" w:hAnsi="方正仿宋_GB2312" w:eastAsia="方正仿宋_GB2312" w:cs="方正仿宋_GB2312"/>
                <w:color w:val="auto"/>
                <w:kern w:val="0"/>
                <w:sz w:val="21"/>
                <w:szCs w:val="21"/>
                <w:highlight w:val="none"/>
                <w:lang w:bidi="en-US"/>
              </w:rPr>
              <w:t>部分评审评分。</w:t>
            </w:r>
          </w:p>
        </w:tc>
      </w:tr>
      <w:tr w14:paraId="3AF9E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28" w:type="dxa"/>
            <w:gridSpan w:val="2"/>
            <w:tcBorders>
              <w:tl2br w:val="nil"/>
              <w:tr2bl w:val="nil"/>
            </w:tcBorders>
            <w:vAlign w:val="center"/>
          </w:tcPr>
          <w:p w14:paraId="7FF74340">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b/>
                <w:color w:val="auto"/>
                <w:sz w:val="21"/>
                <w:szCs w:val="21"/>
                <w:highlight w:val="none"/>
              </w:rPr>
              <w:t>条款号</w:t>
            </w:r>
          </w:p>
        </w:tc>
        <w:tc>
          <w:tcPr>
            <w:tcW w:w="1823" w:type="dxa"/>
            <w:tcBorders>
              <w:tl2br w:val="nil"/>
              <w:tr2bl w:val="nil"/>
            </w:tcBorders>
            <w:vAlign w:val="center"/>
          </w:tcPr>
          <w:p w14:paraId="0316710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评分因素</w:t>
            </w:r>
          </w:p>
          <w:p w14:paraId="2D2D618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（偏差率）</w:t>
            </w:r>
          </w:p>
        </w:tc>
        <w:tc>
          <w:tcPr>
            <w:tcW w:w="5967" w:type="dxa"/>
            <w:gridSpan w:val="2"/>
            <w:tcBorders>
              <w:tl2br w:val="nil"/>
              <w:tr2bl w:val="nil"/>
            </w:tcBorders>
            <w:vAlign w:val="center"/>
          </w:tcPr>
          <w:p w14:paraId="11D2743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b/>
                <w:color w:val="auto"/>
                <w:sz w:val="21"/>
                <w:szCs w:val="21"/>
                <w:highlight w:val="none"/>
              </w:rPr>
              <w:t>评分标准</w:t>
            </w:r>
          </w:p>
        </w:tc>
      </w:tr>
      <w:tr w14:paraId="1280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restart"/>
            <w:tcBorders>
              <w:tl2br w:val="nil"/>
              <w:tr2bl w:val="nil"/>
            </w:tcBorders>
            <w:vAlign w:val="center"/>
          </w:tcPr>
          <w:p w14:paraId="2DDA469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2.2.2</w:t>
            </w:r>
          </w:p>
          <w:p w14:paraId="5F3C5974">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技术部分评审标准</w:t>
            </w:r>
          </w:p>
          <w:p w14:paraId="65AFCB34">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p w14:paraId="26EF2D87">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p w14:paraId="3E918BCA">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p w14:paraId="492DC3F8">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p w14:paraId="0255CD78">
            <w:pPr>
              <w:pStyle w:val="36"/>
              <w:keepNext w:val="0"/>
              <w:keepLines w:val="0"/>
              <w:pageBreakBefore w:val="0"/>
              <w:kinsoku/>
              <w:wordWrap/>
              <w:overflowPunct/>
              <w:topLinePunct w:val="0"/>
              <w:bidi w:val="0"/>
              <w:snapToGrid w:val="0"/>
              <w:spacing w:line="360" w:lineRule="auto"/>
              <w:textAlignment w:val="auto"/>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7DFD6CE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总承包方案</w:t>
            </w:r>
          </w:p>
          <w:p w14:paraId="6C64A60E">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b/>
                <w:bCs/>
                <w:color w:val="auto"/>
                <w:kern w:val="0"/>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rPr>
              <w:t>分）</w:t>
            </w:r>
          </w:p>
        </w:tc>
        <w:tc>
          <w:tcPr>
            <w:tcW w:w="1823" w:type="dxa"/>
            <w:tcBorders>
              <w:tl2br w:val="nil"/>
              <w:tr2bl w:val="nil"/>
            </w:tcBorders>
            <w:vAlign w:val="center"/>
          </w:tcPr>
          <w:p w14:paraId="3F36643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b/>
                <w:bCs/>
                <w:color w:val="auto"/>
                <w:kern w:val="0"/>
                <w:sz w:val="21"/>
                <w:szCs w:val="21"/>
                <w:highlight w:val="none"/>
              </w:rPr>
            </w:pPr>
            <w:r>
              <w:rPr>
                <w:rFonts w:hint="eastAsia" w:ascii="方正仿宋_GB2312" w:hAnsi="方正仿宋_GB2312" w:eastAsia="方正仿宋_GB2312" w:cs="方正仿宋_GB2312"/>
                <w:color w:val="auto"/>
                <w:sz w:val="21"/>
                <w:szCs w:val="21"/>
                <w:highlight w:val="none"/>
              </w:rPr>
              <w:t>总承包方案评审（</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rPr>
              <w:t>分）</w:t>
            </w:r>
          </w:p>
        </w:tc>
        <w:tc>
          <w:tcPr>
            <w:tcW w:w="5967" w:type="dxa"/>
            <w:gridSpan w:val="2"/>
            <w:tcBorders>
              <w:tl2br w:val="nil"/>
              <w:tr2bl w:val="nil"/>
            </w:tcBorders>
            <w:vAlign w:val="center"/>
          </w:tcPr>
          <w:p w14:paraId="5060778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根据投标人投标文件中</w:t>
            </w:r>
            <w:r>
              <w:rPr>
                <w:rFonts w:hint="eastAsia" w:ascii="方正仿宋_GB2312" w:hAnsi="方正仿宋_GB2312" w:eastAsia="方正仿宋_GB2312" w:cs="方正仿宋_GB2312"/>
                <w:color w:val="auto"/>
                <w:sz w:val="21"/>
                <w:szCs w:val="21"/>
                <w:highlight w:val="none"/>
                <w:lang w:val="sq-AL"/>
              </w:rPr>
              <w:t>总体实施方案</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sq-AL"/>
              </w:rPr>
              <w:t>项目实施要点</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sq-AL"/>
              </w:rPr>
              <w:t>项目管理要点</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sq-AL"/>
              </w:rPr>
              <w:t>服务承诺</w:t>
            </w:r>
            <w:r>
              <w:rPr>
                <w:rFonts w:hint="eastAsia" w:ascii="方正仿宋_GB2312" w:hAnsi="方正仿宋_GB2312" w:eastAsia="方正仿宋_GB2312" w:cs="方正仿宋_GB2312"/>
                <w:color w:val="auto"/>
                <w:sz w:val="21"/>
                <w:szCs w:val="21"/>
                <w:highlight w:val="none"/>
              </w:rPr>
              <w:t>等内容进行评审：</w:t>
            </w:r>
          </w:p>
          <w:p w14:paraId="581DA6ED">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（1）以上内容详尽、目标明确，系统性强且具有较强的针对性</w:t>
            </w:r>
            <w:r>
              <w:rPr>
                <w:rFonts w:hint="eastAsia" w:ascii="方正仿宋_GB2312" w:hAnsi="方正仿宋_GB2312" w:eastAsia="方正仿宋_GB2312" w:cs="方正仿宋_GB2312"/>
                <w:color w:val="auto"/>
                <w:sz w:val="21"/>
                <w:szCs w:val="21"/>
                <w:highlight w:val="none"/>
                <w:lang w:eastAsia="zh-CN"/>
              </w:rPr>
              <w:t>，具有良</w:t>
            </w:r>
            <w:r>
              <w:rPr>
                <w:rFonts w:hint="eastAsia" w:ascii="方正仿宋_GB2312" w:hAnsi="方正仿宋_GB2312" w:eastAsia="方正仿宋_GB2312" w:cs="方正仿宋_GB2312"/>
                <w:color w:val="auto"/>
                <w:sz w:val="21"/>
                <w:szCs w:val="21"/>
                <w:highlight w:val="none"/>
              </w:rPr>
              <w:t>好的控制措施，实施性强，组织机构明确等的得</w:t>
            </w:r>
            <w:r>
              <w:rPr>
                <w:rFonts w:hint="eastAsia" w:ascii="方正仿宋_GB2312" w:hAnsi="方正仿宋_GB2312" w:eastAsia="方正仿宋_GB2312" w:cs="方正仿宋_GB2312"/>
                <w:color w:val="auto"/>
                <w:sz w:val="21"/>
                <w:szCs w:val="21"/>
                <w:highlight w:val="none"/>
                <w:lang w:val="en-US" w:eastAsia="zh-CN"/>
              </w:rPr>
              <w:t>11～15</w:t>
            </w:r>
            <w:r>
              <w:rPr>
                <w:rFonts w:hint="eastAsia" w:ascii="方正仿宋_GB2312" w:hAnsi="方正仿宋_GB2312" w:eastAsia="方正仿宋_GB2312" w:cs="方正仿宋_GB2312"/>
                <w:color w:val="auto"/>
                <w:sz w:val="21"/>
                <w:szCs w:val="21"/>
                <w:highlight w:val="none"/>
              </w:rPr>
              <w:t>分；</w:t>
            </w:r>
          </w:p>
          <w:p w14:paraId="7A129686">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（2）以上内容齐全、目标基本明确，系统性较强且具有针对性</w:t>
            </w:r>
            <w:r>
              <w:rPr>
                <w:rFonts w:hint="eastAsia" w:ascii="方正仿宋_GB2312" w:hAnsi="方正仿宋_GB2312" w:eastAsia="方正仿宋_GB2312" w:cs="方正仿宋_GB2312"/>
                <w:color w:val="auto"/>
                <w:sz w:val="21"/>
                <w:szCs w:val="21"/>
                <w:highlight w:val="none"/>
                <w:lang w:eastAsia="zh-CN"/>
              </w:rPr>
              <w:t>，具</w:t>
            </w:r>
            <w:r>
              <w:rPr>
                <w:rFonts w:hint="eastAsia" w:ascii="方正仿宋_GB2312" w:hAnsi="方正仿宋_GB2312" w:eastAsia="方正仿宋_GB2312" w:cs="方正仿宋_GB2312"/>
                <w:color w:val="auto"/>
                <w:sz w:val="21"/>
                <w:szCs w:val="21"/>
                <w:highlight w:val="none"/>
              </w:rPr>
              <w:t>有较好的控制措施，实施性较强，组织机构基本明确等的得</w:t>
            </w:r>
            <w:r>
              <w:rPr>
                <w:rFonts w:hint="eastAsia" w:ascii="方正仿宋_GB2312" w:hAnsi="方正仿宋_GB2312" w:eastAsia="方正仿宋_GB2312" w:cs="方正仿宋_GB2312"/>
                <w:color w:val="auto"/>
                <w:sz w:val="21"/>
                <w:szCs w:val="21"/>
                <w:highlight w:val="none"/>
                <w:lang w:val="en-US" w:eastAsia="zh-CN"/>
              </w:rPr>
              <w:t>6～10</w:t>
            </w:r>
            <w:r>
              <w:rPr>
                <w:rFonts w:hint="eastAsia" w:ascii="方正仿宋_GB2312" w:hAnsi="方正仿宋_GB2312" w:eastAsia="方正仿宋_GB2312" w:cs="方正仿宋_GB2312"/>
                <w:color w:val="auto"/>
                <w:sz w:val="21"/>
                <w:szCs w:val="21"/>
                <w:highlight w:val="none"/>
              </w:rPr>
              <w:t>分；</w:t>
            </w:r>
          </w:p>
          <w:p w14:paraId="14D6FB6D">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（3）以上内容齐全但有部分不足、目标基本明确，系统性一般、针对性一般</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控制措施有部分缺陷，实施性一般，组织机构基本明确等的</w:t>
            </w:r>
            <w:r>
              <w:rPr>
                <w:rFonts w:hint="eastAsia" w:ascii="方正仿宋_GB2312" w:hAnsi="方正仿宋_GB2312" w:eastAsia="方正仿宋_GB2312" w:cs="方正仿宋_GB2312"/>
                <w:color w:val="auto"/>
                <w:sz w:val="21"/>
                <w:szCs w:val="21"/>
                <w:highlight w:val="none"/>
                <w:lang w:val="en-US" w:eastAsia="zh-CN"/>
              </w:rPr>
              <w:t>得1～5</w:t>
            </w:r>
            <w:r>
              <w:rPr>
                <w:rFonts w:hint="eastAsia" w:ascii="方正仿宋_GB2312" w:hAnsi="方正仿宋_GB2312" w:eastAsia="方正仿宋_GB2312" w:cs="方正仿宋_GB2312"/>
                <w:color w:val="auto"/>
                <w:sz w:val="21"/>
                <w:szCs w:val="21"/>
                <w:highlight w:val="none"/>
              </w:rPr>
              <w:t>分。</w:t>
            </w:r>
          </w:p>
          <w:p w14:paraId="3CBAFC2A">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color w:val="auto"/>
                <w:sz w:val="21"/>
                <w:szCs w:val="21"/>
                <w:highlight w:val="none"/>
              </w:rPr>
              <w:t>（4）以上内容不足、目标不明确等的得0分。</w:t>
            </w:r>
          </w:p>
        </w:tc>
      </w:tr>
      <w:tr w14:paraId="73CA7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0A4BC142">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3DCD2D0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rPr>
              <w:t>设计工作方案评审</w:t>
            </w:r>
          </w:p>
          <w:p w14:paraId="3B2A731C">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rPr>
              <w:t>分）</w:t>
            </w:r>
          </w:p>
        </w:tc>
        <w:tc>
          <w:tcPr>
            <w:tcW w:w="1823" w:type="dxa"/>
            <w:tcBorders>
              <w:tl2br w:val="nil"/>
              <w:tr2bl w:val="nil"/>
            </w:tcBorders>
            <w:vAlign w:val="center"/>
          </w:tcPr>
          <w:p w14:paraId="0220D20B">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p w14:paraId="72953D51">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设计工作</w:t>
            </w:r>
            <w:r>
              <w:rPr>
                <w:rFonts w:hint="eastAsia" w:ascii="方正仿宋_GB2312" w:hAnsi="方正仿宋_GB2312" w:eastAsia="方正仿宋_GB2312" w:cs="方正仿宋_GB2312"/>
                <w:color w:val="auto"/>
                <w:sz w:val="21"/>
                <w:szCs w:val="21"/>
                <w:highlight w:val="none"/>
                <w:lang w:eastAsia="zh-CN"/>
              </w:rPr>
              <w:t>方案</w:t>
            </w:r>
            <w:r>
              <w:rPr>
                <w:rFonts w:hint="eastAsia" w:ascii="方正仿宋_GB2312" w:hAnsi="方正仿宋_GB2312" w:eastAsia="方正仿宋_GB2312" w:cs="方正仿宋_GB2312"/>
                <w:color w:val="auto"/>
                <w:sz w:val="21"/>
                <w:szCs w:val="21"/>
                <w:highlight w:val="none"/>
              </w:rPr>
              <w:t>评审</w:t>
            </w:r>
          </w:p>
          <w:p w14:paraId="4540054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15</w:t>
            </w:r>
            <w:r>
              <w:rPr>
                <w:rFonts w:hint="eastAsia" w:ascii="方正仿宋_GB2312" w:hAnsi="方正仿宋_GB2312" w:eastAsia="方正仿宋_GB2312" w:cs="方正仿宋_GB2312"/>
                <w:color w:val="auto"/>
                <w:sz w:val="21"/>
                <w:szCs w:val="21"/>
                <w:highlight w:val="none"/>
              </w:rPr>
              <w:t>分）</w:t>
            </w:r>
          </w:p>
        </w:tc>
        <w:tc>
          <w:tcPr>
            <w:tcW w:w="5967" w:type="dxa"/>
            <w:gridSpan w:val="2"/>
            <w:tcBorders>
              <w:tl2br w:val="nil"/>
              <w:tr2bl w:val="nil"/>
            </w:tcBorders>
            <w:vAlign w:val="center"/>
          </w:tcPr>
          <w:p w14:paraId="5E6F7B05">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（1）对招标项目理解正确，项目设计构思描述清晰、合理；满足项目建设使用功能；符合规范标准；设计时间和设计质量完全满足招标文件要求，对重点、难点、关键性技术问题总结完整、准确</w:t>
            </w:r>
            <w:r>
              <w:rPr>
                <w:rFonts w:hint="eastAsia" w:ascii="方正仿宋_GB2312" w:hAnsi="方正仿宋_GB2312" w:eastAsia="方正仿宋_GB2312" w:cs="方正仿宋_GB2312"/>
                <w:color w:val="auto"/>
                <w:kern w:val="0"/>
                <w:sz w:val="21"/>
                <w:szCs w:val="21"/>
                <w:highlight w:val="none"/>
                <w:lang w:eastAsia="zh-CN"/>
              </w:rPr>
              <w:t>，具</w:t>
            </w:r>
            <w:r>
              <w:rPr>
                <w:rFonts w:hint="eastAsia" w:ascii="方正仿宋_GB2312" w:hAnsi="方正仿宋_GB2312" w:eastAsia="方正仿宋_GB2312" w:cs="方正仿宋_GB2312"/>
                <w:color w:val="auto"/>
                <w:kern w:val="0"/>
                <w:sz w:val="21"/>
                <w:szCs w:val="21"/>
                <w:highlight w:val="none"/>
              </w:rPr>
              <w:t>有切实可行的对策措施且有较强的针对性和可实施性，设计进度计划安排合理可行、设计周期承诺满足项目建设要求及保证措施的内容和操作性合理可行，措施有力，具有较强的针对性和可实施性的得</w:t>
            </w:r>
            <w:r>
              <w:rPr>
                <w:rFonts w:hint="eastAsia" w:ascii="方正仿宋_GB2312" w:hAnsi="方正仿宋_GB2312" w:eastAsia="方正仿宋_GB2312" w:cs="方正仿宋_GB2312"/>
                <w:color w:val="auto"/>
                <w:kern w:val="0"/>
                <w:sz w:val="21"/>
                <w:szCs w:val="21"/>
                <w:highlight w:val="none"/>
                <w:lang w:val="en-US" w:eastAsia="zh-CN"/>
              </w:rPr>
              <w:t>11～15</w:t>
            </w:r>
            <w:r>
              <w:rPr>
                <w:rFonts w:hint="eastAsia" w:ascii="方正仿宋_GB2312" w:hAnsi="方正仿宋_GB2312" w:eastAsia="方正仿宋_GB2312" w:cs="方正仿宋_GB2312"/>
                <w:color w:val="auto"/>
                <w:kern w:val="0"/>
                <w:sz w:val="21"/>
                <w:szCs w:val="21"/>
                <w:highlight w:val="none"/>
              </w:rPr>
              <w:t>分；</w:t>
            </w:r>
          </w:p>
          <w:p w14:paraId="38DDCC5F">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2）对招标项目理解基本正确，项目设计构思描述基本清晰、合理，工程设计工作大纲思路一般；设计时间和设计质量满足招标文件要求，对重点、难点、关键性技术问题和设计进度计划安排基本可行、设计周期承诺基本满足项目建设要求及保证措施的内容和操作性基本可行的得</w:t>
            </w:r>
            <w:r>
              <w:rPr>
                <w:rFonts w:hint="eastAsia" w:ascii="方正仿宋_GB2312" w:hAnsi="方正仿宋_GB2312" w:eastAsia="方正仿宋_GB2312" w:cs="方正仿宋_GB2312"/>
                <w:color w:val="auto"/>
                <w:kern w:val="0"/>
                <w:sz w:val="21"/>
                <w:szCs w:val="21"/>
                <w:highlight w:val="none"/>
                <w:lang w:val="en-US" w:eastAsia="zh-CN"/>
              </w:rPr>
              <w:t>6～10</w:t>
            </w:r>
            <w:r>
              <w:rPr>
                <w:rFonts w:hint="eastAsia" w:ascii="方正仿宋_GB2312" w:hAnsi="方正仿宋_GB2312" w:eastAsia="方正仿宋_GB2312" w:cs="方正仿宋_GB2312"/>
                <w:color w:val="auto"/>
                <w:kern w:val="0"/>
                <w:sz w:val="21"/>
                <w:szCs w:val="21"/>
                <w:highlight w:val="none"/>
              </w:rPr>
              <w:t>分；</w:t>
            </w:r>
          </w:p>
          <w:p w14:paraId="13CFBB3C">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3）对招标项目理解基本正确但有细微偏差，项目设计构思描述基本清晰、合理，工程设计工作大纲思路一般基本满足项目需求；设计时间和设计质量基本满足招标文件要求，对重点、难点、关键性技术问题和设计进度计划安排基本可行、设计周期承诺基本满足项目建设要求及保证措施的内容和操作性基本可行但有一定缺陷的得</w:t>
            </w:r>
            <w:r>
              <w:rPr>
                <w:rFonts w:hint="eastAsia" w:ascii="方正仿宋_GB2312" w:hAnsi="方正仿宋_GB2312" w:eastAsia="方正仿宋_GB2312" w:cs="方正仿宋_GB2312"/>
                <w:color w:val="auto"/>
                <w:kern w:val="0"/>
                <w:sz w:val="21"/>
                <w:szCs w:val="21"/>
                <w:highlight w:val="none"/>
                <w:lang w:val="en-US" w:eastAsia="zh-CN"/>
              </w:rPr>
              <w:t>1～5</w:t>
            </w:r>
            <w:r>
              <w:rPr>
                <w:rFonts w:hint="eastAsia" w:ascii="方正仿宋_GB2312" w:hAnsi="方正仿宋_GB2312" w:eastAsia="方正仿宋_GB2312" w:cs="方正仿宋_GB2312"/>
                <w:color w:val="auto"/>
                <w:kern w:val="0"/>
                <w:sz w:val="21"/>
                <w:szCs w:val="21"/>
                <w:highlight w:val="none"/>
              </w:rPr>
              <w:t>分；</w:t>
            </w:r>
          </w:p>
          <w:p w14:paraId="65B61A1B">
            <w:pPr>
              <w:keepNext w:val="0"/>
              <w:keepLines w:val="0"/>
              <w:pageBreakBefore w:val="0"/>
              <w:widowControl/>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（4）无设计方案的</w:t>
            </w:r>
            <w:r>
              <w:rPr>
                <w:rFonts w:hint="eastAsia" w:ascii="方正仿宋_GB2312" w:hAnsi="方正仿宋_GB2312" w:eastAsia="方正仿宋_GB2312" w:cs="方正仿宋_GB2312"/>
                <w:color w:val="auto"/>
                <w:sz w:val="21"/>
                <w:szCs w:val="21"/>
                <w:highlight w:val="none"/>
              </w:rPr>
              <w:t>得0分</w:t>
            </w:r>
            <w:r>
              <w:rPr>
                <w:rFonts w:hint="eastAsia" w:ascii="方正仿宋_GB2312" w:hAnsi="方正仿宋_GB2312" w:eastAsia="方正仿宋_GB2312" w:cs="方正仿宋_GB2312"/>
                <w:color w:val="auto"/>
                <w:kern w:val="0"/>
                <w:sz w:val="21"/>
                <w:szCs w:val="21"/>
                <w:highlight w:val="none"/>
              </w:rPr>
              <w:t>。</w:t>
            </w:r>
          </w:p>
        </w:tc>
      </w:tr>
      <w:tr w14:paraId="4D66F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05" w:type="dxa"/>
            <w:vMerge w:val="continue"/>
            <w:tcBorders>
              <w:tl2br w:val="nil"/>
              <w:tr2bl w:val="nil"/>
            </w:tcBorders>
            <w:vAlign w:val="center"/>
          </w:tcPr>
          <w:p w14:paraId="570438B7">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5DAD3C95">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kern w:val="0"/>
                <w:sz w:val="21"/>
                <w:szCs w:val="21"/>
                <w:highlight w:val="none"/>
              </w:rPr>
            </w:pPr>
          </w:p>
          <w:p w14:paraId="021E63C6">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施工方案评审（总分2</w:t>
            </w:r>
            <w:r>
              <w:rPr>
                <w:rFonts w:hint="eastAsia" w:ascii="方正仿宋_GB2312" w:hAnsi="方正仿宋_GB2312" w:eastAsia="方正仿宋_GB2312" w:cs="方正仿宋_GB2312"/>
                <w:color w:val="auto"/>
                <w:sz w:val="21"/>
                <w:szCs w:val="21"/>
                <w:highlight w:val="none"/>
                <w:lang w:val="en-US" w:eastAsia="zh-CN"/>
              </w:rPr>
              <w:t>5</w:t>
            </w:r>
            <w:r>
              <w:rPr>
                <w:rFonts w:hint="eastAsia" w:ascii="方正仿宋_GB2312" w:hAnsi="方正仿宋_GB2312" w:eastAsia="方正仿宋_GB2312" w:cs="方正仿宋_GB2312"/>
                <w:color w:val="auto"/>
                <w:sz w:val="21"/>
                <w:szCs w:val="21"/>
                <w:highlight w:val="none"/>
              </w:rPr>
              <w:t>分）</w:t>
            </w:r>
          </w:p>
        </w:tc>
        <w:tc>
          <w:tcPr>
            <w:tcW w:w="1823" w:type="dxa"/>
            <w:tcBorders>
              <w:tl2br w:val="nil"/>
              <w:tr2bl w:val="nil"/>
            </w:tcBorders>
            <w:vAlign w:val="center"/>
          </w:tcPr>
          <w:p w14:paraId="010D56C1">
            <w:pPr>
              <w:keepNext w:val="0"/>
              <w:keepLines w:val="0"/>
              <w:pageBreakBefore w:val="0"/>
              <w:kinsoku/>
              <w:wordWrap/>
              <w:overflowPunct/>
              <w:topLinePunct w:val="0"/>
              <w:bidi w:val="0"/>
              <w:adjustRightInd w:val="0"/>
              <w:snapToGrid w:val="0"/>
              <w:spacing w:after="0" w:line="360" w:lineRule="auto"/>
              <w:contextualSpacing/>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施工方案评审（</w:t>
            </w:r>
            <w:r>
              <w:rPr>
                <w:rFonts w:hint="eastAsia" w:ascii="方正仿宋_GB2312" w:hAnsi="方正仿宋_GB2312" w:eastAsia="方正仿宋_GB2312" w:cs="方正仿宋_GB2312"/>
                <w:color w:val="auto"/>
                <w:sz w:val="21"/>
                <w:szCs w:val="21"/>
                <w:highlight w:val="none"/>
                <w:lang w:val="en-US" w:eastAsia="zh-CN"/>
              </w:rPr>
              <w:t>25</w:t>
            </w:r>
            <w:r>
              <w:rPr>
                <w:rFonts w:hint="eastAsia" w:ascii="方正仿宋_GB2312" w:hAnsi="方正仿宋_GB2312" w:eastAsia="方正仿宋_GB2312" w:cs="方正仿宋_GB2312"/>
                <w:color w:val="auto"/>
                <w:sz w:val="21"/>
                <w:szCs w:val="21"/>
                <w:highlight w:val="none"/>
              </w:rPr>
              <w:t>分）</w:t>
            </w:r>
          </w:p>
        </w:tc>
        <w:tc>
          <w:tcPr>
            <w:tcW w:w="5967" w:type="dxa"/>
            <w:gridSpan w:val="2"/>
            <w:tcBorders>
              <w:tl2br w:val="nil"/>
              <w:tr2bl w:val="nil"/>
            </w:tcBorders>
            <w:vAlign w:val="center"/>
          </w:tcPr>
          <w:p w14:paraId="4A225BB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根据施工方案、施工工序、机械配置、施工总平面图、质量、安全、工期、承诺及保证措施等内容完整性、合理性、针对性进行分档次打分。</w:t>
            </w:r>
          </w:p>
          <w:p w14:paraId="0A2FBDD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施工组织设计合理完整，施工技术方案、施工工序合理并有针对性；质量承诺、安全文明施工承诺、工期承诺有具体承诺及违约责任，且保证措施合理有针对性；施工总平面图合理，且基本符合现场情况的得</w:t>
            </w:r>
            <w:r>
              <w:rPr>
                <w:rFonts w:hint="eastAsia" w:ascii="方正仿宋_GB2312" w:hAnsi="方正仿宋_GB2312" w:eastAsia="方正仿宋_GB2312" w:cs="方正仿宋_GB2312"/>
                <w:color w:val="auto"/>
                <w:sz w:val="21"/>
                <w:szCs w:val="21"/>
                <w:highlight w:val="none"/>
                <w:lang w:val="en-US" w:eastAsia="zh-CN"/>
              </w:rPr>
              <w:t>17</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25</w:t>
            </w:r>
            <w:r>
              <w:rPr>
                <w:rFonts w:hint="eastAsia" w:ascii="方正仿宋_GB2312" w:hAnsi="方正仿宋_GB2312" w:eastAsia="方正仿宋_GB2312" w:cs="方正仿宋_GB2312"/>
                <w:color w:val="auto"/>
                <w:sz w:val="21"/>
                <w:szCs w:val="21"/>
                <w:highlight w:val="none"/>
              </w:rPr>
              <w:t>分；</w:t>
            </w:r>
          </w:p>
          <w:p w14:paraId="4B57423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（2）施工组织设计完整，施工技术方案、施工工序基本合理；质量承诺、安全文明施工承诺、工期承诺有具体承诺及违约责任，保证措施基本合理；施工总平面图基本合理的得</w:t>
            </w:r>
            <w:r>
              <w:rPr>
                <w:rFonts w:hint="eastAsia" w:ascii="方正仿宋_GB2312" w:hAnsi="方正仿宋_GB2312" w:eastAsia="方正仿宋_GB2312" w:cs="方正仿宋_GB2312"/>
                <w:color w:val="auto"/>
                <w:sz w:val="21"/>
                <w:szCs w:val="21"/>
                <w:highlight w:val="none"/>
                <w:lang w:val="en-US" w:eastAsia="zh-CN"/>
              </w:rPr>
              <w:t>9</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16</w:t>
            </w:r>
            <w:r>
              <w:rPr>
                <w:rFonts w:hint="eastAsia" w:ascii="方正仿宋_GB2312" w:hAnsi="方正仿宋_GB2312" w:eastAsia="方正仿宋_GB2312" w:cs="方正仿宋_GB2312"/>
                <w:color w:val="auto"/>
                <w:sz w:val="21"/>
                <w:szCs w:val="21"/>
                <w:highlight w:val="none"/>
              </w:rPr>
              <w:t>分；</w:t>
            </w:r>
          </w:p>
          <w:p w14:paraId="69FF591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施工组织设计完整性一般，施工技术方案、施工工序缺乏针对性；质量承诺、安全文明施工承诺、工期承诺有具体承诺及违约责任，但保证措施合理性一般、缺乏针对性；施工总平面图不合理现场情况的得1～</w:t>
            </w:r>
            <w:r>
              <w:rPr>
                <w:rFonts w:hint="eastAsia" w:ascii="方正仿宋_GB2312" w:hAnsi="方正仿宋_GB2312" w:eastAsia="方正仿宋_GB2312" w:cs="方正仿宋_GB2312"/>
                <w:color w:val="auto"/>
                <w:sz w:val="21"/>
                <w:szCs w:val="21"/>
                <w:highlight w:val="none"/>
                <w:lang w:val="en-US" w:eastAsia="zh-CN"/>
              </w:rPr>
              <w:t>8</w:t>
            </w:r>
            <w:r>
              <w:rPr>
                <w:rFonts w:hint="eastAsia" w:ascii="方正仿宋_GB2312" w:hAnsi="方正仿宋_GB2312" w:eastAsia="方正仿宋_GB2312" w:cs="方正仿宋_GB2312"/>
                <w:color w:val="auto"/>
                <w:sz w:val="21"/>
                <w:szCs w:val="21"/>
                <w:highlight w:val="none"/>
              </w:rPr>
              <w:t>分；</w:t>
            </w:r>
          </w:p>
          <w:p w14:paraId="58C2AA5B">
            <w:pPr>
              <w:keepNext w:val="0"/>
              <w:keepLines w:val="0"/>
              <w:pageBreakBefore w:val="0"/>
              <w:kinsoku/>
              <w:wordWrap/>
              <w:overflowPunct/>
              <w:topLinePunct w:val="0"/>
              <w:bidi w:val="0"/>
              <w:adjustRightInd w:val="0"/>
              <w:snapToGrid w:val="0"/>
              <w:spacing w:after="0" w:line="360" w:lineRule="auto"/>
              <w:contextualSpacing/>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（4）施工组织设计不完整，施工技术方案、施工工序明显错误；质量承诺、安全文明施工承诺、工期承诺无具体承诺及违约责任，保证措施不合理；施工总平面图明显不符合现场情况或未提供</w:t>
            </w:r>
            <w:r>
              <w:rPr>
                <w:rFonts w:hint="eastAsia" w:ascii="方正仿宋_GB2312" w:hAnsi="方正仿宋_GB2312" w:eastAsia="方正仿宋_GB2312" w:cs="方正仿宋_GB2312"/>
                <w:color w:val="auto"/>
                <w:sz w:val="21"/>
                <w:szCs w:val="21"/>
                <w:highlight w:val="none"/>
                <w:lang w:eastAsia="zh-CN"/>
              </w:rPr>
              <w:t>的</w:t>
            </w:r>
            <w:r>
              <w:rPr>
                <w:rFonts w:hint="eastAsia" w:ascii="方正仿宋_GB2312" w:hAnsi="方正仿宋_GB2312" w:eastAsia="方正仿宋_GB2312" w:cs="方正仿宋_GB2312"/>
                <w:color w:val="auto"/>
                <w:sz w:val="21"/>
                <w:szCs w:val="21"/>
                <w:highlight w:val="none"/>
              </w:rPr>
              <w:t>0分。</w:t>
            </w:r>
          </w:p>
        </w:tc>
      </w:tr>
      <w:tr w14:paraId="35BF7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atLeast"/>
          <w:jc w:val="center"/>
        </w:trPr>
        <w:tc>
          <w:tcPr>
            <w:tcW w:w="905" w:type="dxa"/>
            <w:vMerge w:val="continue"/>
            <w:tcBorders>
              <w:tl2br w:val="nil"/>
              <w:tr2bl w:val="nil"/>
            </w:tcBorders>
            <w:vAlign w:val="center"/>
          </w:tcPr>
          <w:p w14:paraId="21587CCD">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605DE5D4">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eastAsia="zh-CN"/>
              </w:rPr>
              <w:t>工程质量承诺及保证措施评审（5分）</w:t>
            </w:r>
          </w:p>
        </w:tc>
        <w:tc>
          <w:tcPr>
            <w:tcW w:w="1823" w:type="dxa"/>
            <w:tcBorders>
              <w:tl2br w:val="nil"/>
              <w:tr2bl w:val="nil"/>
            </w:tcBorders>
            <w:vAlign w:val="center"/>
          </w:tcPr>
          <w:p w14:paraId="6D3A0F3E">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eastAsia="zh-CN"/>
              </w:rPr>
              <w:t>工程质量承诺及保证措施评审（5分）</w:t>
            </w:r>
          </w:p>
        </w:tc>
        <w:tc>
          <w:tcPr>
            <w:tcW w:w="5967" w:type="dxa"/>
            <w:gridSpan w:val="2"/>
            <w:tcBorders>
              <w:tl2br w:val="nil"/>
              <w:tr2bl w:val="nil"/>
            </w:tcBorders>
            <w:shd w:val="clear" w:color="auto" w:fill="auto"/>
            <w:vAlign w:val="center"/>
          </w:tcPr>
          <w:p w14:paraId="0BAEDAA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（1）本工程的</w:t>
            </w:r>
            <w:r>
              <w:rPr>
                <w:rFonts w:hint="eastAsia" w:ascii="方正仿宋_GB2312" w:hAnsi="方正仿宋_GB2312" w:eastAsia="方正仿宋_GB2312" w:cs="方正仿宋_GB2312"/>
                <w:color w:val="auto"/>
                <w:sz w:val="21"/>
                <w:szCs w:val="21"/>
                <w:highlight w:val="none"/>
                <w:lang w:val="en-US" w:eastAsia="zh-CN"/>
              </w:rPr>
              <w:t>工程质量承诺及保证措施</w:t>
            </w:r>
            <w:r>
              <w:rPr>
                <w:rFonts w:hint="eastAsia" w:ascii="方正仿宋_GB2312" w:hAnsi="方正仿宋_GB2312" w:eastAsia="方正仿宋_GB2312" w:cs="方正仿宋_GB2312"/>
                <w:color w:val="auto"/>
                <w:kern w:val="2"/>
                <w:sz w:val="21"/>
                <w:szCs w:val="21"/>
                <w:highlight w:val="none"/>
                <w:lang w:val="en-US" w:eastAsia="zh-CN" w:bidi="ar-SA"/>
              </w:rPr>
              <w:t>阐述清楚、体系健全、制 度完善，措施针对性和可行性强的得4～5分；</w:t>
            </w:r>
          </w:p>
          <w:p w14:paraId="32FFDC99">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（2）本工程的</w:t>
            </w:r>
            <w:r>
              <w:rPr>
                <w:rFonts w:hint="eastAsia" w:ascii="方正仿宋_GB2312" w:hAnsi="方正仿宋_GB2312" w:eastAsia="方正仿宋_GB2312" w:cs="方正仿宋_GB2312"/>
                <w:color w:val="auto"/>
                <w:sz w:val="21"/>
                <w:szCs w:val="21"/>
                <w:highlight w:val="none"/>
                <w:lang w:val="en-US" w:eastAsia="zh-CN"/>
              </w:rPr>
              <w:t>工程质量承诺及保证措施</w:t>
            </w:r>
            <w:r>
              <w:rPr>
                <w:rFonts w:hint="eastAsia" w:ascii="方正仿宋_GB2312" w:hAnsi="方正仿宋_GB2312" w:eastAsia="方正仿宋_GB2312" w:cs="方正仿宋_GB2312"/>
                <w:color w:val="auto"/>
                <w:kern w:val="2"/>
                <w:sz w:val="21"/>
                <w:szCs w:val="21"/>
                <w:highlight w:val="none"/>
                <w:lang w:val="en-US" w:eastAsia="zh-CN" w:bidi="ar-SA"/>
              </w:rPr>
              <w:t>施阐述不够清楚，有措施描 述但没有针对性和可行性的得 1～3分；</w:t>
            </w:r>
          </w:p>
          <w:p w14:paraId="68F60059">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（4）无</w:t>
            </w:r>
            <w:r>
              <w:rPr>
                <w:rFonts w:hint="eastAsia" w:ascii="方正仿宋_GB2312" w:hAnsi="方正仿宋_GB2312" w:eastAsia="方正仿宋_GB2312" w:cs="方正仿宋_GB2312"/>
                <w:color w:val="auto"/>
                <w:sz w:val="21"/>
                <w:szCs w:val="21"/>
                <w:highlight w:val="none"/>
                <w:lang w:val="en-US" w:eastAsia="zh-CN"/>
              </w:rPr>
              <w:t>工程质量承诺及保证措施</w:t>
            </w:r>
            <w:r>
              <w:rPr>
                <w:rFonts w:hint="eastAsia" w:ascii="方正仿宋_GB2312" w:hAnsi="方正仿宋_GB2312" w:eastAsia="方正仿宋_GB2312" w:cs="方正仿宋_GB2312"/>
                <w:color w:val="auto"/>
                <w:kern w:val="2"/>
                <w:sz w:val="21"/>
                <w:szCs w:val="21"/>
                <w:highlight w:val="none"/>
                <w:lang w:val="en-US" w:eastAsia="zh-CN" w:bidi="ar-SA"/>
              </w:rPr>
              <w:t>的得 0 分。</w:t>
            </w:r>
          </w:p>
        </w:tc>
      </w:tr>
      <w:tr w14:paraId="0B3C5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atLeast"/>
          <w:jc w:val="center"/>
        </w:trPr>
        <w:tc>
          <w:tcPr>
            <w:tcW w:w="905" w:type="dxa"/>
            <w:vMerge w:val="continue"/>
            <w:tcBorders>
              <w:tl2br w:val="nil"/>
              <w:tr2bl w:val="nil"/>
            </w:tcBorders>
            <w:vAlign w:val="center"/>
          </w:tcPr>
          <w:p w14:paraId="4BF78387">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pPr>
          </w:p>
        </w:tc>
        <w:tc>
          <w:tcPr>
            <w:tcW w:w="1023" w:type="dxa"/>
            <w:tcBorders>
              <w:tl2br w:val="nil"/>
              <w:tr2bl w:val="nil"/>
            </w:tcBorders>
            <w:vAlign w:val="center"/>
          </w:tcPr>
          <w:p w14:paraId="206AF27F">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安全文明施工承诺及保证措施</w:t>
            </w:r>
            <w:r>
              <w:rPr>
                <w:rFonts w:hint="eastAsia" w:ascii="方正仿宋_GB2312" w:hAnsi="方正仿宋_GB2312" w:eastAsia="方正仿宋_GB2312" w:cs="方正仿宋_GB2312"/>
                <w:color w:val="auto"/>
                <w:sz w:val="21"/>
                <w:szCs w:val="21"/>
                <w:highlight w:val="none"/>
                <w:lang w:val="en-US" w:eastAsia="zh-CN"/>
              </w:rPr>
              <w:t>评审（5分）</w:t>
            </w:r>
          </w:p>
        </w:tc>
        <w:tc>
          <w:tcPr>
            <w:tcW w:w="1823" w:type="dxa"/>
            <w:tcBorders>
              <w:tl2br w:val="nil"/>
              <w:tr2bl w:val="nil"/>
            </w:tcBorders>
            <w:vAlign w:val="center"/>
          </w:tcPr>
          <w:p w14:paraId="6F9554F8">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安全文明施工承诺及保证措施</w:t>
            </w:r>
            <w:r>
              <w:rPr>
                <w:rFonts w:hint="eastAsia" w:ascii="方正仿宋_GB2312" w:hAnsi="方正仿宋_GB2312" w:eastAsia="方正仿宋_GB2312" w:cs="方正仿宋_GB2312"/>
                <w:color w:val="auto"/>
                <w:sz w:val="21"/>
                <w:szCs w:val="21"/>
                <w:highlight w:val="none"/>
                <w:lang w:val="en-US" w:eastAsia="zh-CN"/>
              </w:rPr>
              <w:t>评审（5分）</w:t>
            </w:r>
          </w:p>
        </w:tc>
        <w:tc>
          <w:tcPr>
            <w:tcW w:w="5967" w:type="dxa"/>
            <w:gridSpan w:val="2"/>
            <w:tcBorders>
              <w:tl2br w:val="nil"/>
              <w:tr2bl w:val="nil"/>
            </w:tcBorders>
            <w:shd w:val="clear" w:color="auto" w:fill="auto"/>
            <w:vAlign w:val="center"/>
          </w:tcPr>
          <w:p w14:paraId="0F6C1C3F">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是否有具体、完整、可行的安全文明施工实施承诺、保证措施且合理、先进、有针对性。</w:t>
            </w:r>
          </w:p>
          <w:p w14:paraId="44572A0D">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（1）安全文明施工承诺及保证措施具体、完整、可行、合理、先进、针对性好得4～5分；</w:t>
            </w:r>
          </w:p>
          <w:p w14:paraId="71553ED1">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（2）安全文明施工承诺及保证措施一般、可行性一般、针对性一般的得1～3分；</w:t>
            </w:r>
          </w:p>
          <w:p w14:paraId="26EA497D">
            <w:pPr>
              <w:pStyle w:val="7"/>
              <w:keepNext w:val="0"/>
              <w:keepLines w:val="0"/>
              <w:pageBreakBefore w:val="0"/>
              <w:widowControl w:val="0"/>
              <w:kinsoku/>
              <w:wordWrap/>
              <w:overflowPunct/>
              <w:topLinePunct w:val="0"/>
              <w:autoSpaceDE/>
              <w:autoSpaceDN/>
              <w:bidi w:val="0"/>
              <w:adjustRightInd/>
              <w:snapToGrid w:val="0"/>
              <w:spacing w:before="0" w:after="0" w:line="360" w:lineRule="auto"/>
              <w:textAlignment w:val="auto"/>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kern w:val="2"/>
                <w:sz w:val="21"/>
                <w:szCs w:val="21"/>
                <w:highlight w:val="none"/>
                <w:lang w:val="en-US" w:eastAsia="zh-CN" w:bidi="ar-SA"/>
              </w:rPr>
              <w:t>（3）无安全文明施工承诺及保证措施得0分。</w:t>
            </w:r>
          </w:p>
        </w:tc>
      </w:tr>
      <w:tr w14:paraId="17EAC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05" w:type="dxa"/>
            <w:vMerge w:val="continue"/>
            <w:tcBorders>
              <w:tl2br w:val="nil"/>
              <w:tr2bl w:val="nil"/>
            </w:tcBorders>
            <w:vAlign w:val="center"/>
          </w:tcPr>
          <w:p w14:paraId="0C3CBED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p>
        </w:tc>
        <w:tc>
          <w:tcPr>
            <w:tcW w:w="1023" w:type="dxa"/>
            <w:tcBorders>
              <w:tl2br w:val="nil"/>
              <w:tr2bl w:val="nil"/>
            </w:tcBorders>
            <w:vAlign w:val="center"/>
          </w:tcPr>
          <w:p w14:paraId="195DEEE3">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rPr>
              <w:t>工期保证体系及保证措施</w:t>
            </w:r>
            <w:r>
              <w:rPr>
                <w:rFonts w:hint="eastAsia" w:ascii="方正仿宋_GB2312" w:hAnsi="方正仿宋_GB2312" w:eastAsia="方正仿宋_GB2312" w:cs="方正仿宋_GB2312"/>
                <w:color w:val="auto"/>
                <w:sz w:val="21"/>
                <w:szCs w:val="21"/>
                <w:highlight w:val="none"/>
                <w:lang w:val="en-US" w:eastAsia="zh-CN"/>
              </w:rPr>
              <w:t>评审（5分）</w:t>
            </w:r>
          </w:p>
        </w:tc>
        <w:tc>
          <w:tcPr>
            <w:tcW w:w="1823" w:type="dxa"/>
            <w:tcBorders>
              <w:tl2br w:val="nil"/>
              <w:tr2bl w:val="nil"/>
            </w:tcBorders>
            <w:vAlign w:val="center"/>
          </w:tcPr>
          <w:p w14:paraId="6471883B">
            <w:pPr>
              <w:keepNext w:val="0"/>
              <w:keepLines w:val="0"/>
              <w:pageBreakBefore w:val="0"/>
              <w:kinsoku/>
              <w:wordWrap/>
              <w:overflowPunct/>
              <w:topLinePunct w:val="0"/>
              <w:bidi w:val="0"/>
              <w:snapToGrid w:val="0"/>
              <w:spacing w:after="0" w:line="360" w:lineRule="auto"/>
              <w:jc w:val="left"/>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rPr>
              <w:t>工期保证体系及保证措施</w:t>
            </w:r>
            <w:r>
              <w:rPr>
                <w:rFonts w:hint="eastAsia" w:ascii="方正仿宋_GB2312" w:hAnsi="方正仿宋_GB2312" w:eastAsia="方正仿宋_GB2312" w:cs="方正仿宋_GB2312"/>
                <w:color w:val="auto"/>
                <w:sz w:val="21"/>
                <w:szCs w:val="21"/>
                <w:highlight w:val="none"/>
                <w:lang w:val="en-US" w:eastAsia="zh-CN"/>
              </w:rPr>
              <w:t>评审（5分）</w:t>
            </w:r>
          </w:p>
        </w:tc>
        <w:tc>
          <w:tcPr>
            <w:tcW w:w="5967" w:type="dxa"/>
            <w:gridSpan w:val="2"/>
            <w:tcBorders>
              <w:tl2br w:val="nil"/>
              <w:tr2bl w:val="nil"/>
            </w:tcBorders>
            <w:shd w:val="clear" w:color="auto" w:fill="auto"/>
            <w:vAlign w:val="top"/>
          </w:tcPr>
          <w:p w14:paraId="5899747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（1）本工程工期的保证体系及保证措施阐述清楚、体系健全、制 度完善，措施针对性和可行性强的得4～5分；</w:t>
            </w:r>
          </w:p>
          <w:p w14:paraId="08CEA69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（2）本工程工期的保证体系及保证措施阐述不够清楚，有措施描 述但没有针对性和可行性的得 1～3分；</w:t>
            </w:r>
          </w:p>
          <w:p w14:paraId="5EB858D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（4）无工程工期的保证体系及保证措施的得 0 分。</w:t>
            </w:r>
          </w:p>
        </w:tc>
      </w:tr>
      <w:tr w14:paraId="22300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5" w:type="dxa"/>
            <w:vMerge w:val="continue"/>
            <w:tcBorders>
              <w:tl2br w:val="nil"/>
              <w:tr2bl w:val="nil"/>
            </w:tcBorders>
            <w:vAlign w:val="center"/>
          </w:tcPr>
          <w:p w14:paraId="3690049D">
            <w:pPr>
              <w:keepNext w:val="0"/>
              <w:keepLines w:val="0"/>
              <w:pageBreakBefore w:val="0"/>
              <w:kinsoku/>
              <w:wordWrap/>
              <w:overflowPunct/>
              <w:topLinePunct w:val="0"/>
              <w:bidi w:val="0"/>
              <w:adjustRightInd w:val="0"/>
              <w:snapToGrid w:val="0"/>
              <w:spacing w:after="0" w:line="360" w:lineRule="auto"/>
              <w:contextualSpacing/>
              <w:textAlignment w:val="auto"/>
              <w:outlineLvl w:val="9"/>
              <w:rPr>
                <w:rFonts w:hint="eastAsia" w:ascii="方正仿宋_GB2312" w:hAnsi="方正仿宋_GB2312" w:eastAsia="方正仿宋_GB2312" w:cs="方正仿宋_GB2312"/>
                <w:color w:val="auto"/>
                <w:highlight w:val="none"/>
              </w:rPr>
            </w:pPr>
          </w:p>
        </w:tc>
        <w:tc>
          <w:tcPr>
            <w:tcW w:w="1023" w:type="dxa"/>
            <w:tcBorders>
              <w:tl2br w:val="nil"/>
              <w:tr2bl w:val="nil"/>
            </w:tcBorders>
            <w:vAlign w:val="center"/>
          </w:tcPr>
          <w:p w14:paraId="46204697">
            <w:pPr>
              <w:keepNext w:val="0"/>
              <w:keepLines w:val="0"/>
              <w:pageBreakBefore w:val="0"/>
              <w:kinsoku/>
              <w:wordWrap/>
              <w:overflowPunct/>
              <w:topLinePunct w:val="0"/>
              <w:bidi w:val="0"/>
              <w:adjustRightInd w:val="0"/>
              <w:snapToGrid w:val="0"/>
              <w:spacing w:after="0" w:line="360" w:lineRule="auto"/>
              <w:contextualSpacing/>
              <w:textAlignment w:val="auto"/>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rPr>
              <w:t>项目风险预测与防范，事故应急预案</w:t>
            </w:r>
            <w:r>
              <w:rPr>
                <w:rFonts w:hint="eastAsia" w:ascii="方正仿宋_GB2312" w:hAnsi="方正仿宋_GB2312" w:eastAsia="方正仿宋_GB2312" w:cs="方正仿宋_GB2312"/>
                <w:color w:val="auto"/>
                <w:highlight w:val="none"/>
                <w:lang w:val="en-US" w:eastAsia="zh-CN"/>
              </w:rPr>
              <w:t>评审（5分）</w:t>
            </w:r>
          </w:p>
        </w:tc>
        <w:tc>
          <w:tcPr>
            <w:tcW w:w="1823" w:type="dxa"/>
            <w:tcBorders>
              <w:tl2br w:val="nil"/>
              <w:tr2bl w:val="nil"/>
            </w:tcBorders>
            <w:vAlign w:val="center"/>
          </w:tcPr>
          <w:p w14:paraId="6914EC3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rPr>
              <w:t>项目风险预测与防范，事故应急预案</w:t>
            </w:r>
            <w:r>
              <w:rPr>
                <w:rFonts w:hint="eastAsia" w:ascii="方正仿宋_GB2312" w:hAnsi="方正仿宋_GB2312" w:eastAsia="方正仿宋_GB2312" w:cs="方正仿宋_GB2312"/>
                <w:color w:val="auto"/>
                <w:sz w:val="21"/>
                <w:szCs w:val="21"/>
                <w:highlight w:val="none"/>
                <w:lang w:val="en-US" w:eastAsia="zh-CN"/>
              </w:rPr>
              <w:t>评审（5分）</w:t>
            </w:r>
          </w:p>
        </w:tc>
        <w:tc>
          <w:tcPr>
            <w:tcW w:w="5967" w:type="dxa"/>
            <w:gridSpan w:val="2"/>
            <w:tcBorders>
              <w:tl2br w:val="nil"/>
              <w:tr2bl w:val="nil"/>
            </w:tcBorders>
            <w:shd w:val="clear" w:color="auto" w:fill="auto"/>
            <w:vAlign w:val="top"/>
          </w:tcPr>
          <w:p w14:paraId="13DA81E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（1）本项目风险预测与防范措施阐述清楚，事故应急预案针对性 和可行性强的得4～5分；</w:t>
            </w:r>
          </w:p>
          <w:p w14:paraId="2E210CB4">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（2）本项目风险预测与防范措施阐述基本清楚，事故应急预案有 针对性且基本可行的得1～3分；</w:t>
            </w:r>
          </w:p>
          <w:p w14:paraId="27C47EE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（3）无项目风险预测与防范，事故应急预案的得 0 分。</w:t>
            </w:r>
          </w:p>
        </w:tc>
      </w:tr>
      <w:tr w14:paraId="7D142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928" w:type="dxa"/>
            <w:gridSpan w:val="2"/>
            <w:vMerge w:val="restart"/>
            <w:tcBorders>
              <w:tl2br w:val="nil"/>
              <w:tr2bl w:val="nil"/>
            </w:tcBorders>
            <w:vAlign w:val="center"/>
          </w:tcPr>
          <w:p w14:paraId="1DD23B34">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rPr>
              <w:t>2.2.</w:t>
            </w:r>
            <w:r>
              <w:rPr>
                <w:rFonts w:hint="eastAsia" w:ascii="方正仿宋_GB2312" w:hAnsi="方正仿宋_GB2312" w:eastAsia="方正仿宋_GB2312" w:cs="方正仿宋_GB2312"/>
                <w:color w:val="auto"/>
                <w:sz w:val="21"/>
                <w:szCs w:val="21"/>
                <w:highlight w:val="none"/>
                <w:lang w:val="en-US" w:eastAsia="zh-CN"/>
              </w:rPr>
              <w:t>3</w:t>
            </w:r>
          </w:p>
          <w:p w14:paraId="3AB265FB">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商务部分</w:t>
            </w:r>
          </w:p>
          <w:p w14:paraId="4339CE74">
            <w:pPr>
              <w:pStyle w:val="50"/>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rPr>
              <w:t>评审标准</w:t>
            </w:r>
          </w:p>
          <w:p w14:paraId="0A8B95A8">
            <w:pPr>
              <w:keepNext w:val="0"/>
              <w:keepLines w:val="0"/>
              <w:pageBreakBefore w:val="0"/>
              <w:kinsoku/>
              <w:wordWrap/>
              <w:overflowPunct/>
              <w:topLinePunct w:val="0"/>
              <w:bidi w:val="0"/>
              <w:snapToGrid w:val="0"/>
              <w:spacing w:after="0" w:line="360" w:lineRule="auto"/>
              <w:jc w:val="center"/>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rPr>
              <w:t>（满分</w:t>
            </w:r>
            <w:r>
              <w:rPr>
                <w:rFonts w:hint="eastAsia" w:ascii="方正仿宋_GB2312" w:hAnsi="方正仿宋_GB2312" w:eastAsia="方正仿宋_GB2312" w:cs="方正仿宋_GB2312"/>
                <w:color w:val="auto"/>
                <w:sz w:val="21"/>
                <w:szCs w:val="21"/>
                <w:highlight w:val="none"/>
                <w:lang w:val="en-US" w:eastAsia="zh-CN"/>
              </w:rPr>
              <w:t>25</w:t>
            </w:r>
            <w:r>
              <w:rPr>
                <w:rFonts w:hint="eastAsia" w:ascii="方正仿宋_GB2312" w:hAnsi="方正仿宋_GB2312" w:eastAsia="方正仿宋_GB2312" w:cs="方正仿宋_GB2312"/>
                <w:color w:val="auto"/>
                <w:sz w:val="21"/>
                <w:szCs w:val="21"/>
                <w:highlight w:val="none"/>
                <w:lang w:val="en-US"/>
              </w:rPr>
              <w:t>分）</w:t>
            </w:r>
          </w:p>
        </w:tc>
        <w:tc>
          <w:tcPr>
            <w:tcW w:w="1823" w:type="dxa"/>
            <w:tcBorders>
              <w:tl2br w:val="nil"/>
              <w:tr2bl w:val="nil"/>
            </w:tcBorders>
            <w:vAlign w:val="center"/>
          </w:tcPr>
          <w:p w14:paraId="4A45FB16">
            <w:pPr>
              <w:pStyle w:val="50"/>
              <w:keepNext w:val="0"/>
              <w:keepLines w:val="0"/>
              <w:pageBreakBefore w:val="0"/>
              <w:kinsoku/>
              <w:wordWrap/>
              <w:overflowPunct/>
              <w:topLinePunct w:val="0"/>
              <w:bidi w:val="0"/>
              <w:adjustRightInd w:val="0"/>
              <w:snapToGrid w:val="0"/>
              <w:spacing w:after="0" w:line="360" w:lineRule="auto"/>
              <w:jc w:val="both"/>
              <w:textAlignment w:val="auto"/>
              <w:outlineLvl w:val="9"/>
              <w:rPr>
                <w:rFonts w:hint="eastAsia" w:ascii="方正仿宋_GB2312" w:hAnsi="方正仿宋_GB2312" w:eastAsia="方正仿宋_GB2312" w:cs="方正仿宋_GB2312"/>
                <w:b w:val="0"/>
                <w:bCs/>
                <w:color w:val="auto"/>
                <w:kern w:val="0"/>
                <w:sz w:val="21"/>
                <w:szCs w:val="21"/>
                <w:highlight w:val="none"/>
                <w:lang w:val="zh-CN" w:eastAsia="zh-CN" w:bidi="ar-SA"/>
              </w:rPr>
            </w:pPr>
            <w:r>
              <w:rPr>
                <w:rFonts w:hint="eastAsia" w:ascii="方正仿宋_GB2312" w:hAnsi="方正仿宋_GB2312" w:eastAsia="方正仿宋_GB2312" w:cs="方正仿宋_GB2312"/>
                <w:b w:val="0"/>
                <w:bCs/>
                <w:color w:val="auto"/>
                <w:sz w:val="21"/>
                <w:szCs w:val="21"/>
                <w:highlight w:val="none"/>
                <w:lang w:eastAsia="zh-CN"/>
              </w:rPr>
              <w:t>设计费</w:t>
            </w:r>
            <w:r>
              <w:rPr>
                <w:rFonts w:hint="eastAsia" w:ascii="方正仿宋_GB2312" w:hAnsi="方正仿宋_GB2312" w:eastAsia="方正仿宋_GB2312" w:cs="方正仿宋_GB2312"/>
                <w:b w:val="0"/>
                <w:bCs/>
                <w:color w:val="auto"/>
                <w:sz w:val="21"/>
                <w:szCs w:val="21"/>
                <w:highlight w:val="none"/>
                <w:lang w:val="en-US"/>
              </w:rPr>
              <w:t>投标报价评审满分</w:t>
            </w:r>
            <w:r>
              <w:rPr>
                <w:rFonts w:hint="eastAsia" w:ascii="方正仿宋_GB2312" w:hAnsi="方正仿宋_GB2312" w:eastAsia="方正仿宋_GB2312" w:cs="方正仿宋_GB2312"/>
                <w:b w:val="0"/>
                <w:bCs/>
                <w:color w:val="auto"/>
                <w:sz w:val="21"/>
                <w:szCs w:val="21"/>
                <w:highlight w:val="none"/>
                <w:lang w:val="en-US" w:eastAsia="zh-CN"/>
              </w:rPr>
              <w:t>5</w:t>
            </w:r>
            <w:r>
              <w:rPr>
                <w:rFonts w:hint="eastAsia" w:ascii="方正仿宋_GB2312" w:hAnsi="方正仿宋_GB2312" w:eastAsia="方正仿宋_GB2312" w:cs="方正仿宋_GB2312"/>
                <w:b w:val="0"/>
                <w:bCs/>
                <w:color w:val="auto"/>
                <w:sz w:val="21"/>
                <w:szCs w:val="21"/>
                <w:highlight w:val="none"/>
                <w:lang w:val="en-US"/>
              </w:rPr>
              <w:t>分</w:t>
            </w:r>
          </w:p>
        </w:tc>
        <w:tc>
          <w:tcPr>
            <w:tcW w:w="5967" w:type="dxa"/>
            <w:gridSpan w:val="2"/>
            <w:tcBorders>
              <w:tl2br w:val="nil"/>
              <w:tr2bl w:val="nil"/>
            </w:tcBorders>
            <w:vAlign w:val="center"/>
          </w:tcPr>
          <w:p w14:paraId="51D8ADD3">
            <w:pPr>
              <w:rPr>
                <w:rFonts w:hint="eastAsia" w:ascii="方正仿宋_GB2312" w:hAnsi="方正仿宋_GB2312" w:eastAsia="方正仿宋_GB2312" w:cs="方正仿宋_GB2312"/>
                <w:b w:val="0"/>
                <w:bCs/>
                <w:color w:val="auto"/>
                <w:kern w:val="2"/>
                <w:sz w:val="21"/>
                <w:szCs w:val="21"/>
                <w:highlight w:val="none"/>
                <w:lang w:val="en-US" w:eastAsia="zh-CN" w:bidi="ar-SA"/>
              </w:rPr>
            </w:pPr>
            <w:r>
              <w:rPr>
                <w:rFonts w:hint="eastAsia" w:ascii="方正仿宋_GB2312" w:hAnsi="方正仿宋_GB2312" w:eastAsia="方正仿宋_GB2312" w:cs="方正仿宋_GB2312"/>
                <w:b w:val="0"/>
                <w:bCs/>
                <w:color w:val="auto"/>
                <w:kern w:val="2"/>
                <w:sz w:val="21"/>
                <w:szCs w:val="21"/>
                <w:highlight w:val="none"/>
                <w:lang w:val="en-US" w:eastAsia="zh-CN" w:bidi="ar-SA"/>
              </w:rPr>
              <w:t>1、投标设计费费率等于平均费率得满分5分；</w:t>
            </w:r>
          </w:p>
          <w:p w14:paraId="25655309">
            <w:pPr>
              <w:rPr>
                <w:rFonts w:hint="eastAsia" w:ascii="方正仿宋_GB2312" w:hAnsi="方正仿宋_GB2312" w:eastAsia="方正仿宋_GB2312" w:cs="方正仿宋_GB2312"/>
                <w:b w:val="0"/>
                <w:bCs/>
                <w:color w:val="auto"/>
                <w:kern w:val="2"/>
                <w:sz w:val="21"/>
                <w:szCs w:val="21"/>
                <w:highlight w:val="none"/>
                <w:lang w:val="en-US" w:eastAsia="zh-CN" w:bidi="ar-SA"/>
              </w:rPr>
            </w:pPr>
            <w:r>
              <w:rPr>
                <w:rFonts w:hint="eastAsia" w:ascii="方正仿宋_GB2312" w:hAnsi="方正仿宋_GB2312" w:eastAsia="方正仿宋_GB2312" w:cs="方正仿宋_GB2312"/>
                <w:b w:val="0"/>
                <w:bCs/>
                <w:color w:val="auto"/>
                <w:kern w:val="2"/>
                <w:sz w:val="21"/>
                <w:szCs w:val="21"/>
                <w:highlight w:val="none"/>
                <w:lang w:val="en-US" w:eastAsia="zh-CN" w:bidi="ar-SA"/>
              </w:rPr>
              <w:t>2、投标设计费费率与平均费率每相差1%扣0.10分，分数扣完为止。</w:t>
            </w:r>
          </w:p>
          <w:p w14:paraId="387261E9">
            <w:pPr>
              <w:rPr>
                <w:rFonts w:hint="eastAsia" w:ascii="方正仿宋_GB2312" w:hAnsi="方正仿宋_GB2312" w:eastAsia="方正仿宋_GB2312" w:cs="方正仿宋_GB2312"/>
                <w:b w:val="0"/>
                <w:bCs/>
                <w:color w:val="auto"/>
                <w:kern w:val="2"/>
                <w:sz w:val="21"/>
                <w:szCs w:val="21"/>
                <w:highlight w:val="none"/>
                <w:lang w:val="en-US" w:eastAsia="zh-CN" w:bidi="ar-SA"/>
              </w:rPr>
            </w:pPr>
            <w:r>
              <w:rPr>
                <w:rFonts w:hint="eastAsia" w:ascii="方正仿宋_GB2312" w:hAnsi="方正仿宋_GB2312" w:eastAsia="方正仿宋_GB2312" w:cs="方正仿宋_GB2312"/>
                <w:b w:val="0"/>
                <w:bCs/>
                <w:color w:val="auto"/>
                <w:kern w:val="2"/>
                <w:sz w:val="21"/>
                <w:szCs w:val="21"/>
                <w:highlight w:val="none"/>
                <w:lang w:val="en-US" w:eastAsia="zh-CN" w:bidi="ar-SA"/>
              </w:rPr>
              <w:t>2.1采用下列公式计算该投标人报价得分：</w:t>
            </w:r>
          </w:p>
          <w:p w14:paraId="00285604">
            <w:pPr>
              <w:rPr>
                <w:rFonts w:hint="eastAsia" w:ascii="方正仿宋_GB2312" w:hAnsi="方正仿宋_GB2312" w:eastAsia="方正仿宋_GB2312" w:cs="方正仿宋_GB2312"/>
                <w:b w:val="0"/>
                <w:bCs/>
                <w:color w:val="auto"/>
                <w:kern w:val="2"/>
                <w:sz w:val="21"/>
                <w:szCs w:val="21"/>
                <w:highlight w:val="none"/>
                <w:lang w:val="en-US" w:eastAsia="zh-CN" w:bidi="ar-SA"/>
              </w:rPr>
            </w:pPr>
            <w:r>
              <w:rPr>
                <w:rFonts w:hint="eastAsia" w:ascii="方正仿宋_GB2312" w:hAnsi="方正仿宋_GB2312" w:eastAsia="方正仿宋_GB2312" w:cs="方正仿宋_GB2312"/>
                <w:b w:val="0"/>
                <w:bCs/>
                <w:color w:val="auto"/>
                <w:kern w:val="2"/>
                <w:sz w:val="21"/>
                <w:szCs w:val="21"/>
                <w:highlight w:val="none"/>
                <w:lang w:val="en-US" w:eastAsia="zh-CN" w:bidi="ar-SA"/>
              </w:rPr>
              <w:t>投标设计费费率投标报价得分=5-|（投标报价－评标基准价）|×0.10×100，分数扣完为止。</w:t>
            </w:r>
          </w:p>
        </w:tc>
      </w:tr>
      <w:tr w14:paraId="14D7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7" w:hRule="atLeast"/>
          <w:jc w:val="center"/>
        </w:trPr>
        <w:tc>
          <w:tcPr>
            <w:tcW w:w="1928" w:type="dxa"/>
            <w:gridSpan w:val="2"/>
            <w:vMerge w:val="continue"/>
            <w:tcBorders>
              <w:tl2br w:val="nil"/>
              <w:tr2bl w:val="nil"/>
            </w:tcBorders>
          </w:tcPr>
          <w:p w14:paraId="539509FD">
            <w:pPr>
              <w:keepNext w:val="0"/>
              <w:keepLines w:val="0"/>
              <w:pageBreakBefore w:val="0"/>
              <w:kinsoku/>
              <w:wordWrap/>
              <w:overflowPunct/>
              <w:topLinePunct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p>
        </w:tc>
        <w:tc>
          <w:tcPr>
            <w:tcW w:w="1823" w:type="dxa"/>
            <w:tcBorders>
              <w:tl2br w:val="nil"/>
              <w:tr2bl w:val="nil"/>
            </w:tcBorders>
            <w:vAlign w:val="center"/>
          </w:tcPr>
          <w:p w14:paraId="6CF58DCA">
            <w:pPr>
              <w:keepNext w:val="0"/>
              <w:keepLines w:val="0"/>
              <w:pageBreakBefore w:val="0"/>
              <w:kinsoku/>
              <w:wordWrap/>
              <w:overflowPunct/>
              <w:topLinePunct w:val="0"/>
              <w:bidi w:val="0"/>
              <w:snapToGrid w:val="0"/>
              <w:spacing w:after="0" w:line="360" w:lineRule="auto"/>
              <w:textAlignment w:val="auto"/>
              <w:outlineLvl w:val="9"/>
              <w:rPr>
                <w:rFonts w:hint="eastAsia" w:ascii="方正仿宋_GB2312" w:hAnsi="方正仿宋_GB2312" w:eastAsia="方正仿宋_GB2312" w:cs="方正仿宋_GB2312"/>
                <w:b w:val="0"/>
                <w:bCs/>
                <w:color w:val="auto"/>
                <w:sz w:val="21"/>
                <w:szCs w:val="21"/>
                <w:highlight w:val="none"/>
                <w:lang w:val="en-US"/>
              </w:rPr>
            </w:pPr>
            <w:r>
              <w:rPr>
                <w:rFonts w:hint="eastAsia" w:ascii="方正仿宋_GB2312" w:hAnsi="方正仿宋_GB2312" w:eastAsia="方正仿宋_GB2312" w:cs="方正仿宋_GB2312"/>
                <w:b w:val="0"/>
                <w:bCs/>
                <w:color w:val="auto"/>
                <w:sz w:val="21"/>
                <w:szCs w:val="21"/>
                <w:highlight w:val="none"/>
                <w:lang w:val="en-US"/>
              </w:rPr>
              <w:t>工程施工费下浮率投标报价评审满分</w:t>
            </w:r>
            <w:r>
              <w:rPr>
                <w:rFonts w:hint="eastAsia" w:ascii="方正仿宋_GB2312" w:hAnsi="方正仿宋_GB2312" w:eastAsia="方正仿宋_GB2312" w:cs="方正仿宋_GB2312"/>
                <w:b w:val="0"/>
                <w:bCs/>
                <w:color w:val="auto"/>
                <w:sz w:val="21"/>
                <w:szCs w:val="21"/>
                <w:highlight w:val="none"/>
                <w:lang w:val="en-US" w:eastAsia="zh-CN"/>
              </w:rPr>
              <w:t>20</w:t>
            </w:r>
            <w:r>
              <w:rPr>
                <w:rFonts w:hint="eastAsia" w:ascii="方正仿宋_GB2312" w:hAnsi="方正仿宋_GB2312" w:eastAsia="方正仿宋_GB2312" w:cs="方正仿宋_GB2312"/>
                <w:b w:val="0"/>
                <w:bCs/>
                <w:color w:val="auto"/>
                <w:sz w:val="21"/>
                <w:szCs w:val="21"/>
                <w:highlight w:val="none"/>
                <w:lang w:val="en-US"/>
              </w:rPr>
              <w:t>分</w:t>
            </w:r>
          </w:p>
        </w:tc>
        <w:tc>
          <w:tcPr>
            <w:tcW w:w="5967" w:type="dxa"/>
            <w:gridSpan w:val="2"/>
            <w:tcBorders>
              <w:tl2br w:val="nil"/>
              <w:tr2bl w:val="nil"/>
            </w:tcBorders>
            <w:vAlign w:val="center"/>
          </w:tcPr>
          <w:p w14:paraId="2468A105">
            <w:pPr>
              <w:pStyle w:val="26"/>
              <w:ind w:left="0" w:leftChars="0" w:firstLine="0" w:firstLineChars="0"/>
              <w:rPr>
                <w:rFonts w:hint="eastAsia" w:ascii="方正仿宋_GB2312" w:hAnsi="方正仿宋_GB2312" w:eastAsia="方正仿宋_GB2312" w:cs="方正仿宋_GB2312"/>
                <w:b w:val="0"/>
                <w:bCs/>
                <w:color w:val="auto"/>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lang w:val="en-US" w:eastAsia="zh-CN"/>
              </w:rPr>
              <w:t>1.投标建安工程费下浮率等于平均下浮率得满分20分；</w:t>
            </w:r>
          </w:p>
          <w:p w14:paraId="3A4D697D">
            <w:pPr>
              <w:pStyle w:val="26"/>
              <w:ind w:left="0" w:leftChars="0" w:firstLine="0" w:firstLineChars="0"/>
              <w:rPr>
                <w:rFonts w:hint="eastAsia" w:ascii="方正仿宋_GB2312" w:hAnsi="方正仿宋_GB2312" w:eastAsia="方正仿宋_GB2312" w:cs="方正仿宋_GB2312"/>
                <w:b w:val="0"/>
                <w:bCs/>
                <w:color w:val="auto"/>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lang w:val="en-US" w:eastAsia="zh-CN"/>
              </w:rPr>
              <w:t>2、投标建安工程费下浮率与平均下浮率每相差1%扣0.10分，分数扣完为止。</w:t>
            </w:r>
          </w:p>
          <w:p w14:paraId="67B04CE4">
            <w:pPr>
              <w:pStyle w:val="26"/>
              <w:ind w:left="0" w:leftChars="0" w:firstLine="0" w:firstLineChars="0"/>
              <w:rPr>
                <w:rFonts w:hint="eastAsia" w:ascii="方正仿宋_GB2312" w:hAnsi="方正仿宋_GB2312" w:eastAsia="方正仿宋_GB2312" w:cs="方正仿宋_GB2312"/>
                <w:b w:val="0"/>
                <w:bCs/>
                <w:color w:val="auto"/>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lang w:val="en-US" w:eastAsia="zh-CN"/>
              </w:rPr>
              <w:t>2.1采用下列公式计算该投标人报价得分：</w:t>
            </w:r>
          </w:p>
          <w:p w14:paraId="4ED05DC5">
            <w:pPr>
              <w:pStyle w:val="26"/>
              <w:ind w:left="0" w:leftChars="0" w:firstLine="0" w:firstLineChars="0"/>
              <w:rPr>
                <w:rFonts w:hint="eastAsia" w:ascii="方正仿宋_GB2312" w:hAnsi="方正仿宋_GB2312" w:eastAsia="方正仿宋_GB2312" w:cs="方正仿宋_GB2312"/>
                <w:b w:val="0"/>
                <w:bCs/>
                <w:color w:val="auto"/>
                <w:sz w:val="21"/>
                <w:szCs w:val="21"/>
                <w:highlight w:val="none"/>
                <w:lang w:val="en-US" w:eastAsia="zh-CN"/>
              </w:rPr>
            </w:pPr>
            <w:r>
              <w:rPr>
                <w:rFonts w:hint="eastAsia" w:ascii="方正仿宋_GB2312" w:hAnsi="方正仿宋_GB2312" w:eastAsia="方正仿宋_GB2312" w:cs="方正仿宋_GB2312"/>
                <w:b w:val="0"/>
                <w:bCs/>
                <w:color w:val="auto"/>
                <w:sz w:val="21"/>
                <w:szCs w:val="21"/>
                <w:highlight w:val="none"/>
                <w:lang w:val="en-US" w:eastAsia="zh-CN"/>
              </w:rPr>
              <w:t>投标建安工程费下浮率投标报价得分=20-|（投标报价－评标基准价）|×0.10×100，分数扣完为止。</w:t>
            </w:r>
          </w:p>
        </w:tc>
      </w:tr>
    </w:tbl>
    <w:p w14:paraId="7144882C">
      <w:pPr>
        <w:rPr>
          <w:rFonts w:hint="eastAsia" w:ascii="方正仿宋_GB2312" w:hAnsi="方正仿宋_GB2312" w:eastAsia="方正仿宋_GB2312" w:cs="方正仿宋_GB2312"/>
          <w:color w:val="auto"/>
          <w:sz w:val="24"/>
          <w:szCs w:val="24"/>
          <w:highlight w:val="none"/>
        </w:rPr>
      </w:pPr>
      <w:bookmarkStart w:id="476" w:name="_Toc300835010"/>
      <w:bookmarkStart w:id="477" w:name="_Toc247527625"/>
      <w:bookmarkStart w:id="478" w:name="_Toc152045600"/>
      <w:bookmarkStart w:id="479" w:name="_Toc247514024"/>
      <w:bookmarkStart w:id="480" w:name="_Toc152042377"/>
      <w:bookmarkStart w:id="481" w:name="_Toc144974567"/>
      <w:bookmarkStart w:id="482" w:name="_Toc5731"/>
      <w:r>
        <w:rPr>
          <w:rFonts w:hint="eastAsia" w:ascii="方正仿宋_GB2312" w:hAnsi="方正仿宋_GB2312" w:eastAsia="方正仿宋_GB2312" w:cs="方正仿宋_GB2312"/>
          <w:color w:val="auto"/>
          <w:sz w:val="24"/>
          <w:szCs w:val="24"/>
          <w:highlight w:val="none"/>
        </w:rPr>
        <w:br w:type="page"/>
      </w:r>
    </w:p>
    <w:p w14:paraId="7D847C0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outlineLvl w:val="2"/>
        <w:rPr>
          <w:rFonts w:hint="eastAsia" w:ascii="方正仿宋_GB2312" w:hAnsi="方正仿宋_GB2312" w:eastAsia="方正仿宋_GB2312" w:cs="方正仿宋_GB2312"/>
          <w:b/>
          <w:bCs/>
          <w:color w:val="auto"/>
          <w:sz w:val="21"/>
          <w:szCs w:val="21"/>
          <w:highlight w:val="none"/>
        </w:rPr>
      </w:pPr>
      <w:bookmarkStart w:id="483" w:name="_Toc3686"/>
      <w:r>
        <w:rPr>
          <w:rFonts w:hint="eastAsia" w:ascii="方正仿宋_GB2312" w:hAnsi="方正仿宋_GB2312" w:eastAsia="方正仿宋_GB2312" w:cs="方正仿宋_GB2312"/>
          <w:b/>
          <w:bCs/>
          <w:color w:val="auto"/>
          <w:sz w:val="21"/>
          <w:szCs w:val="21"/>
          <w:highlight w:val="none"/>
          <w:lang w:eastAsia="zh-CN"/>
        </w:rPr>
        <w:t>二、</w:t>
      </w:r>
      <w:r>
        <w:rPr>
          <w:rFonts w:hint="eastAsia" w:ascii="方正仿宋_GB2312" w:hAnsi="方正仿宋_GB2312" w:eastAsia="方正仿宋_GB2312" w:cs="方正仿宋_GB2312"/>
          <w:b/>
          <w:bCs/>
          <w:color w:val="auto"/>
          <w:sz w:val="21"/>
          <w:szCs w:val="21"/>
          <w:highlight w:val="none"/>
        </w:rPr>
        <w:t>评标办法正文</w:t>
      </w:r>
    </w:p>
    <w:p w14:paraId="7CC89EA8">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2"/>
        <w:rPr>
          <w:rFonts w:hint="eastAsia" w:ascii="方正仿宋_GB2312" w:hAnsi="方正仿宋_GB2312" w:eastAsia="方正仿宋_GB2312" w:cs="方正仿宋_GB2312"/>
          <w:b/>
          <w:bCs/>
          <w:color w:val="auto"/>
          <w:sz w:val="21"/>
          <w:szCs w:val="21"/>
          <w:highlight w:val="none"/>
        </w:rPr>
      </w:pPr>
    </w:p>
    <w:p w14:paraId="68A9D511">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2"/>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t>1. 评标方法</w:t>
      </w:r>
      <w:bookmarkEnd w:id="476"/>
      <w:bookmarkEnd w:id="477"/>
      <w:bookmarkEnd w:id="478"/>
      <w:bookmarkEnd w:id="479"/>
      <w:bookmarkEnd w:id="480"/>
      <w:bookmarkEnd w:id="481"/>
      <w:bookmarkEnd w:id="482"/>
      <w:bookmarkEnd w:id="483"/>
    </w:p>
    <w:p w14:paraId="58C86BB5">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bookmarkStart w:id="484" w:name="_Toc144974568"/>
      <w:bookmarkStart w:id="485" w:name="_Toc152042378"/>
      <w:bookmarkStart w:id="486" w:name="_Toc247514025"/>
      <w:bookmarkStart w:id="487" w:name="_Toc247527626"/>
      <w:bookmarkStart w:id="488" w:name="_Toc300835011"/>
      <w:bookmarkStart w:id="489" w:name="_Toc152045601"/>
      <w:bookmarkStart w:id="490" w:name="_Toc29052"/>
      <w:r>
        <w:rPr>
          <w:rFonts w:hint="eastAsia" w:ascii="方正仿宋_GB2312" w:hAnsi="方正仿宋_GB2312" w:eastAsia="方正仿宋_GB2312" w:cs="方正仿宋_GB2312"/>
          <w:color w:val="auto"/>
          <w:sz w:val="21"/>
          <w:szCs w:val="21"/>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商务部分评分高的优先；商务部分评分也相等时，以技术部分评分高的优先；技术部分评分也相等时，以</w:t>
      </w:r>
      <w:r>
        <w:rPr>
          <w:rFonts w:hint="eastAsia" w:ascii="方正仿宋_GB2312" w:hAnsi="方正仿宋_GB2312" w:eastAsia="方正仿宋_GB2312" w:cs="方正仿宋_GB2312"/>
          <w:color w:val="auto"/>
          <w:sz w:val="21"/>
          <w:szCs w:val="21"/>
          <w:highlight w:val="none"/>
          <w:lang w:eastAsia="zh-CN"/>
        </w:rPr>
        <w:t>工程</w:t>
      </w:r>
      <w:r>
        <w:rPr>
          <w:rFonts w:hint="eastAsia" w:ascii="方正仿宋_GB2312" w:hAnsi="方正仿宋_GB2312" w:eastAsia="方正仿宋_GB2312" w:cs="方正仿宋_GB2312"/>
          <w:color w:val="auto"/>
          <w:sz w:val="21"/>
          <w:szCs w:val="21"/>
          <w:highlight w:val="none"/>
        </w:rPr>
        <w:t>施工费投标下浮率高的优先；</w:t>
      </w:r>
      <w:r>
        <w:rPr>
          <w:rFonts w:hint="eastAsia" w:ascii="方正仿宋_GB2312" w:hAnsi="方正仿宋_GB2312" w:eastAsia="方正仿宋_GB2312" w:cs="方正仿宋_GB2312"/>
          <w:color w:val="auto"/>
          <w:sz w:val="21"/>
          <w:szCs w:val="21"/>
          <w:highlight w:val="none"/>
          <w:lang w:eastAsia="zh-CN"/>
        </w:rPr>
        <w:t>工程</w:t>
      </w:r>
      <w:r>
        <w:rPr>
          <w:rFonts w:hint="eastAsia" w:ascii="方正仿宋_GB2312" w:hAnsi="方正仿宋_GB2312" w:eastAsia="方正仿宋_GB2312" w:cs="方正仿宋_GB2312"/>
          <w:color w:val="auto"/>
          <w:sz w:val="21"/>
          <w:szCs w:val="21"/>
          <w:highlight w:val="none"/>
        </w:rPr>
        <w:t>施工费投标下浮率也相等</w:t>
      </w:r>
      <w:r>
        <w:rPr>
          <w:rFonts w:hint="eastAsia" w:ascii="方正仿宋_GB2312" w:hAnsi="方正仿宋_GB2312" w:eastAsia="方正仿宋_GB2312" w:cs="方正仿宋_GB2312"/>
          <w:color w:val="auto"/>
          <w:sz w:val="21"/>
          <w:szCs w:val="21"/>
          <w:highlight w:val="none"/>
          <w:lang w:eastAsia="zh-CN"/>
        </w:rPr>
        <w:t>时</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eastAsia="zh-CN"/>
        </w:rPr>
        <w:t>以</w:t>
      </w:r>
      <w:r>
        <w:rPr>
          <w:rFonts w:hint="eastAsia" w:ascii="方正仿宋_GB2312" w:hAnsi="方正仿宋_GB2312" w:eastAsia="方正仿宋_GB2312" w:cs="方正仿宋_GB2312"/>
          <w:color w:val="auto"/>
          <w:sz w:val="21"/>
          <w:szCs w:val="21"/>
          <w:highlight w:val="none"/>
        </w:rPr>
        <w:t>设计费</w:t>
      </w:r>
      <w:r>
        <w:rPr>
          <w:rFonts w:hint="eastAsia" w:ascii="方正仿宋_GB2312" w:hAnsi="方正仿宋_GB2312" w:eastAsia="方正仿宋_GB2312" w:cs="方正仿宋_GB2312"/>
          <w:color w:val="auto"/>
          <w:sz w:val="21"/>
          <w:szCs w:val="21"/>
          <w:highlight w:val="none"/>
          <w:lang w:val="en-US" w:eastAsia="zh-CN"/>
        </w:rPr>
        <w:t>报价</w:t>
      </w:r>
      <w:r>
        <w:rPr>
          <w:rFonts w:hint="eastAsia" w:ascii="方正仿宋_GB2312" w:hAnsi="方正仿宋_GB2312" w:eastAsia="方正仿宋_GB2312" w:cs="方正仿宋_GB2312"/>
          <w:color w:val="auto"/>
          <w:sz w:val="21"/>
          <w:szCs w:val="21"/>
          <w:highlight w:val="none"/>
        </w:rPr>
        <w:t>最低的优先，如果都相等时，由招标人或者经招标人授权评标委员会自行确定。</w:t>
      </w:r>
    </w:p>
    <w:p w14:paraId="68F6151D">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2"/>
        <w:rPr>
          <w:rFonts w:hint="eastAsia" w:ascii="方正仿宋_GB2312" w:hAnsi="方正仿宋_GB2312" w:eastAsia="方正仿宋_GB2312" w:cs="方正仿宋_GB2312"/>
          <w:b/>
          <w:bCs/>
          <w:color w:val="auto"/>
          <w:sz w:val="21"/>
          <w:szCs w:val="21"/>
          <w:highlight w:val="none"/>
        </w:rPr>
      </w:pPr>
      <w:bookmarkStart w:id="491" w:name="_Toc10849"/>
      <w:r>
        <w:rPr>
          <w:rFonts w:hint="eastAsia" w:ascii="方正仿宋_GB2312" w:hAnsi="方正仿宋_GB2312" w:eastAsia="方正仿宋_GB2312" w:cs="方正仿宋_GB2312"/>
          <w:b/>
          <w:bCs/>
          <w:color w:val="auto"/>
          <w:sz w:val="21"/>
          <w:szCs w:val="21"/>
          <w:highlight w:val="none"/>
        </w:rPr>
        <w:t>2. 评审标准</w:t>
      </w:r>
      <w:bookmarkEnd w:id="484"/>
      <w:bookmarkEnd w:id="485"/>
      <w:bookmarkEnd w:id="486"/>
      <w:bookmarkEnd w:id="487"/>
      <w:bookmarkEnd w:id="488"/>
      <w:bookmarkEnd w:id="489"/>
      <w:bookmarkEnd w:id="490"/>
      <w:bookmarkEnd w:id="491"/>
    </w:p>
    <w:p w14:paraId="4EFBFE90">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492" w:name="_Toc152042379"/>
      <w:bookmarkStart w:id="493" w:name="_Toc152045602"/>
      <w:bookmarkStart w:id="494" w:name="_Toc300835012"/>
      <w:bookmarkStart w:id="495" w:name="_Toc144974569"/>
      <w:bookmarkStart w:id="496" w:name="_Toc247527627"/>
      <w:bookmarkStart w:id="497" w:name="_Toc21449"/>
      <w:bookmarkStart w:id="498" w:name="_Toc247514026"/>
      <w:r>
        <w:rPr>
          <w:rFonts w:hint="eastAsia" w:ascii="方正仿宋_GB2312" w:hAnsi="方正仿宋_GB2312" w:eastAsia="方正仿宋_GB2312" w:cs="方正仿宋_GB2312"/>
          <w:color w:val="auto"/>
          <w:sz w:val="21"/>
          <w:szCs w:val="21"/>
          <w:highlight w:val="none"/>
        </w:rPr>
        <w:t>2.1 初步评审标准</w:t>
      </w:r>
      <w:bookmarkEnd w:id="492"/>
      <w:bookmarkEnd w:id="493"/>
      <w:bookmarkEnd w:id="494"/>
      <w:bookmarkEnd w:id="495"/>
      <w:bookmarkEnd w:id="496"/>
      <w:bookmarkEnd w:id="497"/>
      <w:bookmarkEnd w:id="498"/>
    </w:p>
    <w:p w14:paraId="642603CF">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2.1.1 形式评审标准：见评标办法前附表。</w:t>
      </w:r>
    </w:p>
    <w:p w14:paraId="54199F8E">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2.1.2 资格评审标准：见评标办法前附表。</w:t>
      </w:r>
    </w:p>
    <w:p w14:paraId="2292C933">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2.1.3 响应性评审标准：见评标办法前附表。</w:t>
      </w:r>
    </w:p>
    <w:p w14:paraId="087B0F86">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499" w:name="_Toc300835013"/>
      <w:bookmarkStart w:id="500" w:name="_Toc8138"/>
      <w:bookmarkStart w:id="501" w:name="_Toc144974570"/>
      <w:bookmarkStart w:id="502" w:name="_Toc247514027"/>
      <w:bookmarkStart w:id="503" w:name="_Toc247527628"/>
      <w:bookmarkStart w:id="504" w:name="_Toc152042380"/>
      <w:bookmarkStart w:id="505" w:name="_Toc152045603"/>
      <w:r>
        <w:rPr>
          <w:rFonts w:hint="eastAsia" w:ascii="方正仿宋_GB2312" w:hAnsi="方正仿宋_GB2312" w:eastAsia="方正仿宋_GB2312" w:cs="方正仿宋_GB2312"/>
          <w:color w:val="auto"/>
          <w:sz w:val="21"/>
          <w:szCs w:val="21"/>
          <w:highlight w:val="none"/>
        </w:rPr>
        <w:t>2.2 分值构成与评分标准</w:t>
      </w:r>
      <w:bookmarkEnd w:id="499"/>
      <w:bookmarkEnd w:id="500"/>
      <w:bookmarkEnd w:id="501"/>
      <w:bookmarkEnd w:id="502"/>
      <w:bookmarkEnd w:id="503"/>
      <w:bookmarkEnd w:id="504"/>
      <w:bookmarkEnd w:id="505"/>
    </w:p>
    <w:p w14:paraId="784FB86B">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2.2.1 分值构成</w:t>
      </w:r>
    </w:p>
    <w:p w14:paraId="530A6CD6">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（1）技术部分评审标准：见评标办法前附表。</w:t>
      </w:r>
    </w:p>
    <w:p w14:paraId="21585B37">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（2）商务部分评审标准：见评标办法前附表；</w:t>
      </w:r>
    </w:p>
    <w:p w14:paraId="261EFE6A">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2.2.2 技术部分评审标准</w:t>
      </w:r>
    </w:p>
    <w:p w14:paraId="02641FC5">
      <w:pPr>
        <w:keepNext w:val="0"/>
        <w:keepLines w:val="0"/>
        <w:pageBreakBefore w:val="0"/>
        <w:widowControl w:val="0"/>
        <w:tabs>
          <w:tab w:val="left" w:pos="341"/>
        </w:tabs>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（1）总承包方案评分标准：见评标办法前附表；</w:t>
      </w:r>
    </w:p>
    <w:p w14:paraId="111069FC">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en-US" w:eastAsia="zh-CN"/>
        </w:rPr>
        <w:t>2</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en-US"/>
        </w:rPr>
        <w:t>设计工作方案</w:t>
      </w:r>
      <w:r>
        <w:rPr>
          <w:rFonts w:hint="eastAsia" w:ascii="方正仿宋_GB2312" w:hAnsi="方正仿宋_GB2312" w:eastAsia="方正仿宋_GB2312" w:cs="方正仿宋_GB2312"/>
          <w:color w:val="auto"/>
          <w:sz w:val="21"/>
          <w:szCs w:val="21"/>
          <w:highlight w:val="none"/>
        </w:rPr>
        <w:t>评分标准：见评标办法前附表；</w:t>
      </w:r>
    </w:p>
    <w:p w14:paraId="0D436969">
      <w:pPr>
        <w:pStyle w:val="7"/>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3</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rPr>
        <w:t>施工方案</w:t>
      </w:r>
      <w:r>
        <w:rPr>
          <w:rFonts w:hint="eastAsia" w:ascii="方正仿宋_GB2312" w:hAnsi="方正仿宋_GB2312" w:eastAsia="方正仿宋_GB2312" w:cs="方正仿宋_GB2312"/>
          <w:color w:val="auto"/>
          <w:sz w:val="21"/>
          <w:szCs w:val="21"/>
          <w:highlight w:val="none"/>
        </w:rPr>
        <w:t>评分标准：见评标办法前附表；</w:t>
      </w:r>
    </w:p>
    <w:p w14:paraId="610AE464">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（4）安全文明施工承诺及保证措施</w:t>
      </w:r>
      <w:r>
        <w:rPr>
          <w:rFonts w:hint="eastAsia" w:ascii="方正仿宋_GB2312" w:hAnsi="方正仿宋_GB2312" w:eastAsia="方正仿宋_GB2312" w:cs="方正仿宋_GB2312"/>
          <w:color w:val="auto"/>
          <w:sz w:val="21"/>
          <w:szCs w:val="21"/>
          <w:highlight w:val="none"/>
        </w:rPr>
        <w:t>评分标准：见评标办法前附表；</w:t>
      </w:r>
    </w:p>
    <w:p w14:paraId="1C8BFF15">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（5）工期保证体系及保证措施</w:t>
      </w:r>
      <w:r>
        <w:rPr>
          <w:rFonts w:hint="eastAsia" w:ascii="方正仿宋_GB2312" w:hAnsi="方正仿宋_GB2312" w:eastAsia="方正仿宋_GB2312" w:cs="方正仿宋_GB2312"/>
          <w:color w:val="auto"/>
          <w:sz w:val="21"/>
          <w:szCs w:val="21"/>
          <w:highlight w:val="none"/>
        </w:rPr>
        <w:t>评分标准：见评标办法前附表；</w:t>
      </w:r>
    </w:p>
    <w:p w14:paraId="00199B0E">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（6）项目风险预测与防范，事故应急预案</w:t>
      </w:r>
      <w:r>
        <w:rPr>
          <w:rFonts w:hint="eastAsia" w:ascii="方正仿宋_GB2312" w:hAnsi="方正仿宋_GB2312" w:eastAsia="方正仿宋_GB2312" w:cs="方正仿宋_GB2312"/>
          <w:color w:val="auto"/>
          <w:sz w:val="21"/>
          <w:szCs w:val="21"/>
          <w:highlight w:val="none"/>
        </w:rPr>
        <w:t>评分标准：见评标办法前附表；</w:t>
      </w:r>
    </w:p>
    <w:p w14:paraId="3E7C38D6">
      <w:pPr>
        <w:pStyle w:val="7"/>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bookmarkStart w:id="506" w:name="_Toc152045604"/>
      <w:bookmarkStart w:id="507" w:name="_Toc14844"/>
      <w:bookmarkStart w:id="508" w:name="_Toc247514028"/>
      <w:bookmarkStart w:id="509" w:name="_Toc144974571"/>
      <w:bookmarkStart w:id="510" w:name="_Toc300835014"/>
      <w:bookmarkStart w:id="511" w:name="_Toc247527629"/>
      <w:bookmarkStart w:id="512" w:name="_Toc152042381"/>
      <w:r>
        <w:rPr>
          <w:rFonts w:hint="eastAsia" w:ascii="方正仿宋_GB2312" w:hAnsi="方正仿宋_GB2312" w:eastAsia="方正仿宋_GB2312" w:cs="方正仿宋_GB2312"/>
          <w:color w:val="auto"/>
          <w:sz w:val="21"/>
          <w:szCs w:val="21"/>
          <w:highlight w:val="none"/>
        </w:rPr>
        <w:t xml:space="preserve">2.2.3 </w:t>
      </w:r>
      <w:r>
        <w:rPr>
          <w:rFonts w:hint="eastAsia" w:ascii="方正仿宋_GB2312" w:hAnsi="方正仿宋_GB2312" w:eastAsia="方正仿宋_GB2312" w:cs="方正仿宋_GB2312"/>
          <w:color w:val="auto"/>
          <w:sz w:val="21"/>
          <w:szCs w:val="21"/>
          <w:highlight w:val="none"/>
          <w:lang w:eastAsia="zh-CN"/>
        </w:rPr>
        <w:t>商务</w:t>
      </w:r>
      <w:r>
        <w:rPr>
          <w:rFonts w:hint="eastAsia" w:ascii="方正仿宋_GB2312" w:hAnsi="方正仿宋_GB2312" w:eastAsia="方正仿宋_GB2312" w:cs="方正仿宋_GB2312"/>
          <w:color w:val="auto"/>
          <w:sz w:val="21"/>
          <w:szCs w:val="21"/>
          <w:highlight w:val="none"/>
        </w:rPr>
        <w:t>部分评审标准</w:t>
      </w:r>
    </w:p>
    <w:p w14:paraId="0BABD3A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en-US" w:eastAsia="zh-CN"/>
        </w:rPr>
        <w:t>1</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lang w:val="en-US" w:eastAsia="zh-CN" w:bidi="ar-SA"/>
        </w:rPr>
        <w:t>设计费投标报价评分标准：见评标办法前附表；</w:t>
      </w:r>
    </w:p>
    <w:p w14:paraId="2367C0B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（2）工程施工费下浮率投标报价评分标准：见评标办法前附表；</w:t>
      </w:r>
    </w:p>
    <w:p w14:paraId="26AB3920">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2"/>
        <w:rPr>
          <w:rFonts w:hint="eastAsia" w:ascii="方正仿宋_GB2312" w:hAnsi="方正仿宋_GB2312" w:eastAsia="方正仿宋_GB2312" w:cs="方正仿宋_GB2312"/>
          <w:b/>
          <w:bCs/>
          <w:color w:val="auto"/>
          <w:sz w:val="21"/>
          <w:szCs w:val="21"/>
          <w:highlight w:val="none"/>
        </w:rPr>
      </w:pPr>
      <w:bookmarkStart w:id="513" w:name="_Toc14958"/>
      <w:r>
        <w:rPr>
          <w:rFonts w:hint="eastAsia" w:ascii="方正仿宋_GB2312" w:hAnsi="方正仿宋_GB2312" w:eastAsia="方正仿宋_GB2312" w:cs="方正仿宋_GB2312"/>
          <w:b/>
          <w:bCs/>
          <w:color w:val="auto"/>
          <w:sz w:val="21"/>
          <w:szCs w:val="21"/>
          <w:highlight w:val="none"/>
        </w:rPr>
        <w:t>3. 评标程序</w:t>
      </w:r>
      <w:bookmarkEnd w:id="506"/>
      <w:bookmarkEnd w:id="507"/>
      <w:bookmarkEnd w:id="508"/>
      <w:bookmarkEnd w:id="509"/>
      <w:bookmarkEnd w:id="510"/>
      <w:bookmarkEnd w:id="511"/>
      <w:bookmarkEnd w:id="512"/>
      <w:bookmarkEnd w:id="513"/>
    </w:p>
    <w:p w14:paraId="4ED82F71">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514" w:name="_Toc300835015"/>
      <w:bookmarkStart w:id="515" w:name="_Toc152045605"/>
      <w:bookmarkStart w:id="516" w:name="_Toc11255"/>
      <w:bookmarkStart w:id="517" w:name="_Toc144974572"/>
      <w:bookmarkStart w:id="518" w:name="_Toc247514029"/>
      <w:bookmarkStart w:id="519" w:name="_Toc152042382"/>
      <w:bookmarkStart w:id="520" w:name="_Toc247527630"/>
      <w:r>
        <w:rPr>
          <w:rFonts w:hint="eastAsia" w:ascii="方正仿宋_GB2312" w:hAnsi="方正仿宋_GB2312" w:eastAsia="方正仿宋_GB2312" w:cs="方正仿宋_GB2312"/>
          <w:color w:val="auto"/>
          <w:sz w:val="21"/>
          <w:szCs w:val="21"/>
          <w:highlight w:val="none"/>
        </w:rPr>
        <w:t>3.1 初步评审</w:t>
      </w:r>
      <w:bookmarkEnd w:id="514"/>
      <w:bookmarkEnd w:id="515"/>
      <w:bookmarkEnd w:id="516"/>
      <w:bookmarkEnd w:id="517"/>
      <w:bookmarkEnd w:id="518"/>
      <w:bookmarkEnd w:id="519"/>
      <w:bookmarkEnd w:id="520"/>
    </w:p>
    <w:p w14:paraId="350791AA">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3.1.1 评标委员会依据本章第2.1款规定的标准对投标文件进行初步评审。有一项不符合评审标准的，评标委员会应当否决其投标。（适用于未进行资格预审的）</w:t>
      </w:r>
    </w:p>
    <w:p w14:paraId="3F64447A">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3.1.1 评标委员会依据本章第2.1.1项至第2.1.3项规定的评审标准对投标文件进行初步评审。有一项不符合评审标准的，评标委员会应当否决其投标。当投标人资格预审申请文件的内容发生重大变化时，评标委员会依据本章第2.1.2项规定的标准对其更新资料进行评审。（适用于已进行资格预审的）</w:t>
      </w:r>
    </w:p>
    <w:p w14:paraId="27374334">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3.1.2 投标人有以下情形之一的，评标委员会应当否决其投标：</w:t>
      </w:r>
    </w:p>
    <w:p w14:paraId="031F4B5F">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（1）第二章“投标人须知”第1.4.2项、第1.4.3项规定的任何一种情形的；</w:t>
      </w:r>
    </w:p>
    <w:p w14:paraId="69C98553">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（2）串通投标或弄虚作假或有其他违法行为的；</w:t>
      </w:r>
    </w:p>
    <w:p w14:paraId="272237EF">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（3）不按评标委员会要求澄清、说明或补正的。</w:t>
      </w:r>
    </w:p>
    <w:p w14:paraId="69B55779">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3.1.3 投标报价有算术错误的，评标委员会按以下原则对投标报价进行修正，修正的价格经投标人书面确认后具有约束力。投标人不接受修正价格的，评标委员会应当否决其投标。</w:t>
      </w:r>
    </w:p>
    <w:p w14:paraId="4D8F84FC">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bookmarkStart w:id="521" w:name="_Toc152042383"/>
      <w:r>
        <w:rPr>
          <w:rFonts w:hint="eastAsia" w:ascii="方正仿宋_GB2312" w:hAnsi="方正仿宋_GB2312" w:eastAsia="方正仿宋_GB2312" w:cs="方正仿宋_GB2312"/>
          <w:color w:val="auto"/>
          <w:sz w:val="21"/>
          <w:szCs w:val="21"/>
          <w:highlight w:val="none"/>
        </w:rPr>
        <w:t>（1）投标文件中的大写金额与小写金额不一致的，以大写金额为准；</w:t>
      </w:r>
      <w:bookmarkEnd w:id="521"/>
    </w:p>
    <w:p w14:paraId="1FCF5B06">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（2）总价金额与依据单价计算出的结果不一致的，以单价金额为准修正总价，但单价金额小数点有明显错误的除外。</w:t>
      </w:r>
    </w:p>
    <w:p w14:paraId="7F8AE8F5">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522" w:name="_Toc247527631"/>
      <w:bookmarkStart w:id="523" w:name="_Toc247514030"/>
      <w:bookmarkStart w:id="524" w:name="_Toc152045606"/>
      <w:bookmarkStart w:id="525" w:name="_Toc8899"/>
      <w:bookmarkStart w:id="526" w:name="_Toc152042384"/>
      <w:bookmarkStart w:id="527" w:name="_Toc300835016"/>
      <w:bookmarkStart w:id="528" w:name="_Toc144974573"/>
      <w:r>
        <w:rPr>
          <w:rFonts w:hint="eastAsia" w:ascii="方正仿宋_GB2312" w:hAnsi="方正仿宋_GB2312" w:eastAsia="方正仿宋_GB2312" w:cs="方正仿宋_GB2312"/>
          <w:color w:val="auto"/>
          <w:sz w:val="21"/>
          <w:szCs w:val="21"/>
          <w:highlight w:val="none"/>
        </w:rPr>
        <w:t>3.2 详细评审</w:t>
      </w:r>
      <w:bookmarkEnd w:id="522"/>
      <w:bookmarkEnd w:id="523"/>
      <w:bookmarkEnd w:id="524"/>
      <w:bookmarkEnd w:id="525"/>
      <w:bookmarkEnd w:id="526"/>
      <w:bookmarkEnd w:id="527"/>
      <w:bookmarkEnd w:id="528"/>
    </w:p>
    <w:p w14:paraId="4BF60DF1">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3.2.1 评标委员会按本章第2.2款规定的量化因素和分值进行打分，并计算出综合评估得分。评标办法前附表对承包人建议书中的设计文件评审有特殊规定的，从其规定。</w:t>
      </w:r>
    </w:p>
    <w:p w14:paraId="1D01111B">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（1）按本章第2.2.2技术部分中规定的评审因素和分值对承包人总承包方案</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rPr>
        <w:t>设计</w:t>
      </w:r>
      <w:r>
        <w:rPr>
          <w:rFonts w:hint="eastAsia" w:ascii="方正仿宋_GB2312" w:hAnsi="方正仿宋_GB2312" w:eastAsia="方正仿宋_GB2312" w:cs="方正仿宋_GB2312"/>
          <w:color w:val="auto"/>
          <w:sz w:val="21"/>
          <w:szCs w:val="21"/>
          <w:highlight w:val="none"/>
          <w:lang w:val="en-US" w:eastAsia="zh-CN"/>
        </w:rPr>
        <w:t>方案</w:t>
      </w:r>
      <w:r>
        <w:rPr>
          <w:rFonts w:hint="eastAsia" w:ascii="方正仿宋_GB2312" w:hAnsi="方正仿宋_GB2312" w:eastAsia="方正仿宋_GB2312" w:cs="方正仿宋_GB2312"/>
          <w:color w:val="auto"/>
          <w:sz w:val="21"/>
          <w:szCs w:val="21"/>
          <w:highlight w:val="none"/>
        </w:rPr>
        <w:t>、施工方案等计算出得分A；</w:t>
      </w:r>
    </w:p>
    <w:p w14:paraId="47CBAF58">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（2）按本章第2.2.</w:t>
      </w:r>
      <w:r>
        <w:rPr>
          <w:rFonts w:hint="eastAsia" w:ascii="方正仿宋_GB2312" w:hAnsi="方正仿宋_GB2312" w:eastAsia="方正仿宋_GB2312" w:cs="方正仿宋_GB2312"/>
          <w:color w:val="auto"/>
          <w:sz w:val="21"/>
          <w:szCs w:val="21"/>
          <w:highlight w:val="none"/>
          <w:lang w:val="en-US" w:eastAsia="zh-CN"/>
        </w:rPr>
        <w:t>3</w:t>
      </w:r>
      <w:r>
        <w:rPr>
          <w:rFonts w:hint="eastAsia" w:ascii="方正仿宋_GB2312" w:hAnsi="方正仿宋_GB2312" w:eastAsia="方正仿宋_GB2312" w:cs="方正仿宋_GB2312"/>
          <w:color w:val="auto"/>
          <w:sz w:val="21"/>
          <w:szCs w:val="21"/>
          <w:highlight w:val="none"/>
        </w:rPr>
        <w:t>商务部分中规定的评审因素和分值对投标报价计算出得分B；</w:t>
      </w:r>
    </w:p>
    <w:p w14:paraId="316C028A">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3.2.2评分分值计算保留小数点后两位，小数点后第三位“四舍五入”。</w:t>
      </w:r>
    </w:p>
    <w:p w14:paraId="25D0D169">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3.2.3投标人得分=A+B-扣分。</w:t>
      </w:r>
    </w:p>
    <w:p w14:paraId="5B6FCC85">
      <w:pPr>
        <w:keepNext w:val="0"/>
        <w:keepLines w:val="0"/>
        <w:pageBreakBefore w:val="0"/>
        <w:widowControl w:val="0"/>
        <w:kinsoku/>
        <w:wordWrap/>
        <w:overflowPunct/>
        <w:topLinePunct w:val="0"/>
        <w:autoSpaceDE/>
        <w:autoSpaceDN/>
        <w:bidi w:val="0"/>
        <w:adjustRightInd/>
        <w:snapToGrid w:val="0"/>
        <w:spacing w:after="0" w:line="360" w:lineRule="auto"/>
        <w:ind w:firstLine="396" w:firstLineChars="200"/>
        <w:textAlignment w:val="auto"/>
        <w:outlineLvl w:val="9"/>
        <w:rPr>
          <w:rFonts w:hint="eastAsia" w:ascii="方正仿宋_GB2312" w:hAnsi="方正仿宋_GB2312" w:eastAsia="方正仿宋_GB2312" w:cs="方正仿宋_GB2312"/>
          <w:color w:val="auto"/>
          <w:spacing w:val="-6"/>
          <w:sz w:val="21"/>
          <w:szCs w:val="21"/>
          <w:highlight w:val="none"/>
        </w:rPr>
      </w:pPr>
      <w:r>
        <w:rPr>
          <w:rFonts w:hint="eastAsia" w:ascii="方正仿宋_GB2312" w:hAnsi="方正仿宋_GB2312" w:eastAsia="方正仿宋_GB2312" w:cs="方正仿宋_GB2312"/>
          <w:color w:val="auto"/>
          <w:spacing w:val="-6"/>
          <w:sz w:val="21"/>
          <w:szCs w:val="21"/>
          <w:highlight w:val="none"/>
        </w:rPr>
        <w:t>3.2.4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2748D1CF">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529" w:name="_Toc144974575"/>
      <w:bookmarkStart w:id="530" w:name="_Toc27864"/>
      <w:bookmarkStart w:id="531" w:name="_Toc247514031"/>
      <w:bookmarkStart w:id="532" w:name="_Toc300835017"/>
      <w:bookmarkStart w:id="533" w:name="_Toc152045607"/>
      <w:bookmarkStart w:id="534" w:name="_Toc247527632"/>
      <w:bookmarkStart w:id="535" w:name="_Toc152042385"/>
      <w:r>
        <w:rPr>
          <w:rFonts w:hint="eastAsia" w:ascii="方正仿宋_GB2312" w:hAnsi="方正仿宋_GB2312" w:eastAsia="方正仿宋_GB2312" w:cs="方正仿宋_GB2312"/>
          <w:color w:val="auto"/>
          <w:sz w:val="21"/>
          <w:szCs w:val="21"/>
          <w:highlight w:val="none"/>
        </w:rPr>
        <w:t>3.3 投标文件的澄清</w:t>
      </w:r>
      <w:bookmarkEnd w:id="529"/>
      <w:r>
        <w:rPr>
          <w:rFonts w:hint="eastAsia" w:ascii="方正仿宋_GB2312" w:hAnsi="方正仿宋_GB2312" w:eastAsia="方正仿宋_GB2312" w:cs="方正仿宋_GB2312"/>
          <w:color w:val="auto"/>
          <w:sz w:val="21"/>
          <w:szCs w:val="21"/>
          <w:highlight w:val="none"/>
        </w:rPr>
        <w:t>和补正</w:t>
      </w:r>
      <w:bookmarkEnd w:id="530"/>
      <w:bookmarkEnd w:id="531"/>
      <w:bookmarkEnd w:id="532"/>
      <w:bookmarkEnd w:id="533"/>
      <w:bookmarkEnd w:id="534"/>
      <w:bookmarkEnd w:id="535"/>
    </w:p>
    <w:p w14:paraId="1B3E859E">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3.3.1 在评标过程中，评标委员会可以书面形式要求投标人对所提交投标文件中不明确的内容进行书面澄清或说明，或者对细微偏差进行补正。评标委员会不接受投标人主动提出的澄清、说明或补正。</w:t>
      </w:r>
    </w:p>
    <w:p w14:paraId="222306A0">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3.3.2 澄清、说明和补正不得改变投标文件的实质性内容。投标人的书面澄清、说明和补正属于投标文件的组成部分。</w:t>
      </w:r>
    </w:p>
    <w:p w14:paraId="73689715">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3.3.3 评标委员会对投标人提交的澄清、说明或补正有疑问的，可以要求投标人进一步澄清、说明或补正，直至满足评标委员会的要求。</w:t>
      </w:r>
    </w:p>
    <w:p w14:paraId="5C558BB1">
      <w:pPr>
        <w:keepNext w:val="0"/>
        <w:keepLines w:val="0"/>
        <w:pageBreakBefore w:val="0"/>
        <w:widowControl w:val="0"/>
        <w:kinsoku/>
        <w:wordWrap/>
        <w:overflowPunct/>
        <w:topLinePunct w:val="0"/>
        <w:autoSpaceDE/>
        <w:autoSpaceDN/>
        <w:bidi w:val="0"/>
        <w:adjustRightInd/>
        <w:snapToGrid w:val="0"/>
        <w:spacing w:after="0" w:line="360" w:lineRule="auto"/>
        <w:textAlignment w:val="auto"/>
        <w:outlineLvl w:val="9"/>
        <w:rPr>
          <w:rFonts w:hint="eastAsia" w:ascii="方正仿宋_GB2312" w:hAnsi="方正仿宋_GB2312" w:eastAsia="方正仿宋_GB2312" w:cs="方正仿宋_GB2312"/>
          <w:color w:val="auto"/>
          <w:sz w:val="21"/>
          <w:szCs w:val="21"/>
          <w:highlight w:val="none"/>
        </w:rPr>
      </w:pPr>
      <w:bookmarkStart w:id="536" w:name="_Toc152045608"/>
      <w:bookmarkStart w:id="537" w:name="_Toc152042386"/>
      <w:bookmarkStart w:id="538" w:name="_Toc247527633"/>
      <w:bookmarkStart w:id="539" w:name="_Toc1312"/>
      <w:bookmarkStart w:id="540" w:name="_Toc300835018"/>
      <w:bookmarkStart w:id="541" w:name="_Toc144974576"/>
      <w:bookmarkStart w:id="542" w:name="_Toc247514032"/>
      <w:r>
        <w:rPr>
          <w:rFonts w:hint="eastAsia" w:ascii="方正仿宋_GB2312" w:hAnsi="方正仿宋_GB2312" w:eastAsia="方正仿宋_GB2312" w:cs="方正仿宋_GB2312"/>
          <w:color w:val="auto"/>
          <w:sz w:val="21"/>
          <w:szCs w:val="21"/>
          <w:highlight w:val="none"/>
        </w:rPr>
        <w:t>3.4 评标结果</w:t>
      </w:r>
      <w:bookmarkEnd w:id="536"/>
      <w:bookmarkEnd w:id="537"/>
      <w:bookmarkEnd w:id="538"/>
      <w:bookmarkEnd w:id="539"/>
      <w:bookmarkEnd w:id="540"/>
      <w:bookmarkEnd w:id="541"/>
      <w:bookmarkEnd w:id="542"/>
    </w:p>
    <w:p w14:paraId="0C067941">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3.4.1 除第二章“投标人须知”前附表授权直接确定中标人外，评标委员会按照得分由高到低的顺序推荐中标候选人。</w:t>
      </w:r>
    </w:p>
    <w:p w14:paraId="2B46F36B">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outlineLvl w:val="9"/>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color w:val="auto"/>
          <w:sz w:val="21"/>
          <w:szCs w:val="21"/>
          <w:highlight w:val="none"/>
        </w:rPr>
        <w:t>3.4.2 评标委员会完成评标后，应当向招标人提交书面评标报告。</w:t>
      </w:r>
    </w:p>
    <w:p w14:paraId="521C8F0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br w:type="page"/>
      </w:r>
    </w:p>
    <w:p w14:paraId="08ABD938">
      <w:pPr>
        <w:pStyle w:val="3"/>
        <w:pageBreakBefore w:val="0"/>
        <w:widowControl w:val="0"/>
        <w:kinsoku/>
        <w:wordWrap/>
        <w:overflowPunct/>
        <w:topLinePunct w:val="0"/>
        <w:autoSpaceDE/>
        <w:autoSpaceDN/>
        <w:bidi w:val="0"/>
        <w:snapToGrid w:val="0"/>
        <w:spacing w:after="0" w:line="360" w:lineRule="auto"/>
        <w:textAlignment w:val="auto"/>
        <w:rPr>
          <w:rFonts w:hint="eastAsia" w:ascii="方正仿宋_GB2312" w:hAnsi="方正仿宋_GB2312" w:eastAsia="方正仿宋_GB2312" w:cs="方正仿宋_GB2312"/>
          <w:color w:val="auto"/>
          <w:kern w:val="0"/>
          <w:sz w:val="21"/>
          <w:szCs w:val="21"/>
          <w:highlight w:val="none"/>
        </w:rPr>
      </w:pPr>
      <w:bookmarkStart w:id="543" w:name="_Toc375560076"/>
      <w:bookmarkStart w:id="544" w:name="_Toc152045609"/>
      <w:bookmarkStart w:id="545" w:name="_Toc144974577"/>
      <w:bookmarkStart w:id="546" w:name="_Toc152042387"/>
      <w:bookmarkStart w:id="547" w:name="_Toc247527634"/>
      <w:bookmarkStart w:id="548" w:name="_Toc247514033"/>
      <w:r>
        <w:rPr>
          <w:rFonts w:hint="eastAsia" w:ascii="方正仿宋_GB2312" w:hAnsi="方正仿宋_GB2312" w:eastAsia="方正仿宋_GB2312" w:cs="方正仿宋_GB2312"/>
          <w:color w:val="auto"/>
          <w:kern w:val="0"/>
          <w:sz w:val="21"/>
          <w:szCs w:val="21"/>
          <w:highlight w:val="none"/>
        </w:rPr>
        <w:t>附件A：评标详细程序</w:t>
      </w:r>
    </w:p>
    <w:p w14:paraId="7A5F064A">
      <w:pPr>
        <w:pageBreakBefore w:val="0"/>
        <w:widowControl w:val="0"/>
        <w:kinsoku/>
        <w:wordWrap/>
        <w:overflowPunct/>
        <w:topLinePunct w:val="0"/>
        <w:autoSpaceDE/>
        <w:autoSpaceDN/>
        <w:bidi w:val="0"/>
        <w:adjustRightInd w:val="0"/>
        <w:snapToGrid w:val="0"/>
        <w:spacing w:after="0" w:line="360" w:lineRule="auto"/>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A0.总则</w:t>
      </w:r>
    </w:p>
    <w:p w14:paraId="5FC28E9B">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本附件是本章“评标办法”的组成部分，评标委员会应当按照本附件所规定的详细程序开展并完成评标工作。</w:t>
      </w:r>
    </w:p>
    <w:p w14:paraId="46CFF88D">
      <w:pPr>
        <w:pageBreakBefore w:val="0"/>
        <w:widowControl w:val="0"/>
        <w:kinsoku/>
        <w:wordWrap/>
        <w:overflowPunct/>
        <w:topLinePunct w:val="0"/>
        <w:autoSpaceDE/>
        <w:autoSpaceDN/>
        <w:bidi w:val="0"/>
        <w:adjustRightInd w:val="0"/>
        <w:snapToGrid w:val="0"/>
        <w:spacing w:after="0" w:line="360" w:lineRule="auto"/>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A1.基本程序</w:t>
      </w:r>
    </w:p>
    <w:p w14:paraId="02E3EB8B">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评标活动将按以下五个步骤进行：</w:t>
      </w:r>
    </w:p>
    <w:p w14:paraId="1310B1E5">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1</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评标准备；</w:t>
      </w:r>
    </w:p>
    <w:p w14:paraId="706A2506">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2</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初步评审；</w:t>
      </w:r>
    </w:p>
    <w:p w14:paraId="1B1FAD57">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3</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详细评审；</w:t>
      </w:r>
    </w:p>
    <w:p w14:paraId="2F74E1F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4</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澄清、说明或补正；</w:t>
      </w:r>
    </w:p>
    <w:p w14:paraId="728A86B4">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5</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推荐中标候选人或者直接确定中标人及提交评标报告。</w:t>
      </w:r>
    </w:p>
    <w:p w14:paraId="1E006CF8">
      <w:pPr>
        <w:pageBreakBefore w:val="0"/>
        <w:widowControl w:val="0"/>
        <w:kinsoku/>
        <w:wordWrap/>
        <w:overflowPunct/>
        <w:topLinePunct w:val="0"/>
        <w:autoSpaceDE/>
        <w:autoSpaceDN/>
        <w:bidi w:val="0"/>
        <w:adjustRightInd w:val="0"/>
        <w:snapToGrid w:val="0"/>
        <w:spacing w:after="0" w:line="360" w:lineRule="auto"/>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A2.评标准备</w:t>
      </w:r>
    </w:p>
    <w:p w14:paraId="6D872BF0">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A2.1评标委员会成员签到</w:t>
      </w:r>
    </w:p>
    <w:p w14:paraId="1CAC9498">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评标委员会成员到达评标现场签到并组建评标委员会。</w:t>
      </w:r>
    </w:p>
    <w:p w14:paraId="6E5AF279">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A2.2评标委员会的分工</w:t>
      </w:r>
    </w:p>
    <w:p w14:paraId="4C23329C">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评标委员会成员推选一名评标委员会主任，负责评标活动的组织领导工作。评标委员会主任在与其他评标委员会成员协商的基础上，可以将评标委员会划分为技术组和商务组。</w:t>
      </w:r>
    </w:p>
    <w:p w14:paraId="45A4F0E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A2.3熟悉文件资料</w:t>
      </w:r>
    </w:p>
    <w:p w14:paraId="7262940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2.3.1评标委员会主任应组织评标委员会成员认真研究招标文件，了解和熟悉招标目的、招标范围、主要合同条件、技术标准和要求、质量标准和工期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74960307">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2.3.2招标人或招标代理机构应向评标委员会提供评标所需的信息和数据，包括招标文件、未在开标会上当场拒绝的各投标文件、开标会记录、资格预审文件及各投标人在资格预审阶段递交的资格预审申请文件（适用于已进行资格预审的）、招标控制价（如果有）、工程所在地工程造价管理部门颁布的工程造价信息、定额（如作为计价依据时）、有关的</w:t>
      </w:r>
      <w:r>
        <w:rPr>
          <w:rFonts w:hint="eastAsia" w:ascii="方正仿宋_GB2312" w:hAnsi="方正仿宋_GB2312" w:eastAsia="方正仿宋_GB2312" w:cs="方正仿宋_GB2312"/>
          <w:color w:val="auto"/>
          <w:kern w:val="0"/>
          <w:sz w:val="21"/>
          <w:szCs w:val="21"/>
          <w:highlight w:val="none"/>
          <w:lang w:eastAsia="zh-CN"/>
        </w:rPr>
        <w:t>法律法规</w:t>
      </w:r>
      <w:r>
        <w:rPr>
          <w:rFonts w:hint="eastAsia" w:ascii="方正仿宋_GB2312" w:hAnsi="方正仿宋_GB2312" w:eastAsia="方正仿宋_GB2312" w:cs="方正仿宋_GB2312"/>
          <w:color w:val="auto"/>
          <w:kern w:val="0"/>
          <w:sz w:val="21"/>
          <w:szCs w:val="21"/>
          <w:highlight w:val="none"/>
        </w:rPr>
        <w:t>、规章、国家标准以及招标人或评标委员会认为必要的其他信息和数据。</w:t>
      </w:r>
    </w:p>
    <w:p w14:paraId="37829BCE">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A2.4对投标文件进行基础性数据分析和整理工作（清标）</w:t>
      </w:r>
    </w:p>
    <w:p w14:paraId="0A8D4B46">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在不改变投标人投标文件实质性内容的前提下，评标委员会应当对投标文件进行基础性数据分析和整理（</w:t>
      </w:r>
      <w:r>
        <w:rPr>
          <w:rFonts w:hint="eastAsia" w:ascii="方正仿宋_GB2312" w:hAnsi="方正仿宋_GB2312" w:eastAsia="方正仿宋_GB2312" w:cs="方正仿宋_GB2312"/>
          <w:color w:val="auto"/>
          <w:kern w:val="0"/>
          <w:sz w:val="21"/>
          <w:szCs w:val="21"/>
          <w:highlight w:val="none"/>
          <w:lang w:eastAsia="zh-CN"/>
        </w:rPr>
        <w:t>简称</w:t>
      </w:r>
      <w:r>
        <w:rPr>
          <w:rFonts w:hint="eastAsia" w:ascii="方正仿宋_GB2312" w:hAnsi="方正仿宋_GB2312" w:eastAsia="方正仿宋_GB2312" w:cs="方正仿宋_GB2312"/>
          <w:color w:val="auto"/>
          <w:kern w:val="0"/>
          <w:sz w:val="21"/>
          <w:szCs w:val="21"/>
          <w:highlight w:val="none"/>
        </w:rPr>
        <w:t>“清标”），从而发现并提取其中可能存在的对招标范围理解的偏差、投标报价的算术性错误、错漏项、投标报价构成不合理、不平衡报价、是否低于成本报价等存在明显异常的问题，并就这些问题整理形成清标成果。评标委员会对清标成果审议后，决定需要投标人进行书面澄清、说明或补正的问题，形成质疑问卷，向投标人发出问题澄清通知（质疑问卷）。</w:t>
      </w:r>
    </w:p>
    <w:p w14:paraId="58D0C709">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A3初步评审</w:t>
      </w:r>
    </w:p>
    <w:p w14:paraId="0687179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评标委员会依据本章第2.1.1 项；第2.1.2项；第2.1.3 项规定的评审标准对投标文件进行初步评审。评标委员会按照先进行形式评审，再进行资格审查，随后进行响应性评审，最后进行价格评审的先后顺序对投标文件进行初步评审。形式评审不通过的投标文件不进入资格审查，资格审查不通过的投标文件不进入响应性评审，响应性评审不通过的投标文件不进入价格评审，价格评审不通过的投标文件不进入详细评审。只有形式评审、资格审查、响应性评审均通过的投标人才能进入详细评审。</w:t>
      </w:r>
    </w:p>
    <w:p w14:paraId="7F58C9D5">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A3.1形式评审</w:t>
      </w:r>
    </w:p>
    <w:p w14:paraId="1375A30A">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评标委员会根据评标办法前附表中规定的评审因素和评审标准，对投标人的投标文件首先进行形式评审，形式评审不通过的投标文件不进入资格审查。</w:t>
      </w:r>
    </w:p>
    <w:p w14:paraId="1603176A">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A3.2资格审查</w:t>
      </w:r>
    </w:p>
    <w:p w14:paraId="12375C1F">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评标委员会根据评标办法前附表中规定的评审因素和评审标准，对投标人的投标文件首先进行资格审查，资格审查不通过的投标文件不进入响应性评审。</w:t>
      </w:r>
    </w:p>
    <w:p w14:paraId="592A3050">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A3.3响应性评审</w:t>
      </w:r>
    </w:p>
    <w:p w14:paraId="111EAA7F">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评标委员会根据评标办法前附表中规定的评审因素和评审标准，对投标人的投标文件进行响应性评审，响应性不通过的投标文件不进入价格评审。</w:t>
      </w:r>
    </w:p>
    <w:p w14:paraId="49DFACA4">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A3.4判断投标是否被否决</w:t>
      </w:r>
    </w:p>
    <w:p w14:paraId="311EC2B4">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A3.4.1 判断投标人的投标是否为否决投标的全部条件在</w:t>
      </w:r>
      <w:r>
        <w:rPr>
          <w:rFonts w:hint="eastAsia" w:ascii="方正仿宋_GB2312" w:hAnsi="方正仿宋_GB2312" w:eastAsia="方正仿宋_GB2312" w:cs="方正仿宋_GB2312"/>
          <w:b/>
          <w:bCs/>
          <w:color w:val="auto"/>
          <w:sz w:val="21"/>
          <w:szCs w:val="21"/>
          <w:highlight w:val="none"/>
        </w:rPr>
        <w:t>本章附件B</w:t>
      </w:r>
      <w:r>
        <w:rPr>
          <w:rFonts w:hint="eastAsia" w:ascii="方正仿宋_GB2312" w:hAnsi="方正仿宋_GB2312" w:eastAsia="方正仿宋_GB2312" w:cs="方正仿宋_GB2312"/>
          <w:color w:val="auto"/>
          <w:sz w:val="21"/>
          <w:szCs w:val="21"/>
          <w:highlight w:val="none"/>
        </w:rPr>
        <w:t>中集中列示。</w:t>
      </w:r>
    </w:p>
    <w:p w14:paraId="7E495C70">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A3.4.2评标委员会在评标</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包括初步评审和详细评审</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过程中，依据本章</w:t>
      </w:r>
      <w:r>
        <w:rPr>
          <w:rFonts w:hint="eastAsia" w:ascii="方正仿宋_GB2312" w:hAnsi="方正仿宋_GB2312" w:eastAsia="方正仿宋_GB2312" w:cs="方正仿宋_GB2312"/>
          <w:b/>
          <w:bCs/>
          <w:color w:val="auto"/>
          <w:sz w:val="21"/>
          <w:szCs w:val="21"/>
          <w:highlight w:val="none"/>
        </w:rPr>
        <w:t>附件B</w:t>
      </w:r>
      <w:r>
        <w:rPr>
          <w:rFonts w:hint="eastAsia" w:ascii="方正仿宋_GB2312" w:hAnsi="方正仿宋_GB2312" w:eastAsia="方正仿宋_GB2312" w:cs="方正仿宋_GB2312"/>
          <w:color w:val="auto"/>
          <w:sz w:val="21"/>
          <w:szCs w:val="21"/>
          <w:highlight w:val="none"/>
        </w:rPr>
        <w:t>中规定的否决投标条件判断投标人的投标是否被否决。</w:t>
      </w:r>
    </w:p>
    <w:p w14:paraId="2C9F6423">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A3.4.3对投标人未通过评审的原因，评标委员会应在相关的决议或在评标报告中说明。评标委员会经评审，有效投标文件不足3家使得投标明显缺乏竞争的，评标委员会可以否决全部投标。所有投标被否决后，招标人应当依法重新招标。当有效投标文件不足3家时，评标委员会认为仍能满足业主要求，并具有竞争性的，将按综合评估推荐法推荐中标候选人。</w:t>
      </w:r>
    </w:p>
    <w:p w14:paraId="62D66CFE">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A3.5算术错误修正</w:t>
      </w:r>
    </w:p>
    <w:p w14:paraId="7F3B141B">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投标报价有算术错误的，评标委员会按以下原则对投标报价进行修正，修正的价格经投标人书面确认后具有约束力。投标人不接受修正价格的，其投标作否决投标处理。</w:t>
      </w:r>
    </w:p>
    <w:p w14:paraId="48A0347B">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A3.6澄清、说明或补正</w:t>
      </w:r>
    </w:p>
    <w:p w14:paraId="44F715E9">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p>
    <w:p w14:paraId="42C3F51B">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A4.详细评审</w:t>
      </w:r>
    </w:p>
    <w:p w14:paraId="474F676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只有通过了初步评审、被判定为合格的投标人可进入详细评审，详细评审先评投标文件技术部分再评投标文件商务部分。</w:t>
      </w:r>
    </w:p>
    <w:p w14:paraId="3450E3C1">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A4.1 商务部分评审</w:t>
      </w:r>
    </w:p>
    <w:p w14:paraId="64448E02">
      <w:pPr>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商务部分评标标准见评标办法前附表</w:t>
      </w:r>
    </w:p>
    <w:p w14:paraId="38DDDE3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A4.2澄清、说明或补正</w:t>
      </w:r>
    </w:p>
    <w:p w14:paraId="34F10B19">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在详细评审过程中，评标委员会应当就投标文件中不明确的内容要求投标人进行澄清、说明或者补正。投标人对此以书面形式予以澄清、说明或者补正。澄清、说明或补正根据本章第3.3款的规定执行。</w:t>
      </w:r>
    </w:p>
    <w:p w14:paraId="79876FF2">
      <w:pPr>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t>A4.3 汇总评分结果</w:t>
      </w:r>
    </w:p>
    <w:p w14:paraId="36C06FE3">
      <w:pPr>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b/>
          <w:bCs/>
          <w:color w:val="auto"/>
          <w:sz w:val="21"/>
          <w:szCs w:val="21"/>
          <w:highlight w:val="none"/>
        </w:rPr>
        <w:t>A4.3.1</w:t>
      </w:r>
      <w:r>
        <w:rPr>
          <w:rFonts w:hint="eastAsia" w:ascii="方正仿宋_GB2312" w:hAnsi="方正仿宋_GB2312" w:eastAsia="方正仿宋_GB2312" w:cs="方正仿宋_GB2312"/>
          <w:color w:val="auto"/>
          <w:sz w:val="21"/>
          <w:szCs w:val="21"/>
          <w:highlight w:val="none"/>
        </w:rPr>
        <w:t>评标委员会成员应填写详细评审评分汇总表。</w:t>
      </w:r>
    </w:p>
    <w:p w14:paraId="08A1E4DB">
      <w:pPr>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方正仿宋_GB2312" w:hAnsi="方正仿宋_GB2312" w:eastAsia="方正仿宋_GB2312" w:cs="方正仿宋_GB2312"/>
          <w:color w:val="auto"/>
          <w:spacing w:val="12"/>
          <w:sz w:val="21"/>
          <w:szCs w:val="21"/>
          <w:highlight w:val="none"/>
        </w:rPr>
      </w:pPr>
      <w:r>
        <w:rPr>
          <w:rFonts w:hint="eastAsia" w:ascii="方正仿宋_GB2312" w:hAnsi="方正仿宋_GB2312" w:eastAsia="方正仿宋_GB2312" w:cs="方正仿宋_GB2312"/>
          <w:b/>
          <w:bCs/>
          <w:color w:val="auto"/>
          <w:sz w:val="21"/>
          <w:szCs w:val="21"/>
          <w:highlight w:val="none"/>
        </w:rPr>
        <w:t>A4.3.2</w:t>
      </w:r>
      <w:r>
        <w:rPr>
          <w:rFonts w:hint="eastAsia" w:ascii="方正仿宋_GB2312" w:hAnsi="方正仿宋_GB2312" w:eastAsia="方正仿宋_GB2312" w:cs="方正仿宋_GB2312"/>
          <w:color w:val="auto"/>
          <w:sz w:val="21"/>
          <w:szCs w:val="21"/>
          <w:highlight w:val="none"/>
        </w:rPr>
        <w:t>详细评审工作全部结束后，汇总各个评标委员会成员的详细评审评分结果，并按照详细评审最终得分由高至低的次序对投标人进行排序。</w:t>
      </w:r>
    </w:p>
    <w:p w14:paraId="198867BB">
      <w:pPr>
        <w:pageBreakBefore w:val="0"/>
        <w:widowControl w:val="0"/>
        <w:kinsoku/>
        <w:wordWrap/>
        <w:overflowPunct/>
        <w:topLinePunct w:val="0"/>
        <w:autoSpaceDE/>
        <w:autoSpaceDN/>
        <w:bidi w:val="0"/>
        <w:adjustRightInd w:val="0"/>
        <w:snapToGrid w:val="0"/>
        <w:spacing w:after="0" w:line="360" w:lineRule="auto"/>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A5.推荐中标候选人或者直接确定中标人</w:t>
      </w:r>
    </w:p>
    <w:p w14:paraId="0D474C12">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A5.1推荐中标候选人</w:t>
      </w:r>
    </w:p>
    <w:p w14:paraId="0CADE6BC">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除第二章“投标人须知”前附表第7．1款授权直接确定中标人外，评标委员会在推荐中标候选人时，应遵照以下原则：</w:t>
      </w:r>
    </w:p>
    <w:p w14:paraId="3228B01D">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1</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评标委员会按照最终得分由高至低的次序排列，并根据第二章“投标人须知”前附表第7.1款规定的中标候选人数量，将排序在前的投标人推荐为中标候选人。</w:t>
      </w:r>
    </w:p>
    <w:p w14:paraId="5E40B5AF">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2</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如果评标委员会根据本章的规定作废标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14:paraId="14958A8E">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A5.2直接确定中标人</w:t>
      </w:r>
    </w:p>
    <w:p w14:paraId="2676F85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第二章“投标人须知”前附表授权评标委员会直接确定中标人的，评标委员会按照最终得分由高至低的次序排列，并确定排名第一的投标人为中标人。</w:t>
      </w:r>
    </w:p>
    <w:p w14:paraId="63B03F3F">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A5.3编制评标报告</w:t>
      </w:r>
    </w:p>
    <w:p w14:paraId="77E46CE5">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评标委员会根据本章评标办法的规定向招标人提交评标报告。评标报告应当由全体评标委员会成员签字，并于评标结束时抄送有关行政监督部门。</w:t>
      </w:r>
    </w:p>
    <w:p w14:paraId="7E6E55AB">
      <w:pPr>
        <w:pageBreakBefore w:val="0"/>
        <w:widowControl w:val="0"/>
        <w:kinsoku/>
        <w:wordWrap/>
        <w:overflowPunct/>
        <w:topLinePunct w:val="0"/>
        <w:autoSpaceDE/>
        <w:autoSpaceDN/>
        <w:bidi w:val="0"/>
        <w:adjustRightInd w:val="0"/>
        <w:snapToGrid w:val="0"/>
        <w:spacing w:after="0" w:line="360" w:lineRule="auto"/>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A6．特殊情况的处置程序</w:t>
      </w:r>
    </w:p>
    <w:p w14:paraId="168E4289">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A6.1关于评标活动暂停</w:t>
      </w:r>
    </w:p>
    <w:p w14:paraId="160D0744">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A6.1.1评标委员会应当执行连续评标的原则，按评标办法中规定的程序、内容、方法、标准完成全部评标工作。只有发生不可抗力导致评标工作无法继续时，评标活动方可暂停。</w:t>
      </w:r>
    </w:p>
    <w:p w14:paraId="26054F06">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A6.1.2发生评标暂停情况时，评标委员会应当封存全部投标文件和评标记录，待不可抗力的影响结束且具备继续评标的条件时，由原评标委员会继续评标。</w:t>
      </w:r>
    </w:p>
    <w:p w14:paraId="5EC418FF">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A6.2关于评标中途更换评委</w:t>
      </w:r>
    </w:p>
    <w:p w14:paraId="20CFE62E">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A6.2.1除非发生下列情况之一，评标委员会成员不得在评标中途更换：</w:t>
      </w:r>
    </w:p>
    <w:p w14:paraId="53F6FF46">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1</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因不可抗拒的客观原因，不能到场或需在评标中途退出评标活动。</w:t>
      </w:r>
    </w:p>
    <w:p w14:paraId="5ACC7F81">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2</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kern w:val="0"/>
          <w:sz w:val="21"/>
          <w:szCs w:val="21"/>
          <w:highlight w:val="none"/>
        </w:rPr>
        <w:t>根据法律法规规定，某个或某几个评标委员会成员需要回避。</w:t>
      </w:r>
    </w:p>
    <w:p w14:paraId="77AA4C47">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A6.2.2退出评标的评标委员会成员，其已完成的评标行为无效。由招标人根据本招标文件规定的评标委员会成员生产方式另行确定替代者进行评标。</w:t>
      </w:r>
    </w:p>
    <w:p w14:paraId="143618DD">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A6.3记名投票</w:t>
      </w:r>
    </w:p>
    <w:p w14:paraId="54FCBB3F">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在任何评标环节中，需评标委员会就某项定性的评审结论做出表决的，由评标委员会全体成员按照少数服从多数的原则，以记名投票方式表决。</w:t>
      </w:r>
    </w:p>
    <w:p w14:paraId="651F9CF3">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A7.补充条款</w:t>
      </w:r>
    </w:p>
    <w:p w14:paraId="0FA55412">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input522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kern w:val="0"/>
          <w:sz w:val="21"/>
          <w:szCs w:val="21"/>
          <w:highlight w:val="none"/>
        </w:rPr>
        <w:t>/</w:t>
      </w:r>
      <w:r>
        <w:rPr>
          <w:rFonts w:hint="eastAsia" w:ascii="方正仿宋_GB2312" w:hAnsi="方正仿宋_GB2312" w:eastAsia="方正仿宋_GB2312" w:cs="方正仿宋_GB2312"/>
          <w:color w:val="auto"/>
          <w:kern w:val="0"/>
          <w:sz w:val="21"/>
          <w:szCs w:val="21"/>
          <w:highlight w:val="none"/>
        </w:rPr>
        <w:fldChar w:fldCharType="end"/>
      </w:r>
    </w:p>
    <w:p w14:paraId="33AA1467">
      <w:pPr>
        <w:pStyle w:val="35"/>
        <w:rPr>
          <w:rFonts w:hint="eastAsia" w:ascii="方正仿宋_GB2312" w:hAnsi="方正仿宋_GB2312" w:eastAsia="方正仿宋_GB2312" w:cs="方正仿宋_GB2312"/>
          <w:color w:val="auto"/>
          <w:kern w:val="0"/>
          <w:highlight w:val="none"/>
        </w:rPr>
      </w:pPr>
    </w:p>
    <w:p w14:paraId="1DD6CEAC">
      <w:pPr>
        <w:rPr>
          <w:rFonts w:hint="eastAsia" w:ascii="方正仿宋_GB2312" w:hAnsi="方正仿宋_GB2312" w:eastAsia="方正仿宋_GB2312" w:cs="方正仿宋_GB2312"/>
          <w:color w:val="auto"/>
          <w:kern w:val="0"/>
          <w:highlight w:val="none"/>
        </w:rPr>
      </w:pPr>
    </w:p>
    <w:p w14:paraId="02B31693">
      <w:pPr>
        <w:pStyle w:val="36"/>
        <w:rPr>
          <w:rFonts w:hint="eastAsia" w:ascii="方正仿宋_GB2312" w:hAnsi="方正仿宋_GB2312" w:eastAsia="方正仿宋_GB2312" w:cs="方正仿宋_GB2312"/>
          <w:color w:val="auto"/>
          <w:highlight w:val="none"/>
        </w:rPr>
      </w:pPr>
    </w:p>
    <w:p w14:paraId="696DF371">
      <w:pPr>
        <w:rPr>
          <w:rFonts w:hint="eastAsia" w:ascii="方正仿宋_GB2312" w:hAnsi="方正仿宋_GB2312" w:eastAsia="方正仿宋_GB2312" w:cs="方正仿宋_GB2312"/>
          <w:b/>
          <w:bCs/>
          <w:color w:val="auto"/>
          <w:kern w:val="0"/>
          <w:sz w:val="28"/>
          <w:szCs w:val="28"/>
          <w:highlight w:val="none"/>
        </w:rPr>
      </w:pPr>
      <w:bookmarkStart w:id="549" w:name="_Toc20837_WPSOffice_Level2"/>
      <w:bookmarkStart w:id="550" w:name="_Toc18961_WPSOffice_Level2"/>
      <w:r>
        <w:rPr>
          <w:rFonts w:hint="eastAsia" w:ascii="方正仿宋_GB2312" w:hAnsi="方正仿宋_GB2312" w:eastAsia="方正仿宋_GB2312" w:cs="方正仿宋_GB2312"/>
          <w:b/>
          <w:bCs/>
          <w:color w:val="auto"/>
          <w:kern w:val="0"/>
          <w:sz w:val="28"/>
          <w:szCs w:val="28"/>
          <w:highlight w:val="none"/>
        </w:rPr>
        <w:br w:type="page"/>
      </w:r>
    </w:p>
    <w:p w14:paraId="085F355E">
      <w:pPr>
        <w:adjustRightInd w:val="0"/>
        <w:snapToGrid w:val="0"/>
        <w:spacing w:line="360" w:lineRule="auto"/>
        <w:jc w:val="center"/>
        <w:outlineLvl w:val="1"/>
        <w:rPr>
          <w:rFonts w:hint="eastAsia" w:ascii="方正仿宋_GB2312" w:hAnsi="方正仿宋_GB2312" w:eastAsia="方正仿宋_GB2312" w:cs="方正仿宋_GB2312"/>
          <w:b/>
          <w:bCs/>
          <w:color w:val="auto"/>
          <w:kern w:val="0"/>
          <w:sz w:val="28"/>
          <w:szCs w:val="28"/>
          <w:highlight w:val="none"/>
        </w:rPr>
      </w:pPr>
      <w:r>
        <w:rPr>
          <w:rFonts w:hint="eastAsia" w:ascii="方正仿宋_GB2312" w:hAnsi="方正仿宋_GB2312" w:eastAsia="方正仿宋_GB2312" w:cs="方正仿宋_GB2312"/>
          <w:b/>
          <w:bCs/>
          <w:color w:val="auto"/>
          <w:kern w:val="0"/>
          <w:sz w:val="28"/>
          <w:szCs w:val="28"/>
          <w:highlight w:val="none"/>
        </w:rPr>
        <w:t>附件B：否决投标条款</w:t>
      </w:r>
      <w:bookmarkEnd w:id="549"/>
      <w:bookmarkEnd w:id="550"/>
    </w:p>
    <w:p w14:paraId="0C84D564">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B0.总则</w:t>
      </w:r>
    </w:p>
    <w:p w14:paraId="54FB8C3F">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本附件所集中列示的否决投标条款，是本章“评标办法”的组成部分，是对第二章“投标人须知”和本章正文部分所规定的否决投标条款的总结和补充，如果出现相互矛盾的情况，以本节的规定为准。</w:t>
      </w:r>
    </w:p>
    <w:p w14:paraId="100B794F">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B1.否决投标条款</w:t>
      </w:r>
    </w:p>
    <w:p w14:paraId="53691C4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投标人或投标文件有下列情形之一的，其投标作否决投标处理：</w:t>
      </w:r>
    </w:p>
    <w:p w14:paraId="599F7DE1">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 有第二章“投标人须知”第1.4.2 项、1.4.3项、5.4项规定的任何一种情形的。</w:t>
      </w:r>
    </w:p>
    <w:p w14:paraId="38877E74">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B1.2有串通投标行为或弄虚作假或有其他违法行为的。</w:t>
      </w:r>
    </w:p>
    <w:p w14:paraId="6FF213A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B1.3不按评标委员会要求澄清、说明或补正的；</w:t>
      </w:r>
    </w:p>
    <w:p w14:paraId="79EC157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B1.4在初步评审中，评标委员会认定投标人的投标不符合评标办法前附表中规定的任何一项评审标准的；</w:t>
      </w:r>
    </w:p>
    <w:p w14:paraId="2D545E1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B1.5投标文件中不符合投标人须知附件七规定的内容上传及格式的；</w:t>
      </w:r>
    </w:p>
    <w:p w14:paraId="6404486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B1.6投标文件中不符合</w:t>
      </w:r>
      <w:r>
        <w:rPr>
          <w:rFonts w:hint="eastAsia" w:ascii="方正仿宋_GB2312" w:hAnsi="方正仿宋_GB2312" w:eastAsia="方正仿宋_GB2312" w:cs="方正仿宋_GB2312"/>
          <w:color w:val="auto"/>
          <w:kern w:val="0"/>
          <w:highlight w:val="none"/>
          <w:lang w:eastAsia="zh-CN"/>
        </w:rPr>
        <w:t>第六章</w:t>
      </w:r>
      <w:r>
        <w:rPr>
          <w:rFonts w:hint="eastAsia" w:ascii="方正仿宋_GB2312" w:hAnsi="方正仿宋_GB2312" w:eastAsia="方正仿宋_GB2312" w:cs="方正仿宋_GB2312"/>
          <w:color w:val="auto"/>
          <w:kern w:val="0"/>
          <w:highlight w:val="none"/>
        </w:rPr>
        <w:t>投标文件的组成的；</w:t>
      </w:r>
    </w:p>
    <w:p w14:paraId="58EE5671">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B1.7投标文件中不符合投标人须知正文部分3.2投标报价的；</w:t>
      </w:r>
    </w:p>
    <w:p w14:paraId="158AEB58">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B1.8 未按规定格式填写，内容不全或者关键内容字迹模糊，无法辨认的；</w:t>
      </w:r>
    </w:p>
    <w:p w14:paraId="252C034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B1.9投标人上传的电子投标文件中有两份或多份内容不同的投标文件，或者在一份投标文件中对同一招标项目报有两个或多个报价，且未声明哪一个有效，按招标文件规定提交备选投标方案的除外。</w:t>
      </w:r>
    </w:p>
    <w:p w14:paraId="044EA89A">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B1.10投标人名称与营业执照或资质证书名称不一致的。</w:t>
      </w:r>
    </w:p>
    <w:p w14:paraId="576450CD">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B1.11 投标人在投标文件中电子签章（或盖章）或电子签名（或签名）的名称与其他潜在投标人存在一致情况的。</w:t>
      </w:r>
    </w:p>
    <w:p w14:paraId="2FE73F8A">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B1.12违反《中华人民共和国招标投标法</w:t>
      </w:r>
      <w:r>
        <w:rPr>
          <w:rFonts w:hint="eastAsia" w:ascii="方正仿宋_GB2312" w:hAnsi="方正仿宋_GB2312" w:eastAsia="方正仿宋_GB2312" w:cs="方正仿宋_GB2312"/>
          <w:color w:val="auto"/>
          <w:kern w:val="0"/>
          <w:highlight w:val="none"/>
          <w:lang w:eastAsia="zh-CN"/>
        </w:rPr>
        <w:t>》《</w:t>
      </w:r>
      <w:r>
        <w:rPr>
          <w:rFonts w:hint="eastAsia" w:ascii="方正仿宋_GB2312" w:hAnsi="方正仿宋_GB2312" w:eastAsia="方正仿宋_GB2312" w:cs="方正仿宋_GB2312"/>
          <w:color w:val="auto"/>
          <w:kern w:val="0"/>
          <w:highlight w:val="none"/>
        </w:rPr>
        <w:t>中华人民共和国招标投标法实施条例</w:t>
      </w:r>
      <w:r>
        <w:rPr>
          <w:rFonts w:hint="eastAsia" w:ascii="方正仿宋_GB2312" w:hAnsi="方正仿宋_GB2312" w:eastAsia="方正仿宋_GB2312" w:cs="方正仿宋_GB2312"/>
          <w:color w:val="auto"/>
          <w:kern w:val="0"/>
          <w:highlight w:val="none"/>
          <w:lang w:eastAsia="zh-CN"/>
        </w:rPr>
        <w:t>》《</w:t>
      </w:r>
      <w:r>
        <w:rPr>
          <w:rFonts w:hint="eastAsia" w:ascii="方正仿宋_GB2312" w:hAnsi="方正仿宋_GB2312" w:eastAsia="方正仿宋_GB2312" w:cs="方正仿宋_GB2312"/>
          <w:color w:val="auto"/>
          <w:kern w:val="0"/>
          <w:highlight w:val="none"/>
        </w:rPr>
        <w:t>国家九部委30号令</w:t>
      </w:r>
      <w:r>
        <w:rPr>
          <w:rFonts w:hint="eastAsia" w:ascii="方正仿宋_GB2312" w:hAnsi="方正仿宋_GB2312" w:eastAsia="方正仿宋_GB2312" w:cs="方正仿宋_GB2312"/>
          <w:color w:val="auto"/>
          <w:kern w:val="0"/>
          <w:highlight w:val="none"/>
          <w:lang w:eastAsia="zh-CN"/>
        </w:rPr>
        <w:t>》《</w:t>
      </w:r>
      <w:r>
        <w:rPr>
          <w:rFonts w:hint="eastAsia" w:ascii="方正仿宋_GB2312" w:hAnsi="方正仿宋_GB2312" w:eastAsia="方正仿宋_GB2312" w:cs="方正仿宋_GB2312"/>
          <w:color w:val="auto"/>
          <w:kern w:val="0"/>
          <w:highlight w:val="none"/>
        </w:rPr>
        <w:t>云南省政府106号文</w:t>
      </w:r>
      <w:r>
        <w:rPr>
          <w:rFonts w:hint="eastAsia" w:ascii="方正仿宋_GB2312" w:hAnsi="方正仿宋_GB2312" w:eastAsia="方正仿宋_GB2312" w:cs="方正仿宋_GB2312"/>
          <w:color w:val="auto"/>
          <w:kern w:val="0"/>
          <w:highlight w:val="none"/>
          <w:lang w:eastAsia="zh-CN"/>
        </w:rPr>
        <w:t>》《</w:t>
      </w:r>
      <w:r>
        <w:rPr>
          <w:rFonts w:hint="eastAsia" w:ascii="方正仿宋_GB2312" w:hAnsi="方正仿宋_GB2312" w:eastAsia="方正仿宋_GB2312" w:cs="方正仿宋_GB2312"/>
          <w:color w:val="auto"/>
          <w:kern w:val="0"/>
          <w:highlight w:val="none"/>
        </w:rPr>
        <w:t>云南省住建厅第19号公告》等相关法律法规的，经评标委员会集体表决后认定，视作串通投标处理，并提请有关监管部门依法予以处罚。</w:t>
      </w:r>
    </w:p>
    <w:p w14:paraId="49D38A2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B1.13评标委员会判定其报价低于成本价的；</w:t>
      </w:r>
    </w:p>
    <w:p w14:paraId="5382BF10">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B1.14设计费投标报价高于招标控制价的，施工费下浮率低于招标控制价的；</w:t>
      </w:r>
    </w:p>
    <w:p w14:paraId="25C6E1D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B1.15 投标报价有算术错误的，评标委员会按以下原则对投标报价进行修正，修正的价格经投标人书面确认后具有约束力。投标人不接受修正价格的，其投标作否决投标处理。（1）投标文件中的大写金额与小写金额不一致的，以大写金额为准；</w:t>
      </w:r>
    </w:p>
    <w:p w14:paraId="07FFA666">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B1.16联合体投标不满足投标人须知1.4.1条的；</w:t>
      </w:r>
    </w:p>
    <w:p w14:paraId="4C351105">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B1.17分包未满足投标人须知1.11.1、1.11.2条的；</w:t>
      </w:r>
    </w:p>
    <w:p w14:paraId="42F8683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B1.18偏离未满足投标人须知1.12条的；</w:t>
      </w:r>
    </w:p>
    <w:p w14:paraId="2AF3FB6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B1.19投标有效期未满足投标人须知3.3.3条的；</w:t>
      </w:r>
    </w:p>
    <w:p w14:paraId="0592750A">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default" w:ascii="方正仿宋_GB2312" w:hAnsi="方正仿宋_GB2312" w:eastAsia="方正仿宋_GB2312" w:cs="方正仿宋_GB2312"/>
          <w:color w:val="auto"/>
          <w:kern w:val="0"/>
          <w:highlight w:val="none"/>
          <w:lang w:val="en-US" w:eastAsia="zh-CN"/>
        </w:rPr>
      </w:pPr>
      <w:r>
        <w:rPr>
          <w:rFonts w:hint="eastAsia" w:ascii="方正仿宋_GB2312" w:hAnsi="方正仿宋_GB2312" w:eastAsia="方正仿宋_GB2312" w:cs="方正仿宋_GB2312"/>
          <w:color w:val="auto"/>
          <w:kern w:val="0"/>
          <w:highlight w:val="none"/>
        </w:rPr>
        <w:t>B1.</w:t>
      </w:r>
      <w:r>
        <w:rPr>
          <w:rFonts w:hint="eastAsia" w:ascii="方正仿宋_GB2312" w:hAnsi="方正仿宋_GB2312" w:eastAsia="方正仿宋_GB2312" w:cs="方正仿宋_GB2312"/>
          <w:color w:val="auto"/>
          <w:kern w:val="0"/>
          <w:highlight w:val="none"/>
          <w:lang w:val="en-US" w:eastAsia="zh-CN"/>
        </w:rPr>
        <w:t>20投标人未按招标文件要求规定声明的其他内容进行声明的：</w:t>
      </w:r>
    </w:p>
    <w:p w14:paraId="65989DBE">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1</w:t>
      </w:r>
      <w:r>
        <w:rPr>
          <w:rFonts w:hint="eastAsia" w:ascii="方正仿宋_GB2312" w:hAnsi="方正仿宋_GB2312" w:eastAsia="方正仿宋_GB2312" w:cs="方正仿宋_GB2312"/>
          <w:color w:val="auto"/>
          <w:kern w:val="0"/>
          <w:highlight w:val="none"/>
        </w:rPr>
        <w:t>投标人拒不按照评标委员会要求对投标文件进行澄清、说明、补正的；</w:t>
      </w:r>
    </w:p>
    <w:p w14:paraId="7155BECD">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2</w:t>
      </w:r>
      <w:r>
        <w:rPr>
          <w:rFonts w:hint="eastAsia" w:ascii="方正仿宋_GB2312" w:hAnsi="方正仿宋_GB2312" w:eastAsia="方正仿宋_GB2312" w:cs="方正仿宋_GB2312"/>
          <w:color w:val="auto"/>
          <w:kern w:val="0"/>
          <w:highlight w:val="none"/>
        </w:rPr>
        <w:t>非联合体投标人委托同一人投标的；</w:t>
      </w:r>
    </w:p>
    <w:p w14:paraId="55B9886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3</w:t>
      </w:r>
      <w:r>
        <w:rPr>
          <w:rFonts w:hint="eastAsia" w:ascii="方正仿宋_GB2312" w:hAnsi="方正仿宋_GB2312" w:eastAsia="方正仿宋_GB2312" w:cs="方正仿宋_GB2312"/>
          <w:color w:val="auto"/>
          <w:kern w:val="0"/>
          <w:highlight w:val="none"/>
        </w:rPr>
        <w:t>不同投标人的投标文件由同一台电脑编制的；</w:t>
      </w:r>
    </w:p>
    <w:p w14:paraId="4B113060">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4</w:t>
      </w:r>
      <w:r>
        <w:rPr>
          <w:rFonts w:hint="eastAsia" w:ascii="方正仿宋_GB2312" w:hAnsi="方正仿宋_GB2312" w:eastAsia="方正仿宋_GB2312" w:cs="方正仿宋_GB2312"/>
          <w:color w:val="auto"/>
          <w:kern w:val="0"/>
          <w:highlight w:val="none"/>
        </w:rPr>
        <w:t>技术标标书“设计”部分明显不符合技术规范、技术标准的；</w:t>
      </w:r>
    </w:p>
    <w:p w14:paraId="02A1F12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5</w:t>
      </w:r>
      <w:r>
        <w:rPr>
          <w:rFonts w:hint="eastAsia" w:ascii="方正仿宋_GB2312" w:hAnsi="方正仿宋_GB2312" w:eastAsia="方正仿宋_GB2312" w:cs="方正仿宋_GB2312"/>
          <w:color w:val="auto"/>
          <w:kern w:val="0"/>
          <w:highlight w:val="none"/>
        </w:rPr>
        <w:t>不同投标人的投标文件内容存在非正常一致的；</w:t>
      </w:r>
    </w:p>
    <w:p w14:paraId="644594A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6</w:t>
      </w:r>
      <w:r>
        <w:rPr>
          <w:rFonts w:hint="eastAsia" w:ascii="方正仿宋_GB2312" w:hAnsi="方正仿宋_GB2312" w:eastAsia="方正仿宋_GB2312" w:cs="方正仿宋_GB2312"/>
          <w:color w:val="auto"/>
          <w:kern w:val="0"/>
          <w:highlight w:val="none"/>
        </w:rPr>
        <w:t>不同投标人的投标文件错漏之处一致的；</w:t>
      </w:r>
    </w:p>
    <w:p w14:paraId="18C394BD">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7</w:t>
      </w:r>
      <w:r>
        <w:rPr>
          <w:rFonts w:hint="eastAsia" w:ascii="方正仿宋_GB2312" w:hAnsi="方正仿宋_GB2312" w:eastAsia="方正仿宋_GB2312" w:cs="方正仿宋_GB2312"/>
          <w:color w:val="auto"/>
          <w:kern w:val="0"/>
          <w:highlight w:val="none"/>
        </w:rPr>
        <w:t>不同投标人的投标文件或者报价组成异常一致或者呈规律性变化的；</w:t>
      </w:r>
    </w:p>
    <w:p w14:paraId="169A2FF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8</w:t>
      </w:r>
      <w:r>
        <w:rPr>
          <w:rFonts w:hint="eastAsia" w:ascii="方正仿宋_GB2312" w:hAnsi="方正仿宋_GB2312" w:eastAsia="方正仿宋_GB2312" w:cs="方正仿宋_GB2312"/>
          <w:color w:val="auto"/>
          <w:kern w:val="0"/>
          <w:highlight w:val="none"/>
        </w:rPr>
        <w:t>不同投标人的投标文件载明的项目管理机构成员出现相同人员的；</w:t>
      </w:r>
    </w:p>
    <w:p w14:paraId="2426400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B1.2</w:t>
      </w:r>
      <w:r>
        <w:rPr>
          <w:rFonts w:hint="eastAsia" w:ascii="方正仿宋_GB2312" w:hAnsi="方正仿宋_GB2312" w:eastAsia="方正仿宋_GB2312" w:cs="方正仿宋_GB2312"/>
          <w:color w:val="auto"/>
          <w:kern w:val="0"/>
          <w:highlight w:val="none"/>
          <w:lang w:val="en-US" w:eastAsia="zh-CN"/>
        </w:rPr>
        <w:t>9</w:t>
      </w:r>
      <w:r>
        <w:rPr>
          <w:rFonts w:hint="eastAsia" w:ascii="方正仿宋_GB2312" w:hAnsi="方正仿宋_GB2312" w:eastAsia="方正仿宋_GB2312" w:cs="方正仿宋_GB2312"/>
          <w:color w:val="auto"/>
          <w:kern w:val="0"/>
          <w:highlight w:val="none"/>
        </w:rPr>
        <w:t>评标委员会发现投标人的报价明显低于其他投标报价，或者在设有招标最高限价时明显低于招标最高限价，使得其投标报价可能低于其成本的，应当要求该投标人作出书面说明并提供相应的证明材料。投标人不能合理说明或者不能提供相应证明材料的，由评标委员会认定该投标人以低于成本报价竞标，其投标作否决投标处理。</w:t>
      </w:r>
    </w:p>
    <w:p w14:paraId="012DBFAF">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w:t>
      </w:r>
      <w:r>
        <w:rPr>
          <w:rFonts w:hint="eastAsia" w:ascii="方正仿宋_GB2312" w:hAnsi="方正仿宋_GB2312" w:eastAsia="方正仿宋_GB2312" w:cs="方正仿宋_GB2312"/>
          <w:color w:val="auto"/>
          <w:kern w:val="0"/>
          <w:highlight w:val="none"/>
          <w:lang w:val="en-US" w:eastAsia="zh-CN"/>
        </w:rPr>
        <w:t>30</w:t>
      </w:r>
      <w:r>
        <w:rPr>
          <w:rFonts w:hint="eastAsia" w:ascii="方正仿宋_GB2312" w:hAnsi="方正仿宋_GB2312" w:eastAsia="方正仿宋_GB2312" w:cs="方正仿宋_GB2312"/>
          <w:color w:val="auto"/>
          <w:kern w:val="0"/>
          <w:highlight w:val="none"/>
        </w:rPr>
        <w:t>投标人有以下情形之一的，其投标作否决投标处理；</w:t>
      </w:r>
    </w:p>
    <w:p w14:paraId="2B55E86E">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（1）串通投标</w:t>
      </w:r>
      <w:r>
        <w:rPr>
          <w:rFonts w:hint="eastAsia" w:ascii="方正仿宋_GB2312" w:hAnsi="方正仿宋_GB2312" w:eastAsia="方正仿宋_GB2312" w:cs="方正仿宋_GB2312"/>
          <w:color w:val="auto"/>
          <w:kern w:val="0"/>
          <w:highlight w:val="none"/>
          <w:lang w:eastAsia="zh-CN"/>
        </w:rPr>
        <w:t>或者</w:t>
      </w:r>
      <w:r>
        <w:rPr>
          <w:rFonts w:hint="eastAsia" w:ascii="方正仿宋_GB2312" w:hAnsi="方正仿宋_GB2312" w:eastAsia="方正仿宋_GB2312" w:cs="方正仿宋_GB2312"/>
          <w:color w:val="auto"/>
          <w:kern w:val="0"/>
          <w:highlight w:val="none"/>
        </w:rPr>
        <w:t>弄虚作假或有其他违法行为的；</w:t>
      </w:r>
    </w:p>
    <w:p w14:paraId="0E8E4FFF">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（2）不按评标委员会要求澄清、说明或补正的；</w:t>
      </w:r>
    </w:p>
    <w:p w14:paraId="2F6CCA2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（3）评标委员会依据评标办法第2.1.1项、第2.1.2项、第2.1.3项规定的标准对投标文件进行初步评审。有一项不符合评审标准的，作否决投标处理。</w:t>
      </w:r>
    </w:p>
    <w:p w14:paraId="70687F50">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B1.3</w:t>
      </w:r>
      <w:r>
        <w:rPr>
          <w:rFonts w:hint="eastAsia" w:ascii="方正仿宋_GB2312" w:hAnsi="方正仿宋_GB2312" w:eastAsia="方正仿宋_GB2312" w:cs="方正仿宋_GB2312"/>
          <w:color w:val="auto"/>
          <w:kern w:val="0"/>
          <w:highlight w:val="none"/>
          <w:lang w:val="en-US" w:eastAsia="zh-CN"/>
        </w:rPr>
        <w:t>1</w:t>
      </w:r>
      <w:r>
        <w:rPr>
          <w:rFonts w:hint="eastAsia" w:ascii="方正仿宋_GB2312" w:hAnsi="方正仿宋_GB2312" w:eastAsia="方正仿宋_GB2312" w:cs="方正仿宋_GB2312"/>
          <w:color w:val="auto"/>
          <w:kern w:val="0"/>
          <w:highlight w:val="none"/>
        </w:rPr>
        <w:t xml:space="preserve">投标人是工程总承包项目的代建单位或与代建单位存在隶属关系和管理关系的； </w:t>
      </w:r>
    </w:p>
    <w:p w14:paraId="6FCA306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B1.3</w:t>
      </w:r>
      <w:r>
        <w:rPr>
          <w:rFonts w:hint="eastAsia" w:ascii="方正仿宋_GB2312" w:hAnsi="方正仿宋_GB2312" w:eastAsia="方正仿宋_GB2312" w:cs="方正仿宋_GB2312"/>
          <w:color w:val="auto"/>
          <w:kern w:val="0"/>
          <w:highlight w:val="none"/>
          <w:lang w:val="en-US" w:eastAsia="zh-CN"/>
        </w:rPr>
        <w:t>1</w:t>
      </w:r>
      <w:r>
        <w:rPr>
          <w:rFonts w:hint="eastAsia" w:ascii="方正仿宋_GB2312" w:hAnsi="方正仿宋_GB2312" w:eastAsia="方正仿宋_GB2312" w:cs="方正仿宋_GB2312"/>
          <w:color w:val="auto"/>
          <w:kern w:val="0"/>
          <w:highlight w:val="none"/>
        </w:rPr>
        <w:t>投标人是工程总承包项目项目建议书编制单位、可行性研究报告编制单位、初步设计文件编制单位及其评估单位的，但招标人公开已完成的该总承包项目项目建议书、可行性研究报告、初步设计文件的上述单位除外。</w:t>
      </w:r>
    </w:p>
    <w:p w14:paraId="3A50D2C5">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方正仿宋_GB2312" w:hAnsi="方正仿宋_GB2312" w:eastAsia="方正仿宋_GB2312" w:cs="方正仿宋_GB2312"/>
          <w:color w:val="auto"/>
          <w:kern w:val="0"/>
          <w:highlight w:val="none"/>
        </w:rPr>
      </w:pPr>
      <w:r>
        <w:rPr>
          <w:rFonts w:hint="eastAsia" w:ascii="方正仿宋_GB2312" w:hAnsi="方正仿宋_GB2312" w:eastAsia="方正仿宋_GB2312" w:cs="方正仿宋_GB2312"/>
          <w:color w:val="auto"/>
          <w:kern w:val="0"/>
          <w:highlight w:val="none"/>
        </w:rPr>
        <w:t>B1.3</w:t>
      </w:r>
      <w:r>
        <w:rPr>
          <w:rFonts w:hint="eastAsia" w:ascii="方正仿宋_GB2312" w:hAnsi="方正仿宋_GB2312" w:eastAsia="方正仿宋_GB2312" w:cs="方正仿宋_GB2312"/>
          <w:color w:val="auto"/>
          <w:kern w:val="0"/>
          <w:highlight w:val="none"/>
          <w:lang w:val="en-US" w:eastAsia="zh-CN"/>
        </w:rPr>
        <w:t>3</w:t>
      </w:r>
      <w:r>
        <w:rPr>
          <w:rFonts w:hint="eastAsia" w:ascii="方正仿宋_GB2312" w:hAnsi="方正仿宋_GB2312" w:eastAsia="方正仿宋_GB2312" w:cs="方正仿宋_GB2312"/>
          <w:color w:val="auto"/>
          <w:kern w:val="0"/>
          <w:highlight w:val="none"/>
        </w:rPr>
        <w:t>违反国家、省、市相关法律法规的。</w:t>
      </w:r>
    </w:p>
    <w:p w14:paraId="75E513B0">
      <w:pPr>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r>
    </w:p>
    <w:bookmarkEnd w:id="543"/>
    <w:bookmarkEnd w:id="544"/>
    <w:bookmarkEnd w:id="545"/>
    <w:bookmarkEnd w:id="546"/>
    <w:bookmarkEnd w:id="547"/>
    <w:bookmarkEnd w:id="548"/>
    <w:p w14:paraId="467F899A">
      <w:pPr>
        <w:jc w:val="center"/>
        <w:outlineLvl w:val="1"/>
        <w:rPr>
          <w:rFonts w:hint="eastAsia" w:ascii="方正仿宋_GB2312" w:hAnsi="方正仿宋_GB2312" w:eastAsia="方正仿宋_GB2312" w:cs="方正仿宋_GB2312"/>
          <w:b/>
          <w:bCs/>
          <w:color w:val="auto"/>
          <w:sz w:val="32"/>
          <w:szCs w:val="32"/>
          <w:highlight w:val="none"/>
        </w:rPr>
      </w:pPr>
      <w:bookmarkStart w:id="551" w:name="_Toc3635"/>
      <w:bookmarkStart w:id="552" w:name="_Toc19734"/>
      <w:bookmarkStart w:id="553" w:name="_Toc247527825"/>
      <w:bookmarkStart w:id="554" w:name="_Toc247514244"/>
      <w:bookmarkStart w:id="555" w:name="_Toc375560249"/>
      <w:bookmarkStart w:id="556" w:name="_Toc144974855"/>
      <w:bookmarkStart w:id="557" w:name="_Toc152045786"/>
      <w:bookmarkStart w:id="558" w:name="_Toc152042575"/>
      <w:r>
        <w:rPr>
          <w:rFonts w:hint="eastAsia" w:ascii="方正仿宋_GB2312" w:hAnsi="方正仿宋_GB2312" w:eastAsia="方正仿宋_GB2312" w:cs="方正仿宋_GB2312"/>
          <w:b/>
          <w:bCs/>
          <w:color w:val="auto"/>
          <w:sz w:val="32"/>
          <w:szCs w:val="32"/>
          <w:highlight w:val="none"/>
        </w:rPr>
        <w:t>第四章 合同条款及格式</w:t>
      </w:r>
      <w:bookmarkEnd w:id="551"/>
      <w:bookmarkEnd w:id="552"/>
      <w:bookmarkStart w:id="559" w:name="_Toc152042388"/>
      <w:bookmarkStart w:id="560" w:name="_Toc152045610"/>
      <w:bookmarkStart w:id="561" w:name="_Toc247514034"/>
      <w:bookmarkStart w:id="562" w:name="_Toc184635097"/>
      <w:bookmarkStart w:id="563" w:name="_Toc144974578"/>
      <w:bookmarkStart w:id="564" w:name="_Toc247527635"/>
    </w:p>
    <w:bookmarkEnd w:id="559"/>
    <w:bookmarkEnd w:id="560"/>
    <w:bookmarkEnd w:id="561"/>
    <w:bookmarkEnd w:id="562"/>
    <w:bookmarkEnd w:id="563"/>
    <w:bookmarkEnd w:id="564"/>
    <w:p w14:paraId="16959A9C">
      <w:pPr>
        <w:spacing w:after="0" w:line="240" w:lineRule="auto"/>
        <w:jc w:val="cente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合同编号：</w:t>
      </w:r>
    </w:p>
    <w:p w14:paraId="49834104">
      <w:pPr>
        <w:tabs>
          <w:tab w:val="left" w:pos="360"/>
        </w:tabs>
        <w:spacing w:after="0" w:line="240" w:lineRule="auto"/>
        <w:jc w:val="center"/>
        <w:rPr>
          <w:rFonts w:hint="eastAsia" w:ascii="方正仿宋_GB2312" w:hAnsi="方正仿宋_GB2312" w:eastAsia="方正仿宋_GB2312" w:cs="方正仿宋_GB2312"/>
          <w:b/>
          <w:bCs/>
          <w:color w:val="auto"/>
          <w:sz w:val="48"/>
          <w:szCs w:val="48"/>
          <w:highlight w:val="none"/>
        </w:rPr>
      </w:pPr>
    </w:p>
    <w:p w14:paraId="2B83FE3D">
      <w:pPr>
        <w:tabs>
          <w:tab w:val="left" w:pos="360"/>
        </w:tabs>
        <w:spacing w:after="0" w:line="240" w:lineRule="auto"/>
        <w:jc w:val="center"/>
        <w:rPr>
          <w:rFonts w:hint="eastAsia" w:ascii="方正仿宋_GB2312" w:hAnsi="方正仿宋_GB2312" w:eastAsia="方正仿宋_GB2312" w:cs="方正仿宋_GB2312"/>
          <w:b/>
          <w:bCs/>
          <w:color w:val="auto"/>
          <w:sz w:val="48"/>
          <w:szCs w:val="48"/>
          <w:highlight w:val="none"/>
        </w:rPr>
      </w:pPr>
    </w:p>
    <w:p w14:paraId="6930AA6D">
      <w:pPr>
        <w:tabs>
          <w:tab w:val="left" w:pos="360"/>
        </w:tabs>
        <w:spacing w:after="0" w:line="240" w:lineRule="auto"/>
        <w:jc w:val="center"/>
        <w:rPr>
          <w:rFonts w:hint="eastAsia" w:ascii="方正仿宋_GB2312" w:hAnsi="方正仿宋_GB2312" w:eastAsia="方正仿宋_GB2312" w:cs="方正仿宋_GB2312"/>
          <w:b/>
          <w:bCs/>
          <w:color w:val="auto"/>
          <w:sz w:val="48"/>
          <w:szCs w:val="48"/>
          <w:highlight w:val="none"/>
        </w:rPr>
      </w:pPr>
    </w:p>
    <w:p w14:paraId="5506DAFC">
      <w:pPr>
        <w:tabs>
          <w:tab w:val="left" w:pos="360"/>
        </w:tabs>
        <w:spacing w:after="0" w:line="240" w:lineRule="auto"/>
        <w:jc w:val="center"/>
        <w:rPr>
          <w:rFonts w:hint="eastAsia" w:ascii="方正仿宋_GB2312" w:hAnsi="方正仿宋_GB2312" w:eastAsia="方正仿宋_GB2312" w:cs="方正仿宋_GB2312"/>
          <w:b/>
          <w:bCs/>
          <w:color w:val="auto"/>
          <w:sz w:val="48"/>
          <w:szCs w:val="48"/>
          <w:highlight w:val="none"/>
        </w:rPr>
      </w:pPr>
    </w:p>
    <w:p w14:paraId="5187B1C3">
      <w:pPr>
        <w:spacing w:after="0" w:line="240" w:lineRule="auto"/>
        <w:jc w:val="center"/>
        <w:rPr>
          <w:rFonts w:hint="eastAsia" w:ascii="方正仿宋_GB2312" w:hAnsi="方正仿宋_GB2312" w:eastAsia="方正仿宋_GB2312" w:cs="方正仿宋_GB2312"/>
          <w:b/>
          <w:bCs/>
          <w:color w:val="auto"/>
          <w:sz w:val="48"/>
          <w:szCs w:val="48"/>
          <w:highlight w:val="none"/>
        </w:rPr>
      </w:pPr>
      <w:r>
        <w:rPr>
          <w:rFonts w:hint="eastAsia" w:ascii="方正仿宋_GB2312" w:hAnsi="方正仿宋_GB2312" w:eastAsia="方正仿宋_GB2312" w:cs="方正仿宋_GB2312"/>
          <w:b/>
          <w:bCs/>
          <w:color w:val="auto"/>
          <w:sz w:val="48"/>
          <w:szCs w:val="48"/>
          <w:highlight w:val="none"/>
        </w:rPr>
        <w:t>建设项目工程总承包合同</w:t>
      </w:r>
    </w:p>
    <w:p w14:paraId="72B1D492">
      <w:pPr>
        <w:spacing w:after="0" w:line="240" w:lineRule="auto"/>
        <w:jc w:val="center"/>
        <w:rPr>
          <w:rFonts w:hint="eastAsia" w:ascii="方正仿宋_GB2312" w:hAnsi="方正仿宋_GB2312" w:eastAsia="方正仿宋_GB2312" w:cs="方正仿宋_GB2312"/>
          <w:b/>
          <w:bCs/>
          <w:color w:val="auto"/>
          <w:sz w:val="48"/>
          <w:szCs w:val="48"/>
          <w:highlight w:val="none"/>
        </w:rPr>
      </w:pPr>
      <w:r>
        <w:rPr>
          <w:rFonts w:hint="eastAsia" w:ascii="方正仿宋_GB2312" w:hAnsi="方正仿宋_GB2312" w:eastAsia="方正仿宋_GB2312" w:cs="方正仿宋_GB2312"/>
          <w:b/>
          <w:bCs/>
          <w:color w:val="auto"/>
          <w:sz w:val="48"/>
          <w:szCs w:val="48"/>
          <w:highlight w:val="none"/>
        </w:rPr>
        <w:t>（示范文本）</w:t>
      </w:r>
      <w:bookmarkStart w:id="565" w:name="_Toc18313_WPSOffice_Level2"/>
      <w:bookmarkStart w:id="566" w:name="_Toc1367_WPSOffice_Level2"/>
    </w:p>
    <w:p w14:paraId="38459B08">
      <w:pPr>
        <w:spacing w:line="360" w:lineRule="auto"/>
        <w:jc w:val="center"/>
        <w:outlineLvl w:val="1"/>
        <w:rPr>
          <w:rFonts w:hint="eastAsia" w:ascii="方正仿宋_GB2312" w:hAnsi="方正仿宋_GB2312" w:eastAsia="方正仿宋_GB2312" w:cs="方正仿宋_GB2312"/>
          <w:b/>
          <w:bCs/>
          <w:color w:val="auto"/>
          <w:highlight w:val="none"/>
        </w:rPr>
      </w:pPr>
      <w:bookmarkStart w:id="567" w:name="_Toc13497"/>
      <w:bookmarkStart w:id="568" w:name="_Toc4198"/>
      <w:r>
        <w:rPr>
          <w:rFonts w:hint="eastAsia" w:ascii="方正仿宋_GB2312" w:hAnsi="方正仿宋_GB2312" w:eastAsia="方正仿宋_GB2312" w:cs="方正仿宋_GB2312"/>
          <w:b/>
          <w:bCs/>
          <w:color w:val="auto"/>
          <w:highlight w:val="none"/>
        </w:rPr>
        <w:t>（本合同条款仅供参考，中标后以双方实际签订的合同为准）</w:t>
      </w:r>
      <w:bookmarkEnd w:id="567"/>
      <w:bookmarkEnd w:id="568"/>
    </w:p>
    <w:p w14:paraId="778602B6">
      <w:pPr>
        <w:widowControl w:val="0"/>
        <w:jc w:val="both"/>
        <w:rPr>
          <w:rFonts w:hint="eastAsia" w:ascii="方正仿宋_GB2312" w:hAnsi="方正仿宋_GB2312" w:eastAsia="方正仿宋_GB2312" w:cs="方正仿宋_GB2312"/>
          <w:b/>
          <w:bCs/>
          <w:color w:val="auto"/>
          <w:kern w:val="2"/>
          <w:sz w:val="48"/>
          <w:szCs w:val="48"/>
          <w:highlight w:val="none"/>
          <w:lang w:val="en-US" w:eastAsia="zh-CN" w:bidi="ar-SA"/>
        </w:rPr>
      </w:pPr>
    </w:p>
    <w:p w14:paraId="410B66E8">
      <w:pPr>
        <w:spacing w:after="0" w:line="240" w:lineRule="auto"/>
        <w:rPr>
          <w:rFonts w:hint="eastAsia" w:ascii="方正仿宋_GB2312" w:hAnsi="方正仿宋_GB2312" w:eastAsia="方正仿宋_GB2312" w:cs="方正仿宋_GB2312"/>
          <w:b/>
          <w:bCs/>
          <w:color w:val="auto"/>
          <w:sz w:val="48"/>
          <w:szCs w:val="48"/>
          <w:highlight w:val="none"/>
        </w:rPr>
      </w:pPr>
    </w:p>
    <w:p w14:paraId="2201072D">
      <w:pPr>
        <w:widowControl w:val="0"/>
        <w:jc w:val="both"/>
        <w:rPr>
          <w:rFonts w:hint="eastAsia" w:ascii="方正仿宋_GB2312" w:hAnsi="方正仿宋_GB2312" w:eastAsia="方正仿宋_GB2312" w:cs="方正仿宋_GB2312"/>
          <w:b/>
          <w:bCs/>
          <w:color w:val="auto"/>
          <w:kern w:val="2"/>
          <w:sz w:val="48"/>
          <w:szCs w:val="48"/>
          <w:highlight w:val="none"/>
          <w:lang w:val="en-US" w:eastAsia="zh-CN" w:bidi="ar-SA"/>
        </w:rPr>
      </w:pPr>
    </w:p>
    <w:p w14:paraId="3130754A">
      <w:pPr>
        <w:spacing w:after="0" w:line="240" w:lineRule="auto"/>
        <w:rPr>
          <w:rFonts w:hint="eastAsia" w:ascii="方正仿宋_GB2312" w:hAnsi="方正仿宋_GB2312" w:eastAsia="方正仿宋_GB2312" w:cs="方正仿宋_GB2312"/>
          <w:b/>
          <w:bCs/>
          <w:color w:val="auto"/>
          <w:sz w:val="48"/>
          <w:szCs w:val="48"/>
          <w:highlight w:val="none"/>
        </w:rPr>
      </w:pPr>
    </w:p>
    <w:p w14:paraId="6A9FBB13">
      <w:pPr>
        <w:widowControl w:val="0"/>
        <w:jc w:val="both"/>
        <w:rPr>
          <w:rFonts w:hint="eastAsia" w:ascii="方正仿宋_GB2312" w:hAnsi="方正仿宋_GB2312" w:eastAsia="方正仿宋_GB2312" w:cs="方正仿宋_GB2312"/>
          <w:b/>
          <w:bCs/>
          <w:color w:val="auto"/>
          <w:kern w:val="2"/>
          <w:sz w:val="48"/>
          <w:szCs w:val="48"/>
          <w:highlight w:val="none"/>
          <w:lang w:val="en-US" w:eastAsia="zh-CN" w:bidi="ar-SA"/>
        </w:rPr>
      </w:pPr>
    </w:p>
    <w:p w14:paraId="426A43E5">
      <w:pPr>
        <w:spacing w:after="0" w:line="240" w:lineRule="auto"/>
        <w:rPr>
          <w:rFonts w:hint="eastAsia" w:ascii="方正仿宋_GB2312" w:hAnsi="方正仿宋_GB2312" w:eastAsia="方正仿宋_GB2312" w:cs="方正仿宋_GB2312"/>
          <w:b/>
          <w:bCs/>
          <w:color w:val="auto"/>
          <w:sz w:val="48"/>
          <w:szCs w:val="48"/>
          <w:highlight w:val="none"/>
        </w:rPr>
      </w:pPr>
    </w:p>
    <w:p w14:paraId="6E8441B8">
      <w:pPr>
        <w:widowControl w:val="0"/>
        <w:jc w:val="both"/>
        <w:rPr>
          <w:rFonts w:hint="eastAsia" w:ascii="方正仿宋_GB2312" w:hAnsi="方正仿宋_GB2312" w:eastAsia="方正仿宋_GB2312" w:cs="方正仿宋_GB2312"/>
          <w:b/>
          <w:bCs/>
          <w:color w:val="auto"/>
          <w:kern w:val="2"/>
          <w:sz w:val="48"/>
          <w:szCs w:val="48"/>
          <w:highlight w:val="none"/>
          <w:lang w:val="en-US" w:eastAsia="zh-CN" w:bidi="ar-SA"/>
        </w:rPr>
      </w:pPr>
    </w:p>
    <w:p w14:paraId="4A30A773">
      <w:pPr>
        <w:spacing w:after="0" w:line="240" w:lineRule="auto"/>
        <w:rPr>
          <w:rFonts w:hint="eastAsia" w:ascii="方正仿宋_GB2312" w:hAnsi="方正仿宋_GB2312" w:eastAsia="方正仿宋_GB2312" w:cs="方正仿宋_GB2312"/>
          <w:b/>
          <w:bCs/>
          <w:color w:val="auto"/>
          <w:sz w:val="48"/>
          <w:szCs w:val="48"/>
          <w:highlight w:val="none"/>
        </w:rPr>
      </w:pPr>
    </w:p>
    <w:p w14:paraId="12455AC8">
      <w:pPr>
        <w:widowControl w:val="0"/>
        <w:jc w:val="both"/>
        <w:rPr>
          <w:rFonts w:hint="eastAsia" w:ascii="方正仿宋_GB2312" w:hAnsi="方正仿宋_GB2312" w:eastAsia="方正仿宋_GB2312" w:cs="方正仿宋_GB2312"/>
          <w:b/>
          <w:bCs/>
          <w:color w:val="auto"/>
          <w:kern w:val="2"/>
          <w:sz w:val="48"/>
          <w:szCs w:val="48"/>
          <w:highlight w:val="none"/>
          <w:lang w:val="en-US" w:eastAsia="zh-CN" w:bidi="ar-SA"/>
        </w:rPr>
      </w:pPr>
    </w:p>
    <w:p w14:paraId="79DB7068">
      <w:pPr>
        <w:keepNext w:val="0"/>
        <w:keepLines w:val="0"/>
        <w:widowControl w:val="0"/>
        <w:numPr>
          <w:ilvl w:val="0"/>
          <w:numId w:val="0"/>
        </w:numPr>
        <w:tabs>
          <w:tab w:val="left" w:pos="993"/>
        </w:tabs>
        <w:spacing w:before="260" w:after="260" w:line="360" w:lineRule="auto"/>
        <w:jc w:val="center"/>
        <w:outlineLvl w:val="1"/>
        <w:rPr>
          <w:rFonts w:hint="eastAsia" w:ascii="方正仿宋_GB2312" w:hAnsi="方正仿宋_GB2312" w:eastAsia="方正仿宋_GB2312" w:cs="方正仿宋_GB2312"/>
          <w:b w:val="0"/>
          <w:bCs/>
          <w:color w:val="auto"/>
          <w:kern w:val="2"/>
          <w:sz w:val="36"/>
          <w:szCs w:val="36"/>
          <w:highlight w:val="none"/>
          <w:lang w:val="zh-CN" w:eastAsia="zh-CN" w:bidi="ar-SA"/>
        </w:rPr>
      </w:pPr>
      <w:bookmarkStart w:id="569" w:name="_Toc24739"/>
      <w:r>
        <w:rPr>
          <w:rFonts w:hint="eastAsia" w:ascii="方正仿宋_GB2312" w:hAnsi="方正仿宋_GB2312" w:eastAsia="方正仿宋_GB2312" w:cs="方正仿宋_GB2312"/>
          <w:b w:val="0"/>
          <w:bCs/>
          <w:color w:val="auto"/>
          <w:kern w:val="2"/>
          <w:sz w:val="36"/>
          <w:szCs w:val="36"/>
          <w:highlight w:val="none"/>
          <w:lang w:val="zh-CN" w:eastAsia="zh-CN" w:bidi="ar-SA"/>
        </w:rPr>
        <w:t>第一部分</w:t>
      </w:r>
      <w:bookmarkEnd w:id="565"/>
      <w:bookmarkEnd w:id="566"/>
      <w:r>
        <w:rPr>
          <w:rFonts w:hint="eastAsia" w:ascii="方正仿宋_GB2312" w:hAnsi="方正仿宋_GB2312" w:eastAsia="方正仿宋_GB2312" w:cs="方正仿宋_GB2312"/>
          <w:b w:val="0"/>
          <w:bCs/>
          <w:color w:val="auto"/>
          <w:kern w:val="2"/>
          <w:sz w:val="36"/>
          <w:szCs w:val="36"/>
          <w:highlight w:val="none"/>
          <w:lang w:val="zh-CN" w:eastAsia="zh-CN" w:bidi="ar-SA"/>
        </w:rPr>
        <w:t xml:space="preserve">  合同协议书</w:t>
      </w:r>
      <w:bookmarkEnd w:id="569"/>
    </w:p>
    <w:p w14:paraId="2B900812">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u w:val="single"/>
        </w:rPr>
      </w:pPr>
      <w:r>
        <w:rPr>
          <w:rFonts w:hint="eastAsia" w:ascii="方正仿宋_GB2312" w:hAnsi="方正仿宋_GB2312" w:eastAsia="方正仿宋_GB2312" w:cs="方正仿宋_GB2312"/>
          <w:color w:val="auto"/>
          <w:szCs w:val="21"/>
          <w:highlight w:val="none"/>
        </w:rPr>
        <w:t>发包人（全称）：</w:t>
      </w:r>
    </w:p>
    <w:p w14:paraId="56C7BC29">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承包人（全称）：</w:t>
      </w:r>
    </w:p>
    <w:p w14:paraId="0A09B70D">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Cs w:val="21"/>
          <w:highlight w:val="none"/>
        </w:rPr>
        <w:t>根据《中华人民共和国民法典</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中华人民共和国建筑法》及有关法律规定，遵循平等、自愿、公平和诚实信用的原则，双方就项目的工程总承包及有关事项协商一致，共同达成如下协议：</w:t>
      </w:r>
    </w:p>
    <w:p w14:paraId="5A42CEEC">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70" w:name="_Toc54862165"/>
      <w:bookmarkStart w:id="571" w:name="_Toc30965"/>
      <w:r>
        <w:rPr>
          <w:rFonts w:hint="eastAsia" w:ascii="方正仿宋_GB2312" w:hAnsi="方正仿宋_GB2312" w:eastAsia="方正仿宋_GB2312" w:cs="方正仿宋_GB2312"/>
          <w:b w:val="0"/>
          <w:bCs/>
          <w:color w:val="auto"/>
          <w:kern w:val="2"/>
          <w:sz w:val="28"/>
          <w:szCs w:val="28"/>
          <w:highlight w:val="none"/>
          <w:lang w:val="zh-CN" w:eastAsia="zh-CN" w:bidi="ar-SA"/>
        </w:rPr>
        <w:t>一、工程概况</w:t>
      </w:r>
      <w:bookmarkEnd w:id="570"/>
      <w:bookmarkEnd w:id="571"/>
    </w:p>
    <w:p w14:paraId="47E0CD9C">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工程名称</w:t>
      </w:r>
      <w:r>
        <w:rPr>
          <w:rFonts w:hint="eastAsia" w:ascii="方正仿宋_GB2312" w:hAnsi="方正仿宋_GB2312" w:eastAsia="方正仿宋_GB2312" w:cs="方正仿宋_GB2312"/>
          <w:color w:val="auto"/>
          <w:szCs w:val="21"/>
          <w:highlight w:val="none"/>
          <w:lang w:eastAsia="zh-CN"/>
        </w:rPr>
        <w:t>：</w:t>
      </w:r>
    </w:p>
    <w:p w14:paraId="76814976">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工程地点</w:t>
      </w:r>
      <w:r>
        <w:rPr>
          <w:rFonts w:hint="eastAsia" w:ascii="方正仿宋_GB2312" w:hAnsi="方正仿宋_GB2312" w:eastAsia="方正仿宋_GB2312" w:cs="方正仿宋_GB2312"/>
          <w:color w:val="auto"/>
          <w:szCs w:val="21"/>
          <w:highlight w:val="none"/>
          <w:lang w:eastAsia="zh-CN"/>
        </w:rPr>
        <w:t>：</w:t>
      </w:r>
    </w:p>
    <w:p w14:paraId="55E64C9C">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工程审批、核准或备案文号</w:t>
      </w:r>
      <w:r>
        <w:rPr>
          <w:rFonts w:hint="eastAsia" w:ascii="方正仿宋_GB2312" w:hAnsi="方正仿宋_GB2312" w:eastAsia="方正仿宋_GB2312" w:cs="方正仿宋_GB2312"/>
          <w:color w:val="auto"/>
          <w:szCs w:val="21"/>
          <w:highlight w:val="none"/>
          <w:lang w:eastAsia="zh-CN"/>
        </w:rPr>
        <w:t>：</w:t>
      </w:r>
    </w:p>
    <w:p w14:paraId="2C498957">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资金来源</w:t>
      </w:r>
      <w:r>
        <w:rPr>
          <w:rFonts w:hint="eastAsia" w:ascii="方正仿宋_GB2312" w:hAnsi="方正仿宋_GB2312" w:eastAsia="方正仿宋_GB2312" w:cs="方正仿宋_GB2312"/>
          <w:color w:val="auto"/>
          <w:szCs w:val="21"/>
          <w:highlight w:val="none"/>
          <w:lang w:eastAsia="zh-CN"/>
        </w:rPr>
        <w:t>：</w:t>
      </w:r>
    </w:p>
    <w:p w14:paraId="4298F1E3">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工程内容及规模</w:t>
      </w:r>
      <w:r>
        <w:rPr>
          <w:rFonts w:hint="eastAsia" w:ascii="方正仿宋_GB2312" w:hAnsi="方正仿宋_GB2312" w:eastAsia="方正仿宋_GB2312" w:cs="方正仿宋_GB2312"/>
          <w:color w:val="auto"/>
          <w:szCs w:val="21"/>
          <w:highlight w:val="none"/>
          <w:lang w:eastAsia="zh-CN"/>
        </w:rPr>
        <w:t>：</w:t>
      </w:r>
    </w:p>
    <w:p w14:paraId="2FF7E50A">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工程承包范围</w:t>
      </w:r>
      <w:r>
        <w:rPr>
          <w:rFonts w:hint="eastAsia" w:ascii="方正仿宋_GB2312" w:hAnsi="方正仿宋_GB2312" w:eastAsia="方正仿宋_GB2312" w:cs="方正仿宋_GB2312"/>
          <w:color w:val="auto"/>
          <w:szCs w:val="21"/>
          <w:highlight w:val="none"/>
          <w:lang w:eastAsia="zh-CN"/>
        </w:rPr>
        <w:t>：</w:t>
      </w:r>
    </w:p>
    <w:p w14:paraId="796980C2">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72" w:name="_Toc54862166"/>
      <w:bookmarkStart w:id="573" w:name="_Toc21314"/>
      <w:r>
        <w:rPr>
          <w:rFonts w:hint="eastAsia" w:ascii="方正仿宋_GB2312" w:hAnsi="方正仿宋_GB2312" w:eastAsia="方正仿宋_GB2312" w:cs="方正仿宋_GB2312"/>
          <w:b w:val="0"/>
          <w:bCs/>
          <w:color w:val="auto"/>
          <w:kern w:val="2"/>
          <w:sz w:val="28"/>
          <w:szCs w:val="28"/>
          <w:highlight w:val="none"/>
          <w:lang w:val="zh-CN" w:eastAsia="zh-CN" w:bidi="ar-SA"/>
        </w:rPr>
        <w:t>二、合同工期</w:t>
      </w:r>
      <w:bookmarkEnd w:id="572"/>
      <w:bookmarkEnd w:id="573"/>
    </w:p>
    <w:p w14:paraId="7BE912AD">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计划开始工作日期：    年    月   日。</w:t>
      </w:r>
    </w:p>
    <w:p w14:paraId="3CF633D5">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计划开始现场施工日期：   年   月   日。</w:t>
      </w:r>
    </w:p>
    <w:p w14:paraId="3D88E612">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计划竣工日期：    年   月    日。</w:t>
      </w:r>
    </w:p>
    <w:p w14:paraId="7CC6B515">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工期总日历天数：    天，工期总日历天数与根据前述计划日期计算的工期天数不一致的，以工期总日历天数为准。</w:t>
      </w:r>
    </w:p>
    <w:p w14:paraId="218ADA89">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74" w:name="_Toc17919"/>
      <w:bookmarkStart w:id="575" w:name="_Toc54862167"/>
      <w:r>
        <w:rPr>
          <w:rFonts w:hint="eastAsia" w:ascii="方正仿宋_GB2312" w:hAnsi="方正仿宋_GB2312" w:eastAsia="方正仿宋_GB2312" w:cs="方正仿宋_GB2312"/>
          <w:b w:val="0"/>
          <w:bCs/>
          <w:color w:val="auto"/>
          <w:kern w:val="2"/>
          <w:sz w:val="28"/>
          <w:szCs w:val="28"/>
          <w:highlight w:val="none"/>
          <w:lang w:val="zh-CN" w:eastAsia="zh-CN" w:bidi="ar-SA"/>
        </w:rPr>
        <w:t>三、质量标准</w:t>
      </w:r>
      <w:bookmarkEnd w:id="574"/>
      <w:bookmarkEnd w:id="575"/>
    </w:p>
    <w:p w14:paraId="7F190057">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工程质量标准</w:t>
      </w:r>
      <w:r>
        <w:rPr>
          <w:rFonts w:hint="eastAsia" w:ascii="方正仿宋_GB2312" w:hAnsi="方正仿宋_GB2312" w:eastAsia="方正仿宋_GB2312" w:cs="方正仿宋_GB2312"/>
          <w:color w:val="auto"/>
          <w:szCs w:val="21"/>
          <w:highlight w:val="none"/>
          <w:lang w:eastAsia="zh-CN"/>
        </w:rPr>
        <w:t>：</w:t>
      </w:r>
    </w:p>
    <w:p w14:paraId="16B3EAC2">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76" w:name="_Toc54862168"/>
      <w:bookmarkStart w:id="577" w:name="_Toc26253"/>
      <w:r>
        <w:rPr>
          <w:rFonts w:hint="eastAsia" w:ascii="方正仿宋_GB2312" w:hAnsi="方正仿宋_GB2312" w:eastAsia="方正仿宋_GB2312" w:cs="方正仿宋_GB2312"/>
          <w:b w:val="0"/>
          <w:bCs/>
          <w:color w:val="auto"/>
          <w:kern w:val="2"/>
          <w:sz w:val="28"/>
          <w:szCs w:val="28"/>
          <w:highlight w:val="none"/>
          <w:lang w:val="zh-CN" w:eastAsia="zh-CN" w:bidi="ar-SA"/>
        </w:rPr>
        <w:t>四、签约合同价与合同价格形式</w:t>
      </w:r>
      <w:bookmarkEnd w:id="576"/>
      <w:bookmarkEnd w:id="577"/>
    </w:p>
    <w:p w14:paraId="3FED05CE">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签约合同价（含税）为：</w:t>
      </w:r>
    </w:p>
    <w:p w14:paraId="6D6E197C">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  元）。</w:t>
      </w:r>
    </w:p>
    <w:p w14:paraId="4DC71C38">
      <w:pPr>
        <w:keepNext w:val="0"/>
        <w:keepLines w:val="0"/>
        <w:pageBreakBefore w:val="0"/>
        <w:wordWrap/>
        <w:overflowPunct/>
        <w:topLinePunct w:val="0"/>
        <w:bidi w:val="0"/>
        <w:snapToGrid w:val="0"/>
        <w:spacing w:after="0" w:line="360" w:lineRule="auto"/>
        <w:ind w:firstLine="600"/>
        <w:textAlignment w:val="auto"/>
        <w:rPr>
          <w:rFonts w:hint="eastAsia" w:eastAsia="方正仿宋_GB2312"/>
          <w:color w:val="auto"/>
          <w:highlight w:val="none"/>
          <w:lang w:eastAsia="zh-CN"/>
        </w:rPr>
      </w:pPr>
      <w:r>
        <w:rPr>
          <w:rFonts w:hint="eastAsia" w:ascii="方正仿宋_GB2312" w:hAnsi="方正仿宋_GB2312" w:eastAsia="方正仿宋_GB2312" w:cs="方正仿宋_GB2312"/>
          <w:color w:val="auto"/>
          <w:szCs w:val="21"/>
          <w:highlight w:val="none"/>
        </w:rPr>
        <w:t xml:space="preserve">具体构成详见价格清单。其中：  </w:t>
      </w:r>
    </w:p>
    <w:p w14:paraId="1726D773">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设计费（含税）：</w:t>
      </w:r>
    </w:p>
    <w:p w14:paraId="5B31C800">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    元）；适用税率：%，税金为人民币（大写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（¥元）； </w:t>
      </w:r>
    </w:p>
    <w:p w14:paraId="7FAF7091">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设备购置费（含税）：</w:t>
      </w:r>
    </w:p>
    <w:p w14:paraId="1D61F09D">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   元）；适用税率：%，税金为人民币（大写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（¥元）； </w:t>
      </w:r>
    </w:p>
    <w:p w14:paraId="4F2CB1CD">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建筑安装工程费（含税）：</w:t>
      </w:r>
    </w:p>
    <w:p w14:paraId="337D3760">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元）；适用税率：%，税金为人民币（大写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（¥元）； </w:t>
      </w:r>
    </w:p>
    <w:p w14:paraId="2556FDCD">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暂估价（含税）：</w:t>
      </w:r>
    </w:p>
    <w:p w14:paraId="18493421">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元）。</w:t>
      </w:r>
    </w:p>
    <w:p w14:paraId="210D8F44">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暂列金额（含税）：</w:t>
      </w:r>
    </w:p>
    <w:p w14:paraId="29F2596D">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元）。</w:t>
      </w:r>
    </w:p>
    <w:p w14:paraId="20744A8B">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（6）双方约定的其他费用（含税）：</w:t>
      </w:r>
    </w:p>
    <w:p w14:paraId="3E863A51">
      <w:pPr>
        <w:keepNext w:val="0"/>
        <w:keepLines w:val="0"/>
        <w:pageBreakBefore w:val="0"/>
        <w:wordWrap/>
        <w:overflowPunct/>
        <w:topLinePunct w:val="0"/>
        <w:bidi w:val="0"/>
        <w:snapToGrid w:val="0"/>
        <w:spacing w:after="0" w:line="360" w:lineRule="auto"/>
        <w:ind w:firstLine="600"/>
        <w:jc w:val="left"/>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元）；适用税率：%，税金为人民币（大写</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元）。</w:t>
      </w:r>
    </w:p>
    <w:p w14:paraId="570DF682">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合同价格形式：</w:t>
      </w:r>
    </w:p>
    <w:p w14:paraId="264E7EEA">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合同价格形式为总价合同，除根据合同约定的在工程实施过程中需进行增减的款项外，合同价格不予调整，但合同当事人另有约定的除外。</w:t>
      </w:r>
    </w:p>
    <w:p w14:paraId="353E6B2E">
      <w:pPr>
        <w:keepNext w:val="0"/>
        <w:keepLines w:val="0"/>
        <w:pageBreakBefore w:val="0"/>
        <w:kinsoku w:val="0"/>
        <w:wordWrap/>
        <w:overflowPunct/>
        <w:topLinePunct w:val="0"/>
        <w:bidi w:val="0"/>
        <w:snapToGrid w:val="0"/>
        <w:spacing w:after="0" w:line="360" w:lineRule="auto"/>
        <w:ind w:left="263" w:leftChars="125" w:firstLine="210" w:firstLineChars="100"/>
        <w:jc w:val="left"/>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合同当事人对合同价格形式的其他约定</w:t>
      </w:r>
      <w:r>
        <w:rPr>
          <w:rFonts w:hint="eastAsia" w:ascii="方正仿宋_GB2312" w:hAnsi="方正仿宋_GB2312" w:eastAsia="方正仿宋_GB2312" w:cs="方正仿宋_GB2312"/>
          <w:color w:val="auto"/>
          <w:szCs w:val="21"/>
          <w:highlight w:val="none"/>
          <w:lang w:eastAsia="zh-CN"/>
        </w:rPr>
        <w:t>：</w:t>
      </w:r>
    </w:p>
    <w:p w14:paraId="5B80D971">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78" w:name="_Toc54862169"/>
      <w:bookmarkStart w:id="579" w:name="_Toc24965"/>
      <w:r>
        <w:rPr>
          <w:rFonts w:hint="eastAsia" w:ascii="方正仿宋_GB2312" w:hAnsi="方正仿宋_GB2312" w:eastAsia="方正仿宋_GB2312" w:cs="方正仿宋_GB2312"/>
          <w:b w:val="0"/>
          <w:bCs/>
          <w:color w:val="auto"/>
          <w:kern w:val="2"/>
          <w:sz w:val="28"/>
          <w:szCs w:val="28"/>
          <w:highlight w:val="none"/>
          <w:lang w:val="zh-CN" w:eastAsia="zh-CN" w:bidi="ar-SA"/>
        </w:rPr>
        <w:t>五、工程总承包项目经理</w:t>
      </w:r>
      <w:bookmarkEnd w:id="578"/>
      <w:bookmarkEnd w:id="579"/>
    </w:p>
    <w:p w14:paraId="08629E9D">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工程总承包项目经理</w:t>
      </w:r>
      <w:r>
        <w:rPr>
          <w:rFonts w:hint="eastAsia" w:ascii="方正仿宋_GB2312" w:hAnsi="方正仿宋_GB2312" w:eastAsia="方正仿宋_GB2312" w:cs="方正仿宋_GB2312"/>
          <w:color w:val="auto"/>
          <w:szCs w:val="21"/>
          <w:highlight w:val="none"/>
          <w:lang w:eastAsia="zh-CN"/>
        </w:rPr>
        <w:t>：</w:t>
      </w:r>
    </w:p>
    <w:p w14:paraId="1DEA7C6C">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80" w:name="_Toc54862170"/>
      <w:bookmarkStart w:id="581" w:name="_Toc17898"/>
      <w:r>
        <w:rPr>
          <w:rFonts w:hint="eastAsia" w:ascii="方正仿宋_GB2312" w:hAnsi="方正仿宋_GB2312" w:eastAsia="方正仿宋_GB2312" w:cs="方正仿宋_GB2312"/>
          <w:b w:val="0"/>
          <w:bCs/>
          <w:color w:val="auto"/>
          <w:kern w:val="2"/>
          <w:sz w:val="28"/>
          <w:szCs w:val="28"/>
          <w:highlight w:val="none"/>
          <w:lang w:val="zh-CN" w:eastAsia="zh-CN" w:bidi="ar-SA"/>
        </w:rPr>
        <w:t>六、合同文件构成</w:t>
      </w:r>
      <w:bookmarkEnd w:id="580"/>
      <w:bookmarkEnd w:id="581"/>
    </w:p>
    <w:p w14:paraId="1FD8D4EE">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本协议书与下列文件一起构成合同文件： </w:t>
      </w:r>
    </w:p>
    <w:p w14:paraId="1EF14BA7">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中标通知书（如果有）；</w:t>
      </w:r>
    </w:p>
    <w:p w14:paraId="3004AE0D">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投标函及投标函附录（如果有）；</w:t>
      </w:r>
    </w:p>
    <w:p w14:paraId="558CF2F3">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专用合同条件及《发包人要求》等附件；</w:t>
      </w:r>
    </w:p>
    <w:p w14:paraId="195C1026">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通用合同条件；</w:t>
      </w:r>
    </w:p>
    <w:p w14:paraId="436AA1DC">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（5） 承包人建议书； </w:t>
      </w:r>
    </w:p>
    <w:p w14:paraId="0964221F">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价格清单；</w:t>
      </w:r>
    </w:p>
    <w:p w14:paraId="21C6D9ED">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双方约定的其他合同文件。</w:t>
      </w:r>
    </w:p>
    <w:p w14:paraId="078A15AA">
      <w:pPr>
        <w:keepNext w:val="0"/>
        <w:keepLines w:val="0"/>
        <w:pageBreakBefore w:val="0"/>
        <w:wordWrap/>
        <w:overflowPunct/>
        <w:topLinePunct w:val="0"/>
        <w:bidi w:val="0"/>
        <w:snapToGrid w:val="0"/>
        <w:spacing w:after="0" w:line="360" w:lineRule="auto"/>
        <w:ind w:firstLine="601"/>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上述各项合同文件包括双方就该项合同文件所作出的补充和修改，属于同</w:t>
      </w:r>
      <w:r>
        <w:rPr>
          <w:rFonts w:hint="eastAsia" w:ascii="方正仿宋_GB2312" w:hAnsi="方正仿宋_GB2312" w:eastAsia="方正仿宋_GB2312" w:cs="方正仿宋_GB2312"/>
          <w:color w:val="auto"/>
          <w:szCs w:val="21"/>
          <w:highlight w:val="none"/>
          <w:lang w:eastAsia="zh-CN"/>
        </w:rPr>
        <w:t>一项</w:t>
      </w:r>
      <w:r>
        <w:rPr>
          <w:rFonts w:hint="eastAsia" w:ascii="方正仿宋_GB2312" w:hAnsi="方正仿宋_GB2312" w:eastAsia="方正仿宋_GB2312" w:cs="方正仿宋_GB2312"/>
          <w:color w:val="auto"/>
          <w:szCs w:val="21"/>
          <w:highlight w:val="none"/>
        </w:rPr>
        <w:t>内容的合同文件应以最新签署的为准。专用合同条件及其附件须经合同当事人签字或盖章。</w:t>
      </w:r>
    </w:p>
    <w:p w14:paraId="2F5B18B6">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82" w:name="_Toc54862171"/>
      <w:bookmarkStart w:id="583" w:name="_Toc5955"/>
      <w:r>
        <w:rPr>
          <w:rFonts w:hint="eastAsia" w:ascii="方正仿宋_GB2312" w:hAnsi="方正仿宋_GB2312" w:eastAsia="方正仿宋_GB2312" w:cs="方正仿宋_GB2312"/>
          <w:b w:val="0"/>
          <w:bCs/>
          <w:color w:val="auto"/>
          <w:kern w:val="2"/>
          <w:sz w:val="28"/>
          <w:szCs w:val="28"/>
          <w:highlight w:val="none"/>
          <w:lang w:val="zh-CN" w:eastAsia="zh-CN" w:bidi="ar-SA"/>
        </w:rPr>
        <w:t>七、承诺</w:t>
      </w:r>
      <w:bookmarkEnd w:id="582"/>
      <w:bookmarkEnd w:id="583"/>
    </w:p>
    <w:p w14:paraId="0D135F04">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发包人承诺按照法律规定履行项目审批手续、筹集工程建设资金并按照合同约定的期限和方式支付合同价款。</w:t>
      </w:r>
    </w:p>
    <w:p w14:paraId="37AE36BF">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承包人承诺按照法律规定及合同约定组织完成工程的设计、采购和施工等工作，确保工程质量和安全，不进行转包及违法分包，并在缺陷责任期及保修期内承担相应的工程维修责任。</w:t>
      </w:r>
    </w:p>
    <w:p w14:paraId="67E50B71">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84" w:name="_Toc54862172"/>
      <w:bookmarkStart w:id="585" w:name="_Toc27723"/>
      <w:r>
        <w:rPr>
          <w:rFonts w:hint="eastAsia" w:ascii="方正仿宋_GB2312" w:hAnsi="方正仿宋_GB2312" w:eastAsia="方正仿宋_GB2312" w:cs="方正仿宋_GB2312"/>
          <w:b w:val="0"/>
          <w:bCs/>
          <w:color w:val="auto"/>
          <w:kern w:val="2"/>
          <w:sz w:val="28"/>
          <w:szCs w:val="28"/>
          <w:highlight w:val="none"/>
          <w:lang w:val="zh-CN" w:eastAsia="zh-CN" w:bidi="ar-SA"/>
        </w:rPr>
        <w:t>八、订立时间</w:t>
      </w:r>
      <w:bookmarkEnd w:id="584"/>
      <w:bookmarkEnd w:id="585"/>
    </w:p>
    <w:p w14:paraId="5A01FDB0">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本合同于   年   月    日订立。</w:t>
      </w:r>
    </w:p>
    <w:p w14:paraId="79EE06E7">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86" w:name="_Toc1001"/>
      <w:bookmarkStart w:id="587" w:name="_Toc54862173"/>
      <w:r>
        <w:rPr>
          <w:rFonts w:hint="eastAsia" w:ascii="方正仿宋_GB2312" w:hAnsi="方正仿宋_GB2312" w:eastAsia="方正仿宋_GB2312" w:cs="方正仿宋_GB2312"/>
          <w:b w:val="0"/>
          <w:bCs/>
          <w:color w:val="auto"/>
          <w:kern w:val="2"/>
          <w:sz w:val="28"/>
          <w:szCs w:val="28"/>
          <w:highlight w:val="none"/>
          <w:lang w:val="zh-CN" w:eastAsia="zh-CN" w:bidi="ar-SA"/>
        </w:rPr>
        <w:t>九、订立地点</w:t>
      </w:r>
      <w:bookmarkEnd w:id="586"/>
      <w:bookmarkEnd w:id="587"/>
    </w:p>
    <w:p w14:paraId="47EF1455">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本合同在       订立。</w:t>
      </w:r>
    </w:p>
    <w:p w14:paraId="7A1697B6">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88" w:name="_Toc25377"/>
      <w:bookmarkStart w:id="589" w:name="_Toc54862174"/>
      <w:r>
        <w:rPr>
          <w:rFonts w:hint="eastAsia" w:ascii="方正仿宋_GB2312" w:hAnsi="方正仿宋_GB2312" w:eastAsia="方正仿宋_GB2312" w:cs="方正仿宋_GB2312"/>
          <w:b w:val="0"/>
          <w:bCs/>
          <w:color w:val="auto"/>
          <w:kern w:val="2"/>
          <w:sz w:val="28"/>
          <w:szCs w:val="28"/>
          <w:highlight w:val="none"/>
          <w:lang w:val="zh-CN" w:eastAsia="zh-CN" w:bidi="ar-SA"/>
        </w:rPr>
        <w:t>十、合同生效</w:t>
      </w:r>
      <w:bookmarkEnd w:id="588"/>
      <w:bookmarkEnd w:id="589"/>
    </w:p>
    <w:p w14:paraId="09BB812B">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本合同经双方签字或盖章后成立，</w:t>
      </w:r>
      <w:r>
        <w:rPr>
          <w:rFonts w:hint="eastAsia" w:ascii="方正仿宋_GB2312" w:hAnsi="方正仿宋_GB2312" w:eastAsia="方正仿宋_GB2312" w:cs="方正仿宋_GB2312"/>
          <w:color w:val="auto"/>
          <w:szCs w:val="21"/>
          <w:highlight w:val="none"/>
          <w:lang w:eastAsia="zh-CN"/>
        </w:rPr>
        <w:t>并</w:t>
      </w:r>
      <w:r>
        <w:rPr>
          <w:rFonts w:hint="eastAsia" w:ascii="方正仿宋_GB2312" w:hAnsi="方正仿宋_GB2312" w:eastAsia="方正仿宋_GB2312" w:cs="方正仿宋_GB2312"/>
          <w:color w:val="auto"/>
          <w:szCs w:val="21"/>
          <w:highlight w:val="none"/>
        </w:rPr>
        <w:t>生效。</w:t>
      </w:r>
    </w:p>
    <w:p w14:paraId="44AC7B2A">
      <w:pPr>
        <w:keepNext w:val="0"/>
        <w:keepLines w:val="0"/>
        <w:pageBreakBefore w:val="0"/>
        <w:widowControl w:val="0"/>
        <w:numPr>
          <w:ilvl w:val="0"/>
          <w:numId w:val="0"/>
        </w:numPr>
        <w:tabs>
          <w:tab w:val="left" w:pos="567"/>
        </w:tabs>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90" w:name="_Toc54862175"/>
      <w:bookmarkStart w:id="591" w:name="_Toc21683"/>
      <w:r>
        <w:rPr>
          <w:rFonts w:hint="eastAsia" w:ascii="方正仿宋_GB2312" w:hAnsi="方正仿宋_GB2312" w:eastAsia="方正仿宋_GB2312" w:cs="方正仿宋_GB2312"/>
          <w:b w:val="0"/>
          <w:bCs/>
          <w:color w:val="auto"/>
          <w:kern w:val="2"/>
          <w:sz w:val="28"/>
          <w:szCs w:val="28"/>
          <w:highlight w:val="none"/>
          <w:lang w:val="zh-CN" w:eastAsia="zh-CN" w:bidi="ar-SA"/>
        </w:rPr>
        <w:t>十一、合同份数</w:t>
      </w:r>
      <w:bookmarkEnd w:id="590"/>
      <w:bookmarkEnd w:id="591"/>
    </w:p>
    <w:p w14:paraId="6DB0B56C">
      <w:pPr>
        <w:keepNext w:val="0"/>
        <w:keepLines w:val="0"/>
        <w:pageBreakBefore w:val="0"/>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本合同一式份，均具有同等法律效力，发包人执</w:t>
      </w:r>
      <w:r>
        <w:rPr>
          <w:rFonts w:hint="eastAsia" w:ascii="方正仿宋_GB2312" w:hAnsi="方正仿宋_GB2312" w:eastAsia="方正仿宋_GB2312" w:cs="方正仿宋_GB2312"/>
          <w:color w:val="auto"/>
          <w:szCs w:val="21"/>
          <w:highlight w:val="none"/>
          <w:u w:val="single"/>
          <w:lang w:val="en-US" w:eastAsia="zh-CN"/>
        </w:rPr>
        <w:t xml:space="preserve">    </w:t>
      </w:r>
      <w:r>
        <w:rPr>
          <w:rFonts w:hint="eastAsia" w:ascii="方正仿宋_GB2312" w:hAnsi="方正仿宋_GB2312" w:eastAsia="方正仿宋_GB2312" w:cs="方正仿宋_GB2312"/>
          <w:color w:val="auto"/>
          <w:szCs w:val="21"/>
          <w:highlight w:val="none"/>
        </w:rPr>
        <w:t>份，承包人执</w:t>
      </w:r>
      <w:r>
        <w:rPr>
          <w:rFonts w:hint="eastAsia" w:ascii="方正仿宋_GB2312" w:hAnsi="方正仿宋_GB2312" w:eastAsia="方正仿宋_GB2312" w:cs="方正仿宋_GB2312"/>
          <w:color w:val="auto"/>
          <w:szCs w:val="21"/>
          <w:highlight w:val="none"/>
          <w:u w:val="single"/>
          <w:lang w:val="en-US" w:eastAsia="zh-CN"/>
        </w:rPr>
        <w:t xml:space="preserve">    </w:t>
      </w:r>
      <w:r>
        <w:rPr>
          <w:rFonts w:hint="eastAsia" w:ascii="方正仿宋_GB2312" w:hAnsi="方正仿宋_GB2312" w:eastAsia="方正仿宋_GB2312" w:cs="方正仿宋_GB2312"/>
          <w:color w:val="auto"/>
          <w:szCs w:val="21"/>
          <w:highlight w:val="none"/>
        </w:rPr>
        <w:t>份。</w:t>
      </w:r>
    </w:p>
    <w:p w14:paraId="30F964DB">
      <w:pPr>
        <w:keepNext w:val="0"/>
        <w:keepLines w:val="0"/>
        <w:pageBreakBefore w:val="0"/>
        <w:wordWrap/>
        <w:overflowPunct/>
        <w:topLinePunct w:val="0"/>
        <w:bidi w:val="0"/>
        <w:snapToGrid w:val="0"/>
        <w:spacing w:after="0" w:line="360" w:lineRule="auto"/>
        <w:textAlignment w:val="auto"/>
        <w:rPr>
          <w:rFonts w:hint="eastAsia" w:ascii="方正仿宋_GB2312" w:hAnsi="方正仿宋_GB2312" w:eastAsia="方正仿宋_GB2312" w:cs="方正仿宋_GB2312"/>
          <w:color w:val="auto"/>
          <w:szCs w:val="21"/>
          <w:highlight w:val="none"/>
        </w:rPr>
      </w:pPr>
    </w:p>
    <w:tbl>
      <w:tblPr>
        <w:tblStyle w:val="28"/>
        <w:tblpPr w:leftFromText="180" w:rightFromText="180" w:vertAnchor="text" w:horzAnchor="page" w:tblpX="1702" w:tblpY="119"/>
        <w:tblW w:w="9072" w:type="dxa"/>
        <w:tblInd w:w="0" w:type="dxa"/>
        <w:tblLayout w:type="fixed"/>
        <w:tblCellMar>
          <w:top w:w="0" w:type="dxa"/>
          <w:left w:w="108" w:type="dxa"/>
          <w:bottom w:w="0" w:type="dxa"/>
          <w:right w:w="108" w:type="dxa"/>
        </w:tblCellMar>
      </w:tblPr>
      <w:tblGrid>
        <w:gridCol w:w="4507"/>
        <w:gridCol w:w="4565"/>
      </w:tblGrid>
      <w:tr w14:paraId="188CDDB7">
        <w:tblPrEx>
          <w:tblCellMar>
            <w:top w:w="0" w:type="dxa"/>
            <w:left w:w="108" w:type="dxa"/>
            <w:bottom w:w="0" w:type="dxa"/>
            <w:right w:w="108" w:type="dxa"/>
          </w:tblCellMar>
        </w:tblPrEx>
        <w:tc>
          <w:tcPr>
            <w:tcW w:w="4507" w:type="dxa"/>
          </w:tcPr>
          <w:p w14:paraId="2D99B3CC">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发包人：（公章）</w:t>
            </w:r>
          </w:p>
          <w:p w14:paraId="13BEFE61">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p w14:paraId="1A1AA912">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tc>
        <w:tc>
          <w:tcPr>
            <w:tcW w:w="4565" w:type="dxa"/>
          </w:tcPr>
          <w:p w14:paraId="46100259">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承包人：（公章）</w:t>
            </w:r>
          </w:p>
          <w:p w14:paraId="1DEDBB88">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p w14:paraId="01FFC4A5">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tc>
      </w:tr>
      <w:tr w14:paraId="5B7E9A93">
        <w:tblPrEx>
          <w:tblCellMar>
            <w:top w:w="0" w:type="dxa"/>
            <w:left w:w="108" w:type="dxa"/>
            <w:bottom w:w="0" w:type="dxa"/>
            <w:right w:w="108" w:type="dxa"/>
          </w:tblCellMar>
        </w:tblPrEx>
        <w:tc>
          <w:tcPr>
            <w:tcW w:w="4507" w:type="dxa"/>
          </w:tcPr>
          <w:p w14:paraId="3E590EE2">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法定代表人或其委托代理人：</w:t>
            </w:r>
          </w:p>
          <w:p w14:paraId="46E7112A">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（签字）</w:t>
            </w:r>
          </w:p>
          <w:p w14:paraId="56ECBDF1">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tc>
        <w:tc>
          <w:tcPr>
            <w:tcW w:w="4565" w:type="dxa"/>
          </w:tcPr>
          <w:p w14:paraId="5E0175E0">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法定代表人或其委托代理人：</w:t>
            </w:r>
          </w:p>
          <w:p w14:paraId="693EEAD8">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（签字）</w:t>
            </w:r>
          </w:p>
          <w:p w14:paraId="3BCD769D">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p>
        </w:tc>
      </w:tr>
      <w:tr w14:paraId="7E14D2CE">
        <w:tblPrEx>
          <w:tblCellMar>
            <w:top w:w="0" w:type="dxa"/>
            <w:left w:w="108" w:type="dxa"/>
            <w:bottom w:w="0" w:type="dxa"/>
            <w:right w:w="108" w:type="dxa"/>
          </w:tblCellMar>
        </w:tblPrEx>
        <w:tc>
          <w:tcPr>
            <w:tcW w:w="4507" w:type="dxa"/>
          </w:tcPr>
          <w:p w14:paraId="559C4827">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统一社会信用代码：</w:t>
            </w:r>
          </w:p>
          <w:p w14:paraId="76DAD8E1">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地址：</w:t>
            </w:r>
          </w:p>
          <w:p w14:paraId="3F989B99">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邮政编码：</w:t>
            </w:r>
          </w:p>
          <w:p w14:paraId="73F083FC">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法定代表人：</w:t>
            </w:r>
          </w:p>
          <w:p w14:paraId="4539BC97">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委托代理人：</w:t>
            </w:r>
          </w:p>
          <w:p w14:paraId="1CA99FC8">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电话：</w:t>
            </w:r>
          </w:p>
          <w:p w14:paraId="2E0B68AF">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 xml:space="preserve">传真： </w:t>
            </w:r>
          </w:p>
          <w:p w14:paraId="79A27AA8">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电子信箱：</w:t>
            </w:r>
          </w:p>
          <w:p w14:paraId="5C4B226B">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开户银行：</w:t>
            </w:r>
          </w:p>
          <w:p w14:paraId="43FB9150">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账号：</w:t>
            </w:r>
          </w:p>
        </w:tc>
        <w:tc>
          <w:tcPr>
            <w:tcW w:w="4565" w:type="dxa"/>
          </w:tcPr>
          <w:p w14:paraId="689650B6">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统一社会信用代码：</w:t>
            </w:r>
          </w:p>
          <w:p w14:paraId="35BECCAD">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地址：</w:t>
            </w:r>
          </w:p>
          <w:p w14:paraId="08341686">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邮政编码：</w:t>
            </w:r>
          </w:p>
          <w:p w14:paraId="34D277D1">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法定代表人：</w:t>
            </w:r>
          </w:p>
          <w:p w14:paraId="69CF445A">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委托代理人：</w:t>
            </w:r>
          </w:p>
          <w:p w14:paraId="356AD997">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电话：</w:t>
            </w:r>
          </w:p>
          <w:p w14:paraId="288CE9FA">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传真：</w:t>
            </w:r>
          </w:p>
          <w:p w14:paraId="4B68DD43">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电子信箱：</w:t>
            </w:r>
          </w:p>
          <w:p w14:paraId="6460352D">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开户银行：</w:t>
            </w:r>
          </w:p>
          <w:p w14:paraId="7F2402DC">
            <w:pPr>
              <w:keepNext w:val="0"/>
              <w:keepLines w:val="0"/>
              <w:pageBreakBefore w:val="0"/>
              <w:wordWrap/>
              <w:overflowPunct/>
              <w:topLinePunct w:val="0"/>
              <w:bidi w:val="0"/>
              <w:adjustRightInd w:val="0"/>
              <w:snapToGrid w:val="0"/>
              <w:spacing w:after="0" w:line="360" w:lineRule="auto"/>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账号：</w:t>
            </w:r>
          </w:p>
        </w:tc>
      </w:tr>
    </w:tbl>
    <w:p w14:paraId="708FF365">
      <w:pPr>
        <w:keepNext w:val="0"/>
        <w:keepLines w:val="0"/>
        <w:pageBreakBefore w:val="0"/>
        <w:wordWrap/>
        <w:overflowPunct/>
        <w:topLinePunct w:val="0"/>
        <w:bidi w:val="0"/>
        <w:snapToGrid w:val="0"/>
        <w:spacing w:after="0" w:line="360" w:lineRule="auto"/>
        <w:textAlignment w:val="auto"/>
        <w:rPr>
          <w:rFonts w:hint="eastAsia" w:ascii="方正仿宋_GB2312" w:hAnsi="方正仿宋_GB2312" w:eastAsia="方正仿宋_GB2312" w:cs="方正仿宋_GB2312"/>
          <w:color w:val="auto"/>
          <w:szCs w:val="21"/>
          <w:highlight w:val="none"/>
        </w:rPr>
      </w:pPr>
    </w:p>
    <w:p w14:paraId="541EE16E">
      <w:pPr>
        <w:rPr>
          <w:rFonts w:hint="eastAsia" w:ascii="方正仿宋_GB2312" w:hAnsi="方正仿宋_GB2312" w:eastAsia="方正仿宋_GB2312" w:cs="方正仿宋_GB2312"/>
          <w:b w:val="0"/>
          <w:bCs/>
          <w:color w:val="auto"/>
          <w:kern w:val="2"/>
          <w:sz w:val="36"/>
          <w:szCs w:val="36"/>
          <w:highlight w:val="none"/>
          <w:lang w:val="zh-CN" w:eastAsia="zh-CN" w:bidi="ar-SA"/>
        </w:rPr>
      </w:pPr>
      <w:bookmarkStart w:id="592" w:name="_Toc54862176"/>
      <w:bookmarkStart w:id="593" w:name="_Toc3579"/>
      <w:r>
        <w:rPr>
          <w:rFonts w:hint="eastAsia" w:ascii="方正仿宋_GB2312" w:hAnsi="方正仿宋_GB2312" w:eastAsia="方正仿宋_GB2312" w:cs="方正仿宋_GB2312"/>
          <w:b w:val="0"/>
          <w:bCs/>
          <w:color w:val="auto"/>
          <w:kern w:val="2"/>
          <w:sz w:val="36"/>
          <w:szCs w:val="36"/>
          <w:highlight w:val="none"/>
          <w:lang w:val="zh-CN" w:eastAsia="zh-CN" w:bidi="ar-SA"/>
        </w:rPr>
        <w:br w:type="page"/>
      </w:r>
    </w:p>
    <w:p w14:paraId="306F998B">
      <w:pPr>
        <w:jc w:val="center"/>
        <w:rPr>
          <w:rFonts w:hint="eastAsia" w:ascii="方正仿宋_GB2312" w:hAnsi="方正仿宋_GB2312" w:eastAsia="方正仿宋_GB2312" w:cs="方正仿宋_GB2312"/>
          <w:b w:val="0"/>
          <w:bCs/>
          <w:color w:val="auto"/>
          <w:kern w:val="2"/>
          <w:sz w:val="36"/>
          <w:szCs w:val="36"/>
          <w:highlight w:val="none"/>
          <w:lang w:val="zh-CN" w:eastAsia="zh-CN" w:bidi="ar-SA"/>
        </w:rPr>
      </w:pPr>
      <w:r>
        <w:rPr>
          <w:rFonts w:hint="eastAsia" w:ascii="方正仿宋_GB2312" w:hAnsi="方正仿宋_GB2312" w:eastAsia="方正仿宋_GB2312" w:cs="方正仿宋_GB2312"/>
          <w:b w:val="0"/>
          <w:bCs/>
          <w:color w:val="auto"/>
          <w:kern w:val="2"/>
          <w:sz w:val="36"/>
          <w:szCs w:val="36"/>
          <w:highlight w:val="none"/>
          <w:lang w:val="zh-CN" w:eastAsia="zh-CN" w:bidi="ar-SA"/>
        </w:rPr>
        <w:t>第二部分 通用合同条件</w:t>
      </w:r>
      <w:bookmarkEnd w:id="592"/>
      <w:bookmarkEnd w:id="593"/>
    </w:p>
    <w:p w14:paraId="07077744">
      <w:pPr>
        <w:keepNext w:val="0"/>
        <w:keepLines w:val="0"/>
        <w:pageBreakBefore w:val="0"/>
        <w:widowControl w:val="0"/>
        <w:numPr>
          <w:ilvl w:val="0"/>
          <w:numId w:val="0"/>
        </w:numPr>
        <w:tabs>
          <w:tab w:val="left" w:pos="567"/>
        </w:tabs>
        <w:kinsoku/>
        <w:wordWrap/>
        <w:overflowPunct/>
        <w:topLinePunct w:val="0"/>
        <w:bidi w:val="0"/>
        <w:snapToGrid w:val="0"/>
        <w:spacing w:before="0" w:after="0" w:line="360" w:lineRule="auto"/>
        <w:ind w:firstLine="0"/>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594" w:name="_Toc17687"/>
      <w:bookmarkStart w:id="595" w:name="_Ref508893699"/>
      <w:bookmarkStart w:id="596" w:name="_Toc54862177"/>
      <w:bookmarkStart w:id="597" w:name="_Ref509040826"/>
      <w:bookmarkStart w:id="598" w:name="_Ref509040831"/>
      <w:r>
        <w:rPr>
          <w:rFonts w:hint="eastAsia" w:ascii="方正仿宋_GB2312" w:hAnsi="方正仿宋_GB2312" w:eastAsia="方正仿宋_GB2312" w:cs="方正仿宋_GB2312"/>
          <w:b w:val="0"/>
          <w:bCs/>
          <w:color w:val="auto"/>
          <w:kern w:val="2"/>
          <w:sz w:val="28"/>
          <w:szCs w:val="28"/>
          <w:highlight w:val="none"/>
          <w:lang w:val="zh-CN" w:eastAsia="zh-CN" w:bidi="ar-SA"/>
        </w:rPr>
        <w:t>第1条 一般约定</w:t>
      </w:r>
      <w:bookmarkEnd w:id="594"/>
      <w:bookmarkEnd w:id="595"/>
      <w:bookmarkEnd w:id="596"/>
    </w:p>
    <w:p w14:paraId="6FE018A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599" w:name="_Toc4118"/>
      <w:bookmarkStart w:id="600" w:name="_Ref523741471"/>
      <w:bookmarkStart w:id="601" w:name="_Toc54862178"/>
      <w:bookmarkStart w:id="602" w:name="_Ref523741474"/>
      <w:r>
        <w:rPr>
          <w:rFonts w:hint="eastAsia" w:ascii="方正仿宋_GB2312" w:hAnsi="方正仿宋_GB2312" w:eastAsia="方正仿宋_GB2312" w:cs="方正仿宋_GB2312"/>
          <w:b w:val="0"/>
          <w:bCs/>
          <w:color w:val="auto"/>
          <w:kern w:val="2"/>
          <w:sz w:val="21"/>
          <w:szCs w:val="21"/>
          <w:highlight w:val="none"/>
          <w:lang w:val="en-US" w:eastAsia="zh-CN" w:bidi="ar-SA"/>
        </w:rPr>
        <w:t>1.1 词语定义和解释</w:t>
      </w:r>
      <w:bookmarkEnd w:id="597"/>
      <w:bookmarkEnd w:id="598"/>
      <w:bookmarkEnd w:id="599"/>
      <w:bookmarkEnd w:id="600"/>
      <w:bookmarkEnd w:id="601"/>
      <w:bookmarkEnd w:id="602"/>
    </w:p>
    <w:p w14:paraId="7CC7DD9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合同协议书、通用合同条件、专用合同条件中的下列词语应具有本款所赋予的含义：</w:t>
      </w:r>
    </w:p>
    <w:p w14:paraId="2D84B0C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03" w:name="_Ref4757289"/>
      <w:bookmarkStart w:id="604" w:name="_Ref521288340"/>
      <w:r>
        <w:rPr>
          <w:rFonts w:hint="eastAsia" w:ascii="方正仿宋_GB2312" w:hAnsi="方正仿宋_GB2312" w:eastAsia="方正仿宋_GB2312" w:cs="方正仿宋_GB2312"/>
          <w:color w:val="auto"/>
          <w:kern w:val="2"/>
          <w:sz w:val="21"/>
          <w:szCs w:val="21"/>
          <w:highlight w:val="none"/>
          <w:lang w:val="en-US" w:eastAsia="zh-CN" w:bidi="ar-SA"/>
        </w:rPr>
        <w:t>1.1.1 合同</w:t>
      </w:r>
      <w:bookmarkEnd w:id="603"/>
    </w:p>
    <w:p w14:paraId="41444A9C">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50714A4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1.1.1.2 合同协议书：是指构成合同的由发包人和承包人共同签署的称为“合同协议书”的书面文件。</w:t>
      </w:r>
    </w:p>
    <w:p w14:paraId="1B6834B8">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1.1.1.3 中标通知书：是指构成合同的由发包人通知承包人中标的书面文件。中标通知书随附的澄清、说明、补正事项纪要等，是中标通知书的组成部分。</w:t>
      </w:r>
    </w:p>
    <w:p w14:paraId="21D565E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1.1.1.4 投标函：是指构成合同的由承包人填写并签署的用于投标的称为“投标函”的文件。</w:t>
      </w:r>
    </w:p>
    <w:p w14:paraId="0809B9FE">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1.1.1.5 投标函附录：是指构成合同的附在投标函后的称为“投标函附录”的文件。</w:t>
      </w:r>
    </w:p>
    <w:p w14:paraId="2A4EF881">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1.1.1.6 《发包人要求》：指构成合同文件组成部分的名为《发包人要求》的文件，其中列明工程的目的、范围、设计与其他技术标准和要求，以及合同双方当事人约定对其所作的修改或补充。</w:t>
      </w:r>
    </w:p>
    <w:p w14:paraId="5B21B9A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1.1.1.7 项目清单：是指发包人提供的载明工程总承包项目勘察费（如果有）、设计费、建筑安装工程费、设备购置费、暂估价、暂列金额和双方约定的其他费用的名称和相应数量等内容的项目明细。</w:t>
      </w:r>
    </w:p>
    <w:p w14:paraId="4B990D7E">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1.1.1.8 价格清单：指构成合同文件组成部分的由承包人按发包人提供的项目清单规定的格式和要求填写并标明价格的清单。</w:t>
      </w:r>
    </w:p>
    <w:p w14:paraId="4A900C09">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1.1.1.9 承包人建议书：指构成合同文件组成部分的名为承包人建议书的文件。承包人建议书由承包人随投标函一起提交。</w:t>
      </w:r>
    </w:p>
    <w:p w14:paraId="7B445C5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05" w:name="_Ref4415300"/>
      <w:r>
        <w:rPr>
          <w:rFonts w:hint="eastAsia" w:ascii="方正仿宋_GB2312" w:hAnsi="方正仿宋_GB2312" w:eastAsia="方正仿宋_GB2312" w:cs="方正仿宋_GB2312"/>
          <w:color w:val="auto"/>
          <w:kern w:val="2"/>
          <w:sz w:val="21"/>
          <w:szCs w:val="21"/>
          <w:highlight w:val="none"/>
          <w:lang w:val="en-US" w:eastAsia="zh-CN" w:bidi="ar-SA"/>
        </w:rPr>
        <w:t>1.1.1.10其他合同文件：是指经合同当事人约定的与工程实施有关的具有合同约束力的文件或书面协议。合同当事人可以在专用合同条件中进行约定。</w:t>
      </w:r>
      <w:bookmarkEnd w:id="605"/>
    </w:p>
    <w:p w14:paraId="0118EA6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06" w:name="_Ref4757418"/>
      <w:r>
        <w:rPr>
          <w:rFonts w:hint="eastAsia" w:ascii="方正仿宋_GB2312" w:hAnsi="方正仿宋_GB2312" w:eastAsia="方正仿宋_GB2312" w:cs="方正仿宋_GB2312"/>
          <w:color w:val="auto"/>
          <w:kern w:val="2"/>
          <w:sz w:val="21"/>
          <w:szCs w:val="21"/>
          <w:highlight w:val="none"/>
          <w:lang w:val="en-US" w:eastAsia="zh-CN" w:bidi="ar-SA"/>
        </w:rPr>
        <w:t>1.1.2 合同当事人及其他相关方</w:t>
      </w:r>
      <w:bookmarkEnd w:id="606"/>
    </w:p>
    <w:p w14:paraId="3B091AF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1.1.2.1 合同当事人：是指发包人和（或）承包人。</w:t>
      </w:r>
    </w:p>
    <w:p w14:paraId="4F375A3C">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1.1.2.2 发包人：是指与承包人订立合同协议书的当事人及取得该当事人资格的合法继受人。本合同中“因发包人原因”里的“发包人”包括发包人及所有发包人人员。</w:t>
      </w:r>
    </w:p>
    <w:p w14:paraId="4C84DDB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1.1.2.3 承包人：是指与发包人订立合同协议书的当事人及取得该当事人资格的合法继受人。</w:t>
      </w:r>
    </w:p>
    <w:p w14:paraId="500B6F7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1.1.2.4 联合体：是指经发包人同意由两个或两个以上法人或者其他组织组成的，作为承包人的临时机构。</w:t>
      </w:r>
    </w:p>
    <w:p w14:paraId="0F9B5FB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07" w:name="_Ref4420046"/>
      <w:r>
        <w:rPr>
          <w:rFonts w:hint="eastAsia" w:ascii="方正仿宋_GB2312" w:hAnsi="方正仿宋_GB2312" w:eastAsia="方正仿宋_GB2312" w:cs="方正仿宋_GB2312"/>
          <w:color w:val="auto"/>
          <w:kern w:val="2"/>
          <w:sz w:val="21"/>
          <w:szCs w:val="21"/>
          <w:highlight w:val="none"/>
          <w:lang w:val="en-US" w:eastAsia="zh-CN" w:bidi="ar-SA"/>
        </w:rPr>
        <w:t>1.1.2.5 发包人代表：是指由发包人任命并派驻工作现场，在发包人授权范围内行使发包人权利和履行发包人义务的人。</w:t>
      </w:r>
    </w:p>
    <w:p w14:paraId="22B28A0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08" w:name="_Ref4756982"/>
      <w:r>
        <w:rPr>
          <w:rFonts w:hint="eastAsia" w:ascii="方正仿宋_GB2312" w:hAnsi="方正仿宋_GB2312" w:eastAsia="方正仿宋_GB2312" w:cs="方正仿宋_GB2312"/>
          <w:color w:val="auto"/>
          <w:kern w:val="2"/>
          <w:sz w:val="21"/>
          <w:szCs w:val="21"/>
          <w:highlight w:val="none"/>
          <w:lang w:val="en-US" w:eastAsia="zh-CN" w:bidi="ar-SA"/>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607"/>
      <w:bookmarkEnd w:id="608"/>
    </w:p>
    <w:p w14:paraId="42171E4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1.1.2.7 工程总承包项目经理：是指由承包人任命的，在承包人授权范围内负责合同履行的管理，且按照法律规定具有相应资格的项目负责人。</w:t>
      </w:r>
    </w:p>
    <w:p w14:paraId="22095D94">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1.1.2.8 设计负责人：是指承包人指定负责组织、指导、协调设计工作并具有相应资格的人员。</w:t>
      </w:r>
    </w:p>
    <w:p w14:paraId="2ADC468D">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1.1.2.9 采购负责人：是指承包人指定负责组织、指导、协调采购工作的人员。</w:t>
      </w:r>
    </w:p>
    <w:p w14:paraId="7D6C3334">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1.1.2.10 施工负责人：是指承包人指定负责组织、指导、协调施工工作并具有相应资格的人员。</w:t>
      </w:r>
    </w:p>
    <w:p w14:paraId="0C12F9CA">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1.1.2.11 分包人：是指按照法律规定和合同约定，分包部分工程或工作，并与承包人订立分包合同的具有相应资质或资格的法人或其他组织。</w:t>
      </w:r>
    </w:p>
    <w:p w14:paraId="227465B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09" w:name="_Ref4758319"/>
      <w:r>
        <w:rPr>
          <w:rFonts w:hint="eastAsia" w:ascii="方正仿宋_GB2312" w:hAnsi="方正仿宋_GB2312" w:eastAsia="方正仿宋_GB2312" w:cs="方正仿宋_GB2312"/>
          <w:color w:val="auto"/>
          <w:kern w:val="2"/>
          <w:sz w:val="21"/>
          <w:szCs w:val="21"/>
          <w:highlight w:val="none"/>
          <w:lang w:val="en-US" w:eastAsia="zh-CN" w:bidi="ar-SA"/>
        </w:rPr>
        <w:t>1.1.3 工程和设备</w:t>
      </w:r>
      <w:bookmarkEnd w:id="609"/>
    </w:p>
    <w:p w14:paraId="7EC083FA">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1.1.3.1 工程：是指与合同协议书中工程承包范围对应的永久工程和（或）临时工程。</w:t>
      </w:r>
    </w:p>
    <w:p w14:paraId="75C70A4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1.1.3.2 工程实施：是指进行工程的设计、采购、施工和竣工以及对工程任何缺陷的修复。</w:t>
      </w:r>
    </w:p>
    <w:p w14:paraId="49687AAE">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1.1.3.3 永久工程：是指按合同约定建造并移交给发包人的工程，包括工程设备。</w:t>
      </w:r>
    </w:p>
    <w:p w14:paraId="71C47B2E">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1.1.3.4 临时工程：是指为完成合同约定的永久工程所修建的各类临时性工程，不包括施工设备。</w:t>
      </w:r>
    </w:p>
    <w:p w14:paraId="06E6C48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10" w:name="_Ref4419825"/>
      <w:r>
        <w:rPr>
          <w:rFonts w:hint="eastAsia" w:ascii="方正仿宋_GB2312" w:hAnsi="方正仿宋_GB2312" w:eastAsia="方正仿宋_GB2312" w:cs="方正仿宋_GB2312"/>
          <w:color w:val="auto"/>
          <w:kern w:val="2"/>
          <w:sz w:val="21"/>
          <w:szCs w:val="21"/>
          <w:highlight w:val="none"/>
          <w:lang w:val="en-US" w:eastAsia="zh-CN" w:bidi="ar-SA"/>
        </w:rPr>
        <w:t>1.1.3.5 单位/区段工程：是指在专用合同条件中指明特定范围的，能单独接收并使用的永久工程。</w:t>
      </w:r>
      <w:bookmarkEnd w:id="610"/>
    </w:p>
    <w:p w14:paraId="4ABF905C">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1.1.3.6 工程设备：指构成永久工程的机电设备、仪器装置、运载工具及其他类似的设备和装置，包括其配件及备品、备件、易损易耗件等。</w:t>
      </w:r>
    </w:p>
    <w:p w14:paraId="4F940A2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1.1.3.7 施工设备：指为完成合同约定的各项工作所需的设备、器具和其他物品，不包括工程设备、临时工程和材料。</w:t>
      </w:r>
    </w:p>
    <w:p w14:paraId="248D784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1.1.3.8 临时设施：指为完成合同约定的各项工作所服务的临时性生产和生活设施。</w:t>
      </w:r>
    </w:p>
    <w:p w14:paraId="5B49DFC8">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11" w:name="_Ref4420577"/>
      <w:r>
        <w:rPr>
          <w:rFonts w:hint="eastAsia" w:ascii="方正仿宋_GB2312" w:hAnsi="方正仿宋_GB2312" w:eastAsia="方正仿宋_GB2312" w:cs="方正仿宋_GB2312"/>
          <w:color w:val="auto"/>
          <w:kern w:val="2"/>
          <w:sz w:val="21"/>
          <w:szCs w:val="21"/>
          <w:highlight w:val="none"/>
          <w:lang w:val="en-US" w:eastAsia="zh-CN" w:bidi="ar-SA"/>
        </w:rPr>
        <w:t>1.1.3.9 施工现场：是指用于工程施工的场所，以及在专用合同条件中指明作为施工场所组成部分的其他场所，包括永久占地和临时占地。</w:t>
      </w:r>
      <w:bookmarkEnd w:id="611"/>
    </w:p>
    <w:p w14:paraId="31D4ACB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12" w:name="_Ref4420746"/>
      <w:r>
        <w:rPr>
          <w:rFonts w:hint="eastAsia" w:ascii="方正仿宋_GB2312" w:hAnsi="方正仿宋_GB2312" w:eastAsia="方正仿宋_GB2312" w:cs="方正仿宋_GB2312"/>
          <w:color w:val="auto"/>
          <w:kern w:val="2"/>
          <w:sz w:val="21"/>
          <w:szCs w:val="21"/>
          <w:highlight w:val="none"/>
          <w:lang w:val="en-US" w:eastAsia="zh-CN" w:bidi="ar-SA"/>
        </w:rPr>
        <w:t>1.1.3.10 永久占地：是指专用合同条件中指明为实施工程需永久占用的土地。</w:t>
      </w:r>
      <w:bookmarkEnd w:id="612"/>
    </w:p>
    <w:p w14:paraId="740A522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bookmarkStart w:id="613" w:name="_Ref4420821"/>
      <w:r>
        <w:rPr>
          <w:rFonts w:hint="eastAsia" w:ascii="方正仿宋_GB2312" w:hAnsi="方正仿宋_GB2312" w:eastAsia="方正仿宋_GB2312" w:cs="方正仿宋_GB2312"/>
          <w:color w:val="auto"/>
          <w:kern w:val="2"/>
          <w:sz w:val="21"/>
          <w:szCs w:val="21"/>
          <w:highlight w:val="none"/>
          <w:lang w:val="en-US" w:eastAsia="zh-CN" w:bidi="ar-SA"/>
        </w:rPr>
        <w:t>1.1.3.11 临时占地：是指专用合同条件中指明为实施工程需临时占用的土地。</w:t>
      </w:r>
      <w:bookmarkEnd w:id="613"/>
    </w:p>
    <w:p w14:paraId="0A5FC1C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 日期和期限</w:t>
      </w:r>
    </w:p>
    <w:p w14:paraId="0A05E318">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1.1.4.1 开始工作通知：指工程师按第8.1.2项[开始工作通知]的约定通知承包人开始工作的函件。</w:t>
      </w:r>
    </w:p>
    <w:p w14:paraId="5511C86C">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7F721356">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5C912714">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1.1.4.4 竣工日期：包括计划竣工日期和实际竣工日期。计划竣工日期是指合同协议书约定的竣工日期；实际竣工日期按照第8.2款[竣工日期]的约定确定。</w:t>
      </w:r>
    </w:p>
    <w:p w14:paraId="4FE8453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1.1.4.5 工期：是指在合同协议书约定的承包人完成合同工作所需的期限，包括按照合同约定所作的期限变更及按合同约定承包人有权取得的工期延长。</w:t>
      </w:r>
    </w:p>
    <w:p w14:paraId="1D94CDD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1.1.4.6 缺陷责任期：是指发包人预留工程质量保证金以保证承包人履行第11.3款[缺陷调查]下质量缺陷责任的期限。</w:t>
      </w:r>
    </w:p>
    <w:p w14:paraId="7271ACA9">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1.1.4.7 保修期：是指承包人按照合同约定和法律规定对工程质量承担保修责任的期限，该期限自缺陷责任期起算之日起计算。</w:t>
      </w:r>
    </w:p>
    <w:p w14:paraId="7C9036F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1.1.4.8 基准日期：招标发包的工程以投标截止日前28天的日期为基准日期，直接发包的工程以合同订立日前28天的日期为基准日期。</w:t>
      </w:r>
    </w:p>
    <w:p w14:paraId="367D51A9">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1.1.4.9 天：除特别指明外，均指日历天。合同中按天计算时间的，开始当天不计入，从次日开始计算。期限最后一天的截止时间为当天24:00。</w:t>
      </w:r>
    </w:p>
    <w:p w14:paraId="27850A17">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1.1.4.10 竣工试验：是指在工程竣工验收前，根据第9条[竣工试验]要求进行的试验。</w:t>
      </w:r>
    </w:p>
    <w:p w14:paraId="4417BCA2">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1.1.4.11 竣工验收：是指承包人完成了合同约定的各项内容后，发包人按合同要求进行的验收。</w:t>
      </w:r>
    </w:p>
    <w:p w14:paraId="3E2C89A4">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1.1.4.12 竣工后试验：是指在工程竣工验收后，根据第12条[竣工后试验]约定进行的试验。</w:t>
      </w:r>
    </w:p>
    <w:p w14:paraId="12A8846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 合同价格和费用</w:t>
      </w:r>
    </w:p>
    <w:p w14:paraId="30BFA701">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1.1.5.1 签约合同价：是指发包人和承包人在合同协议书中确定的总金额，包括暂估价及暂列金额等。</w:t>
      </w:r>
    </w:p>
    <w:p w14:paraId="6CFF497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1.1.5.2 合同价格：是指发包人用于支付承包人按照合同约定完成承包范围内全部工作的金额，包括合同履行过程中按合同约定发生的价格变化。</w:t>
      </w:r>
    </w:p>
    <w:p w14:paraId="3491DB5C">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1.1.5.3 费用：是指为履行合同所发生的或将要发生的所有合理开支，包括管理费和应分摊的其他费用，但不包括利润。</w:t>
      </w:r>
    </w:p>
    <w:p w14:paraId="7FB8B5A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1.1.5.4 人工费：是指支付给直接从事建筑安装工程施工作业的建筑工人的各项费用。</w:t>
      </w:r>
    </w:p>
    <w:p w14:paraId="17848FA1">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1.1.5.5 暂估价：</w:t>
      </w:r>
      <w:bookmarkStart w:id="614" w:name="_Hlk18973781"/>
      <w:r>
        <w:rPr>
          <w:rFonts w:hint="eastAsia" w:ascii="方正仿宋_GB2312" w:hAnsi="方正仿宋_GB2312" w:eastAsia="方正仿宋_GB2312" w:cs="方正仿宋_GB2312"/>
          <w:color w:val="auto"/>
          <w:kern w:val="2"/>
          <w:sz w:val="21"/>
          <w:szCs w:val="21"/>
          <w:highlight w:val="none"/>
          <w:lang w:val="en-US" w:eastAsia="zh-CN" w:bidi="ar-SA"/>
        </w:rPr>
        <w:t>是指发包人在项目清单中给定的，用于支付必然发生但暂时不能确定价格的专业服务、材料、设备、专业工程的金额。</w:t>
      </w:r>
      <w:bookmarkEnd w:id="614"/>
    </w:p>
    <w:p w14:paraId="25AA1AD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1.1.5.6 暂列金额：是指发包人在项目清单中给定的，用于在订立协议书时尚未确定或不可预见变更的设计、施工及其所需材料、工程设备、服务等的金额，包括以计日工方式支付的金额。</w:t>
      </w:r>
    </w:p>
    <w:p w14:paraId="6D933E2F">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1.1.5.7 计日工：是指合同履行过程中，承包人完成发包人提出的零星工作或需要采用计日工计价的变更工作时，按合同中约定的单价计价的一种方式。</w:t>
      </w:r>
    </w:p>
    <w:p w14:paraId="7967A25A">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1.1.5.8 质量保证金：是指按第14.6款[质量保证金]约定承包人用于保证其在缺陷责任期内履行缺陷修复义务的担保。</w:t>
      </w:r>
    </w:p>
    <w:p w14:paraId="5ECECD9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1.1.6 其他</w:t>
      </w:r>
    </w:p>
    <w:p w14:paraId="1761AC16">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1.1.6.1 书面形式：指合同文件、信函、电报、传真、数据电文、电子邮件、会议纪要等可以有形地表现所载内容的形式。</w:t>
      </w:r>
    </w:p>
    <w:p w14:paraId="492B2EA0">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1.1.6.2 承包人文件：指由承包人根据合同约定应提交的所有图纸、手册、模型、计算书、软件、函件、洽商性文件和其他技术性文件。</w:t>
      </w:r>
    </w:p>
    <w:p w14:paraId="610D780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1.1.6.3 变更：指根据第13条[变更与调整]的约定，经指示或批准对《发包人要求》或工程所做的改变。</w:t>
      </w:r>
    </w:p>
    <w:bookmarkEnd w:id="604"/>
    <w:p w14:paraId="434DE04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15" w:name="_Toc21138"/>
      <w:bookmarkStart w:id="616" w:name="_Toc54862179"/>
      <w:bookmarkStart w:id="617" w:name="_Ref509042104"/>
      <w:bookmarkStart w:id="618" w:name="_Ref509042101"/>
      <w:bookmarkStart w:id="619" w:name="_Ref522730349"/>
      <w:bookmarkStart w:id="620" w:name="_Ref522730353"/>
      <w:r>
        <w:rPr>
          <w:rFonts w:hint="eastAsia" w:ascii="方正仿宋_GB2312" w:hAnsi="方正仿宋_GB2312" w:eastAsia="方正仿宋_GB2312" w:cs="方正仿宋_GB2312"/>
          <w:b w:val="0"/>
          <w:bCs/>
          <w:color w:val="auto"/>
          <w:kern w:val="2"/>
          <w:sz w:val="21"/>
          <w:szCs w:val="21"/>
          <w:highlight w:val="none"/>
          <w:lang w:val="en-US" w:eastAsia="zh-CN" w:bidi="ar-SA"/>
        </w:rPr>
        <w:t>1.2 语言文字</w:t>
      </w:r>
      <w:bookmarkEnd w:id="615"/>
      <w:bookmarkEnd w:id="616"/>
      <w:bookmarkEnd w:id="617"/>
      <w:bookmarkEnd w:id="618"/>
    </w:p>
    <w:p w14:paraId="7AB1D70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合同文件以中国的汉语简体语言文字编写、解释和说明。专用术语使用外文的，应附有中文注释。合同当事人在专用合同条件约定使用两种及以上语言时，汉语为优先解释和说明合同的语言。</w:t>
      </w:r>
    </w:p>
    <w:p w14:paraId="5D0AF9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与合同有关的联络应使用专用合同条件约定的语言。如没有约定，则应使用中国的汉语简体语言文字。</w:t>
      </w:r>
    </w:p>
    <w:p w14:paraId="37370D1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21" w:name="_Ref531949543"/>
      <w:bookmarkStart w:id="622" w:name="_Toc866"/>
      <w:bookmarkStart w:id="623" w:name="_Ref531949539"/>
      <w:bookmarkStart w:id="624" w:name="_Toc54862180"/>
      <w:r>
        <w:rPr>
          <w:rFonts w:hint="eastAsia" w:ascii="方正仿宋_GB2312" w:hAnsi="方正仿宋_GB2312" w:eastAsia="方正仿宋_GB2312" w:cs="方正仿宋_GB2312"/>
          <w:b w:val="0"/>
          <w:bCs/>
          <w:color w:val="auto"/>
          <w:kern w:val="2"/>
          <w:sz w:val="21"/>
          <w:szCs w:val="21"/>
          <w:highlight w:val="none"/>
          <w:lang w:val="en-US" w:eastAsia="zh-CN" w:bidi="ar-SA"/>
        </w:rPr>
        <w:t>1.3 法律</w:t>
      </w:r>
      <w:bookmarkEnd w:id="621"/>
      <w:bookmarkEnd w:id="622"/>
      <w:bookmarkEnd w:id="623"/>
      <w:bookmarkEnd w:id="624"/>
    </w:p>
    <w:p w14:paraId="765049B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合同所称法律是指中华人民共和国法律、行政法规、部门规章，以及工程所在地的</w:t>
      </w:r>
      <w:r>
        <w:rPr>
          <w:rFonts w:hint="eastAsia" w:ascii="方正仿宋_GB2312" w:hAnsi="方正仿宋_GB2312" w:eastAsia="方正仿宋_GB2312" w:cs="方正仿宋_GB2312"/>
          <w:color w:val="auto"/>
          <w:szCs w:val="21"/>
          <w:highlight w:val="none"/>
          <w:lang w:eastAsia="zh-CN"/>
        </w:rPr>
        <w:t>地方性法规</w:t>
      </w:r>
      <w:r>
        <w:rPr>
          <w:rFonts w:hint="eastAsia" w:ascii="方正仿宋_GB2312" w:hAnsi="方正仿宋_GB2312" w:eastAsia="方正仿宋_GB2312" w:cs="方正仿宋_GB2312"/>
          <w:color w:val="auto"/>
          <w:szCs w:val="21"/>
          <w:highlight w:val="none"/>
        </w:rPr>
        <w:t>、自治条例、单行条例和地方政府规章等。</w:t>
      </w:r>
    </w:p>
    <w:p w14:paraId="06ED048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合同当事人可以在专用合同条件中约定合同适用的其他规范性文件。</w:t>
      </w:r>
    </w:p>
    <w:p w14:paraId="2117796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25" w:name="_Ref531949594"/>
      <w:bookmarkStart w:id="626" w:name="_Toc54862181"/>
      <w:bookmarkStart w:id="627" w:name="_Toc8211"/>
      <w:bookmarkStart w:id="628" w:name="_Ref531949589"/>
      <w:r>
        <w:rPr>
          <w:rFonts w:hint="eastAsia" w:ascii="方正仿宋_GB2312" w:hAnsi="方正仿宋_GB2312" w:eastAsia="方正仿宋_GB2312" w:cs="方正仿宋_GB2312"/>
          <w:b w:val="0"/>
          <w:bCs/>
          <w:color w:val="auto"/>
          <w:kern w:val="2"/>
          <w:sz w:val="21"/>
          <w:szCs w:val="21"/>
          <w:highlight w:val="none"/>
          <w:lang w:val="en-US" w:eastAsia="zh-CN" w:bidi="ar-SA"/>
        </w:rPr>
        <w:t>1.4 标准和规范</w:t>
      </w:r>
      <w:bookmarkEnd w:id="625"/>
      <w:bookmarkEnd w:id="626"/>
      <w:bookmarkEnd w:id="627"/>
      <w:bookmarkEnd w:id="628"/>
    </w:p>
    <w:p w14:paraId="513AC51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29" w:name="_Ref4420991"/>
      <w:r>
        <w:rPr>
          <w:rFonts w:hint="eastAsia" w:ascii="方正仿宋_GB2312" w:hAnsi="方正仿宋_GB2312" w:eastAsia="方正仿宋_GB2312" w:cs="方正仿宋_GB2312"/>
          <w:color w:val="auto"/>
          <w:kern w:val="2"/>
          <w:sz w:val="21"/>
          <w:szCs w:val="21"/>
          <w:highlight w:val="none"/>
          <w:lang w:val="en-US" w:eastAsia="zh-CN" w:bidi="ar-SA"/>
        </w:rPr>
        <w:t>1.4.1 适用于工程的国家标准、行业标准、工程所在地的地方性标准，以及相应的规范、规程等，合同当事人有特别要求的，应在专用合同条件中约定。</w:t>
      </w:r>
      <w:bookmarkEnd w:id="629"/>
    </w:p>
    <w:p w14:paraId="5AB007D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30" w:name="_Ref531949642"/>
      <w:r>
        <w:rPr>
          <w:rFonts w:hint="eastAsia" w:ascii="方正仿宋_GB2312" w:hAnsi="方正仿宋_GB2312" w:eastAsia="方正仿宋_GB2312" w:cs="方正仿宋_GB2312"/>
          <w:color w:val="auto"/>
          <w:kern w:val="2"/>
          <w:sz w:val="21"/>
          <w:szCs w:val="21"/>
          <w:highlight w:val="none"/>
          <w:lang w:val="en-US" w:eastAsia="zh-CN" w:bidi="ar-SA"/>
        </w:rPr>
        <w:t>1.4.2 发包人要求使用国外标准、规范的，发包人负责提供原文版本和中文译本，并在专用合同条件中约定提供标准规范的名称、份数和时间。</w:t>
      </w:r>
      <w:bookmarkEnd w:id="630"/>
    </w:p>
    <w:p w14:paraId="3C445B1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31" w:name="_Ref531949657"/>
      <w:r>
        <w:rPr>
          <w:rFonts w:hint="eastAsia" w:ascii="方正仿宋_GB2312" w:hAnsi="方正仿宋_GB2312" w:eastAsia="方正仿宋_GB2312" w:cs="方正仿宋_GB2312"/>
          <w:color w:val="auto"/>
          <w:kern w:val="2"/>
          <w:sz w:val="21"/>
          <w:szCs w:val="21"/>
          <w:highlight w:val="none"/>
          <w:lang w:val="en-US" w:eastAsia="zh-CN" w:bidi="ar-SA"/>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631"/>
    </w:p>
    <w:p w14:paraId="648CA3F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32" w:name="_Ref4421272"/>
      <w:r>
        <w:rPr>
          <w:rFonts w:hint="eastAsia" w:ascii="方正仿宋_GB2312" w:hAnsi="方正仿宋_GB2312" w:eastAsia="方正仿宋_GB2312" w:cs="方正仿宋_GB2312"/>
          <w:color w:val="auto"/>
          <w:kern w:val="2"/>
          <w:sz w:val="21"/>
          <w:szCs w:val="21"/>
          <w:highlight w:val="none"/>
          <w:lang w:val="en-US" w:eastAsia="zh-CN" w:bidi="ar-SA"/>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632"/>
    </w:p>
    <w:p w14:paraId="5BCEB07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33" w:name="_Ref4421717"/>
      <w:bookmarkStart w:id="634" w:name="_Toc13520"/>
      <w:bookmarkStart w:id="635" w:name="_Toc54862182"/>
      <w:r>
        <w:rPr>
          <w:rFonts w:hint="eastAsia" w:ascii="方正仿宋_GB2312" w:hAnsi="方正仿宋_GB2312" w:eastAsia="方正仿宋_GB2312" w:cs="方正仿宋_GB2312"/>
          <w:b w:val="0"/>
          <w:bCs/>
          <w:color w:val="auto"/>
          <w:kern w:val="2"/>
          <w:sz w:val="21"/>
          <w:szCs w:val="21"/>
          <w:highlight w:val="none"/>
          <w:lang w:val="en-US" w:eastAsia="zh-CN" w:bidi="ar-SA"/>
        </w:rPr>
        <w:t>1.5 合同文件的优先顺序</w:t>
      </w:r>
      <w:bookmarkEnd w:id="619"/>
      <w:bookmarkEnd w:id="620"/>
      <w:bookmarkEnd w:id="633"/>
      <w:bookmarkEnd w:id="634"/>
      <w:bookmarkEnd w:id="635"/>
    </w:p>
    <w:p w14:paraId="40D1381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636" w:name="_Ref531948776"/>
      <w:r>
        <w:rPr>
          <w:rFonts w:hint="eastAsia" w:ascii="方正仿宋_GB2312" w:hAnsi="方正仿宋_GB2312" w:eastAsia="方正仿宋_GB2312" w:cs="方正仿宋_GB2312"/>
          <w:color w:val="auto"/>
          <w:szCs w:val="21"/>
          <w:highlight w:val="none"/>
        </w:rPr>
        <w:t>组成合同的各项文件应互相解释，互为说明。除专用合同条件另有约定外，</w:t>
      </w:r>
      <w:bookmarkEnd w:id="636"/>
      <w:r>
        <w:rPr>
          <w:rFonts w:hint="eastAsia" w:ascii="方正仿宋_GB2312" w:hAnsi="方正仿宋_GB2312" w:eastAsia="方正仿宋_GB2312" w:cs="方正仿宋_GB2312"/>
          <w:color w:val="auto"/>
          <w:szCs w:val="21"/>
          <w:highlight w:val="none"/>
        </w:rPr>
        <w:t>解释合同文件的优先顺序如下：</w:t>
      </w:r>
    </w:p>
    <w:p w14:paraId="24C3357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合同协议书；</w:t>
      </w:r>
    </w:p>
    <w:p w14:paraId="4469B9C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中标通知书（如果有）；</w:t>
      </w:r>
    </w:p>
    <w:p w14:paraId="51F650E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投标函及投标函附录（如果有）；</w:t>
      </w:r>
    </w:p>
    <w:p w14:paraId="0131591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专用合同条件及《发包人要求》等附件；</w:t>
      </w:r>
    </w:p>
    <w:p w14:paraId="49A60E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通用合同条件；</w:t>
      </w:r>
    </w:p>
    <w:p w14:paraId="4E92810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（6） 承包人建议书； </w:t>
      </w:r>
    </w:p>
    <w:p w14:paraId="4BB0523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价格清单；</w:t>
      </w:r>
    </w:p>
    <w:p w14:paraId="7F3C0AB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双方约定的其他合同文件。</w:t>
      </w:r>
    </w:p>
    <w:p w14:paraId="4C49B66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637" w:name="_Hlk18951547"/>
      <w:r>
        <w:rPr>
          <w:rFonts w:hint="eastAsia" w:ascii="方正仿宋_GB2312" w:hAnsi="方正仿宋_GB2312" w:eastAsia="方正仿宋_GB2312" w:cs="方正仿宋_GB2312"/>
          <w:color w:val="auto"/>
          <w:szCs w:val="21"/>
          <w:highlight w:val="none"/>
        </w:rPr>
        <w:t>上述各项合同文件包括合同当事人就该项合同文件所作出的补充和修改，属于同</w:t>
      </w:r>
      <w:r>
        <w:rPr>
          <w:rFonts w:hint="eastAsia" w:ascii="方正仿宋_GB2312" w:hAnsi="方正仿宋_GB2312" w:eastAsia="方正仿宋_GB2312" w:cs="方正仿宋_GB2312"/>
          <w:color w:val="auto"/>
          <w:szCs w:val="21"/>
          <w:highlight w:val="none"/>
          <w:lang w:eastAsia="zh-CN"/>
        </w:rPr>
        <w:t>一项</w:t>
      </w:r>
      <w:r>
        <w:rPr>
          <w:rFonts w:hint="eastAsia" w:ascii="方正仿宋_GB2312" w:hAnsi="方正仿宋_GB2312" w:eastAsia="方正仿宋_GB2312" w:cs="方正仿宋_GB2312"/>
          <w:color w:val="auto"/>
          <w:szCs w:val="21"/>
          <w:highlight w:val="none"/>
        </w:rPr>
        <w:t>内容的文件，应以最新签署的为准</w:t>
      </w:r>
      <w:bookmarkEnd w:id="637"/>
      <w:r>
        <w:rPr>
          <w:rFonts w:hint="eastAsia" w:ascii="方正仿宋_GB2312" w:hAnsi="方正仿宋_GB2312" w:eastAsia="方正仿宋_GB2312" w:cs="方正仿宋_GB2312"/>
          <w:color w:val="auto"/>
          <w:szCs w:val="21"/>
          <w:highlight w:val="none"/>
        </w:rPr>
        <w:t>。</w:t>
      </w:r>
    </w:p>
    <w:p w14:paraId="54843D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在合同订立及履行过程中形成的与合同有关的文件均构成合同文件组成部分，并根据其性质确定优先解释顺序。</w:t>
      </w:r>
    </w:p>
    <w:p w14:paraId="604A6AF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38" w:name="_Ref4422060"/>
      <w:bookmarkStart w:id="639" w:name="_Toc3484"/>
      <w:bookmarkStart w:id="640" w:name="_Ref11917818"/>
      <w:bookmarkStart w:id="641" w:name="_Toc54862183"/>
      <w:bookmarkStart w:id="642" w:name="_Ref531949822"/>
      <w:bookmarkStart w:id="643" w:name="_Ref531949803"/>
      <w:bookmarkStart w:id="644" w:name="_Ref531949807"/>
      <w:r>
        <w:rPr>
          <w:rFonts w:hint="eastAsia" w:ascii="方正仿宋_GB2312" w:hAnsi="方正仿宋_GB2312" w:eastAsia="方正仿宋_GB2312" w:cs="方正仿宋_GB2312"/>
          <w:b w:val="0"/>
          <w:bCs/>
          <w:color w:val="auto"/>
          <w:kern w:val="2"/>
          <w:sz w:val="21"/>
          <w:szCs w:val="21"/>
          <w:highlight w:val="none"/>
          <w:lang w:val="en-US" w:eastAsia="zh-CN" w:bidi="ar-SA"/>
        </w:rPr>
        <w:t>1.6 文件的提供和</w:t>
      </w:r>
      <w:bookmarkEnd w:id="638"/>
      <w:r>
        <w:rPr>
          <w:rFonts w:hint="eastAsia" w:ascii="方正仿宋_GB2312" w:hAnsi="方正仿宋_GB2312" w:eastAsia="方正仿宋_GB2312" w:cs="方正仿宋_GB2312"/>
          <w:b w:val="0"/>
          <w:bCs/>
          <w:color w:val="auto"/>
          <w:kern w:val="2"/>
          <w:sz w:val="21"/>
          <w:szCs w:val="21"/>
          <w:highlight w:val="none"/>
          <w:lang w:val="en-US" w:eastAsia="zh-CN" w:bidi="ar-SA"/>
        </w:rPr>
        <w:t>照管</w:t>
      </w:r>
      <w:bookmarkEnd w:id="639"/>
      <w:bookmarkEnd w:id="640"/>
      <w:bookmarkEnd w:id="641"/>
    </w:p>
    <w:p w14:paraId="6AF6959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45" w:name="_Ref4421991"/>
      <w:r>
        <w:rPr>
          <w:rFonts w:hint="eastAsia" w:ascii="方正仿宋_GB2312" w:hAnsi="方正仿宋_GB2312" w:eastAsia="方正仿宋_GB2312" w:cs="方正仿宋_GB2312"/>
          <w:color w:val="auto"/>
          <w:kern w:val="2"/>
          <w:sz w:val="21"/>
          <w:szCs w:val="21"/>
          <w:highlight w:val="none"/>
          <w:lang w:val="en-US" w:eastAsia="zh-CN" w:bidi="ar-SA"/>
        </w:rPr>
        <w:t>1.6.1 发包人文件的提供</w:t>
      </w:r>
      <w:bookmarkEnd w:id="645"/>
    </w:p>
    <w:p w14:paraId="56EA47F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发包人应按照专用合同条件约定的期限、数量和形式向承包人免费提供前期工作相关资料、环境保护、气象水文、地质条</w:t>
      </w:r>
      <w:r>
        <w:rPr>
          <w:rFonts w:hint="eastAsia" w:ascii="方正仿宋_GB2312" w:hAnsi="方正仿宋_GB2312" w:eastAsia="方正仿宋_GB2312" w:cs="方正仿宋_GB2312"/>
          <w:color w:val="auto"/>
          <w:szCs w:val="21"/>
          <w:highlight w:val="none"/>
          <w:lang w:eastAsia="zh-CN"/>
        </w:rPr>
        <w:t>件等</w:t>
      </w:r>
      <w:r>
        <w:rPr>
          <w:rFonts w:hint="eastAsia" w:ascii="方正仿宋_GB2312" w:hAnsi="方正仿宋_GB2312" w:eastAsia="方正仿宋_GB2312" w:cs="方正仿宋_GB2312"/>
          <w:color w:val="auto"/>
          <w:szCs w:val="21"/>
          <w:highlight w:val="none"/>
        </w:rPr>
        <w:t>进行工程设计、现场施工等工程实施所需的文件。因发包人未按合同约定提供文件造成工期延误的，按照第8.7.1项[因发包人原因导致工期延误]约定办理。</w:t>
      </w:r>
    </w:p>
    <w:p w14:paraId="098F1FA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46" w:name="_Ref4422317"/>
      <w:r>
        <w:rPr>
          <w:rFonts w:hint="eastAsia" w:ascii="方正仿宋_GB2312" w:hAnsi="方正仿宋_GB2312" w:eastAsia="方正仿宋_GB2312" w:cs="方正仿宋_GB2312"/>
          <w:color w:val="auto"/>
          <w:kern w:val="2"/>
          <w:sz w:val="21"/>
          <w:szCs w:val="21"/>
          <w:highlight w:val="none"/>
          <w:lang w:val="en-US" w:eastAsia="zh-CN" w:bidi="ar-SA"/>
        </w:rPr>
        <w:t>1.6.2 承包人文件的提供</w:t>
      </w:r>
      <w:bookmarkEnd w:id="646"/>
    </w:p>
    <w:p w14:paraId="201F2CF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除专用合同条件另有约定外，承包人文件应包含下列内容，并用第1.2款[语言文字]约定的语言制作：</w:t>
      </w:r>
    </w:p>
    <w:p w14:paraId="66590ED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《发包人要求》中规定的相关文件；</w:t>
      </w:r>
    </w:p>
    <w:p w14:paraId="30174F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满足工程相关行政审批手续所必须的应由承包人负责的相关文件；</w:t>
      </w:r>
    </w:p>
    <w:p w14:paraId="1514D59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第5.4款[竣工文件]与第5.5款[操作和维修手册]中要求的相关文件。</w:t>
      </w:r>
    </w:p>
    <w:p w14:paraId="6066165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7E2D625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1.6.3 文件错误的通知</w:t>
      </w:r>
    </w:p>
    <w:p w14:paraId="4DC57D2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任何一方发现文件中存在明显的错误或疏忽，应及时通知另一方。</w:t>
      </w:r>
    </w:p>
    <w:p w14:paraId="06E747A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47" w:name="_Ref4678410"/>
      <w:bookmarkStart w:id="648" w:name="_Ref11957673"/>
      <w:r>
        <w:rPr>
          <w:rFonts w:hint="eastAsia" w:ascii="方正仿宋_GB2312" w:hAnsi="方正仿宋_GB2312" w:eastAsia="方正仿宋_GB2312" w:cs="方正仿宋_GB2312"/>
          <w:color w:val="auto"/>
          <w:kern w:val="2"/>
          <w:sz w:val="21"/>
          <w:szCs w:val="21"/>
          <w:highlight w:val="none"/>
          <w:lang w:val="en-US" w:eastAsia="zh-CN" w:bidi="ar-SA"/>
        </w:rPr>
        <w:t>1.6.4 文件的</w:t>
      </w:r>
      <w:bookmarkEnd w:id="647"/>
      <w:r>
        <w:rPr>
          <w:rFonts w:hint="eastAsia" w:ascii="方正仿宋_GB2312" w:hAnsi="方正仿宋_GB2312" w:eastAsia="方正仿宋_GB2312" w:cs="方正仿宋_GB2312"/>
          <w:color w:val="auto"/>
          <w:kern w:val="2"/>
          <w:sz w:val="21"/>
          <w:szCs w:val="21"/>
          <w:highlight w:val="none"/>
          <w:lang w:val="en-US" w:eastAsia="zh-CN" w:bidi="ar-SA"/>
        </w:rPr>
        <w:t>照管</w:t>
      </w:r>
      <w:bookmarkEnd w:id="648"/>
    </w:p>
    <w:p w14:paraId="2043250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005FD66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49" w:name="_Toc54862184"/>
      <w:bookmarkStart w:id="650" w:name="_Ref4415170"/>
      <w:bookmarkStart w:id="651" w:name="_Toc30686"/>
      <w:r>
        <w:rPr>
          <w:rFonts w:hint="eastAsia" w:ascii="方正仿宋_GB2312" w:hAnsi="方正仿宋_GB2312" w:eastAsia="方正仿宋_GB2312" w:cs="方正仿宋_GB2312"/>
          <w:b w:val="0"/>
          <w:bCs/>
          <w:color w:val="auto"/>
          <w:kern w:val="2"/>
          <w:sz w:val="21"/>
          <w:szCs w:val="21"/>
          <w:highlight w:val="none"/>
          <w:lang w:val="en-US" w:eastAsia="zh-CN" w:bidi="ar-SA"/>
        </w:rPr>
        <w:t>1.7 联络</w:t>
      </w:r>
      <w:bookmarkEnd w:id="649"/>
      <w:bookmarkEnd w:id="650"/>
      <w:bookmarkEnd w:id="651"/>
    </w:p>
    <w:p w14:paraId="09D47F6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413F80C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52" w:name="_Ref531949897"/>
      <w:r>
        <w:rPr>
          <w:rFonts w:hint="eastAsia" w:ascii="方正仿宋_GB2312" w:hAnsi="方正仿宋_GB2312" w:eastAsia="方正仿宋_GB2312" w:cs="方正仿宋_GB2312"/>
          <w:color w:val="auto"/>
          <w:kern w:val="2"/>
          <w:sz w:val="21"/>
          <w:szCs w:val="21"/>
          <w:highlight w:val="none"/>
          <w:lang w:val="en-US" w:eastAsia="zh-CN" w:bidi="ar-SA"/>
        </w:rPr>
        <w:t>1.7.2 发包人和承包人应在专用合同条件中约定各自的送达方式和收件地址。任何一方合同当事人指定的送达方式或收件地址发生变动的，应提前3天以书面形式通知对方。</w:t>
      </w:r>
      <w:bookmarkEnd w:id="652"/>
    </w:p>
    <w:p w14:paraId="28716F6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1.7.3 发包人和承包人应当及时签收另一方通过约定的送达方式送达收件地址的来往文件。拒不签收的，由此增加的费用和（或）延误的工期由拒绝接收一方承担。</w:t>
      </w:r>
    </w:p>
    <w:p w14:paraId="7DE44B9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33757E4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53" w:name="_Toc54862185"/>
      <w:bookmarkStart w:id="654" w:name="_Toc28177"/>
      <w:r>
        <w:rPr>
          <w:rFonts w:hint="eastAsia" w:ascii="方正仿宋_GB2312" w:hAnsi="方正仿宋_GB2312" w:eastAsia="方正仿宋_GB2312" w:cs="方正仿宋_GB2312"/>
          <w:b w:val="0"/>
          <w:bCs/>
          <w:color w:val="auto"/>
          <w:kern w:val="2"/>
          <w:sz w:val="21"/>
          <w:szCs w:val="21"/>
          <w:highlight w:val="none"/>
          <w:lang w:val="en-US" w:eastAsia="zh-CN" w:bidi="ar-SA"/>
        </w:rPr>
        <w:t>1.8 严禁贿赂</w:t>
      </w:r>
      <w:bookmarkEnd w:id="642"/>
      <w:bookmarkEnd w:id="643"/>
      <w:bookmarkEnd w:id="644"/>
      <w:bookmarkEnd w:id="653"/>
      <w:bookmarkEnd w:id="654"/>
    </w:p>
    <w:p w14:paraId="0428FD6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合同当事人不得以贿赂或变相贿赂的方式，谋取非法利益或损害对方权益。因一方合同当事人的贿赂造成对方损失的，应赔偿损失，并承担相应的法律责任。</w:t>
      </w:r>
    </w:p>
    <w:p w14:paraId="264559D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承包人不得与工程师或发包人聘请的第三方串通损害发包人利益。未经发包人书面同意，承包人不得为工程师提供合同约定以外的通讯设备、交通工具及其他任何形式的利益，不得向工程师支付报酬。</w:t>
      </w:r>
    </w:p>
    <w:p w14:paraId="12A9CBF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55" w:name="_Toc54862186"/>
      <w:bookmarkStart w:id="656" w:name="_Toc29634"/>
      <w:r>
        <w:rPr>
          <w:rFonts w:hint="eastAsia" w:ascii="方正仿宋_GB2312" w:hAnsi="方正仿宋_GB2312" w:eastAsia="方正仿宋_GB2312" w:cs="方正仿宋_GB2312"/>
          <w:b w:val="0"/>
          <w:bCs/>
          <w:color w:val="auto"/>
          <w:kern w:val="2"/>
          <w:sz w:val="21"/>
          <w:szCs w:val="21"/>
          <w:highlight w:val="none"/>
          <w:lang w:val="en-US" w:eastAsia="zh-CN" w:bidi="ar-SA"/>
        </w:rPr>
        <w:t>1.9 化石、文物</w:t>
      </w:r>
      <w:bookmarkEnd w:id="655"/>
      <w:bookmarkEnd w:id="656"/>
    </w:p>
    <w:p w14:paraId="2C76F4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46BB797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发包人、工程师和承包人应按有关政府行政管理部门要求采取妥善的保护措施，由此增加的费用和（或）延误的工期由发包人承担。</w:t>
      </w:r>
    </w:p>
    <w:p w14:paraId="7EB7C40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承包人发现文物后不及时报告或隐瞒不报，致使文物丢失或损坏的，</w:t>
      </w:r>
      <w:r>
        <w:rPr>
          <w:rFonts w:hint="eastAsia" w:ascii="方正仿宋_GB2312" w:hAnsi="方正仿宋_GB2312" w:eastAsia="方正仿宋_GB2312" w:cs="方正仿宋_GB2312"/>
          <w:color w:val="auto"/>
          <w:szCs w:val="21"/>
          <w:highlight w:val="none"/>
          <w:lang w:eastAsia="zh-CN"/>
        </w:rPr>
        <w:t>应当</w:t>
      </w:r>
      <w:r>
        <w:rPr>
          <w:rFonts w:hint="eastAsia" w:ascii="方正仿宋_GB2312" w:hAnsi="方正仿宋_GB2312" w:eastAsia="方正仿宋_GB2312" w:cs="方正仿宋_GB2312"/>
          <w:color w:val="auto"/>
          <w:szCs w:val="21"/>
          <w:highlight w:val="none"/>
        </w:rPr>
        <w:t>赔偿损失，并承担相应的法律责任。</w:t>
      </w:r>
    </w:p>
    <w:p w14:paraId="1777F02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57" w:name="_Ref531949770"/>
      <w:bookmarkStart w:id="658" w:name="_Ref4423426"/>
      <w:bookmarkStart w:id="659" w:name="_Toc54862187"/>
      <w:bookmarkStart w:id="660" w:name="_Toc21575"/>
      <w:bookmarkStart w:id="661" w:name="_Ref531949766"/>
      <w:bookmarkStart w:id="662" w:name="_Ref531949826"/>
      <w:bookmarkStart w:id="663" w:name="_Ref531949855"/>
      <w:bookmarkStart w:id="664" w:name="_Ref531949841"/>
      <w:r>
        <w:rPr>
          <w:rFonts w:hint="eastAsia" w:ascii="方正仿宋_GB2312" w:hAnsi="方正仿宋_GB2312" w:eastAsia="方正仿宋_GB2312" w:cs="方正仿宋_GB2312"/>
          <w:b w:val="0"/>
          <w:bCs/>
          <w:color w:val="auto"/>
          <w:kern w:val="2"/>
          <w:sz w:val="21"/>
          <w:szCs w:val="21"/>
          <w:highlight w:val="none"/>
          <w:lang w:val="en-US" w:eastAsia="zh-CN" w:bidi="ar-SA"/>
        </w:rPr>
        <w:t>1.10 知识产权</w:t>
      </w:r>
      <w:bookmarkEnd w:id="657"/>
      <w:bookmarkEnd w:id="658"/>
      <w:bookmarkEnd w:id="659"/>
      <w:bookmarkEnd w:id="660"/>
      <w:bookmarkEnd w:id="661"/>
    </w:p>
    <w:p w14:paraId="3D0F723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65" w:name="_Ref4423563"/>
      <w:r>
        <w:rPr>
          <w:rFonts w:hint="eastAsia" w:ascii="方正仿宋_GB2312" w:hAnsi="方正仿宋_GB2312" w:eastAsia="方正仿宋_GB2312" w:cs="方正仿宋_GB2312"/>
          <w:color w:val="auto"/>
          <w:kern w:val="2"/>
          <w:sz w:val="21"/>
          <w:szCs w:val="21"/>
          <w:highlight w:val="none"/>
          <w:lang w:val="en-US" w:eastAsia="zh-CN" w:bidi="ar-SA"/>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665"/>
    </w:p>
    <w:p w14:paraId="43C175E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66" w:name="_Ref4423604"/>
      <w:r>
        <w:rPr>
          <w:rFonts w:hint="eastAsia" w:ascii="方正仿宋_GB2312" w:hAnsi="方正仿宋_GB2312" w:eastAsia="方正仿宋_GB2312" w:cs="方正仿宋_GB2312"/>
          <w:color w:val="auto"/>
          <w:kern w:val="2"/>
          <w:sz w:val="21"/>
          <w:szCs w:val="21"/>
          <w:highlight w:val="none"/>
          <w:lang w:val="en-US" w:eastAsia="zh-CN" w:bidi="ar-SA"/>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666"/>
    </w:p>
    <w:p w14:paraId="7FB6E0F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4219DE2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667" w:name="_Ref4423695"/>
      <w:r>
        <w:rPr>
          <w:rFonts w:hint="eastAsia" w:ascii="方正仿宋_GB2312" w:hAnsi="方正仿宋_GB2312" w:eastAsia="方正仿宋_GB2312" w:cs="方正仿宋_GB2312"/>
          <w:color w:val="auto"/>
          <w:kern w:val="2"/>
          <w:sz w:val="21"/>
          <w:szCs w:val="21"/>
          <w:highlight w:val="none"/>
          <w:lang w:val="en-US" w:eastAsia="zh-CN" w:bidi="ar-SA"/>
        </w:rPr>
        <w:t>1.10.4 除专用合同条件另有约定外，承包人在投标文件中采用的专利、专有技术、商业软件、技术秘密的使用费已包含在签约合同价中。</w:t>
      </w:r>
      <w:bookmarkEnd w:id="667"/>
    </w:p>
    <w:p w14:paraId="44D3B2A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05404E5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68" w:name="_Toc54862188"/>
      <w:bookmarkStart w:id="669" w:name="_Ref4423898"/>
      <w:bookmarkStart w:id="670" w:name="_Toc7836"/>
      <w:bookmarkStart w:id="671" w:name="_Ref4423873"/>
      <w:r>
        <w:rPr>
          <w:rFonts w:hint="eastAsia" w:ascii="方正仿宋_GB2312" w:hAnsi="方正仿宋_GB2312" w:eastAsia="方正仿宋_GB2312" w:cs="方正仿宋_GB2312"/>
          <w:b w:val="0"/>
          <w:bCs/>
          <w:color w:val="auto"/>
          <w:kern w:val="2"/>
          <w:sz w:val="21"/>
          <w:szCs w:val="21"/>
          <w:highlight w:val="none"/>
          <w:lang w:val="en-US" w:eastAsia="zh-CN" w:bidi="ar-SA"/>
        </w:rPr>
        <w:t>1.11 保密</w:t>
      </w:r>
      <w:bookmarkEnd w:id="662"/>
      <w:bookmarkEnd w:id="663"/>
      <w:bookmarkEnd w:id="664"/>
      <w:bookmarkEnd w:id="668"/>
      <w:bookmarkEnd w:id="669"/>
      <w:bookmarkEnd w:id="670"/>
      <w:bookmarkEnd w:id="671"/>
    </w:p>
    <w:p w14:paraId="73BE5EA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合同当事人一方对在订立和履行合同过程中知悉的另一方的商业秘密、技术秘密，以及任何一方明确要求保密的</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信息，负有保密责任。</w:t>
      </w:r>
    </w:p>
    <w:p w14:paraId="342DBB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除法律规定或合同另有约定外，未经对方同意，任何一方当事人不得将对方提供的文件、技术秘密以及声明需要保密的资料信息等商业秘密泄露给第三方或者用于本合同以外的目的。</w:t>
      </w:r>
    </w:p>
    <w:p w14:paraId="67FBD01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57B2177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72" w:name="_Ref532336812"/>
      <w:bookmarkStart w:id="673" w:name="_Toc54862189"/>
      <w:bookmarkStart w:id="674" w:name="_Toc31194"/>
      <w:r>
        <w:rPr>
          <w:rFonts w:hint="eastAsia" w:ascii="方正仿宋_GB2312" w:hAnsi="方正仿宋_GB2312" w:eastAsia="方正仿宋_GB2312" w:cs="方正仿宋_GB2312"/>
          <w:b w:val="0"/>
          <w:bCs/>
          <w:color w:val="auto"/>
          <w:kern w:val="2"/>
          <w:sz w:val="21"/>
          <w:szCs w:val="21"/>
          <w:highlight w:val="none"/>
          <w:lang w:val="en-US" w:eastAsia="zh-CN" w:bidi="ar-SA"/>
        </w:rPr>
        <w:t xml:space="preserve">1.12 </w:t>
      </w:r>
      <w:bookmarkStart w:id="675" w:name="_Hlk55215423"/>
      <w:r>
        <w:rPr>
          <w:rFonts w:hint="eastAsia" w:ascii="方正仿宋_GB2312" w:hAnsi="方正仿宋_GB2312" w:eastAsia="方正仿宋_GB2312" w:cs="方正仿宋_GB2312"/>
          <w:b w:val="0"/>
          <w:bCs/>
          <w:color w:val="auto"/>
          <w:kern w:val="2"/>
          <w:sz w:val="21"/>
          <w:szCs w:val="21"/>
          <w:highlight w:val="none"/>
          <w:lang w:val="en-US" w:eastAsia="zh-CN" w:bidi="ar-SA"/>
        </w:rPr>
        <w:t>《发包人要求》和基础资料中的错误</w:t>
      </w:r>
      <w:bookmarkEnd w:id="672"/>
      <w:bookmarkEnd w:id="673"/>
      <w:bookmarkEnd w:id="674"/>
      <w:bookmarkEnd w:id="675"/>
    </w:p>
    <w:p w14:paraId="30D409A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承包人应尽早认真阅读、复核《发包人要求》以及其提供的基础资料，发现错误的，应及时书面通知发包人补正。发包人作相应修改的，按照第13条[变更与调整</w:t>
      </w:r>
      <w:bookmarkStart w:id="676" w:name="_Ref523403409"/>
      <w:bookmarkStart w:id="677" w:name="_Ref523403776"/>
      <w:r>
        <w:rPr>
          <w:rFonts w:hint="eastAsia" w:ascii="方正仿宋_GB2312" w:hAnsi="方正仿宋_GB2312" w:eastAsia="方正仿宋_GB2312" w:cs="方正仿宋_GB2312"/>
          <w:color w:val="auto"/>
          <w:szCs w:val="21"/>
          <w:highlight w:val="none"/>
        </w:rPr>
        <w:t>]的约定处理。</w:t>
      </w:r>
    </w:p>
    <w:p w14:paraId="4A6A09B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《发包人要求》或其提供的基础资料中的错误导致承包人增加费用和（或）工期延误的，发包人应承担由此增加的费用和（或）工期延误，并向承包人支付合理利润。</w:t>
      </w:r>
    </w:p>
    <w:bookmarkEnd w:id="676"/>
    <w:bookmarkEnd w:id="677"/>
    <w:p w14:paraId="01AA131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78" w:name="_Toc54862190"/>
      <w:bookmarkStart w:id="679" w:name="_Ref531949933"/>
      <w:bookmarkStart w:id="680" w:name="_Toc32671"/>
      <w:bookmarkStart w:id="681" w:name="_Ref531949937"/>
      <w:r>
        <w:rPr>
          <w:rFonts w:hint="eastAsia" w:ascii="方正仿宋_GB2312" w:hAnsi="方正仿宋_GB2312" w:eastAsia="方正仿宋_GB2312" w:cs="方正仿宋_GB2312"/>
          <w:b w:val="0"/>
          <w:bCs/>
          <w:color w:val="auto"/>
          <w:kern w:val="2"/>
          <w:sz w:val="21"/>
          <w:szCs w:val="21"/>
          <w:highlight w:val="none"/>
          <w:lang w:val="en-US" w:eastAsia="zh-CN" w:bidi="ar-SA"/>
        </w:rPr>
        <w:t>1.13 责任限制</w:t>
      </w:r>
      <w:bookmarkEnd w:id="678"/>
      <w:bookmarkEnd w:id="679"/>
      <w:bookmarkEnd w:id="680"/>
      <w:bookmarkEnd w:id="681"/>
    </w:p>
    <w:p w14:paraId="718F06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76E9CEF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82" w:name="_Toc5449"/>
      <w:bookmarkStart w:id="683" w:name="_Toc54862191"/>
      <w:bookmarkStart w:id="684" w:name="_Hlk51506160"/>
      <w:r>
        <w:rPr>
          <w:rFonts w:hint="eastAsia" w:ascii="方正仿宋_GB2312" w:hAnsi="方正仿宋_GB2312" w:eastAsia="方正仿宋_GB2312" w:cs="方正仿宋_GB2312"/>
          <w:b w:val="0"/>
          <w:bCs/>
          <w:color w:val="auto"/>
          <w:kern w:val="2"/>
          <w:sz w:val="21"/>
          <w:szCs w:val="21"/>
          <w:highlight w:val="none"/>
          <w:lang w:val="en-US" w:eastAsia="zh-CN" w:bidi="ar-SA"/>
        </w:rPr>
        <w:t>1.14 建筑信息模型技术的应用</w:t>
      </w:r>
      <w:bookmarkEnd w:id="682"/>
      <w:bookmarkEnd w:id="683"/>
    </w:p>
    <w:bookmarkEnd w:id="684"/>
    <w:p w14:paraId="27EAE2A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7048CD2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685" w:name="_Toc22283"/>
      <w:bookmarkStart w:id="686" w:name="_Ref4796511"/>
      <w:bookmarkStart w:id="687" w:name="_Toc54862192"/>
      <w:r>
        <w:rPr>
          <w:rFonts w:hint="eastAsia" w:ascii="方正仿宋_GB2312" w:hAnsi="方正仿宋_GB2312" w:eastAsia="方正仿宋_GB2312" w:cs="方正仿宋_GB2312"/>
          <w:b w:val="0"/>
          <w:bCs/>
          <w:color w:val="auto"/>
          <w:kern w:val="2"/>
          <w:sz w:val="28"/>
          <w:szCs w:val="28"/>
          <w:highlight w:val="none"/>
          <w:lang w:val="en-US" w:eastAsia="zh-CN" w:bidi="ar-SA"/>
        </w:rPr>
        <w:t>第2条 发包人</w:t>
      </w:r>
      <w:bookmarkEnd w:id="685"/>
      <w:bookmarkEnd w:id="686"/>
      <w:bookmarkEnd w:id="687"/>
    </w:p>
    <w:p w14:paraId="6244F05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88" w:name="_Toc25200"/>
      <w:bookmarkStart w:id="689" w:name="_Toc54862193"/>
      <w:r>
        <w:rPr>
          <w:rFonts w:hint="eastAsia" w:ascii="方正仿宋_GB2312" w:hAnsi="方正仿宋_GB2312" w:eastAsia="方正仿宋_GB2312" w:cs="方正仿宋_GB2312"/>
          <w:b w:val="0"/>
          <w:bCs/>
          <w:color w:val="auto"/>
          <w:kern w:val="2"/>
          <w:sz w:val="21"/>
          <w:szCs w:val="21"/>
          <w:highlight w:val="none"/>
          <w:lang w:val="en-US" w:eastAsia="zh-CN" w:bidi="ar-SA"/>
        </w:rPr>
        <w:t>2.1 遵守法律</w:t>
      </w:r>
      <w:bookmarkEnd w:id="688"/>
      <w:bookmarkEnd w:id="689"/>
    </w:p>
    <w:p w14:paraId="4BC5C2A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06DC95E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690" w:name="_Ref11917995"/>
      <w:bookmarkStart w:id="691" w:name="_Ref11917977"/>
      <w:bookmarkStart w:id="692" w:name="_Toc879"/>
      <w:bookmarkStart w:id="693" w:name="_Toc54862194"/>
      <w:r>
        <w:rPr>
          <w:rFonts w:hint="eastAsia" w:ascii="方正仿宋_GB2312" w:hAnsi="方正仿宋_GB2312" w:eastAsia="方正仿宋_GB2312" w:cs="方正仿宋_GB2312"/>
          <w:b w:val="0"/>
          <w:bCs/>
          <w:color w:val="auto"/>
          <w:kern w:val="2"/>
          <w:sz w:val="21"/>
          <w:szCs w:val="21"/>
          <w:highlight w:val="none"/>
          <w:lang w:val="en-US" w:eastAsia="zh-CN" w:bidi="ar-SA"/>
        </w:rPr>
        <w:t>2.2 提供施工现场和工作条件</w:t>
      </w:r>
      <w:bookmarkEnd w:id="690"/>
      <w:bookmarkEnd w:id="691"/>
      <w:bookmarkEnd w:id="692"/>
      <w:bookmarkEnd w:id="693"/>
      <w:bookmarkStart w:id="694" w:name="_Toc54862196"/>
      <w:bookmarkEnd w:id="694"/>
      <w:bookmarkStart w:id="695" w:name="_Toc54862197"/>
      <w:bookmarkEnd w:id="695"/>
      <w:bookmarkStart w:id="696" w:name="_Toc51505125"/>
      <w:bookmarkEnd w:id="696"/>
      <w:bookmarkStart w:id="697" w:name="_Toc51505123"/>
      <w:bookmarkEnd w:id="697"/>
      <w:bookmarkStart w:id="698" w:name="_Toc54862195"/>
      <w:bookmarkEnd w:id="698"/>
      <w:bookmarkStart w:id="699" w:name="_Toc51505124"/>
      <w:bookmarkEnd w:id="699"/>
      <w:bookmarkStart w:id="700" w:name="_Ref531950085"/>
    </w:p>
    <w:p w14:paraId="2380225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2.2.1 提供施工</w:t>
      </w:r>
      <w:bookmarkEnd w:id="700"/>
      <w:r>
        <w:rPr>
          <w:rFonts w:hint="eastAsia" w:ascii="方正仿宋_GB2312" w:hAnsi="方正仿宋_GB2312" w:eastAsia="方正仿宋_GB2312" w:cs="方正仿宋_GB2312"/>
          <w:color w:val="auto"/>
          <w:kern w:val="2"/>
          <w:sz w:val="21"/>
          <w:szCs w:val="21"/>
          <w:highlight w:val="none"/>
          <w:lang w:val="en-US" w:eastAsia="zh-CN" w:bidi="ar-SA"/>
        </w:rPr>
        <w:t>现场</w:t>
      </w:r>
    </w:p>
    <w:p w14:paraId="2AE1E27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发包人应按专用合同条件约定向承包人移交施工现场，</w:t>
      </w:r>
      <w:r>
        <w:rPr>
          <w:rFonts w:hint="eastAsia" w:ascii="方正仿宋_GB2312" w:hAnsi="方正仿宋_GB2312" w:eastAsia="方正仿宋_GB2312" w:cs="方正仿宋_GB2312"/>
          <w:color w:val="auto"/>
          <w:szCs w:val="21"/>
          <w:highlight w:val="none"/>
          <w:lang w:eastAsia="zh-CN"/>
        </w:rPr>
        <w:t>给予</w:t>
      </w:r>
      <w:r>
        <w:rPr>
          <w:rFonts w:hint="eastAsia" w:ascii="方正仿宋_GB2312" w:hAnsi="方正仿宋_GB2312" w:eastAsia="方正仿宋_GB2312" w:cs="方正仿宋_GB2312"/>
          <w:color w:val="auto"/>
          <w:szCs w:val="21"/>
          <w:highlight w:val="none"/>
        </w:rPr>
        <w:t>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3E36102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01" w:name="_Ref531950101"/>
      <w:r>
        <w:rPr>
          <w:rFonts w:hint="eastAsia" w:ascii="方正仿宋_GB2312" w:hAnsi="方正仿宋_GB2312" w:eastAsia="方正仿宋_GB2312" w:cs="方正仿宋_GB2312"/>
          <w:color w:val="auto"/>
          <w:kern w:val="2"/>
          <w:sz w:val="21"/>
          <w:szCs w:val="21"/>
          <w:highlight w:val="none"/>
          <w:lang w:val="en-US" w:eastAsia="zh-CN" w:bidi="ar-SA"/>
        </w:rPr>
        <w:t>2.2.2 提供工作条件</w:t>
      </w:r>
      <w:bookmarkEnd w:id="701"/>
    </w:p>
    <w:p w14:paraId="221B96B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发包人应按专用合同条件约定向承包人提供工作条件。专用合同条件对此没有约定的，发包人应负责提供开展本合同相关工作所需要的条件，包括：</w:t>
      </w:r>
    </w:p>
    <w:p w14:paraId="4709AAC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将施工用水、电力、通讯线路等施工所必需的条件接至施工现场内；</w:t>
      </w:r>
    </w:p>
    <w:p w14:paraId="7AF8244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保证向承包人提供正常施工所需要的进入施工现场的交通条件；</w:t>
      </w:r>
    </w:p>
    <w:p w14:paraId="7B1A9D7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协调处理施工现场周围地下管线和邻近建筑物、构筑物、古树名木、文物、化石及坟墓等的保护工作，并承担相关费用；</w:t>
      </w:r>
    </w:p>
    <w:p w14:paraId="563FE49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对工程现场临近发包人正在使用、运行</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由发包人用于生产的建筑物、构筑物、生产装置、设施、设备等，设置隔离设施，</w:t>
      </w:r>
      <w:r>
        <w:rPr>
          <w:rFonts w:hint="eastAsia" w:ascii="方正仿宋_GB2312" w:hAnsi="方正仿宋_GB2312" w:eastAsia="方正仿宋_GB2312" w:cs="方正仿宋_GB2312"/>
          <w:color w:val="auto"/>
          <w:szCs w:val="21"/>
          <w:highlight w:val="none"/>
          <w:lang w:eastAsia="zh-CN"/>
        </w:rPr>
        <w:t>树立</w:t>
      </w:r>
      <w:r>
        <w:rPr>
          <w:rFonts w:hint="eastAsia" w:ascii="方正仿宋_GB2312" w:hAnsi="方正仿宋_GB2312" w:eastAsia="方正仿宋_GB2312" w:cs="方正仿宋_GB2312"/>
          <w:color w:val="auto"/>
          <w:szCs w:val="21"/>
          <w:highlight w:val="none"/>
        </w:rPr>
        <w:t>禁止入内、禁止动火的明显标志， 并以书面形式通知承包人须遵守的安全规定和位置范围；</w:t>
      </w:r>
    </w:p>
    <w:p w14:paraId="1F49FD9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按照专用合同条件约定应提供的其他设施和条件。</w:t>
      </w:r>
    </w:p>
    <w:p w14:paraId="781346F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2.2.3 逾期提供的责任</w:t>
      </w:r>
    </w:p>
    <w:p w14:paraId="3AE52CA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因发包人原因未能按合同约定及时向承包人提供施工现场和施工条件的，由发包人承担由此增加的费用和（或）延误的工期。</w:t>
      </w:r>
    </w:p>
    <w:p w14:paraId="6C4D0CE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02" w:name="_Ref11918036"/>
      <w:bookmarkStart w:id="703" w:name="_Toc30554"/>
      <w:bookmarkStart w:id="704" w:name="_Ref11956654"/>
      <w:bookmarkStart w:id="705" w:name="_Ref11956647"/>
      <w:bookmarkStart w:id="706" w:name="_Toc54862198"/>
      <w:bookmarkStart w:id="707" w:name="_Ref11918025"/>
      <w:r>
        <w:rPr>
          <w:rFonts w:hint="eastAsia" w:ascii="方正仿宋_GB2312" w:hAnsi="方正仿宋_GB2312" w:eastAsia="方正仿宋_GB2312" w:cs="方正仿宋_GB2312"/>
          <w:b w:val="0"/>
          <w:bCs/>
          <w:color w:val="auto"/>
          <w:kern w:val="2"/>
          <w:sz w:val="21"/>
          <w:szCs w:val="21"/>
          <w:highlight w:val="none"/>
          <w:lang w:val="en-US" w:eastAsia="zh-CN" w:bidi="ar-SA"/>
        </w:rPr>
        <w:t>2.3 提供基础资料</w:t>
      </w:r>
      <w:bookmarkEnd w:id="702"/>
      <w:bookmarkEnd w:id="703"/>
      <w:bookmarkEnd w:id="704"/>
      <w:bookmarkEnd w:id="705"/>
      <w:bookmarkEnd w:id="706"/>
      <w:bookmarkEnd w:id="707"/>
    </w:p>
    <w:p w14:paraId="3F21A56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708" w:name="_Hlk51506429"/>
      <w:r>
        <w:rPr>
          <w:rFonts w:hint="eastAsia" w:ascii="方正仿宋_GB2312" w:hAnsi="方正仿宋_GB2312" w:eastAsia="方正仿宋_GB2312" w:cs="方正仿宋_GB2312"/>
          <w:color w:val="auto"/>
          <w:szCs w:val="21"/>
          <w:highlight w:val="none"/>
        </w:rPr>
        <w:t>发包人应按专用合同条件和《发包人要求》中的约定向承包人提供</w:t>
      </w:r>
      <w:bookmarkEnd w:id="708"/>
      <w:r>
        <w:rPr>
          <w:rFonts w:hint="eastAsia" w:ascii="方正仿宋_GB2312" w:hAnsi="方正仿宋_GB2312" w:eastAsia="方正仿宋_GB2312" w:cs="方正仿宋_GB2312"/>
          <w:color w:val="auto"/>
          <w:szCs w:val="21"/>
          <w:highlight w:val="none"/>
        </w:rPr>
        <w:t>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721C153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09" w:name="_Toc54862199"/>
      <w:bookmarkStart w:id="710" w:name="_Ref531950045"/>
      <w:bookmarkStart w:id="711" w:name="_Ref531950041"/>
      <w:bookmarkStart w:id="712" w:name="_Toc30097"/>
      <w:r>
        <w:rPr>
          <w:rFonts w:hint="eastAsia" w:ascii="方正仿宋_GB2312" w:hAnsi="方正仿宋_GB2312" w:eastAsia="方正仿宋_GB2312" w:cs="方正仿宋_GB2312"/>
          <w:b w:val="0"/>
          <w:bCs/>
          <w:color w:val="auto"/>
          <w:kern w:val="2"/>
          <w:sz w:val="21"/>
          <w:szCs w:val="21"/>
          <w:highlight w:val="none"/>
          <w:lang w:val="en-US" w:eastAsia="zh-CN" w:bidi="ar-SA"/>
        </w:rPr>
        <w:t>2.4 办理许可和批准</w:t>
      </w:r>
      <w:bookmarkEnd w:id="709"/>
      <w:bookmarkEnd w:id="710"/>
      <w:bookmarkEnd w:id="711"/>
      <w:bookmarkEnd w:id="712"/>
    </w:p>
    <w:p w14:paraId="71DF79D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13" w:name="_Toc51505128"/>
      <w:r>
        <w:rPr>
          <w:rFonts w:hint="eastAsia" w:ascii="方正仿宋_GB2312" w:hAnsi="方正仿宋_GB2312" w:eastAsia="方正仿宋_GB2312" w:cs="方正仿宋_GB2312"/>
          <w:color w:val="auto"/>
          <w:kern w:val="2"/>
          <w:sz w:val="21"/>
          <w:szCs w:val="21"/>
          <w:highlight w:val="none"/>
          <w:lang w:val="en-US" w:eastAsia="zh-CN" w:bidi="ar-SA"/>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713"/>
    </w:p>
    <w:p w14:paraId="1F71CA0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14" w:name="_Toc51505129"/>
      <w:r>
        <w:rPr>
          <w:rFonts w:hint="eastAsia" w:ascii="方正仿宋_GB2312" w:hAnsi="方正仿宋_GB2312" w:eastAsia="方正仿宋_GB2312" w:cs="方正仿宋_GB2312"/>
          <w:color w:val="auto"/>
          <w:kern w:val="2"/>
          <w:sz w:val="21"/>
          <w:szCs w:val="21"/>
          <w:highlight w:val="none"/>
          <w:lang w:val="en-US" w:eastAsia="zh-CN" w:bidi="ar-SA"/>
        </w:rPr>
        <w:t>2.4.2 因发包人原因未能及时办理完毕前述许可、批准或备案，由发包人承担由此增加的费用和（或）延误的工期，并支付承包人合理的利润。</w:t>
      </w:r>
      <w:bookmarkEnd w:id="714"/>
    </w:p>
    <w:p w14:paraId="2224F9C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15" w:name="_Toc4341"/>
      <w:bookmarkStart w:id="716" w:name="_Ref11918060"/>
      <w:bookmarkStart w:id="717" w:name="_Ref11956533"/>
      <w:bookmarkStart w:id="718" w:name="_Toc54862200"/>
      <w:bookmarkStart w:id="719" w:name="_Ref11956525"/>
      <w:bookmarkStart w:id="720" w:name="_Ref11918070"/>
      <w:r>
        <w:rPr>
          <w:rFonts w:hint="eastAsia" w:ascii="方正仿宋_GB2312" w:hAnsi="方正仿宋_GB2312" w:eastAsia="方正仿宋_GB2312" w:cs="方正仿宋_GB2312"/>
          <w:b w:val="0"/>
          <w:bCs/>
          <w:color w:val="auto"/>
          <w:kern w:val="2"/>
          <w:sz w:val="21"/>
          <w:szCs w:val="21"/>
          <w:highlight w:val="none"/>
          <w:lang w:val="en-US" w:eastAsia="zh-CN" w:bidi="ar-SA"/>
        </w:rPr>
        <w:t>2.5 支付合同价款</w:t>
      </w:r>
      <w:bookmarkEnd w:id="715"/>
      <w:bookmarkEnd w:id="716"/>
      <w:bookmarkEnd w:id="717"/>
      <w:bookmarkEnd w:id="718"/>
      <w:bookmarkEnd w:id="719"/>
      <w:bookmarkEnd w:id="720"/>
    </w:p>
    <w:p w14:paraId="38A81D9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21" w:name="_Toc51505131"/>
      <w:bookmarkStart w:id="722" w:name="_Ref531950147"/>
      <w:r>
        <w:rPr>
          <w:rFonts w:hint="eastAsia" w:ascii="方正仿宋_GB2312" w:hAnsi="方正仿宋_GB2312" w:eastAsia="方正仿宋_GB2312" w:cs="方正仿宋_GB2312"/>
          <w:color w:val="auto"/>
          <w:kern w:val="2"/>
          <w:sz w:val="21"/>
          <w:szCs w:val="21"/>
          <w:highlight w:val="none"/>
          <w:lang w:val="en-US" w:eastAsia="zh-CN" w:bidi="ar-SA"/>
        </w:rPr>
        <w:t>2.5.1 发包人应按合同约定向承包人及时支付合同价款。</w:t>
      </w:r>
      <w:bookmarkEnd w:id="721"/>
    </w:p>
    <w:bookmarkEnd w:id="722"/>
    <w:p w14:paraId="12E4579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23" w:name="_Toc51505132"/>
      <w:r>
        <w:rPr>
          <w:rFonts w:hint="eastAsia" w:ascii="方正仿宋_GB2312" w:hAnsi="方正仿宋_GB2312" w:eastAsia="方正仿宋_GB2312" w:cs="方正仿宋_GB2312"/>
          <w:color w:val="auto"/>
          <w:kern w:val="2"/>
          <w:sz w:val="21"/>
          <w:szCs w:val="21"/>
          <w:highlight w:val="none"/>
          <w:lang w:val="en-US" w:eastAsia="zh-CN" w:bidi="ar-SA"/>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723"/>
    </w:p>
    <w:p w14:paraId="1C39A9C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24" w:name="_Ref531950161"/>
      <w:bookmarkStart w:id="725" w:name="_Toc51505133"/>
      <w:r>
        <w:rPr>
          <w:rFonts w:hint="eastAsia" w:ascii="方正仿宋_GB2312" w:hAnsi="方正仿宋_GB2312" w:eastAsia="方正仿宋_GB2312" w:cs="方正仿宋_GB2312"/>
          <w:color w:val="auto"/>
          <w:kern w:val="2"/>
          <w:sz w:val="21"/>
          <w:szCs w:val="21"/>
          <w:highlight w:val="none"/>
          <w:lang w:val="en-US" w:eastAsia="zh-CN" w:bidi="ar-SA"/>
        </w:rPr>
        <w:t>2.5.3 发包人应当向承包人提供支付担保。支付担保可以采用银行保函或担保公司担保等形式，具体由合同当事人在专用合同条件中约定。</w:t>
      </w:r>
      <w:bookmarkEnd w:id="724"/>
      <w:bookmarkEnd w:id="725"/>
    </w:p>
    <w:p w14:paraId="02AD56C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26" w:name="_Toc54862201"/>
      <w:bookmarkStart w:id="727" w:name="_Toc20707"/>
      <w:r>
        <w:rPr>
          <w:rFonts w:hint="eastAsia" w:ascii="方正仿宋_GB2312" w:hAnsi="方正仿宋_GB2312" w:eastAsia="方正仿宋_GB2312" w:cs="方正仿宋_GB2312"/>
          <w:b w:val="0"/>
          <w:bCs/>
          <w:color w:val="auto"/>
          <w:kern w:val="2"/>
          <w:sz w:val="21"/>
          <w:szCs w:val="21"/>
          <w:highlight w:val="none"/>
          <w:lang w:val="en-US" w:eastAsia="zh-CN" w:bidi="ar-SA"/>
        </w:rPr>
        <w:t>2.6 现场管理配合</w:t>
      </w:r>
      <w:bookmarkEnd w:id="726"/>
      <w:bookmarkEnd w:id="727"/>
    </w:p>
    <w:p w14:paraId="790DE82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发包人应负责保证在现场或现场附近的发包人人员和发包人的其他承包人（如有）：</w:t>
      </w:r>
    </w:p>
    <w:p w14:paraId="6205350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（1）根据第7.3款[现场合作]的约定，与承包人进行合作；</w:t>
      </w:r>
    </w:p>
    <w:p w14:paraId="26C3752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（2）遵守第7.5款[现场劳动用工]、第7.6款[安全文明施工]、第7.7款[职业健康</w:t>
      </w:r>
      <w:bookmarkStart w:id="728" w:name="_Ref531952761"/>
      <w:bookmarkStart w:id="729" w:name="_Ref531952756"/>
      <w:r>
        <w:rPr>
          <w:rFonts w:hint="eastAsia" w:ascii="方正仿宋_GB2312" w:hAnsi="方正仿宋_GB2312" w:eastAsia="方正仿宋_GB2312" w:cs="方正仿宋_GB2312"/>
          <w:color w:val="auto"/>
          <w:szCs w:val="21"/>
          <w:highlight w:val="none"/>
        </w:rPr>
        <w:t>]和第7.8款[环境保护]的相关约定。</w:t>
      </w:r>
    </w:p>
    <w:p w14:paraId="4DFD1AF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发包人应与承包人、由发包人直接发包的其他承包人（如有）订立施工现场统一管理协议，明确各方的权利义务。</w:t>
      </w:r>
    </w:p>
    <w:p w14:paraId="0E18DD4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30" w:name="_Toc54862202"/>
      <w:bookmarkStart w:id="731" w:name="_Ref11959372"/>
      <w:bookmarkStart w:id="732" w:name="_Ref11959376"/>
      <w:bookmarkStart w:id="733" w:name="_Toc7739"/>
      <w:r>
        <w:rPr>
          <w:rFonts w:hint="eastAsia" w:ascii="方正仿宋_GB2312" w:hAnsi="方正仿宋_GB2312" w:eastAsia="方正仿宋_GB2312" w:cs="方正仿宋_GB2312"/>
          <w:b w:val="0"/>
          <w:bCs/>
          <w:color w:val="auto"/>
          <w:kern w:val="2"/>
          <w:sz w:val="21"/>
          <w:szCs w:val="21"/>
          <w:highlight w:val="none"/>
          <w:lang w:val="en-US" w:eastAsia="zh-CN" w:bidi="ar-SA"/>
        </w:rPr>
        <w:t>2.7 其他义务</w:t>
      </w:r>
      <w:bookmarkEnd w:id="730"/>
      <w:bookmarkEnd w:id="731"/>
      <w:bookmarkEnd w:id="732"/>
      <w:bookmarkEnd w:id="733"/>
    </w:p>
    <w:p w14:paraId="5DC3180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发包人应履行合同约定的其他义务，双方可在专用合同条件内对发包人应履行的其他义务进行补充约定。</w:t>
      </w:r>
    </w:p>
    <w:bookmarkEnd w:id="728"/>
    <w:bookmarkEnd w:id="729"/>
    <w:p w14:paraId="23B2195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734" w:name="_Ref531952791"/>
      <w:bookmarkStart w:id="735" w:name="_Toc1148"/>
      <w:bookmarkStart w:id="736" w:name="_Toc54862203"/>
      <w:r>
        <w:rPr>
          <w:rFonts w:hint="eastAsia" w:ascii="方正仿宋_GB2312" w:hAnsi="方正仿宋_GB2312" w:eastAsia="方正仿宋_GB2312" w:cs="方正仿宋_GB2312"/>
          <w:b w:val="0"/>
          <w:bCs/>
          <w:color w:val="auto"/>
          <w:kern w:val="2"/>
          <w:sz w:val="28"/>
          <w:szCs w:val="28"/>
          <w:highlight w:val="none"/>
          <w:lang w:val="en-US" w:eastAsia="zh-CN" w:bidi="ar-SA"/>
        </w:rPr>
        <w:t>第3条 发包人的管理</w:t>
      </w:r>
      <w:bookmarkEnd w:id="734"/>
      <w:bookmarkEnd w:id="735"/>
      <w:bookmarkEnd w:id="736"/>
    </w:p>
    <w:p w14:paraId="5E987E6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37" w:name="_Ref522810094"/>
      <w:bookmarkStart w:id="738" w:name="_Ref522810097"/>
      <w:bookmarkStart w:id="739" w:name="_Toc17865"/>
      <w:bookmarkStart w:id="740" w:name="_Ref531951538"/>
      <w:bookmarkStart w:id="741" w:name="_Toc54862204"/>
      <w:bookmarkStart w:id="742" w:name="_Ref531951533"/>
      <w:r>
        <w:rPr>
          <w:rFonts w:hint="eastAsia" w:ascii="方正仿宋_GB2312" w:hAnsi="方正仿宋_GB2312" w:eastAsia="方正仿宋_GB2312" w:cs="方正仿宋_GB2312"/>
          <w:b w:val="0"/>
          <w:bCs/>
          <w:color w:val="auto"/>
          <w:kern w:val="2"/>
          <w:sz w:val="21"/>
          <w:szCs w:val="21"/>
          <w:highlight w:val="none"/>
          <w:lang w:val="en-US" w:eastAsia="zh-CN" w:bidi="ar-SA"/>
        </w:rPr>
        <w:t>3.1 发包人</w:t>
      </w:r>
      <w:bookmarkEnd w:id="737"/>
      <w:bookmarkEnd w:id="738"/>
      <w:r>
        <w:rPr>
          <w:rFonts w:hint="eastAsia" w:ascii="方正仿宋_GB2312" w:hAnsi="方正仿宋_GB2312" w:eastAsia="方正仿宋_GB2312" w:cs="方正仿宋_GB2312"/>
          <w:b w:val="0"/>
          <w:bCs/>
          <w:color w:val="auto"/>
          <w:kern w:val="2"/>
          <w:sz w:val="21"/>
          <w:szCs w:val="21"/>
          <w:highlight w:val="none"/>
          <w:lang w:val="en-US" w:eastAsia="zh-CN" w:bidi="ar-SA"/>
        </w:rPr>
        <w:t>代表</w:t>
      </w:r>
      <w:bookmarkEnd w:id="739"/>
      <w:bookmarkEnd w:id="740"/>
      <w:bookmarkEnd w:id="741"/>
      <w:bookmarkEnd w:id="742"/>
    </w:p>
    <w:p w14:paraId="31F42B4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29290A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除非发包人另行通知承包人，发包人代表应被授予并且被认为具有发包人在授权范围内享有的相应权利，涉及第16.1款[由发包人解除合同]的权利除外。</w:t>
      </w:r>
    </w:p>
    <w:p w14:paraId="74E4E4E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发包人代表（或者在其为法人的情况下，被任命代表其行事的自然人）应：</w:t>
      </w:r>
    </w:p>
    <w:p w14:paraId="085F56F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履行指派给其的职责，行使发包人</w:t>
      </w:r>
      <w:r>
        <w:rPr>
          <w:rFonts w:hint="eastAsia" w:ascii="方正仿宋_GB2312" w:hAnsi="方正仿宋_GB2312" w:eastAsia="方正仿宋_GB2312" w:cs="方正仿宋_GB2312"/>
          <w:color w:val="auto"/>
          <w:szCs w:val="21"/>
          <w:highlight w:val="none"/>
          <w:lang w:eastAsia="zh-CN"/>
        </w:rPr>
        <w:t>托付</w:t>
      </w:r>
      <w:r>
        <w:rPr>
          <w:rFonts w:hint="eastAsia" w:ascii="方正仿宋_GB2312" w:hAnsi="方正仿宋_GB2312" w:eastAsia="方正仿宋_GB2312" w:cs="方正仿宋_GB2312"/>
          <w:color w:val="auto"/>
          <w:szCs w:val="21"/>
          <w:highlight w:val="none"/>
        </w:rPr>
        <w:t>的权利；</w:t>
      </w:r>
    </w:p>
    <w:p w14:paraId="39F3C7E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具备履行这些职责、行使这些权利的能力；</w:t>
      </w:r>
    </w:p>
    <w:p w14:paraId="2D9DF8A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作为熟练的专业人员行事。</w:t>
      </w:r>
    </w:p>
    <w:p w14:paraId="5CE8AF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如果发包人代表为法人且在签订本合同时未能确定授权代表的，发包人代表应在本合同签订之日起3日内向双方发出书面通知</w:t>
      </w:r>
      <w:r>
        <w:rPr>
          <w:rFonts w:hint="eastAsia" w:ascii="方正仿宋_GB2312" w:hAnsi="方正仿宋_GB2312" w:eastAsia="方正仿宋_GB2312" w:cs="方正仿宋_GB2312"/>
          <w:color w:val="auto"/>
          <w:szCs w:val="21"/>
          <w:highlight w:val="none"/>
          <w:lang w:eastAsia="zh-CN"/>
        </w:rPr>
        <w:t>，并</w:t>
      </w:r>
      <w:r>
        <w:rPr>
          <w:rFonts w:hint="eastAsia" w:ascii="方正仿宋_GB2312" w:hAnsi="方正仿宋_GB2312" w:eastAsia="方正仿宋_GB2312" w:cs="方正仿宋_GB2312"/>
          <w:color w:val="auto"/>
          <w:szCs w:val="21"/>
          <w:highlight w:val="none"/>
        </w:rPr>
        <w:t>告知被任命和授权的自然人以及任何替代人员。此授权在双方收到本通知后生效。发包人代表撤销该授权或者变更授权代表时也应同样发出该通知。</w:t>
      </w:r>
    </w:p>
    <w:p w14:paraId="2C803D5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发包人更换发包人代表的，应提前14天将更换人的姓名、地址、任务和权利</w:t>
      </w:r>
      <w:r>
        <w:rPr>
          <w:rFonts w:hint="eastAsia" w:ascii="方正仿宋_GB2312" w:hAnsi="方正仿宋_GB2312" w:eastAsia="方正仿宋_GB2312" w:cs="方正仿宋_GB2312"/>
          <w:color w:val="auto"/>
          <w:szCs w:val="21"/>
          <w:highlight w:val="none"/>
          <w:lang w:eastAsia="zh-CN"/>
        </w:rPr>
        <w:t>，以及</w:t>
      </w:r>
      <w:r>
        <w:rPr>
          <w:rFonts w:hint="eastAsia" w:ascii="方正仿宋_GB2312" w:hAnsi="方正仿宋_GB2312" w:eastAsia="方正仿宋_GB2312" w:cs="方正仿宋_GB2312"/>
          <w:color w:val="auto"/>
          <w:szCs w:val="21"/>
          <w:highlight w:val="none"/>
        </w:rPr>
        <w:t>任命的日期书面通知承包人。发包人不得将发包人代表更换为承包人根据本款发出</w:t>
      </w:r>
      <w:r>
        <w:rPr>
          <w:rFonts w:hint="eastAsia" w:ascii="方正仿宋_GB2312" w:hAnsi="方正仿宋_GB2312" w:eastAsia="方正仿宋_GB2312" w:cs="方正仿宋_GB2312"/>
          <w:color w:val="auto"/>
          <w:szCs w:val="21"/>
          <w:highlight w:val="none"/>
          <w:lang w:eastAsia="zh-CN"/>
        </w:rPr>
        <w:t>《通知》提出</w:t>
      </w:r>
      <w:r>
        <w:rPr>
          <w:rFonts w:hint="eastAsia" w:ascii="方正仿宋_GB2312" w:hAnsi="方正仿宋_GB2312" w:eastAsia="方正仿宋_GB2312" w:cs="方正仿宋_GB2312"/>
          <w:color w:val="auto"/>
          <w:szCs w:val="21"/>
          <w:highlight w:val="none"/>
        </w:rPr>
        <w:t>合理反对意见的人员，不论是法人还是自然人。</w:t>
      </w:r>
    </w:p>
    <w:p w14:paraId="73A6089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发包人代表不能按照合同约定履行其职责及义务，并导致合同无法继续正常履行的，承包人可以要求发包人撤换发包人代表。</w:t>
      </w:r>
    </w:p>
    <w:p w14:paraId="39E516F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43" w:name="_Toc54862205"/>
      <w:bookmarkStart w:id="744" w:name="_Toc18661"/>
      <w:bookmarkStart w:id="745" w:name="_Ref531951557"/>
      <w:bookmarkStart w:id="746" w:name="_Ref531951553"/>
      <w:r>
        <w:rPr>
          <w:rFonts w:hint="eastAsia" w:ascii="方正仿宋_GB2312" w:hAnsi="方正仿宋_GB2312" w:eastAsia="方正仿宋_GB2312" w:cs="方正仿宋_GB2312"/>
          <w:b w:val="0"/>
          <w:bCs/>
          <w:color w:val="auto"/>
          <w:kern w:val="2"/>
          <w:sz w:val="21"/>
          <w:szCs w:val="21"/>
          <w:highlight w:val="none"/>
          <w:lang w:val="en-US" w:eastAsia="zh-CN" w:bidi="ar-SA"/>
        </w:rPr>
        <w:t>3.2 发包人人员</w:t>
      </w:r>
      <w:bookmarkEnd w:id="743"/>
      <w:bookmarkEnd w:id="744"/>
      <w:bookmarkEnd w:id="745"/>
      <w:bookmarkEnd w:id="746"/>
    </w:p>
    <w:p w14:paraId="08287B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发包人人员包括发包人代表、工程师及其他由发包人派驻施工现场的人员，发包人可以在专用合同条件中明确发包人人员的姓名、职务及职责等事项。发包人或发包人代表</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随时对一些助手指派和托付一定的任务和权利，也</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撤销这些指派和托付。这些助手</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3AD399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发包人应要求在施工现场的发包人人员遵守法律及有关安全、质量、环境保护、文明施工等规定，因发包人人员未遵守上述要求给承包人造成的损失和责任由发包人承担。</w:t>
      </w:r>
    </w:p>
    <w:p w14:paraId="77B217D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47" w:name="_Toc16631"/>
      <w:bookmarkStart w:id="748" w:name="_Toc54862206"/>
      <w:r>
        <w:rPr>
          <w:rFonts w:hint="eastAsia" w:ascii="方正仿宋_GB2312" w:hAnsi="方正仿宋_GB2312" w:eastAsia="方正仿宋_GB2312" w:cs="方正仿宋_GB2312"/>
          <w:b w:val="0"/>
          <w:bCs/>
          <w:color w:val="auto"/>
          <w:kern w:val="2"/>
          <w:sz w:val="21"/>
          <w:szCs w:val="21"/>
          <w:highlight w:val="none"/>
          <w:lang w:val="en-US" w:eastAsia="zh-CN" w:bidi="ar-SA"/>
        </w:rPr>
        <w:t>3.3 工程师</w:t>
      </w:r>
      <w:bookmarkEnd w:id="747"/>
      <w:bookmarkEnd w:id="748"/>
    </w:p>
    <w:p w14:paraId="7D73436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3.3.1 发包人需对承包人的设计、采购、施工、服务等工作过程或过程节点实施监督管理的，有权委派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59842C3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242E1F7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1CB73E5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1ADD851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49" w:name="_Toc4411"/>
      <w:bookmarkStart w:id="750" w:name="_Toc54862207"/>
      <w:bookmarkStart w:id="751" w:name="_Ref531951594"/>
      <w:bookmarkStart w:id="752" w:name="_Ref531951597"/>
      <w:r>
        <w:rPr>
          <w:rFonts w:hint="eastAsia" w:ascii="方正仿宋_GB2312" w:hAnsi="方正仿宋_GB2312" w:eastAsia="方正仿宋_GB2312" w:cs="方正仿宋_GB2312"/>
          <w:b w:val="0"/>
          <w:bCs/>
          <w:color w:val="auto"/>
          <w:kern w:val="2"/>
          <w:sz w:val="21"/>
          <w:szCs w:val="21"/>
          <w:highlight w:val="none"/>
          <w:lang w:val="en-US" w:eastAsia="zh-CN" w:bidi="ar-SA"/>
        </w:rPr>
        <w:t>3.4 任命和授权</w:t>
      </w:r>
      <w:bookmarkEnd w:id="749"/>
      <w:bookmarkEnd w:id="750"/>
    </w:p>
    <w:p w14:paraId="1C26BC2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25ABA77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13CE290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53" w:name="_Toc54862208"/>
      <w:bookmarkStart w:id="754" w:name="_Ref20165400"/>
      <w:bookmarkStart w:id="755" w:name="_Toc243"/>
      <w:r>
        <w:rPr>
          <w:rFonts w:hint="eastAsia" w:ascii="方正仿宋_GB2312" w:hAnsi="方正仿宋_GB2312" w:eastAsia="方正仿宋_GB2312" w:cs="方正仿宋_GB2312"/>
          <w:b w:val="0"/>
          <w:bCs/>
          <w:color w:val="auto"/>
          <w:kern w:val="2"/>
          <w:sz w:val="21"/>
          <w:szCs w:val="21"/>
          <w:highlight w:val="none"/>
          <w:lang w:val="en-US" w:eastAsia="zh-CN" w:bidi="ar-SA"/>
        </w:rPr>
        <w:t>3.5 指示</w:t>
      </w:r>
      <w:bookmarkEnd w:id="751"/>
      <w:bookmarkEnd w:id="752"/>
      <w:bookmarkEnd w:id="753"/>
      <w:bookmarkEnd w:id="754"/>
      <w:bookmarkEnd w:id="755"/>
    </w:p>
    <w:p w14:paraId="15C5F9C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5D51664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3.5.2 承包人收到工程师作出的指示后应遵照执行。如果任何此类指示构成一项变更时，应按照第13条[变更与调整]的约定办理。</w:t>
      </w:r>
    </w:p>
    <w:p w14:paraId="73CE03E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3.5.3 由于工程师未能按合同约定发出指示、指示延误或指示错误而导致承包人费用增加和（或）工期延误的，发包人应承担由此增加的费用和（或）工期延误，并向承包人支付合理利润。</w:t>
      </w:r>
    </w:p>
    <w:p w14:paraId="7BF586C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56" w:name="_Toc54862209"/>
      <w:bookmarkStart w:id="757" w:name="_Ref531951611"/>
      <w:bookmarkStart w:id="758" w:name="_Ref531951609"/>
      <w:bookmarkStart w:id="759" w:name="_Toc12916"/>
      <w:r>
        <w:rPr>
          <w:rFonts w:hint="eastAsia" w:ascii="方正仿宋_GB2312" w:hAnsi="方正仿宋_GB2312" w:eastAsia="方正仿宋_GB2312" w:cs="方正仿宋_GB2312"/>
          <w:b w:val="0"/>
          <w:bCs/>
          <w:color w:val="auto"/>
          <w:kern w:val="2"/>
          <w:sz w:val="21"/>
          <w:szCs w:val="21"/>
          <w:highlight w:val="none"/>
          <w:lang w:val="en-US" w:eastAsia="zh-CN" w:bidi="ar-SA"/>
        </w:rPr>
        <w:t>3.6 商定或确定</w:t>
      </w:r>
      <w:bookmarkEnd w:id="756"/>
      <w:bookmarkEnd w:id="757"/>
      <w:bookmarkEnd w:id="758"/>
      <w:bookmarkEnd w:id="759"/>
    </w:p>
    <w:p w14:paraId="5BD0E4D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3.6.1 合同约定工程师应按照本款对任何事项进行商定或确定时，工程师应及时与合同当事人协商，尽量达成一致。工程师应将商定的结果以书面形式通知发包人和承包人，并由双方签署确认。</w:t>
      </w:r>
    </w:p>
    <w:p w14:paraId="67D6EB5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2C405C3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60" w:name="_Ref532287856"/>
      <w:r>
        <w:rPr>
          <w:rFonts w:hint="eastAsia" w:ascii="方正仿宋_GB2312" w:hAnsi="方正仿宋_GB2312" w:eastAsia="方正仿宋_GB2312" w:cs="方正仿宋_GB2312"/>
          <w:color w:val="auto"/>
          <w:kern w:val="2"/>
          <w:sz w:val="21"/>
          <w:szCs w:val="21"/>
          <w:highlight w:val="none"/>
          <w:lang w:val="en-US" w:eastAsia="zh-CN" w:bidi="ar-SA"/>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760"/>
    </w:p>
    <w:p w14:paraId="041BA7B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3.6.4 在该争议解决前，双方应暂按工程师的确定执行。按照第20条[争议解决]的约定对工程师的确定作出修改的，按修改后的结果执行，由此导致承包人增加的费用和延误的工期由责任方承担。</w:t>
      </w:r>
    </w:p>
    <w:p w14:paraId="672925F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61" w:name="_Ref531951749"/>
      <w:bookmarkStart w:id="762" w:name="_Toc30057"/>
      <w:bookmarkStart w:id="763" w:name="_Toc54862210"/>
      <w:bookmarkStart w:id="764" w:name="_Ref531951747"/>
      <w:r>
        <w:rPr>
          <w:rFonts w:hint="eastAsia" w:ascii="方正仿宋_GB2312" w:hAnsi="方正仿宋_GB2312" w:eastAsia="方正仿宋_GB2312" w:cs="方正仿宋_GB2312"/>
          <w:b w:val="0"/>
          <w:bCs/>
          <w:color w:val="auto"/>
          <w:kern w:val="2"/>
          <w:sz w:val="21"/>
          <w:szCs w:val="21"/>
          <w:highlight w:val="none"/>
          <w:lang w:val="en-US" w:eastAsia="zh-CN" w:bidi="ar-SA"/>
        </w:rPr>
        <w:t>3.7 会议</w:t>
      </w:r>
      <w:bookmarkEnd w:id="761"/>
      <w:bookmarkEnd w:id="762"/>
      <w:bookmarkEnd w:id="763"/>
      <w:bookmarkEnd w:id="764"/>
    </w:p>
    <w:p w14:paraId="7FDC584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48EE8EE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3.7.2 除专用合同条件另有约定外，发包人应保存每次会议参加人签名的记录，并将会议纪要提供给出席会议的人员。任何根据此类会议以及会议纪要采取的行动应符合本合同的约定。</w:t>
      </w:r>
    </w:p>
    <w:p w14:paraId="286944E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765" w:name="_Toc54862211"/>
      <w:bookmarkStart w:id="766" w:name="_Toc22990"/>
      <w:bookmarkStart w:id="767" w:name="_Ref531952805"/>
      <w:r>
        <w:rPr>
          <w:rFonts w:hint="eastAsia" w:ascii="方正仿宋_GB2312" w:hAnsi="方正仿宋_GB2312" w:eastAsia="方正仿宋_GB2312" w:cs="方正仿宋_GB2312"/>
          <w:b w:val="0"/>
          <w:bCs/>
          <w:color w:val="auto"/>
          <w:kern w:val="2"/>
          <w:sz w:val="28"/>
          <w:szCs w:val="28"/>
          <w:highlight w:val="none"/>
          <w:lang w:val="en-US" w:eastAsia="zh-CN" w:bidi="ar-SA"/>
        </w:rPr>
        <w:t>第4条 承包人</w:t>
      </w:r>
      <w:bookmarkEnd w:id="765"/>
      <w:bookmarkEnd w:id="766"/>
      <w:bookmarkEnd w:id="767"/>
    </w:p>
    <w:p w14:paraId="3A69790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68" w:name="_Ref531951941"/>
      <w:bookmarkStart w:id="769" w:name="_Ref531951945"/>
      <w:bookmarkStart w:id="770" w:name="_Toc18882"/>
      <w:bookmarkStart w:id="771" w:name="_Ref531951961"/>
      <w:bookmarkStart w:id="772" w:name="_Toc54862212"/>
      <w:bookmarkStart w:id="773" w:name="_Ref531951975"/>
      <w:bookmarkStart w:id="774" w:name="_Ref531951958"/>
      <w:r>
        <w:rPr>
          <w:rFonts w:hint="eastAsia" w:ascii="方正仿宋_GB2312" w:hAnsi="方正仿宋_GB2312" w:eastAsia="方正仿宋_GB2312" w:cs="方正仿宋_GB2312"/>
          <w:b w:val="0"/>
          <w:bCs/>
          <w:color w:val="auto"/>
          <w:kern w:val="2"/>
          <w:sz w:val="21"/>
          <w:szCs w:val="21"/>
          <w:highlight w:val="none"/>
          <w:lang w:val="en-US" w:eastAsia="zh-CN" w:bidi="ar-SA"/>
        </w:rPr>
        <w:t>4.1 承包人的一般义务</w:t>
      </w:r>
      <w:bookmarkEnd w:id="768"/>
      <w:bookmarkEnd w:id="769"/>
      <w:bookmarkEnd w:id="770"/>
      <w:bookmarkEnd w:id="771"/>
      <w:bookmarkEnd w:id="772"/>
      <w:bookmarkEnd w:id="773"/>
      <w:bookmarkEnd w:id="774"/>
    </w:p>
    <w:p w14:paraId="0357043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775" w:name="_Ref509046929"/>
      <w:r>
        <w:rPr>
          <w:rFonts w:hint="eastAsia" w:ascii="方正仿宋_GB2312" w:hAnsi="方正仿宋_GB2312" w:eastAsia="方正仿宋_GB2312" w:cs="方正仿宋_GB2312"/>
          <w:color w:val="auto"/>
          <w:szCs w:val="21"/>
          <w:highlight w:val="none"/>
        </w:rPr>
        <w:t>除专用合同条件另有约定外，承包人在履行合同过程中应遵守法律和工程建设标准规范，并履行以下义务：</w:t>
      </w:r>
    </w:p>
    <w:p w14:paraId="7F0B08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办理法律规定和合同约定由承包人办理的许可和批准</w:t>
      </w:r>
      <w:r>
        <w:rPr>
          <w:rFonts w:hint="eastAsia" w:ascii="方正仿宋_GB2312" w:hAnsi="方正仿宋_GB2312" w:eastAsia="方正仿宋_GB2312" w:cs="方正仿宋_GB2312"/>
          <w:color w:val="auto"/>
          <w:szCs w:val="21"/>
          <w:highlight w:val="none"/>
          <w:lang w:eastAsia="zh-CN"/>
        </w:rPr>
        <w:t>，并</w:t>
      </w:r>
      <w:r>
        <w:rPr>
          <w:rFonts w:hint="eastAsia" w:ascii="方正仿宋_GB2312" w:hAnsi="方正仿宋_GB2312" w:eastAsia="方正仿宋_GB2312" w:cs="方正仿宋_GB2312"/>
          <w:color w:val="auto"/>
          <w:szCs w:val="21"/>
          <w:highlight w:val="none"/>
        </w:rPr>
        <w:t>将办理结果书面报送发包人留存，并承担因承包人违反法律或合同约定给发包人造成的任何费用和损失；</w:t>
      </w:r>
    </w:p>
    <w:p w14:paraId="47C9E0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按合同约定完成全部工作并在缺陷责任期和保修期内承担缺陷保证责任和保修义务，对工作中的任何缺陷进行整改、完善和修补，使其满足合同约定的目的；</w:t>
      </w:r>
    </w:p>
    <w:p w14:paraId="1DB294A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提供合同约定的工程设备和承包人文件，以及为完成合同工作所需的劳务、材料、施工设备和其他物品，并按合同约定负责临时设施的设计、施工、运行、维护、管理和拆除；</w:t>
      </w:r>
    </w:p>
    <w:p w14:paraId="7835040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按合同约定的工作内容和进度要求，编制设计、施工的组织和实施计划，保证项目进度计划的实现，并对所有设计、施工作业和施工方法，以及全部工程的完备性和安全可靠性负责；</w:t>
      </w:r>
    </w:p>
    <w:p w14:paraId="316327F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按法律规定和合同约定采取安全文明施工、职业健康和环境保护措施，办理员工工伤保险等相关保险，确保工程及人员、材料、设备和设施的安全，防止因工程实施造成的人身伤害和财产损失；</w:t>
      </w:r>
    </w:p>
    <w:p w14:paraId="2C50398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将发包人按合同约定支付的各项价款专用于合同工程，且应及时支付其雇用人员（包括建筑工人）工资，并及时向分包人支付合同价款；</w:t>
      </w:r>
    </w:p>
    <w:p w14:paraId="2ED2FE3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在进行合同约定的各项工作时，不得侵害发包人与他人使用公用道路、水源、市政管网等公共设施的权利，避免对邻近的公共设施产生干扰。</w:t>
      </w:r>
    </w:p>
    <w:p w14:paraId="36D18F5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76" w:name="_Ref4426803"/>
      <w:bookmarkStart w:id="777" w:name="_Toc29615"/>
      <w:bookmarkStart w:id="778" w:name="_Toc54862213"/>
      <w:bookmarkStart w:id="779" w:name="_Ref4428418"/>
      <w:r>
        <w:rPr>
          <w:rFonts w:hint="eastAsia" w:ascii="方正仿宋_GB2312" w:hAnsi="方正仿宋_GB2312" w:eastAsia="方正仿宋_GB2312" w:cs="方正仿宋_GB2312"/>
          <w:b w:val="0"/>
          <w:bCs/>
          <w:color w:val="auto"/>
          <w:kern w:val="2"/>
          <w:sz w:val="21"/>
          <w:szCs w:val="21"/>
          <w:highlight w:val="none"/>
          <w:lang w:val="en-US" w:eastAsia="zh-CN" w:bidi="ar-SA"/>
        </w:rPr>
        <w:t>4.2 履约担保</w:t>
      </w:r>
      <w:bookmarkEnd w:id="776"/>
      <w:bookmarkEnd w:id="777"/>
      <w:bookmarkEnd w:id="778"/>
    </w:p>
    <w:p w14:paraId="3815792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12AE827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承包人应保证其履约担保在发包人竣工验收前一直有效，发包人应在竣工验收合格后7天内将履约担保款项退还给承包人或者解除履约担保。</w:t>
      </w:r>
    </w:p>
    <w:p w14:paraId="7D1187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因承包人原因导致工期延长的，继续提供履约担保所增加的费用由承包人承担；非因承包人原因导致工期延长的，继续提供履约担保所增加的费用由发包人承担。</w:t>
      </w:r>
    </w:p>
    <w:bookmarkEnd w:id="775"/>
    <w:bookmarkEnd w:id="779"/>
    <w:p w14:paraId="7270E09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80" w:name="_Ref532689108"/>
      <w:bookmarkStart w:id="781" w:name="_Ref532689105"/>
      <w:bookmarkStart w:id="782" w:name="_Toc21758"/>
      <w:bookmarkStart w:id="783" w:name="_Toc54862214"/>
      <w:r>
        <w:rPr>
          <w:rFonts w:hint="eastAsia" w:ascii="方正仿宋_GB2312" w:hAnsi="方正仿宋_GB2312" w:eastAsia="方正仿宋_GB2312" w:cs="方正仿宋_GB2312"/>
          <w:b w:val="0"/>
          <w:bCs/>
          <w:color w:val="auto"/>
          <w:kern w:val="2"/>
          <w:sz w:val="21"/>
          <w:szCs w:val="21"/>
          <w:highlight w:val="none"/>
          <w:lang w:val="en-US" w:eastAsia="zh-CN" w:bidi="ar-SA"/>
        </w:rPr>
        <w:t>4.3 工程总承包项目经理</w:t>
      </w:r>
      <w:bookmarkEnd w:id="780"/>
      <w:bookmarkEnd w:id="781"/>
      <w:bookmarkEnd w:id="782"/>
      <w:bookmarkEnd w:id="783"/>
    </w:p>
    <w:p w14:paraId="527ABD9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84" w:name="_Ref532351726"/>
      <w:r>
        <w:rPr>
          <w:rFonts w:hint="eastAsia" w:ascii="方正仿宋_GB2312" w:hAnsi="方正仿宋_GB2312" w:eastAsia="方正仿宋_GB2312" w:cs="方正仿宋_GB2312"/>
          <w:color w:val="auto"/>
          <w:kern w:val="2"/>
          <w:sz w:val="21"/>
          <w:szCs w:val="21"/>
          <w:highlight w:val="none"/>
          <w:lang w:val="en-US" w:eastAsia="zh-CN" w:bidi="ar-SA"/>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784"/>
    </w:p>
    <w:p w14:paraId="3096FB7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85" w:name="_Ref532689263"/>
      <w:r>
        <w:rPr>
          <w:rFonts w:hint="eastAsia" w:ascii="方正仿宋_GB2312" w:hAnsi="方正仿宋_GB2312" w:eastAsia="方正仿宋_GB2312" w:cs="方正仿宋_GB2312"/>
          <w:color w:val="auto"/>
          <w:kern w:val="2"/>
          <w:sz w:val="21"/>
          <w:szCs w:val="21"/>
          <w:highlight w:val="none"/>
          <w:lang w:val="en-US" w:eastAsia="zh-CN" w:bidi="ar-SA"/>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当按照专用合同条件的约定承担违约责任。工程总承包项目经理的通知中应当载明临时代行其职责的人员的注册执业资格、管理经验等资料，该人员应具备履行相应职责的资格、经验和能力。</w:t>
      </w:r>
      <w:bookmarkEnd w:id="785"/>
    </w:p>
    <w:p w14:paraId="619320D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86" w:name="_Ref532689178"/>
      <w:bookmarkStart w:id="787" w:name="_Ref531952112"/>
      <w:r>
        <w:rPr>
          <w:rFonts w:hint="eastAsia" w:ascii="方正仿宋_GB2312" w:hAnsi="方正仿宋_GB2312" w:eastAsia="方正仿宋_GB2312" w:cs="方正仿宋_GB2312"/>
          <w:color w:val="auto"/>
          <w:kern w:val="2"/>
          <w:sz w:val="21"/>
          <w:szCs w:val="21"/>
          <w:highlight w:val="none"/>
          <w:lang w:val="en-US" w:eastAsia="zh-CN" w:bidi="ar-SA"/>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786"/>
    </w:p>
    <w:bookmarkEnd w:id="787"/>
    <w:p w14:paraId="2A8EF94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88" w:name="_Ref4426412"/>
      <w:r>
        <w:rPr>
          <w:rFonts w:hint="eastAsia" w:ascii="方正仿宋_GB2312" w:hAnsi="方正仿宋_GB2312" w:eastAsia="方正仿宋_GB2312" w:cs="方正仿宋_GB2312"/>
          <w:color w:val="auto"/>
          <w:kern w:val="2"/>
          <w:sz w:val="21"/>
          <w:szCs w:val="21"/>
          <w:highlight w:val="none"/>
          <w:lang w:val="en-US" w:eastAsia="zh-CN" w:bidi="ar-SA"/>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789" w:name="_Hlk55056591"/>
      <w:r>
        <w:rPr>
          <w:rFonts w:hint="eastAsia" w:ascii="方正仿宋_GB2312" w:hAnsi="方正仿宋_GB2312" w:eastAsia="方正仿宋_GB2312" w:cs="方正仿宋_GB2312"/>
          <w:color w:val="auto"/>
          <w:kern w:val="2"/>
          <w:sz w:val="21"/>
          <w:szCs w:val="21"/>
          <w:highlight w:val="none"/>
          <w:lang w:val="en-US" w:eastAsia="zh-CN" w:bidi="ar-SA"/>
        </w:rPr>
        <w:t>应按照专用合同条件的约定承担违约责任。</w:t>
      </w:r>
      <w:bookmarkEnd w:id="788"/>
      <w:bookmarkEnd w:id="789"/>
    </w:p>
    <w:p w14:paraId="0FBCC2A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90" w:name="_Ref531952137"/>
      <w:r>
        <w:rPr>
          <w:rFonts w:hint="eastAsia" w:ascii="方正仿宋_GB2312" w:hAnsi="方正仿宋_GB2312" w:eastAsia="方正仿宋_GB2312" w:cs="方正仿宋_GB2312"/>
          <w:color w:val="auto"/>
          <w:kern w:val="2"/>
          <w:sz w:val="21"/>
          <w:szCs w:val="21"/>
          <w:highlight w:val="none"/>
          <w:lang w:val="en-US" w:eastAsia="zh-CN" w:bidi="ar-SA"/>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790"/>
    </w:p>
    <w:p w14:paraId="2374F51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91" w:name="_Ref122620"/>
      <w:r>
        <w:rPr>
          <w:rFonts w:hint="eastAsia" w:ascii="方正仿宋_GB2312" w:hAnsi="方正仿宋_GB2312" w:eastAsia="方正仿宋_GB2312" w:cs="方正仿宋_GB2312"/>
          <w:color w:val="auto"/>
          <w:kern w:val="2"/>
          <w:sz w:val="21"/>
          <w:szCs w:val="21"/>
          <w:highlight w:val="none"/>
          <w:lang w:val="en-US" w:eastAsia="zh-CN" w:bidi="ar-SA"/>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791"/>
    </w:p>
    <w:p w14:paraId="2DDEA77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792" w:name="_Toc28283"/>
      <w:bookmarkStart w:id="793" w:name="_Ref531952172"/>
      <w:bookmarkStart w:id="794" w:name="_Ref531952175"/>
      <w:bookmarkStart w:id="795" w:name="_Toc54862215"/>
      <w:r>
        <w:rPr>
          <w:rFonts w:hint="eastAsia" w:ascii="方正仿宋_GB2312" w:hAnsi="方正仿宋_GB2312" w:eastAsia="方正仿宋_GB2312" w:cs="方正仿宋_GB2312"/>
          <w:b w:val="0"/>
          <w:bCs/>
          <w:color w:val="auto"/>
          <w:kern w:val="2"/>
          <w:sz w:val="21"/>
          <w:szCs w:val="21"/>
          <w:highlight w:val="none"/>
          <w:lang w:val="en-US" w:eastAsia="zh-CN" w:bidi="ar-SA"/>
        </w:rPr>
        <w:t>4.4 承包人人员</w:t>
      </w:r>
      <w:bookmarkEnd w:id="792"/>
      <w:bookmarkEnd w:id="793"/>
      <w:bookmarkEnd w:id="794"/>
      <w:bookmarkEnd w:id="795"/>
    </w:p>
    <w:p w14:paraId="1D3AFE4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96" w:name="_Ref531952185"/>
      <w:r>
        <w:rPr>
          <w:rFonts w:hint="eastAsia" w:ascii="方正仿宋_GB2312" w:hAnsi="方正仿宋_GB2312" w:eastAsia="方正仿宋_GB2312" w:cs="方正仿宋_GB2312"/>
          <w:color w:val="auto"/>
          <w:kern w:val="2"/>
          <w:sz w:val="21"/>
          <w:szCs w:val="21"/>
          <w:highlight w:val="none"/>
          <w:lang w:val="en-US" w:eastAsia="zh-CN" w:bidi="ar-SA"/>
        </w:rPr>
        <w:t>4.4.1 人员安排</w:t>
      </w:r>
      <w:bookmarkEnd w:id="796"/>
    </w:p>
    <w:p w14:paraId="63330EA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348819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关键人员</w:t>
      </w:r>
      <w:bookmarkStart w:id="797" w:name="_Hlk16210335"/>
      <w:r>
        <w:rPr>
          <w:rFonts w:hint="eastAsia" w:ascii="方正仿宋_GB2312" w:hAnsi="方正仿宋_GB2312" w:eastAsia="方正仿宋_GB2312" w:cs="方正仿宋_GB2312"/>
          <w:color w:val="auto"/>
          <w:szCs w:val="21"/>
          <w:highlight w:val="none"/>
        </w:rPr>
        <w:t>是发包人及承包人一致认为对工程建设起重要作用的承包人主要管理人员或技术人员。关键人员的具体范围由发包人及承包人在附件5[承包人主要管理人员表]中另行约定。</w:t>
      </w:r>
    </w:p>
    <w:bookmarkEnd w:id="797"/>
    <w:p w14:paraId="3CE5109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798" w:name="_Ref531952211"/>
      <w:bookmarkStart w:id="799" w:name="_Ref4426641"/>
      <w:r>
        <w:rPr>
          <w:rFonts w:hint="eastAsia" w:ascii="方正仿宋_GB2312" w:hAnsi="方正仿宋_GB2312" w:eastAsia="方正仿宋_GB2312" w:cs="方正仿宋_GB2312"/>
          <w:color w:val="auto"/>
          <w:kern w:val="2"/>
          <w:sz w:val="21"/>
          <w:szCs w:val="21"/>
          <w:highlight w:val="none"/>
          <w:lang w:val="en-US" w:eastAsia="zh-CN" w:bidi="ar-SA"/>
        </w:rPr>
        <w:t>4.4.2 关键人员更换</w:t>
      </w:r>
      <w:bookmarkEnd w:id="798"/>
      <w:bookmarkEnd w:id="799"/>
    </w:p>
    <w:p w14:paraId="79F9709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w:t>
      </w:r>
      <w:r>
        <w:rPr>
          <w:rFonts w:hint="eastAsia" w:ascii="方正仿宋_GB2312" w:hAnsi="方正仿宋_GB2312" w:eastAsia="方正仿宋_GB2312" w:cs="方正仿宋_GB2312"/>
          <w:color w:val="auto"/>
          <w:szCs w:val="21"/>
          <w:highlight w:val="none"/>
          <w:lang w:eastAsia="zh-CN"/>
        </w:rPr>
        <w:t>派驻</w:t>
      </w:r>
      <w:r>
        <w:rPr>
          <w:rFonts w:hint="eastAsia" w:ascii="方正仿宋_GB2312" w:hAnsi="方正仿宋_GB2312" w:eastAsia="方正仿宋_GB2312" w:cs="方正仿宋_GB2312"/>
          <w:color w:val="auto"/>
          <w:szCs w:val="21"/>
          <w:highlight w:val="none"/>
        </w:rPr>
        <w:t>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259E777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17D5214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00" w:name="_Ref531952227"/>
      <w:r>
        <w:rPr>
          <w:rFonts w:hint="eastAsia" w:ascii="方正仿宋_GB2312" w:hAnsi="方正仿宋_GB2312" w:eastAsia="方正仿宋_GB2312" w:cs="方正仿宋_GB2312"/>
          <w:color w:val="auto"/>
          <w:kern w:val="2"/>
          <w:sz w:val="21"/>
          <w:szCs w:val="21"/>
          <w:highlight w:val="none"/>
          <w:lang w:val="en-US" w:eastAsia="zh-CN" w:bidi="ar-SA"/>
        </w:rPr>
        <w:t>4.4.3 现场管理关键人员在岗要求</w:t>
      </w:r>
      <w:bookmarkEnd w:id="800"/>
    </w:p>
    <w:p w14:paraId="1F66301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6524FF6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01" w:name="_Ref531952262"/>
      <w:bookmarkStart w:id="802" w:name="_Toc54862216"/>
      <w:bookmarkStart w:id="803" w:name="_Ref531952259"/>
      <w:bookmarkStart w:id="804" w:name="_Toc6579"/>
      <w:r>
        <w:rPr>
          <w:rFonts w:hint="eastAsia" w:ascii="方正仿宋_GB2312" w:hAnsi="方正仿宋_GB2312" w:eastAsia="方正仿宋_GB2312" w:cs="方正仿宋_GB2312"/>
          <w:b w:val="0"/>
          <w:bCs/>
          <w:color w:val="auto"/>
          <w:kern w:val="2"/>
          <w:sz w:val="21"/>
          <w:szCs w:val="21"/>
          <w:highlight w:val="none"/>
          <w:lang w:val="en-US" w:eastAsia="zh-CN" w:bidi="ar-SA"/>
        </w:rPr>
        <w:t>4.5 分包</w:t>
      </w:r>
      <w:bookmarkEnd w:id="801"/>
      <w:bookmarkEnd w:id="802"/>
      <w:bookmarkEnd w:id="803"/>
      <w:bookmarkEnd w:id="804"/>
    </w:p>
    <w:p w14:paraId="34C6B5B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05" w:name="_Ref531952273"/>
      <w:r>
        <w:rPr>
          <w:rFonts w:hint="eastAsia" w:ascii="方正仿宋_GB2312" w:hAnsi="方正仿宋_GB2312" w:eastAsia="方正仿宋_GB2312" w:cs="方正仿宋_GB2312"/>
          <w:color w:val="auto"/>
          <w:kern w:val="2"/>
          <w:sz w:val="21"/>
          <w:szCs w:val="21"/>
          <w:highlight w:val="none"/>
          <w:lang w:val="en-US" w:eastAsia="zh-CN" w:bidi="ar-SA"/>
        </w:rPr>
        <w:t>4.5.1 一般约定</w:t>
      </w:r>
      <w:bookmarkEnd w:id="805"/>
    </w:p>
    <w:p w14:paraId="6689093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承包人不得将其承包的全部工程转包给第三人，或将其承包的全部工程</w:t>
      </w:r>
      <w:r>
        <w:rPr>
          <w:rFonts w:hint="eastAsia" w:ascii="方正仿宋_GB2312" w:hAnsi="方正仿宋_GB2312" w:eastAsia="方正仿宋_GB2312" w:cs="方正仿宋_GB2312"/>
          <w:color w:val="auto"/>
          <w:szCs w:val="21"/>
          <w:highlight w:val="none"/>
          <w:lang w:eastAsia="zh-CN"/>
        </w:rPr>
        <w:t>肢解</w:t>
      </w:r>
      <w:r>
        <w:rPr>
          <w:rFonts w:hint="eastAsia" w:ascii="方正仿宋_GB2312" w:hAnsi="方正仿宋_GB2312" w:eastAsia="方正仿宋_GB2312" w:cs="方正仿宋_GB2312"/>
          <w:color w:val="auto"/>
          <w:szCs w:val="21"/>
          <w:highlight w:val="none"/>
        </w:rPr>
        <w:t>后以分包的名义转包给第三人。承包人不得将法律或专用合同条件中禁止分包的工作事项分包给第三人，不得以劳务分包的名义转包或违法分包工程。</w:t>
      </w:r>
    </w:p>
    <w:p w14:paraId="0967C1F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06" w:name="_Ref531952286"/>
      <w:r>
        <w:rPr>
          <w:rFonts w:hint="eastAsia" w:ascii="方正仿宋_GB2312" w:hAnsi="方正仿宋_GB2312" w:eastAsia="方正仿宋_GB2312" w:cs="方正仿宋_GB2312"/>
          <w:color w:val="auto"/>
          <w:kern w:val="2"/>
          <w:sz w:val="21"/>
          <w:szCs w:val="21"/>
          <w:highlight w:val="none"/>
          <w:lang w:val="en-US" w:eastAsia="zh-CN" w:bidi="ar-SA"/>
        </w:rPr>
        <w:t>4.5.2 分包的确定</w:t>
      </w:r>
      <w:bookmarkEnd w:id="806"/>
    </w:p>
    <w:p w14:paraId="7D03F82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承包人应按照专用合同条件约定对工作事项进行分包，确定分包人。</w:t>
      </w:r>
    </w:p>
    <w:p w14:paraId="133DF3C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0BAAAB0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4.5.3 分包人资质</w:t>
      </w:r>
    </w:p>
    <w:p w14:paraId="5550DF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分包人应符合国家法律规定的资质等级，否则不能作为分包人。承包人有义务对分包人的资质进行审查。</w:t>
      </w:r>
    </w:p>
    <w:p w14:paraId="7FBC1DC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4.5.4 分包管理</w:t>
      </w:r>
    </w:p>
    <w:p w14:paraId="77E069C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581BFF9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07" w:name="_Ref531952298"/>
      <w:r>
        <w:rPr>
          <w:rFonts w:hint="eastAsia" w:ascii="方正仿宋_GB2312" w:hAnsi="方正仿宋_GB2312" w:eastAsia="方正仿宋_GB2312" w:cs="方正仿宋_GB2312"/>
          <w:color w:val="auto"/>
          <w:kern w:val="2"/>
          <w:sz w:val="21"/>
          <w:szCs w:val="21"/>
          <w:highlight w:val="none"/>
          <w:lang w:val="en-US" w:eastAsia="zh-CN" w:bidi="ar-SA"/>
        </w:rPr>
        <w:t>4.5.5 分包合同价款支付</w:t>
      </w:r>
      <w:bookmarkEnd w:id="807"/>
    </w:p>
    <w:p w14:paraId="3DEABD2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除本项第（2）目约定的情况或专用合同条件另有约定外，分包合同价款由承包人与分包人结算，未经承包人同意，发包人不得向分包人支付分包合同价款；</w:t>
      </w:r>
    </w:p>
    <w:p w14:paraId="56E4E4B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808" w:name="_Ref4613798"/>
      <w:r>
        <w:rPr>
          <w:rFonts w:hint="eastAsia" w:ascii="方正仿宋_GB2312" w:hAnsi="方正仿宋_GB2312" w:eastAsia="方正仿宋_GB2312" w:cs="方正仿宋_GB2312"/>
          <w:color w:val="auto"/>
          <w:szCs w:val="21"/>
          <w:highlight w:val="none"/>
        </w:rPr>
        <w:t>（2） 生效法律文书要求发包人向分包人支付分包合同价款的，发包人有权从应付承包人工程款中扣除该部分款项</w:t>
      </w:r>
      <w:bookmarkEnd w:id="808"/>
      <w:r>
        <w:rPr>
          <w:rFonts w:hint="eastAsia" w:ascii="方正仿宋_GB2312" w:hAnsi="方正仿宋_GB2312" w:eastAsia="方正仿宋_GB2312" w:cs="方正仿宋_GB2312"/>
          <w:color w:val="auto"/>
          <w:szCs w:val="21"/>
          <w:highlight w:val="none"/>
          <w:lang w:eastAsia="zh-CN"/>
        </w:rPr>
        <w:t>，并</w:t>
      </w:r>
      <w:r>
        <w:rPr>
          <w:rFonts w:hint="eastAsia" w:ascii="方正仿宋_GB2312" w:hAnsi="方正仿宋_GB2312" w:eastAsia="方正仿宋_GB2312" w:cs="方正仿宋_GB2312"/>
          <w:color w:val="auto"/>
          <w:szCs w:val="21"/>
          <w:highlight w:val="none"/>
        </w:rPr>
        <w:t>将扣款直接支付给分包人，并书面通知承包人。</w:t>
      </w:r>
    </w:p>
    <w:p w14:paraId="69A8041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4.5.6 责任承担</w:t>
      </w:r>
    </w:p>
    <w:p w14:paraId="5BB298C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承包人对分包人的行为向发包人负责，承包人和分包人就分包工作向发包人承担连带责任。</w:t>
      </w:r>
    </w:p>
    <w:p w14:paraId="0D7720D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09" w:name="_Ref4426916"/>
      <w:bookmarkStart w:id="810" w:name="_Toc24879"/>
      <w:bookmarkStart w:id="811" w:name="_Toc54862217"/>
      <w:bookmarkStart w:id="812" w:name="_Ref531952317"/>
      <w:bookmarkStart w:id="813" w:name="_Ref4768805"/>
      <w:bookmarkStart w:id="814" w:name="_Ref531952321"/>
      <w:r>
        <w:rPr>
          <w:rFonts w:hint="eastAsia" w:ascii="方正仿宋_GB2312" w:hAnsi="方正仿宋_GB2312" w:eastAsia="方正仿宋_GB2312" w:cs="方正仿宋_GB2312"/>
          <w:b w:val="0"/>
          <w:bCs/>
          <w:color w:val="auto"/>
          <w:kern w:val="2"/>
          <w:sz w:val="21"/>
          <w:szCs w:val="21"/>
          <w:highlight w:val="none"/>
          <w:lang w:val="en-US" w:eastAsia="zh-CN" w:bidi="ar-SA"/>
        </w:rPr>
        <w:t>4.6 联合体</w:t>
      </w:r>
      <w:bookmarkEnd w:id="809"/>
      <w:bookmarkEnd w:id="810"/>
      <w:bookmarkEnd w:id="811"/>
    </w:p>
    <w:p w14:paraId="3EA262C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15" w:name="_Hlk16235129"/>
      <w:r>
        <w:rPr>
          <w:rFonts w:hint="eastAsia" w:ascii="方正仿宋_GB2312" w:hAnsi="方正仿宋_GB2312" w:eastAsia="方正仿宋_GB2312" w:cs="方正仿宋_GB2312"/>
          <w:color w:val="auto"/>
          <w:kern w:val="2"/>
          <w:sz w:val="21"/>
          <w:szCs w:val="21"/>
          <w:highlight w:val="none"/>
          <w:lang w:val="en-US" w:eastAsia="zh-CN" w:bidi="ar-SA"/>
        </w:rPr>
        <w:t>4.6.1 经发包人同意，</w:t>
      </w:r>
      <w:bookmarkEnd w:id="815"/>
      <w:r>
        <w:rPr>
          <w:rFonts w:hint="eastAsia" w:ascii="方正仿宋_GB2312" w:hAnsi="方正仿宋_GB2312" w:eastAsia="方正仿宋_GB2312" w:cs="方正仿宋_GB2312"/>
          <w:color w:val="auto"/>
          <w:kern w:val="2"/>
          <w:sz w:val="21"/>
          <w:szCs w:val="21"/>
          <w:highlight w:val="none"/>
          <w:lang w:val="en-US" w:eastAsia="zh-CN" w:bidi="ar-SA"/>
        </w:rPr>
        <w:t>以联合体方式承包工程的，联合体各方应共同与发包人订立合同协议书。联合体各方应为履行合同向发包人承担连带责任。</w:t>
      </w:r>
    </w:p>
    <w:p w14:paraId="76A23FE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3C632A4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4.6.3 联合体协议经发包人确认后作为合同附件。在履行合同过程中，未经发包人同意，不得变更联合体成员和其负责的工作范围，或者修改联合体协议中与本合同履行相关的内容。</w:t>
      </w:r>
    </w:p>
    <w:p w14:paraId="026CE1A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16" w:name="_Ref11926631"/>
      <w:bookmarkStart w:id="817" w:name="_Toc54862218"/>
      <w:bookmarkStart w:id="818" w:name="_Toc24253"/>
      <w:bookmarkStart w:id="819" w:name="_Ref11926629"/>
      <w:r>
        <w:rPr>
          <w:rFonts w:hint="eastAsia" w:ascii="方正仿宋_GB2312" w:hAnsi="方正仿宋_GB2312" w:eastAsia="方正仿宋_GB2312" w:cs="方正仿宋_GB2312"/>
          <w:b w:val="0"/>
          <w:bCs/>
          <w:color w:val="auto"/>
          <w:kern w:val="2"/>
          <w:sz w:val="21"/>
          <w:szCs w:val="21"/>
          <w:highlight w:val="none"/>
          <w:lang w:val="en-US" w:eastAsia="zh-CN" w:bidi="ar-SA"/>
        </w:rPr>
        <w:t>4.7 承包人现场查勘</w:t>
      </w:r>
      <w:bookmarkEnd w:id="816"/>
      <w:bookmarkEnd w:id="817"/>
      <w:bookmarkEnd w:id="818"/>
      <w:bookmarkEnd w:id="819"/>
    </w:p>
    <w:p w14:paraId="09E78BC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5E7BBC1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691D98F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20" w:name="_Ref11918693"/>
      <w:bookmarkStart w:id="821" w:name="_Toc54862219"/>
      <w:bookmarkStart w:id="822" w:name="_Toc7107"/>
      <w:bookmarkStart w:id="823" w:name="_Ref11918789"/>
      <w:bookmarkStart w:id="824" w:name="_Ref11918626"/>
      <w:bookmarkStart w:id="825" w:name="不可预见的困难"/>
      <w:r>
        <w:rPr>
          <w:rFonts w:hint="eastAsia" w:ascii="方正仿宋_GB2312" w:hAnsi="方正仿宋_GB2312" w:eastAsia="方正仿宋_GB2312" w:cs="方正仿宋_GB2312"/>
          <w:b w:val="0"/>
          <w:bCs/>
          <w:color w:val="auto"/>
          <w:kern w:val="2"/>
          <w:sz w:val="21"/>
          <w:szCs w:val="21"/>
          <w:highlight w:val="none"/>
          <w:lang w:val="en-US" w:eastAsia="zh-CN" w:bidi="ar-SA"/>
        </w:rPr>
        <w:t>4.8 不可预见的困难</w:t>
      </w:r>
      <w:bookmarkEnd w:id="812"/>
      <w:bookmarkEnd w:id="813"/>
      <w:bookmarkEnd w:id="814"/>
      <w:bookmarkEnd w:id="820"/>
      <w:bookmarkEnd w:id="821"/>
      <w:bookmarkEnd w:id="822"/>
      <w:bookmarkEnd w:id="823"/>
      <w:bookmarkEnd w:id="824"/>
      <w:bookmarkEnd w:id="825"/>
    </w:p>
    <w:p w14:paraId="51AA25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08F5A9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3C5FEB3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26" w:name="_Ref11926570"/>
      <w:bookmarkStart w:id="827" w:name="_Ref11926566"/>
      <w:bookmarkStart w:id="828" w:name="_Toc28310"/>
      <w:bookmarkStart w:id="829" w:name="_Toc54862220"/>
      <w:r>
        <w:rPr>
          <w:rFonts w:hint="eastAsia" w:ascii="方正仿宋_GB2312" w:hAnsi="方正仿宋_GB2312" w:eastAsia="方正仿宋_GB2312" w:cs="方正仿宋_GB2312"/>
          <w:b w:val="0"/>
          <w:bCs/>
          <w:color w:val="auto"/>
          <w:kern w:val="2"/>
          <w:sz w:val="21"/>
          <w:szCs w:val="21"/>
          <w:highlight w:val="none"/>
          <w:lang w:val="en-US" w:eastAsia="zh-CN" w:bidi="ar-SA"/>
        </w:rPr>
        <w:t>4.9 工程质量管理</w:t>
      </w:r>
      <w:bookmarkEnd w:id="826"/>
      <w:bookmarkEnd w:id="827"/>
      <w:bookmarkEnd w:id="828"/>
      <w:bookmarkEnd w:id="829"/>
    </w:p>
    <w:p w14:paraId="567E532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19345EB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1DA3BE6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4.9.3 承包人应对其人员进行质量教育和技术培训，定期考核人员的劳动技能，严格执行相关规范和操作规程。</w:t>
      </w:r>
    </w:p>
    <w:p w14:paraId="4DCD872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4.9.4 承包人应按照法律规定和合同约定，对设计、材料、工程设备以及全部工程内容及其施工工艺进行全过程的质量检查和检验，并做详细记录，编制工程质量报表，报送工程师审查。此外，承包人还应按照法律规定和合同约定，进行施工现场取样试验、工程复核测量和设备性能检测，提供试验样品、提交试验报告和测量成果以及其他工作。</w:t>
      </w:r>
    </w:p>
    <w:p w14:paraId="14B4E8A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830" w:name="_Ref531952837"/>
      <w:bookmarkStart w:id="831" w:name="_Toc54862221"/>
      <w:bookmarkStart w:id="832" w:name="_Toc6042"/>
      <w:r>
        <w:rPr>
          <w:rFonts w:hint="eastAsia" w:ascii="方正仿宋_GB2312" w:hAnsi="方正仿宋_GB2312" w:eastAsia="方正仿宋_GB2312" w:cs="方正仿宋_GB2312"/>
          <w:b w:val="0"/>
          <w:bCs/>
          <w:color w:val="auto"/>
          <w:kern w:val="2"/>
          <w:sz w:val="28"/>
          <w:szCs w:val="28"/>
          <w:highlight w:val="none"/>
          <w:lang w:val="en-US" w:eastAsia="zh-CN" w:bidi="ar-SA"/>
        </w:rPr>
        <w:t>第5条 设计</w:t>
      </w:r>
      <w:bookmarkEnd w:id="830"/>
      <w:bookmarkEnd w:id="831"/>
      <w:bookmarkEnd w:id="832"/>
    </w:p>
    <w:p w14:paraId="3A6CEDE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33" w:name="_Toc54862222"/>
      <w:bookmarkStart w:id="834" w:name="_Ref531952860"/>
      <w:bookmarkStart w:id="835" w:name="_Toc14980"/>
      <w:bookmarkStart w:id="836" w:name="_Ref531952863"/>
      <w:r>
        <w:rPr>
          <w:rFonts w:hint="eastAsia" w:ascii="方正仿宋_GB2312" w:hAnsi="方正仿宋_GB2312" w:eastAsia="方正仿宋_GB2312" w:cs="方正仿宋_GB2312"/>
          <w:b w:val="0"/>
          <w:bCs/>
          <w:color w:val="auto"/>
          <w:kern w:val="2"/>
          <w:sz w:val="21"/>
          <w:szCs w:val="21"/>
          <w:highlight w:val="none"/>
          <w:lang w:val="en-US" w:eastAsia="zh-CN" w:bidi="ar-SA"/>
        </w:rPr>
        <w:t>5.1 承包人的设计义务</w:t>
      </w:r>
      <w:bookmarkEnd w:id="833"/>
      <w:bookmarkEnd w:id="834"/>
      <w:bookmarkEnd w:id="835"/>
      <w:bookmarkEnd w:id="836"/>
    </w:p>
    <w:p w14:paraId="4827D1A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37" w:name="_Ref531952881"/>
      <w:r>
        <w:rPr>
          <w:rFonts w:hint="eastAsia" w:ascii="方正仿宋_GB2312" w:hAnsi="方正仿宋_GB2312" w:eastAsia="方正仿宋_GB2312" w:cs="方正仿宋_GB2312"/>
          <w:color w:val="auto"/>
          <w:kern w:val="2"/>
          <w:sz w:val="21"/>
          <w:szCs w:val="21"/>
          <w:highlight w:val="none"/>
          <w:lang w:val="en-US" w:eastAsia="zh-CN" w:bidi="ar-SA"/>
        </w:rPr>
        <w:t>5.1.1 设计义务的一般要求</w:t>
      </w:r>
      <w:bookmarkEnd w:id="837"/>
    </w:p>
    <w:p w14:paraId="160F0F0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44F4032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38" w:name="_Ref531952952"/>
      <w:bookmarkStart w:id="839" w:name="_Ref531952899"/>
      <w:r>
        <w:rPr>
          <w:rFonts w:hint="eastAsia" w:ascii="方正仿宋_GB2312" w:hAnsi="方正仿宋_GB2312" w:eastAsia="方正仿宋_GB2312" w:cs="方正仿宋_GB2312"/>
          <w:color w:val="auto"/>
          <w:kern w:val="2"/>
          <w:sz w:val="21"/>
          <w:szCs w:val="21"/>
          <w:highlight w:val="none"/>
          <w:lang w:val="en-US" w:eastAsia="zh-CN" w:bidi="ar-SA"/>
        </w:rPr>
        <w:t>5.1.2 对设计人员的要求</w:t>
      </w:r>
      <w:bookmarkEnd w:id="838"/>
    </w:p>
    <w:p w14:paraId="45E9D4C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承包人应保证其或其设计分包人的设计资质在合同有效期内满足法律法规、行业标准或合同约定的相关要求，并指派符合法律法规、行业标准或合同约定的资质要求并具有从事设计所必需的经验与能力</w:t>
      </w:r>
      <w:r>
        <w:rPr>
          <w:rFonts w:hint="eastAsia" w:ascii="方正仿宋_GB2312" w:hAnsi="方正仿宋_GB2312" w:eastAsia="方正仿宋_GB2312" w:cs="方正仿宋_GB2312"/>
          <w:color w:val="auto"/>
          <w:szCs w:val="21"/>
          <w:highlight w:val="none"/>
          <w:lang w:eastAsia="zh-CN"/>
        </w:rPr>
        <w:t>的</w:t>
      </w:r>
      <w:r>
        <w:rPr>
          <w:rFonts w:hint="eastAsia" w:ascii="方正仿宋_GB2312" w:hAnsi="方正仿宋_GB2312" w:eastAsia="方正仿宋_GB2312" w:cs="方正仿宋_GB2312"/>
          <w:color w:val="auto"/>
          <w:szCs w:val="21"/>
          <w:highlight w:val="none"/>
        </w:rPr>
        <w:t>设计人员完成设计工作。承包人应保证其设计人员（包括分包人的设计人员）在合同期限内，都能按时参加发包人或工程师组织的工作会议。</w:t>
      </w:r>
    </w:p>
    <w:bookmarkEnd w:id="839"/>
    <w:p w14:paraId="1A44571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5.1.3 法律和标准的变化</w:t>
      </w:r>
    </w:p>
    <w:p w14:paraId="0E43C8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62C991A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在基准日期之后，因国家颁布新的强制性规范、标准导致承包人的费用变化的，发包人应合理调整合同价格；导致工期延误的，发包人应合理延长工期。</w:t>
      </w:r>
    </w:p>
    <w:p w14:paraId="5E11E31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40" w:name="_Toc12436"/>
      <w:bookmarkStart w:id="841" w:name="_Ref531953054"/>
      <w:bookmarkStart w:id="842" w:name="_Ref531953051"/>
      <w:bookmarkStart w:id="843" w:name="_Toc54862223"/>
      <w:r>
        <w:rPr>
          <w:rFonts w:hint="eastAsia" w:ascii="方正仿宋_GB2312" w:hAnsi="方正仿宋_GB2312" w:eastAsia="方正仿宋_GB2312" w:cs="方正仿宋_GB2312"/>
          <w:b w:val="0"/>
          <w:bCs/>
          <w:color w:val="auto"/>
          <w:kern w:val="2"/>
          <w:sz w:val="21"/>
          <w:szCs w:val="21"/>
          <w:highlight w:val="none"/>
          <w:lang w:val="en-US" w:eastAsia="zh-CN" w:bidi="ar-SA"/>
        </w:rPr>
        <w:t>5.2 承包人文件审查</w:t>
      </w:r>
      <w:bookmarkEnd w:id="840"/>
      <w:bookmarkEnd w:id="841"/>
      <w:bookmarkEnd w:id="842"/>
      <w:bookmarkEnd w:id="843"/>
    </w:p>
    <w:p w14:paraId="649226E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44" w:name="_Ref531953064"/>
      <w:r>
        <w:rPr>
          <w:rFonts w:hint="eastAsia" w:ascii="方正仿宋_GB2312" w:hAnsi="方正仿宋_GB2312" w:eastAsia="方正仿宋_GB2312" w:cs="方正仿宋_GB2312"/>
          <w:color w:val="auto"/>
          <w:kern w:val="2"/>
          <w:sz w:val="21"/>
          <w:szCs w:val="21"/>
          <w:highlight w:val="none"/>
          <w:lang w:val="en-US" w:eastAsia="zh-CN" w:bidi="ar-SA"/>
        </w:rPr>
        <w:t>5.2.1 根据《发包人要求》应当通过工程师报发包人审查同意的承包人文件，承包人应当按照《发包人要求》约定的范围和内容及时报送审查。</w:t>
      </w:r>
      <w:bookmarkEnd w:id="844"/>
    </w:p>
    <w:p w14:paraId="286386B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2F1B84E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发包人同意承包人文件的，应及时通知承包人，发包人不同意承包人文件的，应在审查期限内通过工程师以书面形式通知承包人，并说明不同意的具体内容和理由。</w:t>
      </w:r>
    </w:p>
    <w:p w14:paraId="0CB1E5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承包人对发包人的意见按以下方式处理：</w:t>
      </w:r>
    </w:p>
    <w:p w14:paraId="2FA25EA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发包人的意见构成变更的，承包人应在7天内通知发包人按照第13条[变更与调整]中关于发包人指示变更的约定执行，双方对是否构成变更无法达成一致的，按照第20条[争议解决]的约定执行；</w:t>
      </w:r>
    </w:p>
    <w:p w14:paraId="13159FF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因承包人原因导致无法通过审查的，承包人应根据发包人的书面说明，对承包人文件进行修改后重新报送发包人审查，审查期重新起算。因此引起的工期延长和必要的工程费用增加，由承包人负责。</w:t>
      </w:r>
    </w:p>
    <w:p w14:paraId="706FCD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合同约定的审查期满，发包人没有做出审查结论也没有提出异议的，视为承包人文件已获发包人同意。</w:t>
      </w:r>
    </w:p>
    <w:p w14:paraId="4848D36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发包人对承包人文件的审查和同意不得被理解为对合同的修改或改变，也并不减轻或免除承包人</w:t>
      </w:r>
      <w:r>
        <w:rPr>
          <w:rFonts w:hint="eastAsia" w:ascii="方正仿宋_GB2312" w:hAnsi="方正仿宋_GB2312" w:eastAsia="方正仿宋_GB2312" w:cs="方正仿宋_GB2312"/>
          <w:color w:val="auto"/>
          <w:szCs w:val="21"/>
          <w:highlight w:val="none"/>
          <w:lang w:eastAsia="zh-CN"/>
        </w:rPr>
        <w:t>任何</w:t>
      </w:r>
      <w:r>
        <w:rPr>
          <w:rFonts w:hint="eastAsia" w:ascii="方正仿宋_GB2312" w:hAnsi="方正仿宋_GB2312" w:eastAsia="方正仿宋_GB2312" w:cs="方正仿宋_GB2312"/>
          <w:color w:val="auto"/>
          <w:szCs w:val="21"/>
          <w:highlight w:val="none"/>
        </w:rPr>
        <w:t>责任和义务。</w:t>
      </w:r>
    </w:p>
    <w:p w14:paraId="625CFAD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5.2.2 承包人文件不需要政府有关部门或专用合同条件约定的第三方审查单位审查或批准的，承包人应当严格按照经发包人审查同意的承包人文件设计和实施工程。</w:t>
      </w:r>
    </w:p>
    <w:p w14:paraId="52914F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0372672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发包人有义务向承包人提供审查会议的批准文件和纪要。承包人有义务按照相关审查会议批准的文件和纪要，并依据合同约定及相关技术标准，对承包人文件进行修改、补充和完善。</w:t>
      </w:r>
    </w:p>
    <w:p w14:paraId="2D70659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45" w:name="_Ref531953074"/>
      <w:r>
        <w:rPr>
          <w:rFonts w:hint="eastAsia" w:ascii="方正仿宋_GB2312" w:hAnsi="方正仿宋_GB2312" w:eastAsia="方正仿宋_GB2312" w:cs="方正仿宋_GB2312"/>
          <w:color w:val="auto"/>
          <w:kern w:val="2"/>
          <w:sz w:val="21"/>
          <w:szCs w:val="21"/>
          <w:highlight w:val="none"/>
          <w:lang w:val="en-US" w:eastAsia="zh-CN" w:bidi="ar-SA"/>
        </w:rPr>
        <w:t>5.2.3 承包人文件需要政府有关部门或专用合同条件约定的第三方审查单位审查或批准的，发包人应在发包人审查同意承包人文件后7天内，向政府有关部门或第三方报送承包人文件，承包人应予以协助。</w:t>
      </w:r>
      <w:bookmarkEnd w:id="845"/>
    </w:p>
    <w:p w14:paraId="31934B2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5129FDF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0C77322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46" w:name="_Toc54862224"/>
      <w:bookmarkStart w:id="847" w:name="_Ref531953095"/>
      <w:bookmarkStart w:id="848" w:name="_Toc18413"/>
      <w:bookmarkStart w:id="849" w:name="_Ref531953097"/>
      <w:r>
        <w:rPr>
          <w:rFonts w:hint="eastAsia" w:ascii="方正仿宋_GB2312" w:hAnsi="方正仿宋_GB2312" w:eastAsia="方正仿宋_GB2312" w:cs="方正仿宋_GB2312"/>
          <w:b w:val="0"/>
          <w:bCs/>
          <w:color w:val="auto"/>
          <w:kern w:val="2"/>
          <w:sz w:val="21"/>
          <w:szCs w:val="21"/>
          <w:highlight w:val="none"/>
          <w:lang w:val="en-US" w:eastAsia="zh-CN" w:bidi="ar-SA"/>
        </w:rPr>
        <w:t>5.3 培训</w:t>
      </w:r>
      <w:bookmarkEnd w:id="846"/>
      <w:bookmarkEnd w:id="847"/>
      <w:bookmarkEnd w:id="848"/>
      <w:bookmarkEnd w:id="849"/>
    </w:p>
    <w:p w14:paraId="21140F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承包人应按照《发包人要求》，对发包人的雇员或</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发包人指定的人员进行工程操作、维修或</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合同中约定的培训。合同约定接收之前进行培训的，应在第10.1款[竣工验收]约定的竣工验收前或试运行结束前完成培训。</w:t>
      </w:r>
    </w:p>
    <w:p w14:paraId="4F007E4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培训的时长应由双方在专用合同条件中约定，承包人应为培训提供有经验的人员、设施和</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必要条件。</w:t>
      </w:r>
    </w:p>
    <w:p w14:paraId="0074E5B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50" w:name="_Ref531953108"/>
      <w:bookmarkStart w:id="851" w:name="_Ref531953105"/>
      <w:bookmarkStart w:id="852" w:name="_Toc54862225"/>
      <w:bookmarkStart w:id="853" w:name="_Toc4981"/>
      <w:r>
        <w:rPr>
          <w:rFonts w:hint="eastAsia" w:ascii="方正仿宋_GB2312" w:hAnsi="方正仿宋_GB2312" w:eastAsia="方正仿宋_GB2312" w:cs="方正仿宋_GB2312"/>
          <w:b w:val="0"/>
          <w:bCs/>
          <w:color w:val="auto"/>
          <w:kern w:val="2"/>
          <w:sz w:val="21"/>
          <w:szCs w:val="21"/>
          <w:highlight w:val="none"/>
          <w:lang w:val="en-US" w:eastAsia="zh-CN" w:bidi="ar-SA"/>
        </w:rPr>
        <w:t>5.4 竣工文件</w:t>
      </w:r>
      <w:bookmarkEnd w:id="850"/>
      <w:bookmarkEnd w:id="851"/>
      <w:bookmarkEnd w:id="852"/>
      <w:bookmarkEnd w:id="853"/>
    </w:p>
    <w:p w14:paraId="38F7D39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54" w:name="_Ref531953134"/>
      <w:r>
        <w:rPr>
          <w:rFonts w:hint="eastAsia" w:ascii="方正仿宋_GB2312" w:hAnsi="方正仿宋_GB2312" w:eastAsia="方正仿宋_GB2312" w:cs="方正仿宋_GB2312"/>
          <w:color w:val="auto"/>
          <w:kern w:val="2"/>
          <w:sz w:val="21"/>
          <w:szCs w:val="21"/>
          <w:highlight w:val="none"/>
          <w:lang w:val="en-US" w:eastAsia="zh-CN" w:bidi="ar-SA"/>
        </w:rPr>
        <w:t>5.4.1 承包人应编制并及时更新反映工程实施结果的竣工记录，如实记载竣工工程的确切位置、尺寸和已实施工作的详细说明。竣工文件的形式、技术标准以及其他相关内容应按照相关法律法规、行业标准与《发包人要求》执行。竣工记录应保存在施工现场，并在竣工试验开始前，按照专用合同条件约定的份数提交给工程师。</w:t>
      </w:r>
      <w:bookmarkEnd w:id="854"/>
    </w:p>
    <w:p w14:paraId="5093F0E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5306381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5.4.3 除专用合同条件另有约定外，在工程师收到本款下的文件前，不应认为工程已根据第10.1款[竣工验收]和第10.2款[单位/区段工程的验收]的约定完成验收。</w:t>
      </w:r>
    </w:p>
    <w:p w14:paraId="335FF57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55" w:name="_Toc54862226"/>
      <w:bookmarkStart w:id="856" w:name="_Ref531953119"/>
      <w:bookmarkStart w:id="857" w:name="_Toc16788"/>
      <w:bookmarkStart w:id="858" w:name="_Ref531953117"/>
      <w:r>
        <w:rPr>
          <w:rFonts w:hint="eastAsia" w:ascii="方正仿宋_GB2312" w:hAnsi="方正仿宋_GB2312" w:eastAsia="方正仿宋_GB2312" w:cs="方正仿宋_GB2312"/>
          <w:b w:val="0"/>
          <w:bCs/>
          <w:color w:val="auto"/>
          <w:kern w:val="2"/>
          <w:sz w:val="21"/>
          <w:szCs w:val="21"/>
          <w:highlight w:val="none"/>
          <w:lang w:val="en-US" w:eastAsia="zh-CN" w:bidi="ar-SA"/>
        </w:rPr>
        <w:t>5.5 操作和维修手册</w:t>
      </w:r>
      <w:bookmarkEnd w:id="855"/>
      <w:bookmarkEnd w:id="856"/>
      <w:bookmarkEnd w:id="857"/>
      <w:bookmarkEnd w:id="858"/>
    </w:p>
    <w:p w14:paraId="0416DC3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59" w:name="_Ref531953145"/>
      <w:r>
        <w:rPr>
          <w:rFonts w:hint="eastAsia" w:ascii="方正仿宋_GB2312" w:hAnsi="方正仿宋_GB2312" w:eastAsia="方正仿宋_GB2312" w:cs="方正仿宋_GB2312"/>
          <w:color w:val="auto"/>
          <w:kern w:val="2"/>
          <w:sz w:val="21"/>
          <w:szCs w:val="21"/>
          <w:highlight w:val="none"/>
          <w:lang w:val="en-US" w:eastAsia="zh-CN" w:bidi="ar-SA"/>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859"/>
    </w:p>
    <w:p w14:paraId="62F1D5B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5.5.2 工程师收到承包人提交的文件后，应依据第5.2款[承包人文件审查]的约定对操作和维修手册进行审查，在竣工试验工程中，承包人应为任何因操作和维修手册错误或遗漏引起的风险或损失承担责任。</w:t>
      </w:r>
    </w:p>
    <w:p w14:paraId="2C72196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454EF17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60" w:name="_Toc54862227"/>
      <w:bookmarkStart w:id="861" w:name="_Toc29888"/>
      <w:r>
        <w:rPr>
          <w:rFonts w:hint="eastAsia" w:ascii="方正仿宋_GB2312" w:hAnsi="方正仿宋_GB2312" w:eastAsia="方正仿宋_GB2312" w:cs="方正仿宋_GB2312"/>
          <w:b w:val="0"/>
          <w:bCs/>
          <w:color w:val="auto"/>
          <w:kern w:val="2"/>
          <w:sz w:val="21"/>
          <w:szCs w:val="21"/>
          <w:highlight w:val="none"/>
          <w:lang w:val="en-US" w:eastAsia="zh-CN" w:bidi="ar-SA"/>
        </w:rPr>
        <w:t>5.6 承包人文件错误</w:t>
      </w:r>
      <w:bookmarkEnd w:id="860"/>
      <w:bookmarkEnd w:id="861"/>
    </w:p>
    <w:p w14:paraId="686D221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467F4AF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862" w:name="_Toc5013"/>
      <w:bookmarkStart w:id="863" w:name="_Ref531953765"/>
      <w:bookmarkStart w:id="864" w:name="_Toc54862228"/>
      <w:bookmarkStart w:id="865" w:name="_Ref531953761"/>
      <w:r>
        <w:rPr>
          <w:rFonts w:hint="eastAsia" w:ascii="方正仿宋_GB2312" w:hAnsi="方正仿宋_GB2312" w:eastAsia="方正仿宋_GB2312" w:cs="方正仿宋_GB2312"/>
          <w:b w:val="0"/>
          <w:bCs/>
          <w:color w:val="auto"/>
          <w:kern w:val="2"/>
          <w:sz w:val="28"/>
          <w:szCs w:val="28"/>
          <w:highlight w:val="none"/>
          <w:lang w:val="en-US" w:eastAsia="zh-CN" w:bidi="ar-SA"/>
        </w:rPr>
        <w:t>第6条 材料、工程设备</w:t>
      </w:r>
      <w:bookmarkEnd w:id="862"/>
      <w:bookmarkEnd w:id="863"/>
      <w:bookmarkEnd w:id="864"/>
      <w:bookmarkEnd w:id="865"/>
    </w:p>
    <w:p w14:paraId="4D097E5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66" w:name="_Toc31546"/>
      <w:bookmarkStart w:id="867" w:name="_Toc54862229"/>
      <w:bookmarkStart w:id="868" w:name="_Ref531953832"/>
      <w:bookmarkStart w:id="869" w:name="_Ref531953828"/>
      <w:r>
        <w:rPr>
          <w:rFonts w:hint="eastAsia" w:ascii="方正仿宋_GB2312" w:hAnsi="方正仿宋_GB2312" w:eastAsia="方正仿宋_GB2312" w:cs="方正仿宋_GB2312"/>
          <w:b w:val="0"/>
          <w:bCs/>
          <w:color w:val="auto"/>
          <w:kern w:val="2"/>
          <w:sz w:val="21"/>
          <w:szCs w:val="21"/>
          <w:highlight w:val="none"/>
          <w:lang w:val="en-US" w:eastAsia="zh-CN" w:bidi="ar-SA"/>
        </w:rPr>
        <w:t>6.1 实施方法</w:t>
      </w:r>
      <w:bookmarkEnd w:id="866"/>
      <w:bookmarkEnd w:id="867"/>
      <w:bookmarkEnd w:id="868"/>
      <w:bookmarkEnd w:id="869"/>
    </w:p>
    <w:p w14:paraId="6A8947E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承包人应按以下方法进行材料的加工、工程设备的采购、制造和安装</w:t>
      </w:r>
      <w:r>
        <w:rPr>
          <w:rFonts w:hint="eastAsia" w:ascii="方正仿宋_GB2312" w:hAnsi="方正仿宋_GB2312" w:eastAsia="方正仿宋_GB2312" w:cs="方正仿宋_GB2312"/>
          <w:color w:val="auto"/>
          <w:szCs w:val="21"/>
          <w:highlight w:val="none"/>
          <w:lang w:eastAsia="zh-CN"/>
        </w:rPr>
        <w:t>，以及</w:t>
      </w:r>
      <w:r>
        <w:rPr>
          <w:rFonts w:hint="eastAsia" w:ascii="方正仿宋_GB2312" w:hAnsi="方正仿宋_GB2312" w:eastAsia="方正仿宋_GB2312" w:cs="方正仿宋_GB2312"/>
          <w:color w:val="auto"/>
          <w:szCs w:val="21"/>
          <w:highlight w:val="none"/>
        </w:rPr>
        <w:t>工程的所有其他实施作业：</w:t>
      </w:r>
    </w:p>
    <w:p w14:paraId="753BAB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870" w:name="_Ref531953847"/>
      <w:r>
        <w:rPr>
          <w:rFonts w:hint="eastAsia" w:ascii="方正仿宋_GB2312" w:hAnsi="方正仿宋_GB2312" w:eastAsia="方正仿宋_GB2312" w:cs="方正仿宋_GB2312"/>
          <w:color w:val="auto"/>
          <w:szCs w:val="21"/>
          <w:highlight w:val="none"/>
        </w:rPr>
        <w:t>（1） 按照法律规定和合同约定的方法；</w:t>
      </w:r>
      <w:bookmarkEnd w:id="870"/>
    </w:p>
    <w:p w14:paraId="1D24889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按照公认的良好行业习惯，使用恰当、审慎、先进的方法；</w:t>
      </w:r>
    </w:p>
    <w:p w14:paraId="7669D41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除专用合同条件另有规定外，应使用适当配备的实施方法、设备、设施和无危险的材料。</w:t>
      </w:r>
    </w:p>
    <w:p w14:paraId="5C9F353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71" w:name="_Ref11926422"/>
      <w:bookmarkStart w:id="872" w:name="_Toc28751"/>
      <w:bookmarkStart w:id="873" w:name="_Toc54862230"/>
      <w:bookmarkStart w:id="874" w:name="_Ref4427594"/>
      <w:r>
        <w:rPr>
          <w:rFonts w:hint="eastAsia" w:ascii="方正仿宋_GB2312" w:hAnsi="方正仿宋_GB2312" w:eastAsia="方正仿宋_GB2312" w:cs="方正仿宋_GB2312"/>
          <w:b w:val="0"/>
          <w:bCs/>
          <w:color w:val="auto"/>
          <w:kern w:val="2"/>
          <w:sz w:val="21"/>
          <w:szCs w:val="21"/>
          <w:highlight w:val="none"/>
          <w:lang w:val="en-US" w:eastAsia="zh-CN" w:bidi="ar-SA"/>
        </w:rPr>
        <w:t>6.2 材料和工程设备</w:t>
      </w:r>
      <w:bookmarkEnd w:id="871"/>
      <w:bookmarkEnd w:id="872"/>
      <w:bookmarkEnd w:id="873"/>
    </w:p>
    <w:p w14:paraId="16220C2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75" w:name="_Ref11960295"/>
      <w:r>
        <w:rPr>
          <w:rFonts w:hint="eastAsia" w:ascii="方正仿宋_GB2312" w:hAnsi="方正仿宋_GB2312" w:eastAsia="方正仿宋_GB2312" w:cs="方正仿宋_GB2312"/>
          <w:color w:val="auto"/>
          <w:kern w:val="2"/>
          <w:sz w:val="21"/>
          <w:szCs w:val="21"/>
          <w:highlight w:val="none"/>
          <w:lang w:val="en-US" w:eastAsia="zh-CN" w:bidi="ar-SA"/>
        </w:rPr>
        <w:t>6.2.1 发包人提供的材料和工程设备</w:t>
      </w:r>
      <w:bookmarkEnd w:id="874"/>
      <w:bookmarkEnd w:id="875"/>
    </w:p>
    <w:p w14:paraId="32A0AF8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发包人自行供应材料、工程设备的，应在订立合同时在专用合同条件的附件《发包人供应材料设备一览表》中明确材料、工程设备的品种、规格、型号、主要参数、数量、单价、质量等级和交接地点等。</w:t>
      </w:r>
    </w:p>
    <w:p w14:paraId="6B6808F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4FA3FFC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2C18D6D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3B0E5DE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74BFF22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76" w:name="_Ref531953918"/>
      <w:r>
        <w:rPr>
          <w:rFonts w:hint="eastAsia" w:ascii="方正仿宋_GB2312" w:hAnsi="方正仿宋_GB2312" w:eastAsia="方正仿宋_GB2312" w:cs="方正仿宋_GB2312"/>
          <w:color w:val="auto"/>
          <w:kern w:val="2"/>
          <w:sz w:val="21"/>
          <w:szCs w:val="21"/>
          <w:highlight w:val="none"/>
          <w:lang w:val="en-US" w:eastAsia="zh-CN" w:bidi="ar-SA"/>
        </w:rPr>
        <w:t>6.2.2 承包人提供的材料和工程设备</w:t>
      </w:r>
      <w:bookmarkEnd w:id="876"/>
    </w:p>
    <w:p w14:paraId="27ADAD3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34FDEFA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7AF166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7BE2C3C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137146C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77" w:name="_Ref531953999"/>
      <w:bookmarkStart w:id="878" w:name="_Ref531953991"/>
      <w:r>
        <w:rPr>
          <w:rFonts w:hint="eastAsia" w:ascii="方正仿宋_GB2312" w:hAnsi="方正仿宋_GB2312" w:eastAsia="方正仿宋_GB2312" w:cs="方正仿宋_GB2312"/>
          <w:color w:val="auto"/>
          <w:kern w:val="2"/>
          <w:sz w:val="21"/>
          <w:szCs w:val="21"/>
          <w:highlight w:val="none"/>
          <w:lang w:val="en-US" w:eastAsia="zh-CN" w:bidi="ar-SA"/>
        </w:rPr>
        <w:t>6.2.3 材料和工程设备的保管</w:t>
      </w:r>
      <w:bookmarkEnd w:id="877"/>
      <w:bookmarkEnd w:id="878"/>
    </w:p>
    <w:p w14:paraId="2F823F0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发包人供应材料与工程设备的保管与使用</w:t>
      </w:r>
    </w:p>
    <w:p w14:paraId="536FAF4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发包人供应的材料和工程设备，承包人清点并接收后由承包人妥善保管，保管费用由承包人承担，但专用合同条件另有约定除外。因承包人原因发生丢失毁损的，由承包人负责赔偿。</w:t>
      </w:r>
    </w:p>
    <w:p w14:paraId="5B43503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发包人供应的材料和工程设备使用前，由承包人负责必要的检验，检验费用由发包人承担，不合格的不得使用。</w:t>
      </w:r>
    </w:p>
    <w:p w14:paraId="1DF9CA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承包人采购材料与工程设备的保管与使用</w:t>
      </w:r>
    </w:p>
    <w:p w14:paraId="04725F9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27AB00F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工程师发现承包人使用不符合设计或有关标准要求的材料和工程设备时，有权要求承包人进行修复、拆除或重新采购，由此增加的费用和（或）延误的工期，由承包人承担。</w:t>
      </w:r>
    </w:p>
    <w:p w14:paraId="1E4C937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6.2.4 材料和工程设备的所有权</w:t>
      </w:r>
    </w:p>
    <w:p w14:paraId="04FF62A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449AE04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承包人按第6.2.2项提供的材料和工程设备，承包人应确保发包人取得无权利负担的材料及工程设备所有权，因承包人与第三人的物权争议导致的增加的费用和（或）延误的工期，由承包人承担。</w:t>
      </w:r>
    </w:p>
    <w:p w14:paraId="4C3C150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79" w:name="_Ref4428239"/>
      <w:bookmarkStart w:id="880" w:name="_Toc25518"/>
      <w:bookmarkStart w:id="881" w:name="_Toc54862231"/>
      <w:bookmarkStart w:id="882" w:name="_Toc351203565"/>
      <w:bookmarkStart w:id="883" w:name="_Toc337558785"/>
      <w:r>
        <w:rPr>
          <w:rFonts w:hint="eastAsia" w:ascii="方正仿宋_GB2312" w:hAnsi="方正仿宋_GB2312" w:eastAsia="方正仿宋_GB2312" w:cs="方正仿宋_GB2312"/>
          <w:b w:val="0"/>
          <w:bCs/>
          <w:color w:val="auto"/>
          <w:kern w:val="2"/>
          <w:sz w:val="21"/>
          <w:szCs w:val="21"/>
          <w:highlight w:val="none"/>
          <w:lang w:val="en-US" w:eastAsia="zh-CN" w:bidi="ar-SA"/>
        </w:rPr>
        <w:t>6.3 样品</w:t>
      </w:r>
      <w:bookmarkEnd w:id="879"/>
      <w:bookmarkEnd w:id="880"/>
      <w:bookmarkEnd w:id="881"/>
    </w:p>
    <w:p w14:paraId="3AB6266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6.3.1 样品的报送与封存</w:t>
      </w:r>
    </w:p>
    <w:p w14:paraId="3E575EC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需要承包人报送样品的材料或工程设备，样品的种类、名称、规格、数量等要求均应在专用合同条件中约定。样品的报送程序如下：</w:t>
      </w:r>
    </w:p>
    <w:p w14:paraId="18930D1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7AA251D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承包人每次报送样品时应随附申报单，申报单应载明报送样品的相关数据和资料，并标明每件样品对应的图纸号，预留工程师审批意见栏。工程师应在收到承包人报送的样品后7</w:t>
      </w:r>
      <w:r>
        <w:rPr>
          <w:rFonts w:hint="eastAsia" w:ascii="方正仿宋_GB2312" w:hAnsi="方正仿宋_GB2312" w:eastAsia="方正仿宋_GB2312" w:cs="方正仿宋_GB2312"/>
          <w:color w:val="auto"/>
          <w:szCs w:val="21"/>
          <w:highlight w:val="none"/>
          <w:lang w:eastAsia="zh-CN"/>
        </w:rPr>
        <w:t>天内</w:t>
      </w:r>
      <w:r>
        <w:rPr>
          <w:rFonts w:hint="eastAsia" w:ascii="方正仿宋_GB2312" w:hAnsi="方正仿宋_GB2312" w:eastAsia="方正仿宋_GB2312" w:cs="方正仿宋_GB2312"/>
          <w:color w:val="auto"/>
          <w:szCs w:val="21"/>
          <w:highlight w:val="none"/>
        </w:rPr>
        <w:t>向承包人回复经发包人签认的样品审批意见。</w:t>
      </w:r>
    </w:p>
    <w:p w14:paraId="008A0EA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经工程师审批确认的样品应按约定的方法封样，封存的样品作为检验工程相关部分的标准之一。承包人在施工过程中不得使用与样品不符的材料或工程设备。</w:t>
      </w:r>
    </w:p>
    <w:p w14:paraId="00760B0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工程师对样品的审批确认仅为确认相关材料或工程设备的特征或用途，不得被理解为对合同的修改或改变，也并不减轻或免除承包人</w:t>
      </w:r>
      <w:r>
        <w:rPr>
          <w:rFonts w:hint="eastAsia" w:ascii="方正仿宋_GB2312" w:hAnsi="方正仿宋_GB2312" w:eastAsia="方正仿宋_GB2312" w:cs="方正仿宋_GB2312"/>
          <w:color w:val="auto"/>
          <w:szCs w:val="21"/>
          <w:highlight w:val="none"/>
          <w:lang w:eastAsia="zh-CN"/>
        </w:rPr>
        <w:t>任何</w:t>
      </w:r>
      <w:r>
        <w:rPr>
          <w:rFonts w:hint="eastAsia" w:ascii="方正仿宋_GB2312" w:hAnsi="方正仿宋_GB2312" w:eastAsia="方正仿宋_GB2312" w:cs="方正仿宋_GB2312"/>
          <w:color w:val="auto"/>
          <w:szCs w:val="21"/>
          <w:highlight w:val="none"/>
        </w:rPr>
        <w:t>责任和义务。如果封存的样品修改或改变了合同约定，合同当事人应当以书面协议予以确认。</w:t>
      </w:r>
    </w:p>
    <w:p w14:paraId="394F3B4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6.3.2 样品的保管</w:t>
      </w:r>
    </w:p>
    <w:p w14:paraId="2BAB14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经批准的样品应由工程师负责封存于现场，承包人应在现场为保存样品提供适当和固定的场所并保持适当和良好的存储环境条件。</w:t>
      </w:r>
    </w:p>
    <w:p w14:paraId="1339C3E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84" w:name="_Toc19880"/>
      <w:bookmarkStart w:id="885" w:name="_Toc54862232"/>
      <w:bookmarkStart w:id="886" w:name="_Ref11959210"/>
      <w:bookmarkStart w:id="887" w:name="_Ref11959204"/>
      <w:r>
        <w:rPr>
          <w:rFonts w:hint="eastAsia" w:ascii="方正仿宋_GB2312" w:hAnsi="方正仿宋_GB2312" w:eastAsia="方正仿宋_GB2312" w:cs="方正仿宋_GB2312"/>
          <w:b w:val="0"/>
          <w:bCs/>
          <w:color w:val="auto"/>
          <w:kern w:val="2"/>
          <w:sz w:val="21"/>
          <w:szCs w:val="21"/>
          <w:highlight w:val="none"/>
          <w:lang w:val="en-US" w:eastAsia="zh-CN" w:bidi="ar-SA"/>
        </w:rPr>
        <w:t>6.4 质量检查</w:t>
      </w:r>
      <w:bookmarkEnd w:id="884"/>
      <w:bookmarkEnd w:id="885"/>
      <w:bookmarkEnd w:id="886"/>
      <w:bookmarkEnd w:id="887"/>
    </w:p>
    <w:p w14:paraId="0F6C8FE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88" w:name="_Ref18990699"/>
      <w:r>
        <w:rPr>
          <w:rFonts w:hint="eastAsia" w:ascii="方正仿宋_GB2312" w:hAnsi="方正仿宋_GB2312" w:eastAsia="方正仿宋_GB2312" w:cs="方正仿宋_GB2312"/>
          <w:color w:val="auto"/>
          <w:kern w:val="2"/>
          <w:sz w:val="21"/>
          <w:szCs w:val="21"/>
          <w:highlight w:val="none"/>
          <w:lang w:val="en-US" w:eastAsia="zh-CN" w:bidi="ar-SA"/>
        </w:rPr>
        <w:t>6.4.1 工程质量要求</w:t>
      </w:r>
      <w:bookmarkEnd w:id="888"/>
    </w:p>
    <w:p w14:paraId="21E7C92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工程质量标准必须符合现行国家有关工程施工质量验收规范和标准的要求。有关工程质量的特殊标准或要求由合同当事人在专用合同条件中约定。</w:t>
      </w:r>
    </w:p>
    <w:p w14:paraId="56F019A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36EEA20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89" w:name="_Ref18990717"/>
      <w:r>
        <w:rPr>
          <w:rFonts w:hint="eastAsia" w:ascii="方正仿宋_GB2312" w:hAnsi="方正仿宋_GB2312" w:eastAsia="方正仿宋_GB2312" w:cs="方正仿宋_GB2312"/>
          <w:color w:val="auto"/>
          <w:kern w:val="2"/>
          <w:sz w:val="21"/>
          <w:szCs w:val="21"/>
          <w:highlight w:val="none"/>
          <w:lang w:val="en-US" w:eastAsia="zh-CN" w:bidi="ar-SA"/>
        </w:rPr>
        <w:t>6.4.2 质量检查</w:t>
      </w:r>
      <w:bookmarkEnd w:id="889"/>
    </w:p>
    <w:p w14:paraId="75068D2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w:t>
      </w:r>
      <w:r>
        <w:rPr>
          <w:rFonts w:hint="eastAsia" w:ascii="方正仿宋_GB2312" w:hAnsi="方正仿宋_GB2312" w:eastAsia="方正仿宋_GB2312" w:cs="方正仿宋_GB2312"/>
          <w:color w:val="auto"/>
          <w:szCs w:val="21"/>
          <w:highlight w:val="none"/>
          <w:lang w:eastAsia="zh-CN"/>
        </w:rPr>
        <w:t>查勘</w:t>
      </w:r>
      <w:r>
        <w:rPr>
          <w:rFonts w:hint="eastAsia" w:ascii="方正仿宋_GB2312" w:hAnsi="方正仿宋_GB2312" w:eastAsia="方正仿宋_GB2312" w:cs="方正仿宋_GB2312"/>
          <w:color w:val="auto"/>
          <w:szCs w:val="21"/>
          <w:highlight w:val="none"/>
        </w:rPr>
        <w:t>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6EFE527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90" w:name="_Ref11959222"/>
      <w:r>
        <w:rPr>
          <w:rFonts w:hint="eastAsia" w:ascii="方正仿宋_GB2312" w:hAnsi="方正仿宋_GB2312" w:eastAsia="方正仿宋_GB2312" w:cs="方正仿宋_GB2312"/>
          <w:color w:val="auto"/>
          <w:kern w:val="2"/>
          <w:sz w:val="21"/>
          <w:szCs w:val="21"/>
          <w:highlight w:val="none"/>
          <w:lang w:val="en-US" w:eastAsia="zh-CN" w:bidi="ar-SA"/>
        </w:rPr>
        <w:t>6.4.3 隐蔽工程检查</w:t>
      </w:r>
      <w:bookmarkEnd w:id="890"/>
    </w:p>
    <w:p w14:paraId="588B041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2050347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5AAEE74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w:t>
      </w:r>
      <w:r>
        <w:rPr>
          <w:rFonts w:hint="eastAsia" w:ascii="方正仿宋_GB2312" w:hAnsi="方正仿宋_GB2312" w:eastAsia="方正仿宋_GB2312" w:cs="方正仿宋_GB2312"/>
          <w:color w:val="auto"/>
          <w:szCs w:val="21"/>
          <w:highlight w:val="none"/>
          <w:lang w:eastAsia="zh-CN"/>
        </w:rPr>
        <w:t>做</w:t>
      </w:r>
      <w:r>
        <w:rPr>
          <w:rFonts w:hint="eastAsia" w:ascii="方正仿宋_GB2312" w:hAnsi="方正仿宋_GB2312" w:eastAsia="方正仿宋_GB2312" w:cs="方正仿宋_GB2312"/>
          <w:color w:val="auto"/>
          <w:szCs w:val="21"/>
          <w:highlight w:val="none"/>
        </w:rPr>
        <w:t>相应记录报送工程师，工程师应签字确认。工程师事后对检查记录有疑问的，可按下列约定重新检查。</w:t>
      </w:r>
    </w:p>
    <w:p w14:paraId="5389619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9A3703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承包人未通知工程师到场检查，私自将工程隐蔽部位覆盖的，工程师有权指示承包人钻孔探测或揭开检查，无论工程隐蔽部位质量是否合格，由此增加的费用和（或）延误的工期均由承包人承担。</w:t>
      </w:r>
    </w:p>
    <w:bookmarkEnd w:id="882"/>
    <w:p w14:paraId="78F338C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891" w:name="_Ref11927398"/>
      <w:bookmarkStart w:id="892" w:name="_Ref11927403"/>
      <w:bookmarkStart w:id="893" w:name="_Ref11927389"/>
      <w:bookmarkStart w:id="894" w:name="_Toc54862233"/>
      <w:bookmarkStart w:id="895" w:name="_Ref11959158"/>
      <w:bookmarkStart w:id="896" w:name="_Toc20395"/>
      <w:bookmarkStart w:id="897" w:name="_Ref11959175"/>
      <w:r>
        <w:rPr>
          <w:rFonts w:hint="eastAsia" w:ascii="方正仿宋_GB2312" w:hAnsi="方正仿宋_GB2312" w:eastAsia="方正仿宋_GB2312" w:cs="方正仿宋_GB2312"/>
          <w:b w:val="0"/>
          <w:bCs/>
          <w:color w:val="auto"/>
          <w:kern w:val="2"/>
          <w:sz w:val="21"/>
          <w:szCs w:val="21"/>
          <w:highlight w:val="none"/>
          <w:lang w:val="en-US" w:eastAsia="zh-CN" w:bidi="ar-SA"/>
        </w:rPr>
        <w:t>6.5 由承包人试验</w:t>
      </w:r>
      <w:bookmarkEnd w:id="891"/>
      <w:bookmarkEnd w:id="892"/>
      <w:bookmarkEnd w:id="893"/>
      <w:r>
        <w:rPr>
          <w:rFonts w:hint="eastAsia" w:ascii="方正仿宋_GB2312" w:hAnsi="方正仿宋_GB2312" w:eastAsia="方正仿宋_GB2312" w:cs="方正仿宋_GB2312"/>
          <w:b w:val="0"/>
          <w:bCs/>
          <w:color w:val="auto"/>
          <w:kern w:val="2"/>
          <w:sz w:val="21"/>
          <w:szCs w:val="21"/>
          <w:highlight w:val="none"/>
          <w:lang w:val="en-US" w:eastAsia="zh-CN" w:bidi="ar-SA"/>
        </w:rPr>
        <w:t>和检验</w:t>
      </w:r>
      <w:bookmarkEnd w:id="894"/>
      <w:bookmarkEnd w:id="895"/>
      <w:bookmarkEnd w:id="896"/>
      <w:bookmarkEnd w:id="897"/>
    </w:p>
    <w:bookmarkEnd w:id="883"/>
    <w:p w14:paraId="3719ACC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6.5.1 试验设备与试验人员</w:t>
      </w:r>
    </w:p>
    <w:p w14:paraId="31F8DC4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3D02B0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承包人应按专用合同条件约定的试验内容、时间和地点提供试验设备、取样装置、试验场所和试验条件，并向工程师提交相应进场计划表。</w:t>
      </w:r>
    </w:p>
    <w:p w14:paraId="4148F41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承包人配置的试验设备要符合相应试验规程的要求并经过具有资质的检测单位检测，且在正式使用该试验设备前，需要经过工程师与承包人共同校定。</w:t>
      </w:r>
    </w:p>
    <w:p w14:paraId="746058A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承包人应向工程师提交试验人员的名单及其岗位、资格等证明资料，试验人员必须能够熟练进行相应的检测试验，承包人对试验人员的试验程序和试验结果的正确性负责。</w:t>
      </w:r>
    </w:p>
    <w:p w14:paraId="31F152B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6.5.2 取样</w:t>
      </w:r>
    </w:p>
    <w:p w14:paraId="18ED59F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试验属于自检性质的，承包人可以单独取样。试验属于工程师抽检性质的，可由工程师取样，也可由承包人的试验人员在工程师的监督下取样。</w:t>
      </w:r>
    </w:p>
    <w:p w14:paraId="51713BE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6.5.3 材料、工程设备和工程的试验和检验</w:t>
      </w:r>
    </w:p>
    <w:p w14:paraId="2FFAE8F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708149F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5FB04FE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186BE62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898" w:name="_Toc351203566"/>
      <w:bookmarkStart w:id="899" w:name="_Toc337558786"/>
      <w:r>
        <w:rPr>
          <w:rFonts w:hint="eastAsia" w:ascii="方正仿宋_GB2312" w:hAnsi="方正仿宋_GB2312" w:eastAsia="方正仿宋_GB2312" w:cs="方正仿宋_GB2312"/>
          <w:color w:val="auto"/>
          <w:kern w:val="2"/>
          <w:sz w:val="21"/>
          <w:szCs w:val="21"/>
          <w:highlight w:val="none"/>
          <w:lang w:val="en-US" w:eastAsia="zh-CN" w:bidi="ar-SA"/>
        </w:rPr>
        <w:t>6.5.4 现场工艺试验</w:t>
      </w:r>
      <w:bookmarkEnd w:id="898"/>
    </w:p>
    <w:bookmarkEnd w:id="899"/>
    <w:p w14:paraId="2962849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承包人应按合同约定进行现场工艺试验。对大型的现场工艺试验，发包人认为必要时，承包人应根据发包人提出的工艺试验要求，编制工艺试验措施计划，报送发包人审查。</w:t>
      </w:r>
    </w:p>
    <w:p w14:paraId="4015BFA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00" w:name="_Ref532592787"/>
      <w:bookmarkStart w:id="901" w:name="_Toc54862234"/>
      <w:bookmarkStart w:id="902" w:name="_Ref532592784"/>
      <w:bookmarkStart w:id="903" w:name="_Toc9537"/>
      <w:r>
        <w:rPr>
          <w:rFonts w:hint="eastAsia" w:ascii="方正仿宋_GB2312" w:hAnsi="方正仿宋_GB2312" w:eastAsia="方正仿宋_GB2312" w:cs="方正仿宋_GB2312"/>
          <w:b w:val="0"/>
          <w:bCs/>
          <w:color w:val="auto"/>
          <w:kern w:val="2"/>
          <w:sz w:val="21"/>
          <w:szCs w:val="21"/>
          <w:highlight w:val="none"/>
          <w:lang w:val="en-US" w:eastAsia="zh-CN" w:bidi="ar-SA"/>
        </w:rPr>
        <w:t>6.6 缺陷和修补</w:t>
      </w:r>
      <w:bookmarkEnd w:id="900"/>
      <w:bookmarkEnd w:id="901"/>
      <w:bookmarkEnd w:id="902"/>
      <w:bookmarkEnd w:id="903"/>
    </w:p>
    <w:p w14:paraId="67E772B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04" w:name="_Ref16875551"/>
      <w:r>
        <w:rPr>
          <w:rFonts w:hint="eastAsia" w:ascii="方正仿宋_GB2312" w:hAnsi="方正仿宋_GB2312" w:eastAsia="方正仿宋_GB2312" w:cs="方正仿宋_GB2312"/>
          <w:color w:val="auto"/>
          <w:kern w:val="2"/>
          <w:sz w:val="21"/>
          <w:szCs w:val="21"/>
          <w:highlight w:val="none"/>
          <w:lang w:val="en-US" w:eastAsia="zh-CN" w:bidi="ar-SA"/>
        </w:rPr>
        <w:t>6.6.1 发包人可在颁发接收证书前随时指示承包人：</w:t>
      </w:r>
      <w:bookmarkEnd w:id="904"/>
    </w:p>
    <w:p w14:paraId="0A3C3E6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对不符合合同要求的任何工程设备或材料进行修补，或者将其移出现场并进行更换；</w:t>
      </w:r>
    </w:p>
    <w:p w14:paraId="395B63F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（2） 对不符合合同的其他工作进行修补，或者将其去除并重新实施； </w:t>
      </w:r>
    </w:p>
    <w:p w14:paraId="5330CBE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905" w:name="_Ref4708991"/>
      <w:r>
        <w:rPr>
          <w:rFonts w:hint="eastAsia" w:ascii="方正仿宋_GB2312" w:hAnsi="方正仿宋_GB2312" w:eastAsia="方正仿宋_GB2312" w:cs="方正仿宋_GB2312"/>
          <w:color w:val="auto"/>
          <w:szCs w:val="21"/>
          <w:highlight w:val="none"/>
        </w:rPr>
        <w:t>（3） 实施因意外、不可预见的事件或其他原因引起的、为工程的安全迫切需要的任何修补工作。</w:t>
      </w:r>
      <w:bookmarkEnd w:id="905"/>
    </w:p>
    <w:p w14:paraId="241EB0A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06" w:name="_Ref11956964"/>
      <w:r>
        <w:rPr>
          <w:rFonts w:hint="eastAsia" w:ascii="方正仿宋_GB2312" w:hAnsi="方正仿宋_GB2312" w:eastAsia="方正仿宋_GB2312" w:cs="方正仿宋_GB2312"/>
          <w:color w:val="auto"/>
          <w:kern w:val="2"/>
          <w:sz w:val="21"/>
          <w:szCs w:val="21"/>
          <w:highlight w:val="none"/>
          <w:lang w:val="en-US" w:eastAsia="zh-CN" w:bidi="ar-SA"/>
        </w:rPr>
        <w:t>6.6.2 承包人应遵守第6.6.1项下指示，并在合理可行的情况下，根据上述指示中规定的时间完成修补工作。除因下列原因引起的第6.6.1项第（3）目下的情形外，承包人应承担所有修补工作的费用：</w:t>
      </w:r>
      <w:bookmarkEnd w:id="906"/>
    </w:p>
    <w:p w14:paraId="02C9179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因发包人或其人员的任何行为导致的情形，且在此情况下发包人应承担因此引起的工期延误和承包人费用损失，并向承包人支付合理的利润。</w:t>
      </w:r>
    </w:p>
    <w:p w14:paraId="5973C38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第17.4款[不可抗力后果的承担]中适用的不可抗力事件的情形。</w:t>
      </w:r>
    </w:p>
    <w:p w14:paraId="4933EEC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0E4B9AC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907" w:name="_Toc32592"/>
      <w:bookmarkStart w:id="908" w:name="_Ref531954214"/>
      <w:bookmarkStart w:id="909" w:name="_Toc54862235"/>
      <w:r>
        <w:rPr>
          <w:rFonts w:hint="eastAsia" w:ascii="方正仿宋_GB2312" w:hAnsi="方正仿宋_GB2312" w:eastAsia="方正仿宋_GB2312" w:cs="方正仿宋_GB2312"/>
          <w:b w:val="0"/>
          <w:bCs/>
          <w:color w:val="auto"/>
          <w:kern w:val="2"/>
          <w:sz w:val="28"/>
          <w:szCs w:val="28"/>
          <w:highlight w:val="none"/>
          <w:lang w:val="en-US" w:eastAsia="zh-CN" w:bidi="ar-SA"/>
        </w:rPr>
        <w:t>第7条 施工</w:t>
      </w:r>
      <w:bookmarkEnd w:id="907"/>
      <w:bookmarkEnd w:id="908"/>
      <w:bookmarkEnd w:id="909"/>
    </w:p>
    <w:p w14:paraId="4641D90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10" w:name="_Toc22433"/>
      <w:bookmarkStart w:id="911" w:name="_Toc54862236"/>
      <w:bookmarkStart w:id="912" w:name="_Ref531954272"/>
      <w:bookmarkStart w:id="913" w:name="_Ref531954276"/>
      <w:bookmarkStart w:id="914" w:name="_Ref531954246"/>
      <w:bookmarkStart w:id="915" w:name="_Ref531954260"/>
      <w:r>
        <w:rPr>
          <w:rFonts w:hint="eastAsia" w:ascii="方正仿宋_GB2312" w:hAnsi="方正仿宋_GB2312" w:eastAsia="方正仿宋_GB2312" w:cs="方正仿宋_GB2312"/>
          <w:b w:val="0"/>
          <w:bCs/>
          <w:color w:val="auto"/>
          <w:kern w:val="2"/>
          <w:sz w:val="21"/>
          <w:szCs w:val="21"/>
          <w:highlight w:val="none"/>
          <w:lang w:val="en-US" w:eastAsia="zh-CN" w:bidi="ar-SA"/>
        </w:rPr>
        <w:t>7.1 交通运输</w:t>
      </w:r>
      <w:bookmarkEnd w:id="910"/>
      <w:bookmarkEnd w:id="911"/>
      <w:bookmarkEnd w:id="912"/>
      <w:bookmarkEnd w:id="913"/>
    </w:p>
    <w:p w14:paraId="40F91F8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16" w:name="_Ref4422645"/>
      <w:r>
        <w:rPr>
          <w:rFonts w:hint="eastAsia" w:ascii="方正仿宋_GB2312" w:hAnsi="方正仿宋_GB2312" w:eastAsia="方正仿宋_GB2312" w:cs="方正仿宋_GB2312"/>
          <w:color w:val="auto"/>
          <w:kern w:val="2"/>
          <w:sz w:val="21"/>
          <w:szCs w:val="21"/>
          <w:highlight w:val="none"/>
          <w:lang w:val="en-US" w:eastAsia="zh-CN" w:bidi="ar-SA"/>
        </w:rPr>
        <w:t>7.1.1 出入现场的权利</w:t>
      </w:r>
      <w:bookmarkEnd w:id="916"/>
    </w:p>
    <w:p w14:paraId="3236FE2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6C6637A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17" w:name="_Ref18957045"/>
      <w:r>
        <w:rPr>
          <w:rFonts w:hint="eastAsia" w:ascii="方正仿宋_GB2312" w:hAnsi="方正仿宋_GB2312" w:eastAsia="方正仿宋_GB2312" w:cs="方正仿宋_GB2312"/>
          <w:color w:val="auto"/>
          <w:kern w:val="2"/>
          <w:sz w:val="21"/>
          <w:szCs w:val="21"/>
          <w:highlight w:val="none"/>
          <w:lang w:val="en-US" w:eastAsia="zh-CN" w:bidi="ar-SA"/>
        </w:rPr>
        <w:t>7.1.2 场外交通</w:t>
      </w:r>
      <w:bookmarkEnd w:id="917"/>
    </w:p>
    <w:p w14:paraId="0236B62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156C09C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18" w:name="_Ref4622358"/>
      <w:r>
        <w:rPr>
          <w:rFonts w:hint="eastAsia" w:ascii="方正仿宋_GB2312" w:hAnsi="方正仿宋_GB2312" w:eastAsia="方正仿宋_GB2312" w:cs="方正仿宋_GB2312"/>
          <w:color w:val="auto"/>
          <w:kern w:val="2"/>
          <w:sz w:val="21"/>
          <w:szCs w:val="21"/>
          <w:highlight w:val="none"/>
          <w:lang w:val="en-US" w:eastAsia="zh-CN" w:bidi="ar-SA"/>
        </w:rPr>
        <w:t>7.1.3 场内交通</w:t>
      </w:r>
      <w:bookmarkEnd w:id="918"/>
    </w:p>
    <w:p w14:paraId="53B72CA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3B8DD58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19" w:name="_Ref4622376"/>
      <w:r>
        <w:rPr>
          <w:rFonts w:hint="eastAsia" w:ascii="方正仿宋_GB2312" w:hAnsi="方正仿宋_GB2312" w:eastAsia="方正仿宋_GB2312" w:cs="方正仿宋_GB2312"/>
          <w:color w:val="auto"/>
          <w:kern w:val="2"/>
          <w:sz w:val="21"/>
          <w:szCs w:val="21"/>
          <w:highlight w:val="none"/>
          <w:lang w:val="en-US" w:eastAsia="zh-CN" w:bidi="ar-SA"/>
        </w:rPr>
        <w:t>7.1.4 超大件和超重件的运输</w:t>
      </w:r>
      <w:bookmarkEnd w:id="919"/>
    </w:p>
    <w:p w14:paraId="7883CBF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由承包人负责运输的超大件或超重件，应由承包人负责向交通管理部门办理申请手续</w:t>
      </w:r>
      <w:r>
        <w:rPr>
          <w:rFonts w:hint="eastAsia" w:ascii="方正仿宋_GB2312" w:hAnsi="方正仿宋_GB2312" w:eastAsia="方正仿宋_GB2312" w:cs="方正仿宋_GB2312"/>
          <w:color w:val="auto"/>
          <w:szCs w:val="21"/>
          <w:highlight w:val="none"/>
          <w:lang w:eastAsia="zh-CN"/>
        </w:rPr>
        <w:t>，由</w:t>
      </w:r>
      <w:r>
        <w:rPr>
          <w:rFonts w:hint="eastAsia" w:ascii="方正仿宋_GB2312" w:hAnsi="方正仿宋_GB2312" w:eastAsia="方正仿宋_GB2312" w:cs="方正仿宋_GB2312"/>
          <w:color w:val="auto"/>
          <w:szCs w:val="21"/>
          <w:highlight w:val="none"/>
        </w:rPr>
        <w:t>发包人给予协助。运输超大件或超重件所需的道路和桥梁临时加固改造费用和其他有关费用，由承包人承担，但专用合同条件另有约定的除外。</w:t>
      </w:r>
    </w:p>
    <w:p w14:paraId="672AE61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7.1.5 道路和桥梁的损坏责任</w:t>
      </w:r>
    </w:p>
    <w:p w14:paraId="788E4A2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因承包人运输造成施工现场内外公共道路和桥梁损坏的，由承包人承担修复损坏的全部费用和可能引起的赔偿。</w:t>
      </w:r>
    </w:p>
    <w:p w14:paraId="72DF252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7.1.6 水路和航空运输</w:t>
      </w:r>
    </w:p>
    <w:p w14:paraId="18173C1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本条上述各款的内容适用于水路运输和航空运输，其中“道路”一词的</w:t>
      </w:r>
      <w:r>
        <w:rPr>
          <w:rFonts w:hint="eastAsia" w:ascii="方正仿宋_GB2312" w:hAnsi="方正仿宋_GB2312" w:eastAsia="方正仿宋_GB2312" w:cs="方正仿宋_GB2312"/>
          <w:color w:val="auto"/>
          <w:szCs w:val="21"/>
          <w:highlight w:val="none"/>
          <w:lang w:eastAsia="zh-CN"/>
        </w:rPr>
        <w:t>含义</w:t>
      </w:r>
      <w:r>
        <w:rPr>
          <w:rFonts w:hint="eastAsia" w:ascii="方正仿宋_GB2312" w:hAnsi="方正仿宋_GB2312" w:eastAsia="方正仿宋_GB2312" w:cs="方正仿宋_GB2312"/>
          <w:color w:val="auto"/>
          <w:szCs w:val="21"/>
          <w:highlight w:val="none"/>
        </w:rPr>
        <w:t>包括河道、航线、船闸、机场、码头、堤防以及水路或航空运输中其他相似结构物；“车辆”一词的</w:t>
      </w:r>
      <w:r>
        <w:rPr>
          <w:rFonts w:hint="eastAsia" w:ascii="方正仿宋_GB2312" w:hAnsi="方正仿宋_GB2312" w:eastAsia="方正仿宋_GB2312" w:cs="方正仿宋_GB2312"/>
          <w:color w:val="auto"/>
          <w:szCs w:val="21"/>
          <w:highlight w:val="none"/>
          <w:lang w:eastAsia="zh-CN"/>
        </w:rPr>
        <w:t>含义</w:t>
      </w:r>
      <w:r>
        <w:rPr>
          <w:rFonts w:hint="eastAsia" w:ascii="方正仿宋_GB2312" w:hAnsi="方正仿宋_GB2312" w:eastAsia="方正仿宋_GB2312" w:cs="方正仿宋_GB2312"/>
          <w:color w:val="auto"/>
          <w:szCs w:val="21"/>
          <w:highlight w:val="none"/>
        </w:rPr>
        <w:t>包括船舶和飞机等。</w:t>
      </w:r>
    </w:p>
    <w:p w14:paraId="4F75C1E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20" w:name="_Ref11919459"/>
      <w:bookmarkStart w:id="921" w:name="_Toc30309"/>
      <w:bookmarkStart w:id="922" w:name="_Ref11919294"/>
      <w:bookmarkStart w:id="923" w:name="_Toc54862237"/>
      <w:r>
        <w:rPr>
          <w:rFonts w:hint="eastAsia" w:ascii="方正仿宋_GB2312" w:hAnsi="方正仿宋_GB2312" w:eastAsia="方正仿宋_GB2312" w:cs="方正仿宋_GB2312"/>
          <w:b w:val="0"/>
          <w:bCs/>
          <w:color w:val="auto"/>
          <w:kern w:val="2"/>
          <w:sz w:val="21"/>
          <w:szCs w:val="21"/>
          <w:highlight w:val="none"/>
          <w:lang w:val="en-US" w:eastAsia="zh-CN" w:bidi="ar-SA"/>
        </w:rPr>
        <w:t>7.2 施工设备和临时设施</w:t>
      </w:r>
      <w:bookmarkEnd w:id="914"/>
      <w:bookmarkEnd w:id="915"/>
      <w:bookmarkEnd w:id="920"/>
      <w:bookmarkEnd w:id="921"/>
      <w:bookmarkEnd w:id="922"/>
      <w:bookmarkEnd w:id="923"/>
    </w:p>
    <w:p w14:paraId="425750E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24" w:name="_Ref18990767"/>
      <w:bookmarkStart w:id="925" w:name="_Ref509043186"/>
      <w:r>
        <w:rPr>
          <w:rFonts w:hint="eastAsia" w:ascii="方正仿宋_GB2312" w:hAnsi="方正仿宋_GB2312" w:eastAsia="方正仿宋_GB2312" w:cs="方正仿宋_GB2312"/>
          <w:color w:val="auto"/>
          <w:kern w:val="2"/>
          <w:sz w:val="21"/>
          <w:szCs w:val="21"/>
          <w:highlight w:val="none"/>
          <w:lang w:val="en-US" w:eastAsia="zh-CN" w:bidi="ar-SA"/>
        </w:rPr>
        <w:t>7.2.1 承包人提供的施工设备和临时设施</w:t>
      </w:r>
      <w:bookmarkEnd w:id="924"/>
    </w:p>
    <w:p w14:paraId="12CBE5A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0E9D503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bookmarkEnd w:id="925"/>
    <w:p w14:paraId="284B893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26" w:name="_Ref18990784"/>
      <w:r>
        <w:rPr>
          <w:rFonts w:hint="eastAsia" w:ascii="方正仿宋_GB2312" w:hAnsi="方正仿宋_GB2312" w:eastAsia="方正仿宋_GB2312" w:cs="方正仿宋_GB2312"/>
          <w:color w:val="auto"/>
          <w:kern w:val="2"/>
          <w:sz w:val="21"/>
          <w:szCs w:val="21"/>
          <w:highlight w:val="none"/>
          <w:lang w:val="en-US" w:eastAsia="zh-CN" w:bidi="ar-SA"/>
        </w:rPr>
        <w:t>7.2.2 发包人提供的施工设备和临时设施</w:t>
      </w:r>
      <w:bookmarkEnd w:id="926"/>
    </w:p>
    <w:p w14:paraId="6ACB253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发包人提供的施工设备或临时设施在专用合同条件中约定。</w:t>
      </w:r>
    </w:p>
    <w:p w14:paraId="0AD1006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7.2.3 要求承包人增加或更换施工设备</w:t>
      </w:r>
    </w:p>
    <w:p w14:paraId="1AB9923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承包人使用的施工设备不能满足项目进度计划和（或）质量要求时，工程师有权要求承包人增加或更换施工设备，承包人应及时增加或更换，由此增加的费用和（或）延误的工期由承包人承担。</w:t>
      </w:r>
    </w:p>
    <w:p w14:paraId="70A57A0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7.2.4 施工设备和临时设施专用于合同工程</w:t>
      </w:r>
    </w:p>
    <w:p w14:paraId="0486C1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w:t>
      </w:r>
      <w:r>
        <w:rPr>
          <w:rFonts w:hint="eastAsia" w:ascii="方正仿宋_GB2312" w:hAnsi="方正仿宋_GB2312" w:eastAsia="方正仿宋_GB2312" w:cs="方正仿宋_GB2312"/>
          <w:color w:val="auto"/>
          <w:szCs w:val="21"/>
          <w:highlight w:val="none"/>
          <w:lang w:eastAsia="zh-CN"/>
        </w:rPr>
        <w:t>进入</w:t>
      </w:r>
      <w:r>
        <w:rPr>
          <w:rFonts w:hint="eastAsia" w:ascii="方正仿宋_GB2312" w:hAnsi="方正仿宋_GB2312" w:eastAsia="方正仿宋_GB2312" w:cs="方正仿宋_GB2312"/>
          <w:color w:val="auto"/>
          <w:szCs w:val="21"/>
          <w:highlight w:val="none"/>
        </w:rPr>
        <w:t>施工现场的施工设备以及在施工现场建设的临时设施必须专用于工程。未经发包人批准，承包人不得运出施工现场或挪作他用；经发包人批准，承包人可以根据施工进度计划撤走闲置的施工设备和其他物品。</w:t>
      </w:r>
    </w:p>
    <w:p w14:paraId="0F9C183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27" w:name="_Toc20830"/>
      <w:bookmarkStart w:id="928" w:name="_Toc54862238"/>
      <w:bookmarkStart w:id="929" w:name="_Ref11874352"/>
      <w:r>
        <w:rPr>
          <w:rFonts w:hint="eastAsia" w:ascii="方正仿宋_GB2312" w:hAnsi="方正仿宋_GB2312" w:eastAsia="方正仿宋_GB2312" w:cs="方正仿宋_GB2312"/>
          <w:b w:val="0"/>
          <w:bCs/>
          <w:color w:val="auto"/>
          <w:kern w:val="2"/>
          <w:sz w:val="21"/>
          <w:szCs w:val="21"/>
          <w:highlight w:val="none"/>
          <w:lang w:val="en-US" w:eastAsia="zh-CN" w:bidi="ar-SA"/>
        </w:rPr>
        <w:t>7.3 现场合作</w:t>
      </w:r>
      <w:bookmarkEnd w:id="927"/>
      <w:bookmarkEnd w:id="928"/>
      <w:bookmarkEnd w:id="929"/>
    </w:p>
    <w:p w14:paraId="7FC2995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承包人应按合同约定或发包人的指示，与发包人人员、发包人的其他承包人等人员就在现场或附近实施与工程有关的各项工作进行合作并提供适当条件，包括使用承包人设备、临时工程或进入现场等。</w:t>
      </w:r>
    </w:p>
    <w:p w14:paraId="7408A7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承包人应对其在现场的施工活动负责，并应尽合理努力按合同约定或发包人的指示，协调自身与发包人人员、发包人的其他承包人等人员的活动。</w:t>
      </w:r>
    </w:p>
    <w:p w14:paraId="1243D28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2541EF8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30" w:name="_Ref531954287"/>
      <w:bookmarkStart w:id="931" w:name="_Ref531954285"/>
      <w:bookmarkStart w:id="932" w:name="_Toc54862239"/>
      <w:bookmarkStart w:id="933" w:name="_Toc20308"/>
      <w:r>
        <w:rPr>
          <w:rFonts w:hint="eastAsia" w:ascii="方正仿宋_GB2312" w:hAnsi="方正仿宋_GB2312" w:eastAsia="方正仿宋_GB2312" w:cs="方正仿宋_GB2312"/>
          <w:b w:val="0"/>
          <w:bCs/>
          <w:color w:val="auto"/>
          <w:kern w:val="2"/>
          <w:sz w:val="21"/>
          <w:szCs w:val="21"/>
          <w:highlight w:val="none"/>
          <w:lang w:val="en-US" w:eastAsia="zh-CN" w:bidi="ar-SA"/>
        </w:rPr>
        <w:t>7.4 测量放线</w:t>
      </w:r>
      <w:bookmarkEnd w:id="930"/>
      <w:bookmarkEnd w:id="931"/>
      <w:bookmarkEnd w:id="932"/>
      <w:bookmarkEnd w:id="933"/>
    </w:p>
    <w:p w14:paraId="0695136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7C61BCD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22B1109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7.4.3 承包人负责施工过程中的全部施工测量放线工作，并配置具有相应资质的人员、合格的仪器、设备和其他物品。承包人应校正工程的位置、标高、尺寸或基准线中出现的任何差错，并对工程各部分的定位负责。施工过程中对施工现场内水准点等测量标志物的保护工作由承包人负责。</w:t>
      </w:r>
    </w:p>
    <w:p w14:paraId="6B4C952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34" w:name="_Toc19137"/>
      <w:bookmarkStart w:id="935" w:name="_Toc54862240"/>
      <w:bookmarkStart w:id="936" w:name="_Ref531954323"/>
      <w:bookmarkStart w:id="937" w:name="_Ref531954329"/>
      <w:bookmarkStart w:id="938" w:name="_Ref4770992"/>
      <w:r>
        <w:rPr>
          <w:rFonts w:hint="eastAsia" w:ascii="方正仿宋_GB2312" w:hAnsi="方正仿宋_GB2312" w:eastAsia="方正仿宋_GB2312" w:cs="方正仿宋_GB2312"/>
          <w:b w:val="0"/>
          <w:bCs/>
          <w:color w:val="auto"/>
          <w:kern w:val="2"/>
          <w:sz w:val="21"/>
          <w:szCs w:val="21"/>
          <w:highlight w:val="none"/>
          <w:lang w:val="en-US" w:eastAsia="zh-CN" w:bidi="ar-SA"/>
        </w:rPr>
        <w:t>7.5 现场劳动用工</w:t>
      </w:r>
      <w:bookmarkEnd w:id="934"/>
      <w:bookmarkEnd w:id="935"/>
    </w:p>
    <w:p w14:paraId="097D4FB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3FA5556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23BB03A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7.5.3 承包人应当按照相关法律法规的要求，进行劳动用工管理和建筑工人工资支付。</w:t>
      </w:r>
    </w:p>
    <w:p w14:paraId="680D91B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39" w:name="_Toc21176"/>
      <w:bookmarkStart w:id="940" w:name="_Ref41554059"/>
      <w:bookmarkStart w:id="941" w:name="_Toc54862241"/>
      <w:r>
        <w:rPr>
          <w:rFonts w:hint="eastAsia" w:ascii="方正仿宋_GB2312" w:hAnsi="方正仿宋_GB2312" w:eastAsia="方正仿宋_GB2312" w:cs="方正仿宋_GB2312"/>
          <w:b w:val="0"/>
          <w:bCs/>
          <w:color w:val="auto"/>
          <w:kern w:val="2"/>
          <w:sz w:val="21"/>
          <w:szCs w:val="21"/>
          <w:highlight w:val="none"/>
          <w:lang w:val="en-US" w:eastAsia="zh-CN" w:bidi="ar-SA"/>
        </w:rPr>
        <w:t>7.6 安全文明施工</w:t>
      </w:r>
      <w:bookmarkEnd w:id="936"/>
      <w:bookmarkEnd w:id="937"/>
      <w:bookmarkEnd w:id="938"/>
      <w:bookmarkEnd w:id="939"/>
      <w:bookmarkEnd w:id="940"/>
      <w:bookmarkEnd w:id="941"/>
    </w:p>
    <w:p w14:paraId="3AA7599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42" w:name="_Ref18990822"/>
      <w:r>
        <w:rPr>
          <w:rFonts w:hint="eastAsia" w:ascii="方正仿宋_GB2312" w:hAnsi="方正仿宋_GB2312" w:eastAsia="方正仿宋_GB2312" w:cs="方正仿宋_GB2312"/>
          <w:color w:val="auto"/>
          <w:kern w:val="2"/>
          <w:sz w:val="21"/>
          <w:szCs w:val="21"/>
          <w:highlight w:val="none"/>
          <w:lang w:val="en-US" w:eastAsia="zh-CN" w:bidi="ar-SA"/>
        </w:rPr>
        <w:t>7.6.1 安全生产要求</w:t>
      </w:r>
      <w:bookmarkEnd w:id="942"/>
    </w:p>
    <w:p w14:paraId="607C03A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784D885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118748D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因安全生产需要暂停施工的，按照第8.9款[暂停工作]的约定执行。</w:t>
      </w:r>
    </w:p>
    <w:p w14:paraId="0620559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7.6.2 安全生产保证措施</w:t>
      </w:r>
    </w:p>
    <w:p w14:paraId="5F2EA69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承包人应当按照</w:t>
      </w:r>
      <w:r>
        <w:rPr>
          <w:rFonts w:hint="eastAsia" w:ascii="方正仿宋_GB2312" w:hAnsi="方正仿宋_GB2312" w:eastAsia="方正仿宋_GB2312" w:cs="方正仿宋_GB2312"/>
          <w:color w:val="auto"/>
          <w:szCs w:val="21"/>
          <w:highlight w:val="none"/>
          <w:lang w:eastAsia="zh-CN"/>
        </w:rPr>
        <w:t>法律法规</w:t>
      </w:r>
      <w:r>
        <w:rPr>
          <w:rFonts w:hint="eastAsia" w:ascii="方正仿宋_GB2312" w:hAnsi="方正仿宋_GB2312" w:eastAsia="方正仿宋_GB2312" w:cs="方正仿宋_GB2312"/>
          <w:color w:val="auto"/>
          <w:szCs w:val="21"/>
          <w:highlight w:val="none"/>
        </w:rPr>
        <w:t>和工程建设强制性标准进行设计、在设计文件中注明涉及施工安全的重点部位和环节，提出保障施工作业人员和预防安全事故的措施建议，防止因设计不合理导致生产安全事故的发生。</w:t>
      </w:r>
    </w:p>
    <w:p w14:paraId="23A1460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1F28E26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承包人应按照法律规定进行施工，开工前做好安全技术交底工作</w:t>
      </w:r>
      <w:r>
        <w:rPr>
          <w:rFonts w:hint="eastAsia" w:ascii="方正仿宋_GB2312" w:hAnsi="方正仿宋_GB2312" w:eastAsia="方正仿宋_GB2312" w:cs="方正仿宋_GB2312"/>
          <w:color w:val="auto"/>
          <w:szCs w:val="21"/>
          <w:highlight w:val="none"/>
          <w:lang w:eastAsia="zh-CN"/>
        </w:rPr>
        <w:t>，在</w:t>
      </w:r>
      <w:r>
        <w:rPr>
          <w:rFonts w:hint="eastAsia" w:ascii="方正仿宋_GB2312" w:hAnsi="方正仿宋_GB2312" w:eastAsia="方正仿宋_GB2312" w:cs="方正仿宋_GB2312"/>
          <w:color w:val="auto"/>
          <w:szCs w:val="21"/>
          <w:highlight w:val="none"/>
        </w:rPr>
        <w:t>施工过程中做好各项安全防护措施。承包人为实施合同而雇用的特殊工种的人员应受过专门的培训并已取得政府有关管理机构颁发的上岗证书。承包人应加强施工作业安全管理，特别应加强</w:t>
      </w:r>
      <w:r>
        <w:rPr>
          <w:rFonts w:hint="eastAsia" w:ascii="方正仿宋_GB2312" w:hAnsi="方正仿宋_GB2312" w:eastAsia="方正仿宋_GB2312" w:cs="方正仿宋_GB2312"/>
          <w:color w:val="auto"/>
          <w:szCs w:val="21"/>
          <w:highlight w:val="none"/>
          <w:lang w:eastAsia="zh-CN"/>
        </w:rPr>
        <w:t>对</w:t>
      </w:r>
      <w:r>
        <w:rPr>
          <w:rFonts w:hint="eastAsia" w:ascii="方正仿宋_GB2312" w:hAnsi="方正仿宋_GB2312" w:eastAsia="方正仿宋_GB2312" w:cs="方正仿宋_GB2312"/>
          <w:color w:val="auto"/>
          <w:szCs w:val="21"/>
          <w:highlight w:val="none"/>
        </w:rPr>
        <w:t>易燃、易爆材料、火工器材、有毒与腐蚀性材料和其他危险品的管理，以及对爆破作业和地下工程施工等危险作业的管理。</w:t>
      </w:r>
    </w:p>
    <w:p w14:paraId="33DA34C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43" w:name="_Ref18990840"/>
      <w:r>
        <w:rPr>
          <w:rFonts w:hint="eastAsia" w:ascii="方正仿宋_GB2312" w:hAnsi="方正仿宋_GB2312" w:eastAsia="方正仿宋_GB2312" w:cs="方正仿宋_GB2312"/>
          <w:color w:val="auto"/>
          <w:kern w:val="2"/>
          <w:sz w:val="21"/>
          <w:szCs w:val="21"/>
          <w:highlight w:val="none"/>
          <w:lang w:val="en-US" w:eastAsia="zh-CN" w:bidi="ar-SA"/>
        </w:rPr>
        <w:t>7.6.3 文明施工</w:t>
      </w:r>
      <w:bookmarkEnd w:id="943"/>
    </w:p>
    <w:p w14:paraId="05EDFA8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667488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6A8B455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7.6.4 事故处理</w:t>
      </w:r>
    </w:p>
    <w:p w14:paraId="34E0E44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6C30D7E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6919158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7.6.5 安全生产责任</w:t>
      </w:r>
    </w:p>
    <w:p w14:paraId="2DA7FB2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发包人应负责赔偿以下各种情况造成的损失：</w:t>
      </w:r>
    </w:p>
    <w:p w14:paraId="68E23F4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工程或工程的任何部分对土地的占用所造成的第三者财产损失；</w:t>
      </w:r>
    </w:p>
    <w:p w14:paraId="5F2546C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由于发包人原因在施工现场及其毗邻地带、履行合同工作中造成的第三者人身伤亡和财产损失；</w:t>
      </w:r>
    </w:p>
    <w:p w14:paraId="03B83B9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由于发包人原因对发包人自身、承包人、工程师造成的人身伤害和财产损失。</w:t>
      </w:r>
    </w:p>
    <w:p w14:paraId="4E5E7F9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承包人应负责赔偿由于承包人原因在施工现场及其毗邻地带、履行合同工作中造成的第三者人身伤亡和财产损失。</w:t>
      </w:r>
    </w:p>
    <w:p w14:paraId="6EBBCC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如果上述损失是由于发包人和承包人共同原因导致的，则双方应根据过错情况按比例承担。</w:t>
      </w:r>
    </w:p>
    <w:p w14:paraId="24867A5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44" w:name="_Toc54862242"/>
      <w:bookmarkStart w:id="945" w:name="_Ref11874562"/>
      <w:bookmarkStart w:id="946" w:name="_Toc32138"/>
      <w:bookmarkStart w:id="947" w:name="_Ref41554069"/>
      <w:r>
        <w:rPr>
          <w:rFonts w:hint="eastAsia" w:ascii="方正仿宋_GB2312" w:hAnsi="方正仿宋_GB2312" w:eastAsia="方正仿宋_GB2312" w:cs="方正仿宋_GB2312"/>
          <w:b w:val="0"/>
          <w:bCs/>
          <w:color w:val="auto"/>
          <w:kern w:val="2"/>
          <w:sz w:val="21"/>
          <w:szCs w:val="21"/>
          <w:highlight w:val="none"/>
          <w:lang w:val="en-US" w:eastAsia="zh-CN" w:bidi="ar-SA"/>
        </w:rPr>
        <w:t>7.7 职业健康</w:t>
      </w:r>
      <w:bookmarkEnd w:id="944"/>
      <w:bookmarkEnd w:id="945"/>
      <w:bookmarkEnd w:id="946"/>
      <w:bookmarkEnd w:id="947"/>
    </w:p>
    <w:p w14:paraId="0A5AD44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承包人应遵守适用的职业健康的法律和合同约定（包括对</w:t>
      </w:r>
      <w:r>
        <w:rPr>
          <w:rFonts w:hint="eastAsia" w:ascii="方正仿宋_GB2312" w:hAnsi="方正仿宋_GB2312" w:eastAsia="方正仿宋_GB2312" w:cs="方正仿宋_GB2312"/>
          <w:color w:val="auto"/>
          <w:szCs w:val="21"/>
          <w:highlight w:val="none"/>
          <w:lang w:eastAsia="zh-CN"/>
        </w:rPr>
        <w:t>雇佣</w:t>
      </w:r>
      <w:r>
        <w:rPr>
          <w:rFonts w:hint="eastAsia" w:ascii="方正仿宋_GB2312" w:hAnsi="方正仿宋_GB2312" w:eastAsia="方正仿宋_GB2312" w:cs="方正仿宋_GB2312"/>
          <w:color w:val="auto"/>
          <w:szCs w:val="21"/>
          <w:highlight w:val="none"/>
        </w:rPr>
        <w:t>、职业健康、安全、福利等方面的规定），负责现场实施过程中其人员的职业</w:t>
      </w:r>
      <w:r>
        <w:rPr>
          <w:rFonts w:hint="eastAsia" w:ascii="方正仿宋_GB2312" w:hAnsi="方正仿宋_GB2312" w:eastAsia="方正仿宋_GB2312" w:cs="方正仿宋_GB2312"/>
          <w:color w:val="auto"/>
          <w:szCs w:val="21"/>
          <w:highlight w:val="none"/>
          <w:lang w:eastAsia="zh-CN"/>
        </w:rPr>
        <w:t>健康</w:t>
      </w:r>
      <w:r>
        <w:rPr>
          <w:rFonts w:hint="eastAsia" w:ascii="方正仿宋_GB2312" w:hAnsi="方正仿宋_GB2312" w:eastAsia="方正仿宋_GB2312" w:cs="方正仿宋_GB2312"/>
          <w:color w:val="auto"/>
          <w:szCs w:val="21"/>
          <w:highlight w:val="none"/>
        </w:rPr>
        <w:t>保护，包括：</w:t>
      </w:r>
    </w:p>
    <w:p w14:paraId="7ED9ABA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3F2A617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承包人应依法为承包人</w:t>
      </w:r>
      <w:bookmarkStart w:id="948" w:name="_Hlk46339538"/>
      <w:r>
        <w:rPr>
          <w:rFonts w:hint="eastAsia" w:ascii="方正仿宋_GB2312" w:hAnsi="方正仿宋_GB2312" w:eastAsia="方正仿宋_GB2312" w:cs="方正仿宋_GB2312"/>
          <w:color w:val="auto"/>
          <w:szCs w:val="21"/>
          <w:highlight w:val="none"/>
        </w:rPr>
        <w:t>员工及承包人聘用的第三方人员</w:t>
      </w:r>
      <w:bookmarkEnd w:id="948"/>
      <w:r>
        <w:rPr>
          <w:rFonts w:hint="eastAsia" w:ascii="方正仿宋_GB2312" w:hAnsi="方正仿宋_GB2312" w:eastAsia="方正仿宋_GB2312" w:cs="方正仿宋_GB2312"/>
          <w:color w:val="auto"/>
          <w:szCs w:val="21"/>
          <w:highlight w:val="none"/>
        </w:rPr>
        <w:t>办理必要的证件、许可、保险和注册等，承包人应</w:t>
      </w:r>
      <w:r>
        <w:rPr>
          <w:rFonts w:hint="eastAsia" w:ascii="方正仿宋_GB2312" w:hAnsi="方正仿宋_GB2312" w:eastAsia="方正仿宋_GB2312" w:cs="方正仿宋_GB2312"/>
          <w:color w:val="auto"/>
          <w:szCs w:val="21"/>
          <w:highlight w:val="none"/>
          <w:lang w:eastAsia="zh-CN"/>
        </w:rPr>
        <w:t>督促</w:t>
      </w:r>
      <w:r>
        <w:rPr>
          <w:rFonts w:hint="eastAsia" w:ascii="方正仿宋_GB2312" w:hAnsi="方正仿宋_GB2312" w:eastAsia="方正仿宋_GB2312" w:cs="方正仿宋_GB2312"/>
          <w:color w:val="auto"/>
          <w:szCs w:val="21"/>
          <w:highlight w:val="none"/>
        </w:rPr>
        <w:t>分包人为分包人员工及分包人聘用的第三方人员办理必要的证件、许可、保险和注册等。承包人应为其履行合同所雇用的人员提供必要的</w:t>
      </w:r>
      <w:r>
        <w:rPr>
          <w:rFonts w:hint="eastAsia" w:ascii="方正仿宋_GB2312" w:hAnsi="方正仿宋_GB2312" w:eastAsia="方正仿宋_GB2312" w:cs="方正仿宋_GB2312"/>
          <w:color w:val="auto"/>
          <w:szCs w:val="21"/>
          <w:highlight w:val="none"/>
          <w:lang w:eastAsia="zh-CN"/>
        </w:rPr>
        <w:t>食宿</w:t>
      </w:r>
      <w:r>
        <w:rPr>
          <w:rFonts w:hint="eastAsia" w:ascii="方正仿宋_GB2312" w:hAnsi="方正仿宋_GB2312" w:eastAsia="方正仿宋_GB2312" w:cs="方正仿宋_GB2312"/>
          <w:color w:val="auto"/>
          <w:szCs w:val="21"/>
          <w:highlight w:val="none"/>
        </w:rPr>
        <w:t>条件和生活环境，必要的现场食宿条件。</w:t>
      </w:r>
    </w:p>
    <w:p w14:paraId="70427EB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w:t>
      </w:r>
      <w:r>
        <w:rPr>
          <w:rFonts w:hint="eastAsia" w:ascii="方正仿宋_GB2312" w:hAnsi="方正仿宋_GB2312" w:eastAsia="方正仿宋_GB2312" w:cs="方正仿宋_GB2312"/>
          <w:color w:val="auto"/>
          <w:szCs w:val="21"/>
          <w:highlight w:val="none"/>
          <w:lang w:eastAsia="zh-CN"/>
        </w:rPr>
        <w:t>应对</w:t>
      </w:r>
      <w:r>
        <w:rPr>
          <w:rFonts w:hint="eastAsia" w:ascii="方正仿宋_GB2312" w:hAnsi="方正仿宋_GB2312" w:eastAsia="方正仿宋_GB2312" w:cs="方正仿宋_GB2312"/>
          <w:color w:val="auto"/>
          <w:szCs w:val="21"/>
          <w:highlight w:val="none"/>
        </w:rPr>
        <w:t>施工人员进行相关作业的职业健康知识培训、危险及危害因素交底、安全操作规程交底、采取有效措施，按有关规定</w:t>
      </w:r>
      <w:r>
        <w:rPr>
          <w:rFonts w:hint="eastAsia" w:ascii="方正仿宋_GB2312" w:hAnsi="方正仿宋_GB2312" w:eastAsia="方正仿宋_GB2312" w:cs="方正仿宋_GB2312"/>
          <w:color w:val="auto"/>
          <w:szCs w:val="21"/>
          <w:highlight w:val="none"/>
          <w:lang w:eastAsia="zh-CN"/>
        </w:rPr>
        <w:t>为</w:t>
      </w:r>
      <w:r>
        <w:rPr>
          <w:rFonts w:hint="eastAsia" w:ascii="方正仿宋_GB2312" w:hAnsi="方正仿宋_GB2312" w:eastAsia="方正仿宋_GB2312" w:cs="方正仿宋_GB2312"/>
          <w:color w:val="auto"/>
          <w:szCs w:val="21"/>
          <w:highlight w:val="none"/>
        </w:rPr>
        <w:t>现场人员提供劳动保护用品、防护器具、防暑降温用品和安全生产设施。采取有效</w:t>
      </w:r>
      <w:r>
        <w:rPr>
          <w:rFonts w:hint="eastAsia" w:ascii="方正仿宋_GB2312" w:hAnsi="方正仿宋_GB2312" w:eastAsia="方正仿宋_GB2312" w:cs="方正仿宋_GB2312"/>
          <w:color w:val="auto"/>
          <w:szCs w:val="21"/>
          <w:highlight w:val="none"/>
          <w:lang w:eastAsia="zh-CN"/>
        </w:rPr>
        <w:t>地</w:t>
      </w:r>
      <w:r>
        <w:rPr>
          <w:rFonts w:hint="eastAsia" w:ascii="方正仿宋_GB2312" w:hAnsi="方正仿宋_GB2312" w:eastAsia="方正仿宋_GB2312" w:cs="方正仿宋_GB2312"/>
          <w:color w:val="auto"/>
          <w:szCs w:val="21"/>
          <w:highlight w:val="none"/>
        </w:rPr>
        <w:t>防止粉尘、降低噪声、控制有害气体和保障高温、高寒、高空作业安全等劳动保护措施。</w:t>
      </w:r>
    </w:p>
    <w:p w14:paraId="7A260C6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7BBC0F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承包人应采取有效措施预防传染病，保持食堂的饮食卫生，保证施工人员的健康，并定期对施工现场、施工人员生活基地和工程进行防疫和卫生的专业检查和处理</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在远离城镇的施工现场，还应配备必要的伤病防治和急救的医务人员与医疗设施。承包人雇佣人员在施工中受到伤害的，承包人应立即采取有效措施进行抢救和治疗。</w:t>
      </w:r>
    </w:p>
    <w:p w14:paraId="61B005D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49" w:name="_Toc24735"/>
      <w:bookmarkStart w:id="950" w:name="_Toc54862243"/>
      <w:bookmarkStart w:id="951" w:name="_Ref11874570"/>
      <w:r>
        <w:rPr>
          <w:rFonts w:hint="eastAsia" w:ascii="方正仿宋_GB2312" w:hAnsi="方正仿宋_GB2312" w:eastAsia="方正仿宋_GB2312" w:cs="方正仿宋_GB2312"/>
          <w:b w:val="0"/>
          <w:bCs/>
          <w:color w:val="auto"/>
          <w:kern w:val="2"/>
          <w:sz w:val="21"/>
          <w:szCs w:val="21"/>
          <w:highlight w:val="none"/>
          <w:lang w:val="en-US" w:eastAsia="zh-CN" w:bidi="ar-SA"/>
        </w:rPr>
        <w:t>7.8 环境保护</w:t>
      </w:r>
      <w:bookmarkEnd w:id="949"/>
      <w:bookmarkEnd w:id="950"/>
      <w:bookmarkEnd w:id="951"/>
    </w:p>
    <w:p w14:paraId="7BB527A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6268460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7.8.2 承包人应采取措施，并负责控制和（或）处理现场的粉尘、废气、废水、固体废物和噪声对环境的污染和危害。因此发生的伤害、赔偿、罚款等费用增加，和（或）竣工日期延误，由承包人负责。</w:t>
      </w:r>
    </w:p>
    <w:p w14:paraId="6946A7B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6D1E0F1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52" w:name="_Ref531954340"/>
      <w:bookmarkStart w:id="953" w:name="_Toc18866"/>
      <w:bookmarkStart w:id="954" w:name="_Ref531954344"/>
      <w:bookmarkStart w:id="955" w:name="_Ref4771116"/>
      <w:bookmarkStart w:id="956" w:name="_Toc54862244"/>
      <w:r>
        <w:rPr>
          <w:rFonts w:hint="eastAsia" w:ascii="方正仿宋_GB2312" w:hAnsi="方正仿宋_GB2312" w:eastAsia="方正仿宋_GB2312" w:cs="方正仿宋_GB2312"/>
          <w:b w:val="0"/>
          <w:bCs/>
          <w:color w:val="auto"/>
          <w:kern w:val="2"/>
          <w:sz w:val="21"/>
          <w:szCs w:val="21"/>
          <w:highlight w:val="none"/>
          <w:lang w:val="en-US" w:eastAsia="zh-CN" w:bidi="ar-SA"/>
        </w:rPr>
        <w:t>7.9 临时性公用设施</w:t>
      </w:r>
      <w:bookmarkEnd w:id="952"/>
      <w:bookmarkEnd w:id="953"/>
      <w:bookmarkEnd w:id="954"/>
      <w:bookmarkEnd w:id="955"/>
      <w:bookmarkEnd w:id="956"/>
    </w:p>
    <w:p w14:paraId="3142600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7.9.1 提供临时用水、用电等节点铺设</w:t>
      </w:r>
    </w:p>
    <w:p w14:paraId="59BF42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3116F21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23DF580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7.9.2 临时用水、用电等</w:t>
      </w:r>
    </w:p>
    <w:p w14:paraId="1E37D82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承包人应在计划开始现场施工日期28天前或双方约定的</w:t>
      </w:r>
      <w:r>
        <w:rPr>
          <w:rFonts w:hint="eastAsia" w:ascii="方正仿宋_GB2312" w:hAnsi="方正仿宋_GB2312" w:eastAsia="方正仿宋_GB2312" w:cs="方正仿宋_GB2312"/>
          <w:color w:val="auto"/>
          <w:szCs w:val="21"/>
          <w:highlight w:val="none"/>
          <w:lang w:eastAsia="zh-CN"/>
        </w:rPr>
        <w:t>其他时间</w:t>
      </w:r>
      <w:r>
        <w:rPr>
          <w:rFonts w:hint="eastAsia" w:ascii="方正仿宋_GB2312" w:hAnsi="方正仿宋_GB2312" w:eastAsia="方正仿宋_GB2312" w:cs="方正仿宋_GB2312"/>
          <w:color w:val="auto"/>
          <w:szCs w:val="21"/>
          <w:highlight w:val="none"/>
        </w:rPr>
        <w:t>，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1CE8C32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因承包人未能按合同约定提交上述资料，造成发包人费用增加和竣工日期延误时，由承包人负责。</w:t>
      </w:r>
      <w:bookmarkStart w:id="957" w:name="_Ref508893743"/>
    </w:p>
    <w:p w14:paraId="3EEF75E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58" w:name="_Toc24758"/>
      <w:bookmarkStart w:id="959" w:name="_Ref531952239"/>
      <w:bookmarkStart w:id="960" w:name="_Toc54862245"/>
      <w:bookmarkStart w:id="961" w:name="_Ref531952248"/>
      <w:r>
        <w:rPr>
          <w:rFonts w:hint="eastAsia" w:ascii="方正仿宋_GB2312" w:hAnsi="方正仿宋_GB2312" w:eastAsia="方正仿宋_GB2312" w:cs="方正仿宋_GB2312"/>
          <w:b w:val="0"/>
          <w:bCs/>
          <w:color w:val="auto"/>
          <w:kern w:val="2"/>
          <w:sz w:val="21"/>
          <w:szCs w:val="21"/>
          <w:highlight w:val="none"/>
          <w:lang w:val="en-US" w:eastAsia="zh-CN" w:bidi="ar-SA"/>
        </w:rPr>
        <w:t>7.10 现场安保</w:t>
      </w:r>
      <w:bookmarkEnd w:id="958"/>
      <w:bookmarkEnd w:id="959"/>
      <w:bookmarkEnd w:id="960"/>
      <w:bookmarkEnd w:id="961"/>
    </w:p>
    <w:p w14:paraId="37FA514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2493456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承包人应将其作业限制在现场区域、合同约定的区域</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履行合同所需的区域内。承包人应采取一切必要的预防措施，以保持承包人的设备和人员处于现场区域内，避免其进入邻近地区。</w:t>
      </w:r>
    </w:p>
    <w:p w14:paraId="73B838D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承包人为履行合同义务而占用的其他场所（如预制加工场所、办公及生活营区） 的安保适用本款前述关于现场安保的规定。</w:t>
      </w:r>
    </w:p>
    <w:p w14:paraId="62EF758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62" w:name="_Toc18783"/>
      <w:bookmarkStart w:id="963" w:name="_Toc54862246"/>
      <w:r>
        <w:rPr>
          <w:rFonts w:hint="eastAsia" w:ascii="方正仿宋_GB2312" w:hAnsi="方正仿宋_GB2312" w:eastAsia="方正仿宋_GB2312" w:cs="方正仿宋_GB2312"/>
          <w:b w:val="0"/>
          <w:bCs/>
          <w:color w:val="auto"/>
          <w:kern w:val="2"/>
          <w:sz w:val="21"/>
          <w:szCs w:val="21"/>
          <w:highlight w:val="none"/>
          <w:lang w:val="en-US" w:eastAsia="zh-CN" w:bidi="ar-SA"/>
        </w:rPr>
        <w:t>7.11 工程照管</w:t>
      </w:r>
      <w:bookmarkEnd w:id="962"/>
      <w:bookmarkEnd w:id="963"/>
    </w:p>
    <w:p w14:paraId="2DC4F1B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自开始现场施工日期起至发包人应当接收工程之日止，承包人应承担工程现场、材料、设备及承包人文件的照管和维护工作。</w:t>
      </w:r>
    </w:p>
    <w:p w14:paraId="76AB57F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如部分工程于竣工验收前提前交付发包人的，则自交付之日起，该部分工程照管及维护职责由发包人承担。</w:t>
      </w:r>
    </w:p>
    <w:p w14:paraId="3E9E03C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如发包人及承包人进行竣工验收时尚有部分未竣工工程的，承包人应负责该未竣工工程的照管和维护工作，直至竣工后移交给发包人。</w:t>
      </w:r>
    </w:p>
    <w:p w14:paraId="3984B62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如合同解除或终止的，承包人自合同解除或终止之日起不再对工程承担照管和维护义务。</w:t>
      </w:r>
    </w:p>
    <w:p w14:paraId="45575D1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964" w:name="_Toc22775"/>
      <w:bookmarkStart w:id="965" w:name="_Toc54862247"/>
      <w:bookmarkStart w:id="966" w:name="_Ref508998009"/>
      <w:bookmarkStart w:id="967" w:name="_Ref531954505"/>
      <w:bookmarkStart w:id="968" w:name="_Ref531954518"/>
      <w:r>
        <w:rPr>
          <w:rFonts w:hint="eastAsia" w:ascii="方正仿宋_GB2312" w:hAnsi="方正仿宋_GB2312" w:eastAsia="方正仿宋_GB2312" w:cs="方正仿宋_GB2312"/>
          <w:b w:val="0"/>
          <w:bCs/>
          <w:color w:val="auto"/>
          <w:kern w:val="2"/>
          <w:sz w:val="28"/>
          <w:szCs w:val="28"/>
          <w:highlight w:val="none"/>
          <w:lang w:val="en-US" w:eastAsia="zh-CN" w:bidi="ar-SA"/>
        </w:rPr>
        <w:t>第8条 工期和进度</w:t>
      </w:r>
      <w:bookmarkEnd w:id="964"/>
      <w:bookmarkEnd w:id="965"/>
      <w:bookmarkEnd w:id="966"/>
    </w:p>
    <w:p w14:paraId="05457DD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69" w:name="_Toc54862248"/>
      <w:bookmarkStart w:id="970" w:name="_Ref532362777"/>
      <w:bookmarkStart w:id="971" w:name="_Toc5483"/>
      <w:bookmarkStart w:id="972" w:name="_Ref532362072"/>
      <w:bookmarkStart w:id="973" w:name="_Ref532362075"/>
      <w:bookmarkStart w:id="974" w:name="_Ref532362774"/>
      <w:r>
        <w:rPr>
          <w:rFonts w:hint="eastAsia" w:ascii="方正仿宋_GB2312" w:hAnsi="方正仿宋_GB2312" w:eastAsia="方正仿宋_GB2312" w:cs="方正仿宋_GB2312"/>
          <w:b w:val="0"/>
          <w:bCs/>
          <w:color w:val="auto"/>
          <w:kern w:val="2"/>
          <w:sz w:val="21"/>
          <w:szCs w:val="21"/>
          <w:highlight w:val="none"/>
          <w:lang w:val="en-US" w:eastAsia="zh-CN" w:bidi="ar-SA"/>
        </w:rPr>
        <w:t>8.1 开始工作</w:t>
      </w:r>
      <w:bookmarkEnd w:id="969"/>
      <w:bookmarkEnd w:id="970"/>
      <w:bookmarkEnd w:id="971"/>
      <w:bookmarkEnd w:id="972"/>
      <w:bookmarkEnd w:id="973"/>
      <w:bookmarkEnd w:id="974"/>
    </w:p>
    <w:p w14:paraId="51F3A5C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75" w:name="_Ref4428890"/>
      <w:r>
        <w:rPr>
          <w:rFonts w:hint="eastAsia" w:ascii="方正仿宋_GB2312" w:hAnsi="方正仿宋_GB2312" w:eastAsia="方正仿宋_GB2312" w:cs="方正仿宋_GB2312"/>
          <w:color w:val="auto"/>
          <w:kern w:val="2"/>
          <w:sz w:val="21"/>
          <w:szCs w:val="21"/>
          <w:highlight w:val="none"/>
          <w:lang w:val="en-US" w:eastAsia="zh-CN" w:bidi="ar-SA"/>
        </w:rPr>
        <w:t>8.1.1 开始工作准备</w:t>
      </w:r>
      <w:bookmarkEnd w:id="975"/>
    </w:p>
    <w:p w14:paraId="6EDDC3E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合同当事人应按专用合同条件约定完成开始工作准备工作。</w:t>
      </w:r>
    </w:p>
    <w:p w14:paraId="1FCDC50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76" w:name="_Ref536790534"/>
      <w:bookmarkStart w:id="977" w:name="_Hlk51506490"/>
      <w:r>
        <w:rPr>
          <w:rFonts w:hint="eastAsia" w:ascii="方正仿宋_GB2312" w:hAnsi="方正仿宋_GB2312" w:eastAsia="方正仿宋_GB2312" w:cs="方正仿宋_GB2312"/>
          <w:color w:val="auto"/>
          <w:kern w:val="2"/>
          <w:sz w:val="21"/>
          <w:szCs w:val="21"/>
          <w:highlight w:val="none"/>
          <w:lang w:val="en-US" w:eastAsia="zh-CN" w:bidi="ar-SA"/>
        </w:rPr>
        <w:t>8.1.2 开始工作通知</w:t>
      </w:r>
      <w:bookmarkEnd w:id="976"/>
    </w:p>
    <w:bookmarkEnd w:id="977"/>
    <w:p w14:paraId="2EB43A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经发包人同意后，工程师应提前7天向承包人发出经发包人签认的开始工作通知，工期自开始工作通知中载明的开始工作日期起算。</w:t>
      </w:r>
    </w:p>
    <w:p w14:paraId="41BE756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除专用合同条件另有约定外，因发包人原因造成实际开始现场施工日期迟于</w:t>
      </w:r>
      <w:bookmarkStart w:id="978" w:name="_Hlk51506566"/>
      <w:r>
        <w:rPr>
          <w:rFonts w:hint="eastAsia" w:ascii="方正仿宋_GB2312" w:hAnsi="方正仿宋_GB2312" w:eastAsia="方正仿宋_GB2312" w:cs="方正仿宋_GB2312"/>
          <w:color w:val="auto"/>
          <w:szCs w:val="21"/>
          <w:highlight w:val="none"/>
        </w:rPr>
        <w:t>计划开始现场施工日期</w:t>
      </w:r>
      <w:bookmarkEnd w:id="978"/>
      <w:r>
        <w:rPr>
          <w:rFonts w:hint="eastAsia" w:ascii="方正仿宋_GB2312" w:hAnsi="方正仿宋_GB2312" w:eastAsia="方正仿宋_GB2312" w:cs="方正仿宋_GB2312"/>
          <w:color w:val="auto"/>
          <w:szCs w:val="21"/>
          <w:highlight w:val="none"/>
        </w:rPr>
        <w:t>后第84天的，承包人有权提出价格调整要求，或者解除合同。发包人应当承担由此增加的费用和（或）延误的工期，并向承包人支付合理利润。</w:t>
      </w:r>
    </w:p>
    <w:p w14:paraId="1930CDB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79" w:name="_Ref532362124"/>
      <w:bookmarkStart w:id="980" w:name="_Toc54862249"/>
      <w:bookmarkStart w:id="981" w:name="_Toc1674"/>
      <w:r>
        <w:rPr>
          <w:rFonts w:hint="eastAsia" w:ascii="方正仿宋_GB2312" w:hAnsi="方正仿宋_GB2312" w:eastAsia="方正仿宋_GB2312" w:cs="方正仿宋_GB2312"/>
          <w:b w:val="0"/>
          <w:bCs/>
          <w:color w:val="auto"/>
          <w:kern w:val="2"/>
          <w:sz w:val="21"/>
          <w:szCs w:val="21"/>
          <w:highlight w:val="none"/>
          <w:lang w:val="en-US" w:eastAsia="zh-CN" w:bidi="ar-SA"/>
        </w:rPr>
        <w:t>8.2 竣工日期</w:t>
      </w:r>
      <w:bookmarkEnd w:id="979"/>
      <w:bookmarkEnd w:id="980"/>
      <w:bookmarkEnd w:id="981"/>
    </w:p>
    <w:p w14:paraId="285900C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承包人应在合同协议书约定的工期内完成合同工作。除专用合同条件另有约定外，工程的竣工日期以第10.1条[竣工验收]的约定为准，并在工程接收证书中写明。</w:t>
      </w:r>
    </w:p>
    <w:p w14:paraId="3B2DFC2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因发包人原因，在工程师收到承包人竣工验收申请报告42天后未进行验收的，视为验收合格，实际竣工日期以提交竣工验收申请报告的日期为准，但发包人由于不可抗力不能进行验收的除外。</w:t>
      </w:r>
    </w:p>
    <w:p w14:paraId="082BBE1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82" w:name="_Ref11863334"/>
      <w:bookmarkStart w:id="983" w:name="_Toc54862250"/>
      <w:bookmarkStart w:id="984" w:name="_Toc18218"/>
      <w:bookmarkStart w:id="985" w:name="_Ref532352853"/>
      <w:bookmarkStart w:id="986" w:name="_Ref532352856"/>
      <w:bookmarkStart w:id="987" w:name="_Ref532362204"/>
      <w:bookmarkStart w:id="988" w:name="_Ref532362207"/>
      <w:r>
        <w:rPr>
          <w:rFonts w:hint="eastAsia" w:ascii="方正仿宋_GB2312" w:hAnsi="方正仿宋_GB2312" w:eastAsia="方正仿宋_GB2312" w:cs="方正仿宋_GB2312"/>
          <w:b w:val="0"/>
          <w:bCs/>
          <w:color w:val="auto"/>
          <w:kern w:val="2"/>
          <w:sz w:val="21"/>
          <w:szCs w:val="21"/>
          <w:highlight w:val="none"/>
          <w:lang w:val="en-US" w:eastAsia="zh-CN" w:bidi="ar-SA"/>
        </w:rPr>
        <w:t>8.3 项目实施计划</w:t>
      </w:r>
      <w:bookmarkEnd w:id="982"/>
      <w:bookmarkEnd w:id="983"/>
      <w:bookmarkEnd w:id="984"/>
    </w:p>
    <w:p w14:paraId="34360EA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89" w:name="_Ref18990904"/>
      <w:r>
        <w:rPr>
          <w:rFonts w:hint="eastAsia" w:ascii="方正仿宋_GB2312" w:hAnsi="方正仿宋_GB2312" w:eastAsia="方正仿宋_GB2312" w:cs="方正仿宋_GB2312"/>
          <w:color w:val="auto"/>
          <w:kern w:val="2"/>
          <w:sz w:val="21"/>
          <w:szCs w:val="21"/>
          <w:highlight w:val="none"/>
          <w:lang w:val="en-US" w:eastAsia="zh-CN" w:bidi="ar-SA"/>
        </w:rPr>
        <w:t>8.3.1 项目实施计划的内容</w:t>
      </w:r>
      <w:bookmarkEnd w:id="989"/>
    </w:p>
    <w:p w14:paraId="1F94854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0391FE6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90" w:name="_Ref18990921"/>
      <w:r>
        <w:rPr>
          <w:rFonts w:hint="eastAsia" w:ascii="方正仿宋_GB2312" w:hAnsi="方正仿宋_GB2312" w:eastAsia="方正仿宋_GB2312" w:cs="方正仿宋_GB2312"/>
          <w:color w:val="auto"/>
          <w:kern w:val="2"/>
          <w:sz w:val="21"/>
          <w:szCs w:val="21"/>
          <w:highlight w:val="none"/>
          <w:lang w:val="en-US" w:eastAsia="zh-CN" w:bidi="ar-SA"/>
        </w:rPr>
        <w:t>8.3.2 项目实施计划的提交和修改</w:t>
      </w:r>
      <w:bookmarkEnd w:id="990"/>
    </w:p>
    <w:p w14:paraId="251A498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530AC19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项目进度计划的编制和修改按照第8.4款[项目进度计划]执行。</w:t>
      </w:r>
    </w:p>
    <w:p w14:paraId="3EDA9D3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91" w:name="_Toc54862251"/>
      <w:bookmarkStart w:id="992" w:name="_Toc29439"/>
      <w:bookmarkStart w:id="993" w:name="_Ref11865507"/>
      <w:r>
        <w:rPr>
          <w:rFonts w:hint="eastAsia" w:ascii="方正仿宋_GB2312" w:hAnsi="方正仿宋_GB2312" w:eastAsia="方正仿宋_GB2312" w:cs="方正仿宋_GB2312"/>
          <w:b w:val="0"/>
          <w:bCs/>
          <w:color w:val="auto"/>
          <w:kern w:val="2"/>
          <w:sz w:val="21"/>
          <w:szCs w:val="21"/>
          <w:highlight w:val="none"/>
          <w:lang w:val="en-US" w:eastAsia="zh-CN" w:bidi="ar-SA"/>
        </w:rPr>
        <w:t>8.4 项目进度计划</w:t>
      </w:r>
      <w:bookmarkEnd w:id="985"/>
      <w:bookmarkEnd w:id="986"/>
      <w:bookmarkEnd w:id="987"/>
      <w:bookmarkEnd w:id="988"/>
      <w:bookmarkEnd w:id="991"/>
      <w:bookmarkEnd w:id="992"/>
      <w:bookmarkEnd w:id="993"/>
    </w:p>
    <w:p w14:paraId="39D6D40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94" w:name="_Ref4681217"/>
      <w:r>
        <w:rPr>
          <w:rFonts w:hint="eastAsia" w:ascii="方正仿宋_GB2312" w:hAnsi="方正仿宋_GB2312" w:eastAsia="方正仿宋_GB2312" w:cs="方正仿宋_GB2312"/>
          <w:color w:val="auto"/>
          <w:kern w:val="2"/>
          <w:sz w:val="21"/>
          <w:szCs w:val="21"/>
          <w:highlight w:val="none"/>
          <w:lang w:val="en-US" w:eastAsia="zh-CN" w:bidi="ar-SA"/>
        </w:rPr>
        <w:t>8.4.1 项目进度计划的提交和修改</w:t>
      </w:r>
      <w:bookmarkEnd w:id="994"/>
    </w:p>
    <w:p w14:paraId="752BB02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50C4E14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4AEBF49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95" w:name="_Ref4429079"/>
      <w:r>
        <w:rPr>
          <w:rFonts w:hint="eastAsia" w:ascii="方正仿宋_GB2312" w:hAnsi="方正仿宋_GB2312" w:eastAsia="方正仿宋_GB2312" w:cs="方正仿宋_GB2312"/>
          <w:color w:val="auto"/>
          <w:kern w:val="2"/>
          <w:sz w:val="21"/>
          <w:szCs w:val="21"/>
          <w:highlight w:val="none"/>
          <w:lang w:val="en-US" w:eastAsia="zh-CN" w:bidi="ar-SA"/>
        </w:rPr>
        <w:t>8.4.2 项目进度计划的内容</w:t>
      </w:r>
      <w:bookmarkEnd w:id="995"/>
    </w:p>
    <w:p w14:paraId="2A72E8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55716F7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996" w:name="_Ref3848203"/>
      <w:r>
        <w:rPr>
          <w:rFonts w:hint="eastAsia" w:ascii="方正仿宋_GB2312" w:hAnsi="方正仿宋_GB2312" w:eastAsia="方正仿宋_GB2312" w:cs="方正仿宋_GB2312"/>
          <w:color w:val="auto"/>
          <w:kern w:val="2"/>
          <w:sz w:val="21"/>
          <w:szCs w:val="21"/>
          <w:highlight w:val="none"/>
          <w:lang w:val="en-US" w:eastAsia="zh-CN" w:bidi="ar-SA"/>
        </w:rPr>
        <w:t>8.4.3 项目进度计划的修订</w:t>
      </w:r>
      <w:bookmarkEnd w:id="996"/>
    </w:p>
    <w:p w14:paraId="4986C60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3628BDC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2559164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除合同当事人另有约定外，项目进度计划的修订并不能减轻或者免除双方按第8.7款[工期延误]、第8.8款[工期提前]、第8.9款[暂停工作]应承担的合同责任。</w:t>
      </w:r>
    </w:p>
    <w:p w14:paraId="444C3DD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997" w:name="_Toc26963"/>
      <w:bookmarkStart w:id="998" w:name="_Toc54862252"/>
      <w:bookmarkStart w:id="999" w:name="_Ref532362278"/>
      <w:bookmarkStart w:id="1000" w:name="_Ref532362276"/>
      <w:r>
        <w:rPr>
          <w:rFonts w:hint="eastAsia" w:ascii="方正仿宋_GB2312" w:hAnsi="方正仿宋_GB2312" w:eastAsia="方正仿宋_GB2312" w:cs="方正仿宋_GB2312"/>
          <w:b w:val="0"/>
          <w:bCs/>
          <w:color w:val="auto"/>
          <w:kern w:val="2"/>
          <w:sz w:val="21"/>
          <w:szCs w:val="21"/>
          <w:highlight w:val="none"/>
          <w:lang w:val="en-US" w:eastAsia="zh-CN" w:bidi="ar-SA"/>
        </w:rPr>
        <w:t>8.5 进度报告</w:t>
      </w:r>
      <w:bookmarkEnd w:id="997"/>
      <w:bookmarkEnd w:id="998"/>
      <w:bookmarkEnd w:id="999"/>
      <w:bookmarkEnd w:id="1000"/>
    </w:p>
    <w:p w14:paraId="5B0A311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项目实施过程中，承包人应进行实际进度记录，并根据工程师的要求编制月进度报告，并提交给工程师。进度报告应包含以下主要内容：</w:t>
      </w:r>
    </w:p>
    <w:p w14:paraId="036CA4C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工程设计、采购、施工等各个工作内容的进展报告；</w:t>
      </w:r>
    </w:p>
    <w:p w14:paraId="62C9939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工程施工方法的一般说明；</w:t>
      </w:r>
    </w:p>
    <w:p w14:paraId="1E0DC73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当月工程实施介入的项目人员、设备和材料的预估明细报告；</w:t>
      </w:r>
    </w:p>
    <w:p w14:paraId="182EE30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（4） 当月实际进度与进度计划对比分析，以及提出未来可能引起工期延误的情形，同时提出应对措施；需要修订项目进度计划的，应对项目进度计划的修订部分进行说明； </w:t>
      </w:r>
    </w:p>
    <w:p w14:paraId="46BF42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承包人对于解决工期延误所提出的建议；</w:t>
      </w:r>
    </w:p>
    <w:p w14:paraId="0AB41DA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其他与工程有关的重大事项。</w:t>
      </w:r>
    </w:p>
    <w:p w14:paraId="6AECF4C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进度报告的具体要求等，在专用合同条件约定。</w:t>
      </w:r>
    </w:p>
    <w:p w14:paraId="52282BA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01" w:name="_Toc54862253"/>
      <w:bookmarkStart w:id="1002" w:name="_Toc4108"/>
      <w:r>
        <w:rPr>
          <w:rFonts w:hint="eastAsia" w:ascii="方正仿宋_GB2312" w:hAnsi="方正仿宋_GB2312" w:eastAsia="方正仿宋_GB2312" w:cs="方正仿宋_GB2312"/>
          <w:b w:val="0"/>
          <w:bCs/>
          <w:color w:val="auto"/>
          <w:kern w:val="2"/>
          <w:sz w:val="21"/>
          <w:szCs w:val="21"/>
          <w:highlight w:val="none"/>
          <w:lang w:val="en-US" w:eastAsia="zh-CN" w:bidi="ar-SA"/>
        </w:rPr>
        <w:t>8.6 提前预警</w:t>
      </w:r>
      <w:bookmarkEnd w:id="1001"/>
      <w:bookmarkEnd w:id="1002"/>
    </w:p>
    <w:p w14:paraId="5C38A08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任何一方应当在下列情形发生时尽快书面通知另一方：</w:t>
      </w:r>
    </w:p>
    <w:p w14:paraId="6D10836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该情形可能对合同的履行或实现合同目的产生不利影响；</w:t>
      </w:r>
    </w:p>
    <w:p w14:paraId="5C0D701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该情形可能对工程完成后的使用产生不利影响；</w:t>
      </w:r>
    </w:p>
    <w:p w14:paraId="03E22C5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该情形可能导致合同价款增加；</w:t>
      </w:r>
    </w:p>
    <w:p w14:paraId="6D0D3A7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该情形可能导致整个工程或单位/区段工程的工期延长。</w:t>
      </w:r>
    </w:p>
    <w:p w14:paraId="20AD2BD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发包人有权要求承包人根据第13.2款[承包人的合理化建议]的约定提交变更建议，采取措施尽量避免或最小化上述情形的发生或影响。</w:t>
      </w:r>
    </w:p>
    <w:p w14:paraId="59D058C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03" w:name="_Toc4784159"/>
      <w:bookmarkEnd w:id="1003"/>
      <w:bookmarkStart w:id="1004" w:name="_Toc4784167"/>
      <w:bookmarkEnd w:id="1004"/>
      <w:bookmarkStart w:id="1005" w:name="_Toc4784168"/>
      <w:bookmarkEnd w:id="1005"/>
      <w:bookmarkStart w:id="1006" w:name="_Toc4784164"/>
      <w:bookmarkEnd w:id="1006"/>
      <w:bookmarkStart w:id="1007" w:name="_Toc4784169"/>
      <w:bookmarkEnd w:id="1007"/>
      <w:bookmarkStart w:id="1008" w:name="_Toc4784154"/>
      <w:bookmarkEnd w:id="1008"/>
      <w:bookmarkStart w:id="1009" w:name="_Toc4784173"/>
      <w:bookmarkEnd w:id="1009"/>
      <w:bookmarkStart w:id="1010" w:name="_Toc4784161"/>
      <w:bookmarkEnd w:id="1010"/>
      <w:bookmarkStart w:id="1011" w:name="_Toc4784166"/>
      <w:bookmarkEnd w:id="1011"/>
      <w:bookmarkStart w:id="1012" w:name="_Toc4784157"/>
      <w:bookmarkEnd w:id="1012"/>
      <w:bookmarkStart w:id="1013" w:name="_Toc4784155"/>
      <w:bookmarkEnd w:id="1013"/>
      <w:bookmarkStart w:id="1014" w:name="_Toc4784162"/>
      <w:bookmarkEnd w:id="1014"/>
      <w:bookmarkStart w:id="1015" w:name="_Toc4784171"/>
      <w:bookmarkEnd w:id="1015"/>
      <w:bookmarkStart w:id="1016" w:name="_Toc4784158"/>
      <w:bookmarkEnd w:id="1016"/>
      <w:bookmarkStart w:id="1017" w:name="_Toc4784163"/>
      <w:bookmarkEnd w:id="1017"/>
      <w:bookmarkStart w:id="1018" w:name="_Toc4784172"/>
      <w:bookmarkEnd w:id="1018"/>
      <w:bookmarkStart w:id="1019" w:name="_Toc4784160"/>
      <w:bookmarkEnd w:id="1019"/>
      <w:bookmarkStart w:id="1020" w:name="_Toc4784165"/>
      <w:bookmarkEnd w:id="1020"/>
      <w:bookmarkStart w:id="1021" w:name="_Toc4784175"/>
      <w:bookmarkEnd w:id="1021"/>
      <w:bookmarkStart w:id="1022" w:name="_Toc4784156"/>
      <w:bookmarkEnd w:id="1022"/>
      <w:bookmarkStart w:id="1023" w:name="_Toc4784174"/>
      <w:bookmarkEnd w:id="1023"/>
      <w:bookmarkStart w:id="1024" w:name="_Toc4784170"/>
      <w:bookmarkEnd w:id="1024"/>
      <w:bookmarkStart w:id="1025" w:name="_Toc22838"/>
      <w:bookmarkStart w:id="1026" w:name="_Toc54862254"/>
      <w:bookmarkStart w:id="1027" w:name="_Ref4770106"/>
      <w:bookmarkStart w:id="1028" w:name="_Ref532362359"/>
      <w:bookmarkStart w:id="1029" w:name="_Ref532362356"/>
      <w:r>
        <w:rPr>
          <w:rFonts w:hint="eastAsia" w:ascii="方正仿宋_GB2312" w:hAnsi="方正仿宋_GB2312" w:eastAsia="方正仿宋_GB2312" w:cs="方正仿宋_GB2312"/>
          <w:b w:val="0"/>
          <w:bCs/>
          <w:color w:val="auto"/>
          <w:kern w:val="2"/>
          <w:sz w:val="21"/>
          <w:szCs w:val="21"/>
          <w:highlight w:val="none"/>
          <w:lang w:val="en-US" w:eastAsia="zh-CN" w:bidi="ar-SA"/>
        </w:rPr>
        <w:t>8.7 工期延误</w:t>
      </w:r>
      <w:bookmarkEnd w:id="1025"/>
      <w:bookmarkEnd w:id="1026"/>
      <w:bookmarkEnd w:id="1027"/>
    </w:p>
    <w:p w14:paraId="6A65FF1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30" w:name="_Ref4796050"/>
      <w:r>
        <w:rPr>
          <w:rFonts w:hint="eastAsia" w:ascii="方正仿宋_GB2312" w:hAnsi="方正仿宋_GB2312" w:eastAsia="方正仿宋_GB2312" w:cs="方正仿宋_GB2312"/>
          <w:color w:val="auto"/>
          <w:kern w:val="2"/>
          <w:sz w:val="21"/>
          <w:szCs w:val="21"/>
          <w:highlight w:val="none"/>
          <w:lang w:val="en-US" w:eastAsia="zh-CN" w:bidi="ar-SA"/>
        </w:rPr>
        <w:t>8.7.1 因发包人原因导致工期延误</w:t>
      </w:r>
      <w:bookmarkEnd w:id="1030"/>
    </w:p>
    <w:p w14:paraId="19A2835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在合同履行过程中，因下列情况导致工期延误和（或）费用增加的，由发包人承担由此延误的工期和（或）增加的费用，且发包人应支付承包人合理的利润：</w:t>
      </w:r>
    </w:p>
    <w:p w14:paraId="3D83EA1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根据第13条[变更与调整]的约定构成一项变更的；</w:t>
      </w:r>
    </w:p>
    <w:p w14:paraId="2F5200F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发包人违反本合同约定，导致工期延误和（或）费用增加的；</w:t>
      </w:r>
    </w:p>
    <w:p w14:paraId="618A446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发包人、发包人代表、工程师或发包人聘请的任意第三方造成或引起的任何延误、妨碍和阻碍；</w:t>
      </w:r>
    </w:p>
    <w:p w14:paraId="0B2E004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发包人未能依据第6.2.1项[发包人提供的材料和工程设备]的约定提供材料和工程设备导致工期延误和（或）费用增加的；</w:t>
      </w:r>
    </w:p>
    <w:p w14:paraId="746464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因发包人原因导致的暂停施工；</w:t>
      </w:r>
    </w:p>
    <w:p w14:paraId="0C19ADE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发包人未及时履行相关合同义务，造成工期延误的其他原因。</w:t>
      </w:r>
    </w:p>
    <w:p w14:paraId="4F57B35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31" w:name="_Ref4770209"/>
      <w:r>
        <w:rPr>
          <w:rFonts w:hint="eastAsia" w:ascii="方正仿宋_GB2312" w:hAnsi="方正仿宋_GB2312" w:eastAsia="方正仿宋_GB2312" w:cs="方正仿宋_GB2312"/>
          <w:color w:val="auto"/>
          <w:kern w:val="2"/>
          <w:sz w:val="21"/>
          <w:szCs w:val="21"/>
          <w:highlight w:val="none"/>
          <w:lang w:val="en-US" w:eastAsia="zh-CN" w:bidi="ar-SA"/>
        </w:rPr>
        <w:t>8.7.2 因承包人原因导致工期延误</w:t>
      </w:r>
      <w:bookmarkEnd w:id="1031"/>
    </w:p>
    <w:p w14:paraId="405B2BD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由于承包人的原因，未能按项目进度计划完成工作，承包人应采取措施加快进度，并承担加快进度所增加的费用。</w:t>
      </w:r>
    </w:p>
    <w:p w14:paraId="10419BF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260630D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32" w:name="_Ref4770872"/>
      <w:r>
        <w:rPr>
          <w:rFonts w:hint="eastAsia" w:ascii="方正仿宋_GB2312" w:hAnsi="方正仿宋_GB2312" w:eastAsia="方正仿宋_GB2312" w:cs="方正仿宋_GB2312"/>
          <w:color w:val="auto"/>
          <w:kern w:val="2"/>
          <w:sz w:val="21"/>
          <w:szCs w:val="21"/>
          <w:highlight w:val="none"/>
          <w:lang w:val="en-US" w:eastAsia="zh-CN" w:bidi="ar-SA"/>
        </w:rPr>
        <w:t>8.7.3 行政审批迟延</w:t>
      </w:r>
      <w:bookmarkEnd w:id="1032"/>
    </w:p>
    <w:p w14:paraId="60222D1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7FDC2BE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33" w:name="_Ref4770933"/>
      <w:r>
        <w:rPr>
          <w:rFonts w:hint="eastAsia" w:ascii="方正仿宋_GB2312" w:hAnsi="方正仿宋_GB2312" w:eastAsia="方正仿宋_GB2312" w:cs="方正仿宋_GB2312"/>
          <w:color w:val="auto"/>
          <w:kern w:val="2"/>
          <w:sz w:val="21"/>
          <w:szCs w:val="21"/>
          <w:highlight w:val="none"/>
          <w:lang w:val="en-US" w:eastAsia="zh-CN" w:bidi="ar-SA"/>
        </w:rPr>
        <w:t>8.7.4 异常恶劣的气候条件</w:t>
      </w:r>
      <w:bookmarkEnd w:id="1033"/>
    </w:p>
    <w:p w14:paraId="5598A3D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24A4FFE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68A828E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34" w:name="_Toc30313"/>
      <w:bookmarkStart w:id="1035" w:name="_Ref4781828"/>
      <w:bookmarkStart w:id="1036" w:name="_Toc54862255"/>
      <w:r>
        <w:rPr>
          <w:rFonts w:hint="eastAsia" w:ascii="方正仿宋_GB2312" w:hAnsi="方正仿宋_GB2312" w:eastAsia="方正仿宋_GB2312" w:cs="方正仿宋_GB2312"/>
          <w:b w:val="0"/>
          <w:bCs/>
          <w:color w:val="auto"/>
          <w:kern w:val="2"/>
          <w:sz w:val="21"/>
          <w:szCs w:val="21"/>
          <w:highlight w:val="none"/>
          <w:lang w:val="en-US" w:eastAsia="zh-CN" w:bidi="ar-SA"/>
        </w:rPr>
        <w:t>8.8 工期提前</w:t>
      </w:r>
      <w:bookmarkEnd w:id="1028"/>
      <w:bookmarkEnd w:id="1029"/>
      <w:bookmarkEnd w:id="1034"/>
      <w:bookmarkEnd w:id="1035"/>
      <w:bookmarkEnd w:id="1036"/>
    </w:p>
    <w:p w14:paraId="60333BD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8.8.1 发包人指示承包人提前竣工且被承包人接受的，应与承包人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2EF9F22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37" w:name="_Ref4429347"/>
      <w:r>
        <w:rPr>
          <w:rFonts w:hint="eastAsia" w:ascii="方正仿宋_GB2312" w:hAnsi="方正仿宋_GB2312" w:eastAsia="方正仿宋_GB2312" w:cs="方正仿宋_GB2312"/>
          <w:color w:val="auto"/>
          <w:kern w:val="2"/>
          <w:sz w:val="21"/>
          <w:szCs w:val="21"/>
          <w:highlight w:val="none"/>
          <w:lang w:val="en-US" w:eastAsia="zh-CN" w:bidi="ar-SA"/>
        </w:rPr>
        <w:t>8.8.2 承包人提出提前竣工的建议且发包人接受的，应与发包人协商采取加快工程进度的措施和修订项目进度计划。发包人应承担承包人由此增加的费用，增加的费用按第13条[变更与调整]的约定执行，并向承包人支付专用合同条件约定的相应奖励金。</w:t>
      </w:r>
      <w:bookmarkEnd w:id="1037"/>
    </w:p>
    <w:p w14:paraId="1B1AEE5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38" w:name="_Ref4615031"/>
      <w:bookmarkStart w:id="1039" w:name="_Toc25257"/>
      <w:bookmarkStart w:id="1040" w:name="_Ref4615040"/>
      <w:bookmarkStart w:id="1041" w:name="_Toc54862256"/>
      <w:r>
        <w:rPr>
          <w:rFonts w:hint="eastAsia" w:ascii="方正仿宋_GB2312" w:hAnsi="方正仿宋_GB2312" w:eastAsia="方正仿宋_GB2312" w:cs="方正仿宋_GB2312"/>
          <w:b w:val="0"/>
          <w:bCs/>
          <w:color w:val="auto"/>
          <w:kern w:val="2"/>
          <w:sz w:val="21"/>
          <w:szCs w:val="21"/>
          <w:highlight w:val="none"/>
          <w:lang w:val="en-US" w:eastAsia="zh-CN" w:bidi="ar-SA"/>
        </w:rPr>
        <w:t>8.9 暂停工作</w:t>
      </w:r>
      <w:bookmarkEnd w:id="1038"/>
      <w:bookmarkEnd w:id="1039"/>
      <w:bookmarkEnd w:id="1040"/>
      <w:bookmarkEnd w:id="1041"/>
    </w:p>
    <w:p w14:paraId="25E61F9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42" w:name="_Ref4709151"/>
      <w:r>
        <w:rPr>
          <w:rFonts w:hint="eastAsia" w:ascii="方正仿宋_GB2312" w:hAnsi="方正仿宋_GB2312" w:eastAsia="方正仿宋_GB2312" w:cs="方正仿宋_GB2312"/>
          <w:color w:val="auto"/>
          <w:kern w:val="2"/>
          <w:sz w:val="21"/>
          <w:szCs w:val="21"/>
          <w:highlight w:val="none"/>
          <w:lang w:val="en-US" w:eastAsia="zh-CN" w:bidi="ar-SA"/>
        </w:rPr>
        <w:t>8.9.1 由发包人暂停工作</w:t>
      </w:r>
      <w:bookmarkEnd w:id="1042"/>
    </w:p>
    <w:p w14:paraId="7394C40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发包人认为必要时，可通过工程师向承包人发出经发包人签认的暂停工作通知，应列明暂停原因、暂停的日期及预计暂停的期限。承包人应按该通知暂停工作。</w:t>
      </w:r>
      <w:bookmarkStart w:id="1043" w:name="_Ref4709233"/>
    </w:p>
    <w:p w14:paraId="1A3DFA7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承包人因执行暂停工作通知而造成费用的增加和（或）工期延误由发包人承担，并有权要求发包人支付合理利润，但</w:t>
      </w:r>
      <w:bookmarkEnd w:id="1043"/>
      <w:r>
        <w:rPr>
          <w:rFonts w:hint="eastAsia" w:ascii="方正仿宋_GB2312" w:hAnsi="方正仿宋_GB2312" w:eastAsia="方正仿宋_GB2312" w:cs="方正仿宋_GB2312"/>
          <w:color w:val="auto"/>
          <w:szCs w:val="21"/>
          <w:highlight w:val="none"/>
        </w:rPr>
        <w:t>由于承包人原因造成发包人暂停工作的除外。</w:t>
      </w:r>
    </w:p>
    <w:p w14:paraId="4B6A5DD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44" w:name="_Ref18972173"/>
      <w:r>
        <w:rPr>
          <w:rFonts w:hint="eastAsia" w:ascii="方正仿宋_GB2312" w:hAnsi="方正仿宋_GB2312" w:eastAsia="方正仿宋_GB2312" w:cs="方正仿宋_GB2312"/>
          <w:color w:val="auto"/>
          <w:kern w:val="2"/>
          <w:sz w:val="21"/>
          <w:szCs w:val="21"/>
          <w:highlight w:val="none"/>
          <w:lang w:val="en-US" w:eastAsia="zh-CN" w:bidi="ar-SA"/>
        </w:rPr>
        <w:t>8.9.2 由承包人暂停工作</w:t>
      </w:r>
      <w:bookmarkEnd w:id="1044"/>
    </w:p>
    <w:p w14:paraId="016DE34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w:t>
      </w:r>
      <w:r>
        <w:rPr>
          <w:rFonts w:hint="eastAsia" w:ascii="方正仿宋_GB2312" w:hAnsi="方正仿宋_GB2312" w:eastAsia="方正仿宋_GB2312" w:cs="方正仿宋_GB2312"/>
          <w:color w:val="auto"/>
          <w:szCs w:val="21"/>
          <w:highlight w:val="none"/>
          <w:lang w:eastAsia="zh-CN"/>
        </w:rPr>
        <w:t>原因</w:t>
      </w:r>
      <w:r>
        <w:rPr>
          <w:rFonts w:hint="eastAsia" w:ascii="方正仿宋_GB2312" w:hAnsi="方正仿宋_GB2312" w:eastAsia="方正仿宋_GB2312" w:cs="方正仿宋_GB2312"/>
          <w:color w:val="auto"/>
          <w:szCs w:val="21"/>
          <w:highlight w:val="none"/>
        </w:rPr>
        <w:t>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15DB7C7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337E058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045" w:name="_Ref4709224"/>
      <w:r>
        <w:rPr>
          <w:rFonts w:hint="eastAsia" w:ascii="方正仿宋_GB2312" w:hAnsi="方正仿宋_GB2312" w:eastAsia="方正仿宋_GB2312" w:cs="方正仿宋_GB2312"/>
          <w:color w:val="auto"/>
          <w:szCs w:val="21"/>
          <w:highlight w:val="none"/>
        </w:rPr>
        <w:t>（1） 发包人拖延、拒绝批准付款申请和支付证书，或未能按合同约定支付价款，导致付款延误的；</w:t>
      </w:r>
      <w:bookmarkEnd w:id="1045"/>
    </w:p>
    <w:p w14:paraId="61E1939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发包人未按约定履行合同其他义务导致承包人无法继续履行合同的，或者发包人明确表示暂停或实质上已暂停履行合同的。</w:t>
      </w:r>
    </w:p>
    <w:p w14:paraId="6034DC7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8.9.3 除上述原因以外的暂停工作，双方应遵守第17条[不可抗力]的相关约定。</w:t>
      </w:r>
    </w:p>
    <w:p w14:paraId="116E26A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46" w:name="_Ref4709158"/>
      <w:r>
        <w:rPr>
          <w:rFonts w:hint="eastAsia" w:ascii="方正仿宋_GB2312" w:hAnsi="方正仿宋_GB2312" w:eastAsia="方正仿宋_GB2312" w:cs="方正仿宋_GB2312"/>
          <w:color w:val="auto"/>
          <w:kern w:val="2"/>
          <w:sz w:val="21"/>
          <w:szCs w:val="21"/>
          <w:highlight w:val="none"/>
          <w:lang w:val="en-US" w:eastAsia="zh-CN" w:bidi="ar-SA"/>
        </w:rPr>
        <w:t>8.9.4 暂停工作期间的工程照管</w:t>
      </w:r>
      <w:bookmarkEnd w:id="1046"/>
    </w:p>
    <w:p w14:paraId="0FE737E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30704AA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因承包人未能尽到照管、保护的责任造成损失的，使发包人的费用增加，（或）竣工日期延误的，由承包人按本合同约定承担责任。</w:t>
      </w:r>
    </w:p>
    <w:p w14:paraId="72042F7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8.9.5 拖长的暂停</w:t>
      </w:r>
    </w:p>
    <w:p w14:paraId="137F0AC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7BBF7A9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47" w:name="_Toc2194"/>
      <w:bookmarkStart w:id="1048" w:name="_Toc54862257"/>
      <w:r>
        <w:rPr>
          <w:rFonts w:hint="eastAsia" w:ascii="方正仿宋_GB2312" w:hAnsi="方正仿宋_GB2312" w:eastAsia="方正仿宋_GB2312" w:cs="方正仿宋_GB2312"/>
          <w:b w:val="0"/>
          <w:bCs/>
          <w:color w:val="auto"/>
          <w:kern w:val="2"/>
          <w:sz w:val="21"/>
          <w:szCs w:val="21"/>
          <w:highlight w:val="none"/>
          <w:lang w:val="en-US" w:eastAsia="zh-CN" w:bidi="ar-SA"/>
        </w:rPr>
        <w:t>8.10 复工</w:t>
      </w:r>
      <w:bookmarkEnd w:id="1047"/>
      <w:bookmarkEnd w:id="1048"/>
    </w:p>
    <w:p w14:paraId="173CF6A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8.10.1 收到发包人的复工通知后，承包人应按通知时间复工；发包人通知的复工时间应当给予承包人必要的准备复工时间。</w:t>
      </w:r>
    </w:p>
    <w:p w14:paraId="2EBADDE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8.10.2 不论由于何种原因引起暂停工作，双方均可要求对方一同对受暂停影响的工程、工程设备和工程物资进行检查，承包人应将检查结果及需要恢复、修复的内容和估算通知发包人。</w:t>
      </w:r>
    </w:p>
    <w:p w14:paraId="533ACFD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8.10.3 除第17条[不可抗力]另有约定外，发生的恢复、修复价款及工期延误的后果由责任方承担。</w:t>
      </w:r>
    </w:p>
    <w:p w14:paraId="7D88DA2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049" w:name="_Ref4621029"/>
      <w:bookmarkStart w:id="1050" w:name="_Toc54862258"/>
      <w:bookmarkStart w:id="1051" w:name="_Ref4621041"/>
      <w:bookmarkStart w:id="1052" w:name="_Toc29774"/>
      <w:r>
        <w:rPr>
          <w:rFonts w:hint="eastAsia" w:ascii="方正仿宋_GB2312" w:hAnsi="方正仿宋_GB2312" w:eastAsia="方正仿宋_GB2312" w:cs="方正仿宋_GB2312"/>
          <w:b w:val="0"/>
          <w:bCs/>
          <w:color w:val="auto"/>
          <w:kern w:val="2"/>
          <w:sz w:val="28"/>
          <w:szCs w:val="28"/>
          <w:highlight w:val="none"/>
          <w:lang w:val="en-US" w:eastAsia="zh-CN" w:bidi="ar-SA"/>
        </w:rPr>
        <w:t>第9条 竣工试验</w:t>
      </w:r>
      <w:bookmarkEnd w:id="967"/>
      <w:bookmarkEnd w:id="1049"/>
      <w:bookmarkEnd w:id="1050"/>
      <w:bookmarkEnd w:id="1051"/>
      <w:bookmarkEnd w:id="1052"/>
    </w:p>
    <w:p w14:paraId="6BC9668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53" w:name="_Toc54862259"/>
      <w:bookmarkStart w:id="1054" w:name="_Ref532586248"/>
      <w:bookmarkStart w:id="1055" w:name="_Toc103"/>
      <w:bookmarkStart w:id="1056" w:name="_Ref532586251"/>
      <w:r>
        <w:rPr>
          <w:rFonts w:hint="eastAsia" w:ascii="方正仿宋_GB2312" w:hAnsi="方正仿宋_GB2312" w:eastAsia="方正仿宋_GB2312" w:cs="方正仿宋_GB2312"/>
          <w:b w:val="0"/>
          <w:bCs/>
          <w:color w:val="auto"/>
          <w:kern w:val="2"/>
          <w:sz w:val="21"/>
          <w:szCs w:val="21"/>
          <w:highlight w:val="none"/>
          <w:lang w:val="en-US" w:eastAsia="zh-CN" w:bidi="ar-SA"/>
        </w:rPr>
        <w:t>9.1 竣工试验的义务</w:t>
      </w:r>
      <w:bookmarkEnd w:id="1053"/>
      <w:bookmarkEnd w:id="1054"/>
      <w:bookmarkEnd w:id="1055"/>
      <w:bookmarkEnd w:id="1056"/>
    </w:p>
    <w:p w14:paraId="2A7EA9C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9.1.1 承包人完成工程或区段工程进行竣工试验所需的作业，并根据第5.4款[竣工文件]和第5.5款[操作和维修手册]提交文件后，进行竣工试验。</w:t>
      </w:r>
      <w:bookmarkStart w:id="1057" w:name="_Ref532586608"/>
    </w:p>
    <w:p w14:paraId="1334A4A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58" w:name="_Ref11919920"/>
      <w:r>
        <w:rPr>
          <w:rFonts w:hint="eastAsia" w:ascii="方正仿宋_GB2312" w:hAnsi="方正仿宋_GB2312" w:eastAsia="方正仿宋_GB2312" w:cs="方正仿宋_GB2312"/>
          <w:color w:val="auto"/>
          <w:kern w:val="2"/>
          <w:sz w:val="21"/>
          <w:szCs w:val="21"/>
          <w:highlight w:val="none"/>
          <w:lang w:val="en-US" w:eastAsia="zh-CN" w:bidi="ar-SA"/>
        </w:rPr>
        <w:t>9.1.2 承包人应在进行竣工试验之前，至少提前42天向工程师提交详细的竣工试验计划，该计划应载明竣工试验的内容、地点、拟开展时间和需要发包人提供的资源条件。</w:t>
      </w:r>
      <w:bookmarkEnd w:id="1057"/>
      <w:r>
        <w:rPr>
          <w:rFonts w:hint="eastAsia" w:ascii="方正仿宋_GB2312" w:hAnsi="方正仿宋_GB2312" w:eastAsia="方正仿宋_GB2312" w:cs="方正仿宋_GB2312"/>
          <w:color w:val="auto"/>
          <w:kern w:val="2"/>
          <w:sz w:val="21"/>
          <w:szCs w:val="21"/>
          <w:highlight w:val="none"/>
          <w:lang w:val="en-US" w:eastAsia="zh-CN" w:bidi="ar-SA"/>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1058"/>
    </w:p>
    <w:p w14:paraId="06BE1CF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59" w:name="_Ref532688147"/>
      <w:r>
        <w:rPr>
          <w:rFonts w:hint="eastAsia" w:ascii="方正仿宋_GB2312" w:hAnsi="方正仿宋_GB2312" w:eastAsia="方正仿宋_GB2312" w:cs="方正仿宋_GB2312"/>
          <w:color w:val="auto"/>
          <w:kern w:val="2"/>
          <w:sz w:val="21"/>
          <w:szCs w:val="21"/>
          <w:highlight w:val="none"/>
          <w:lang w:val="en-US" w:eastAsia="zh-CN" w:bidi="ar-SA"/>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bookmarkEnd w:id="1059"/>
    </w:p>
    <w:p w14:paraId="0DFFB66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承包人进行启动前试验，包括适当的检查和功能性试验，以证明工程或区段工程的每一部分均能够安全地承受下一阶段试验；</w:t>
      </w:r>
    </w:p>
    <w:p w14:paraId="22AFD78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承包人进行启动试验，以证明工程或区段工程能够在所有可利用的操作条件下安全运行，并按照专用合同条件和《发包人要求》中的规定操作；</w:t>
      </w:r>
    </w:p>
    <w:p w14:paraId="651BF4E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承包人进行试运行试验。当工程或区段工程能稳定安全运行时，承包人应通知工程师，可以进行其他竣工试验，包括各种性能测试，以证明工程或区段工程符合《发包人要求》中列明的性能保证指标。</w:t>
      </w:r>
    </w:p>
    <w:p w14:paraId="2947ECD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进行上述试验不应构成第10条[验收和工程接收]规定的接收，但试验所产生的任何产品或其他收益均应归属于发包人。</w:t>
      </w:r>
    </w:p>
    <w:p w14:paraId="061EBDC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737BB3D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60" w:name="_Toc30499"/>
      <w:bookmarkStart w:id="1061" w:name="_Toc54862260"/>
      <w:r>
        <w:rPr>
          <w:rFonts w:hint="eastAsia" w:ascii="方正仿宋_GB2312" w:hAnsi="方正仿宋_GB2312" w:eastAsia="方正仿宋_GB2312" w:cs="方正仿宋_GB2312"/>
          <w:b w:val="0"/>
          <w:bCs/>
          <w:color w:val="auto"/>
          <w:kern w:val="2"/>
          <w:sz w:val="21"/>
          <w:szCs w:val="21"/>
          <w:highlight w:val="none"/>
          <w:lang w:val="en-US" w:eastAsia="zh-CN" w:bidi="ar-SA"/>
        </w:rPr>
        <w:t>9.2 延误的试验</w:t>
      </w:r>
      <w:bookmarkEnd w:id="1060"/>
      <w:bookmarkEnd w:id="1061"/>
    </w:p>
    <w:p w14:paraId="3356F98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24BC9FD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9.2.2 承包人无正当理由延误进行竣工试验的，工程师可向其发出通知，要求其在收到通知后的21天内进行该项竣工试验。承包人应在该21天的期限内确定进行试验的日期，并至少提前7天通知工程师。</w:t>
      </w:r>
    </w:p>
    <w:p w14:paraId="7DE3E76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9.2.3 如果承包人未在该期限内进行竣工试验，则发包人有权自行组织该项竣工试验，由此产生的合理费用由承包人承担。发包人应在试验完成后28天内向承包人发送试验结果。</w:t>
      </w:r>
    </w:p>
    <w:p w14:paraId="62527CF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62" w:name="_Toc54862261"/>
      <w:bookmarkStart w:id="1063" w:name="_Toc26376"/>
      <w:bookmarkStart w:id="1064" w:name="_Ref532594592"/>
      <w:bookmarkStart w:id="1065" w:name="_Ref532594588"/>
      <w:r>
        <w:rPr>
          <w:rFonts w:hint="eastAsia" w:ascii="方正仿宋_GB2312" w:hAnsi="方正仿宋_GB2312" w:eastAsia="方正仿宋_GB2312" w:cs="方正仿宋_GB2312"/>
          <w:b w:val="0"/>
          <w:bCs/>
          <w:color w:val="auto"/>
          <w:kern w:val="2"/>
          <w:sz w:val="21"/>
          <w:szCs w:val="21"/>
          <w:highlight w:val="none"/>
          <w:lang w:val="en-US" w:eastAsia="zh-CN" w:bidi="ar-SA"/>
        </w:rPr>
        <w:t>9.3 重复试验</w:t>
      </w:r>
      <w:bookmarkEnd w:id="1062"/>
      <w:bookmarkEnd w:id="1063"/>
      <w:bookmarkEnd w:id="1064"/>
      <w:bookmarkEnd w:id="1065"/>
    </w:p>
    <w:p w14:paraId="330AAA6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如果工程或区段工程未能通过竣工试验，则承包人应根据第6.6款[缺陷和修补]修补缺陷。发包人或承包人</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要求按相同的条件，重新进行未通过的试验以及相关工程或区段工程的竣工试验。该等重新进行的试验仍应适用本条对于竣工试验的规定。</w:t>
      </w:r>
    </w:p>
    <w:p w14:paraId="23DD95F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66" w:name="_Ref532688226"/>
      <w:bookmarkStart w:id="1067" w:name="_Toc27517"/>
      <w:bookmarkStart w:id="1068" w:name="_Toc54862262"/>
      <w:bookmarkStart w:id="1069" w:name="_Ref532688221"/>
      <w:r>
        <w:rPr>
          <w:rFonts w:hint="eastAsia" w:ascii="方正仿宋_GB2312" w:hAnsi="方正仿宋_GB2312" w:eastAsia="方正仿宋_GB2312" w:cs="方正仿宋_GB2312"/>
          <w:b w:val="0"/>
          <w:bCs/>
          <w:color w:val="auto"/>
          <w:kern w:val="2"/>
          <w:sz w:val="21"/>
          <w:szCs w:val="21"/>
          <w:highlight w:val="none"/>
          <w:lang w:val="en-US" w:eastAsia="zh-CN" w:bidi="ar-SA"/>
        </w:rPr>
        <w:t>9.4 未能通过竣工试验</w:t>
      </w:r>
      <w:bookmarkEnd w:id="1066"/>
      <w:bookmarkEnd w:id="1067"/>
      <w:bookmarkEnd w:id="1068"/>
      <w:bookmarkEnd w:id="1069"/>
    </w:p>
    <w:p w14:paraId="1EA20FA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9.4.1 因发包人原因导致竣工试验未能通过的，承包人进行竣工试验的费用由发包人承担，竣工日期相应顺延。</w:t>
      </w:r>
    </w:p>
    <w:p w14:paraId="52B352B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9.4.2 如果工程或区段工程未能通过根据第9.3款[重新试验]重新进行的竣工试验的，则：</w:t>
      </w:r>
    </w:p>
    <w:p w14:paraId="7ED9E70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发包人有权要求承包人根据第6.6款[缺陷和修补]继续进行修补和改正，并根据第9.3款[重新试验]再次进行竣工试验；</w:t>
      </w:r>
    </w:p>
    <w:p w14:paraId="0308013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未能通过竣工试验，对工程或区段工程的操作或使用未产生实质性影响的，发包人有权要求承包人自费修复</w:t>
      </w:r>
      <w:r>
        <w:rPr>
          <w:rFonts w:hint="eastAsia" w:ascii="方正仿宋_GB2312" w:hAnsi="方正仿宋_GB2312" w:eastAsia="方正仿宋_GB2312" w:cs="方正仿宋_GB2312"/>
          <w:color w:val="auto"/>
          <w:szCs w:val="21"/>
          <w:highlight w:val="none"/>
          <w:lang w:eastAsia="zh-CN"/>
        </w:rPr>
        <w:t>，并</w:t>
      </w:r>
      <w:r>
        <w:rPr>
          <w:rFonts w:hint="eastAsia" w:ascii="方正仿宋_GB2312" w:hAnsi="方正仿宋_GB2312" w:eastAsia="方正仿宋_GB2312" w:cs="方正仿宋_GB2312"/>
          <w:color w:val="auto"/>
          <w:szCs w:val="21"/>
          <w:highlight w:val="none"/>
        </w:rPr>
        <w:t>承担因此增加的费用和误期损害赔偿责任，并赔偿发包人的相应损失；无法修复时，发包人有权扣减该部分的相应付款，同时视为通过竣工验收；</w:t>
      </w:r>
    </w:p>
    <w:p w14:paraId="27BF548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070" w:name="_Ref4621461"/>
      <w:r>
        <w:rPr>
          <w:rFonts w:hint="eastAsia" w:ascii="方正仿宋_GB2312" w:hAnsi="方正仿宋_GB2312" w:eastAsia="方正仿宋_GB2312" w:cs="方正仿宋_GB2312"/>
          <w:color w:val="auto"/>
          <w:szCs w:val="21"/>
          <w:highlight w:val="none"/>
        </w:rPr>
        <w:t>（3） 未能通过竣工试验，使工程或区段工程的任何主要部分丧失了生产、使用功能时，发包人有权指令承包人更换相关部分，承包人应承担因此增加的费用和误期损害赔偿责任，并赔偿发包人的相应损失</w:t>
      </w:r>
      <w:bookmarkEnd w:id="1070"/>
      <w:r>
        <w:rPr>
          <w:rFonts w:hint="eastAsia" w:ascii="方正仿宋_GB2312" w:hAnsi="方正仿宋_GB2312" w:eastAsia="方正仿宋_GB2312" w:cs="方正仿宋_GB2312"/>
          <w:color w:val="auto"/>
          <w:szCs w:val="21"/>
          <w:highlight w:val="none"/>
        </w:rPr>
        <w:t>；</w:t>
      </w:r>
    </w:p>
    <w:p w14:paraId="36E809E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3F4D088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71" w:name="_Toc12386"/>
      <w:bookmarkStart w:id="1072" w:name="_Ref4618348"/>
      <w:bookmarkStart w:id="1073" w:name="_Ref4624043"/>
      <w:bookmarkStart w:id="1074" w:name="_Ref4618338"/>
      <w:bookmarkStart w:id="1075" w:name="_Toc54862263"/>
      <w:r>
        <w:rPr>
          <w:rFonts w:hint="eastAsia" w:ascii="方正仿宋_GB2312" w:hAnsi="方正仿宋_GB2312" w:eastAsia="方正仿宋_GB2312" w:cs="方正仿宋_GB2312"/>
          <w:b w:val="0"/>
          <w:bCs/>
          <w:color w:val="auto"/>
          <w:kern w:val="2"/>
          <w:sz w:val="28"/>
          <w:szCs w:val="28"/>
          <w:highlight w:val="none"/>
          <w:lang w:val="en-US" w:eastAsia="zh-CN" w:bidi="ar-SA"/>
        </w:rPr>
        <w:t>第10条 验收和工程接收</w:t>
      </w:r>
      <w:bookmarkEnd w:id="1071"/>
      <w:bookmarkEnd w:id="1072"/>
      <w:bookmarkEnd w:id="1073"/>
      <w:bookmarkEnd w:id="1074"/>
      <w:bookmarkEnd w:id="1075"/>
    </w:p>
    <w:p w14:paraId="380F442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76" w:name="_Ref532359152"/>
      <w:bookmarkStart w:id="1077" w:name="_Ref532359143"/>
      <w:bookmarkStart w:id="1078" w:name="_Ref532300804"/>
      <w:bookmarkStart w:id="1079" w:name="_Ref532301202"/>
      <w:bookmarkStart w:id="1080" w:name="_Toc16085"/>
      <w:bookmarkStart w:id="1081" w:name="_Ref532300801"/>
      <w:bookmarkStart w:id="1082" w:name="_Ref532301199"/>
      <w:bookmarkStart w:id="1083" w:name="_Toc54862264"/>
      <w:r>
        <w:rPr>
          <w:rFonts w:hint="eastAsia" w:ascii="方正仿宋_GB2312" w:hAnsi="方正仿宋_GB2312" w:eastAsia="方正仿宋_GB2312" w:cs="方正仿宋_GB2312"/>
          <w:b w:val="0"/>
          <w:bCs/>
          <w:color w:val="auto"/>
          <w:kern w:val="2"/>
          <w:sz w:val="21"/>
          <w:szCs w:val="21"/>
          <w:highlight w:val="none"/>
          <w:lang w:val="en-US" w:eastAsia="zh-CN" w:bidi="ar-SA"/>
        </w:rPr>
        <w:t>10.1 竣工验收</w:t>
      </w:r>
      <w:bookmarkEnd w:id="1076"/>
      <w:bookmarkEnd w:id="1077"/>
      <w:bookmarkEnd w:id="1078"/>
      <w:bookmarkEnd w:id="1079"/>
      <w:bookmarkEnd w:id="1080"/>
      <w:bookmarkEnd w:id="1081"/>
      <w:bookmarkEnd w:id="1082"/>
      <w:bookmarkEnd w:id="1083"/>
    </w:p>
    <w:p w14:paraId="5F4152B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84" w:name="_Ref532628356"/>
      <w:r>
        <w:rPr>
          <w:rFonts w:hint="eastAsia" w:ascii="方正仿宋_GB2312" w:hAnsi="方正仿宋_GB2312" w:eastAsia="方正仿宋_GB2312" w:cs="方正仿宋_GB2312"/>
          <w:color w:val="auto"/>
          <w:kern w:val="2"/>
          <w:sz w:val="21"/>
          <w:szCs w:val="21"/>
          <w:highlight w:val="none"/>
          <w:lang w:val="en-US" w:eastAsia="zh-CN" w:bidi="ar-SA"/>
        </w:rPr>
        <w:t>10.1.1 竣工验收条件</w:t>
      </w:r>
    </w:p>
    <w:p w14:paraId="06E743C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工程具备以下条件的，承包人可以申请竣工验收：</w:t>
      </w:r>
    </w:p>
    <w:p w14:paraId="7A9E4C4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372D3D8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已按合同约定编制了扫尾工作和缺陷修补工作清单以及相应实施计划；</w:t>
      </w:r>
    </w:p>
    <w:p w14:paraId="501617E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已按合同约定的内容和份数备齐竣工资料；</w:t>
      </w:r>
    </w:p>
    <w:p w14:paraId="54CF96E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合同约定要求在竣工验收前应完成的其他工作。</w:t>
      </w:r>
    </w:p>
    <w:bookmarkEnd w:id="1084"/>
    <w:p w14:paraId="2E99DD2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85" w:name="_Ref4429424"/>
      <w:bookmarkStart w:id="1086" w:name="_Hlk51506601"/>
      <w:r>
        <w:rPr>
          <w:rFonts w:hint="eastAsia" w:ascii="方正仿宋_GB2312" w:hAnsi="方正仿宋_GB2312" w:eastAsia="方正仿宋_GB2312" w:cs="方正仿宋_GB2312"/>
          <w:color w:val="auto"/>
          <w:kern w:val="2"/>
          <w:sz w:val="21"/>
          <w:szCs w:val="21"/>
          <w:highlight w:val="none"/>
          <w:lang w:val="en-US" w:eastAsia="zh-CN" w:bidi="ar-SA"/>
        </w:rPr>
        <w:t>10.1.2 竣工验收程序</w:t>
      </w:r>
      <w:bookmarkEnd w:id="1085"/>
    </w:p>
    <w:bookmarkEnd w:id="1086"/>
    <w:p w14:paraId="6F2F953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除专用合同条件另有约定外，承包人申请竣工验收的，应当按照以下程序进行：</w:t>
      </w:r>
    </w:p>
    <w:p w14:paraId="669FC59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227249A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6D60A82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C558F2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087" w:name="_Hlk51506640"/>
      <w:r>
        <w:rPr>
          <w:rFonts w:hint="eastAsia" w:ascii="方正仿宋_GB2312" w:hAnsi="方正仿宋_GB2312" w:eastAsia="方正仿宋_GB2312" w:cs="方正仿宋_GB2312"/>
          <w:color w:val="auto"/>
          <w:szCs w:val="21"/>
          <w:highlight w:val="none"/>
        </w:rPr>
        <w:t>（4） 因发包人原因，未在工程师收到承包人竣工验收申请报告之日起42天内完成竣工验收的，以承包人提交竣工验收申请报告之日作为工程实际竣工日期。</w:t>
      </w:r>
    </w:p>
    <w:bookmarkEnd w:id="1087"/>
    <w:p w14:paraId="33330C0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工程未经竣工验收，发包人擅自使用的，以转移占有工程之日为实际竣工日期。</w:t>
      </w:r>
    </w:p>
    <w:p w14:paraId="256F568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除专用合同条件另有约定外，发包人不按照本项和第10.4款[接收证书]约定组织竣工验收、颁发工程接收证书的，每逾期一天，应以签约合同价为基数，按照贷款市场报价利率（LPR）支付违约金。</w:t>
      </w:r>
    </w:p>
    <w:p w14:paraId="4B0A684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88" w:name="_Ref532301210"/>
      <w:bookmarkStart w:id="1089" w:name="_Toc54862265"/>
      <w:bookmarkStart w:id="1090" w:name="_Toc16451"/>
      <w:bookmarkStart w:id="1091" w:name="_Ref532301213"/>
      <w:r>
        <w:rPr>
          <w:rFonts w:hint="eastAsia" w:ascii="方正仿宋_GB2312" w:hAnsi="方正仿宋_GB2312" w:eastAsia="方正仿宋_GB2312" w:cs="方正仿宋_GB2312"/>
          <w:b w:val="0"/>
          <w:bCs/>
          <w:color w:val="auto"/>
          <w:kern w:val="2"/>
          <w:sz w:val="21"/>
          <w:szCs w:val="21"/>
          <w:highlight w:val="none"/>
          <w:lang w:val="en-US" w:eastAsia="zh-CN" w:bidi="ar-SA"/>
        </w:rPr>
        <w:t>10.2 单位/区段工程的验收</w:t>
      </w:r>
      <w:bookmarkEnd w:id="1088"/>
      <w:bookmarkEnd w:id="1089"/>
      <w:bookmarkEnd w:id="1090"/>
      <w:bookmarkEnd w:id="1091"/>
    </w:p>
    <w:p w14:paraId="0CC6EEB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1EF14AB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10.2.2 发包人在全部工程竣工前，使用已接收的单位/区段工程导致承包人费用增加的，发包人应承担由此增加的费用和（或）工期延误，并支付承包人合理利润。</w:t>
      </w:r>
    </w:p>
    <w:p w14:paraId="02F4205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92" w:name="_Toc10520"/>
      <w:bookmarkStart w:id="1093" w:name="_Toc54862266"/>
      <w:bookmarkStart w:id="1094" w:name="_Ref4429473"/>
      <w:bookmarkStart w:id="1095" w:name="_Ref532688354"/>
      <w:bookmarkStart w:id="1096" w:name="_Ref532688351"/>
      <w:r>
        <w:rPr>
          <w:rFonts w:hint="eastAsia" w:ascii="方正仿宋_GB2312" w:hAnsi="方正仿宋_GB2312" w:eastAsia="方正仿宋_GB2312" w:cs="方正仿宋_GB2312"/>
          <w:b w:val="0"/>
          <w:bCs/>
          <w:color w:val="auto"/>
          <w:kern w:val="2"/>
          <w:sz w:val="21"/>
          <w:szCs w:val="21"/>
          <w:highlight w:val="none"/>
          <w:lang w:val="en-US" w:eastAsia="zh-CN" w:bidi="ar-SA"/>
        </w:rPr>
        <w:t>10.3 工程的接收</w:t>
      </w:r>
      <w:bookmarkEnd w:id="1092"/>
      <w:bookmarkEnd w:id="1093"/>
    </w:p>
    <w:p w14:paraId="0DD9368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10.3.1 根据工程项目的具体情况和特点，可按工程或单位/区段工程进行接收，并在专用合同条件约定接收的先后顺序、时间安排和其他要求。</w:t>
      </w:r>
    </w:p>
    <w:p w14:paraId="531FDAB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10.3.2 除按本条约定已经提交的资料外，接收工程时承包人需提交竣工验收资料的类别、内容、份数和提交时间，在专用合同条件中约定。</w:t>
      </w:r>
    </w:p>
    <w:p w14:paraId="54818B0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2974A00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10.3.4 承包人无正当理由不移交工程的，承包人应承担工程照管、成品保护、保管等与工程有关的各项费用，合同当事人可以在专用合同条件中另行约定承包人无正当理由不移交工程的违约责任。</w:t>
      </w:r>
    </w:p>
    <w:p w14:paraId="7946AED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097" w:name="_Toc3311"/>
      <w:bookmarkStart w:id="1098" w:name="_Toc54862267"/>
      <w:r>
        <w:rPr>
          <w:rFonts w:hint="eastAsia" w:ascii="方正仿宋_GB2312" w:hAnsi="方正仿宋_GB2312" w:eastAsia="方正仿宋_GB2312" w:cs="方正仿宋_GB2312"/>
          <w:b w:val="0"/>
          <w:bCs/>
          <w:color w:val="auto"/>
          <w:kern w:val="2"/>
          <w:sz w:val="21"/>
          <w:szCs w:val="21"/>
          <w:highlight w:val="none"/>
          <w:lang w:val="en-US" w:eastAsia="zh-CN" w:bidi="ar-SA"/>
        </w:rPr>
        <w:t>10.4 接收证书</w:t>
      </w:r>
      <w:bookmarkEnd w:id="1094"/>
      <w:bookmarkEnd w:id="1097"/>
      <w:bookmarkEnd w:id="1098"/>
    </w:p>
    <w:p w14:paraId="650212D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099" w:name="_Ref4429542"/>
      <w:r>
        <w:rPr>
          <w:rFonts w:hint="eastAsia" w:ascii="方正仿宋_GB2312" w:hAnsi="方正仿宋_GB2312" w:eastAsia="方正仿宋_GB2312" w:cs="方正仿宋_GB2312"/>
          <w:color w:val="auto"/>
          <w:kern w:val="2"/>
          <w:sz w:val="21"/>
          <w:szCs w:val="21"/>
          <w:highlight w:val="none"/>
          <w:lang w:val="en-US" w:eastAsia="zh-CN" w:bidi="ar-SA"/>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1099"/>
    </w:p>
    <w:p w14:paraId="6B72E56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6E4D67D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10.4.3 竣工验收合格而发包人无正当理由逾期不颁发工程接收证书的，自验收合格后第15天起视为已颁发工程接收证书。</w:t>
      </w:r>
    </w:p>
    <w:p w14:paraId="2046864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6960DD3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10.4.5 存在扫尾工作的，工程接收证书中应当将第14.5.3项[扫尾工作清单]中约定的扫尾工作清单作为工程接收证书附件。</w:t>
      </w:r>
    </w:p>
    <w:bookmarkEnd w:id="1095"/>
    <w:bookmarkEnd w:id="1096"/>
    <w:p w14:paraId="356FDFF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00" w:name="_Toc5461"/>
      <w:bookmarkStart w:id="1101" w:name="_Toc54862268"/>
      <w:bookmarkStart w:id="1102" w:name="_Ref4429935"/>
      <w:bookmarkStart w:id="1103" w:name="_Ref4429932"/>
      <w:r>
        <w:rPr>
          <w:rFonts w:hint="eastAsia" w:ascii="方正仿宋_GB2312" w:hAnsi="方正仿宋_GB2312" w:eastAsia="方正仿宋_GB2312" w:cs="方正仿宋_GB2312"/>
          <w:b w:val="0"/>
          <w:bCs/>
          <w:color w:val="auto"/>
          <w:kern w:val="2"/>
          <w:sz w:val="21"/>
          <w:szCs w:val="21"/>
          <w:highlight w:val="none"/>
          <w:lang w:val="en-US" w:eastAsia="zh-CN" w:bidi="ar-SA"/>
        </w:rPr>
        <w:t>10.5 竣工退场</w:t>
      </w:r>
      <w:bookmarkEnd w:id="1100"/>
      <w:bookmarkEnd w:id="1101"/>
      <w:bookmarkEnd w:id="1102"/>
      <w:bookmarkEnd w:id="1103"/>
    </w:p>
    <w:p w14:paraId="061DB4C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04" w:name="_Ref4429943"/>
      <w:r>
        <w:rPr>
          <w:rFonts w:hint="eastAsia" w:ascii="方正仿宋_GB2312" w:hAnsi="方正仿宋_GB2312" w:eastAsia="方正仿宋_GB2312" w:cs="方正仿宋_GB2312"/>
          <w:color w:val="auto"/>
          <w:kern w:val="2"/>
          <w:sz w:val="21"/>
          <w:szCs w:val="21"/>
          <w:highlight w:val="none"/>
          <w:lang w:val="en-US" w:eastAsia="zh-CN" w:bidi="ar-SA"/>
        </w:rPr>
        <w:t>10.5.1 竣工退场</w:t>
      </w:r>
      <w:bookmarkEnd w:id="1104"/>
    </w:p>
    <w:p w14:paraId="31AA05C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颁发工程接收证书后，承包人应对施工现场进行清理，并撤离相关人员，使得施工现场处于以下状态，直至工程师检验合格为止：</w:t>
      </w:r>
    </w:p>
    <w:p w14:paraId="23A25F6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施工现场内残留的垃圾已全部清除出场；</w:t>
      </w:r>
    </w:p>
    <w:p w14:paraId="346BF04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临时工程已拆除，场地已按合同约定进行清理、平整或复原；</w:t>
      </w:r>
    </w:p>
    <w:p w14:paraId="11C3A67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按合同约定应撤离的人员、承包人提供的施工设备和剩余的材料，包括废弃的施工设备和材料，已按计划撤离施工现场；</w:t>
      </w:r>
    </w:p>
    <w:p w14:paraId="4CAA089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施工现场周边及其附近道路、河道的施工堆积物，已全部清理；</w:t>
      </w:r>
    </w:p>
    <w:p w14:paraId="09562E5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施工现场其他竣工退场工作已全部完成。</w:t>
      </w:r>
    </w:p>
    <w:p w14:paraId="189A94C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1B3D746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10.5.2 地表还原</w:t>
      </w:r>
    </w:p>
    <w:p w14:paraId="12C6BB7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承包人应按合同约定和工程师的要求恢复临时占地及清理场地，否则发包人有权委托其他人恢复或清理，所发生的费用由承包人承担。</w:t>
      </w:r>
    </w:p>
    <w:p w14:paraId="3271DAC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05" w:name="_Ref20159437"/>
      <w:r>
        <w:rPr>
          <w:rFonts w:hint="eastAsia" w:ascii="方正仿宋_GB2312" w:hAnsi="方正仿宋_GB2312" w:eastAsia="方正仿宋_GB2312" w:cs="方正仿宋_GB2312"/>
          <w:color w:val="auto"/>
          <w:kern w:val="2"/>
          <w:sz w:val="21"/>
          <w:szCs w:val="21"/>
          <w:highlight w:val="none"/>
          <w:lang w:val="en-US" w:eastAsia="zh-CN" w:bidi="ar-SA"/>
        </w:rPr>
        <w:t>10.5.3 人员撤离</w:t>
      </w:r>
      <w:bookmarkEnd w:id="1105"/>
    </w:p>
    <w:p w14:paraId="52B8042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968"/>
    </w:p>
    <w:p w14:paraId="4D0DD00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106" w:name="_Toc29586"/>
      <w:bookmarkStart w:id="1107" w:name="_Ref4796906"/>
      <w:bookmarkStart w:id="1108" w:name="_Toc54862269"/>
      <w:bookmarkStart w:id="1109" w:name="_Ref4796909"/>
      <w:bookmarkStart w:id="1110" w:name="_Ref531955009"/>
      <w:r>
        <w:rPr>
          <w:rFonts w:hint="eastAsia" w:ascii="方正仿宋_GB2312" w:hAnsi="方正仿宋_GB2312" w:eastAsia="方正仿宋_GB2312" w:cs="方正仿宋_GB2312"/>
          <w:b w:val="0"/>
          <w:bCs/>
          <w:color w:val="auto"/>
          <w:kern w:val="2"/>
          <w:sz w:val="28"/>
          <w:szCs w:val="28"/>
          <w:highlight w:val="none"/>
          <w:lang w:val="en-US" w:eastAsia="zh-CN" w:bidi="ar-SA"/>
        </w:rPr>
        <w:t>第11条 缺陷责任与保修</w:t>
      </w:r>
      <w:bookmarkEnd w:id="1106"/>
      <w:bookmarkEnd w:id="1107"/>
      <w:bookmarkEnd w:id="1108"/>
      <w:bookmarkEnd w:id="1109"/>
      <w:bookmarkEnd w:id="1110"/>
    </w:p>
    <w:p w14:paraId="29F91CE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11" w:name="_Toc54862270"/>
      <w:bookmarkStart w:id="1112" w:name="_Toc30974"/>
      <w:bookmarkStart w:id="1113" w:name="_Ref531955248"/>
      <w:bookmarkStart w:id="1114" w:name="_Ref531955245"/>
      <w:bookmarkStart w:id="1115" w:name="_Ref532362928"/>
      <w:bookmarkStart w:id="1116" w:name="_Toc296346648"/>
      <w:bookmarkStart w:id="1117" w:name="_Toc296503147"/>
      <w:bookmarkStart w:id="1118" w:name="_Toc337558841"/>
      <w:r>
        <w:rPr>
          <w:rFonts w:hint="eastAsia" w:ascii="方正仿宋_GB2312" w:hAnsi="方正仿宋_GB2312" w:eastAsia="方正仿宋_GB2312" w:cs="方正仿宋_GB2312"/>
          <w:b w:val="0"/>
          <w:bCs/>
          <w:color w:val="auto"/>
          <w:kern w:val="2"/>
          <w:sz w:val="21"/>
          <w:szCs w:val="21"/>
          <w:highlight w:val="none"/>
          <w:lang w:val="en-US" w:eastAsia="zh-CN" w:bidi="ar-SA"/>
        </w:rPr>
        <w:t>11.1 工程保修的原则</w:t>
      </w:r>
      <w:bookmarkEnd w:id="1111"/>
      <w:bookmarkEnd w:id="1112"/>
    </w:p>
    <w:p w14:paraId="5733EDF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在工程移交发包人后，因承包人原因产生的质量缺陷，承包人应承担质量缺陷责任和保修义务。缺陷责任期届满，承包人仍应按合同约定的工程各部位保修年限承担保修义务。</w:t>
      </w:r>
    </w:p>
    <w:p w14:paraId="3318AEB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19" w:name="_Toc54862271"/>
      <w:bookmarkStart w:id="1120" w:name="_Ref4430062"/>
      <w:bookmarkStart w:id="1121" w:name="_Toc13567"/>
      <w:r>
        <w:rPr>
          <w:rFonts w:hint="eastAsia" w:ascii="方正仿宋_GB2312" w:hAnsi="方正仿宋_GB2312" w:eastAsia="方正仿宋_GB2312" w:cs="方正仿宋_GB2312"/>
          <w:b w:val="0"/>
          <w:bCs/>
          <w:color w:val="auto"/>
          <w:kern w:val="2"/>
          <w:sz w:val="21"/>
          <w:szCs w:val="21"/>
          <w:highlight w:val="none"/>
          <w:lang w:val="en-US" w:eastAsia="zh-CN" w:bidi="ar-SA"/>
        </w:rPr>
        <w:t>11.2 缺陷责任</w:t>
      </w:r>
      <w:bookmarkEnd w:id="1113"/>
      <w:bookmarkEnd w:id="1114"/>
      <w:r>
        <w:rPr>
          <w:rFonts w:hint="eastAsia" w:ascii="方正仿宋_GB2312" w:hAnsi="方正仿宋_GB2312" w:eastAsia="方正仿宋_GB2312" w:cs="方正仿宋_GB2312"/>
          <w:b w:val="0"/>
          <w:bCs/>
          <w:color w:val="auto"/>
          <w:kern w:val="2"/>
          <w:sz w:val="21"/>
          <w:szCs w:val="21"/>
          <w:highlight w:val="none"/>
          <w:lang w:val="en-US" w:eastAsia="zh-CN" w:bidi="ar-SA"/>
        </w:rPr>
        <w:t>期</w:t>
      </w:r>
      <w:bookmarkEnd w:id="1115"/>
      <w:bookmarkEnd w:id="1119"/>
      <w:bookmarkEnd w:id="1120"/>
      <w:bookmarkEnd w:id="1121"/>
    </w:p>
    <w:p w14:paraId="43255FF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缺陷责任期原则上从工程竣工验收合格之日起计算，合同当事人应在专用合同条件约定缺陷责任期的具体期限，但该期限最长不超过24个月。</w:t>
      </w:r>
    </w:p>
    <w:p w14:paraId="4B7134E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单位/区段工程先于全部工程进行验收，经验收合格并交付使用的，该单位/区段工程缺陷责任期自单位/区段工程验收合格之日起算。因发包人原因导致工程未在合同约定期</w:t>
      </w:r>
      <w:r>
        <w:rPr>
          <w:rFonts w:hint="eastAsia" w:ascii="方正仿宋_GB2312" w:hAnsi="方正仿宋_GB2312" w:eastAsia="方正仿宋_GB2312" w:cs="方正仿宋_GB2312"/>
          <w:color w:val="auto"/>
          <w:szCs w:val="21"/>
          <w:highlight w:val="none"/>
          <w:lang w:eastAsia="zh-CN"/>
        </w:rPr>
        <w:t>限内</w:t>
      </w:r>
      <w:r>
        <w:rPr>
          <w:rFonts w:hint="eastAsia" w:ascii="方正仿宋_GB2312" w:hAnsi="方正仿宋_GB2312" w:eastAsia="方正仿宋_GB2312" w:cs="方正仿宋_GB2312"/>
          <w:color w:val="auto"/>
          <w:szCs w:val="21"/>
          <w:highlight w:val="none"/>
        </w:rPr>
        <w:t>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6DEA7FB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595C00B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22" w:name="_Ref532662491"/>
      <w:bookmarkStart w:id="1123" w:name="_Toc22045"/>
      <w:bookmarkStart w:id="1124" w:name="_Toc54862272"/>
      <w:bookmarkStart w:id="1125" w:name="_Ref532662486"/>
      <w:r>
        <w:rPr>
          <w:rFonts w:hint="eastAsia" w:ascii="方正仿宋_GB2312" w:hAnsi="方正仿宋_GB2312" w:eastAsia="方正仿宋_GB2312" w:cs="方正仿宋_GB2312"/>
          <w:b w:val="0"/>
          <w:bCs/>
          <w:color w:val="auto"/>
          <w:kern w:val="2"/>
          <w:sz w:val="21"/>
          <w:szCs w:val="21"/>
          <w:highlight w:val="none"/>
          <w:lang w:val="en-US" w:eastAsia="zh-CN" w:bidi="ar-SA"/>
        </w:rPr>
        <w:t>11.3 缺陷调查</w:t>
      </w:r>
      <w:bookmarkEnd w:id="1122"/>
      <w:bookmarkEnd w:id="1123"/>
      <w:bookmarkEnd w:id="1124"/>
      <w:bookmarkEnd w:id="1125"/>
    </w:p>
    <w:p w14:paraId="48BCB47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b/>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11.3.1 承包人缺陷调查</w:t>
      </w:r>
    </w:p>
    <w:p w14:paraId="5991D5D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2E22014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4FACF22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11.3.2 缺陷责任</w:t>
      </w:r>
    </w:p>
    <w:p w14:paraId="664C409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2123ABF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11.3.3 修复费用</w:t>
      </w:r>
    </w:p>
    <w:p w14:paraId="11A6A9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发包人和承包人应共同查清缺陷或损坏的原因。经查明属承包人原因造成的，应由承包人承担修复的费用。经查验非承包人原因造成的，发包人应承担修复的费用，并支付承包人合理利润。</w:t>
      </w:r>
    </w:p>
    <w:p w14:paraId="1D73775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26" w:name="_Ref531955041"/>
      <w:r>
        <w:rPr>
          <w:rFonts w:hint="eastAsia" w:ascii="方正仿宋_GB2312" w:hAnsi="方正仿宋_GB2312" w:eastAsia="方正仿宋_GB2312" w:cs="方正仿宋_GB2312"/>
          <w:color w:val="auto"/>
          <w:kern w:val="2"/>
          <w:sz w:val="21"/>
          <w:szCs w:val="21"/>
          <w:highlight w:val="none"/>
          <w:lang w:val="en-US" w:eastAsia="zh-CN" w:bidi="ar-SA"/>
        </w:rPr>
        <w:t>11.3.4 修复通知</w:t>
      </w:r>
      <w:bookmarkEnd w:id="1126"/>
    </w:p>
    <w:p w14:paraId="7003E2C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67DF2E2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11.3.5 在现场外修复</w:t>
      </w:r>
    </w:p>
    <w:p w14:paraId="048DC1D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379B121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27" w:name="_Ref4534291"/>
      <w:bookmarkStart w:id="1128" w:name="_Hlk51506786"/>
      <w:r>
        <w:rPr>
          <w:rFonts w:hint="eastAsia" w:ascii="方正仿宋_GB2312" w:hAnsi="方正仿宋_GB2312" w:eastAsia="方正仿宋_GB2312" w:cs="方正仿宋_GB2312"/>
          <w:color w:val="auto"/>
          <w:kern w:val="2"/>
          <w:sz w:val="21"/>
          <w:szCs w:val="21"/>
          <w:highlight w:val="none"/>
          <w:lang w:val="en-US" w:eastAsia="zh-CN" w:bidi="ar-SA"/>
        </w:rPr>
        <w:t>11.3.6 未能修复</w:t>
      </w:r>
      <w:bookmarkEnd w:id="1127"/>
    </w:p>
    <w:bookmarkEnd w:id="1128"/>
    <w:p w14:paraId="6522B2B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7F9CD66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如果工程或工程设备的缺陷或损害使发包人实质上失去了工程的整体功能，发包人有权向承包人追回已支付的工程款项，并要求其赔偿发包人相应损失。</w:t>
      </w:r>
    </w:p>
    <w:bookmarkEnd w:id="1116"/>
    <w:bookmarkEnd w:id="1117"/>
    <w:bookmarkEnd w:id="1118"/>
    <w:p w14:paraId="3A596DE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29" w:name="_Toc54862273"/>
      <w:bookmarkStart w:id="1130" w:name="_Ref532662552"/>
      <w:bookmarkStart w:id="1131" w:name="_Toc1430"/>
      <w:bookmarkStart w:id="1132" w:name="_Ref532662554"/>
      <w:r>
        <w:rPr>
          <w:rFonts w:hint="eastAsia" w:ascii="方正仿宋_GB2312" w:hAnsi="方正仿宋_GB2312" w:eastAsia="方正仿宋_GB2312" w:cs="方正仿宋_GB2312"/>
          <w:b w:val="0"/>
          <w:bCs/>
          <w:color w:val="auto"/>
          <w:kern w:val="2"/>
          <w:sz w:val="21"/>
          <w:szCs w:val="21"/>
          <w:highlight w:val="none"/>
          <w:lang w:val="en-US" w:eastAsia="zh-CN" w:bidi="ar-SA"/>
        </w:rPr>
        <w:t>11.4 缺陷修复后的进一步试验</w:t>
      </w:r>
      <w:bookmarkEnd w:id="1129"/>
      <w:bookmarkEnd w:id="1130"/>
      <w:bookmarkEnd w:id="1131"/>
      <w:bookmarkEnd w:id="1132"/>
    </w:p>
    <w:p w14:paraId="3202EF9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任何</w:t>
      </w:r>
      <w:r>
        <w:rPr>
          <w:rFonts w:hint="eastAsia" w:ascii="方正仿宋_GB2312" w:hAnsi="方正仿宋_GB2312" w:eastAsia="方正仿宋_GB2312" w:cs="方正仿宋_GB2312"/>
          <w:color w:val="auto"/>
          <w:szCs w:val="21"/>
          <w:highlight w:val="none"/>
          <w:lang w:eastAsia="zh-CN"/>
        </w:rPr>
        <w:t>一处</w:t>
      </w:r>
      <w:r>
        <w:rPr>
          <w:rFonts w:hint="eastAsia" w:ascii="方正仿宋_GB2312" w:hAnsi="方正仿宋_GB2312" w:eastAsia="方正仿宋_GB2312" w:cs="方正仿宋_GB2312"/>
          <w:color w:val="auto"/>
          <w:szCs w:val="21"/>
          <w:highlight w:val="none"/>
        </w:rPr>
        <w:t>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w:t>
      </w:r>
      <w:r>
        <w:rPr>
          <w:rFonts w:hint="eastAsia" w:ascii="方正仿宋_GB2312" w:hAnsi="方正仿宋_GB2312" w:eastAsia="方正仿宋_GB2312" w:cs="方正仿宋_GB2312"/>
          <w:color w:val="auto"/>
          <w:szCs w:val="21"/>
          <w:highlight w:val="none"/>
          <w:lang w:eastAsia="zh-CN"/>
        </w:rPr>
        <w:t>重复试验</w:t>
      </w:r>
      <w:r>
        <w:rPr>
          <w:rFonts w:hint="eastAsia" w:ascii="方正仿宋_GB2312" w:hAnsi="方正仿宋_GB2312" w:eastAsia="方正仿宋_GB2312" w:cs="方正仿宋_GB2312"/>
          <w:color w:val="auto"/>
          <w:szCs w:val="21"/>
          <w:highlight w:val="none"/>
        </w:rPr>
        <w:t>，以证明已修复的部分符合合同要求。</w:t>
      </w:r>
    </w:p>
    <w:p w14:paraId="67B372E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所有的重复试验应按照适用于先前试验的条款进行，但应由责任方承担修补工作的成本和重新试验的风险和费用。</w:t>
      </w:r>
    </w:p>
    <w:p w14:paraId="140B47B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33" w:name="_Toc54862274"/>
      <w:bookmarkStart w:id="1134" w:name="_Toc18463"/>
      <w:r>
        <w:rPr>
          <w:rFonts w:hint="eastAsia" w:ascii="方正仿宋_GB2312" w:hAnsi="方正仿宋_GB2312" w:eastAsia="方正仿宋_GB2312" w:cs="方正仿宋_GB2312"/>
          <w:b w:val="0"/>
          <w:bCs/>
          <w:color w:val="auto"/>
          <w:kern w:val="2"/>
          <w:sz w:val="21"/>
          <w:szCs w:val="21"/>
          <w:highlight w:val="none"/>
          <w:lang w:val="en-US" w:eastAsia="zh-CN" w:bidi="ar-SA"/>
        </w:rPr>
        <w:t>11.5 承包人出入权</w:t>
      </w:r>
      <w:bookmarkEnd w:id="1133"/>
      <w:bookmarkEnd w:id="1134"/>
    </w:p>
    <w:p w14:paraId="7B92F87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09D304A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35" w:name="_Toc54862275"/>
      <w:bookmarkStart w:id="1136" w:name="_Toc12629"/>
      <w:bookmarkStart w:id="1137" w:name="_Ref4430223"/>
      <w:bookmarkStart w:id="1138" w:name="_Ref4430229"/>
      <w:r>
        <w:rPr>
          <w:rFonts w:hint="eastAsia" w:ascii="方正仿宋_GB2312" w:hAnsi="方正仿宋_GB2312" w:eastAsia="方正仿宋_GB2312" w:cs="方正仿宋_GB2312"/>
          <w:b w:val="0"/>
          <w:bCs/>
          <w:color w:val="auto"/>
          <w:kern w:val="2"/>
          <w:sz w:val="21"/>
          <w:szCs w:val="21"/>
          <w:highlight w:val="none"/>
          <w:lang w:val="en-US" w:eastAsia="zh-CN" w:bidi="ar-SA"/>
        </w:rPr>
        <w:t>11.6 缺陷责任期终止证书</w:t>
      </w:r>
      <w:bookmarkEnd w:id="1135"/>
      <w:bookmarkEnd w:id="1136"/>
      <w:bookmarkEnd w:id="1137"/>
      <w:bookmarkEnd w:id="1138"/>
    </w:p>
    <w:p w14:paraId="5DB06FE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w:t>
      </w:r>
      <w:bookmarkStart w:id="1139" w:name="_Hlk4686672"/>
      <w:r>
        <w:rPr>
          <w:rFonts w:hint="eastAsia" w:ascii="方正仿宋_GB2312" w:hAnsi="方正仿宋_GB2312" w:eastAsia="方正仿宋_GB2312" w:cs="方正仿宋_GB2312"/>
          <w:color w:val="auto"/>
          <w:szCs w:val="21"/>
          <w:highlight w:val="none"/>
        </w:rPr>
        <w:t>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1139"/>
    </w:p>
    <w:p w14:paraId="0EC6FC5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如根据第10.5.3项[人员撤离]承包人在施工现场还留有人员、施工设备和临时工程的，承包人应当在收到缺陷责任期终止证书后28天内，将上述人员、施工设备和临时工程撤离施工现场。</w:t>
      </w:r>
    </w:p>
    <w:p w14:paraId="22A3C92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40" w:name="_Toc14384"/>
      <w:bookmarkStart w:id="1141" w:name="_Toc54862276"/>
      <w:bookmarkStart w:id="1142" w:name="_Ref4430272"/>
      <w:r>
        <w:rPr>
          <w:rFonts w:hint="eastAsia" w:ascii="方正仿宋_GB2312" w:hAnsi="方正仿宋_GB2312" w:eastAsia="方正仿宋_GB2312" w:cs="方正仿宋_GB2312"/>
          <w:b w:val="0"/>
          <w:bCs/>
          <w:color w:val="auto"/>
          <w:kern w:val="2"/>
          <w:sz w:val="21"/>
          <w:szCs w:val="21"/>
          <w:highlight w:val="none"/>
          <w:lang w:val="en-US" w:eastAsia="zh-CN" w:bidi="ar-SA"/>
        </w:rPr>
        <w:t>11.7 保修责任</w:t>
      </w:r>
      <w:bookmarkEnd w:id="1140"/>
      <w:bookmarkEnd w:id="1141"/>
      <w:bookmarkEnd w:id="1142"/>
    </w:p>
    <w:p w14:paraId="1A5C6A8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因承包人原因导致的质量缺陷责任，由合同当事人根据有关法律规定，在专用合同条件和工程质量保修书中约定工程质量保修范围、期限和责任。</w:t>
      </w:r>
      <w:bookmarkEnd w:id="957"/>
      <w:bookmarkStart w:id="1143" w:name="_Ref531957860"/>
      <w:bookmarkStart w:id="1144" w:name="_Ref531958289"/>
    </w:p>
    <w:bookmarkEnd w:id="1143"/>
    <w:p w14:paraId="7847F96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145" w:name="_Ref4621065"/>
      <w:bookmarkStart w:id="1146" w:name="_Ref4621057"/>
      <w:bookmarkStart w:id="1147" w:name="_Toc7508"/>
      <w:bookmarkStart w:id="1148" w:name="_Toc54862277"/>
      <w:bookmarkStart w:id="1149" w:name="_Ref4796958"/>
      <w:bookmarkStart w:id="1150" w:name="_Ref4796955"/>
      <w:r>
        <w:rPr>
          <w:rFonts w:hint="eastAsia" w:ascii="方正仿宋_GB2312" w:hAnsi="方正仿宋_GB2312" w:eastAsia="方正仿宋_GB2312" w:cs="方正仿宋_GB2312"/>
          <w:b w:val="0"/>
          <w:bCs/>
          <w:color w:val="auto"/>
          <w:kern w:val="2"/>
          <w:sz w:val="28"/>
          <w:szCs w:val="28"/>
          <w:highlight w:val="none"/>
          <w:lang w:val="en-US" w:eastAsia="zh-CN" w:bidi="ar-SA"/>
        </w:rPr>
        <w:t>第12条 竣工后试验</w:t>
      </w:r>
      <w:bookmarkEnd w:id="1145"/>
      <w:bookmarkEnd w:id="1146"/>
      <w:bookmarkEnd w:id="1147"/>
      <w:bookmarkEnd w:id="1148"/>
    </w:p>
    <w:p w14:paraId="001EE2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本合同工程包含竣工后试验的，遵守本条约定。</w:t>
      </w:r>
    </w:p>
    <w:p w14:paraId="417BBDF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51" w:name="_Ref531954604"/>
      <w:bookmarkStart w:id="1152" w:name="_Ref531954601"/>
      <w:bookmarkStart w:id="1153" w:name="_Toc54862278"/>
      <w:bookmarkStart w:id="1154" w:name="_Ref531954694"/>
      <w:bookmarkStart w:id="1155" w:name="_Toc32059"/>
      <w:bookmarkStart w:id="1156" w:name="_Hlk522259976"/>
      <w:r>
        <w:rPr>
          <w:rFonts w:hint="eastAsia" w:ascii="方正仿宋_GB2312" w:hAnsi="方正仿宋_GB2312" w:eastAsia="方正仿宋_GB2312" w:cs="方正仿宋_GB2312"/>
          <w:b w:val="0"/>
          <w:bCs/>
          <w:color w:val="auto"/>
          <w:kern w:val="2"/>
          <w:sz w:val="21"/>
          <w:szCs w:val="21"/>
          <w:highlight w:val="none"/>
          <w:lang w:val="en-US" w:eastAsia="zh-CN" w:bidi="ar-SA"/>
        </w:rPr>
        <w:t>12.1 竣工后试验</w:t>
      </w:r>
      <w:bookmarkEnd w:id="1151"/>
      <w:bookmarkEnd w:id="1152"/>
      <w:r>
        <w:rPr>
          <w:rFonts w:hint="eastAsia" w:ascii="方正仿宋_GB2312" w:hAnsi="方正仿宋_GB2312" w:eastAsia="方正仿宋_GB2312" w:cs="方正仿宋_GB2312"/>
          <w:b w:val="0"/>
          <w:bCs/>
          <w:color w:val="auto"/>
          <w:kern w:val="2"/>
          <w:sz w:val="21"/>
          <w:szCs w:val="21"/>
          <w:highlight w:val="none"/>
          <w:lang w:val="en-US" w:eastAsia="zh-CN" w:bidi="ar-SA"/>
        </w:rPr>
        <w:t>的程序</w:t>
      </w:r>
      <w:bookmarkEnd w:id="1153"/>
      <w:bookmarkEnd w:id="1154"/>
      <w:bookmarkEnd w:id="1155"/>
    </w:p>
    <w:p w14:paraId="467ABA8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57" w:name="_Ref11920184"/>
      <w:r>
        <w:rPr>
          <w:rFonts w:hint="eastAsia" w:ascii="方正仿宋_GB2312" w:hAnsi="方正仿宋_GB2312" w:eastAsia="方正仿宋_GB2312" w:cs="方正仿宋_GB2312"/>
          <w:color w:val="auto"/>
          <w:kern w:val="2"/>
          <w:sz w:val="21"/>
          <w:szCs w:val="21"/>
          <w:highlight w:val="none"/>
          <w:lang w:val="en-US" w:eastAsia="zh-CN" w:bidi="ar-SA"/>
        </w:rPr>
        <w:t>12.1.1 工程或区段工程被发包人接收后，在合理可行的情况下应根据合同约定尽早进行竣工试验。</w:t>
      </w:r>
      <w:bookmarkEnd w:id="1157"/>
    </w:p>
    <w:p w14:paraId="6FF6DF5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1EB078C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58" w:name="_Ref11920162"/>
      <w:r>
        <w:rPr>
          <w:rFonts w:hint="eastAsia" w:ascii="方正仿宋_GB2312" w:hAnsi="方正仿宋_GB2312" w:eastAsia="方正仿宋_GB2312" w:cs="方正仿宋_GB2312"/>
          <w:color w:val="auto"/>
          <w:kern w:val="2"/>
          <w:sz w:val="21"/>
          <w:szCs w:val="21"/>
          <w:highlight w:val="none"/>
          <w:lang w:val="en-US" w:eastAsia="zh-CN" w:bidi="ar-SA"/>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1158"/>
    </w:p>
    <w:p w14:paraId="36765D2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59" w:name="_Ref11920146"/>
      <w:r>
        <w:rPr>
          <w:rFonts w:hint="eastAsia" w:ascii="方正仿宋_GB2312" w:hAnsi="方正仿宋_GB2312" w:eastAsia="方正仿宋_GB2312" w:cs="方正仿宋_GB2312"/>
          <w:color w:val="auto"/>
          <w:kern w:val="2"/>
          <w:sz w:val="21"/>
          <w:szCs w:val="21"/>
          <w:highlight w:val="none"/>
          <w:lang w:val="en-US" w:eastAsia="zh-CN" w:bidi="ar-SA"/>
        </w:rPr>
        <w:t>12.1.4 发包人应根据《发包人要求》、承包人按照第5.5款</w:t>
      </w:r>
      <w:bookmarkStart w:id="1160" w:name="_Hlk18943978"/>
      <w:r>
        <w:rPr>
          <w:rFonts w:hint="eastAsia" w:ascii="方正仿宋_GB2312" w:hAnsi="方正仿宋_GB2312" w:eastAsia="方正仿宋_GB2312" w:cs="方正仿宋_GB2312"/>
          <w:color w:val="auto"/>
          <w:kern w:val="2"/>
          <w:sz w:val="21"/>
          <w:szCs w:val="21"/>
          <w:highlight w:val="none"/>
          <w:lang w:val="en-US" w:eastAsia="zh-CN" w:bidi="ar-SA"/>
        </w:rPr>
        <w:t>[操作和维修手册]</w:t>
      </w:r>
      <w:bookmarkEnd w:id="1160"/>
      <w:r>
        <w:rPr>
          <w:rFonts w:hint="eastAsia" w:ascii="方正仿宋_GB2312" w:hAnsi="方正仿宋_GB2312" w:eastAsia="方正仿宋_GB2312" w:cs="方正仿宋_GB2312"/>
          <w:color w:val="auto"/>
          <w:kern w:val="2"/>
          <w:sz w:val="21"/>
          <w:szCs w:val="21"/>
          <w:highlight w:val="none"/>
          <w:lang w:val="en-US" w:eastAsia="zh-CN" w:bidi="ar-SA"/>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1159"/>
    </w:p>
    <w:p w14:paraId="1A3E26B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12.1.5 竣工后试验的结果应由双方进行整理和评价，并应适当考虑发包人对工程或其任何部分的使用，对工程或区段工程的性能、特性和试验结果产生的影响。</w:t>
      </w:r>
    </w:p>
    <w:p w14:paraId="750143B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61" w:name="_Toc31294"/>
      <w:bookmarkStart w:id="1162" w:name="_Ref531954785"/>
      <w:bookmarkStart w:id="1163" w:name="_Toc54862279"/>
      <w:bookmarkStart w:id="1164" w:name="_Ref531954781"/>
      <w:r>
        <w:rPr>
          <w:rFonts w:hint="eastAsia" w:ascii="方正仿宋_GB2312" w:hAnsi="方正仿宋_GB2312" w:eastAsia="方正仿宋_GB2312" w:cs="方正仿宋_GB2312"/>
          <w:b w:val="0"/>
          <w:bCs/>
          <w:color w:val="auto"/>
          <w:kern w:val="2"/>
          <w:sz w:val="21"/>
          <w:szCs w:val="21"/>
          <w:highlight w:val="none"/>
          <w:lang w:val="en-US" w:eastAsia="zh-CN" w:bidi="ar-SA"/>
        </w:rPr>
        <w:t>12.2 延误的试验</w:t>
      </w:r>
      <w:bookmarkEnd w:id="1161"/>
      <w:bookmarkEnd w:id="1162"/>
      <w:bookmarkEnd w:id="1163"/>
      <w:bookmarkEnd w:id="1164"/>
    </w:p>
    <w:p w14:paraId="67A05F1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12.2.1 如果竣工后试验因发包人原因被延误的，发包人应承担承包人由此增加的费用并支付承包人合理利润。</w:t>
      </w:r>
    </w:p>
    <w:p w14:paraId="690EA80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12.2.2 如果因承包人以外的原因，导致竣工后试验未能在缺陷责任期或双方另行同意的其他期限内完成，则相关工程或区段工程应视为已通过该竣工后试验。</w:t>
      </w:r>
    </w:p>
    <w:p w14:paraId="4160A4C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65" w:name="_Toc3329"/>
      <w:bookmarkStart w:id="1166" w:name="_Toc54862280"/>
      <w:r>
        <w:rPr>
          <w:rFonts w:hint="eastAsia" w:ascii="方正仿宋_GB2312" w:hAnsi="方正仿宋_GB2312" w:eastAsia="方正仿宋_GB2312" w:cs="方正仿宋_GB2312"/>
          <w:b w:val="0"/>
          <w:bCs/>
          <w:color w:val="auto"/>
          <w:kern w:val="2"/>
          <w:sz w:val="21"/>
          <w:szCs w:val="21"/>
          <w:highlight w:val="none"/>
          <w:lang w:val="en-US" w:eastAsia="zh-CN" w:bidi="ar-SA"/>
        </w:rPr>
        <w:t>12.3 重复试验</w:t>
      </w:r>
      <w:bookmarkEnd w:id="1165"/>
      <w:bookmarkEnd w:id="1166"/>
    </w:p>
    <w:p w14:paraId="220CE37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bookmarkEnd w:id="1156"/>
    <w:p w14:paraId="1D1D172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67" w:name="_Toc54862281"/>
      <w:bookmarkStart w:id="1168" w:name="_Toc22409"/>
      <w:bookmarkStart w:id="1169" w:name="_Ref531954819"/>
      <w:bookmarkStart w:id="1170" w:name="_Ref531954811"/>
      <w:r>
        <w:rPr>
          <w:rFonts w:hint="eastAsia" w:ascii="方正仿宋_GB2312" w:hAnsi="方正仿宋_GB2312" w:eastAsia="方正仿宋_GB2312" w:cs="方正仿宋_GB2312"/>
          <w:b w:val="0"/>
          <w:bCs/>
          <w:color w:val="auto"/>
          <w:kern w:val="2"/>
          <w:sz w:val="21"/>
          <w:szCs w:val="21"/>
          <w:highlight w:val="none"/>
          <w:lang w:val="en-US" w:eastAsia="zh-CN" w:bidi="ar-SA"/>
        </w:rPr>
        <w:t>12.4 未能通过竣工后试验</w:t>
      </w:r>
      <w:bookmarkEnd w:id="1167"/>
      <w:bookmarkEnd w:id="1168"/>
      <w:bookmarkEnd w:id="1169"/>
      <w:bookmarkEnd w:id="1170"/>
    </w:p>
    <w:p w14:paraId="3A63F9E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71" w:name="_Ref531954829"/>
      <w:r>
        <w:rPr>
          <w:rFonts w:hint="eastAsia" w:ascii="方正仿宋_GB2312" w:hAnsi="方正仿宋_GB2312" w:eastAsia="方正仿宋_GB2312" w:cs="方正仿宋_GB2312"/>
          <w:color w:val="auto"/>
          <w:kern w:val="2"/>
          <w:sz w:val="21"/>
          <w:szCs w:val="21"/>
          <w:highlight w:val="none"/>
          <w:lang w:val="en-US" w:eastAsia="zh-CN" w:bidi="ar-SA"/>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1171"/>
    </w:p>
    <w:p w14:paraId="7B49A13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12.4.2 对未能通过竣工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竣工试验。</w:t>
      </w:r>
    </w:p>
    <w:p w14:paraId="58CA12D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12.4.3 发包人无故拖延给予承包人进行调查、调整或修补所需的进入工程或区段工程的许可，并造成承包人费用增加的，应承担由此增加的费用并支付承包人合理利润。</w:t>
      </w:r>
    </w:p>
    <w:p w14:paraId="4524E3E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172" w:name="_Toc20204"/>
      <w:bookmarkStart w:id="1173" w:name="_Ref4415801"/>
      <w:bookmarkStart w:id="1174" w:name="_Toc54862282"/>
      <w:r>
        <w:rPr>
          <w:rFonts w:hint="eastAsia" w:ascii="方正仿宋_GB2312" w:hAnsi="方正仿宋_GB2312" w:eastAsia="方正仿宋_GB2312" w:cs="方正仿宋_GB2312"/>
          <w:b w:val="0"/>
          <w:bCs/>
          <w:color w:val="auto"/>
          <w:kern w:val="2"/>
          <w:sz w:val="28"/>
          <w:szCs w:val="28"/>
          <w:highlight w:val="none"/>
          <w:lang w:val="en-US" w:eastAsia="zh-CN" w:bidi="ar-SA"/>
        </w:rPr>
        <w:t>第13条 变更与调整</w:t>
      </w:r>
      <w:bookmarkEnd w:id="1172"/>
      <w:bookmarkEnd w:id="1173"/>
      <w:bookmarkEnd w:id="1174"/>
    </w:p>
    <w:p w14:paraId="75D68B8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75" w:name="_Ref532677087"/>
      <w:bookmarkStart w:id="1176" w:name="_Ref532670393"/>
      <w:bookmarkStart w:id="1177" w:name="_Toc1404"/>
      <w:bookmarkStart w:id="1178" w:name="_Ref532668573"/>
      <w:bookmarkStart w:id="1179" w:name="_Ref532677084"/>
      <w:bookmarkStart w:id="1180" w:name="_Ref532668569"/>
      <w:bookmarkStart w:id="1181" w:name="_Toc54862283"/>
      <w:bookmarkStart w:id="1182" w:name="_Ref532670395"/>
      <w:r>
        <w:rPr>
          <w:rFonts w:hint="eastAsia" w:ascii="方正仿宋_GB2312" w:hAnsi="方正仿宋_GB2312" w:eastAsia="方正仿宋_GB2312" w:cs="方正仿宋_GB2312"/>
          <w:b w:val="0"/>
          <w:bCs/>
          <w:color w:val="auto"/>
          <w:kern w:val="2"/>
          <w:sz w:val="21"/>
          <w:szCs w:val="21"/>
          <w:highlight w:val="none"/>
          <w:lang w:val="en-US" w:eastAsia="zh-CN" w:bidi="ar-SA"/>
        </w:rPr>
        <w:t>13.1 发包人变更权</w:t>
      </w:r>
      <w:bookmarkEnd w:id="1175"/>
      <w:bookmarkEnd w:id="1176"/>
      <w:bookmarkEnd w:id="1177"/>
      <w:bookmarkEnd w:id="1178"/>
      <w:bookmarkEnd w:id="1179"/>
      <w:bookmarkEnd w:id="1180"/>
      <w:bookmarkEnd w:id="1181"/>
      <w:bookmarkEnd w:id="1182"/>
    </w:p>
    <w:p w14:paraId="1F0E3E4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83" w:name="_Ref4534979"/>
      <w:r>
        <w:rPr>
          <w:rFonts w:hint="eastAsia" w:ascii="方正仿宋_GB2312" w:hAnsi="方正仿宋_GB2312" w:eastAsia="方正仿宋_GB2312" w:cs="方正仿宋_GB2312"/>
          <w:color w:val="auto"/>
          <w:kern w:val="2"/>
          <w:sz w:val="21"/>
          <w:szCs w:val="21"/>
          <w:highlight w:val="none"/>
          <w:lang w:val="en-US" w:eastAsia="zh-CN" w:bidi="ar-SA"/>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1183"/>
      <w:r>
        <w:rPr>
          <w:rFonts w:hint="eastAsia" w:ascii="方正仿宋_GB2312" w:hAnsi="方正仿宋_GB2312" w:eastAsia="方正仿宋_GB2312" w:cs="方正仿宋_GB2312"/>
          <w:color w:val="auto"/>
          <w:kern w:val="2"/>
          <w:sz w:val="21"/>
          <w:szCs w:val="21"/>
          <w:highlight w:val="none"/>
          <w:lang w:val="en-US" w:eastAsia="zh-CN" w:bidi="ar-SA"/>
        </w:rPr>
        <w:t>发包人与承包人对某项指示或批准是否构成变更产生争议的，按第20条[争议解决]处理。</w:t>
      </w:r>
    </w:p>
    <w:p w14:paraId="2EB5392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7873049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84" w:name="_Ref531955587"/>
      <w:bookmarkStart w:id="1185" w:name="_Ref531955590"/>
      <w:bookmarkStart w:id="1186" w:name="_Toc54862284"/>
      <w:bookmarkStart w:id="1187" w:name="_Toc26256"/>
      <w:bookmarkStart w:id="1188" w:name="_Ref4623207"/>
      <w:r>
        <w:rPr>
          <w:rFonts w:hint="eastAsia" w:ascii="方正仿宋_GB2312" w:hAnsi="方正仿宋_GB2312" w:eastAsia="方正仿宋_GB2312" w:cs="方正仿宋_GB2312"/>
          <w:b w:val="0"/>
          <w:bCs/>
          <w:color w:val="auto"/>
          <w:kern w:val="2"/>
          <w:sz w:val="21"/>
          <w:szCs w:val="21"/>
          <w:highlight w:val="none"/>
          <w:lang w:val="en-US" w:eastAsia="zh-CN" w:bidi="ar-SA"/>
        </w:rPr>
        <w:t>13.2 承</w:t>
      </w:r>
      <w:bookmarkEnd w:id="1184"/>
      <w:bookmarkEnd w:id="1185"/>
      <w:r>
        <w:rPr>
          <w:rFonts w:hint="eastAsia" w:ascii="方正仿宋_GB2312" w:hAnsi="方正仿宋_GB2312" w:eastAsia="方正仿宋_GB2312" w:cs="方正仿宋_GB2312"/>
          <w:b w:val="0"/>
          <w:bCs/>
          <w:color w:val="auto"/>
          <w:kern w:val="2"/>
          <w:sz w:val="21"/>
          <w:szCs w:val="21"/>
          <w:highlight w:val="none"/>
          <w:lang w:val="en-US" w:eastAsia="zh-CN" w:bidi="ar-SA"/>
        </w:rPr>
        <w:t>包人的合理化建议</w:t>
      </w:r>
      <w:bookmarkEnd w:id="1186"/>
      <w:bookmarkEnd w:id="1187"/>
      <w:bookmarkEnd w:id="1188"/>
    </w:p>
    <w:p w14:paraId="75245EE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13.2.1 承包人提出合理化建议的，应向工程师提交合理化建议说明，说明建议的内容、理由以及实施该建议对合同价格和工期的影响。</w:t>
      </w:r>
    </w:p>
    <w:p w14:paraId="1961C2C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89" w:name="_Ref4681686"/>
      <w:r>
        <w:rPr>
          <w:rFonts w:hint="eastAsia" w:ascii="方正仿宋_GB2312" w:hAnsi="方正仿宋_GB2312" w:eastAsia="方正仿宋_GB2312" w:cs="方正仿宋_GB2312"/>
          <w:color w:val="auto"/>
          <w:kern w:val="2"/>
          <w:sz w:val="21"/>
          <w:szCs w:val="21"/>
          <w:highlight w:val="none"/>
          <w:lang w:val="en-US" w:eastAsia="zh-CN" w:bidi="ar-SA"/>
        </w:rPr>
        <w:t>13.2.2 除专用合同条件另有约定外，</w:t>
      </w:r>
      <w:bookmarkStart w:id="1190" w:name="_Hlk4682273"/>
      <w:r>
        <w:rPr>
          <w:rFonts w:hint="eastAsia" w:ascii="方正仿宋_GB2312" w:hAnsi="方正仿宋_GB2312" w:eastAsia="方正仿宋_GB2312" w:cs="方正仿宋_GB2312"/>
          <w:color w:val="auto"/>
          <w:kern w:val="2"/>
          <w:sz w:val="21"/>
          <w:szCs w:val="21"/>
          <w:highlight w:val="none"/>
          <w:lang w:val="en-US" w:eastAsia="zh-CN" w:bidi="ar-SA"/>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1189"/>
      <w:r>
        <w:rPr>
          <w:rFonts w:hint="eastAsia" w:ascii="方正仿宋_GB2312" w:hAnsi="方正仿宋_GB2312" w:eastAsia="方正仿宋_GB2312" w:cs="方正仿宋_GB2312"/>
          <w:color w:val="auto"/>
          <w:kern w:val="2"/>
          <w:sz w:val="21"/>
          <w:szCs w:val="21"/>
          <w:highlight w:val="none"/>
          <w:lang w:val="en-US" w:eastAsia="zh-CN" w:bidi="ar-SA"/>
        </w:rPr>
        <w:t>。</w:t>
      </w:r>
    </w:p>
    <w:p w14:paraId="472F745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13.2.3 合理化建议降低了合同价格、缩短了工期或者提高了工程经济效益的，双方可以按照专用合同条件的约定进行利益分享。</w:t>
      </w:r>
    </w:p>
    <w:bookmarkEnd w:id="1190"/>
    <w:p w14:paraId="6B19628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191" w:name="_Ref532671484"/>
      <w:bookmarkStart w:id="1192" w:name="_Toc54862285"/>
      <w:bookmarkStart w:id="1193" w:name="_Ref532669305"/>
      <w:bookmarkStart w:id="1194" w:name="_Ref532671480"/>
      <w:bookmarkStart w:id="1195" w:name="_Toc25661"/>
      <w:bookmarkStart w:id="1196" w:name="_Ref532669302"/>
      <w:bookmarkStart w:id="1197" w:name="_Ref532673541"/>
      <w:bookmarkStart w:id="1198" w:name="_Ref532673538"/>
      <w:r>
        <w:rPr>
          <w:rFonts w:hint="eastAsia" w:ascii="方正仿宋_GB2312" w:hAnsi="方正仿宋_GB2312" w:eastAsia="方正仿宋_GB2312" w:cs="方正仿宋_GB2312"/>
          <w:b w:val="0"/>
          <w:bCs/>
          <w:color w:val="auto"/>
          <w:kern w:val="2"/>
          <w:sz w:val="21"/>
          <w:szCs w:val="21"/>
          <w:highlight w:val="none"/>
          <w:lang w:val="en-US" w:eastAsia="zh-CN" w:bidi="ar-SA"/>
        </w:rPr>
        <w:t>13.3 变更程序</w:t>
      </w:r>
      <w:bookmarkEnd w:id="1191"/>
      <w:bookmarkEnd w:id="1192"/>
      <w:bookmarkEnd w:id="1193"/>
      <w:bookmarkEnd w:id="1194"/>
      <w:bookmarkEnd w:id="1195"/>
      <w:bookmarkEnd w:id="1196"/>
      <w:bookmarkEnd w:id="1197"/>
      <w:bookmarkEnd w:id="1198"/>
    </w:p>
    <w:p w14:paraId="48E1192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199" w:name="_Ref4534600"/>
      <w:r>
        <w:rPr>
          <w:rFonts w:hint="eastAsia" w:ascii="方正仿宋_GB2312" w:hAnsi="方正仿宋_GB2312" w:eastAsia="方正仿宋_GB2312" w:cs="方正仿宋_GB2312"/>
          <w:color w:val="auto"/>
          <w:kern w:val="2"/>
          <w:sz w:val="21"/>
          <w:szCs w:val="21"/>
          <w:highlight w:val="none"/>
          <w:lang w:val="en-US" w:eastAsia="zh-CN" w:bidi="ar-SA"/>
        </w:rPr>
        <w:t>13.3.1 发包人提出变更</w:t>
      </w:r>
      <w:bookmarkEnd w:id="1199"/>
    </w:p>
    <w:p w14:paraId="4A78118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发包人提出变更的，应通过工程师向承包人发出书面形式的变更指示，变更指示应说明计划变更的工程范围和变更的内容。</w:t>
      </w:r>
    </w:p>
    <w:p w14:paraId="2511EFC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00" w:name="_Ref4534617"/>
      <w:r>
        <w:rPr>
          <w:rFonts w:hint="eastAsia" w:ascii="方正仿宋_GB2312" w:hAnsi="方正仿宋_GB2312" w:eastAsia="方正仿宋_GB2312" w:cs="方正仿宋_GB2312"/>
          <w:color w:val="auto"/>
          <w:kern w:val="2"/>
          <w:sz w:val="21"/>
          <w:szCs w:val="21"/>
          <w:highlight w:val="none"/>
          <w:lang w:val="en-US" w:eastAsia="zh-CN" w:bidi="ar-SA"/>
        </w:rPr>
        <w:t>13.3.2 变更执行</w:t>
      </w:r>
      <w:bookmarkEnd w:id="1200"/>
    </w:p>
    <w:p w14:paraId="4135A1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6E83F9E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01" w:name="_Ref3835481"/>
      <w:r>
        <w:rPr>
          <w:rFonts w:hint="eastAsia" w:ascii="方正仿宋_GB2312" w:hAnsi="方正仿宋_GB2312" w:eastAsia="方正仿宋_GB2312" w:cs="方正仿宋_GB2312"/>
          <w:color w:val="auto"/>
          <w:kern w:val="2"/>
          <w:sz w:val="21"/>
          <w:szCs w:val="21"/>
          <w:highlight w:val="none"/>
          <w:lang w:val="en-US" w:eastAsia="zh-CN" w:bidi="ar-SA"/>
        </w:rPr>
        <w:t>13.3.3 变更估价</w:t>
      </w:r>
      <w:bookmarkEnd w:id="1201"/>
    </w:p>
    <w:p w14:paraId="4C16DB1B">
      <w:pPr>
        <w:keepNext w:val="0"/>
        <w:keepLines w:val="0"/>
        <w:pageBreakBefore w:val="0"/>
        <w:widowControl/>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13.3.3.1 变更估价原则</w:t>
      </w:r>
    </w:p>
    <w:p w14:paraId="49A11B5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除专用合同条件另有约定外，变更估价按照本款约定处理：</w:t>
      </w:r>
    </w:p>
    <w:p w14:paraId="2F8E36E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合同中未包含价格清单，合同价格应按照所执行的变更工程的成本加利润调整；</w:t>
      </w:r>
    </w:p>
    <w:p w14:paraId="411B89F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合同中包含价格清单，合同价格按照如下规则调整：</w:t>
      </w:r>
    </w:p>
    <w:p w14:paraId="081A9F4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价格清单中有适用于变更工程项目的，应采用该项目的费率和价格；</w:t>
      </w:r>
    </w:p>
    <w:p w14:paraId="06F5009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价格清单中没有适用但有类似于变更工程项目的，可在合理范围内参照类似项目的费率或价格；</w:t>
      </w:r>
    </w:p>
    <w:p w14:paraId="0F44318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价格清单中没有适用也没有类似于变更工程项目的，该工程项目应按成本加利润原则调整适用新的费率或价格。</w:t>
      </w:r>
    </w:p>
    <w:p w14:paraId="28B75D60">
      <w:pPr>
        <w:keepNext w:val="0"/>
        <w:keepLines w:val="0"/>
        <w:pageBreakBefore w:val="0"/>
        <w:widowControl/>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13.3.3.2 变更估价程序</w:t>
      </w:r>
    </w:p>
    <w:p w14:paraId="12F3C2A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02" w:name="_Ref531955605"/>
      <w:bookmarkStart w:id="1203" w:name="_Ref531955607"/>
      <w:bookmarkStart w:id="1204" w:name="_Toc296503150"/>
      <w:bookmarkStart w:id="1205" w:name="_Toc296346651"/>
      <w:bookmarkStart w:id="1206" w:name="_Toc337558844"/>
      <w:r>
        <w:rPr>
          <w:rFonts w:hint="eastAsia" w:ascii="方正仿宋_GB2312" w:hAnsi="方正仿宋_GB2312" w:eastAsia="方正仿宋_GB2312" w:cs="方正仿宋_GB2312"/>
          <w:color w:val="auto"/>
          <w:szCs w:val="21"/>
          <w:highlight w:val="none"/>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40B6F86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因变更引起的价格调整应计入最近一期的进度款中支付。</w:t>
      </w:r>
    </w:p>
    <w:p w14:paraId="564E04A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13.3.4 变更引起的工期调整</w:t>
      </w:r>
    </w:p>
    <w:p w14:paraId="0C1D019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因变更引起工期变化的，合同当事人均可要求调整合同工期，由合同当事人按照第3.6款[商定或确定]并参考工程所在地的工期定额标准确定增减工期天数。</w:t>
      </w:r>
    </w:p>
    <w:p w14:paraId="625B9B8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07" w:name="_Toc15079"/>
      <w:bookmarkStart w:id="1208" w:name="_Toc54862286"/>
      <w:bookmarkStart w:id="1209" w:name="_Ref4431237"/>
      <w:r>
        <w:rPr>
          <w:rFonts w:hint="eastAsia" w:ascii="方正仿宋_GB2312" w:hAnsi="方正仿宋_GB2312" w:eastAsia="方正仿宋_GB2312" w:cs="方正仿宋_GB2312"/>
          <w:b w:val="0"/>
          <w:bCs/>
          <w:color w:val="auto"/>
          <w:kern w:val="2"/>
          <w:sz w:val="21"/>
          <w:szCs w:val="21"/>
          <w:highlight w:val="none"/>
          <w:lang w:val="en-US" w:eastAsia="zh-CN" w:bidi="ar-SA"/>
        </w:rPr>
        <w:t>13.4 暂估价</w:t>
      </w:r>
      <w:bookmarkEnd w:id="1207"/>
      <w:bookmarkEnd w:id="1208"/>
      <w:bookmarkEnd w:id="1209"/>
    </w:p>
    <w:p w14:paraId="50958AA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10" w:name="_Ref4616729"/>
      <w:r>
        <w:rPr>
          <w:rFonts w:hint="eastAsia" w:ascii="方正仿宋_GB2312" w:hAnsi="方正仿宋_GB2312" w:eastAsia="方正仿宋_GB2312" w:cs="方正仿宋_GB2312"/>
          <w:color w:val="auto"/>
          <w:kern w:val="2"/>
          <w:sz w:val="21"/>
          <w:szCs w:val="21"/>
          <w:highlight w:val="none"/>
          <w:lang w:val="en-US" w:eastAsia="zh-CN" w:bidi="ar-SA"/>
        </w:rPr>
        <w:t>13.4.1 依法必须招标的暂估价项目</w:t>
      </w:r>
      <w:bookmarkEnd w:id="1210"/>
    </w:p>
    <w:p w14:paraId="28096C1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5A145BDF">
      <w:pPr>
        <w:keepNext w:val="0"/>
        <w:keepLines w:val="0"/>
        <w:pageBreakBefore w:val="0"/>
        <w:widowControl w:val="0"/>
        <w:tabs>
          <w:tab w:val="left" w:pos="993"/>
        </w:tabs>
        <w:kinsoku/>
        <w:wordWrap/>
        <w:overflowPunct/>
        <w:topLinePunct w:val="0"/>
        <w:bidi w:val="0"/>
        <w:snapToGrid w:val="0"/>
        <w:spacing w:before="0" w:after="0" w:line="360" w:lineRule="auto"/>
        <w:ind w:left="0" w:firstLine="420" w:firstLineChars="20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专用合同条件约定由发包人和承包人共同作为招标人的，与组织招标工作有关的费用在专用合同条件中约定。</w:t>
      </w:r>
    </w:p>
    <w:p w14:paraId="32E3F05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具体的招标程序以及发包人和承包人权利义务关系</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在专用合同条件中约定。暂估价项目的中标金额与价格清单中所列暂估价的金额差以及相应的税金等其他费用应列入合同价格。</w:t>
      </w:r>
    </w:p>
    <w:p w14:paraId="60FCDE5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11" w:name="_Ref4682312"/>
      <w:r>
        <w:rPr>
          <w:rFonts w:hint="eastAsia" w:ascii="方正仿宋_GB2312" w:hAnsi="方正仿宋_GB2312" w:eastAsia="方正仿宋_GB2312" w:cs="方正仿宋_GB2312"/>
          <w:color w:val="auto"/>
          <w:kern w:val="2"/>
          <w:sz w:val="21"/>
          <w:szCs w:val="21"/>
          <w:highlight w:val="none"/>
          <w:lang w:val="en-US" w:eastAsia="zh-CN" w:bidi="ar-SA"/>
        </w:rPr>
        <w:t>13.4.2 不属于依法必须招标的暂估价项目</w:t>
      </w:r>
      <w:bookmarkEnd w:id="1211"/>
    </w:p>
    <w:p w14:paraId="5B2723C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5DE92F4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140562D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12" w:name="_Toc54862287"/>
      <w:bookmarkStart w:id="1213" w:name="_Ref4431250"/>
      <w:bookmarkStart w:id="1214" w:name="_Toc28803"/>
      <w:r>
        <w:rPr>
          <w:rFonts w:hint="eastAsia" w:ascii="方正仿宋_GB2312" w:hAnsi="方正仿宋_GB2312" w:eastAsia="方正仿宋_GB2312" w:cs="方正仿宋_GB2312"/>
          <w:b w:val="0"/>
          <w:bCs/>
          <w:color w:val="auto"/>
          <w:kern w:val="2"/>
          <w:sz w:val="21"/>
          <w:szCs w:val="21"/>
          <w:highlight w:val="none"/>
          <w:lang w:val="en-US" w:eastAsia="zh-CN" w:bidi="ar-SA"/>
        </w:rPr>
        <w:t>13.5 暂列金额</w:t>
      </w:r>
      <w:bookmarkEnd w:id="1202"/>
      <w:bookmarkEnd w:id="1203"/>
      <w:bookmarkEnd w:id="1212"/>
      <w:bookmarkEnd w:id="1213"/>
      <w:bookmarkEnd w:id="1214"/>
    </w:p>
    <w:bookmarkEnd w:id="1204"/>
    <w:bookmarkEnd w:id="1205"/>
    <w:bookmarkEnd w:id="1206"/>
    <w:p w14:paraId="7C6D6DF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1052291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对于每笔暂列金额，发包人可以指示用于下列支付：</w:t>
      </w:r>
    </w:p>
    <w:p w14:paraId="3F0419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发包人根据第13.1款[发包人变更权]指示变更，决定对合同价格和付款计划表（如有）进行调整的、由承包人实施的工作（包括要提供的工程设备、材料和服务）；</w:t>
      </w:r>
    </w:p>
    <w:p w14:paraId="59F72FF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承包人购买的工程设备、材料、工作或服务，应支付包括承包人已付（或应付）的实际金额以及相应的管理费等费用和利润（管理费和利润应以实际金额为基数根据合同约定的费率（如有）或百分比计算）。</w:t>
      </w:r>
    </w:p>
    <w:p w14:paraId="786C651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发包人根据上述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1</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和（或）</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2</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64CF004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每份包含暂列金额的文件还应包括用以证明暂列金额的所有有效的发票、凭证和账户或收据。</w:t>
      </w:r>
    </w:p>
    <w:p w14:paraId="271408EC">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15" w:name="_Toc296503152"/>
      <w:bookmarkStart w:id="1216" w:name="_Ref4431438"/>
      <w:bookmarkStart w:id="1217" w:name="_Toc337558845"/>
      <w:bookmarkStart w:id="1218" w:name="_Toc296346653"/>
      <w:bookmarkStart w:id="1219" w:name="_Toc54862288"/>
      <w:bookmarkStart w:id="1220" w:name="_Toc26838"/>
      <w:r>
        <w:rPr>
          <w:rFonts w:hint="eastAsia" w:ascii="方正仿宋_GB2312" w:hAnsi="方正仿宋_GB2312" w:eastAsia="方正仿宋_GB2312" w:cs="方正仿宋_GB2312"/>
          <w:b w:val="0"/>
          <w:bCs/>
          <w:color w:val="auto"/>
          <w:kern w:val="2"/>
          <w:sz w:val="21"/>
          <w:szCs w:val="21"/>
          <w:highlight w:val="none"/>
          <w:lang w:val="en-US" w:eastAsia="zh-CN" w:bidi="ar-SA"/>
        </w:rPr>
        <w:t>13.6 计日工</w:t>
      </w:r>
      <w:bookmarkEnd w:id="1215"/>
      <w:bookmarkEnd w:id="1216"/>
      <w:bookmarkEnd w:id="1217"/>
      <w:bookmarkEnd w:id="1218"/>
      <w:bookmarkEnd w:id="1219"/>
      <w:bookmarkEnd w:id="1220"/>
    </w:p>
    <w:p w14:paraId="53AA20B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59209B0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13.6.2 采用计日工计价的任何一项工作，承包人应在该项工作实施过程中，每天提交以下报表和有关凭证报送工程师审查：</w:t>
      </w:r>
    </w:p>
    <w:p w14:paraId="7B1F90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工作名称、内容和数量；</w:t>
      </w:r>
    </w:p>
    <w:p w14:paraId="7EEF78D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投入该工作的所有人员的姓名、专业、工种、级别和耗用工时；</w:t>
      </w:r>
    </w:p>
    <w:p w14:paraId="4C5CA25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投入该工作的材料类别和数量；</w:t>
      </w:r>
    </w:p>
    <w:p w14:paraId="7450D4A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投入该工作的施工设备型号、台数和耗用台时；</w:t>
      </w:r>
    </w:p>
    <w:p w14:paraId="26B887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其他有关资料和凭证。</w:t>
      </w:r>
    </w:p>
    <w:p w14:paraId="59F0050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计日工由承包人汇总后，列入最近一期进度付款申请单，由工程师审查并经发包人批准后列入进度付款。</w:t>
      </w:r>
    </w:p>
    <w:p w14:paraId="76B4E29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21" w:name="_Toc8859"/>
      <w:bookmarkStart w:id="1222" w:name="_Toc54862289"/>
      <w:bookmarkStart w:id="1223" w:name="_Ref4617331"/>
      <w:bookmarkStart w:id="1224" w:name="_Ref4617318"/>
      <w:r>
        <w:rPr>
          <w:rFonts w:hint="eastAsia" w:ascii="方正仿宋_GB2312" w:hAnsi="方正仿宋_GB2312" w:eastAsia="方正仿宋_GB2312" w:cs="方正仿宋_GB2312"/>
          <w:b w:val="0"/>
          <w:bCs/>
          <w:color w:val="auto"/>
          <w:kern w:val="2"/>
          <w:sz w:val="21"/>
          <w:szCs w:val="21"/>
          <w:highlight w:val="none"/>
          <w:lang w:val="en-US" w:eastAsia="zh-CN" w:bidi="ar-SA"/>
        </w:rPr>
        <w:t>13.7 法律变化引起的调整</w:t>
      </w:r>
      <w:bookmarkEnd w:id="1221"/>
      <w:bookmarkEnd w:id="1222"/>
      <w:bookmarkEnd w:id="1223"/>
      <w:bookmarkEnd w:id="1224"/>
    </w:p>
    <w:p w14:paraId="368F0C8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6A95A58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13.7.2 因法律变化引起的合同价格和工期调整，合同当事人无法达成一致的，由工程师按第3.6款[商定或确定]的约定处理。</w:t>
      </w:r>
    </w:p>
    <w:p w14:paraId="782BCC4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13.7.3 因承包人原因造成工期延误，在工期延误期间出现法律变化的，由此增加的费用和（或）延误的工期由承包人承担。</w:t>
      </w:r>
    </w:p>
    <w:p w14:paraId="3E8C6ED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13.7.4 因法律变化而需要对工程的实施进行任何调整的，承包人应迅速通知发包人，或者发包人应迅速通知承包人，并附上详细的辅助资料。发包人接到通知后，应根据第13.3款[变更程序]发出变更指示。</w:t>
      </w:r>
    </w:p>
    <w:p w14:paraId="6448EFAF">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25" w:name="_Ref531955630"/>
      <w:bookmarkStart w:id="1226" w:name="_Toc639"/>
      <w:bookmarkStart w:id="1227" w:name="_Ref18977613"/>
      <w:bookmarkStart w:id="1228" w:name="_Toc54862290"/>
      <w:bookmarkStart w:id="1229" w:name="_Ref531955627"/>
      <w:r>
        <w:rPr>
          <w:rFonts w:hint="eastAsia" w:ascii="方正仿宋_GB2312" w:hAnsi="方正仿宋_GB2312" w:eastAsia="方正仿宋_GB2312" w:cs="方正仿宋_GB2312"/>
          <w:b w:val="0"/>
          <w:bCs/>
          <w:color w:val="auto"/>
          <w:kern w:val="2"/>
          <w:sz w:val="21"/>
          <w:szCs w:val="21"/>
          <w:highlight w:val="none"/>
          <w:lang w:val="en-US" w:eastAsia="zh-CN" w:bidi="ar-SA"/>
        </w:rPr>
        <w:t>13.8 市场价格波动引起的调整</w:t>
      </w:r>
      <w:bookmarkEnd w:id="1225"/>
      <w:bookmarkEnd w:id="1226"/>
      <w:bookmarkEnd w:id="1227"/>
      <w:bookmarkEnd w:id="1228"/>
      <w:bookmarkEnd w:id="1229"/>
    </w:p>
    <w:p w14:paraId="1F225FE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30" w:name="_Ref4709841"/>
      <w:r>
        <w:rPr>
          <w:rFonts w:hint="eastAsia" w:ascii="方正仿宋_GB2312" w:hAnsi="方正仿宋_GB2312" w:eastAsia="方正仿宋_GB2312" w:cs="方正仿宋_GB2312"/>
          <w:color w:val="auto"/>
          <w:kern w:val="2"/>
          <w:sz w:val="21"/>
          <w:szCs w:val="21"/>
          <w:highlight w:val="none"/>
          <w:lang w:val="en-US" w:eastAsia="zh-CN" w:bidi="ar-SA"/>
        </w:rPr>
        <w:t>13.8.1 主要工程材料、设备、人工价格与招标时基期价相比，波动幅度超过合同约定幅度的，双方按照合同约定的价格调整方式调整。</w:t>
      </w:r>
    </w:p>
    <w:p w14:paraId="010A08A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13.8.2 发包人与承包人在专用合同条件中约定采用《价格指数权重表》的，适用本项约定。</w:t>
      </w:r>
    </w:p>
    <w:p w14:paraId="783AB6AE">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13.8.2.1 双方当事人可以将部分主要工程材料、工程设备、人工价格及其他双方认为应当根据市场价格调整的费用列入附件6[价格指数权重表]，并根据以下公式计算差额并调整合同价格：</w:t>
      </w:r>
    </w:p>
    <w:bookmarkEnd w:id="1230"/>
    <w:p w14:paraId="0A51FBC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31" w:name="_Ref4616996"/>
      <w:r>
        <w:rPr>
          <w:rFonts w:hint="eastAsia" w:ascii="方正仿宋_GB2312" w:hAnsi="方正仿宋_GB2312" w:eastAsia="方正仿宋_GB2312" w:cs="方正仿宋_GB2312"/>
          <w:color w:val="auto"/>
          <w:szCs w:val="21"/>
          <w:highlight w:val="none"/>
        </w:rPr>
        <w:t>（1） 价格调整公式</w:t>
      </w:r>
      <w:bookmarkEnd w:id="1231"/>
    </w:p>
    <w:p w14:paraId="0C365380">
      <w:pPr>
        <w:keepNext w:val="0"/>
        <w:keepLines w:val="0"/>
        <w:pageBreakBefore w:val="0"/>
        <w:kinsoku/>
        <w:wordWrap/>
        <w:overflowPunct/>
        <w:topLinePunct w:val="0"/>
        <w:bidi w:val="0"/>
        <w:snapToGrid w:val="0"/>
        <w:spacing w:after="0" w:line="360" w:lineRule="auto"/>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drawing>
          <wp:inline distT="0" distB="0" distL="114300" distR="114300">
            <wp:extent cx="4778375" cy="676275"/>
            <wp:effectExtent l="0" t="0" r="3175" b="952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3"/>
                    <a:stretch>
                      <a:fillRect/>
                    </a:stretch>
                  </pic:blipFill>
                  <pic:spPr>
                    <a:xfrm>
                      <a:off x="0" y="0"/>
                      <a:ext cx="4778375" cy="676275"/>
                    </a:xfrm>
                    <a:prstGeom prst="rect">
                      <a:avLst/>
                    </a:prstGeom>
                    <a:noFill/>
                    <a:ln>
                      <a:noFill/>
                    </a:ln>
                  </pic:spPr>
                </pic:pic>
              </a:graphicData>
            </a:graphic>
          </wp:inline>
        </w:drawing>
      </w:r>
    </w:p>
    <w:p w14:paraId="2F2566F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公式中：△P---需调整的价格差额；</w:t>
      </w:r>
    </w:p>
    <w:p w14:paraId="4E2603E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P</w:t>
      </w:r>
      <w:r>
        <w:rPr>
          <w:rFonts w:hint="eastAsia" w:ascii="方正仿宋_GB2312" w:hAnsi="方正仿宋_GB2312" w:eastAsia="方正仿宋_GB2312" w:cs="方正仿宋_GB2312"/>
          <w:color w:val="auto"/>
          <w:szCs w:val="21"/>
          <w:highlight w:val="none"/>
          <w:vertAlign w:val="subscript"/>
        </w:rPr>
        <w:t>O</w:t>
      </w:r>
      <w:r>
        <w:rPr>
          <w:rFonts w:hint="eastAsia" w:ascii="方正仿宋_GB2312" w:hAnsi="方正仿宋_GB2312" w:eastAsia="方正仿宋_GB2312" w:cs="方正仿宋_GB2312"/>
          <w:color w:val="auto"/>
          <w:szCs w:val="21"/>
          <w:highlight w:val="none"/>
        </w:rPr>
        <w:t>---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61E1F5C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A ---定值权重（即不调部分的权重）； </w:t>
      </w:r>
    </w:p>
    <w:p w14:paraId="7820AF2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32" w:name="_Hlk24103184"/>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1</w:t>
      </w:r>
      <w:bookmarkEnd w:id="1232"/>
      <w:r>
        <w:rPr>
          <w:rFonts w:hint="eastAsia" w:ascii="方正仿宋_GB2312" w:hAnsi="方正仿宋_GB2312" w:eastAsia="方正仿宋_GB2312" w:cs="方正仿宋_GB2312"/>
          <w:color w:val="auto"/>
          <w:szCs w:val="21"/>
          <w:highlight w:val="none"/>
        </w:rPr>
        <w:t>；</w:t>
      </w:r>
      <w:bookmarkStart w:id="1233" w:name="_Hlk24103205"/>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2</w:t>
      </w:r>
      <w:bookmarkEnd w:id="1233"/>
      <w:r>
        <w:rPr>
          <w:rFonts w:hint="eastAsia" w:ascii="方正仿宋_GB2312" w:hAnsi="方正仿宋_GB2312" w:eastAsia="方正仿宋_GB2312" w:cs="方正仿宋_GB2312"/>
          <w:color w:val="auto"/>
          <w:szCs w:val="21"/>
          <w:highlight w:val="none"/>
        </w:rPr>
        <w:t>；</w:t>
      </w:r>
      <w:bookmarkStart w:id="1234" w:name="_Hlk24103220"/>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3</w:t>
      </w:r>
      <w:bookmarkEnd w:id="1234"/>
      <w:r>
        <w:rPr>
          <w:rFonts w:hint="eastAsia" w:ascii="方正仿宋_GB2312" w:hAnsi="方正仿宋_GB2312" w:eastAsia="方正仿宋_GB2312" w:cs="方正仿宋_GB2312"/>
          <w:color w:val="auto"/>
          <w:szCs w:val="21"/>
          <w:highlight w:val="none"/>
        </w:rPr>
        <w:t>；……</w:t>
      </w:r>
      <w:bookmarkStart w:id="1235" w:name="_Hlk24103245"/>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n</w:t>
      </w:r>
      <w:bookmarkEnd w:id="1235"/>
      <w:r>
        <w:rPr>
          <w:rFonts w:hint="eastAsia" w:ascii="方正仿宋_GB2312" w:hAnsi="方正仿宋_GB2312" w:eastAsia="方正仿宋_GB2312" w:cs="方正仿宋_GB2312"/>
          <w:color w:val="auto"/>
          <w:szCs w:val="21"/>
          <w:highlight w:val="none"/>
        </w:rPr>
        <w:t>---各可调因子的变值权重（即可调部分的权重）为各可调因子在投标函投标总报价中所占的比例，且A+B</w:t>
      </w:r>
      <w:r>
        <w:rPr>
          <w:rFonts w:hint="eastAsia" w:ascii="方正仿宋_GB2312" w:hAnsi="方正仿宋_GB2312" w:eastAsia="方正仿宋_GB2312" w:cs="方正仿宋_GB2312"/>
          <w:color w:val="auto"/>
          <w:szCs w:val="21"/>
          <w:highlight w:val="none"/>
          <w:vertAlign w:val="subscript"/>
        </w:rPr>
        <w:t>1</w:t>
      </w:r>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2</w:t>
      </w:r>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3</w:t>
      </w:r>
      <w:r>
        <w:rPr>
          <w:rFonts w:hint="eastAsia" w:ascii="方正仿宋_GB2312" w:hAnsi="方正仿宋_GB2312" w:eastAsia="方正仿宋_GB2312" w:cs="方正仿宋_GB2312"/>
          <w:color w:val="auto"/>
          <w:szCs w:val="21"/>
          <w:highlight w:val="none"/>
        </w:rPr>
        <w:t>+……+B</w:t>
      </w:r>
      <w:r>
        <w:rPr>
          <w:rFonts w:hint="eastAsia" w:ascii="方正仿宋_GB2312" w:hAnsi="方正仿宋_GB2312" w:eastAsia="方正仿宋_GB2312" w:cs="方正仿宋_GB2312"/>
          <w:color w:val="auto"/>
          <w:szCs w:val="21"/>
          <w:highlight w:val="none"/>
          <w:vertAlign w:val="subscript"/>
        </w:rPr>
        <w:t>n</w:t>
      </w:r>
      <w:r>
        <w:rPr>
          <w:rFonts w:hint="eastAsia" w:ascii="方正仿宋_GB2312" w:hAnsi="方正仿宋_GB2312" w:eastAsia="方正仿宋_GB2312" w:cs="方正仿宋_GB2312"/>
          <w:color w:val="auto"/>
          <w:szCs w:val="21"/>
          <w:highlight w:val="none"/>
        </w:rPr>
        <w:t>=1；</w:t>
      </w:r>
    </w:p>
    <w:p w14:paraId="2F42B22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t1</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t2</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t3</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tn</w:t>
      </w:r>
      <w:r>
        <w:rPr>
          <w:rFonts w:hint="eastAsia" w:ascii="方正仿宋_GB2312" w:hAnsi="方正仿宋_GB2312" w:eastAsia="方正仿宋_GB2312" w:cs="方正仿宋_GB2312"/>
          <w:color w:val="auto"/>
          <w:szCs w:val="21"/>
          <w:highlight w:val="none"/>
        </w:rPr>
        <w:t>---各可调因子的当期价格指数，指付款证书相关周期最后一天的前42天的各可调因子的价格指数；</w:t>
      </w:r>
    </w:p>
    <w:p w14:paraId="1023B0C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01</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02</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03</w:t>
      </w:r>
      <w:r>
        <w:rPr>
          <w:rFonts w:hint="eastAsia" w:ascii="方正仿宋_GB2312" w:hAnsi="方正仿宋_GB2312" w:eastAsia="方正仿宋_GB2312" w:cs="方正仿宋_GB2312"/>
          <w:color w:val="auto"/>
          <w:szCs w:val="21"/>
          <w:highlight w:val="none"/>
        </w:rPr>
        <w:t>；……F</w:t>
      </w:r>
      <w:r>
        <w:rPr>
          <w:rFonts w:hint="eastAsia" w:ascii="方正仿宋_GB2312" w:hAnsi="方正仿宋_GB2312" w:eastAsia="方正仿宋_GB2312" w:cs="方正仿宋_GB2312"/>
          <w:color w:val="auto"/>
          <w:szCs w:val="21"/>
          <w:highlight w:val="none"/>
          <w:vertAlign w:val="subscript"/>
        </w:rPr>
        <w:t>0n</w:t>
      </w:r>
      <w:r>
        <w:rPr>
          <w:rFonts w:hint="eastAsia" w:ascii="方正仿宋_GB2312" w:hAnsi="方正仿宋_GB2312" w:eastAsia="方正仿宋_GB2312" w:cs="方正仿宋_GB2312"/>
          <w:color w:val="auto"/>
          <w:szCs w:val="21"/>
          <w:highlight w:val="none"/>
        </w:rPr>
        <w:t>---各可调因子的基本价格指数，指基准日期的各可调因子的价格指数。</w:t>
      </w:r>
    </w:p>
    <w:p w14:paraId="72FA105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4630C6E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暂时确定调整差额</w:t>
      </w:r>
    </w:p>
    <w:p w14:paraId="0A24B76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在计算调整差额时得不到当期价格指数的，可暂用上一次价格指数计算，并在以后的付款中再按实际价格指数进行调整。</w:t>
      </w:r>
    </w:p>
    <w:p w14:paraId="2298B7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权重的调整</w:t>
      </w:r>
    </w:p>
    <w:p w14:paraId="43ABAAA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按第13.1款[发包人变更权]约定的变更导致</w:t>
      </w:r>
      <w:r>
        <w:rPr>
          <w:rFonts w:hint="eastAsia" w:ascii="方正仿宋_GB2312" w:hAnsi="方正仿宋_GB2312" w:eastAsia="方正仿宋_GB2312" w:cs="方正仿宋_GB2312"/>
          <w:color w:val="auto"/>
          <w:szCs w:val="21"/>
          <w:highlight w:val="none"/>
          <w:lang w:eastAsia="zh-CN"/>
        </w:rPr>
        <w:t>原</w:t>
      </w:r>
      <w:r>
        <w:rPr>
          <w:rFonts w:hint="eastAsia" w:ascii="方正仿宋_GB2312" w:hAnsi="方正仿宋_GB2312" w:eastAsia="方正仿宋_GB2312" w:cs="方正仿宋_GB2312"/>
          <w:color w:val="auto"/>
          <w:szCs w:val="21"/>
          <w:highlight w:val="none"/>
        </w:rPr>
        <w:t>合同中的权重不合理的，由工程师与承包人和发包人协商后进行调整。</w:t>
      </w:r>
    </w:p>
    <w:p w14:paraId="3E6020B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承包人原因工期延误后的价格调整</w:t>
      </w:r>
    </w:p>
    <w:p w14:paraId="713295C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因承包人原因未在约定的工期内竣工的，则对原约定竣工日期后继续施工的工程，在使用本款第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1</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项价格调整公式时，应采用原约定竣工日期与实际竣工日期的两个价格指数中较低的一个作为当期价格指数。</w:t>
      </w:r>
    </w:p>
    <w:p w14:paraId="544ECFD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发包人引起的工期延误后的价格调整</w:t>
      </w:r>
    </w:p>
    <w:p w14:paraId="6BE8F2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4664C3D3">
      <w:pPr>
        <w:keepNext w:val="0"/>
        <w:keepLines w:val="0"/>
        <w:pageBreakBefore w:val="0"/>
        <w:widowControl w:val="0"/>
        <w:tabs>
          <w:tab w:val="left" w:pos="1134"/>
        </w:tabs>
        <w:kinsoku/>
        <w:wordWrap/>
        <w:overflowPunct/>
        <w:topLinePunct w:val="0"/>
        <w:autoSpaceDE w:val="0"/>
        <w:autoSpaceDN w:val="0"/>
        <w:bidi w:val="0"/>
        <w:adjustRightInd w:val="0"/>
        <w:snapToGrid w:val="0"/>
        <w:spacing w:before="0" w:after="0" w:line="360" w:lineRule="auto"/>
        <w:ind w:left="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13.8.2.2 未列入</w:t>
      </w:r>
      <w:bookmarkStart w:id="1236" w:name="_Hlk24494865"/>
      <w:r>
        <w:rPr>
          <w:rFonts w:hint="eastAsia" w:ascii="方正仿宋_GB2312" w:hAnsi="方正仿宋_GB2312" w:eastAsia="方正仿宋_GB2312" w:cs="方正仿宋_GB2312"/>
          <w:color w:val="auto"/>
          <w:kern w:val="2"/>
          <w:sz w:val="21"/>
          <w:szCs w:val="21"/>
          <w:highlight w:val="none"/>
          <w:lang w:val="en-US" w:eastAsia="zh-CN" w:bidi="ar-SA"/>
        </w:rPr>
        <w:t>《价格指数权重表》</w:t>
      </w:r>
      <w:bookmarkEnd w:id="1236"/>
      <w:r>
        <w:rPr>
          <w:rFonts w:hint="eastAsia" w:ascii="方正仿宋_GB2312" w:hAnsi="方正仿宋_GB2312" w:eastAsia="方正仿宋_GB2312" w:cs="方正仿宋_GB2312"/>
          <w:color w:val="auto"/>
          <w:kern w:val="2"/>
          <w:sz w:val="21"/>
          <w:szCs w:val="21"/>
          <w:highlight w:val="none"/>
          <w:lang w:val="en-US" w:eastAsia="zh-CN" w:bidi="ar-SA"/>
        </w:rPr>
        <w:t>的费用不因市场变化而调整。</w:t>
      </w:r>
    </w:p>
    <w:p w14:paraId="0F676E68">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13.8.3 双方约定采用其他方式调整合同价款的，以专用合同条件约定为准。</w:t>
      </w:r>
    </w:p>
    <w:p w14:paraId="015EC81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237" w:name="_Toc54862291"/>
      <w:bookmarkStart w:id="1238" w:name="_Toc6888"/>
      <w:bookmarkStart w:id="1239" w:name="_Ref531955880"/>
      <w:bookmarkStart w:id="1240" w:name="_Ref531955885"/>
      <w:r>
        <w:rPr>
          <w:rFonts w:hint="eastAsia" w:ascii="方正仿宋_GB2312" w:hAnsi="方正仿宋_GB2312" w:eastAsia="方正仿宋_GB2312" w:cs="方正仿宋_GB2312"/>
          <w:b w:val="0"/>
          <w:bCs/>
          <w:color w:val="auto"/>
          <w:kern w:val="2"/>
          <w:sz w:val="28"/>
          <w:szCs w:val="28"/>
          <w:highlight w:val="none"/>
          <w:lang w:val="en-US" w:eastAsia="zh-CN" w:bidi="ar-SA"/>
        </w:rPr>
        <w:t>第14条 合同价格与支付</w:t>
      </w:r>
      <w:bookmarkEnd w:id="1237"/>
      <w:bookmarkEnd w:id="1238"/>
      <w:bookmarkEnd w:id="1239"/>
      <w:bookmarkEnd w:id="1240"/>
    </w:p>
    <w:p w14:paraId="5996346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41" w:name="_Ref4431521"/>
      <w:bookmarkStart w:id="1242" w:name="_Toc54862292"/>
      <w:bookmarkStart w:id="1243" w:name="_Toc19043"/>
      <w:bookmarkStart w:id="1244" w:name="_Ref4431531"/>
      <w:r>
        <w:rPr>
          <w:rFonts w:hint="eastAsia" w:ascii="方正仿宋_GB2312" w:hAnsi="方正仿宋_GB2312" w:eastAsia="方正仿宋_GB2312" w:cs="方正仿宋_GB2312"/>
          <w:b w:val="0"/>
          <w:bCs/>
          <w:color w:val="auto"/>
          <w:kern w:val="2"/>
          <w:sz w:val="21"/>
          <w:szCs w:val="21"/>
          <w:highlight w:val="none"/>
          <w:lang w:val="en-US" w:eastAsia="zh-CN" w:bidi="ar-SA"/>
        </w:rPr>
        <w:t>14.1 合同价格形式</w:t>
      </w:r>
      <w:bookmarkEnd w:id="1241"/>
      <w:bookmarkEnd w:id="1242"/>
      <w:bookmarkEnd w:id="1243"/>
      <w:bookmarkEnd w:id="1244"/>
    </w:p>
    <w:p w14:paraId="02C456A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14.1.1 除专用合同条件中另有约定外，本合同为总价合同，除根据第13条[变更与调整]，以及合同中其他相关增减金额的约定进行调整外，合同价格不作调整。</w:t>
      </w:r>
    </w:p>
    <w:p w14:paraId="6052132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14.1.2 除专用合同条件另有约定外：</w:t>
      </w:r>
    </w:p>
    <w:p w14:paraId="049BA42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工程款的支付应以合同协议书约定的签约合同价格为基础，按照合同约定进行调整；</w:t>
      </w:r>
    </w:p>
    <w:p w14:paraId="6120621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承包人应支付根据法律规定或合同约定应由其支付的各项税费，除第13.7款[法律变化引起的调整]约定外，合同价格不应因任何这些税费进行调整；</w:t>
      </w:r>
    </w:p>
    <w:p w14:paraId="025A506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39C4D05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14.1.3 合同约定工程的某部分按照实际完成的工程量进行支付的，应按照专用合同条件的约定进行计量和估价，并据此调整合同价格。</w:t>
      </w:r>
    </w:p>
    <w:p w14:paraId="5625B5F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45" w:name="_Ref531956881"/>
      <w:bookmarkStart w:id="1246" w:name="_Toc12032"/>
      <w:bookmarkStart w:id="1247" w:name="_Toc54862293"/>
      <w:bookmarkStart w:id="1248" w:name="_Ref531956884"/>
      <w:r>
        <w:rPr>
          <w:rFonts w:hint="eastAsia" w:ascii="方正仿宋_GB2312" w:hAnsi="方正仿宋_GB2312" w:eastAsia="方正仿宋_GB2312" w:cs="方正仿宋_GB2312"/>
          <w:b w:val="0"/>
          <w:bCs/>
          <w:color w:val="auto"/>
          <w:kern w:val="2"/>
          <w:sz w:val="21"/>
          <w:szCs w:val="21"/>
          <w:highlight w:val="none"/>
          <w:lang w:val="en-US" w:eastAsia="zh-CN" w:bidi="ar-SA"/>
        </w:rPr>
        <w:t>14.2 预付款</w:t>
      </w:r>
      <w:bookmarkEnd w:id="1245"/>
      <w:bookmarkEnd w:id="1246"/>
      <w:bookmarkEnd w:id="1247"/>
      <w:bookmarkEnd w:id="1248"/>
    </w:p>
    <w:p w14:paraId="590B943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14.2.1 预付款支付</w:t>
      </w:r>
    </w:p>
    <w:p w14:paraId="2FAE8D4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预付款的额度和支付按照专用合同条件约定执行。预付款应当专用于承包人为合同工程的设计和工程实施购置材料、工程设备、施工设备、修建临时设施以及组织施工队伍进场等合同工作。</w:t>
      </w:r>
    </w:p>
    <w:p w14:paraId="67ACAEC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除专用合同条件另有约定外，预付款在进度付款中同比例扣回。在颁发工程接收证书前，提前解除合同的，尚未扣完的预付款应与合同价款一并结算。</w:t>
      </w:r>
    </w:p>
    <w:p w14:paraId="6B89F8C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发包人逾期支付预付款超过7天的，承包人有权向发包人发出要求预付的催告通知，发包人收到通知后7天内仍未支付的，承包人有权暂停施工，并按第15.1.1项[发包人违约的情形]执行。</w:t>
      </w:r>
    </w:p>
    <w:p w14:paraId="074DBB1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49" w:name="_Ref531956907"/>
      <w:bookmarkStart w:id="1250" w:name="_Ref4797624"/>
      <w:bookmarkStart w:id="1251" w:name="_Hlk54429963"/>
      <w:r>
        <w:rPr>
          <w:rFonts w:hint="eastAsia" w:ascii="方正仿宋_GB2312" w:hAnsi="方正仿宋_GB2312" w:eastAsia="方正仿宋_GB2312" w:cs="方正仿宋_GB2312"/>
          <w:color w:val="auto"/>
          <w:kern w:val="2"/>
          <w:sz w:val="21"/>
          <w:szCs w:val="21"/>
          <w:highlight w:val="none"/>
          <w:lang w:val="en-US" w:eastAsia="zh-CN" w:bidi="ar-SA"/>
        </w:rPr>
        <w:t>14.2.2 预付款</w:t>
      </w:r>
      <w:bookmarkEnd w:id="1249"/>
      <w:r>
        <w:rPr>
          <w:rFonts w:hint="eastAsia" w:ascii="方正仿宋_GB2312" w:hAnsi="方正仿宋_GB2312" w:eastAsia="方正仿宋_GB2312" w:cs="方正仿宋_GB2312"/>
          <w:color w:val="auto"/>
          <w:kern w:val="2"/>
          <w:sz w:val="21"/>
          <w:szCs w:val="21"/>
          <w:highlight w:val="none"/>
          <w:lang w:val="en-US" w:eastAsia="zh-CN" w:bidi="ar-SA"/>
        </w:rPr>
        <w:t>担保</w:t>
      </w:r>
      <w:bookmarkEnd w:id="1250"/>
    </w:p>
    <w:bookmarkEnd w:id="1251"/>
    <w:p w14:paraId="54DC2B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721487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发包人在工程款中逐期扣回预付款后，预付款担保额度应相应减少，但剩余的预付款担保金额不得低于未被扣回的预付款金额。</w:t>
      </w:r>
    </w:p>
    <w:p w14:paraId="41BA89C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52" w:name="_Toc4784194"/>
      <w:bookmarkEnd w:id="1252"/>
      <w:bookmarkStart w:id="1253" w:name="_Toc4784193"/>
      <w:bookmarkEnd w:id="1253"/>
      <w:bookmarkStart w:id="1254" w:name="_Toc4784195"/>
      <w:bookmarkEnd w:id="1254"/>
      <w:bookmarkStart w:id="1255" w:name="_Ref531956963"/>
      <w:bookmarkStart w:id="1256" w:name="_Ref4623398"/>
      <w:bookmarkStart w:id="1257" w:name="_Toc20587"/>
      <w:bookmarkStart w:id="1258" w:name="_Ref531956967"/>
      <w:bookmarkStart w:id="1259" w:name="_Toc54862294"/>
      <w:r>
        <w:rPr>
          <w:rFonts w:hint="eastAsia" w:ascii="方正仿宋_GB2312" w:hAnsi="方正仿宋_GB2312" w:eastAsia="方正仿宋_GB2312" w:cs="方正仿宋_GB2312"/>
          <w:b w:val="0"/>
          <w:bCs/>
          <w:color w:val="auto"/>
          <w:kern w:val="2"/>
          <w:sz w:val="21"/>
          <w:szCs w:val="21"/>
          <w:highlight w:val="none"/>
          <w:lang w:val="en-US" w:eastAsia="zh-CN" w:bidi="ar-SA"/>
        </w:rPr>
        <w:t>14.3 工程进度款</w:t>
      </w:r>
      <w:bookmarkEnd w:id="1255"/>
      <w:bookmarkEnd w:id="1256"/>
      <w:bookmarkEnd w:id="1257"/>
      <w:bookmarkEnd w:id="1258"/>
      <w:bookmarkEnd w:id="1259"/>
    </w:p>
    <w:p w14:paraId="370F6E0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60" w:name="_Ref531956987"/>
      <w:bookmarkStart w:id="1261" w:name="_Ref532679934"/>
      <w:r>
        <w:rPr>
          <w:rFonts w:hint="eastAsia" w:ascii="方正仿宋_GB2312" w:hAnsi="方正仿宋_GB2312" w:eastAsia="方正仿宋_GB2312" w:cs="方正仿宋_GB2312"/>
          <w:color w:val="auto"/>
          <w:kern w:val="2"/>
          <w:sz w:val="21"/>
          <w:szCs w:val="21"/>
          <w:highlight w:val="none"/>
          <w:lang w:val="en-US" w:eastAsia="zh-CN" w:bidi="ar-SA"/>
        </w:rPr>
        <w:t>14.3.1 工程进度付款申请</w:t>
      </w:r>
      <w:bookmarkEnd w:id="1260"/>
      <w:bookmarkEnd w:id="1261"/>
    </w:p>
    <w:p w14:paraId="0FE8CB2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（1）人工费的申请</w:t>
      </w:r>
    </w:p>
    <w:p w14:paraId="322E6B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3FDEF9D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（2）除专用合同条件另有约定外，承包人应在每月月末向工程师提交进度付款申请单，该进度付款申请单应包括下列内容：</w:t>
      </w:r>
    </w:p>
    <w:p w14:paraId="1AE8B6B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62" w:name="_Ref24496054"/>
      <w:r>
        <w:rPr>
          <w:rFonts w:hint="eastAsia" w:ascii="方正仿宋_GB2312" w:hAnsi="方正仿宋_GB2312" w:eastAsia="方正仿宋_GB2312" w:cs="方正仿宋_GB2312"/>
          <w:color w:val="auto"/>
          <w:szCs w:val="21"/>
          <w:highlight w:val="none"/>
        </w:rPr>
        <w:t>1） 截至本次付款周期内已完成工作对应的金额；</w:t>
      </w:r>
      <w:bookmarkEnd w:id="1262"/>
    </w:p>
    <w:p w14:paraId="005B827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扣除依据本款第（1）目约定中已扣除的人工费金额；</w:t>
      </w:r>
    </w:p>
    <w:p w14:paraId="0DDE691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根据第13条[变更与调整]应增加和扣减的变更金额；</w:t>
      </w:r>
    </w:p>
    <w:p w14:paraId="59CDEBB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根据第14.2款[预付款]约定应支付的预付款和扣减的返还预付款；</w:t>
      </w:r>
    </w:p>
    <w:p w14:paraId="5779502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根据第14.6.2项[质量保证金的预留]约定应预留的质量保证金金额；</w:t>
      </w:r>
    </w:p>
    <w:p w14:paraId="2A90053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根据第19条[索赔]应增加和扣减的索赔金额；</w:t>
      </w:r>
    </w:p>
    <w:p w14:paraId="30FAA0E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对已签发的进度款支付证书中出现错误的修正，应在本次进度付款中支付或扣除的金额；</w:t>
      </w:r>
    </w:p>
    <w:p w14:paraId="15CE952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根据合同约定应增加和扣减的其他金额。</w:t>
      </w:r>
    </w:p>
    <w:p w14:paraId="6BFC496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63" w:name="_Ref531957608"/>
      <w:r>
        <w:rPr>
          <w:rFonts w:hint="eastAsia" w:ascii="方正仿宋_GB2312" w:hAnsi="方正仿宋_GB2312" w:eastAsia="方正仿宋_GB2312" w:cs="方正仿宋_GB2312"/>
          <w:color w:val="auto"/>
          <w:kern w:val="2"/>
          <w:sz w:val="21"/>
          <w:szCs w:val="21"/>
          <w:highlight w:val="none"/>
          <w:lang w:val="en-US" w:eastAsia="zh-CN" w:bidi="ar-SA"/>
        </w:rPr>
        <w:t>14.3.2 进度付款审核和支付</w:t>
      </w:r>
      <w:bookmarkEnd w:id="1263"/>
    </w:p>
    <w:p w14:paraId="0649ECD5">
      <w:pPr>
        <w:keepNext w:val="0"/>
        <w:keepLines w:val="0"/>
        <w:pageBreakBefore w:val="0"/>
        <w:widowControl w:val="0"/>
        <w:tabs>
          <w:tab w:val="left" w:pos="993"/>
        </w:tabs>
        <w:kinsoku/>
        <w:wordWrap/>
        <w:overflowPunct/>
        <w:topLinePunct w:val="0"/>
        <w:bidi w:val="0"/>
        <w:snapToGrid w:val="0"/>
        <w:spacing w:before="0" w:after="0" w:line="360" w:lineRule="auto"/>
        <w:ind w:left="0" w:firstLine="420" w:firstLineChars="20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700EC7D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1CB75C61">
      <w:pPr>
        <w:keepNext w:val="0"/>
        <w:keepLines w:val="0"/>
        <w:pageBreakBefore w:val="0"/>
        <w:widowControl w:val="0"/>
        <w:tabs>
          <w:tab w:val="left" w:pos="993"/>
        </w:tabs>
        <w:kinsoku/>
        <w:wordWrap/>
        <w:overflowPunct/>
        <w:topLinePunct w:val="0"/>
        <w:bidi w:val="0"/>
        <w:snapToGrid w:val="0"/>
        <w:spacing w:before="0" w:after="0" w:line="360" w:lineRule="auto"/>
        <w:ind w:left="0" w:firstLine="420" w:firstLineChars="20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6427049D">
      <w:pPr>
        <w:keepNext w:val="0"/>
        <w:keepLines w:val="0"/>
        <w:pageBreakBefore w:val="0"/>
        <w:widowControl w:val="0"/>
        <w:tabs>
          <w:tab w:val="left" w:pos="993"/>
        </w:tabs>
        <w:kinsoku/>
        <w:wordWrap/>
        <w:overflowPunct/>
        <w:topLinePunct w:val="0"/>
        <w:bidi w:val="0"/>
        <w:snapToGrid w:val="0"/>
        <w:spacing w:before="0" w:after="0" w:line="360" w:lineRule="auto"/>
        <w:ind w:left="0" w:firstLine="420" w:firstLineChars="200"/>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发包人签发进度款支付证书，不表明发包人已同意、批准或接受了承包人完成的相应部分的工作。</w:t>
      </w:r>
    </w:p>
    <w:p w14:paraId="2A35FF2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64" w:name="_Ref531957023"/>
      <w:r>
        <w:rPr>
          <w:rFonts w:hint="eastAsia" w:ascii="方正仿宋_GB2312" w:hAnsi="方正仿宋_GB2312" w:eastAsia="方正仿宋_GB2312" w:cs="方正仿宋_GB2312"/>
          <w:color w:val="auto"/>
          <w:kern w:val="2"/>
          <w:sz w:val="21"/>
          <w:szCs w:val="21"/>
          <w:highlight w:val="none"/>
          <w:lang w:val="en-US" w:eastAsia="zh-CN" w:bidi="ar-SA"/>
        </w:rPr>
        <w:t>14.3.3 进度付款的修正</w:t>
      </w:r>
      <w:bookmarkEnd w:id="1264"/>
    </w:p>
    <w:p w14:paraId="099920B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在对已签发的进度款支付证书进行阶段汇总和复核中发现错误、遗漏或重复的，发包人和承包人均有权提出修正申请。经发包人和承包人同意的修正，应在下期进度付款中支付或扣除。</w:t>
      </w:r>
    </w:p>
    <w:p w14:paraId="4E88632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65" w:name="_Ref4538578"/>
      <w:bookmarkStart w:id="1266" w:name="_Toc54862295"/>
      <w:bookmarkStart w:id="1267" w:name="_Toc17686"/>
      <w:bookmarkStart w:id="1268" w:name="_Ref536647814"/>
      <w:bookmarkStart w:id="1269" w:name="_Ref536647822"/>
      <w:r>
        <w:rPr>
          <w:rFonts w:hint="eastAsia" w:ascii="方正仿宋_GB2312" w:hAnsi="方正仿宋_GB2312" w:eastAsia="方正仿宋_GB2312" w:cs="方正仿宋_GB2312"/>
          <w:b w:val="0"/>
          <w:bCs/>
          <w:color w:val="auto"/>
          <w:kern w:val="2"/>
          <w:sz w:val="21"/>
          <w:szCs w:val="21"/>
          <w:highlight w:val="none"/>
          <w:lang w:val="en-US" w:eastAsia="zh-CN" w:bidi="ar-SA"/>
        </w:rPr>
        <w:t>14.4 付款计划表</w:t>
      </w:r>
      <w:bookmarkEnd w:id="1265"/>
      <w:bookmarkEnd w:id="1266"/>
      <w:bookmarkEnd w:id="1267"/>
    </w:p>
    <w:p w14:paraId="2A1D876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70" w:name="_Ref4570974"/>
      <w:r>
        <w:rPr>
          <w:rFonts w:hint="eastAsia" w:ascii="方正仿宋_GB2312" w:hAnsi="方正仿宋_GB2312" w:eastAsia="方正仿宋_GB2312" w:cs="方正仿宋_GB2312"/>
          <w:color w:val="auto"/>
          <w:kern w:val="2"/>
          <w:sz w:val="21"/>
          <w:szCs w:val="21"/>
          <w:highlight w:val="none"/>
          <w:lang w:val="en-US" w:eastAsia="zh-CN" w:bidi="ar-SA"/>
        </w:rPr>
        <w:t>14.4.1 付款计划表的编制要求</w:t>
      </w:r>
      <w:bookmarkEnd w:id="1270"/>
    </w:p>
    <w:p w14:paraId="1647670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除专用合同条件另有约定外，付款计划表按如下要求编制：</w:t>
      </w:r>
    </w:p>
    <w:p w14:paraId="6620810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付款计划表中所列的每期付款金额，应为第14.3.1项[工程进度付款申请]每期进度款的估算金额；</w:t>
      </w:r>
    </w:p>
    <w:p w14:paraId="5ACEE1C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实际进度与项目进度计划不一致的，合同当事人可按照第3.6款[商定或确定]修改付款计划表；</w:t>
      </w:r>
    </w:p>
    <w:p w14:paraId="5EEF869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不采用付款计划表的，承包人应向工程师提交按季度编制的支付估算付款计划表，用于支付参考。</w:t>
      </w:r>
    </w:p>
    <w:p w14:paraId="6D96A70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71" w:name="_Ref4571011"/>
      <w:r>
        <w:rPr>
          <w:rFonts w:hint="eastAsia" w:ascii="方正仿宋_GB2312" w:hAnsi="方正仿宋_GB2312" w:eastAsia="方正仿宋_GB2312" w:cs="方正仿宋_GB2312"/>
          <w:color w:val="auto"/>
          <w:kern w:val="2"/>
          <w:sz w:val="21"/>
          <w:szCs w:val="21"/>
          <w:highlight w:val="none"/>
          <w:lang w:val="en-US" w:eastAsia="zh-CN" w:bidi="ar-SA"/>
        </w:rPr>
        <w:t>14.4.2 付款计划表的编制与审批</w:t>
      </w:r>
      <w:bookmarkEnd w:id="1271"/>
    </w:p>
    <w:p w14:paraId="6C4BD11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w:t>
      </w:r>
      <w:r>
        <w:rPr>
          <w:rFonts w:hint="eastAsia" w:ascii="方正仿宋_GB2312" w:hAnsi="方正仿宋_GB2312" w:eastAsia="方正仿宋_GB2312" w:cs="方正仿宋_GB2312"/>
          <w:color w:val="auto"/>
          <w:szCs w:val="21"/>
          <w:highlight w:val="none"/>
          <w:lang w:eastAsia="zh-CN"/>
        </w:rPr>
        <w:t>期限</w:t>
      </w:r>
      <w:r>
        <w:rPr>
          <w:rFonts w:hint="eastAsia" w:ascii="方正仿宋_GB2312" w:hAnsi="方正仿宋_GB2312" w:eastAsia="方正仿宋_GB2312" w:cs="方正仿宋_GB2312"/>
          <w:color w:val="auto"/>
          <w:szCs w:val="21"/>
          <w:highlight w:val="none"/>
        </w:rPr>
        <w:t>和付款计划。承包人应当在收到工程师和发包人批准的项目进度计划后7天内，将付款计划表及编制付款计划表的支持性资料报送工程师。</w:t>
      </w:r>
    </w:p>
    <w:p w14:paraId="4E0F11A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工程师应在收到付款计划表后7天内完成审核并报送发包人。发包人应在收到经工程师审核的付款计划表后7天内完成审批，经发包人批准的付款计划表为有约束力的付款计划表。</w:t>
      </w:r>
    </w:p>
    <w:p w14:paraId="08E987F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发包人逾期未完成付款计划表审批的，也未及时要求承包人进行修正和提供补充资料的，则承包人提交的付款计划表视为已经获得发包人批准。</w:t>
      </w:r>
    </w:p>
    <w:p w14:paraId="4D8AC801">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72" w:name="_Toc54862296"/>
      <w:bookmarkStart w:id="1273" w:name="_Toc18502"/>
      <w:bookmarkStart w:id="1274" w:name="_Ref4538634"/>
      <w:r>
        <w:rPr>
          <w:rFonts w:hint="eastAsia" w:ascii="方正仿宋_GB2312" w:hAnsi="方正仿宋_GB2312" w:eastAsia="方正仿宋_GB2312" w:cs="方正仿宋_GB2312"/>
          <w:b w:val="0"/>
          <w:bCs/>
          <w:color w:val="auto"/>
          <w:kern w:val="2"/>
          <w:sz w:val="21"/>
          <w:szCs w:val="21"/>
          <w:highlight w:val="none"/>
          <w:lang w:val="en-US" w:eastAsia="zh-CN" w:bidi="ar-SA"/>
        </w:rPr>
        <w:t>14.5 竣工结算</w:t>
      </w:r>
      <w:bookmarkEnd w:id="1272"/>
      <w:bookmarkEnd w:id="1273"/>
      <w:bookmarkEnd w:id="1274"/>
    </w:p>
    <w:p w14:paraId="4D9AB60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75" w:name="_Ref4571361"/>
      <w:r>
        <w:rPr>
          <w:rFonts w:hint="eastAsia" w:ascii="方正仿宋_GB2312" w:hAnsi="方正仿宋_GB2312" w:eastAsia="方正仿宋_GB2312" w:cs="方正仿宋_GB2312"/>
          <w:color w:val="auto"/>
          <w:kern w:val="2"/>
          <w:sz w:val="21"/>
          <w:szCs w:val="21"/>
          <w:highlight w:val="none"/>
          <w:lang w:val="en-US" w:eastAsia="zh-CN" w:bidi="ar-SA"/>
        </w:rPr>
        <w:t>14.5.1 竣工结算申请</w:t>
      </w:r>
      <w:bookmarkEnd w:id="1275"/>
    </w:p>
    <w:p w14:paraId="371CA07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00883A1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除专用合同条件另有约定外，竣工结算申请单应包括以下内容：</w:t>
      </w:r>
    </w:p>
    <w:p w14:paraId="6B71782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竣工结算合同价格；</w:t>
      </w:r>
    </w:p>
    <w:p w14:paraId="607B0AC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发包人已支付承包人的款项；</w:t>
      </w:r>
    </w:p>
    <w:p w14:paraId="565168C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0E47017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发包人应支付承包人的合同价款。</w:t>
      </w:r>
    </w:p>
    <w:p w14:paraId="2B7E7D3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76" w:name="_Ref4571384"/>
      <w:r>
        <w:rPr>
          <w:rFonts w:hint="eastAsia" w:ascii="方正仿宋_GB2312" w:hAnsi="方正仿宋_GB2312" w:eastAsia="方正仿宋_GB2312" w:cs="方正仿宋_GB2312"/>
          <w:color w:val="auto"/>
          <w:kern w:val="2"/>
          <w:sz w:val="21"/>
          <w:szCs w:val="21"/>
          <w:highlight w:val="none"/>
          <w:lang w:val="en-US" w:eastAsia="zh-CN" w:bidi="ar-SA"/>
        </w:rPr>
        <w:t>14.5.2 竣工结算审核</w:t>
      </w:r>
      <w:bookmarkEnd w:id="1276"/>
    </w:p>
    <w:p w14:paraId="2B5C2EF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49FED56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5F0779F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77" w:name="_Ref4618006"/>
      <w:r>
        <w:rPr>
          <w:rFonts w:hint="eastAsia" w:ascii="方正仿宋_GB2312" w:hAnsi="方正仿宋_GB2312" w:eastAsia="方正仿宋_GB2312" w:cs="方正仿宋_GB2312"/>
          <w:color w:val="auto"/>
          <w:szCs w:val="21"/>
          <w:highlight w:val="none"/>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1277"/>
    </w:p>
    <w:p w14:paraId="3625E6C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343A4485">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78" w:name="_Ref15484305"/>
      <w:r>
        <w:rPr>
          <w:rFonts w:hint="eastAsia" w:ascii="方正仿宋_GB2312" w:hAnsi="方正仿宋_GB2312" w:eastAsia="方正仿宋_GB2312" w:cs="方正仿宋_GB2312"/>
          <w:color w:val="auto"/>
          <w:kern w:val="2"/>
          <w:sz w:val="21"/>
          <w:szCs w:val="21"/>
          <w:highlight w:val="none"/>
          <w:lang w:val="en-US" w:eastAsia="zh-CN" w:bidi="ar-SA"/>
        </w:rPr>
        <w:t>14.5.3 扫尾工作清单</w:t>
      </w:r>
      <w:bookmarkEnd w:id="1278"/>
    </w:p>
    <w:p w14:paraId="658B0C6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经双方协商，部分工作在工程竣工验收后进行的，承包人应当编制扫尾工作清单，扫尾工作清单中应当列明承包人应当完成的扫尾工作的内容及完成时间。</w:t>
      </w:r>
    </w:p>
    <w:p w14:paraId="677DB9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承包人完成扫尾工作清单中的内容应取得的费用包含在第14.5.1项[竣工结算申请]及第14.5.2项[竣工结算审核]中一并结算。</w:t>
      </w:r>
    </w:p>
    <w:p w14:paraId="060B077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扫尾工作的缺陷责任期按第11条[缺陷责任与保修]处理。承包人未能按照扫尾工作清单约定的完成时间完成扫尾工作的，视为承包人原因导致的工程质量缺陷按照第11.3款[缺陷调查]处理。</w:t>
      </w:r>
    </w:p>
    <w:p w14:paraId="5FC1326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279" w:name="_Ref4617582"/>
      <w:bookmarkStart w:id="1280" w:name="_Ref4571127"/>
      <w:bookmarkStart w:id="1281" w:name="_Toc5970"/>
      <w:bookmarkStart w:id="1282" w:name="_Ref15395020"/>
      <w:bookmarkStart w:id="1283" w:name="_Toc54862297"/>
      <w:bookmarkStart w:id="1284" w:name="_Ref4571100"/>
      <w:bookmarkStart w:id="1285" w:name="_Ref4617592"/>
      <w:bookmarkStart w:id="1286" w:name="_Ref4582115"/>
      <w:bookmarkStart w:id="1287" w:name="_Hlk15394931"/>
      <w:r>
        <w:rPr>
          <w:rFonts w:hint="eastAsia" w:ascii="方正仿宋_GB2312" w:hAnsi="方正仿宋_GB2312" w:eastAsia="方正仿宋_GB2312" w:cs="方正仿宋_GB2312"/>
          <w:b w:val="0"/>
          <w:bCs/>
          <w:color w:val="auto"/>
          <w:kern w:val="2"/>
          <w:sz w:val="21"/>
          <w:szCs w:val="21"/>
          <w:highlight w:val="none"/>
          <w:lang w:val="en-US" w:eastAsia="zh-CN" w:bidi="ar-SA"/>
        </w:rPr>
        <w:t>14.6 质量保证金</w:t>
      </w:r>
      <w:bookmarkEnd w:id="1268"/>
      <w:bookmarkEnd w:id="1269"/>
      <w:bookmarkEnd w:id="1279"/>
      <w:bookmarkEnd w:id="1280"/>
      <w:bookmarkEnd w:id="1281"/>
      <w:bookmarkEnd w:id="1282"/>
      <w:bookmarkEnd w:id="1283"/>
      <w:bookmarkEnd w:id="1284"/>
      <w:bookmarkEnd w:id="1285"/>
      <w:bookmarkEnd w:id="1286"/>
    </w:p>
    <w:p w14:paraId="6700919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经合同当事人协商一致提供质量保证金的，应在专用合同条件中予以明确。在工程项目竣工前，承包人已经提供履约担保的，发包人不得同时要求承包人提供质量保证金。</w:t>
      </w:r>
    </w:p>
    <w:bookmarkEnd w:id="1287"/>
    <w:p w14:paraId="09A73A1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88" w:name="_Ref531955069"/>
      <w:bookmarkStart w:id="1289" w:name="_Ref531957153"/>
      <w:r>
        <w:rPr>
          <w:rFonts w:hint="eastAsia" w:ascii="方正仿宋_GB2312" w:hAnsi="方正仿宋_GB2312" w:eastAsia="方正仿宋_GB2312" w:cs="方正仿宋_GB2312"/>
          <w:color w:val="auto"/>
          <w:kern w:val="2"/>
          <w:sz w:val="21"/>
          <w:szCs w:val="21"/>
          <w:highlight w:val="none"/>
          <w:lang w:val="en-US" w:eastAsia="zh-CN" w:bidi="ar-SA"/>
        </w:rPr>
        <w:t>14.6.1 承包人提供质量保证金的方式</w:t>
      </w:r>
      <w:bookmarkEnd w:id="1288"/>
    </w:p>
    <w:p w14:paraId="3C8C932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承包人提供质量保证金有以下三种方式：</w:t>
      </w:r>
    </w:p>
    <w:p w14:paraId="6792F5F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0" w:name="_Ref531955096"/>
      <w:r>
        <w:rPr>
          <w:rFonts w:hint="eastAsia" w:ascii="方正仿宋_GB2312" w:hAnsi="方正仿宋_GB2312" w:eastAsia="方正仿宋_GB2312" w:cs="方正仿宋_GB2312"/>
          <w:color w:val="auto"/>
          <w:szCs w:val="21"/>
          <w:highlight w:val="none"/>
        </w:rPr>
        <w:t>（1） 提交工程质量保证担保；</w:t>
      </w:r>
      <w:bookmarkEnd w:id="1290"/>
    </w:p>
    <w:p w14:paraId="1598592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1" w:name="_Ref531955107"/>
      <w:r>
        <w:rPr>
          <w:rFonts w:hint="eastAsia" w:ascii="方正仿宋_GB2312" w:hAnsi="方正仿宋_GB2312" w:eastAsia="方正仿宋_GB2312" w:cs="方正仿宋_GB2312"/>
          <w:color w:val="auto"/>
          <w:szCs w:val="21"/>
          <w:highlight w:val="none"/>
        </w:rPr>
        <w:t>（2） 预留相应比例的工程款；</w:t>
      </w:r>
      <w:bookmarkEnd w:id="1291"/>
    </w:p>
    <w:p w14:paraId="4175994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2" w:name="_Ref531955117"/>
      <w:r>
        <w:rPr>
          <w:rFonts w:hint="eastAsia" w:ascii="方正仿宋_GB2312" w:hAnsi="方正仿宋_GB2312" w:eastAsia="方正仿宋_GB2312" w:cs="方正仿宋_GB2312"/>
          <w:color w:val="auto"/>
          <w:szCs w:val="21"/>
          <w:highlight w:val="none"/>
        </w:rPr>
        <w:t>（3） 双方约定的其他方式。</w:t>
      </w:r>
      <w:bookmarkEnd w:id="1292"/>
    </w:p>
    <w:p w14:paraId="1848E0B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2%。</w:t>
      </w:r>
    </w:p>
    <w:p w14:paraId="3ED5B5B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93" w:name="_Ref15419738"/>
      <w:bookmarkStart w:id="1294" w:name="_Ref18931667"/>
      <w:r>
        <w:rPr>
          <w:rFonts w:hint="eastAsia" w:ascii="方正仿宋_GB2312" w:hAnsi="方正仿宋_GB2312" w:eastAsia="方正仿宋_GB2312" w:cs="方正仿宋_GB2312"/>
          <w:color w:val="auto"/>
          <w:kern w:val="2"/>
          <w:sz w:val="21"/>
          <w:szCs w:val="21"/>
          <w:highlight w:val="none"/>
          <w:lang w:val="en-US" w:eastAsia="zh-CN" w:bidi="ar-SA"/>
        </w:rPr>
        <w:t>14.6.2 质量保证金的预留</w:t>
      </w:r>
      <w:bookmarkEnd w:id="1293"/>
      <w:bookmarkEnd w:id="1294"/>
    </w:p>
    <w:p w14:paraId="55A3533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双方约定采用预留相应比例的工程款方式提供质量保证金的，质量保证金的预留有以下三种方式：</w:t>
      </w:r>
    </w:p>
    <w:p w14:paraId="5D38D20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5" w:name="_Hlk18840714"/>
      <w:bookmarkStart w:id="1296" w:name="_Ref531955143"/>
      <w:r>
        <w:rPr>
          <w:rFonts w:hint="eastAsia" w:ascii="方正仿宋_GB2312" w:hAnsi="方正仿宋_GB2312" w:eastAsia="方正仿宋_GB2312" w:cs="方正仿宋_GB2312"/>
          <w:color w:val="auto"/>
          <w:szCs w:val="21"/>
          <w:highlight w:val="none"/>
        </w:rPr>
        <w:t>（1） 按专用合同条件的约定在支付工程进度款时逐次预留，直至预留的质量保证金总额达到专用合同条件约定的金额或比例为止</w:t>
      </w:r>
      <w:bookmarkEnd w:id="1295"/>
      <w:r>
        <w:rPr>
          <w:rFonts w:hint="eastAsia" w:ascii="方正仿宋_GB2312" w:hAnsi="方正仿宋_GB2312" w:eastAsia="方正仿宋_GB2312" w:cs="方正仿宋_GB2312"/>
          <w:color w:val="auto"/>
          <w:szCs w:val="21"/>
          <w:highlight w:val="none"/>
        </w:rPr>
        <w:t>。在此情形下，质量保证金的计算基数不包括预付款的支付、扣回以及价格调整的金额；</w:t>
      </w:r>
      <w:bookmarkEnd w:id="1296"/>
    </w:p>
    <w:p w14:paraId="5126509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7" w:name="_Ref531955151"/>
      <w:r>
        <w:rPr>
          <w:rFonts w:hint="eastAsia" w:ascii="方正仿宋_GB2312" w:hAnsi="方正仿宋_GB2312" w:eastAsia="方正仿宋_GB2312" w:cs="方正仿宋_GB2312"/>
          <w:color w:val="auto"/>
          <w:szCs w:val="21"/>
          <w:highlight w:val="none"/>
        </w:rPr>
        <w:t>（2） 工程竣工结算时一次性预留质量保证金；</w:t>
      </w:r>
      <w:bookmarkEnd w:id="1297"/>
    </w:p>
    <w:p w14:paraId="0F91259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298" w:name="_Ref531955161"/>
      <w:r>
        <w:rPr>
          <w:rFonts w:hint="eastAsia" w:ascii="方正仿宋_GB2312" w:hAnsi="方正仿宋_GB2312" w:eastAsia="方正仿宋_GB2312" w:cs="方正仿宋_GB2312"/>
          <w:color w:val="auto"/>
          <w:szCs w:val="21"/>
          <w:highlight w:val="none"/>
        </w:rPr>
        <w:t>（3） 双方约定的其他预留方式。</w:t>
      </w:r>
      <w:bookmarkEnd w:id="1298"/>
    </w:p>
    <w:p w14:paraId="2D2D7E1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73E8F60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299" w:name="_Ref532690096"/>
      <w:bookmarkStart w:id="1300" w:name="_Ref4571243"/>
      <w:r>
        <w:rPr>
          <w:rFonts w:hint="eastAsia" w:ascii="方正仿宋_GB2312" w:hAnsi="方正仿宋_GB2312" w:eastAsia="方正仿宋_GB2312" w:cs="方正仿宋_GB2312"/>
          <w:color w:val="auto"/>
          <w:kern w:val="2"/>
          <w:sz w:val="21"/>
          <w:szCs w:val="21"/>
          <w:highlight w:val="none"/>
          <w:lang w:val="en-US" w:eastAsia="zh-CN" w:bidi="ar-SA"/>
        </w:rPr>
        <w:t>14.6.3 质量保证金的</w:t>
      </w:r>
      <w:bookmarkEnd w:id="1299"/>
      <w:r>
        <w:rPr>
          <w:rFonts w:hint="eastAsia" w:ascii="方正仿宋_GB2312" w:hAnsi="方正仿宋_GB2312" w:eastAsia="方正仿宋_GB2312" w:cs="方正仿宋_GB2312"/>
          <w:color w:val="auto"/>
          <w:kern w:val="2"/>
          <w:sz w:val="21"/>
          <w:szCs w:val="21"/>
          <w:highlight w:val="none"/>
          <w:lang w:val="en-US" w:eastAsia="zh-CN" w:bidi="ar-SA"/>
        </w:rPr>
        <w:t>返还</w:t>
      </w:r>
      <w:bookmarkEnd w:id="1300"/>
    </w:p>
    <w:p w14:paraId="5FFDDC3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缺陷责任期内，承包人认真履行合同约定的责任，缺陷责任期满，发包人根据第11.6款[缺陷责任期终止证书]向承包人颁发缺陷责任期终止证书后，承包人可向发包人申请返还质量保证金。</w:t>
      </w:r>
    </w:p>
    <w:p w14:paraId="3DF87A5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769CA76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发包人和承包人对质量保证金预留、返还以及工程维修质量、费用有争议的，按本合同第20条[争议解决]约定的争议和纠纷解决程序处理。</w:t>
      </w:r>
    </w:p>
    <w:bookmarkEnd w:id="1289"/>
    <w:p w14:paraId="0A44BA5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01" w:name="_Toc54862298"/>
      <w:bookmarkStart w:id="1302" w:name="_Ref531957339"/>
      <w:bookmarkStart w:id="1303" w:name="_Ref531957341"/>
      <w:bookmarkStart w:id="1304" w:name="_Toc27592"/>
      <w:r>
        <w:rPr>
          <w:rFonts w:hint="eastAsia" w:ascii="方正仿宋_GB2312" w:hAnsi="方正仿宋_GB2312" w:eastAsia="方正仿宋_GB2312" w:cs="方正仿宋_GB2312"/>
          <w:b w:val="0"/>
          <w:bCs/>
          <w:color w:val="auto"/>
          <w:kern w:val="2"/>
          <w:sz w:val="21"/>
          <w:szCs w:val="21"/>
          <w:highlight w:val="none"/>
          <w:lang w:val="en-US" w:eastAsia="zh-CN" w:bidi="ar-SA"/>
        </w:rPr>
        <w:t>14.7 最终结清</w:t>
      </w:r>
      <w:bookmarkEnd w:id="1301"/>
      <w:bookmarkEnd w:id="1302"/>
      <w:bookmarkEnd w:id="1303"/>
      <w:bookmarkEnd w:id="1304"/>
    </w:p>
    <w:p w14:paraId="79EAFD6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05" w:name="_Ref531957350"/>
      <w:r>
        <w:rPr>
          <w:rFonts w:hint="eastAsia" w:ascii="方正仿宋_GB2312" w:hAnsi="方正仿宋_GB2312" w:eastAsia="方正仿宋_GB2312" w:cs="方正仿宋_GB2312"/>
          <w:color w:val="auto"/>
          <w:kern w:val="2"/>
          <w:sz w:val="21"/>
          <w:szCs w:val="21"/>
          <w:highlight w:val="none"/>
          <w:lang w:val="en-US" w:eastAsia="zh-CN" w:bidi="ar-SA"/>
        </w:rPr>
        <w:t>14.7.1 最终结清申请</w:t>
      </w:r>
      <w:bookmarkEnd w:id="1305"/>
      <w:r>
        <w:rPr>
          <w:rFonts w:hint="eastAsia" w:ascii="方正仿宋_GB2312" w:hAnsi="方正仿宋_GB2312" w:eastAsia="方正仿宋_GB2312" w:cs="方正仿宋_GB2312"/>
          <w:color w:val="auto"/>
          <w:kern w:val="2"/>
          <w:sz w:val="21"/>
          <w:szCs w:val="21"/>
          <w:highlight w:val="none"/>
          <w:lang w:val="en-US" w:eastAsia="zh-CN" w:bidi="ar-SA"/>
        </w:rPr>
        <w:t>单</w:t>
      </w:r>
    </w:p>
    <w:p w14:paraId="192ACDB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除专用合同条件另有约定外，承包人应在缺陷责任期终止证书颁发后7天内，按专用合同条件约定的份数向发包人提交最终结清申请单，并提供相关证明材料。</w:t>
      </w:r>
    </w:p>
    <w:p w14:paraId="64AD384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除专用合同条件另有约定外，最终结清申请单应列明质量保证金、应扣除的质量保证金、缺陷责任期内发生的增减费用。</w:t>
      </w:r>
    </w:p>
    <w:p w14:paraId="169455E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发包人对最终结清申请单内容有异议的，有权要求承包人进行修正和提供补充资料，承包人应向发包人提交修正后的最终结清申请单。</w:t>
      </w:r>
    </w:p>
    <w:p w14:paraId="39D4DBC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06" w:name="_Ref531957369"/>
      <w:bookmarkStart w:id="1307" w:name="_Ref4624099"/>
      <w:r>
        <w:rPr>
          <w:rFonts w:hint="eastAsia" w:ascii="方正仿宋_GB2312" w:hAnsi="方正仿宋_GB2312" w:eastAsia="方正仿宋_GB2312" w:cs="方正仿宋_GB2312"/>
          <w:color w:val="auto"/>
          <w:kern w:val="2"/>
          <w:sz w:val="21"/>
          <w:szCs w:val="21"/>
          <w:highlight w:val="none"/>
          <w:lang w:val="en-US" w:eastAsia="zh-CN" w:bidi="ar-SA"/>
        </w:rPr>
        <w:t>14.7.2 最终结清证书</w:t>
      </w:r>
      <w:bookmarkEnd w:id="1306"/>
      <w:r>
        <w:rPr>
          <w:rFonts w:hint="eastAsia" w:ascii="方正仿宋_GB2312" w:hAnsi="方正仿宋_GB2312" w:eastAsia="方正仿宋_GB2312" w:cs="方正仿宋_GB2312"/>
          <w:color w:val="auto"/>
          <w:kern w:val="2"/>
          <w:sz w:val="21"/>
          <w:szCs w:val="21"/>
          <w:highlight w:val="none"/>
          <w:lang w:val="en-US" w:eastAsia="zh-CN" w:bidi="ar-SA"/>
        </w:rPr>
        <w:t>和支付</w:t>
      </w:r>
      <w:bookmarkEnd w:id="1307"/>
    </w:p>
    <w:p w14:paraId="24B13D0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604370A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除专用合同条件另有约定外，发包人应在颁发最终结清证书后7天内完成支付。发包人逾期支付的，按照贷款市场报价利率（LPR）支付利息；逾期支付超过56天的，按照贷款市场报价利率（LPR）的两倍支付利息。</w:t>
      </w:r>
    </w:p>
    <w:p w14:paraId="4854D3D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承包人对发包人颁发的最终结清证书有异议的，按第20条[争议解决]的约定办理。</w:t>
      </w:r>
    </w:p>
    <w:p w14:paraId="222D749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308" w:name="_Ref11920407"/>
      <w:bookmarkStart w:id="1309" w:name="_Ref11920396"/>
      <w:bookmarkStart w:id="1310" w:name="_Toc1859"/>
      <w:bookmarkStart w:id="1311" w:name="_Toc54862299"/>
      <w:bookmarkStart w:id="1312" w:name="_Ref11874957"/>
      <w:r>
        <w:rPr>
          <w:rFonts w:hint="eastAsia" w:ascii="方正仿宋_GB2312" w:hAnsi="方正仿宋_GB2312" w:eastAsia="方正仿宋_GB2312" w:cs="方正仿宋_GB2312"/>
          <w:b w:val="0"/>
          <w:bCs/>
          <w:color w:val="auto"/>
          <w:kern w:val="2"/>
          <w:sz w:val="28"/>
          <w:szCs w:val="28"/>
          <w:highlight w:val="none"/>
          <w:lang w:val="en-US" w:eastAsia="zh-CN" w:bidi="ar-SA"/>
        </w:rPr>
        <w:t>第15条 违约</w:t>
      </w:r>
      <w:bookmarkEnd w:id="1144"/>
      <w:bookmarkEnd w:id="1149"/>
      <w:bookmarkEnd w:id="1150"/>
      <w:bookmarkEnd w:id="1308"/>
      <w:bookmarkEnd w:id="1309"/>
      <w:bookmarkEnd w:id="1310"/>
      <w:bookmarkEnd w:id="1311"/>
      <w:bookmarkEnd w:id="1312"/>
    </w:p>
    <w:p w14:paraId="10E11EA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13" w:name="_Ref4534399"/>
      <w:bookmarkStart w:id="1314" w:name="_Ref4534376"/>
      <w:bookmarkStart w:id="1315" w:name="_Toc54862300"/>
      <w:bookmarkStart w:id="1316" w:name="_Ref4534384"/>
      <w:bookmarkStart w:id="1317" w:name="_Ref4534411"/>
      <w:bookmarkStart w:id="1318" w:name="_Toc4397"/>
      <w:r>
        <w:rPr>
          <w:rFonts w:hint="eastAsia" w:ascii="方正仿宋_GB2312" w:hAnsi="方正仿宋_GB2312" w:eastAsia="方正仿宋_GB2312" w:cs="方正仿宋_GB2312"/>
          <w:b w:val="0"/>
          <w:bCs/>
          <w:color w:val="auto"/>
          <w:kern w:val="2"/>
          <w:sz w:val="21"/>
          <w:szCs w:val="21"/>
          <w:highlight w:val="none"/>
          <w:lang w:val="en-US" w:eastAsia="zh-CN" w:bidi="ar-SA"/>
        </w:rPr>
        <w:t>15.1 发包人违约</w:t>
      </w:r>
      <w:bookmarkEnd w:id="1313"/>
      <w:bookmarkEnd w:id="1314"/>
      <w:bookmarkEnd w:id="1315"/>
      <w:bookmarkEnd w:id="1316"/>
      <w:bookmarkEnd w:id="1317"/>
      <w:bookmarkEnd w:id="1318"/>
    </w:p>
    <w:p w14:paraId="06A0AA7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19" w:name="_Ref3841087"/>
      <w:r>
        <w:rPr>
          <w:rFonts w:hint="eastAsia" w:ascii="方正仿宋_GB2312" w:hAnsi="方正仿宋_GB2312" w:eastAsia="方正仿宋_GB2312" w:cs="方正仿宋_GB2312"/>
          <w:color w:val="auto"/>
          <w:kern w:val="2"/>
          <w:sz w:val="21"/>
          <w:szCs w:val="21"/>
          <w:highlight w:val="none"/>
          <w:lang w:val="en-US" w:eastAsia="zh-CN" w:bidi="ar-SA"/>
        </w:rPr>
        <w:t>15.1.1 发包人违约的情形</w:t>
      </w:r>
      <w:bookmarkEnd w:id="1319"/>
    </w:p>
    <w:p w14:paraId="05F2F90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除专用合同条件另有约定外，在合同履行过程中发生的下列情形，属于发包人违约：</w:t>
      </w:r>
    </w:p>
    <w:p w14:paraId="47DB144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（1） 因发包人原因导致开始工作日期延误的； </w:t>
      </w:r>
    </w:p>
    <w:p w14:paraId="6EF9DAE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因发包人原因未能按合同约定支付合同价款的；</w:t>
      </w:r>
    </w:p>
    <w:p w14:paraId="1A84172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发包人违反第13.1.1项约定，自行实施被取消的工作或转由他人实施的；</w:t>
      </w:r>
    </w:p>
    <w:p w14:paraId="34D7447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因发包人违反合同约定造成工程暂停施工的；</w:t>
      </w:r>
    </w:p>
    <w:p w14:paraId="216488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工程师无正当理由没有在约定期限内发出复工指示，导致承包人无法复工的；</w:t>
      </w:r>
    </w:p>
    <w:p w14:paraId="20FD422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发包人明确表示或者以其行为表明不履行合同主要义务的；</w:t>
      </w:r>
    </w:p>
    <w:p w14:paraId="2772F3F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发包人未能按照合同约定履行其他义务的。</w:t>
      </w:r>
    </w:p>
    <w:p w14:paraId="4DA218E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20" w:name="_Ref4535692"/>
      <w:r>
        <w:rPr>
          <w:rFonts w:hint="eastAsia" w:ascii="方正仿宋_GB2312" w:hAnsi="方正仿宋_GB2312" w:eastAsia="方正仿宋_GB2312" w:cs="方正仿宋_GB2312"/>
          <w:color w:val="auto"/>
          <w:kern w:val="2"/>
          <w:sz w:val="21"/>
          <w:szCs w:val="21"/>
          <w:highlight w:val="none"/>
          <w:lang w:val="en-US" w:eastAsia="zh-CN" w:bidi="ar-SA"/>
        </w:rPr>
        <w:t>15.1.2 通知改正</w:t>
      </w:r>
      <w:bookmarkEnd w:id="1320"/>
    </w:p>
    <w:p w14:paraId="2E34E1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321" w:name="_Hlk16248297"/>
      <w:r>
        <w:rPr>
          <w:rFonts w:hint="eastAsia" w:ascii="方正仿宋_GB2312" w:hAnsi="方正仿宋_GB2312" w:eastAsia="方正仿宋_GB2312" w:cs="方正仿宋_GB2312"/>
          <w:color w:val="auto"/>
          <w:szCs w:val="21"/>
          <w:highlight w:val="none"/>
        </w:rPr>
        <w:t>发包人发生除第15.1.1项第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6</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目以外的违约情况时，承包人可向发包人发出通知，要求发包人采取有效措施纠正违约行为。发包人收到承包人通知后28天内仍不纠正违约行为的，承包人有权暂停相应部位工程实施，并通知工程师。</w:t>
      </w:r>
      <w:bookmarkEnd w:id="1321"/>
    </w:p>
    <w:p w14:paraId="541A73C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22" w:name="_Ref3841132"/>
      <w:r>
        <w:rPr>
          <w:rFonts w:hint="eastAsia" w:ascii="方正仿宋_GB2312" w:hAnsi="方正仿宋_GB2312" w:eastAsia="方正仿宋_GB2312" w:cs="方正仿宋_GB2312"/>
          <w:color w:val="auto"/>
          <w:kern w:val="2"/>
          <w:sz w:val="21"/>
          <w:szCs w:val="21"/>
          <w:highlight w:val="none"/>
          <w:lang w:val="en-US" w:eastAsia="zh-CN" w:bidi="ar-SA"/>
        </w:rPr>
        <w:t>15.1.3 发包人违约的责任</w:t>
      </w:r>
      <w:bookmarkEnd w:id="1322"/>
    </w:p>
    <w:p w14:paraId="3E2033C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323" w:name="_Hlk16247984"/>
      <w:r>
        <w:rPr>
          <w:rFonts w:hint="eastAsia" w:ascii="方正仿宋_GB2312" w:hAnsi="方正仿宋_GB2312" w:eastAsia="方正仿宋_GB2312" w:cs="方正仿宋_GB2312"/>
          <w:color w:val="auto"/>
          <w:szCs w:val="21"/>
          <w:highlight w:val="none"/>
        </w:rPr>
        <w:t>发包人应承担因其违约给承包人增加的费用和（或）延误的工期，并支付承包人合理的利润。此外，合同当事人可在专用合同条件中另行约定发包人违约责任的承担方式和计算方法。</w:t>
      </w:r>
      <w:bookmarkEnd w:id="1323"/>
    </w:p>
    <w:p w14:paraId="01A58CAB">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24" w:name="_Ref11958660"/>
      <w:bookmarkStart w:id="1325" w:name="_Ref11958663"/>
      <w:bookmarkStart w:id="1326" w:name="_Toc54862301"/>
      <w:bookmarkStart w:id="1327" w:name="_Toc10643"/>
      <w:r>
        <w:rPr>
          <w:rFonts w:hint="eastAsia" w:ascii="方正仿宋_GB2312" w:hAnsi="方正仿宋_GB2312" w:eastAsia="方正仿宋_GB2312" w:cs="方正仿宋_GB2312"/>
          <w:b w:val="0"/>
          <w:bCs/>
          <w:color w:val="auto"/>
          <w:kern w:val="2"/>
          <w:sz w:val="21"/>
          <w:szCs w:val="21"/>
          <w:highlight w:val="none"/>
          <w:lang w:val="en-US" w:eastAsia="zh-CN" w:bidi="ar-SA"/>
        </w:rPr>
        <w:t>15.2 承包人违约</w:t>
      </w:r>
      <w:bookmarkEnd w:id="1324"/>
      <w:bookmarkEnd w:id="1325"/>
      <w:bookmarkEnd w:id="1326"/>
      <w:bookmarkEnd w:id="1327"/>
    </w:p>
    <w:p w14:paraId="69731CF1">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28" w:name="_Ref3841153"/>
      <w:r>
        <w:rPr>
          <w:rFonts w:hint="eastAsia" w:ascii="方正仿宋_GB2312" w:hAnsi="方正仿宋_GB2312" w:eastAsia="方正仿宋_GB2312" w:cs="方正仿宋_GB2312"/>
          <w:color w:val="auto"/>
          <w:kern w:val="2"/>
          <w:sz w:val="21"/>
          <w:szCs w:val="21"/>
          <w:highlight w:val="none"/>
          <w:lang w:val="en-US" w:eastAsia="zh-CN" w:bidi="ar-SA"/>
        </w:rPr>
        <w:t>15.2.1 承包人违约的情形</w:t>
      </w:r>
      <w:bookmarkEnd w:id="1328"/>
    </w:p>
    <w:p w14:paraId="792AFF6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除专用合同条件另有约定外，在履行合同过程中</w:t>
      </w:r>
      <w:r>
        <w:rPr>
          <w:rFonts w:hint="eastAsia" w:ascii="方正仿宋_GB2312" w:hAnsi="方正仿宋_GB2312" w:eastAsia="方正仿宋_GB2312" w:cs="方正仿宋_GB2312"/>
          <w:color w:val="auto"/>
          <w:szCs w:val="21"/>
          <w:highlight w:val="none"/>
          <w:lang w:eastAsia="zh-CN"/>
        </w:rPr>
        <w:t>发生</w:t>
      </w:r>
      <w:r>
        <w:rPr>
          <w:rFonts w:hint="eastAsia" w:ascii="方正仿宋_GB2312" w:hAnsi="方正仿宋_GB2312" w:eastAsia="方正仿宋_GB2312" w:cs="方正仿宋_GB2312"/>
          <w:color w:val="auto"/>
          <w:szCs w:val="21"/>
          <w:highlight w:val="none"/>
        </w:rPr>
        <w:t>下列情况之一的，属于承包人违约：</w:t>
      </w:r>
    </w:p>
    <w:p w14:paraId="470D253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承包人的原因导致的承包人文件、实施和竣工的工程不符合法律法规、工程质量验收标准以及合同约定；</w:t>
      </w:r>
    </w:p>
    <w:p w14:paraId="24493BD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承包人违反合同约定进行转包或违法分包的；</w:t>
      </w:r>
    </w:p>
    <w:p w14:paraId="125C2E8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承包人违反约定采购和使用不合格材料或工程设备；</w:t>
      </w:r>
    </w:p>
    <w:p w14:paraId="517D770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因承包人原因导致工程质量不符合合同要求的；</w:t>
      </w:r>
    </w:p>
    <w:p w14:paraId="7F97D40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承包人未经工程师批准，擅自将已按合同约定进入施工现场的施工设备、临时设施或材料撤离施工现场；</w:t>
      </w:r>
    </w:p>
    <w:p w14:paraId="0BBB666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承包人未能按项目进度计划及时完成合同约定的工作，造成工期延误；</w:t>
      </w:r>
    </w:p>
    <w:p w14:paraId="75DB670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由于承包人原因未能通过竣工试验或竣工后试验的；</w:t>
      </w:r>
    </w:p>
    <w:p w14:paraId="4DD5D24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承包人在缺陷责任期及保修期内，未能在合理期限对工程缺陷进行修复，或拒绝按发包人指示进行修复的；</w:t>
      </w:r>
    </w:p>
    <w:p w14:paraId="7109FA0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（9） 承包人明确表示或者以其行为表明不履行合同主要义务的；</w:t>
      </w:r>
    </w:p>
    <w:p w14:paraId="37B3C4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 承包人未能按照合同约定履行其他义务的。</w:t>
      </w:r>
    </w:p>
    <w:p w14:paraId="776B852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29" w:name="_Ref531958512"/>
      <w:r>
        <w:rPr>
          <w:rFonts w:hint="eastAsia" w:ascii="方正仿宋_GB2312" w:hAnsi="方正仿宋_GB2312" w:eastAsia="方正仿宋_GB2312" w:cs="方正仿宋_GB2312"/>
          <w:color w:val="auto"/>
          <w:kern w:val="2"/>
          <w:sz w:val="21"/>
          <w:szCs w:val="21"/>
          <w:highlight w:val="none"/>
          <w:lang w:val="en-US" w:eastAsia="zh-CN" w:bidi="ar-SA"/>
        </w:rPr>
        <w:t>15.2.2 通知改正</w:t>
      </w:r>
      <w:bookmarkEnd w:id="1329"/>
    </w:p>
    <w:p w14:paraId="6A3459C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承包人发生除第15.2.1项第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7</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9</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目约定以外的其他违约情况时，工程师</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在专用合同条件约定的合理期限内向承包人发出整改通知，要求其在指定的期限内改正。</w:t>
      </w:r>
    </w:p>
    <w:p w14:paraId="5FC2CB3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30" w:name="_Ref3841166"/>
      <w:r>
        <w:rPr>
          <w:rFonts w:hint="eastAsia" w:ascii="方正仿宋_GB2312" w:hAnsi="方正仿宋_GB2312" w:eastAsia="方正仿宋_GB2312" w:cs="方正仿宋_GB2312"/>
          <w:color w:val="auto"/>
          <w:kern w:val="2"/>
          <w:sz w:val="21"/>
          <w:szCs w:val="21"/>
          <w:highlight w:val="none"/>
          <w:lang w:val="en-US" w:eastAsia="zh-CN" w:bidi="ar-SA"/>
        </w:rPr>
        <w:t>15.2.3 承包人违约的责任</w:t>
      </w:r>
      <w:bookmarkEnd w:id="1330"/>
    </w:p>
    <w:p w14:paraId="1071B8B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承包人应承担因其违约行为而增加的费用和（或）延误的工期。此外，合同当事人可在专用合同条件中另行约定承包人违约责任的承担方式和计算方法。</w:t>
      </w:r>
    </w:p>
    <w:p w14:paraId="6E18D9D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31" w:name="_Toc54862302"/>
      <w:bookmarkStart w:id="1332" w:name="_Toc7266"/>
      <w:r>
        <w:rPr>
          <w:rFonts w:hint="eastAsia" w:ascii="方正仿宋_GB2312" w:hAnsi="方正仿宋_GB2312" w:eastAsia="方正仿宋_GB2312" w:cs="方正仿宋_GB2312"/>
          <w:b w:val="0"/>
          <w:bCs/>
          <w:color w:val="auto"/>
          <w:kern w:val="2"/>
          <w:sz w:val="21"/>
          <w:szCs w:val="21"/>
          <w:highlight w:val="none"/>
          <w:lang w:val="en-US" w:eastAsia="zh-CN" w:bidi="ar-SA"/>
        </w:rPr>
        <w:t>15.3 第三人造成的违约</w:t>
      </w:r>
      <w:bookmarkEnd w:id="1331"/>
      <w:bookmarkEnd w:id="1332"/>
    </w:p>
    <w:p w14:paraId="6AD560C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在履行合同过程中，一方当事人因第三人的原因造成违约的，应当向对方当事人承担违约责任。一方当事人和第三人之间的纠纷，依照法律规定或者按照约定解决。</w:t>
      </w:r>
    </w:p>
    <w:p w14:paraId="094A8AC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333" w:name="_Toc54862303"/>
      <w:bookmarkStart w:id="1334" w:name="_Toc13474"/>
      <w:bookmarkStart w:id="1335" w:name="_Ref4510572"/>
      <w:bookmarkStart w:id="1336" w:name="_Ref532142069"/>
      <w:bookmarkStart w:id="1337" w:name="_Ref3840457"/>
      <w:r>
        <w:rPr>
          <w:rFonts w:hint="eastAsia" w:ascii="方正仿宋_GB2312" w:hAnsi="方正仿宋_GB2312" w:eastAsia="方正仿宋_GB2312" w:cs="方正仿宋_GB2312"/>
          <w:b w:val="0"/>
          <w:bCs/>
          <w:color w:val="auto"/>
          <w:kern w:val="2"/>
          <w:sz w:val="28"/>
          <w:szCs w:val="28"/>
          <w:highlight w:val="none"/>
          <w:lang w:val="en-US" w:eastAsia="zh-CN" w:bidi="ar-SA"/>
        </w:rPr>
        <w:t>第16条 合同解除</w:t>
      </w:r>
      <w:bookmarkEnd w:id="1333"/>
      <w:bookmarkEnd w:id="1334"/>
      <w:bookmarkEnd w:id="1335"/>
    </w:p>
    <w:p w14:paraId="2BC3F3A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38" w:name="_Toc54862304"/>
      <w:bookmarkStart w:id="1339" w:name="_Ref531958499"/>
      <w:bookmarkStart w:id="1340" w:name="_Toc27597"/>
      <w:bookmarkStart w:id="1341" w:name="_Ref531958502"/>
      <w:r>
        <w:rPr>
          <w:rFonts w:hint="eastAsia" w:ascii="方正仿宋_GB2312" w:hAnsi="方正仿宋_GB2312" w:eastAsia="方正仿宋_GB2312" w:cs="方正仿宋_GB2312"/>
          <w:b w:val="0"/>
          <w:bCs/>
          <w:color w:val="auto"/>
          <w:kern w:val="2"/>
          <w:sz w:val="21"/>
          <w:szCs w:val="21"/>
          <w:highlight w:val="none"/>
          <w:lang w:val="en-US" w:eastAsia="zh-CN" w:bidi="ar-SA"/>
        </w:rPr>
        <w:t>16.1 由发包人解除合同</w:t>
      </w:r>
      <w:bookmarkEnd w:id="1338"/>
      <w:bookmarkEnd w:id="1339"/>
      <w:bookmarkEnd w:id="1340"/>
      <w:bookmarkEnd w:id="1341"/>
    </w:p>
    <w:p w14:paraId="06B322DD">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42" w:name="_Ref4535422"/>
      <w:r>
        <w:rPr>
          <w:rFonts w:hint="eastAsia" w:ascii="方正仿宋_GB2312" w:hAnsi="方正仿宋_GB2312" w:eastAsia="方正仿宋_GB2312" w:cs="方正仿宋_GB2312"/>
          <w:color w:val="auto"/>
          <w:kern w:val="2"/>
          <w:sz w:val="21"/>
          <w:szCs w:val="21"/>
          <w:highlight w:val="none"/>
          <w:lang w:val="en-US" w:eastAsia="zh-CN" w:bidi="ar-SA"/>
        </w:rPr>
        <w:t>16.1.1 因承包人违约解除合同</w:t>
      </w:r>
      <w:bookmarkEnd w:id="1342"/>
    </w:p>
    <w:p w14:paraId="7D97171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5</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目的情况下，发包人无须提前告知承包人其解除合同意向，可直接发出正式解除合同通知立即解除合同：</w:t>
      </w:r>
    </w:p>
    <w:p w14:paraId="3FF22C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343" w:name="_Ref531958536"/>
      <w:r>
        <w:rPr>
          <w:rFonts w:hint="eastAsia" w:ascii="方正仿宋_GB2312" w:hAnsi="方正仿宋_GB2312" w:eastAsia="方正仿宋_GB2312" w:cs="方正仿宋_GB2312"/>
          <w:color w:val="auto"/>
          <w:szCs w:val="21"/>
          <w:highlight w:val="none"/>
        </w:rPr>
        <w:t>（1） 承包人未能遵守第4.2款</w:t>
      </w:r>
      <w:bookmarkStart w:id="1344" w:name="_Hlk18839947"/>
      <w:r>
        <w:rPr>
          <w:rFonts w:hint="eastAsia" w:ascii="方正仿宋_GB2312" w:hAnsi="方正仿宋_GB2312" w:eastAsia="方正仿宋_GB2312" w:cs="方正仿宋_GB2312"/>
          <w:color w:val="auto"/>
          <w:szCs w:val="21"/>
          <w:highlight w:val="none"/>
        </w:rPr>
        <w:t>[履约担保]</w:t>
      </w:r>
      <w:bookmarkEnd w:id="1344"/>
      <w:r>
        <w:rPr>
          <w:rFonts w:hint="eastAsia" w:ascii="方正仿宋_GB2312" w:hAnsi="方正仿宋_GB2312" w:eastAsia="方正仿宋_GB2312" w:cs="方正仿宋_GB2312"/>
          <w:color w:val="auto"/>
          <w:szCs w:val="21"/>
          <w:highlight w:val="none"/>
        </w:rPr>
        <w:t>的约定；</w:t>
      </w:r>
    </w:p>
    <w:p w14:paraId="3C24D2F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承包人未能遵守第4.5款[分包]有关分包和转包的约定；</w:t>
      </w:r>
    </w:p>
    <w:p w14:paraId="6B1790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承包人实际进度明显落后于进度计划，并且未按发包人的指令采取措施并修正进度计划；</w:t>
      </w:r>
    </w:p>
    <w:p w14:paraId="4778E62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工程质量有严重缺陷，承包人无正当理由使修复开始日期拖延达28天以上；</w:t>
      </w:r>
    </w:p>
    <w:p w14:paraId="23A71C1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235D53B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承包人明确表示或以自己的行为表明不履行合同</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经发包人以书面形式通知其履约后仍未能依约履行合同</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以不适当的方式履行合同；</w:t>
      </w:r>
    </w:p>
    <w:p w14:paraId="657C513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未能通过的竣工试验、未能通过的竣工后试验，使工程的任何部分和（或）整个工程丧失了主要使用功能、生产功能；</w:t>
      </w:r>
    </w:p>
    <w:p w14:paraId="44B3AF6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因承包人的原因暂停工作超过56天且暂停</w:t>
      </w:r>
      <w:r>
        <w:rPr>
          <w:rFonts w:hint="eastAsia" w:ascii="方正仿宋_GB2312" w:hAnsi="方正仿宋_GB2312" w:eastAsia="方正仿宋_GB2312" w:cs="方正仿宋_GB2312"/>
          <w:color w:val="auto"/>
          <w:szCs w:val="21"/>
          <w:highlight w:val="none"/>
          <w:lang w:eastAsia="zh-CN"/>
        </w:rPr>
        <w:t>影响</w:t>
      </w:r>
      <w:r>
        <w:rPr>
          <w:rFonts w:hint="eastAsia" w:ascii="方正仿宋_GB2312" w:hAnsi="方正仿宋_GB2312" w:eastAsia="方正仿宋_GB2312" w:cs="方正仿宋_GB2312"/>
          <w:color w:val="auto"/>
          <w:szCs w:val="21"/>
          <w:highlight w:val="none"/>
        </w:rPr>
        <w:t>整个工程，或因承包人的原因暂停工作超过182天；</w:t>
      </w:r>
    </w:p>
    <w:p w14:paraId="4BB2A8A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（9） 承包人未能遵守第8.2款[竣工日期]规定，延误超过182天；</w:t>
      </w:r>
    </w:p>
    <w:p w14:paraId="0E2559E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 工程师根据第15.2.2项[通知改正]发出整改通知后，承包人在指定的合理期限内仍不纠正违约行为并致使合同目的不能实现的。</w:t>
      </w:r>
    </w:p>
    <w:bookmarkEnd w:id="1343"/>
    <w:p w14:paraId="176999A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45" w:name="_Ref3841839"/>
      <w:bookmarkStart w:id="1346" w:name="_Ref4624315"/>
      <w:r>
        <w:rPr>
          <w:rFonts w:hint="eastAsia" w:ascii="方正仿宋_GB2312" w:hAnsi="方正仿宋_GB2312" w:eastAsia="方正仿宋_GB2312" w:cs="方正仿宋_GB2312"/>
          <w:color w:val="auto"/>
          <w:kern w:val="2"/>
          <w:sz w:val="21"/>
          <w:szCs w:val="21"/>
          <w:highlight w:val="none"/>
          <w:lang w:val="en-US" w:eastAsia="zh-CN" w:bidi="ar-SA"/>
        </w:rPr>
        <w:t>16.1.2 因承包人违约解除合同后</w:t>
      </w:r>
      <w:bookmarkEnd w:id="1345"/>
      <w:r>
        <w:rPr>
          <w:rFonts w:hint="eastAsia" w:ascii="方正仿宋_GB2312" w:hAnsi="方正仿宋_GB2312" w:eastAsia="方正仿宋_GB2312" w:cs="方正仿宋_GB2312"/>
          <w:color w:val="auto"/>
          <w:kern w:val="2"/>
          <w:sz w:val="21"/>
          <w:szCs w:val="21"/>
          <w:highlight w:val="none"/>
          <w:lang w:val="en-US" w:eastAsia="zh-CN" w:bidi="ar-SA"/>
        </w:rPr>
        <w:t>承包人的义务</w:t>
      </w:r>
      <w:bookmarkEnd w:id="1346"/>
    </w:p>
    <w:p w14:paraId="776C8DB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合同解除后，承包人应按以下约定执行：</w:t>
      </w:r>
    </w:p>
    <w:p w14:paraId="2583BA7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除了为保护生命、财产或工程安全、清理和必须执行的工作外，停止执行所有被通知解除的工作，并将相关人员撤离现场；</w:t>
      </w:r>
    </w:p>
    <w:p w14:paraId="112AE01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经发包人批准，承包人应将与被解除合同相关的和正在执行的分包合同及相关的责任和义务转让至发包人和（或）发包人指定方的名下，包括永久性工程及工程物资，以及相关工作；</w:t>
      </w:r>
    </w:p>
    <w:p w14:paraId="06C8CD1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移交已完成的永久性工程及负责已运抵现场的工程物资。在移交前，妥善做好</w:t>
      </w:r>
      <w:r>
        <w:rPr>
          <w:rFonts w:hint="eastAsia" w:ascii="方正仿宋_GB2312" w:hAnsi="方正仿宋_GB2312" w:eastAsia="方正仿宋_GB2312" w:cs="方正仿宋_GB2312"/>
          <w:color w:val="auto"/>
          <w:szCs w:val="21"/>
          <w:highlight w:val="none"/>
          <w:lang w:eastAsia="zh-CN"/>
        </w:rPr>
        <w:t>已</w:t>
      </w:r>
      <w:r>
        <w:rPr>
          <w:rFonts w:hint="eastAsia" w:ascii="方正仿宋_GB2312" w:hAnsi="方正仿宋_GB2312" w:eastAsia="方正仿宋_GB2312" w:cs="方正仿宋_GB2312"/>
          <w:color w:val="auto"/>
          <w:szCs w:val="21"/>
          <w:highlight w:val="none"/>
        </w:rPr>
        <w:t>完工程和已运抵现场的工程物资的保管、维护和保养；</w:t>
      </w:r>
    </w:p>
    <w:p w14:paraId="52A8FDA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将发包人提供的所有信息及承包人为本工程编制的设计文件、技术资料及</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文件移交给发包人。在承包人留有的资料文件中，销毁与发包人提供的所有信息相关的数据及资料的备份；</w:t>
      </w:r>
    </w:p>
    <w:p w14:paraId="51787B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移交相应实施阶段已经付款的并已完成的和尚待完成的设计文件、图纸、资料、操作维修手册、施工组织设计、质检资料、竣工资料等；</w:t>
      </w:r>
    </w:p>
    <w:p w14:paraId="3BF526E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16.1.3 因承包人违约解除合同后的估价、付款和结算</w:t>
      </w:r>
    </w:p>
    <w:p w14:paraId="5B80B70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因承包人原因导致合同解除的，则合同当事人应在合同解除后28天内完成估价、付款和清算，并按以下约定执行：</w:t>
      </w:r>
    </w:p>
    <w:p w14:paraId="3D4336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合同解除后，按第3.6款[商定或确定]商定或确定承包人实际完成工作对应的合同价款，以及承包人已提供的材料、工程设备、施工设备和临时工程等的价值；</w:t>
      </w:r>
    </w:p>
    <w:p w14:paraId="37414B9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合同解除后，承包人应支付的违约金；</w:t>
      </w:r>
    </w:p>
    <w:p w14:paraId="686F210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合同解除后，因解除合同给发包人造成的损失；</w:t>
      </w:r>
    </w:p>
    <w:p w14:paraId="460B4B7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合同解除后，承包人应按照发包人的指示完成现场的清理和撤离；</w:t>
      </w:r>
    </w:p>
    <w:p w14:paraId="4D89F97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发包人和承包人应在合同解除后进行清算，出具最终结清付款证书，结清全部款项。</w:t>
      </w:r>
    </w:p>
    <w:p w14:paraId="304843A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1B0A4B47">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16.1.4 因承包人违约解除合同的合同权益转让</w:t>
      </w:r>
    </w:p>
    <w:p w14:paraId="54D4378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726C25E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47" w:name="_Ref531958554"/>
      <w:bookmarkStart w:id="1348" w:name="_Toc54862305"/>
      <w:bookmarkStart w:id="1349" w:name="_Toc4278"/>
      <w:bookmarkStart w:id="1350" w:name="_Ref531958549"/>
      <w:r>
        <w:rPr>
          <w:rFonts w:hint="eastAsia" w:ascii="方正仿宋_GB2312" w:hAnsi="方正仿宋_GB2312" w:eastAsia="方正仿宋_GB2312" w:cs="方正仿宋_GB2312"/>
          <w:b w:val="0"/>
          <w:bCs/>
          <w:color w:val="auto"/>
          <w:kern w:val="2"/>
          <w:sz w:val="21"/>
          <w:szCs w:val="21"/>
          <w:highlight w:val="none"/>
          <w:lang w:val="en-US" w:eastAsia="zh-CN" w:bidi="ar-SA"/>
        </w:rPr>
        <w:t>16.2 由承包人解除合同</w:t>
      </w:r>
      <w:bookmarkEnd w:id="1347"/>
      <w:bookmarkEnd w:id="1348"/>
      <w:bookmarkEnd w:id="1349"/>
      <w:bookmarkEnd w:id="1350"/>
    </w:p>
    <w:p w14:paraId="47A2D203">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51" w:name="_Ref3841758"/>
      <w:r>
        <w:rPr>
          <w:rFonts w:hint="eastAsia" w:ascii="方正仿宋_GB2312" w:hAnsi="方正仿宋_GB2312" w:eastAsia="方正仿宋_GB2312" w:cs="方正仿宋_GB2312"/>
          <w:color w:val="auto"/>
          <w:kern w:val="2"/>
          <w:sz w:val="21"/>
          <w:szCs w:val="21"/>
          <w:highlight w:val="none"/>
          <w:lang w:val="en-US" w:eastAsia="zh-CN" w:bidi="ar-SA"/>
        </w:rPr>
        <w:t>16.2.1 因发包人违约解除合同</w:t>
      </w:r>
      <w:bookmarkEnd w:id="1351"/>
    </w:p>
    <w:p w14:paraId="48B7167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5</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目的情况下，承包人无须提前告知发包人其解除合同意向，可直接发出正式解除合同通知立即解除合同：</w:t>
      </w:r>
    </w:p>
    <w:p w14:paraId="1446EC7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承包人就发包人未能遵守第2.5.2项关于发包人的资金安排发出通知后42天内，仍未收到合理的证明；</w:t>
      </w:r>
    </w:p>
    <w:p w14:paraId="568BC09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（2） 在第14条规定的付款时间到期后42天内，承包人仍未收到应付款项； </w:t>
      </w:r>
    </w:p>
    <w:p w14:paraId="502D102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发包人实质上未能根据合同约定履行其义务，构成根本性违约；</w:t>
      </w:r>
    </w:p>
    <w:p w14:paraId="3CF15FA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发承包双方订立本合同协议书后的84天内，承包人未收到根据第8.1款[开始工作]的开始工作通知；</w:t>
      </w:r>
    </w:p>
    <w:p w14:paraId="132B9FA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73099EC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发包人未能遵守第2.5.3项的约定提交支付担保；</w:t>
      </w:r>
    </w:p>
    <w:p w14:paraId="3EBB69B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发包人未能执行第15.1.2项[通知改正]的约定，致使合同目的不能实现的；</w:t>
      </w:r>
    </w:p>
    <w:p w14:paraId="4645421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因发包人的原因暂停工作超过56天且暂停</w:t>
      </w:r>
      <w:r>
        <w:rPr>
          <w:rFonts w:hint="eastAsia" w:ascii="方正仿宋_GB2312" w:hAnsi="方正仿宋_GB2312" w:eastAsia="方正仿宋_GB2312" w:cs="方正仿宋_GB2312"/>
          <w:color w:val="auto"/>
          <w:szCs w:val="21"/>
          <w:highlight w:val="none"/>
          <w:lang w:eastAsia="zh-CN"/>
        </w:rPr>
        <w:t>影响</w:t>
      </w:r>
      <w:r>
        <w:rPr>
          <w:rFonts w:hint="eastAsia" w:ascii="方正仿宋_GB2312" w:hAnsi="方正仿宋_GB2312" w:eastAsia="方正仿宋_GB2312" w:cs="方正仿宋_GB2312"/>
          <w:color w:val="auto"/>
          <w:szCs w:val="21"/>
          <w:highlight w:val="none"/>
        </w:rPr>
        <w:t>整个工程，或因发包人的原因暂停工作超过182天的；</w:t>
      </w:r>
    </w:p>
    <w:p w14:paraId="7D19490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（9） 因发包人原因造成开始工作日期迟于承包人收到中标通知书（或在无中标通知书的情况下，订立本合同之日）后第84天的。</w:t>
      </w:r>
    </w:p>
    <w:p w14:paraId="3FB8D31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发包人接到承包人解除合同意向通知后14天内，发包人随后给予了付款，或同意复工</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继续履行其义务</w:t>
      </w:r>
      <w:r>
        <w:rPr>
          <w:rFonts w:hint="eastAsia" w:ascii="方正仿宋_GB2312" w:hAnsi="方正仿宋_GB2312" w:eastAsia="方正仿宋_GB2312" w:cs="方正仿宋_GB2312"/>
          <w:color w:val="auto"/>
          <w:szCs w:val="21"/>
          <w:highlight w:val="none"/>
          <w:lang w:eastAsia="zh-CN"/>
        </w:rPr>
        <w:t>或</w:t>
      </w:r>
      <w:r>
        <w:rPr>
          <w:rFonts w:hint="eastAsia" w:ascii="方正仿宋_GB2312" w:hAnsi="方正仿宋_GB2312" w:eastAsia="方正仿宋_GB2312" w:cs="方正仿宋_GB2312"/>
          <w:color w:val="auto"/>
          <w:szCs w:val="21"/>
          <w:highlight w:val="none"/>
        </w:rPr>
        <w:t>提供了支付担保等，承包人应尽快安排并恢复正常工作；因此造成工期延误的，竣工日期顺延；承包人因此增加的费用，由发包人承担。</w:t>
      </w:r>
    </w:p>
    <w:p w14:paraId="4A38A6B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352" w:name="_Ref3842018"/>
      <w:bookmarkStart w:id="1353" w:name="_Ref4624336"/>
      <w:r>
        <w:rPr>
          <w:rFonts w:hint="eastAsia" w:ascii="方正仿宋_GB2312" w:hAnsi="方正仿宋_GB2312" w:eastAsia="方正仿宋_GB2312" w:cs="方正仿宋_GB2312"/>
          <w:color w:val="auto"/>
          <w:kern w:val="2"/>
          <w:sz w:val="21"/>
          <w:szCs w:val="21"/>
          <w:highlight w:val="none"/>
          <w:lang w:val="en-US" w:eastAsia="zh-CN" w:bidi="ar-SA"/>
        </w:rPr>
        <w:t>16.2.2 因发包人违约解除合同后</w:t>
      </w:r>
      <w:bookmarkEnd w:id="1352"/>
      <w:r>
        <w:rPr>
          <w:rFonts w:hint="eastAsia" w:ascii="方正仿宋_GB2312" w:hAnsi="方正仿宋_GB2312" w:eastAsia="方正仿宋_GB2312" w:cs="方正仿宋_GB2312"/>
          <w:color w:val="auto"/>
          <w:kern w:val="2"/>
          <w:sz w:val="21"/>
          <w:szCs w:val="21"/>
          <w:highlight w:val="none"/>
          <w:lang w:val="en-US" w:eastAsia="zh-CN" w:bidi="ar-SA"/>
        </w:rPr>
        <w:t>承包人的义务</w:t>
      </w:r>
      <w:bookmarkEnd w:id="1353"/>
    </w:p>
    <w:p w14:paraId="2B245F91">
      <w:pPr>
        <w:keepNext w:val="0"/>
        <w:keepLines w:val="0"/>
        <w:pageBreakBefore w:val="0"/>
        <w:widowControl w:val="0"/>
        <w:tabs>
          <w:tab w:val="left" w:pos="993"/>
        </w:tabs>
        <w:kinsoku/>
        <w:wordWrap/>
        <w:overflowPunct/>
        <w:topLinePunct w:val="0"/>
        <w:bidi w:val="0"/>
        <w:snapToGrid w:val="0"/>
        <w:spacing w:before="0" w:after="0" w:line="360" w:lineRule="auto"/>
        <w:ind w:left="400" w:firstLine="425"/>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合同解除后，承包人应按以下约定执行：</w:t>
      </w:r>
    </w:p>
    <w:p w14:paraId="53E0A97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除为保护生命、财产、工程安全的工作外，停止所有进一步的工作；承包人因执行该保护工作而产生费用的，由发包人承担；</w:t>
      </w:r>
    </w:p>
    <w:p w14:paraId="0C176A1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向发包人移交承包人已获得支付的承包人文件、生产设备、材料和其他工作；</w:t>
      </w:r>
    </w:p>
    <w:p w14:paraId="14042BF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从现场运走除为了安全需要以外的所有属于承包人的其他货物，并撤离现场。</w:t>
      </w:r>
    </w:p>
    <w:p w14:paraId="22456EC9">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16.2.3 因发包人违约解除合同后的付款</w:t>
      </w:r>
    </w:p>
    <w:p w14:paraId="2042E97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承包人按照本款约定解除合同的，发包人应在解除合同后28天内支付下列款项，并退还履约担保：</w:t>
      </w:r>
    </w:p>
    <w:p w14:paraId="121F874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合同解除前所完成工作的价款；</w:t>
      </w:r>
    </w:p>
    <w:p w14:paraId="10DE24C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承包人为工程施工订购并已付款的材料、工程设备和其他物品的价款；发包人付款后，该材料、工程设备和其他物品归发包人所有；</w:t>
      </w:r>
    </w:p>
    <w:p w14:paraId="782BB0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承包人为完成工程所发生的，而发包人未支付的金额；</w:t>
      </w:r>
    </w:p>
    <w:p w14:paraId="4F42706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承包人撤离施工现场以及遣散承包人人员的款项；</w:t>
      </w:r>
    </w:p>
    <w:p w14:paraId="4AE242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按照合同约定在合同解除前应支付的违约金；</w:t>
      </w:r>
    </w:p>
    <w:p w14:paraId="59C083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按照合同约定应当支付给承包人的其他款项；</w:t>
      </w:r>
    </w:p>
    <w:p w14:paraId="7FB193C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按照合同约定应返还的质量保证金；</w:t>
      </w:r>
    </w:p>
    <w:p w14:paraId="57B4901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 因解除合同给承包人造成的损失。</w:t>
      </w:r>
    </w:p>
    <w:p w14:paraId="16A86CE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承包人应妥善做好已</w:t>
      </w:r>
      <w:r>
        <w:rPr>
          <w:rFonts w:hint="eastAsia" w:ascii="方正仿宋_GB2312" w:hAnsi="方正仿宋_GB2312" w:eastAsia="方正仿宋_GB2312" w:cs="方正仿宋_GB2312"/>
          <w:color w:val="auto"/>
          <w:szCs w:val="21"/>
          <w:highlight w:val="none"/>
          <w:lang w:eastAsia="zh-CN"/>
        </w:rPr>
        <w:t>完成</w:t>
      </w:r>
      <w:r>
        <w:rPr>
          <w:rFonts w:hint="eastAsia" w:ascii="方正仿宋_GB2312" w:hAnsi="方正仿宋_GB2312" w:eastAsia="方正仿宋_GB2312" w:cs="方正仿宋_GB2312"/>
          <w:color w:val="auto"/>
          <w:szCs w:val="21"/>
          <w:highlight w:val="none"/>
        </w:rPr>
        <w:t>工程和与工程有关的已购材料、工程设备的保护和移交工作，并将施工设备和人员撤出施工现场，发包人应为承包人撤出提供必要条件。</w:t>
      </w:r>
    </w:p>
    <w:p w14:paraId="2AA70F3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54" w:name="_Toc54862306"/>
      <w:bookmarkStart w:id="1355" w:name="_Toc9263"/>
      <w:bookmarkStart w:id="1356" w:name="_Ref3841966"/>
      <w:r>
        <w:rPr>
          <w:rFonts w:hint="eastAsia" w:ascii="方正仿宋_GB2312" w:hAnsi="方正仿宋_GB2312" w:eastAsia="方正仿宋_GB2312" w:cs="方正仿宋_GB2312"/>
          <w:b w:val="0"/>
          <w:bCs/>
          <w:color w:val="auto"/>
          <w:kern w:val="2"/>
          <w:sz w:val="21"/>
          <w:szCs w:val="21"/>
          <w:highlight w:val="none"/>
          <w:lang w:val="en-US" w:eastAsia="zh-CN" w:bidi="ar-SA"/>
        </w:rPr>
        <w:t>16.3 合同解除后的事项</w:t>
      </w:r>
      <w:bookmarkEnd w:id="1354"/>
      <w:bookmarkEnd w:id="1355"/>
      <w:bookmarkEnd w:id="1356"/>
    </w:p>
    <w:p w14:paraId="73323D0E">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16.3.1 结算约定依然有效</w:t>
      </w:r>
    </w:p>
    <w:p w14:paraId="12F207B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合同解除后，由发包人或由承包人解除合同的结算及结算后的付款约定仍然有效，直至解除合同的结算工作结清。</w:t>
      </w:r>
    </w:p>
    <w:p w14:paraId="2C27D152">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16.3.2 解除合同的争议</w:t>
      </w:r>
    </w:p>
    <w:p w14:paraId="5EE7B8C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357" w:name="_Hlk18988355"/>
      <w:r>
        <w:rPr>
          <w:rFonts w:hint="eastAsia" w:ascii="方正仿宋_GB2312" w:hAnsi="方正仿宋_GB2312" w:eastAsia="方正仿宋_GB2312" w:cs="方正仿宋_GB2312"/>
          <w:color w:val="auto"/>
          <w:szCs w:val="21"/>
          <w:highlight w:val="none"/>
        </w:rPr>
        <w:t>双方对解除合同或解除合同后的结算有争议的，按照第20条[争议解决]的约定处理。</w:t>
      </w:r>
      <w:bookmarkEnd w:id="1357"/>
    </w:p>
    <w:p w14:paraId="5A8F0189">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358" w:name="_Toc54862307"/>
      <w:bookmarkStart w:id="1359" w:name="_Toc32474"/>
      <w:bookmarkStart w:id="1360" w:name="_Ref3840974"/>
      <w:bookmarkStart w:id="1361" w:name="_Ref3840605"/>
      <w:r>
        <w:rPr>
          <w:rFonts w:hint="eastAsia" w:ascii="方正仿宋_GB2312" w:hAnsi="方正仿宋_GB2312" w:eastAsia="方正仿宋_GB2312" w:cs="方正仿宋_GB2312"/>
          <w:b w:val="0"/>
          <w:bCs/>
          <w:color w:val="auto"/>
          <w:kern w:val="2"/>
          <w:sz w:val="28"/>
          <w:szCs w:val="28"/>
          <w:highlight w:val="none"/>
          <w:lang w:val="en-US" w:eastAsia="zh-CN" w:bidi="ar-SA"/>
        </w:rPr>
        <w:t>第17条 不可抗力</w:t>
      </w:r>
      <w:bookmarkEnd w:id="1358"/>
      <w:bookmarkEnd w:id="1359"/>
      <w:bookmarkEnd w:id="1360"/>
    </w:p>
    <w:p w14:paraId="63767147">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62" w:name="_Ref531958161"/>
      <w:bookmarkStart w:id="1363" w:name="_Ref531958158"/>
      <w:bookmarkStart w:id="1364" w:name="_Toc7300"/>
      <w:bookmarkStart w:id="1365" w:name="_Toc54862308"/>
      <w:r>
        <w:rPr>
          <w:rFonts w:hint="eastAsia" w:ascii="方正仿宋_GB2312" w:hAnsi="方正仿宋_GB2312" w:eastAsia="方正仿宋_GB2312" w:cs="方正仿宋_GB2312"/>
          <w:b w:val="0"/>
          <w:bCs/>
          <w:color w:val="auto"/>
          <w:kern w:val="2"/>
          <w:sz w:val="21"/>
          <w:szCs w:val="21"/>
          <w:highlight w:val="none"/>
          <w:lang w:val="en-US" w:eastAsia="zh-CN" w:bidi="ar-SA"/>
        </w:rPr>
        <w:t>17.1 不可抗力的</w:t>
      </w:r>
      <w:bookmarkEnd w:id="1362"/>
      <w:bookmarkEnd w:id="1363"/>
      <w:r>
        <w:rPr>
          <w:rFonts w:hint="eastAsia" w:ascii="方正仿宋_GB2312" w:hAnsi="方正仿宋_GB2312" w:eastAsia="方正仿宋_GB2312" w:cs="方正仿宋_GB2312"/>
          <w:b w:val="0"/>
          <w:bCs/>
          <w:color w:val="auto"/>
          <w:kern w:val="2"/>
          <w:sz w:val="21"/>
          <w:szCs w:val="21"/>
          <w:highlight w:val="none"/>
          <w:lang w:val="en-US" w:eastAsia="zh-CN" w:bidi="ar-SA"/>
        </w:rPr>
        <w:t>定义</w:t>
      </w:r>
      <w:bookmarkEnd w:id="1364"/>
      <w:bookmarkEnd w:id="1365"/>
    </w:p>
    <w:p w14:paraId="1CF4879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13AAECC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66" w:name="_Toc13233"/>
      <w:bookmarkStart w:id="1367" w:name="_Toc54862310"/>
      <w:r>
        <w:rPr>
          <w:rFonts w:hint="eastAsia" w:ascii="方正仿宋_GB2312" w:hAnsi="方正仿宋_GB2312" w:eastAsia="方正仿宋_GB2312" w:cs="方正仿宋_GB2312"/>
          <w:b w:val="0"/>
          <w:bCs/>
          <w:color w:val="auto"/>
          <w:kern w:val="2"/>
          <w:sz w:val="21"/>
          <w:szCs w:val="21"/>
          <w:highlight w:val="none"/>
          <w:lang w:val="en-US" w:eastAsia="zh-CN" w:bidi="ar-SA"/>
        </w:rPr>
        <w:t>17.3 将损失减至最小的义务</w:t>
      </w:r>
      <w:bookmarkEnd w:id="1366"/>
      <w:bookmarkEnd w:id="1367"/>
    </w:p>
    <w:p w14:paraId="2FF26F3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40EDD8B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68" w:name="_Toc54862309"/>
      <w:bookmarkStart w:id="1369" w:name="_Toc29212"/>
      <w:bookmarkStart w:id="1370" w:name="_Ref531958170"/>
      <w:bookmarkStart w:id="1371" w:name="_Ref531958172"/>
      <w:bookmarkStart w:id="1372" w:name="_Toc54862311"/>
      <w:bookmarkStart w:id="1373" w:name="_Ref3840916"/>
      <w:r>
        <w:rPr>
          <w:rFonts w:hint="eastAsia" w:ascii="方正仿宋_GB2312" w:hAnsi="方正仿宋_GB2312" w:eastAsia="方正仿宋_GB2312" w:cs="方正仿宋_GB2312"/>
          <w:b w:val="0"/>
          <w:bCs/>
          <w:color w:val="auto"/>
          <w:kern w:val="2"/>
          <w:sz w:val="21"/>
          <w:szCs w:val="21"/>
          <w:highlight w:val="none"/>
          <w:lang w:val="en-US" w:eastAsia="zh-CN" w:bidi="ar-SA"/>
        </w:rPr>
        <w:t>17.2 不可抗力的通知</w:t>
      </w:r>
      <w:bookmarkEnd w:id="1368"/>
      <w:bookmarkEnd w:id="1369"/>
    </w:p>
    <w:p w14:paraId="0B3F77C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合同一方当事人觉察或发现不可抗力事件发生，使其履行合同义务受到阻碍时，有义务立即通知合同另一方当事人和工程师，书面说明不可抗力和受阻碍的详细情况，并提供必要的证明。</w:t>
      </w:r>
    </w:p>
    <w:p w14:paraId="030F92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不可抗力持续发生的，合同一方当事人应每隔28天向合同另一方当事人和工程师提交中间报告，说明不可抗力和履行合同受阻的情况，并于不可抗力事件结束后28天内提交最终报告及有关资料。</w:t>
      </w:r>
    </w:p>
    <w:p w14:paraId="29CAFF90">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74" w:name="_Toc28088"/>
      <w:r>
        <w:rPr>
          <w:rFonts w:hint="eastAsia" w:ascii="方正仿宋_GB2312" w:hAnsi="方正仿宋_GB2312" w:eastAsia="方正仿宋_GB2312" w:cs="方正仿宋_GB2312"/>
          <w:b w:val="0"/>
          <w:bCs/>
          <w:color w:val="auto"/>
          <w:kern w:val="2"/>
          <w:sz w:val="21"/>
          <w:szCs w:val="21"/>
          <w:highlight w:val="none"/>
          <w:lang w:val="en-US" w:eastAsia="zh-CN" w:bidi="ar-SA"/>
        </w:rPr>
        <w:t>17.4 不可抗力后果</w:t>
      </w:r>
      <w:bookmarkEnd w:id="1370"/>
      <w:bookmarkEnd w:id="1371"/>
      <w:r>
        <w:rPr>
          <w:rFonts w:hint="eastAsia" w:ascii="方正仿宋_GB2312" w:hAnsi="方正仿宋_GB2312" w:eastAsia="方正仿宋_GB2312" w:cs="方正仿宋_GB2312"/>
          <w:b w:val="0"/>
          <w:bCs/>
          <w:color w:val="auto"/>
          <w:kern w:val="2"/>
          <w:sz w:val="21"/>
          <w:szCs w:val="21"/>
          <w:highlight w:val="none"/>
          <w:lang w:val="en-US" w:eastAsia="zh-CN" w:bidi="ar-SA"/>
        </w:rPr>
        <w:t>的承担</w:t>
      </w:r>
      <w:bookmarkEnd w:id="1372"/>
      <w:bookmarkEnd w:id="1373"/>
      <w:bookmarkEnd w:id="1374"/>
    </w:p>
    <w:p w14:paraId="34247BF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不可抗力导致的人员伤亡、财产损失、费用增加和（或）工期延误等后果，由合同当事人按以下原则承担：</w:t>
      </w:r>
    </w:p>
    <w:p w14:paraId="683C87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永久工程，包括已运至施工现场的材料和工程设备的损害，以及因工程损害造成的第三人人员伤亡和财产损失由发包人承担；</w:t>
      </w:r>
    </w:p>
    <w:p w14:paraId="7C53215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承包人提供的施工设备的损坏由承包人承担；</w:t>
      </w:r>
    </w:p>
    <w:p w14:paraId="26E9D0B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发包人和承包人各自承担其人员伤亡及其他财产损失；</w:t>
      </w:r>
    </w:p>
    <w:p w14:paraId="18C5A0B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因不可抗力影响承包人履行合同约定的义务，已经引起或将引起工期延误的，应当顺延工期，由此导致承包人停工的费用损失由发包人和承包人合理分担，</w:t>
      </w:r>
      <w:bookmarkStart w:id="1375" w:name="_Hlk51507024"/>
      <w:r>
        <w:rPr>
          <w:rFonts w:hint="eastAsia" w:ascii="方正仿宋_GB2312" w:hAnsi="方正仿宋_GB2312" w:eastAsia="方正仿宋_GB2312" w:cs="方正仿宋_GB2312"/>
          <w:color w:val="auto"/>
          <w:szCs w:val="21"/>
          <w:highlight w:val="none"/>
        </w:rPr>
        <w:t>停工期间必须支付的现场必要的工人工资</w:t>
      </w:r>
      <w:bookmarkEnd w:id="1375"/>
      <w:r>
        <w:rPr>
          <w:rFonts w:hint="eastAsia" w:ascii="方正仿宋_GB2312" w:hAnsi="方正仿宋_GB2312" w:eastAsia="方正仿宋_GB2312" w:cs="方正仿宋_GB2312"/>
          <w:color w:val="auto"/>
          <w:szCs w:val="21"/>
          <w:highlight w:val="none"/>
        </w:rPr>
        <w:t>由发包人承担；</w:t>
      </w:r>
    </w:p>
    <w:p w14:paraId="1645F8C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因不可抗力引起或将引起工期延误，发包人指示赶工的，由此增加的赶工费用由发包人承担；</w:t>
      </w:r>
    </w:p>
    <w:p w14:paraId="1A286E4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承包人在停工期间按照工程师或发包人要求照管、清理和修复工程的费用由发包人承担。</w:t>
      </w:r>
    </w:p>
    <w:p w14:paraId="41E15B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不可抗力引起的后果及造成的损失由合同当事人按照法律规定及合同约定各自承担。不可抗力发生前已完成的工程应当按照合同约定进行支付。</w:t>
      </w:r>
    </w:p>
    <w:p w14:paraId="77B0AF7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76" w:name="_Toc20029"/>
      <w:bookmarkStart w:id="1377" w:name="_Toc54862312"/>
      <w:r>
        <w:rPr>
          <w:rFonts w:hint="eastAsia" w:ascii="方正仿宋_GB2312" w:hAnsi="方正仿宋_GB2312" w:eastAsia="方正仿宋_GB2312" w:cs="方正仿宋_GB2312"/>
          <w:b w:val="0"/>
          <w:bCs/>
          <w:color w:val="auto"/>
          <w:kern w:val="2"/>
          <w:sz w:val="21"/>
          <w:szCs w:val="21"/>
          <w:highlight w:val="none"/>
          <w:lang w:val="en-US" w:eastAsia="zh-CN" w:bidi="ar-SA"/>
        </w:rPr>
        <w:t>17.5 不可抗力影响分包人</w:t>
      </w:r>
      <w:bookmarkEnd w:id="1376"/>
      <w:bookmarkEnd w:id="1377"/>
    </w:p>
    <w:p w14:paraId="2EE3417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分包人根据分包合同的约定，有权获得更多或者更广的不可抗力而免除某些义务时，承包人不得以分包合同中不可抗力约定向发包人抗辩免除其义务。</w:t>
      </w:r>
    </w:p>
    <w:p w14:paraId="40A350C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78" w:name="_Ref531958184"/>
      <w:bookmarkStart w:id="1379" w:name="_Ref531958181"/>
      <w:bookmarkStart w:id="1380" w:name="_Ref3840892"/>
      <w:bookmarkStart w:id="1381" w:name="_Toc54862313"/>
      <w:bookmarkStart w:id="1382" w:name="_Toc2771"/>
      <w:bookmarkStart w:id="1383" w:name="_Ref4538024"/>
      <w:r>
        <w:rPr>
          <w:rFonts w:hint="eastAsia" w:ascii="方正仿宋_GB2312" w:hAnsi="方正仿宋_GB2312" w:eastAsia="方正仿宋_GB2312" w:cs="方正仿宋_GB2312"/>
          <w:b w:val="0"/>
          <w:bCs/>
          <w:color w:val="auto"/>
          <w:kern w:val="2"/>
          <w:sz w:val="21"/>
          <w:szCs w:val="21"/>
          <w:highlight w:val="none"/>
          <w:lang w:val="en-US" w:eastAsia="zh-CN" w:bidi="ar-SA"/>
        </w:rPr>
        <w:t>17.6 因不可抗力解除</w:t>
      </w:r>
      <w:bookmarkEnd w:id="1378"/>
      <w:bookmarkEnd w:id="1379"/>
      <w:r>
        <w:rPr>
          <w:rFonts w:hint="eastAsia" w:ascii="方正仿宋_GB2312" w:hAnsi="方正仿宋_GB2312" w:eastAsia="方正仿宋_GB2312" w:cs="方正仿宋_GB2312"/>
          <w:b w:val="0"/>
          <w:bCs/>
          <w:color w:val="auto"/>
          <w:kern w:val="2"/>
          <w:sz w:val="21"/>
          <w:szCs w:val="21"/>
          <w:highlight w:val="none"/>
          <w:lang w:val="en-US" w:eastAsia="zh-CN" w:bidi="ar-SA"/>
        </w:rPr>
        <w:t>合同</w:t>
      </w:r>
      <w:bookmarkEnd w:id="1380"/>
      <w:bookmarkEnd w:id="1381"/>
      <w:bookmarkEnd w:id="1382"/>
      <w:bookmarkEnd w:id="1383"/>
    </w:p>
    <w:p w14:paraId="6FA0E86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6911002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合同解除前承包人已完成工作的价款；</w:t>
      </w:r>
    </w:p>
    <w:p w14:paraId="47F9D2B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1BB0AA9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发包人指示承包人退货或解除订货合同而产生的费用，或因不能退货或解除合同而产生的损失；</w:t>
      </w:r>
    </w:p>
    <w:p w14:paraId="6E93476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承包人撤离施工现场以及遣散承包人人员的费用；</w:t>
      </w:r>
    </w:p>
    <w:p w14:paraId="0AF02D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按照合同约定在合同解除前应支付给承包人的其他款项；</w:t>
      </w:r>
    </w:p>
    <w:p w14:paraId="439B9D9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扣减承包人按照合同约定应向发包人支付的款项；</w:t>
      </w:r>
    </w:p>
    <w:p w14:paraId="234F82A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 双方商定或确定的其他款项。</w:t>
      </w:r>
    </w:p>
    <w:p w14:paraId="18D5884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除专用合同条件另有约定外，合同解除后，发包人应当在商定或确定上述款项后28天内完成上述款项的支付。</w:t>
      </w:r>
    </w:p>
    <w:p w14:paraId="6FE6D445">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84" w:name="_Ref11848274"/>
      <w:bookmarkStart w:id="1385" w:name="_Toc29196"/>
      <w:bookmarkStart w:id="1386" w:name="_Toc54862314"/>
      <w:bookmarkStart w:id="1387" w:name="_Ref11848264"/>
      <w:r>
        <w:rPr>
          <w:rFonts w:hint="eastAsia" w:ascii="方正仿宋_GB2312" w:hAnsi="方正仿宋_GB2312" w:eastAsia="方正仿宋_GB2312" w:cs="方正仿宋_GB2312"/>
          <w:b w:val="0"/>
          <w:bCs/>
          <w:color w:val="auto"/>
          <w:kern w:val="2"/>
          <w:sz w:val="28"/>
          <w:szCs w:val="28"/>
          <w:highlight w:val="none"/>
          <w:lang w:val="en-US" w:eastAsia="zh-CN" w:bidi="ar-SA"/>
        </w:rPr>
        <w:t>第18条 保险</w:t>
      </w:r>
      <w:bookmarkEnd w:id="1361"/>
      <w:bookmarkEnd w:id="1384"/>
      <w:bookmarkEnd w:id="1385"/>
      <w:bookmarkEnd w:id="1386"/>
      <w:bookmarkEnd w:id="1387"/>
    </w:p>
    <w:p w14:paraId="2B19B7F7">
      <w:pPr>
        <w:keepNext w:val="0"/>
        <w:keepLines w:val="0"/>
        <w:pageBreakBefore w:val="0"/>
        <w:widowControl/>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88" w:name="_Toc54862315"/>
      <w:bookmarkStart w:id="1389" w:name="_Toc32544"/>
      <w:bookmarkStart w:id="1390" w:name="_Ref3840730"/>
      <w:bookmarkStart w:id="1391" w:name="_Ref3840734"/>
      <w:bookmarkStart w:id="1392" w:name="_Ref531957914"/>
      <w:bookmarkStart w:id="1393" w:name="_Ref531957911"/>
      <w:bookmarkStart w:id="1394" w:name="_Toc351203616"/>
      <w:r>
        <w:rPr>
          <w:rFonts w:hint="eastAsia" w:ascii="方正仿宋_GB2312" w:hAnsi="方正仿宋_GB2312" w:eastAsia="方正仿宋_GB2312" w:cs="方正仿宋_GB2312"/>
          <w:b w:val="0"/>
          <w:bCs/>
          <w:color w:val="auto"/>
          <w:kern w:val="2"/>
          <w:sz w:val="21"/>
          <w:szCs w:val="21"/>
          <w:highlight w:val="none"/>
          <w:lang w:val="en-US" w:eastAsia="zh-CN" w:bidi="ar-SA"/>
        </w:rPr>
        <w:t>18.1 设计和工程保险</w:t>
      </w:r>
      <w:bookmarkEnd w:id="1388"/>
      <w:bookmarkEnd w:id="1389"/>
      <w:bookmarkEnd w:id="1390"/>
      <w:bookmarkEnd w:id="1391"/>
    </w:p>
    <w:bookmarkEnd w:id="1392"/>
    <w:bookmarkEnd w:id="1393"/>
    <w:p w14:paraId="6B6964F8">
      <w:pPr>
        <w:keepNext w:val="0"/>
        <w:keepLines w:val="0"/>
        <w:pageBreakBefore w:val="0"/>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4A727D55">
      <w:pPr>
        <w:keepNext w:val="0"/>
        <w:keepLines w:val="0"/>
        <w:pageBreakBefore w:val="0"/>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18.1.2 双方应按照专用合同条件的约定投保第三者责任险，并在缺陷责任期终止证书颁发前维持其持续有效。第三者责任险最低投保额应在专用合同条件内约定。</w:t>
      </w:r>
    </w:p>
    <w:p w14:paraId="527ABAB1">
      <w:pPr>
        <w:keepNext w:val="0"/>
        <w:keepLines w:val="0"/>
        <w:pageBreakBefore w:val="0"/>
        <w:widowControl/>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95" w:name="_Toc54862316"/>
      <w:bookmarkStart w:id="1396" w:name="_Ref3840683"/>
      <w:bookmarkStart w:id="1397" w:name="_Toc661"/>
      <w:r>
        <w:rPr>
          <w:rFonts w:hint="eastAsia" w:ascii="方正仿宋_GB2312" w:hAnsi="方正仿宋_GB2312" w:eastAsia="方正仿宋_GB2312" w:cs="方正仿宋_GB2312"/>
          <w:b w:val="0"/>
          <w:bCs/>
          <w:color w:val="auto"/>
          <w:kern w:val="2"/>
          <w:sz w:val="21"/>
          <w:szCs w:val="21"/>
          <w:highlight w:val="none"/>
          <w:lang w:val="en-US" w:eastAsia="zh-CN" w:bidi="ar-SA"/>
        </w:rPr>
        <w:t>18.2 工伤和意外伤害保险</w:t>
      </w:r>
      <w:bookmarkEnd w:id="1395"/>
      <w:bookmarkEnd w:id="1396"/>
      <w:bookmarkEnd w:id="1397"/>
    </w:p>
    <w:p w14:paraId="0FA770F7">
      <w:pPr>
        <w:keepNext w:val="0"/>
        <w:keepLines w:val="0"/>
        <w:pageBreakBefore w:val="0"/>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18.2.1 发包人应依照法律规定为其在施工现场的雇用人员办理工伤保险，并缴纳工伤保险费；并要求工程师及由发包人为履行合同聘请的第三方在施工现场的雇用人员依法办理工伤保险。</w:t>
      </w:r>
    </w:p>
    <w:p w14:paraId="648B9020">
      <w:pPr>
        <w:keepNext w:val="0"/>
        <w:keepLines w:val="0"/>
        <w:pageBreakBefore w:val="0"/>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18.2.2 承包人应依照法律规定为其履行合同雇用的全部人员办理工伤保险，并缴纳工伤保险费，并要求分包人及由承包人为履行合同聘请的第三方雇用的全部人员依法办理工伤保险。</w:t>
      </w:r>
    </w:p>
    <w:p w14:paraId="25070354">
      <w:pPr>
        <w:keepNext w:val="0"/>
        <w:keepLines w:val="0"/>
        <w:pageBreakBefore w:val="0"/>
        <w:tabs>
          <w:tab w:val="left" w:pos="851"/>
        </w:tabs>
        <w:kinsoku/>
        <w:wordWrap/>
        <w:overflowPunct/>
        <w:topLinePunct w:val="0"/>
        <w:autoSpaceDE/>
        <w:autoSpaceDN/>
        <w:bidi w:val="0"/>
        <w:adjustRightInd w:val="0"/>
        <w:snapToGrid w:val="0"/>
        <w:spacing w:before="0" w:after="0" w:line="360" w:lineRule="auto"/>
        <w:ind w:left="0" w:firstLine="420" w:firstLineChars="20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18.2.3 发包人和承包人可以为其施工现场的全部人员办理意外伤害保险并支付保险费，包括其员工及为履行合同聘请的第三方的人员，具体事项由合同当事人在专用合同条件约定。</w:t>
      </w:r>
    </w:p>
    <w:p w14:paraId="6CC9DAD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398" w:name="_Toc24408"/>
      <w:bookmarkStart w:id="1399" w:name="_Ref3840782"/>
      <w:bookmarkStart w:id="1400" w:name="_Toc54862317"/>
      <w:r>
        <w:rPr>
          <w:rFonts w:hint="eastAsia" w:ascii="方正仿宋_GB2312" w:hAnsi="方正仿宋_GB2312" w:eastAsia="方正仿宋_GB2312" w:cs="方正仿宋_GB2312"/>
          <w:b w:val="0"/>
          <w:bCs/>
          <w:color w:val="auto"/>
          <w:kern w:val="2"/>
          <w:sz w:val="21"/>
          <w:szCs w:val="21"/>
          <w:highlight w:val="none"/>
          <w:lang w:val="en-US" w:eastAsia="zh-CN" w:bidi="ar-SA"/>
        </w:rPr>
        <w:t>18.3 货物保险</w:t>
      </w:r>
      <w:bookmarkEnd w:id="1398"/>
      <w:bookmarkEnd w:id="1399"/>
      <w:bookmarkEnd w:id="1400"/>
    </w:p>
    <w:p w14:paraId="61D558C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w:t>
      </w:r>
      <w:r>
        <w:rPr>
          <w:rFonts w:hint="eastAsia" w:ascii="方正仿宋_GB2312" w:hAnsi="方正仿宋_GB2312" w:eastAsia="方正仿宋_GB2312" w:cs="方正仿宋_GB2312"/>
          <w:iCs/>
          <w:color w:val="auto"/>
          <w:szCs w:val="21"/>
          <w:highlight w:val="none"/>
        </w:rPr>
        <w:t>按照</w:t>
      </w:r>
      <w:r>
        <w:rPr>
          <w:rFonts w:hint="eastAsia" w:ascii="方正仿宋_GB2312" w:hAnsi="方正仿宋_GB2312" w:eastAsia="方正仿宋_GB2312" w:cs="方正仿宋_GB2312"/>
          <w:color w:val="auto"/>
          <w:szCs w:val="21"/>
          <w:highlight w:val="none"/>
        </w:rPr>
        <w:t>专用合同条件的约定为</w:t>
      </w:r>
      <w:r>
        <w:rPr>
          <w:rFonts w:hint="eastAsia" w:ascii="方正仿宋_GB2312" w:hAnsi="方正仿宋_GB2312" w:eastAsia="方正仿宋_GB2312" w:cs="方正仿宋_GB2312"/>
          <w:iCs/>
          <w:color w:val="auto"/>
          <w:szCs w:val="21"/>
          <w:highlight w:val="none"/>
        </w:rPr>
        <w:t>运抵现场的</w:t>
      </w:r>
      <w:r>
        <w:rPr>
          <w:rFonts w:hint="eastAsia" w:ascii="方正仿宋_GB2312" w:hAnsi="方正仿宋_GB2312" w:eastAsia="方正仿宋_GB2312" w:cs="方正仿宋_GB2312"/>
          <w:color w:val="auto"/>
          <w:szCs w:val="21"/>
          <w:highlight w:val="none"/>
        </w:rPr>
        <w:t>施工设备、材料、工程设备和临时工程等办理财产保险，保险期限自上述货物运抵现场至其不再为工程所需要为止。</w:t>
      </w:r>
    </w:p>
    <w:p w14:paraId="138914F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01" w:name="_Toc7710"/>
      <w:bookmarkStart w:id="1402" w:name="_Toc54862318"/>
      <w:bookmarkStart w:id="1403" w:name="_Ref4692231"/>
      <w:bookmarkStart w:id="1404" w:name="_Ref4692238"/>
      <w:r>
        <w:rPr>
          <w:rFonts w:hint="eastAsia" w:ascii="方正仿宋_GB2312" w:hAnsi="方正仿宋_GB2312" w:eastAsia="方正仿宋_GB2312" w:cs="方正仿宋_GB2312"/>
          <w:b w:val="0"/>
          <w:bCs/>
          <w:color w:val="auto"/>
          <w:kern w:val="2"/>
          <w:sz w:val="21"/>
          <w:szCs w:val="21"/>
          <w:highlight w:val="none"/>
          <w:lang w:val="en-US" w:eastAsia="zh-CN" w:bidi="ar-SA"/>
        </w:rPr>
        <w:t>18.4 其他保险</w:t>
      </w:r>
      <w:bookmarkEnd w:id="1401"/>
      <w:bookmarkEnd w:id="1402"/>
      <w:bookmarkEnd w:id="1403"/>
      <w:bookmarkEnd w:id="1404"/>
    </w:p>
    <w:p w14:paraId="5270430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发包人应按照工程总承包模式所适用的法律法规和专用合同条件约定，投保其他保险并保持保险有效，其投保费</w:t>
      </w:r>
      <w:r>
        <w:rPr>
          <w:rFonts w:hint="eastAsia" w:ascii="方正仿宋_GB2312" w:hAnsi="方正仿宋_GB2312" w:eastAsia="方正仿宋_GB2312" w:cs="方正仿宋_GB2312"/>
          <w:color w:val="auto"/>
          <w:szCs w:val="21"/>
          <w:highlight w:val="none"/>
          <w:lang w:eastAsia="zh-CN"/>
        </w:rPr>
        <w:t>用由</w:t>
      </w:r>
      <w:r>
        <w:rPr>
          <w:rFonts w:hint="eastAsia" w:ascii="方正仿宋_GB2312" w:hAnsi="方正仿宋_GB2312" w:eastAsia="方正仿宋_GB2312" w:cs="方正仿宋_GB2312"/>
          <w:color w:val="auto"/>
          <w:szCs w:val="21"/>
          <w:highlight w:val="none"/>
        </w:rPr>
        <w:t>发包人自行承担。承包人应按照工程总承包模式所适用法律法规和专用合同条件约定投保相应保险并保持保险有效，其投</w:t>
      </w:r>
      <w:bookmarkEnd w:id="1394"/>
      <w:r>
        <w:rPr>
          <w:rFonts w:hint="eastAsia" w:ascii="方正仿宋_GB2312" w:hAnsi="方正仿宋_GB2312" w:eastAsia="方正仿宋_GB2312" w:cs="方正仿宋_GB2312"/>
          <w:color w:val="auto"/>
          <w:szCs w:val="21"/>
          <w:highlight w:val="none"/>
        </w:rPr>
        <w:t>保费用包含在合同价格中，但在合同执行过程中，新颁布适用的法律法规规定由承包人投保的强制保险，应根据本合同</w:t>
      </w:r>
      <w:bookmarkStart w:id="1405" w:name="_Toc351203617"/>
      <w:bookmarkStart w:id="1406" w:name="_Toc337558832"/>
      <w:bookmarkStart w:id="1407" w:name="_Toc296503126"/>
      <w:bookmarkStart w:id="1408" w:name="_Toc296346627"/>
      <w:r>
        <w:rPr>
          <w:rFonts w:hint="eastAsia" w:ascii="方正仿宋_GB2312" w:hAnsi="方正仿宋_GB2312" w:eastAsia="方正仿宋_GB2312" w:cs="方正仿宋_GB2312"/>
          <w:color w:val="auto"/>
          <w:szCs w:val="21"/>
          <w:highlight w:val="none"/>
        </w:rPr>
        <w:t>第13条[变更与调整]的约定增加合同价款。</w:t>
      </w:r>
    </w:p>
    <w:p w14:paraId="3FA162A8">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09" w:name="_Ref3840659"/>
      <w:bookmarkStart w:id="1410" w:name="_Toc842"/>
      <w:bookmarkStart w:id="1411" w:name="_Toc54862319"/>
      <w:r>
        <w:rPr>
          <w:rFonts w:hint="eastAsia" w:ascii="方正仿宋_GB2312" w:hAnsi="方正仿宋_GB2312" w:eastAsia="方正仿宋_GB2312" w:cs="方正仿宋_GB2312"/>
          <w:b w:val="0"/>
          <w:bCs/>
          <w:color w:val="auto"/>
          <w:kern w:val="2"/>
          <w:sz w:val="21"/>
          <w:szCs w:val="21"/>
          <w:highlight w:val="none"/>
          <w:lang w:val="en-US" w:eastAsia="zh-CN" w:bidi="ar-SA"/>
        </w:rPr>
        <w:t>18.5 对各项保险的一般要求</w:t>
      </w:r>
      <w:bookmarkEnd w:id="1409"/>
      <w:bookmarkEnd w:id="1410"/>
      <w:bookmarkEnd w:id="1411"/>
    </w:p>
    <w:p w14:paraId="0D9FCF44">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18.5.1 持续保险</w:t>
      </w:r>
    </w:p>
    <w:p w14:paraId="257BCB1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合同当事人应与保险人保持联系，使保险人能够随时了</w:t>
      </w:r>
      <w:bookmarkEnd w:id="1405"/>
      <w:r>
        <w:rPr>
          <w:rFonts w:hint="eastAsia" w:ascii="方正仿宋_GB2312" w:hAnsi="方正仿宋_GB2312" w:eastAsia="方正仿宋_GB2312" w:cs="方正仿宋_GB2312"/>
          <w:color w:val="auto"/>
          <w:szCs w:val="21"/>
          <w:highlight w:val="none"/>
        </w:rPr>
        <w:t>解</w:t>
      </w:r>
      <w:bookmarkEnd w:id="1406"/>
      <w:bookmarkEnd w:id="1407"/>
      <w:bookmarkEnd w:id="1408"/>
      <w:r>
        <w:rPr>
          <w:rFonts w:hint="eastAsia" w:ascii="方正仿宋_GB2312" w:hAnsi="方正仿宋_GB2312" w:eastAsia="方正仿宋_GB2312" w:cs="方正仿宋_GB2312"/>
          <w:color w:val="auto"/>
          <w:szCs w:val="21"/>
          <w:highlight w:val="none"/>
        </w:rPr>
        <w:t>工程实施中的变动，并确保按保险合同条款要求持续保险。</w:t>
      </w:r>
    </w:p>
    <w:p w14:paraId="3D11736A">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412" w:name="_Ref4777650"/>
      <w:r>
        <w:rPr>
          <w:rFonts w:hint="eastAsia" w:ascii="方正仿宋_GB2312" w:hAnsi="方正仿宋_GB2312" w:eastAsia="方正仿宋_GB2312" w:cs="方正仿宋_GB2312"/>
          <w:color w:val="auto"/>
          <w:kern w:val="2"/>
          <w:sz w:val="21"/>
          <w:szCs w:val="21"/>
          <w:highlight w:val="none"/>
          <w:lang w:val="en-US" w:eastAsia="zh-CN" w:bidi="ar-SA"/>
        </w:rPr>
        <w:t>18.5.2 保险凭证</w:t>
      </w:r>
      <w:bookmarkEnd w:id="1412"/>
    </w:p>
    <w:p w14:paraId="0A5CBE7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合同当事人应及时向另一方当事人提交其已投保的各项保险的凭证和保险单复印件，保险单必须与专用合同条件约定的条件保持一致。</w:t>
      </w:r>
    </w:p>
    <w:p w14:paraId="2A7D701C">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18.5.3 未按约定投保的补救</w:t>
      </w:r>
    </w:p>
    <w:p w14:paraId="3F09992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负有投保义务的一方当事人未按合同约定办理保险，或未能使保险持续有效的，则另一方当事人可代为办理，所需费用由负有投保义务的一方当事人承担。</w:t>
      </w:r>
    </w:p>
    <w:p w14:paraId="175C0A3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负有投保</w:t>
      </w:r>
      <w:bookmarkStart w:id="1413" w:name="_Toc351203619"/>
      <w:bookmarkStart w:id="1414" w:name="_Toc337558834"/>
      <w:r>
        <w:rPr>
          <w:rFonts w:hint="eastAsia" w:ascii="方正仿宋_GB2312" w:hAnsi="方正仿宋_GB2312" w:eastAsia="方正仿宋_GB2312" w:cs="方正仿宋_GB2312"/>
          <w:color w:val="auto"/>
          <w:szCs w:val="21"/>
          <w:highlight w:val="none"/>
        </w:rPr>
        <w:t>义务的一方当事人未</w:t>
      </w:r>
      <w:bookmarkEnd w:id="1413"/>
      <w:r>
        <w:rPr>
          <w:rFonts w:hint="eastAsia" w:ascii="方正仿宋_GB2312" w:hAnsi="方正仿宋_GB2312" w:eastAsia="方正仿宋_GB2312" w:cs="方正仿宋_GB2312"/>
          <w:color w:val="auto"/>
          <w:szCs w:val="21"/>
          <w:highlight w:val="none"/>
        </w:rPr>
        <w:t>按</w:t>
      </w:r>
      <w:bookmarkEnd w:id="1414"/>
      <w:r>
        <w:rPr>
          <w:rFonts w:hint="eastAsia" w:ascii="方正仿宋_GB2312" w:hAnsi="方正仿宋_GB2312" w:eastAsia="方正仿宋_GB2312" w:cs="方正仿宋_GB2312"/>
          <w:color w:val="auto"/>
          <w:szCs w:val="21"/>
          <w:highlight w:val="none"/>
        </w:rPr>
        <w:t>合同约定办理某项保险，导致受益人未能得到足额赔偿的，由负有投保义务的一方当事人负责按照原应从该项保险得到的保险金数额进行补足。</w:t>
      </w:r>
    </w:p>
    <w:p w14:paraId="6F3FF7D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415" w:name="_Ref4692685"/>
      <w:r>
        <w:rPr>
          <w:rFonts w:hint="eastAsia" w:ascii="方正仿宋_GB2312" w:hAnsi="方正仿宋_GB2312" w:eastAsia="方正仿宋_GB2312" w:cs="方正仿宋_GB2312"/>
          <w:color w:val="auto"/>
          <w:kern w:val="2"/>
          <w:sz w:val="21"/>
          <w:szCs w:val="21"/>
          <w:highlight w:val="none"/>
          <w:lang w:val="en-US" w:eastAsia="zh-CN" w:bidi="ar-SA"/>
        </w:rPr>
        <w:t>18.5.4 通知义务</w:t>
      </w:r>
      <w:bookmarkEnd w:id="1415"/>
    </w:p>
    <w:p w14:paraId="7680952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除专用合同条件另有约定外，任何一方当事人变更除工伤保险之外的保险合同时，应事先征得另一方当事人同意，并通知工程师。</w:t>
      </w:r>
    </w:p>
    <w:p w14:paraId="06D63E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保险事故发生时，投保人应按照保险合同规定的条件和期限及时向保险人报告。发包人和承包人应当在知道保险事故发生后及时通知对方。</w:t>
      </w:r>
    </w:p>
    <w:p w14:paraId="03F6754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双方按本条规定投保不减少双方在合同下的其他义务。</w:t>
      </w:r>
    </w:p>
    <w:p w14:paraId="4F2738B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16" w:name="_Ref11874997"/>
      <w:bookmarkStart w:id="1417" w:name="_Toc54862320"/>
      <w:bookmarkStart w:id="1418" w:name="_Toc19772"/>
      <w:r>
        <w:rPr>
          <w:rFonts w:hint="eastAsia" w:ascii="方正仿宋_GB2312" w:hAnsi="方正仿宋_GB2312" w:eastAsia="方正仿宋_GB2312" w:cs="方正仿宋_GB2312"/>
          <w:b w:val="0"/>
          <w:bCs/>
          <w:color w:val="auto"/>
          <w:kern w:val="2"/>
          <w:sz w:val="28"/>
          <w:szCs w:val="28"/>
          <w:highlight w:val="none"/>
          <w:lang w:val="en-US" w:eastAsia="zh-CN" w:bidi="ar-SA"/>
        </w:rPr>
        <w:t>第19条 索赔</w:t>
      </w:r>
      <w:bookmarkEnd w:id="1336"/>
      <w:bookmarkEnd w:id="1337"/>
      <w:bookmarkEnd w:id="1416"/>
      <w:bookmarkEnd w:id="1417"/>
      <w:bookmarkEnd w:id="1418"/>
    </w:p>
    <w:p w14:paraId="1058CB9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19" w:name="_Ref4798173"/>
      <w:bookmarkStart w:id="1420" w:name="_Ref4798164"/>
      <w:bookmarkStart w:id="1421" w:name="_Toc10555"/>
      <w:bookmarkStart w:id="1422" w:name="_Toc54862321"/>
      <w:r>
        <w:rPr>
          <w:rFonts w:hint="eastAsia" w:ascii="方正仿宋_GB2312" w:hAnsi="方正仿宋_GB2312" w:eastAsia="方正仿宋_GB2312" w:cs="方正仿宋_GB2312"/>
          <w:b w:val="0"/>
          <w:bCs/>
          <w:color w:val="auto"/>
          <w:kern w:val="2"/>
          <w:sz w:val="21"/>
          <w:szCs w:val="21"/>
          <w:highlight w:val="none"/>
          <w:lang w:val="en-US" w:eastAsia="zh-CN" w:bidi="ar-SA"/>
        </w:rPr>
        <w:t>19.1 索赔</w:t>
      </w:r>
      <w:bookmarkEnd w:id="1419"/>
      <w:bookmarkEnd w:id="1420"/>
      <w:r>
        <w:rPr>
          <w:rFonts w:hint="eastAsia" w:ascii="方正仿宋_GB2312" w:hAnsi="方正仿宋_GB2312" w:eastAsia="方正仿宋_GB2312" w:cs="方正仿宋_GB2312"/>
          <w:b w:val="0"/>
          <w:bCs/>
          <w:color w:val="auto"/>
          <w:kern w:val="2"/>
          <w:sz w:val="21"/>
          <w:szCs w:val="21"/>
          <w:highlight w:val="none"/>
          <w:lang w:val="en-US" w:eastAsia="zh-CN" w:bidi="ar-SA"/>
        </w:rPr>
        <w:t>的提出</w:t>
      </w:r>
      <w:bookmarkEnd w:id="1421"/>
      <w:bookmarkEnd w:id="1422"/>
    </w:p>
    <w:p w14:paraId="3BFAB0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根据合同约定，任意一方认为有权得到追加/减少付款、延长缺陷责任期和（或）延长工期的，应按以下程序向对方提出索赔：</w:t>
      </w:r>
    </w:p>
    <w:p w14:paraId="0B4FC1E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0590812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索赔方应在发出索赔意向通知书后28天内，向对方正式递交索赔报告；索赔报告应详细说明索赔理由以及要求追加的付款金额、延长缺陷责任期和（或）延长的工期，并附必要的记录和证明材料；</w:t>
      </w:r>
    </w:p>
    <w:p w14:paraId="14D5556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索赔事件具有持续影响的，索赔方应每月递交延续索赔通知，说明持续影响的实际情况和记录，列出累计的追加付款金额、延长缺陷责任期和（或）工期延长天数；</w:t>
      </w:r>
    </w:p>
    <w:p w14:paraId="6E7A2AF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423" w:name="_Ref4796178"/>
      <w:r>
        <w:rPr>
          <w:rFonts w:hint="eastAsia" w:ascii="方正仿宋_GB2312" w:hAnsi="方正仿宋_GB2312" w:eastAsia="方正仿宋_GB2312" w:cs="方正仿宋_GB2312"/>
          <w:color w:val="auto"/>
          <w:szCs w:val="21"/>
          <w:highlight w:val="none"/>
        </w:rPr>
        <w:t>（4） 在索赔事件影响结束后28天内，索赔方应向对方递交最终索赔报告，说明最终要求索赔的追加付款金额、延长缺陷责任期和（或）延长的工期，并附必要的记录和证明材料。</w:t>
      </w:r>
      <w:bookmarkEnd w:id="1423"/>
    </w:p>
    <w:p w14:paraId="49D0D26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16AAC5F4">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24" w:name="_Ref4796254"/>
      <w:bookmarkStart w:id="1425" w:name="_Ref4796262"/>
      <w:bookmarkStart w:id="1426" w:name="_Toc54862322"/>
      <w:bookmarkStart w:id="1427" w:name="_Toc13615"/>
      <w:r>
        <w:rPr>
          <w:rFonts w:hint="eastAsia" w:ascii="方正仿宋_GB2312" w:hAnsi="方正仿宋_GB2312" w:eastAsia="方正仿宋_GB2312" w:cs="方正仿宋_GB2312"/>
          <w:b w:val="0"/>
          <w:bCs/>
          <w:color w:val="auto"/>
          <w:kern w:val="2"/>
          <w:sz w:val="21"/>
          <w:szCs w:val="21"/>
          <w:highlight w:val="none"/>
          <w:lang w:val="en-US" w:eastAsia="zh-CN" w:bidi="ar-SA"/>
        </w:rPr>
        <w:t>19.2 承包人索赔的处理程序</w:t>
      </w:r>
      <w:bookmarkEnd w:id="1424"/>
      <w:bookmarkEnd w:id="1425"/>
      <w:bookmarkEnd w:id="1426"/>
      <w:bookmarkEnd w:id="1427"/>
    </w:p>
    <w:p w14:paraId="2FD7959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工程师收到承包人提交的索赔报告后，应及时审查索赔报告的内容、查验承包人的记录和证明材料，必要时工程师可要求承包人提交全部原始记录副本。</w:t>
      </w:r>
    </w:p>
    <w:p w14:paraId="2FA4862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工程师应按第3.6款[商定或确定]商定或确定追加的付款和（或）延长的工期，并在收到上述索赔报告或有关索赔的进一步证明材料后及时书面告知发包人，并在42天内，将发包人书面认</w:t>
      </w:r>
      <w:r>
        <w:rPr>
          <w:rFonts w:hint="eastAsia" w:ascii="方正仿宋_GB2312" w:hAnsi="方正仿宋_GB2312" w:eastAsia="方正仿宋_GB2312" w:cs="方正仿宋_GB2312"/>
          <w:color w:val="auto"/>
          <w:szCs w:val="21"/>
          <w:highlight w:val="none"/>
          <w:lang w:eastAsia="zh-CN"/>
        </w:rPr>
        <w:t>氢化可的松</w:t>
      </w:r>
      <w:r>
        <w:rPr>
          <w:rFonts w:hint="eastAsia" w:ascii="方正仿宋_GB2312" w:hAnsi="方正仿宋_GB2312" w:eastAsia="方正仿宋_GB2312" w:cs="方正仿宋_GB2312"/>
          <w:color w:val="auto"/>
          <w:szCs w:val="21"/>
          <w:highlight w:val="none"/>
        </w:rPr>
        <w:t>赔处理结果答复承包人。工程师在收到索赔报告或有关索赔的进一步证明材料后的42天内不予答复的，视为认可索赔。</w:t>
      </w:r>
    </w:p>
    <w:p w14:paraId="3E9F86D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承包人接受索赔处理结果的，发包人应在作出索赔处理结果答复后28天内完成支付。承包人不接受索赔处理结果的，按照第20条[争议解决]约定处理。</w:t>
      </w:r>
    </w:p>
    <w:p w14:paraId="3F8D8BD6">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28" w:name="_Toc54862323"/>
      <w:bookmarkStart w:id="1429" w:name="_Toc2347"/>
      <w:r>
        <w:rPr>
          <w:rFonts w:hint="eastAsia" w:ascii="方正仿宋_GB2312" w:hAnsi="方正仿宋_GB2312" w:eastAsia="方正仿宋_GB2312" w:cs="方正仿宋_GB2312"/>
          <w:b w:val="0"/>
          <w:bCs/>
          <w:color w:val="auto"/>
          <w:kern w:val="2"/>
          <w:sz w:val="21"/>
          <w:szCs w:val="21"/>
          <w:highlight w:val="none"/>
          <w:lang w:val="en-US" w:eastAsia="zh-CN" w:bidi="ar-SA"/>
        </w:rPr>
        <w:t>19.3 发包人索赔的处理程序</w:t>
      </w:r>
      <w:bookmarkEnd w:id="1428"/>
      <w:bookmarkEnd w:id="1429"/>
    </w:p>
    <w:p w14:paraId="7BB926F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承包人收到发包人提交的索赔报告后，应及时审查索赔报告的内容、查验发包人证明材料；</w:t>
      </w:r>
    </w:p>
    <w:p w14:paraId="2CD76D9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承包人应在收到上述索赔报告或有关索赔的进一步证明材料后42天内，将索赔处理结果答复发包人。承包人在收到索赔通知书或有关索赔的进一步证明材料后的42天内不予答复的，视为认可索赔。</w:t>
      </w:r>
    </w:p>
    <w:p w14:paraId="12FB10F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发包人接受索赔处理结果的，发包人可从应支付给承包人的合同价款中扣除赔付的金额或延长缺陷责任期；发包人不接受索赔处理结果的，按第20条[争议解决]约定处理。</w:t>
      </w:r>
    </w:p>
    <w:p w14:paraId="4DAFB6C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30" w:name="_Toc24221"/>
      <w:bookmarkStart w:id="1431" w:name="_Toc54862324"/>
      <w:r>
        <w:rPr>
          <w:rFonts w:hint="eastAsia" w:ascii="方正仿宋_GB2312" w:hAnsi="方正仿宋_GB2312" w:eastAsia="方正仿宋_GB2312" w:cs="方正仿宋_GB2312"/>
          <w:b w:val="0"/>
          <w:bCs/>
          <w:color w:val="auto"/>
          <w:kern w:val="2"/>
          <w:sz w:val="21"/>
          <w:szCs w:val="21"/>
          <w:highlight w:val="none"/>
          <w:lang w:val="en-US" w:eastAsia="zh-CN" w:bidi="ar-SA"/>
        </w:rPr>
        <w:t>19.4 提出索赔的期限</w:t>
      </w:r>
      <w:bookmarkEnd w:id="1430"/>
      <w:bookmarkEnd w:id="1431"/>
    </w:p>
    <w:p w14:paraId="3A34DCE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承包人按第14.5款[竣工结算</w:t>
      </w:r>
      <w:bookmarkStart w:id="1432" w:name="_Ref3826629"/>
      <w:bookmarkStart w:id="1433" w:name="_Ref3826634"/>
      <w:r>
        <w:rPr>
          <w:rFonts w:hint="eastAsia" w:ascii="方正仿宋_GB2312" w:hAnsi="方正仿宋_GB2312" w:eastAsia="方正仿宋_GB2312" w:cs="方正仿宋_GB2312"/>
          <w:color w:val="auto"/>
          <w:szCs w:val="21"/>
          <w:highlight w:val="none"/>
        </w:rPr>
        <w:t>]约定接收竣工付款证书后，应被认为已无权再提出在合同工程接收证书颁发前所发生的任何索赔。</w:t>
      </w:r>
    </w:p>
    <w:p w14:paraId="6BD2528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承包人按第14.7款[最终结清]提交的最终结清申请单中，只限于提出工程接收证书颁发后发生的索赔。提出索赔的期限均自接受最终结清证书时终止。</w:t>
      </w:r>
      <w:bookmarkEnd w:id="1432"/>
      <w:bookmarkEnd w:id="1433"/>
    </w:p>
    <w:p w14:paraId="7E3D7C0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8"/>
          <w:szCs w:val="28"/>
          <w:highlight w:val="none"/>
          <w:lang w:val="en-US" w:eastAsia="zh-CN" w:bidi="ar-SA"/>
        </w:rPr>
      </w:pPr>
      <w:bookmarkStart w:id="1434" w:name="_Toc54862325"/>
      <w:bookmarkStart w:id="1435" w:name="_Ref532197861"/>
      <w:bookmarkStart w:id="1436" w:name="_Ref532142075"/>
      <w:bookmarkStart w:id="1437" w:name="_Toc32587"/>
      <w:r>
        <w:rPr>
          <w:rFonts w:hint="eastAsia" w:ascii="方正仿宋_GB2312" w:hAnsi="方正仿宋_GB2312" w:eastAsia="方正仿宋_GB2312" w:cs="方正仿宋_GB2312"/>
          <w:b w:val="0"/>
          <w:bCs/>
          <w:color w:val="auto"/>
          <w:kern w:val="2"/>
          <w:sz w:val="28"/>
          <w:szCs w:val="28"/>
          <w:highlight w:val="none"/>
          <w:lang w:val="en-US" w:eastAsia="zh-CN" w:bidi="ar-SA"/>
        </w:rPr>
        <w:t>第20条 争议解决</w:t>
      </w:r>
      <w:bookmarkEnd w:id="1434"/>
      <w:bookmarkEnd w:id="1435"/>
      <w:bookmarkEnd w:id="1436"/>
      <w:bookmarkEnd w:id="1437"/>
    </w:p>
    <w:p w14:paraId="3CD5BAED">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38" w:name="_Toc54862326"/>
      <w:bookmarkStart w:id="1439" w:name="_Toc15009"/>
      <w:bookmarkStart w:id="1440" w:name="_Ref415507198"/>
      <w:r>
        <w:rPr>
          <w:rFonts w:hint="eastAsia" w:ascii="方正仿宋_GB2312" w:hAnsi="方正仿宋_GB2312" w:eastAsia="方正仿宋_GB2312" w:cs="方正仿宋_GB2312"/>
          <w:b w:val="0"/>
          <w:bCs/>
          <w:color w:val="auto"/>
          <w:kern w:val="2"/>
          <w:sz w:val="21"/>
          <w:szCs w:val="21"/>
          <w:highlight w:val="none"/>
          <w:lang w:val="en-US" w:eastAsia="zh-CN" w:bidi="ar-SA"/>
        </w:rPr>
        <w:t>20.1 和解</w:t>
      </w:r>
      <w:bookmarkEnd w:id="1438"/>
      <w:bookmarkEnd w:id="1439"/>
      <w:bookmarkEnd w:id="1440"/>
    </w:p>
    <w:p w14:paraId="72666F3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合同当事人可以就争议自行和解，自行和解达成协议的经双方签字并盖章后作为合同补充文件，双方均应遵照执行。</w:t>
      </w:r>
    </w:p>
    <w:p w14:paraId="0D6427AE">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41" w:name="_Toc28464"/>
      <w:bookmarkStart w:id="1442" w:name="_Toc54862327"/>
      <w:r>
        <w:rPr>
          <w:rFonts w:hint="eastAsia" w:ascii="方正仿宋_GB2312" w:hAnsi="方正仿宋_GB2312" w:eastAsia="方正仿宋_GB2312" w:cs="方正仿宋_GB2312"/>
          <w:b w:val="0"/>
          <w:bCs/>
          <w:color w:val="auto"/>
          <w:kern w:val="2"/>
          <w:sz w:val="21"/>
          <w:szCs w:val="21"/>
          <w:highlight w:val="none"/>
          <w:lang w:val="en-US" w:eastAsia="zh-CN" w:bidi="ar-SA"/>
        </w:rPr>
        <w:t>20.2 调解</w:t>
      </w:r>
      <w:bookmarkEnd w:id="1441"/>
      <w:bookmarkEnd w:id="1442"/>
    </w:p>
    <w:p w14:paraId="782602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合同当事人可以就争议请求建设行政主管部门、行业协会或其他第三方进行调解，调解达成协议的，经双方签字盖章后作为合同补充文件，双方均应遵照执行。</w:t>
      </w:r>
    </w:p>
    <w:p w14:paraId="1A4C28F3">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43" w:name="_Ref532221532"/>
      <w:bookmarkStart w:id="1444" w:name="_Toc54862328"/>
      <w:bookmarkStart w:id="1445" w:name="_Ref532221527"/>
      <w:bookmarkStart w:id="1446" w:name="_Toc8641"/>
      <w:r>
        <w:rPr>
          <w:rFonts w:hint="eastAsia" w:ascii="方正仿宋_GB2312" w:hAnsi="方正仿宋_GB2312" w:eastAsia="方正仿宋_GB2312" w:cs="方正仿宋_GB2312"/>
          <w:b w:val="0"/>
          <w:bCs/>
          <w:color w:val="auto"/>
          <w:kern w:val="2"/>
          <w:sz w:val="21"/>
          <w:szCs w:val="21"/>
          <w:highlight w:val="none"/>
          <w:lang w:val="en-US" w:eastAsia="zh-CN" w:bidi="ar-SA"/>
        </w:rPr>
        <w:t>20.3 争议评审</w:t>
      </w:r>
      <w:bookmarkEnd w:id="1443"/>
      <w:bookmarkEnd w:id="1444"/>
      <w:bookmarkEnd w:id="1445"/>
      <w:bookmarkEnd w:id="1446"/>
    </w:p>
    <w:p w14:paraId="2BAAD1D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合同当事人在专用合同条件中约定采取争议评审方式及评审规则解决争议的，按下列约定执行：</w:t>
      </w:r>
    </w:p>
    <w:p w14:paraId="10880D20">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20.3.1 争议评审小组的确定</w:t>
      </w:r>
    </w:p>
    <w:p w14:paraId="4E85D2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791751F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71D35F6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除专用合同条件另有约定外，争议评审员报酬由发包人和承包人各承担一半。</w:t>
      </w:r>
    </w:p>
    <w:p w14:paraId="6CBED7BB">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447" w:name="_Ref532287270"/>
      <w:r>
        <w:rPr>
          <w:rFonts w:hint="eastAsia" w:ascii="方正仿宋_GB2312" w:hAnsi="方正仿宋_GB2312" w:eastAsia="方正仿宋_GB2312" w:cs="方正仿宋_GB2312"/>
          <w:color w:val="auto"/>
          <w:kern w:val="2"/>
          <w:sz w:val="21"/>
          <w:szCs w:val="21"/>
          <w:highlight w:val="none"/>
          <w:lang w:val="en-US" w:eastAsia="zh-CN" w:bidi="ar-SA"/>
        </w:rPr>
        <w:t>20.3.2 争议的避免</w:t>
      </w:r>
      <w:bookmarkEnd w:id="1447"/>
    </w:p>
    <w:p w14:paraId="541917B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合同当事人协商一致，可以共同书面请求争议评审小组，就合同履行过程中可能出现争议的情况提供协助或进行非正式讨论，争议评审小组应给出公正的意见或建议。</w:t>
      </w:r>
    </w:p>
    <w:p w14:paraId="0F60B3A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此类协助或非正式讨论可在任何会议、施工现场视察或其他场合进行，并且除专用合同条件另有约定外，发包人和承包人均应出席。</w:t>
      </w:r>
    </w:p>
    <w:p w14:paraId="5C0A609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争议评审小组在此类非正式讨论上给出的任何意见或建议，无论是口头还是书面的，对发包人和承包人不具有约束力，争议评审小组在之后的争议评审程序或决定中也不受此类意见或建议的约束。</w:t>
      </w:r>
    </w:p>
    <w:p w14:paraId="108208AF">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bookmarkStart w:id="1448" w:name="_Ref4695594"/>
      <w:r>
        <w:rPr>
          <w:rFonts w:hint="eastAsia" w:ascii="方正仿宋_GB2312" w:hAnsi="方正仿宋_GB2312" w:eastAsia="方正仿宋_GB2312" w:cs="方正仿宋_GB2312"/>
          <w:color w:val="auto"/>
          <w:kern w:val="2"/>
          <w:sz w:val="21"/>
          <w:szCs w:val="21"/>
          <w:highlight w:val="none"/>
          <w:lang w:val="en-US" w:eastAsia="zh-CN" w:bidi="ar-SA"/>
        </w:rPr>
        <w:t>20.3.3 争议评审小组的决定</w:t>
      </w:r>
      <w:bookmarkEnd w:id="1448"/>
    </w:p>
    <w:p w14:paraId="1AEA338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1BCCAD36">
      <w:pPr>
        <w:keepNext w:val="0"/>
        <w:keepLines w:val="0"/>
        <w:pageBreakBefore w:val="0"/>
        <w:tabs>
          <w:tab w:val="left" w:pos="851"/>
        </w:tabs>
        <w:kinsoku/>
        <w:wordWrap/>
        <w:overflowPunct/>
        <w:topLinePunct w:val="0"/>
        <w:bidi w:val="0"/>
        <w:adjustRightInd w:val="0"/>
        <w:snapToGrid w:val="0"/>
        <w:spacing w:before="0" w:after="0" w:line="360" w:lineRule="auto"/>
        <w:ind w:left="0"/>
        <w:jc w:val="both"/>
        <w:textAlignment w:val="auto"/>
        <w:outlineLvl w:val="3"/>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20.3.4 争议评审小组决定的效力</w:t>
      </w:r>
    </w:p>
    <w:p w14:paraId="6289993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争议评审小组作出的书面决定经合同当事人签字确认后，对双方具有约束力，双方应遵照执行。</w:t>
      </w:r>
    </w:p>
    <w:p w14:paraId="1AABC45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任何一方当事人不接受争议评审小组决定或不履行争议评审小组决定的，双方</w:t>
      </w:r>
      <w:r>
        <w:rPr>
          <w:rFonts w:hint="eastAsia" w:ascii="方正仿宋_GB2312" w:hAnsi="方正仿宋_GB2312" w:eastAsia="方正仿宋_GB2312" w:cs="方正仿宋_GB2312"/>
          <w:color w:val="auto"/>
          <w:szCs w:val="21"/>
          <w:highlight w:val="none"/>
          <w:lang w:eastAsia="zh-CN"/>
        </w:rPr>
        <w:t>可以</w:t>
      </w:r>
      <w:r>
        <w:rPr>
          <w:rFonts w:hint="eastAsia" w:ascii="方正仿宋_GB2312" w:hAnsi="方正仿宋_GB2312" w:eastAsia="方正仿宋_GB2312" w:cs="方正仿宋_GB2312"/>
          <w:color w:val="auto"/>
          <w:szCs w:val="21"/>
          <w:highlight w:val="none"/>
        </w:rPr>
        <w:t>选择采用其他争议解决方式。</w:t>
      </w:r>
    </w:p>
    <w:p w14:paraId="152214F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任何一方当事人不接受争议评审小组的决定，并不影响暂时执行争议评审小组的决定，直到在后续的采用其他争议解决方式中对争议评审小组的决定进行了改变。</w:t>
      </w:r>
    </w:p>
    <w:p w14:paraId="7947E3A2">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49" w:name="_Ref532221748"/>
      <w:bookmarkStart w:id="1450" w:name="_Ref532221752"/>
      <w:bookmarkStart w:id="1451" w:name="_Toc54862329"/>
      <w:bookmarkStart w:id="1452" w:name="_Toc19841"/>
      <w:r>
        <w:rPr>
          <w:rFonts w:hint="eastAsia" w:ascii="方正仿宋_GB2312" w:hAnsi="方正仿宋_GB2312" w:eastAsia="方正仿宋_GB2312" w:cs="方正仿宋_GB2312"/>
          <w:b w:val="0"/>
          <w:bCs/>
          <w:color w:val="auto"/>
          <w:kern w:val="2"/>
          <w:sz w:val="21"/>
          <w:szCs w:val="21"/>
          <w:highlight w:val="none"/>
          <w:lang w:val="en-US" w:eastAsia="zh-CN" w:bidi="ar-SA"/>
        </w:rPr>
        <w:t>20.4 仲裁或诉讼</w:t>
      </w:r>
      <w:bookmarkEnd w:id="1449"/>
      <w:bookmarkEnd w:id="1450"/>
      <w:bookmarkEnd w:id="1451"/>
      <w:bookmarkEnd w:id="1452"/>
    </w:p>
    <w:p w14:paraId="328185B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因合同及合同有关事项产生的争议，合同当事人可以在专用合同条件中约定以下一种方式解决争议：</w:t>
      </w:r>
    </w:p>
    <w:p w14:paraId="33E95E90">
      <w:pPr>
        <w:keepNext w:val="0"/>
        <w:keepLines w:val="0"/>
        <w:pageBreakBefore w:val="0"/>
        <w:widowControl w:val="0"/>
        <w:tabs>
          <w:tab w:val="left" w:pos="993"/>
        </w:tabs>
        <w:kinsoku/>
        <w:wordWrap/>
        <w:overflowPunct/>
        <w:topLinePunct w:val="0"/>
        <w:bidi w:val="0"/>
        <w:snapToGrid w:val="0"/>
        <w:spacing w:before="0" w:after="0" w:line="360" w:lineRule="auto"/>
        <w:ind w:left="841"/>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（1） 向约定的仲裁委员会申请仲裁；</w:t>
      </w:r>
    </w:p>
    <w:p w14:paraId="49E8F919">
      <w:pPr>
        <w:keepNext w:val="0"/>
        <w:keepLines w:val="0"/>
        <w:pageBreakBefore w:val="0"/>
        <w:widowControl w:val="0"/>
        <w:tabs>
          <w:tab w:val="left" w:pos="993"/>
        </w:tabs>
        <w:kinsoku/>
        <w:wordWrap/>
        <w:overflowPunct/>
        <w:topLinePunct w:val="0"/>
        <w:bidi w:val="0"/>
        <w:snapToGrid w:val="0"/>
        <w:spacing w:before="0" w:after="0" w:line="360" w:lineRule="auto"/>
        <w:ind w:left="841"/>
        <w:jc w:val="both"/>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（2） 向有管辖权的人民法院起诉。</w:t>
      </w:r>
    </w:p>
    <w:p w14:paraId="49D4168A">
      <w:pPr>
        <w:keepNext w:val="0"/>
        <w:keepLines w:val="0"/>
        <w:pageBreakBefore w:val="0"/>
        <w:widowControl/>
        <w:tabs>
          <w:tab w:val="left" w:pos="851"/>
        </w:tabs>
        <w:kinsoku/>
        <w:wordWrap/>
        <w:overflowPunct/>
        <w:topLinePunct w:val="0"/>
        <w:bidi w:val="0"/>
        <w:adjustRightInd w:val="0"/>
        <w:snapToGrid w:val="0"/>
        <w:spacing w:before="0" w:after="0" w:line="360" w:lineRule="auto"/>
        <w:ind w:left="0"/>
        <w:jc w:val="both"/>
        <w:textAlignment w:val="auto"/>
        <w:outlineLvl w:val="2"/>
        <w:rPr>
          <w:rFonts w:hint="eastAsia" w:ascii="方正仿宋_GB2312" w:hAnsi="方正仿宋_GB2312" w:eastAsia="方正仿宋_GB2312" w:cs="方正仿宋_GB2312"/>
          <w:b w:val="0"/>
          <w:bCs/>
          <w:color w:val="auto"/>
          <w:kern w:val="2"/>
          <w:sz w:val="21"/>
          <w:szCs w:val="21"/>
          <w:highlight w:val="none"/>
          <w:lang w:val="en-US" w:eastAsia="zh-CN" w:bidi="ar-SA"/>
        </w:rPr>
      </w:pPr>
      <w:bookmarkStart w:id="1453" w:name="_Toc54862330"/>
      <w:bookmarkStart w:id="1454" w:name="_Toc9050"/>
      <w:r>
        <w:rPr>
          <w:rFonts w:hint="eastAsia" w:ascii="方正仿宋_GB2312" w:hAnsi="方正仿宋_GB2312" w:eastAsia="方正仿宋_GB2312" w:cs="方正仿宋_GB2312"/>
          <w:b w:val="0"/>
          <w:bCs/>
          <w:color w:val="auto"/>
          <w:kern w:val="2"/>
          <w:sz w:val="21"/>
          <w:szCs w:val="21"/>
          <w:highlight w:val="none"/>
          <w:lang w:val="en-US" w:eastAsia="zh-CN" w:bidi="ar-SA"/>
        </w:rPr>
        <w:t>20.5 争议解决条款效力</w:t>
      </w:r>
      <w:bookmarkEnd w:id="1453"/>
      <w:bookmarkEnd w:id="1454"/>
    </w:p>
    <w:p w14:paraId="77745E2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w:t>
      </w:r>
      <w:r>
        <w:rPr>
          <w:rFonts w:hint="eastAsia" w:ascii="方正仿宋_GB2312" w:hAnsi="方正仿宋_GB2312" w:eastAsia="方正仿宋_GB2312" w:cs="方正仿宋_GB2312"/>
          <w:color w:val="auto"/>
          <w:szCs w:val="21"/>
          <w:highlight w:val="none"/>
          <w:lang w:eastAsia="zh-CN"/>
        </w:rPr>
        <w:t>同中</w:t>
      </w:r>
      <w:r>
        <w:rPr>
          <w:rFonts w:hint="eastAsia" w:ascii="方正仿宋_GB2312" w:hAnsi="方正仿宋_GB2312" w:eastAsia="方正仿宋_GB2312" w:cs="方正仿宋_GB2312"/>
          <w:color w:val="auto"/>
          <w:szCs w:val="21"/>
          <w:highlight w:val="none"/>
        </w:rPr>
        <w:t>有关争议解决的条款独立存在，</w:t>
      </w:r>
      <w:r>
        <w:rPr>
          <w:rFonts w:hint="eastAsia" w:ascii="方正仿宋_GB2312" w:hAnsi="方正仿宋_GB2312" w:eastAsia="方正仿宋_GB2312" w:cs="方正仿宋_GB2312"/>
          <w:color w:val="auto"/>
          <w:szCs w:val="21"/>
          <w:highlight w:val="none"/>
          <w:lang w:eastAsia="zh-CN"/>
        </w:rPr>
        <w:t>合同</w:t>
      </w:r>
      <w:r>
        <w:rPr>
          <w:rFonts w:hint="eastAsia" w:ascii="方正仿宋_GB2312" w:hAnsi="方正仿宋_GB2312" w:eastAsia="方正仿宋_GB2312" w:cs="方正仿宋_GB2312"/>
          <w:color w:val="auto"/>
          <w:szCs w:val="21"/>
          <w:highlight w:val="none"/>
        </w:rPr>
        <w:t>不生效、无效、被撤销或者终止的，不影响合同中有关争议解决条款的效力。</w:t>
      </w:r>
    </w:p>
    <w:p w14:paraId="2B2AB84C">
      <w:pPr>
        <w:keepNext w:val="0"/>
        <w:keepLines w:val="0"/>
        <w:pageBreakBefore w:val="0"/>
        <w:widowControl w:val="0"/>
        <w:numPr>
          <w:ilvl w:val="0"/>
          <w:numId w:val="0"/>
        </w:numPr>
        <w:tabs>
          <w:tab w:val="left" w:pos="993"/>
        </w:tabs>
        <w:kinsoku/>
        <w:wordWrap/>
        <w:overflowPunct/>
        <w:topLinePunct w:val="0"/>
        <w:bidi w:val="0"/>
        <w:snapToGrid w:val="0"/>
        <w:spacing w:before="0" w:after="0" w:line="360" w:lineRule="auto"/>
        <w:jc w:val="center"/>
        <w:textAlignment w:val="auto"/>
        <w:outlineLvl w:val="1"/>
        <w:rPr>
          <w:rFonts w:hint="eastAsia" w:ascii="方正仿宋_GB2312" w:hAnsi="方正仿宋_GB2312" w:eastAsia="方正仿宋_GB2312" w:cs="方正仿宋_GB2312"/>
          <w:b w:val="0"/>
          <w:bCs/>
          <w:color w:val="auto"/>
          <w:kern w:val="2"/>
          <w:sz w:val="36"/>
          <w:szCs w:val="36"/>
          <w:highlight w:val="none"/>
          <w:lang w:val="zh-CN" w:eastAsia="zh-CN" w:bidi="ar-SA"/>
        </w:rPr>
      </w:pPr>
    </w:p>
    <w:p w14:paraId="0431D441">
      <w:pPr>
        <w:keepNext w:val="0"/>
        <w:keepLines w:val="0"/>
        <w:pageBreakBefore w:val="0"/>
        <w:kinsoku/>
        <w:wordWrap/>
        <w:overflowPunct/>
        <w:topLinePunct w:val="0"/>
        <w:bidi w:val="0"/>
        <w:snapToGrid w:val="0"/>
        <w:spacing w:after="0" w:line="360" w:lineRule="auto"/>
        <w:textAlignment w:val="auto"/>
        <w:rPr>
          <w:rFonts w:hint="eastAsia" w:ascii="方正仿宋_GB2312" w:hAnsi="方正仿宋_GB2312" w:eastAsia="方正仿宋_GB2312" w:cs="方正仿宋_GB2312"/>
          <w:bCs/>
          <w:color w:val="auto"/>
          <w:sz w:val="36"/>
          <w:szCs w:val="36"/>
          <w:highlight w:val="none"/>
        </w:rPr>
      </w:pPr>
    </w:p>
    <w:p w14:paraId="312C1F34">
      <w:pPr>
        <w:keepNext w:val="0"/>
        <w:keepLines w:val="0"/>
        <w:pageBreakBefore w:val="0"/>
        <w:widowControl w:val="0"/>
        <w:kinsoku/>
        <w:wordWrap/>
        <w:overflowPunct/>
        <w:topLinePunct w:val="0"/>
        <w:autoSpaceDE w:val="0"/>
        <w:autoSpaceDN w:val="0"/>
        <w:bidi w:val="0"/>
        <w:adjustRightInd w:val="0"/>
        <w:snapToGrid w:val="0"/>
        <w:spacing w:before="0" w:after="0" w:line="360" w:lineRule="auto"/>
        <w:textAlignment w:val="auto"/>
        <w:rPr>
          <w:rFonts w:hint="eastAsia" w:ascii="方正仿宋_GB2312" w:hAnsi="方正仿宋_GB2312" w:eastAsia="方正仿宋_GB2312" w:cs="方正仿宋_GB2312"/>
          <w:bCs/>
          <w:color w:val="auto"/>
          <w:sz w:val="36"/>
          <w:szCs w:val="36"/>
          <w:highlight w:val="none"/>
          <w:lang w:val="en-US" w:eastAsia="zh-CN" w:bidi="ar-SA"/>
        </w:rPr>
      </w:pPr>
    </w:p>
    <w:p w14:paraId="4D4E4EA1">
      <w:pPr>
        <w:keepNext w:val="0"/>
        <w:keepLines w:val="0"/>
        <w:pageBreakBefore w:val="0"/>
        <w:widowControl w:val="0"/>
        <w:kinsoku/>
        <w:wordWrap/>
        <w:overflowPunct/>
        <w:topLinePunct w:val="0"/>
        <w:autoSpaceDE w:val="0"/>
        <w:autoSpaceDN w:val="0"/>
        <w:bidi w:val="0"/>
        <w:adjustRightInd w:val="0"/>
        <w:snapToGrid w:val="0"/>
        <w:spacing w:before="0" w:after="0" w:line="360" w:lineRule="auto"/>
        <w:textAlignment w:val="auto"/>
        <w:rPr>
          <w:rFonts w:hint="eastAsia" w:ascii="方正仿宋_GB2312" w:hAnsi="方正仿宋_GB2312" w:eastAsia="方正仿宋_GB2312" w:cs="方正仿宋_GB2312"/>
          <w:bCs/>
          <w:color w:val="auto"/>
          <w:sz w:val="36"/>
          <w:szCs w:val="36"/>
          <w:highlight w:val="none"/>
          <w:lang w:val="en-US" w:eastAsia="zh-CN" w:bidi="ar-SA"/>
        </w:rPr>
      </w:pPr>
    </w:p>
    <w:p w14:paraId="44574D9C">
      <w:pPr>
        <w:keepNext w:val="0"/>
        <w:keepLines w:val="0"/>
        <w:pageBreakBefore w:val="0"/>
        <w:widowControl w:val="0"/>
        <w:kinsoku/>
        <w:wordWrap/>
        <w:overflowPunct/>
        <w:topLinePunct w:val="0"/>
        <w:autoSpaceDE w:val="0"/>
        <w:autoSpaceDN w:val="0"/>
        <w:bidi w:val="0"/>
        <w:adjustRightInd w:val="0"/>
        <w:snapToGrid w:val="0"/>
        <w:spacing w:before="0" w:after="0" w:line="360" w:lineRule="auto"/>
        <w:textAlignment w:val="auto"/>
        <w:rPr>
          <w:rFonts w:hint="eastAsia" w:ascii="方正仿宋_GB2312" w:hAnsi="方正仿宋_GB2312" w:eastAsia="方正仿宋_GB2312" w:cs="方正仿宋_GB2312"/>
          <w:bCs/>
          <w:color w:val="auto"/>
          <w:sz w:val="36"/>
          <w:szCs w:val="36"/>
          <w:highlight w:val="none"/>
          <w:lang w:val="en-US" w:eastAsia="zh-CN" w:bidi="ar-SA"/>
        </w:rPr>
      </w:pPr>
    </w:p>
    <w:p w14:paraId="5AEC7760">
      <w:pPr>
        <w:keepNext w:val="0"/>
        <w:keepLines w:val="0"/>
        <w:pageBreakBefore w:val="0"/>
        <w:widowControl w:val="0"/>
        <w:numPr>
          <w:ilvl w:val="0"/>
          <w:numId w:val="5"/>
        </w:numPr>
        <w:tabs>
          <w:tab w:val="left" w:pos="993"/>
        </w:tabs>
        <w:kinsoku/>
        <w:wordWrap/>
        <w:overflowPunct/>
        <w:topLinePunct w:val="0"/>
        <w:bidi w:val="0"/>
        <w:snapToGrid w:val="0"/>
        <w:spacing w:before="0" w:after="0" w:line="360" w:lineRule="auto"/>
        <w:jc w:val="center"/>
        <w:textAlignment w:val="auto"/>
        <w:outlineLvl w:val="1"/>
        <w:rPr>
          <w:rFonts w:hint="eastAsia" w:ascii="方正仿宋_GB2312" w:hAnsi="方正仿宋_GB2312" w:eastAsia="方正仿宋_GB2312" w:cs="方正仿宋_GB2312"/>
          <w:b/>
          <w:bCs w:val="0"/>
          <w:color w:val="auto"/>
          <w:kern w:val="2"/>
          <w:sz w:val="36"/>
          <w:szCs w:val="36"/>
          <w:highlight w:val="none"/>
          <w:lang w:val="zh-CN" w:eastAsia="zh-CN" w:bidi="ar-SA"/>
        </w:rPr>
      </w:pPr>
      <w:bookmarkStart w:id="1455" w:name="_Toc27698"/>
      <w:bookmarkStart w:id="1456" w:name="_Toc54862331"/>
      <w:r>
        <w:rPr>
          <w:rFonts w:hint="eastAsia" w:ascii="方正仿宋_GB2312" w:hAnsi="方正仿宋_GB2312" w:eastAsia="方正仿宋_GB2312" w:cs="方正仿宋_GB2312"/>
          <w:b/>
          <w:bCs w:val="0"/>
          <w:color w:val="auto"/>
          <w:kern w:val="2"/>
          <w:sz w:val="36"/>
          <w:szCs w:val="36"/>
          <w:highlight w:val="none"/>
          <w:lang w:val="zh-CN" w:eastAsia="zh-CN" w:bidi="ar-SA"/>
        </w:rPr>
        <w:t>专用合同条件</w:t>
      </w:r>
      <w:bookmarkEnd w:id="1455"/>
      <w:bookmarkEnd w:id="1456"/>
    </w:p>
    <w:p w14:paraId="4544D270">
      <w:pPr>
        <w:keepNext w:val="0"/>
        <w:keepLines w:val="0"/>
        <w:pageBreakBefore w:val="0"/>
        <w:kinsoku/>
        <w:wordWrap/>
        <w:overflowPunct/>
        <w:topLinePunct w:val="0"/>
        <w:bidi w:val="0"/>
        <w:snapToGrid w:val="0"/>
        <w:spacing w:after="0" w:line="360" w:lineRule="auto"/>
        <w:ind w:firstLine="1467" w:firstLineChars="696"/>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b/>
          <w:bCs/>
          <w:color w:val="auto"/>
          <w:szCs w:val="21"/>
          <w:highlight w:val="none"/>
        </w:rPr>
        <w:t>说明：专用合同条件中的空白内容，在签订合同时约定。</w:t>
      </w:r>
    </w:p>
    <w:p w14:paraId="36D7D777">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57" w:name="_Toc29040"/>
      <w:bookmarkStart w:id="1458" w:name="_Toc54862332"/>
      <w:r>
        <w:rPr>
          <w:rFonts w:hint="eastAsia" w:ascii="方正仿宋_GB2312" w:hAnsi="方正仿宋_GB2312" w:eastAsia="方正仿宋_GB2312" w:cs="方正仿宋_GB2312"/>
          <w:b w:val="0"/>
          <w:bCs/>
          <w:color w:val="auto"/>
          <w:kern w:val="2"/>
          <w:sz w:val="28"/>
          <w:szCs w:val="28"/>
          <w:highlight w:val="none"/>
          <w:lang w:val="zh-CN" w:eastAsia="zh-CN" w:bidi="ar-SA"/>
        </w:rPr>
        <w:t>第1条 一般约定</w:t>
      </w:r>
      <w:bookmarkEnd w:id="1457"/>
      <w:bookmarkEnd w:id="1458"/>
    </w:p>
    <w:p w14:paraId="7056F0E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 词语定义和解释</w:t>
      </w:r>
    </w:p>
    <w:p w14:paraId="191B02C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1.1.1 合同</w:t>
      </w:r>
    </w:p>
    <w:p w14:paraId="5253884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1.1.1.10 其他合同文件</w:t>
      </w:r>
      <w:r>
        <w:rPr>
          <w:rFonts w:hint="eastAsia" w:ascii="方正仿宋_GB2312" w:hAnsi="方正仿宋_GB2312" w:eastAsia="方正仿宋_GB2312" w:cs="方正仿宋_GB2312"/>
          <w:color w:val="auto"/>
          <w:szCs w:val="21"/>
          <w:highlight w:val="none"/>
          <w:lang w:eastAsia="zh-CN"/>
        </w:rPr>
        <w:t>：</w:t>
      </w:r>
    </w:p>
    <w:p w14:paraId="0831921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 工程和设备</w:t>
      </w:r>
    </w:p>
    <w:p w14:paraId="72726DB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1.1.3.5 单位/区段工程的范围</w:t>
      </w:r>
      <w:r>
        <w:rPr>
          <w:rFonts w:hint="eastAsia" w:ascii="方正仿宋_GB2312" w:hAnsi="方正仿宋_GB2312" w:eastAsia="方正仿宋_GB2312" w:cs="方正仿宋_GB2312"/>
          <w:color w:val="auto"/>
          <w:szCs w:val="21"/>
          <w:highlight w:val="none"/>
          <w:lang w:eastAsia="zh-CN"/>
        </w:rPr>
        <w:t>：</w:t>
      </w:r>
    </w:p>
    <w:p w14:paraId="591F30E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1.1.3.9 作为施工场所组成部分的其他场所包括</w:t>
      </w:r>
      <w:r>
        <w:rPr>
          <w:rFonts w:hint="eastAsia" w:ascii="方正仿宋_GB2312" w:hAnsi="方正仿宋_GB2312" w:eastAsia="方正仿宋_GB2312" w:cs="方正仿宋_GB2312"/>
          <w:color w:val="auto"/>
          <w:szCs w:val="21"/>
          <w:highlight w:val="none"/>
          <w:lang w:eastAsia="zh-CN"/>
        </w:rPr>
        <w:t>：</w:t>
      </w:r>
    </w:p>
    <w:p w14:paraId="2D96E61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1.1.3.10 永久占地包括</w:t>
      </w:r>
      <w:r>
        <w:rPr>
          <w:rFonts w:hint="eastAsia" w:ascii="方正仿宋_GB2312" w:hAnsi="方正仿宋_GB2312" w:eastAsia="方正仿宋_GB2312" w:cs="方正仿宋_GB2312"/>
          <w:color w:val="auto"/>
          <w:szCs w:val="21"/>
          <w:highlight w:val="none"/>
          <w:lang w:eastAsia="zh-CN"/>
        </w:rPr>
        <w:t>：</w:t>
      </w:r>
    </w:p>
    <w:p w14:paraId="4C69B1F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1.1.3.11 临时占地包括</w:t>
      </w:r>
      <w:r>
        <w:rPr>
          <w:rFonts w:hint="eastAsia" w:ascii="方正仿宋_GB2312" w:hAnsi="方正仿宋_GB2312" w:eastAsia="方正仿宋_GB2312" w:cs="方正仿宋_GB2312"/>
          <w:color w:val="auto"/>
          <w:szCs w:val="21"/>
          <w:highlight w:val="none"/>
          <w:lang w:eastAsia="zh-CN"/>
        </w:rPr>
        <w:t>：</w:t>
      </w:r>
    </w:p>
    <w:p w14:paraId="04D379B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1.2 语言文字</w:t>
      </w:r>
    </w:p>
    <w:p w14:paraId="5BA0305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本合同除使用汉语外，还使用语言。</w:t>
      </w:r>
    </w:p>
    <w:p w14:paraId="56B23A8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 法律</w:t>
      </w:r>
    </w:p>
    <w:p w14:paraId="315AD4A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适用于合同的其他规范性文件</w:t>
      </w:r>
      <w:r>
        <w:rPr>
          <w:rFonts w:hint="eastAsia" w:ascii="方正仿宋_GB2312" w:hAnsi="方正仿宋_GB2312" w:eastAsia="方正仿宋_GB2312" w:cs="方正仿宋_GB2312"/>
          <w:color w:val="auto"/>
          <w:szCs w:val="21"/>
          <w:highlight w:val="none"/>
          <w:lang w:eastAsia="zh-CN"/>
        </w:rPr>
        <w:t>：</w:t>
      </w:r>
    </w:p>
    <w:p w14:paraId="3185F49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 标准和规范</w:t>
      </w:r>
    </w:p>
    <w:p w14:paraId="2005E09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1.4.1 适用于本合同的标准、规范（名称）包括</w:t>
      </w:r>
      <w:r>
        <w:rPr>
          <w:rFonts w:hint="eastAsia" w:ascii="方正仿宋_GB2312" w:hAnsi="方正仿宋_GB2312" w:eastAsia="方正仿宋_GB2312" w:cs="方正仿宋_GB2312"/>
          <w:color w:val="auto"/>
          <w:szCs w:val="21"/>
          <w:highlight w:val="none"/>
          <w:lang w:eastAsia="zh-CN"/>
        </w:rPr>
        <w:t>：</w:t>
      </w:r>
    </w:p>
    <w:p w14:paraId="1EC4C5A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1.4.2 发包人提供的国外标准、规范的名称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发包人提供的国外标准、规范的份数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发包人提供的国外标准、规范的时间</w:t>
      </w:r>
      <w:r>
        <w:rPr>
          <w:rFonts w:hint="eastAsia" w:ascii="方正仿宋_GB2312" w:hAnsi="方正仿宋_GB2312" w:eastAsia="方正仿宋_GB2312" w:cs="方正仿宋_GB2312"/>
          <w:color w:val="auto"/>
          <w:szCs w:val="21"/>
          <w:highlight w:val="none"/>
          <w:lang w:eastAsia="zh-CN"/>
        </w:rPr>
        <w:t>：</w:t>
      </w:r>
    </w:p>
    <w:p w14:paraId="5EBF984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1.4.3 没有成文规范、标准规定的约定</w:t>
      </w:r>
      <w:r>
        <w:rPr>
          <w:rFonts w:hint="eastAsia" w:ascii="方正仿宋_GB2312" w:hAnsi="方正仿宋_GB2312" w:eastAsia="方正仿宋_GB2312" w:cs="方正仿宋_GB2312"/>
          <w:color w:val="auto"/>
          <w:szCs w:val="21"/>
          <w:highlight w:val="none"/>
          <w:lang w:eastAsia="zh-CN"/>
        </w:rPr>
        <w:t>：</w:t>
      </w:r>
    </w:p>
    <w:p w14:paraId="7765D1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1.4.4 发包人</w:t>
      </w:r>
      <w:r>
        <w:rPr>
          <w:rFonts w:hint="eastAsia" w:ascii="方正仿宋_GB2312" w:hAnsi="方正仿宋_GB2312" w:eastAsia="方正仿宋_GB2312" w:cs="方正仿宋_GB2312"/>
          <w:color w:val="auto"/>
          <w:szCs w:val="21"/>
          <w:highlight w:val="none"/>
          <w:lang w:eastAsia="zh-CN"/>
        </w:rPr>
        <w:t>对</w:t>
      </w:r>
      <w:r>
        <w:rPr>
          <w:rFonts w:hint="eastAsia" w:ascii="方正仿宋_GB2312" w:hAnsi="方正仿宋_GB2312" w:eastAsia="方正仿宋_GB2312" w:cs="方正仿宋_GB2312"/>
          <w:color w:val="auto"/>
          <w:szCs w:val="21"/>
          <w:highlight w:val="none"/>
        </w:rPr>
        <w:t>工程的技术标准、功能要求</w:t>
      </w:r>
      <w:r>
        <w:rPr>
          <w:rFonts w:hint="eastAsia" w:ascii="方正仿宋_GB2312" w:hAnsi="方正仿宋_GB2312" w:eastAsia="方正仿宋_GB2312" w:cs="方正仿宋_GB2312"/>
          <w:color w:val="auto"/>
          <w:szCs w:val="21"/>
          <w:highlight w:val="none"/>
          <w:lang w:eastAsia="zh-CN"/>
        </w:rPr>
        <w:t>：</w:t>
      </w:r>
    </w:p>
    <w:p w14:paraId="66264D2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 合同文件的优先顺序</w:t>
      </w:r>
    </w:p>
    <w:p w14:paraId="365A8AB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合同文件组成及优先顺序为</w:t>
      </w:r>
      <w:r>
        <w:rPr>
          <w:rFonts w:hint="eastAsia" w:ascii="方正仿宋_GB2312" w:hAnsi="方正仿宋_GB2312" w:eastAsia="方正仿宋_GB2312" w:cs="方正仿宋_GB2312"/>
          <w:color w:val="auto"/>
          <w:szCs w:val="21"/>
          <w:highlight w:val="none"/>
          <w:lang w:eastAsia="zh-CN"/>
        </w:rPr>
        <w:t>：</w:t>
      </w:r>
    </w:p>
    <w:p w14:paraId="1B9D3B4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 文件的提供和照管</w:t>
      </w:r>
    </w:p>
    <w:p w14:paraId="384C4D3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1.6.1 发包人文件的提供</w:t>
      </w:r>
    </w:p>
    <w:p w14:paraId="2697A6B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发包人文件的提供期限、名称、数量和形式</w:t>
      </w:r>
      <w:r>
        <w:rPr>
          <w:rFonts w:hint="eastAsia" w:ascii="方正仿宋_GB2312" w:hAnsi="方正仿宋_GB2312" w:eastAsia="方正仿宋_GB2312" w:cs="方正仿宋_GB2312"/>
          <w:color w:val="auto"/>
          <w:szCs w:val="21"/>
          <w:highlight w:val="none"/>
          <w:lang w:eastAsia="zh-CN"/>
        </w:rPr>
        <w:t>：</w:t>
      </w:r>
    </w:p>
    <w:p w14:paraId="226F762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1.6.2 承包人文件的提供</w:t>
      </w:r>
    </w:p>
    <w:p w14:paraId="122882D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承包人文件的内容、提供期限、名称、数量和形式</w:t>
      </w:r>
      <w:r>
        <w:rPr>
          <w:rFonts w:hint="eastAsia" w:ascii="方正仿宋_GB2312" w:hAnsi="方正仿宋_GB2312" w:eastAsia="方正仿宋_GB2312" w:cs="方正仿宋_GB2312"/>
          <w:color w:val="auto"/>
          <w:szCs w:val="21"/>
          <w:highlight w:val="none"/>
          <w:lang w:eastAsia="zh-CN"/>
        </w:rPr>
        <w:t>：</w:t>
      </w:r>
    </w:p>
    <w:p w14:paraId="79B7BDF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1.6.4 文件的照管</w:t>
      </w:r>
    </w:p>
    <w:p w14:paraId="37B6B92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关于现场文件准备的约定</w:t>
      </w:r>
      <w:r>
        <w:rPr>
          <w:rFonts w:hint="eastAsia" w:ascii="方正仿宋_GB2312" w:hAnsi="方正仿宋_GB2312" w:eastAsia="方正仿宋_GB2312" w:cs="方正仿宋_GB2312"/>
          <w:color w:val="auto"/>
          <w:szCs w:val="21"/>
          <w:highlight w:val="none"/>
          <w:lang w:eastAsia="zh-CN"/>
        </w:rPr>
        <w:t>：</w:t>
      </w:r>
    </w:p>
    <w:p w14:paraId="587A801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1.7 联络</w:t>
      </w:r>
    </w:p>
    <w:p w14:paraId="1373A4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1.7.2 发包人指定的送达方式（包括电子传输方式）</w:t>
      </w:r>
      <w:r>
        <w:rPr>
          <w:rFonts w:hint="eastAsia" w:ascii="方正仿宋_GB2312" w:hAnsi="方正仿宋_GB2312" w:eastAsia="方正仿宋_GB2312" w:cs="方正仿宋_GB2312"/>
          <w:color w:val="auto"/>
          <w:szCs w:val="21"/>
          <w:highlight w:val="none"/>
          <w:lang w:eastAsia="zh-CN"/>
        </w:rPr>
        <w:t>：</w:t>
      </w:r>
    </w:p>
    <w:p w14:paraId="393795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发包人的送达地址</w:t>
      </w:r>
      <w:r>
        <w:rPr>
          <w:rFonts w:hint="eastAsia" w:ascii="方正仿宋_GB2312" w:hAnsi="方正仿宋_GB2312" w:eastAsia="方正仿宋_GB2312" w:cs="方正仿宋_GB2312"/>
          <w:color w:val="auto"/>
          <w:szCs w:val="21"/>
          <w:highlight w:val="none"/>
          <w:lang w:eastAsia="zh-CN"/>
        </w:rPr>
        <w:t>：</w:t>
      </w:r>
    </w:p>
    <w:p w14:paraId="291E301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承包人指定的送达方式（包括电子传输方式）： 。</w:t>
      </w:r>
    </w:p>
    <w:p w14:paraId="06709B6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承包人的送达地址</w:t>
      </w:r>
      <w:r>
        <w:rPr>
          <w:rFonts w:hint="eastAsia" w:ascii="方正仿宋_GB2312" w:hAnsi="方正仿宋_GB2312" w:eastAsia="方正仿宋_GB2312" w:cs="方正仿宋_GB2312"/>
          <w:color w:val="auto"/>
          <w:szCs w:val="21"/>
          <w:highlight w:val="none"/>
          <w:lang w:eastAsia="zh-CN"/>
        </w:rPr>
        <w:t>：</w:t>
      </w:r>
    </w:p>
    <w:p w14:paraId="486BCF4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1.10 知识产权</w:t>
      </w:r>
    </w:p>
    <w:p w14:paraId="211A70D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1.10.1 由发包人（或以发包人名义）编制的《发包人要求》和其他文件的著作权归属</w:t>
      </w:r>
      <w:r>
        <w:rPr>
          <w:rFonts w:hint="eastAsia" w:ascii="方正仿宋_GB2312" w:hAnsi="方正仿宋_GB2312" w:eastAsia="方正仿宋_GB2312" w:cs="方正仿宋_GB2312"/>
          <w:color w:val="auto"/>
          <w:szCs w:val="21"/>
          <w:highlight w:val="none"/>
          <w:lang w:eastAsia="zh-CN"/>
        </w:rPr>
        <w:t>：</w:t>
      </w:r>
    </w:p>
    <w:p w14:paraId="7DD6C6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1.10.2 由承包人（或以承包人名义）为实施工程所编制的文件、承包人完成的设计工作成果和建造完成的建筑物的知识产权归属</w:t>
      </w:r>
      <w:r>
        <w:rPr>
          <w:rFonts w:hint="eastAsia" w:ascii="方正仿宋_GB2312" w:hAnsi="方正仿宋_GB2312" w:eastAsia="方正仿宋_GB2312" w:cs="方正仿宋_GB2312"/>
          <w:color w:val="auto"/>
          <w:szCs w:val="21"/>
          <w:highlight w:val="none"/>
          <w:lang w:eastAsia="zh-CN"/>
        </w:rPr>
        <w:t>：</w:t>
      </w:r>
    </w:p>
    <w:p w14:paraId="168C1DA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1.10.4 承包人在投标文件中采用的专利、专有技术、技术秘密的使用费的承担方式。</w:t>
      </w:r>
    </w:p>
    <w:p w14:paraId="5681A3D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1.11 保密</w:t>
      </w:r>
    </w:p>
    <w:p w14:paraId="1CCF80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双方订立的商业保密协议（名称）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作为本合同附件。</w:t>
      </w:r>
    </w:p>
    <w:p w14:paraId="12B8810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双方订立的技术保密协议（名称）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作为本合同附件。</w:t>
      </w:r>
    </w:p>
    <w:p w14:paraId="30860B9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 责任限制</w:t>
      </w:r>
    </w:p>
    <w:p w14:paraId="1728195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承包人对发包人赔偿责任的最高限额为。</w:t>
      </w:r>
    </w:p>
    <w:p w14:paraId="7A72509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1.14 建筑信息模型技术的应用</w:t>
      </w:r>
    </w:p>
    <w:p w14:paraId="64EDF39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关于建筑信息模型技术的开发、使用、存储、传输、交付及费用约定如下</w:t>
      </w:r>
      <w:r>
        <w:rPr>
          <w:rFonts w:hint="eastAsia" w:ascii="方正仿宋_GB2312" w:hAnsi="方正仿宋_GB2312" w:eastAsia="方正仿宋_GB2312" w:cs="方正仿宋_GB2312"/>
          <w:color w:val="auto"/>
          <w:szCs w:val="21"/>
          <w:highlight w:val="none"/>
          <w:lang w:eastAsia="zh-CN"/>
        </w:rPr>
        <w:t>：</w:t>
      </w:r>
    </w:p>
    <w:p w14:paraId="71617D38">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59" w:name="_Toc54862333"/>
      <w:bookmarkStart w:id="1460" w:name="_Toc17809"/>
      <w:r>
        <w:rPr>
          <w:rFonts w:hint="eastAsia" w:ascii="方正仿宋_GB2312" w:hAnsi="方正仿宋_GB2312" w:eastAsia="方正仿宋_GB2312" w:cs="方正仿宋_GB2312"/>
          <w:b w:val="0"/>
          <w:bCs/>
          <w:color w:val="auto"/>
          <w:kern w:val="2"/>
          <w:sz w:val="28"/>
          <w:szCs w:val="28"/>
          <w:highlight w:val="none"/>
          <w:lang w:val="zh-CN" w:eastAsia="zh-CN" w:bidi="ar-SA"/>
        </w:rPr>
        <w:t>第2条 发包人</w:t>
      </w:r>
      <w:bookmarkEnd w:id="1459"/>
      <w:bookmarkEnd w:id="1460"/>
    </w:p>
    <w:p w14:paraId="6B598B9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2.2 提供施工现场和工作条件</w:t>
      </w:r>
    </w:p>
    <w:p w14:paraId="5DC9A90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2.2.1 提供施工现场</w:t>
      </w:r>
    </w:p>
    <w:p w14:paraId="47611F9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关于发包人提供施工现场的范围和期限</w:t>
      </w:r>
      <w:r>
        <w:rPr>
          <w:rFonts w:hint="eastAsia" w:ascii="方正仿宋_GB2312" w:hAnsi="方正仿宋_GB2312" w:eastAsia="方正仿宋_GB2312" w:cs="方正仿宋_GB2312"/>
          <w:color w:val="auto"/>
          <w:szCs w:val="21"/>
          <w:highlight w:val="none"/>
          <w:lang w:eastAsia="zh-CN"/>
        </w:rPr>
        <w:t>：</w:t>
      </w:r>
    </w:p>
    <w:p w14:paraId="560131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2.2.2 提供工作条件</w:t>
      </w:r>
    </w:p>
    <w:p w14:paraId="0CFD4EA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关于发包人应负责提供的工作条件包括</w:t>
      </w:r>
      <w:r>
        <w:rPr>
          <w:rFonts w:hint="eastAsia" w:ascii="方正仿宋_GB2312" w:hAnsi="方正仿宋_GB2312" w:eastAsia="方正仿宋_GB2312" w:cs="方正仿宋_GB2312"/>
          <w:color w:val="auto"/>
          <w:szCs w:val="21"/>
          <w:highlight w:val="none"/>
          <w:lang w:eastAsia="zh-CN"/>
        </w:rPr>
        <w:t>：</w:t>
      </w:r>
    </w:p>
    <w:p w14:paraId="6DC528A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2.3 提供基础资料</w:t>
      </w:r>
    </w:p>
    <w:p w14:paraId="72A3CDE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关于发包人应提供的基础资料的范围和期限</w:t>
      </w:r>
      <w:r>
        <w:rPr>
          <w:rFonts w:hint="eastAsia" w:ascii="方正仿宋_GB2312" w:hAnsi="方正仿宋_GB2312" w:eastAsia="方正仿宋_GB2312" w:cs="方正仿宋_GB2312"/>
          <w:color w:val="auto"/>
          <w:szCs w:val="21"/>
          <w:highlight w:val="none"/>
          <w:lang w:eastAsia="zh-CN"/>
        </w:rPr>
        <w:t>：</w:t>
      </w:r>
    </w:p>
    <w:p w14:paraId="2D05ECB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2.5 支付合同价款</w:t>
      </w:r>
    </w:p>
    <w:p w14:paraId="74923F8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2.5.2 发包人提供资金来源证明及资金安排的期限要求</w:t>
      </w:r>
      <w:r>
        <w:rPr>
          <w:rFonts w:hint="eastAsia" w:ascii="方正仿宋_GB2312" w:hAnsi="方正仿宋_GB2312" w:eastAsia="方正仿宋_GB2312" w:cs="方正仿宋_GB2312"/>
          <w:color w:val="auto"/>
          <w:szCs w:val="21"/>
          <w:highlight w:val="none"/>
          <w:lang w:eastAsia="zh-CN"/>
        </w:rPr>
        <w:t>：</w:t>
      </w:r>
    </w:p>
    <w:p w14:paraId="301CD82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2.5.3 发包人提供支付担保的形式、期限、金额（或比例）</w:t>
      </w:r>
      <w:r>
        <w:rPr>
          <w:rFonts w:hint="eastAsia" w:ascii="方正仿宋_GB2312" w:hAnsi="方正仿宋_GB2312" w:eastAsia="方正仿宋_GB2312" w:cs="方正仿宋_GB2312"/>
          <w:color w:val="auto"/>
          <w:szCs w:val="21"/>
          <w:highlight w:val="none"/>
          <w:lang w:eastAsia="zh-CN"/>
        </w:rPr>
        <w:t>：</w:t>
      </w:r>
    </w:p>
    <w:p w14:paraId="7DC4263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2.7 其他义务</w:t>
      </w:r>
    </w:p>
    <w:p w14:paraId="1F0AEA6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发包人应履行的其他义务</w:t>
      </w:r>
      <w:r>
        <w:rPr>
          <w:rFonts w:hint="eastAsia" w:ascii="方正仿宋_GB2312" w:hAnsi="方正仿宋_GB2312" w:eastAsia="方正仿宋_GB2312" w:cs="方正仿宋_GB2312"/>
          <w:color w:val="auto"/>
          <w:szCs w:val="21"/>
          <w:highlight w:val="none"/>
          <w:lang w:eastAsia="zh-CN"/>
        </w:rPr>
        <w:t>：</w:t>
      </w:r>
    </w:p>
    <w:p w14:paraId="116264CB">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61" w:name="_Toc21519"/>
      <w:bookmarkStart w:id="1462" w:name="_Toc54862334"/>
      <w:r>
        <w:rPr>
          <w:rFonts w:hint="eastAsia" w:ascii="方正仿宋_GB2312" w:hAnsi="方正仿宋_GB2312" w:eastAsia="方正仿宋_GB2312" w:cs="方正仿宋_GB2312"/>
          <w:b w:val="0"/>
          <w:bCs/>
          <w:color w:val="auto"/>
          <w:kern w:val="2"/>
          <w:sz w:val="28"/>
          <w:szCs w:val="28"/>
          <w:highlight w:val="none"/>
          <w:lang w:val="zh-CN" w:eastAsia="zh-CN" w:bidi="ar-SA"/>
        </w:rPr>
        <w:t>第3条 发包人的管理</w:t>
      </w:r>
      <w:bookmarkEnd w:id="1461"/>
      <w:bookmarkEnd w:id="1462"/>
    </w:p>
    <w:p w14:paraId="66C7B58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3.1 发包人代表</w:t>
      </w:r>
    </w:p>
    <w:p w14:paraId="181D3AE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发包人代表的姓名</w:t>
      </w:r>
      <w:r>
        <w:rPr>
          <w:rFonts w:hint="eastAsia" w:ascii="方正仿宋_GB2312" w:hAnsi="方正仿宋_GB2312" w:eastAsia="方正仿宋_GB2312" w:cs="方正仿宋_GB2312"/>
          <w:color w:val="auto"/>
          <w:szCs w:val="21"/>
          <w:highlight w:val="none"/>
          <w:lang w:eastAsia="zh-CN"/>
        </w:rPr>
        <w:t>：</w:t>
      </w:r>
    </w:p>
    <w:p w14:paraId="62DC5A9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发包人代表的身份证号</w:t>
      </w:r>
      <w:r>
        <w:rPr>
          <w:rFonts w:hint="eastAsia" w:ascii="方正仿宋_GB2312" w:hAnsi="方正仿宋_GB2312" w:eastAsia="方正仿宋_GB2312" w:cs="方正仿宋_GB2312"/>
          <w:color w:val="auto"/>
          <w:szCs w:val="21"/>
          <w:highlight w:val="none"/>
          <w:lang w:eastAsia="zh-CN"/>
        </w:rPr>
        <w:t>：</w:t>
      </w:r>
    </w:p>
    <w:p w14:paraId="025A933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发包人代表的职务</w:t>
      </w:r>
      <w:r>
        <w:rPr>
          <w:rFonts w:hint="eastAsia" w:ascii="方正仿宋_GB2312" w:hAnsi="方正仿宋_GB2312" w:eastAsia="方正仿宋_GB2312" w:cs="方正仿宋_GB2312"/>
          <w:color w:val="auto"/>
          <w:szCs w:val="21"/>
          <w:highlight w:val="none"/>
          <w:lang w:eastAsia="zh-CN"/>
        </w:rPr>
        <w:t>：</w:t>
      </w:r>
    </w:p>
    <w:p w14:paraId="362C5B4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发包人代表的联系电话</w:t>
      </w:r>
      <w:r>
        <w:rPr>
          <w:rFonts w:hint="eastAsia" w:ascii="方正仿宋_GB2312" w:hAnsi="方正仿宋_GB2312" w:eastAsia="方正仿宋_GB2312" w:cs="方正仿宋_GB2312"/>
          <w:color w:val="auto"/>
          <w:szCs w:val="21"/>
          <w:highlight w:val="none"/>
          <w:lang w:eastAsia="zh-CN"/>
        </w:rPr>
        <w:t>：</w:t>
      </w:r>
    </w:p>
    <w:p w14:paraId="3EA4255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发包人代表的电子邮箱</w:t>
      </w:r>
      <w:r>
        <w:rPr>
          <w:rFonts w:hint="eastAsia" w:ascii="方正仿宋_GB2312" w:hAnsi="方正仿宋_GB2312" w:eastAsia="方正仿宋_GB2312" w:cs="方正仿宋_GB2312"/>
          <w:color w:val="auto"/>
          <w:szCs w:val="21"/>
          <w:highlight w:val="none"/>
          <w:lang w:eastAsia="zh-CN"/>
        </w:rPr>
        <w:t>：</w:t>
      </w:r>
    </w:p>
    <w:p w14:paraId="33AFD1E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发包人代表的通信地址</w:t>
      </w:r>
      <w:r>
        <w:rPr>
          <w:rFonts w:hint="eastAsia" w:ascii="方正仿宋_GB2312" w:hAnsi="方正仿宋_GB2312" w:eastAsia="方正仿宋_GB2312" w:cs="方正仿宋_GB2312"/>
          <w:color w:val="auto"/>
          <w:szCs w:val="21"/>
          <w:highlight w:val="none"/>
          <w:lang w:eastAsia="zh-CN"/>
        </w:rPr>
        <w:t>：</w:t>
      </w:r>
    </w:p>
    <w:p w14:paraId="30BD5BF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发包人对发包人代表的授权范围如下</w:t>
      </w:r>
      <w:r>
        <w:rPr>
          <w:rFonts w:hint="eastAsia" w:ascii="方正仿宋_GB2312" w:hAnsi="方正仿宋_GB2312" w:eastAsia="方正仿宋_GB2312" w:cs="方正仿宋_GB2312"/>
          <w:color w:val="auto"/>
          <w:szCs w:val="21"/>
          <w:highlight w:val="none"/>
          <w:lang w:eastAsia="zh-CN"/>
        </w:rPr>
        <w:t>：</w:t>
      </w:r>
    </w:p>
    <w:p w14:paraId="4B78B9A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发包人代表的职责</w:t>
      </w:r>
      <w:r>
        <w:rPr>
          <w:rFonts w:hint="eastAsia" w:ascii="方正仿宋_GB2312" w:hAnsi="方正仿宋_GB2312" w:eastAsia="方正仿宋_GB2312" w:cs="方正仿宋_GB2312"/>
          <w:color w:val="auto"/>
          <w:szCs w:val="21"/>
          <w:highlight w:val="none"/>
          <w:lang w:eastAsia="zh-CN"/>
        </w:rPr>
        <w:t>：</w:t>
      </w:r>
    </w:p>
    <w:p w14:paraId="6B66492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3.2 发包人人员</w:t>
      </w:r>
    </w:p>
    <w:p w14:paraId="4C6E160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发包人人员姓名</w:t>
      </w:r>
      <w:r>
        <w:rPr>
          <w:rFonts w:hint="eastAsia" w:ascii="方正仿宋_GB2312" w:hAnsi="方正仿宋_GB2312" w:eastAsia="方正仿宋_GB2312" w:cs="方正仿宋_GB2312"/>
          <w:color w:val="auto"/>
          <w:szCs w:val="21"/>
          <w:highlight w:val="none"/>
          <w:lang w:eastAsia="zh-CN"/>
        </w:rPr>
        <w:t>：</w:t>
      </w:r>
    </w:p>
    <w:p w14:paraId="09A0BF8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发包人人员职务</w:t>
      </w:r>
      <w:r>
        <w:rPr>
          <w:rFonts w:hint="eastAsia" w:ascii="方正仿宋_GB2312" w:hAnsi="方正仿宋_GB2312" w:eastAsia="方正仿宋_GB2312" w:cs="方正仿宋_GB2312"/>
          <w:color w:val="auto"/>
          <w:szCs w:val="21"/>
          <w:highlight w:val="none"/>
          <w:lang w:eastAsia="zh-CN"/>
        </w:rPr>
        <w:t>：</w:t>
      </w:r>
    </w:p>
    <w:p w14:paraId="010DE6A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发包人人员职责</w:t>
      </w:r>
      <w:r>
        <w:rPr>
          <w:rFonts w:hint="eastAsia" w:ascii="方正仿宋_GB2312" w:hAnsi="方正仿宋_GB2312" w:eastAsia="方正仿宋_GB2312" w:cs="方正仿宋_GB2312"/>
          <w:color w:val="auto"/>
          <w:szCs w:val="21"/>
          <w:highlight w:val="none"/>
          <w:lang w:eastAsia="zh-CN"/>
        </w:rPr>
        <w:t>：</w:t>
      </w:r>
    </w:p>
    <w:p w14:paraId="63632B1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3.3 工程师</w:t>
      </w:r>
    </w:p>
    <w:p w14:paraId="23DAE87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3.3.1 工程师名称</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工程师监督管理范围、内容</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工程师权限</w:t>
      </w:r>
      <w:r>
        <w:rPr>
          <w:rFonts w:hint="eastAsia" w:ascii="方正仿宋_GB2312" w:hAnsi="方正仿宋_GB2312" w:eastAsia="方正仿宋_GB2312" w:cs="方正仿宋_GB2312"/>
          <w:color w:val="auto"/>
          <w:szCs w:val="21"/>
          <w:highlight w:val="none"/>
          <w:lang w:eastAsia="zh-CN"/>
        </w:rPr>
        <w:t>：</w:t>
      </w:r>
    </w:p>
    <w:p w14:paraId="69AC2B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3.6 商定或确定</w:t>
      </w:r>
    </w:p>
    <w:p w14:paraId="699FAB9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3.6.2 关于商定时间限制的具体约定</w:t>
      </w:r>
      <w:r>
        <w:rPr>
          <w:rFonts w:hint="eastAsia" w:ascii="方正仿宋_GB2312" w:hAnsi="方正仿宋_GB2312" w:eastAsia="方正仿宋_GB2312" w:cs="方正仿宋_GB2312"/>
          <w:color w:val="auto"/>
          <w:szCs w:val="21"/>
          <w:highlight w:val="none"/>
          <w:lang w:eastAsia="zh-CN"/>
        </w:rPr>
        <w:t>：</w:t>
      </w:r>
    </w:p>
    <w:p w14:paraId="656A2BE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3.6.3 关于商定或确定效力的具体约定</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关于对工程师的确定提出异议的具体约定</w:t>
      </w:r>
      <w:r>
        <w:rPr>
          <w:rFonts w:hint="eastAsia" w:ascii="方正仿宋_GB2312" w:hAnsi="方正仿宋_GB2312" w:eastAsia="方正仿宋_GB2312" w:cs="方正仿宋_GB2312"/>
          <w:color w:val="auto"/>
          <w:szCs w:val="21"/>
          <w:highlight w:val="none"/>
          <w:lang w:eastAsia="zh-CN"/>
        </w:rPr>
        <w:t>：</w:t>
      </w:r>
    </w:p>
    <w:p w14:paraId="7E18A6B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3.7 会议</w:t>
      </w:r>
    </w:p>
    <w:p w14:paraId="228C57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3.7.1 关于召开会议的具体约定</w:t>
      </w:r>
      <w:r>
        <w:rPr>
          <w:rFonts w:hint="eastAsia" w:ascii="方正仿宋_GB2312" w:hAnsi="方正仿宋_GB2312" w:eastAsia="方正仿宋_GB2312" w:cs="方正仿宋_GB2312"/>
          <w:color w:val="auto"/>
          <w:szCs w:val="21"/>
          <w:highlight w:val="none"/>
          <w:lang w:eastAsia="zh-CN"/>
        </w:rPr>
        <w:t>：</w:t>
      </w:r>
    </w:p>
    <w:p w14:paraId="67B3B43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3.7.2 关于保存和提供会议纪要的具体约定</w:t>
      </w:r>
      <w:r>
        <w:rPr>
          <w:rFonts w:hint="eastAsia" w:ascii="方正仿宋_GB2312" w:hAnsi="方正仿宋_GB2312" w:eastAsia="方正仿宋_GB2312" w:cs="方正仿宋_GB2312"/>
          <w:color w:val="auto"/>
          <w:szCs w:val="21"/>
          <w:highlight w:val="none"/>
          <w:lang w:eastAsia="zh-CN"/>
        </w:rPr>
        <w:t>：</w:t>
      </w:r>
    </w:p>
    <w:p w14:paraId="68302F72">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63" w:name="_Toc54862335"/>
      <w:bookmarkStart w:id="1464" w:name="_Toc9383"/>
      <w:r>
        <w:rPr>
          <w:rFonts w:hint="eastAsia" w:ascii="方正仿宋_GB2312" w:hAnsi="方正仿宋_GB2312" w:eastAsia="方正仿宋_GB2312" w:cs="方正仿宋_GB2312"/>
          <w:b w:val="0"/>
          <w:bCs/>
          <w:color w:val="auto"/>
          <w:kern w:val="2"/>
          <w:sz w:val="28"/>
          <w:szCs w:val="28"/>
          <w:highlight w:val="none"/>
          <w:lang w:val="zh-CN" w:eastAsia="zh-CN" w:bidi="ar-SA"/>
        </w:rPr>
        <w:t>第4条 承包人</w:t>
      </w:r>
      <w:bookmarkEnd w:id="1463"/>
      <w:bookmarkEnd w:id="1464"/>
    </w:p>
    <w:p w14:paraId="66895EE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4.1 承包人的一般义务</w:t>
      </w:r>
    </w:p>
    <w:p w14:paraId="6CBE34C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承包人应履行的其他义务</w:t>
      </w:r>
      <w:r>
        <w:rPr>
          <w:rFonts w:hint="eastAsia" w:ascii="方正仿宋_GB2312" w:hAnsi="方正仿宋_GB2312" w:eastAsia="方正仿宋_GB2312" w:cs="方正仿宋_GB2312"/>
          <w:color w:val="auto"/>
          <w:szCs w:val="21"/>
          <w:highlight w:val="none"/>
          <w:lang w:eastAsia="zh-CN"/>
        </w:rPr>
        <w:t>：</w:t>
      </w:r>
    </w:p>
    <w:p w14:paraId="3841616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4.2 履约担保</w:t>
      </w:r>
    </w:p>
    <w:p w14:paraId="3C177A7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承包人是否提供履约担保</w:t>
      </w:r>
      <w:r>
        <w:rPr>
          <w:rFonts w:hint="eastAsia" w:ascii="方正仿宋_GB2312" w:hAnsi="方正仿宋_GB2312" w:eastAsia="方正仿宋_GB2312" w:cs="方正仿宋_GB2312"/>
          <w:color w:val="auto"/>
          <w:szCs w:val="21"/>
          <w:highlight w:val="none"/>
          <w:lang w:eastAsia="zh-CN"/>
        </w:rPr>
        <w:t>：</w:t>
      </w:r>
    </w:p>
    <w:p w14:paraId="0F8AB0A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履约担保的方式、金额及期限</w:t>
      </w:r>
      <w:r>
        <w:rPr>
          <w:rFonts w:hint="eastAsia" w:ascii="方正仿宋_GB2312" w:hAnsi="方正仿宋_GB2312" w:eastAsia="方正仿宋_GB2312" w:cs="方正仿宋_GB2312"/>
          <w:color w:val="auto"/>
          <w:szCs w:val="21"/>
          <w:highlight w:val="none"/>
          <w:lang w:eastAsia="zh-CN"/>
        </w:rPr>
        <w:t>：</w:t>
      </w:r>
    </w:p>
    <w:p w14:paraId="22F795F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 工程总承包项目经理</w:t>
      </w:r>
    </w:p>
    <w:p w14:paraId="3E1C814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4.3.1 工程总承包项目经理姓名</w:t>
      </w:r>
      <w:r>
        <w:rPr>
          <w:rFonts w:hint="eastAsia" w:ascii="方正仿宋_GB2312" w:hAnsi="方正仿宋_GB2312" w:eastAsia="方正仿宋_GB2312" w:cs="方正仿宋_GB2312"/>
          <w:color w:val="auto"/>
          <w:szCs w:val="21"/>
          <w:highlight w:val="none"/>
          <w:lang w:eastAsia="zh-CN"/>
        </w:rPr>
        <w:t>：</w:t>
      </w:r>
    </w:p>
    <w:p w14:paraId="3E4481E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执业资格或职称类型</w:t>
      </w:r>
      <w:r>
        <w:rPr>
          <w:rFonts w:hint="eastAsia" w:ascii="方正仿宋_GB2312" w:hAnsi="方正仿宋_GB2312" w:eastAsia="方正仿宋_GB2312" w:cs="方正仿宋_GB2312"/>
          <w:color w:val="auto"/>
          <w:szCs w:val="21"/>
          <w:highlight w:val="none"/>
          <w:lang w:eastAsia="zh-CN"/>
        </w:rPr>
        <w:t>：</w:t>
      </w:r>
    </w:p>
    <w:p w14:paraId="53B42A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执业资格证或职称证号码</w:t>
      </w:r>
      <w:r>
        <w:rPr>
          <w:rFonts w:hint="eastAsia" w:ascii="方正仿宋_GB2312" w:hAnsi="方正仿宋_GB2312" w:eastAsia="方正仿宋_GB2312" w:cs="方正仿宋_GB2312"/>
          <w:color w:val="auto"/>
          <w:szCs w:val="21"/>
          <w:highlight w:val="none"/>
          <w:lang w:eastAsia="zh-CN"/>
        </w:rPr>
        <w:t>：</w:t>
      </w:r>
    </w:p>
    <w:p w14:paraId="36437C4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联系电话</w:t>
      </w:r>
      <w:r>
        <w:rPr>
          <w:rFonts w:hint="eastAsia" w:ascii="方正仿宋_GB2312" w:hAnsi="方正仿宋_GB2312" w:eastAsia="方正仿宋_GB2312" w:cs="方正仿宋_GB2312"/>
          <w:color w:val="auto"/>
          <w:szCs w:val="21"/>
          <w:highlight w:val="none"/>
          <w:lang w:eastAsia="zh-CN"/>
        </w:rPr>
        <w:t>：</w:t>
      </w:r>
    </w:p>
    <w:p w14:paraId="53C656F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电子邮箱</w:t>
      </w:r>
      <w:r>
        <w:rPr>
          <w:rFonts w:hint="eastAsia" w:ascii="方正仿宋_GB2312" w:hAnsi="方正仿宋_GB2312" w:eastAsia="方正仿宋_GB2312" w:cs="方正仿宋_GB2312"/>
          <w:color w:val="auto"/>
          <w:szCs w:val="21"/>
          <w:highlight w:val="none"/>
          <w:lang w:eastAsia="zh-CN"/>
        </w:rPr>
        <w:t>：</w:t>
      </w:r>
    </w:p>
    <w:p w14:paraId="5FBB6A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通信地址</w:t>
      </w:r>
      <w:r>
        <w:rPr>
          <w:rFonts w:hint="eastAsia" w:ascii="方正仿宋_GB2312" w:hAnsi="方正仿宋_GB2312" w:eastAsia="方正仿宋_GB2312" w:cs="方正仿宋_GB2312"/>
          <w:color w:val="auto"/>
          <w:szCs w:val="21"/>
          <w:highlight w:val="none"/>
          <w:lang w:eastAsia="zh-CN"/>
        </w:rPr>
        <w:t>：</w:t>
      </w:r>
    </w:p>
    <w:p w14:paraId="48C24F1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承包人未提交劳动合同，以及没有为工程总承包项目经理缴纳社会保险证明的违约责任</w:t>
      </w:r>
      <w:r>
        <w:rPr>
          <w:rFonts w:hint="eastAsia" w:ascii="方正仿宋_GB2312" w:hAnsi="方正仿宋_GB2312" w:eastAsia="方正仿宋_GB2312" w:cs="方正仿宋_GB2312"/>
          <w:color w:val="auto"/>
          <w:szCs w:val="21"/>
          <w:highlight w:val="none"/>
          <w:lang w:eastAsia="zh-CN"/>
        </w:rPr>
        <w:t>：</w:t>
      </w:r>
    </w:p>
    <w:p w14:paraId="1F45370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4.3.2 工程总承包项目经理每月在现场的时间要求</w:t>
      </w:r>
      <w:r>
        <w:rPr>
          <w:rFonts w:hint="eastAsia" w:ascii="方正仿宋_GB2312" w:hAnsi="方正仿宋_GB2312" w:eastAsia="方正仿宋_GB2312" w:cs="方正仿宋_GB2312"/>
          <w:color w:val="auto"/>
          <w:szCs w:val="21"/>
          <w:highlight w:val="none"/>
          <w:lang w:eastAsia="zh-CN"/>
        </w:rPr>
        <w:t>：</w:t>
      </w:r>
    </w:p>
    <w:p w14:paraId="4117555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工程总承包项目经理未经批准擅自离开施工现场的违约责任</w:t>
      </w:r>
      <w:r>
        <w:rPr>
          <w:rFonts w:hint="eastAsia" w:ascii="方正仿宋_GB2312" w:hAnsi="方正仿宋_GB2312" w:eastAsia="方正仿宋_GB2312" w:cs="方正仿宋_GB2312"/>
          <w:color w:val="auto"/>
          <w:szCs w:val="21"/>
          <w:highlight w:val="none"/>
          <w:lang w:eastAsia="zh-CN"/>
        </w:rPr>
        <w:t>：</w:t>
      </w:r>
    </w:p>
    <w:p w14:paraId="14FF373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4.3.3 承包人对工程总承包项目经理的授权范围</w:t>
      </w:r>
      <w:r>
        <w:rPr>
          <w:rFonts w:hint="eastAsia" w:ascii="方正仿宋_GB2312" w:hAnsi="方正仿宋_GB2312" w:eastAsia="方正仿宋_GB2312" w:cs="方正仿宋_GB2312"/>
          <w:color w:val="auto"/>
          <w:szCs w:val="21"/>
          <w:highlight w:val="none"/>
          <w:lang w:eastAsia="zh-CN"/>
        </w:rPr>
        <w:t>：</w:t>
      </w:r>
    </w:p>
    <w:p w14:paraId="49B1832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4.3.4 承包人擅自更换工程总承包项目经理的违约责任</w:t>
      </w:r>
      <w:r>
        <w:rPr>
          <w:rFonts w:hint="eastAsia" w:ascii="方正仿宋_GB2312" w:hAnsi="方正仿宋_GB2312" w:eastAsia="方正仿宋_GB2312" w:cs="方正仿宋_GB2312"/>
          <w:color w:val="auto"/>
          <w:szCs w:val="21"/>
          <w:highlight w:val="none"/>
          <w:lang w:eastAsia="zh-CN"/>
        </w:rPr>
        <w:t>：</w:t>
      </w:r>
    </w:p>
    <w:p w14:paraId="177610D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4.3.5 承包人无正当理由拒绝更换工程总承包项目经理的违约责任</w:t>
      </w:r>
      <w:r>
        <w:rPr>
          <w:rFonts w:hint="eastAsia" w:ascii="方正仿宋_GB2312" w:hAnsi="方正仿宋_GB2312" w:eastAsia="方正仿宋_GB2312" w:cs="方正仿宋_GB2312"/>
          <w:color w:val="auto"/>
          <w:szCs w:val="21"/>
          <w:highlight w:val="none"/>
          <w:lang w:eastAsia="zh-CN"/>
        </w:rPr>
        <w:t>：</w:t>
      </w:r>
    </w:p>
    <w:p w14:paraId="30B226A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4.4 承包人人员</w:t>
      </w:r>
    </w:p>
    <w:p w14:paraId="429DFC0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4.4.1 人员安排</w:t>
      </w:r>
    </w:p>
    <w:p w14:paraId="1BADED0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承包人提交项目管理机构及施工现场人员安排的报告的期限</w:t>
      </w:r>
      <w:r>
        <w:rPr>
          <w:rFonts w:hint="eastAsia" w:ascii="方正仿宋_GB2312" w:hAnsi="方正仿宋_GB2312" w:eastAsia="方正仿宋_GB2312" w:cs="方正仿宋_GB2312"/>
          <w:color w:val="auto"/>
          <w:szCs w:val="21"/>
          <w:highlight w:val="none"/>
          <w:lang w:eastAsia="zh-CN"/>
        </w:rPr>
        <w:t>：</w:t>
      </w:r>
    </w:p>
    <w:p w14:paraId="2D3BFC6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承包人提交关键人员信息及注册执业资格等证明其具备担任关键人员能力的相关文件的期限</w:t>
      </w:r>
      <w:r>
        <w:rPr>
          <w:rFonts w:hint="eastAsia" w:ascii="方正仿宋_GB2312" w:hAnsi="方正仿宋_GB2312" w:eastAsia="方正仿宋_GB2312" w:cs="方正仿宋_GB2312"/>
          <w:color w:val="auto"/>
          <w:szCs w:val="21"/>
          <w:highlight w:val="none"/>
          <w:lang w:eastAsia="zh-CN"/>
        </w:rPr>
        <w:t>：</w:t>
      </w:r>
    </w:p>
    <w:p w14:paraId="0C64040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4.4.2 关键人员更换</w:t>
      </w:r>
    </w:p>
    <w:p w14:paraId="529B9B6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承包人擅自更换关键人员的违约责任</w:t>
      </w:r>
      <w:r>
        <w:rPr>
          <w:rFonts w:hint="eastAsia" w:ascii="方正仿宋_GB2312" w:hAnsi="方正仿宋_GB2312" w:eastAsia="方正仿宋_GB2312" w:cs="方正仿宋_GB2312"/>
          <w:color w:val="auto"/>
          <w:szCs w:val="21"/>
          <w:highlight w:val="none"/>
          <w:lang w:eastAsia="zh-CN"/>
        </w:rPr>
        <w:t>：</w:t>
      </w:r>
    </w:p>
    <w:p w14:paraId="59C88D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承包人无正当理由拒绝撤换关键人员的违约责任</w:t>
      </w:r>
      <w:r>
        <w:rPr>
          <w:rFonts w:hint="eastAsia" w:ascii="方正仿宋_GB2312" w:hAnsi="方正仿宋_GB2312" w:eastAsia="方正仿宋_GB2312" w:cs="方正仿宋_GB2312"/>
          <w:color w:val="auto"/>
          <w:szCs w:val="21"/>
          <w:highlight w:val="none"/>
          <w:lang w:eastAsia="zh-CN"/>
        </w:rPr>
        <w:t>：</w:t>
      </w:r>
    </w:p>
    <w:p w14:paraId="4B59A63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4.4.3 现场管理关键人员在岗要求</w:t>
      </w:r>
    </w:p>
    <w:p w14:paraId="4757E1C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承包人现场管理关键人员离开施工现场的批准要求</w:t>
      </w:r>
      <w:r>
        <w:rPr>
          <w:rFonts w:hint="eastAsia" w:ascii="方正仿宋_GB2312" w:hAnsi="方正仿宋_GB2312" w:eastAsia="方正仿宋_GB2312" w:cs="方正仿宋_GB2312"/>
          <w:color w:val="auto"/>
          <w:szCs w:val="21"/>
          <w:highlight w:val="none"/>
          <w:lang w:eastAsia="zh-CN"/>
        </w:rPr>
        <w:t>：</w:t>
      </w:r>
    </w:p>
    <w:p w14:paraId="73C6C55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承包人现场管理关键人员擅自离开施工现场的违约责任</w:t>
      </w:r>
      <w:r>
        <w:rPr>
          <w:rFonts w:hint="eastAsia" w:ascii="方正仿宋_GB2312" w:hAnsi="方正仿宋_GB2312" w:eastAsia="方正仿宋_GB2312" w:cs="方正仿宋_GB2312"/>
          <w:color w:val="auto"/>
          <w:szCs w:val="21"/>
          <w:highlight w:val="none"/>
          <w:lang w:eastAsia="zh-CN"/>
        </w:rPr>
        <w:t>：</w:t>
      </w:r>
    </w:p>
    <w:p w14:paraId="19C8DCC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4.5 分包</w:t>
      </w:r>
    </w:p>
    <w:p w14:paraId="4D952CB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4.5.1 一般约定</w:t>
      </w:r>
    </w:p>
    <w:p w14:paraId="6DFCF63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禁止分包的工程包括</w:t>
      </w:r>
      <w:r>
        <w:rPr>
          <w:rFonts w:hint="eastAsia" w:ascii="方正仿宋_GB2312" w:hAnsi="方正仿宋_GB2312" w:eastAsia="方正仿宋_GB2312" w:cs="方正仿宋_GB2312"/>
          <w:color w:val="auto"/>
          <w:szCs w:val="21"/>
          <w:highlight w:val="none"/>
          <w:lang w:eastAsia="zh-CN"/>
        </w:rPr>
        <w:t>：</w:t>
      </w:r>
    </w:p>
    <w:p w14:paraId="3DD9E5E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4.5.2 分包的确定</w:t>
      </w:r>
    </w:p>
    <w:p w14:paraId="54A4882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允许分包的工程包括</w:t>
      </w:r>
      <w:r>
        <w:rPr>
          <w:rFonts w:hint="eastAsia" w:ascii="方正仿宋_GB2312" w:hAnsi="方正仿宋_GB2312" w:eastAsia="方正仿宋_GB2312" w:cs="方正仿宋_GB2312"/>
          <w:color w:val="auto"/>
          <w:szCs w:val="21"/>
          <w:highlight w:val="none"/>
          <w:lang w:eastAsia="zh-CN"/>
        </w:rPr>
        <w:t>：</w:t>
      </w:r>
    </w:p>
    <w:p w14:paraId="4E1A8D3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其他关于分包的约定</w:t>
      </w:r>
      <w:r>
        <w:rPr>
          <w:rFonts w:hint="eastAsia" w:ascii="方正仿宋_GB2312" w:hAnsi="方正仿宋_GB2312" w:eastAsia="方正仿宋_GB2312" w:cs="方正仿宋_GB2312"/>
          <w:color w:val="auto"/>
          <w:szCs w:val="21"/>
          <w:highlight w:val="none"/>
          <w:lang w:eastAsia="zh-CN"/>
        </w:rPr>
        <w:t>：</w:t>
      </w:r>
    </w:p>
    <w:p w14:paraId="5AF25BC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4.5.5 分包合同价款支付</w:t>
      </w:r>
    </w:p>
    <w:p w14:paraId="6579EF6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关于分包合同价款支付的约定</w:t>
      </w:r>
      <w:r>
        <w:rPr>
          <w:rFonts w:hint="eastAsia" w:ascii="方正仿宋_GB2312" w:hAnsi="方正仿宋_GB2312" w:eastAsia="方正仿宋_GB2312" w:cs="方正仿宋_GB2312"/>
          <w:color w:val="auto"/>
          <w:szCs w:val="21"/>
          <w:highlight w:val="none"/>
          <w:lang w:eastAsia="zh-CN"/>
        </w:rPr>
        <w:t>：</w:t>
      </w:r>
    </w:p>
    <w:p w14:paraId="01F83AA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4.6 联合体</w:t>
      </w:r>
    </w:p>
    <w:p w14:paraId="668242E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4.6.2 联合体各成员的分工、费用收取、发票开具等事项</w:t>
      </w:r>
      <w:r>
        <w:rPr>
          <w:rFonts w:hint="eastAsia" w:ascii="方正仿宋_GB2312" w:hAnsi="方正仿宋_GB2312" w:eastAsia="方正仿宋_GB2312" w:cs="方正仿宋_GB2312"/>
          <w:color w:val="auto"/>
          <w:szCs w:val="21"/>
          <w:highlight w:val="none"/>
          <w:lang w:eastAsia="zh-CN"/>
        </w:rPr>
        <w:t>：</w:t>
      </w:r>
    </w:p>
    <w:p w14:paraId="6E22DBF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4.7 承包人现场查勘</w:t>
      </w:r>
    </w:p>
    <w:p w14:paraId="11B1F36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4.7.1 双方当事人对现场查勘的责任承担的约定</w:t>
      </w:r>
      <w:r>
        <w:rPr>
          <w:rFonts w:hint="eastAsia" w:ascii="方正仿宋_GB2312" w:hAnsi="方正仿宋_GB2312" w:eastAsia="方正仿宋_GB2312" w:cs="方正仿宋_GB2312"/>
          <w:color w:val="auto"/>
          <w:szCs w:val="21"/>
          <w:highlight w:val="none"/>
          <w:lang w:eastAsia="zh-CN"/>
        </w:rPr>
        <w:t>：</w:t>
      </w:r>
    </w:p>
    <w:p w14:paraId="2DAC2A6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4.8 不可预见的困难</w:t>
      </w:r>
    </w:p>
    <w:p w14:paraId="28B4627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不可预见的困难包括</w:t>
      </w:r>
      <w:r>
        <w:rPr>
          <w:rFonts w:hint="eastAsia" w:ascii="方正仿宋_GB2312" w:hAnsi="方正仿宋_GB2312" w:eastAsia="方正仿宋_GB2312" w:cs="方正仿宋_GB2312"/>
          <w:color w:val="auto"/>
          <w:szCs w:val="21"/>
          <w:highlight w:val="none"/>
          <w:lang w:eastAsia="zh-CN"/>
        </w:rPr>
        <w:t>：</w:t>
      </w:r>
    </w:p>
    <w:p w14:paraId="031A0BA0">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65" w:name="_Toc54862336"/>
      <w:bookmarkStart w:id="1466" w:name="_Toc10394"/>
      <w:r>
        <w:rPr>
          <w:rFonts w:hint="eastAsia" w:ascii="方正仿宋_GB2312" w:hAnsi="方正仿宋_GB2312" w:eastAsia="方正仿宋_GB2312" w:cs="方正仿宋_GB2312"/>
          <w:b w:val="0"/>
          <w:bCs/>
          <w:color w:val="auto"/>
          <w:kern w:val="2"/>
          <w:sz w:val="28"/>
          <w:szCs w:val="28"/>
          <w:highlight w:val="none"/>
          <w:lang w:val="zh-CN" w:eastAsia="zh-CN" w:bidi="ar-SA"/>
        </w:rPr>
        <w:t>第5条 设计</w:t>
      </w:r>
      <w:bookmarkEnd w:id="1465"/>
      <w:bookmarkEnd w:id="1466"/>
    </w:p>
    <w:p w14:paraId="21F09D4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5.2 承包人文件审查</w:t>
      </w:r>
    </w:p>
    <w:p w14:paraId="745ACEE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5.2.1 承包人文件审查的期限</w:t>
      </w:r>
      <w:r>
        <w:rPr>
          <w:rFonts w:hint="eastAsia" w:ascii="方正仿宋_GB2312" w:hAnsi="方正仿宋_GB2312" w:eastAsia="方正仿宋_GB2312" w:cs="方正仿宋_GB2312"/>
          <w:color w:val="auto"/>
          <w:szCs w:val="21"/>
          <w:highlight w:val="none"/>
          <w:lang w:eastAsia="zh-CN"/>
        </w:rPr>
        <w:t>：</w:t>
      </w:r>
    </w:p>
    <w:p w14:paraId="6B3AA04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5.2.2 审查会议的审查形式和时间安排为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审查会议的相关费用由承担。</w:t>
      </w:r>
    </w:p>
    <w:p w14:paraId="0F2E283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5.2.3 关于第三方审查单位的约定</w:t>
      </w:r>
      <w:r>
        <w:rPr>
          <w:rFonts w:hint="eastAsia" w:ascii="方正仿宋_GB2312" w:hAnsi="方正仿宋_GB2312" w:eastAsia="方正仿宋_GB2312" w:cs="方正仿宋_GB2312"/>
          <w:color w:val="auto"/>
          <w:szCs w:val="21"/>
          <w:highlight w:val="none"/>
          <w:lang w:eastAsia="zh-CN"/>
        </w:rPr>
        <w:t>：</w:t>
      </w:r>
    </w:p>
    <w:p w14:paraId="0AF73E3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5.3 培训</w:t>
      </w:r>
    </w:p>
    <w:p w14:paraId="047B85E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培训的时长为，承包人应为培训</w:t>
      </w:r>
      <w:r>
        <w:rPr>
          <w:rFonts w:hint="eastAsia" w:ascii="方正仿宋_GB2312" w:hAnsi="方正仿宋_GB2312" w:eastAsia="方正仿宋_GB2312" w:cs="方正仿宋_GB2312"/>
          <w:color w:val="auto"/>
          <w:szCs w:val="21"/>
          <w:highlight w:val="none"/>
          <w:lang w:eastAsia="zh-CN"/>
        </w:rPr>
        <w:t>提供</w:t>
      </w:r>
      <w:r>
        <w:rPr>
          <w:rFonts w:hint="eastAsia" w:ascii="方正仿宋_GB2312" w:hAnsi="方正仿宋_GB2312" w:eastAsia="方正仿宋_GB2312" w:cs="方正仿宋_GB2312"/>
          <w:color w:val="auto"/>
          <w:szCs w:val="21"/>
          <w:highlight w:val="none"/>
        </w:rPr>
        <w:t>人员、设施和</w:t>
      </w:r>
      <w:r>
        <w:rPr>
          <w:rFonts w:hint="eastAsia" w:ascii="方正仿宋_GB2312" w:hAnsi="方正仿宋_GB2312" w:eastAsia="方正仿宋_GB2312" w:cs="方正仿宋_GB2312"/>
          <w:color w:val="auto"/>
          <w:szCs w:val="21"/>
          <w:highlight w:val="none"/>
          <w:lang w:eastAsia="zh-CN"/>
        </w:rPr>
        <w:t>其他必要条件</w:t>
      </w:r>
      <w:r>
        <w:rPr>
          <w:rFonts w:hint="eastAsia" w:ascii="方正仿宋_GB2312" w:hAnsi="方正仿宋_GB2312" w:eastAsia="方正仿宋_GB2312" w:cs="方正仿宋_GB2312"/>
          <w:color w:val="auto"/>
          <w:szCs w:val="21"/>
          <w:highlight w:val="none"/>
        </w:rPr>
        <w:t>。</w:t>
      </w:r>
    </w:p>
    <w:p w14:paraId="6AFA96D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5.4 竣工文件</w:t>
      </w:r>
    </w:p>
    <w:p w14:paraId="58DB463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5.4.1 竣工文件的形式、提供的份数、技术标准以及</w:t>
      </w:r>
      <w:r>
        <w:rPr>
          <w:rFonts w:hint="eastAsia" w:ascii="方正仿宋_GB2312" w:hAnsi="方正仿宋_GB2312" w:eastAsia="方正仿宋_GB2312" w:cs="方正仿宋_GB2312"/>
          <w:color w:val="auto"/>
          <w:szCs w:val="21"/>
          <w:highlight w:val="none"/>
          <w:lang w:eastAsia="zh-CN"/>
        </w:rPr>
        <w:t>其他</w:t>
      </w:r>
      <w:r>
        <w:rPr>
          <w:rFonts w:hint="eastAsia" w:ascii="方正仿宋_GB2312" w:hAnsi="方正仿宋_GB2312" w:eastAsia="方正仿宋_GB2312" w:cs="方正仿宋_GB2312"/>
          <w:color w:val="auto"/>
          <w:szCs w:val="21"/>
          <w:highlight w:val="none"/>
        </w:rPr>
        <w:t>相关要求</w:t>
      </w:r>
      <w:r>
        <w:rPr>
          <w:rFonts w:hint="eastAsia" w:ascii="方正仿宋_GB2312" w:hAnsi="方正仿宋_GB2312" w:eastAsia="方正仿宋_GB2312" w:cs="方正仿宋_GB2312"/>
          <w:color w:val="auto"/>
          <w:szCs w:val="21"/>
          <w:highlight w:val="none"/>
          <w:lang w:eastAsia="zh-CN"/>
        </w:rPr>
        <w:t>：</w:t>
      </w:r>
    </w:p>
    <w:p w14:paraId="130AD96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5.4.3 关于竣工文件的其他约定</w:t>
      </w:r>
      <w:r>
        <w:rPr>
          <w:rFonts w:hint="eastAsia" w:ascii="方正仿宋_GB2312" w:hAnsi="方正仿宋_GB2312" w:eastAsia="方正仿宋_GB2312" w:cs="方正仿宋_GB2312"/>
          <w:color w:val="auto"/>
          <w:szCs w:val="21"/>
          <w:highlight w:val="none"/>
          <w:lang w:eastAsia="zh-CN"/>
        </w:rPr>
        <w:t>：</w:t>
      </w:r>
    </w:p>
    <w:p w14:paraId="1B076D7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5.5 操作和维修手册</w:t>
      </w:r>
    </w:p>
    <w:p w14:paraId="6AB5F1B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5.5.3 对最终操作和维修手册的约定</w:t>
      </w:r>
      <w:r>
        <w:rPr>
          <w:rFonts w:hint="eastAsia" w:ascii="方正仿宋_GB2312" w:hAnsi="方正仿宋_GB2312" w:eastAsia="方正仿宋_GB2312" w:cs="方正仿宋_GB2312"/>
          <w:color w:val="auto"/>
          <w:szCs w:val="21"/>
          <w:highlight w:val="none"/>
          <w:lang w:eastAsia="zh-CN"/>
        </w:rPr>
        <w:t>：</w:t>
      </w:r>
    </w:p>
    <w:p w14:paraId="755CD765">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67" w:name="_Toc54862337"/>
      <w:bookmarkStart w:id="1468" w:name="_Toc15807"/>
      <w:r>
        <w:rPr>
          <w:rFonts w:hint="eastAsia" w:ascii="方正仿宋_GB2312" w:hAnsi="方正仿宋_GB2312" w:eastAsia="方正仿宋_GB2312" w:cs="方正仿宋_GB2312"/>
          <w:b w:val="0"/>
          <w:bCs/>
          <w:color w:val="auto"/>
          <w:kern w:val="2"/>
          <w:sz w:val="28"/>
          <w:szCs w:val="28"/>
          <w:highlight w:val="none"/>
          <w:lang w:val="zh-CN" w:eastAsia="zh-CN" w:bidi="ar-SA"/>
        </w:rPr>
        <w:t>第6条 材料、工程设备</w:t>
      </w:r>
      <w:bookmarkEnd w:id="1467"/>
      <w:bookmarkEnd w:id="1468"/>
    </w:p>
    <w:p w14:paraId="6C87B34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6.1 实施方法</w:t>
      </w:r>
    </w:p>
    <w:p w14:paraId="20A61FD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双方当事人约定的实施方法、设备、设施和材料</w:t>
      </w:r>
      <w:r>
        <w:rPr>
          <w:rFonts w:hint="eastAsia" w:ascii="方正仿宋_GB2312" w:hAnsi="方正仿宋_GB2312" w:eastAsia="方正仿宋_GB2312" w:cs="方正仿宋_GB2312"/>
          <w:color w:val="auto"/>
          <w:szCs w:val="21"/>
          <w:highlight w:val="none"/>
          <w:lang w:eastAsia="zh-CN"/>
        </w:rPr>
        <w:t>：</w:t>
      </w:r>
    </w:p>
    <w:p w14:paraId="0EAB7FB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6.2 材料和工程设备</w:t>
      </w:r>
    </w:p>
    <w:p w14:paraId="18551B1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6.2.1 发包人提供的材料和工程设备</w:t>
      </w:r>
    </w:p>
    <w:p w14:paraId="33A6DE7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发包人提供的材料和工程设备验收后</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负责接收、运输和保管。</w:t>
      </w:r>
    </w:p>
    <w:p w14:paraId="51C5DD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6.2.2 承包人提供的材料和工程设备</w:t>
      </w:r>
    </w:p>
    <w:p w14:paraId="4292CE9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材料和工程设备的类别、估算数量</w:t>
      </w:r>
      <w:r>
        <w:rPr>
          <w:rFonts w:hint="eastAsia" w:ascii="方正仿宋_GB2312" w:hAnsi="方正仿宋_GB2312" w:eastAsia="方正仿宋_GB2312" w:cs="方正仿宋_GB2312"/>
          <w:color w:val="auto"/>
          <w:szCs w:val="21"/>
          <w:highlight w:val="none"/>
          <w:lang w:eastAsia="zh-CN"/>
        </w:rPr>
        <w:t>：</w:t>
      </w:r>
    </w:p>
    <w:p w14:paraId="6955D2A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竣工后试验的生产性材料的类别或（和）清单</w:t>
      </w:r>
      <w:r>
        <w:rPr>
          <w:rFonts w:hint="eastAsia" w:ascii="方正仿宋_GB2312" w:hAnsi="方正仿宋_GB2312" w:eastAsia="方正仿宋_GB2312" w:cs="方正仿宋_GB2312"/>
          <w:color w:val="auto"/>
          <w:szCs w:val="21"/>
          <w:highlight w:val="none"/>
          <w:lang w:eastAsia="zh-CN"/>
        </w:rPr>
        <w:t>：</w:t>
      </w:r>
    </w:p>
    <w:p w14:paraId="3475EE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6.2.3 材料和工程设备的保管</w:t>
      </w:r>
    </w:p>
    <w:p w14:paraId="4D36615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发包人供应的材料和工程设备的保管费用由承担。</w:t>
      </w:r>
    </w:p>
    <w:p w14:paraId="780C503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承包人提交保管、维护方案的时间</w:t>
      </w:r>
      <w:r>
        <w:rPr>
          <w:rFonts w:hint="eastAsia" w:ascii="方正仿宋_GB2312" w:hAnsi="方正仿宋_GB2312" w:eastAsia="方正仿宋_GB2312" w:cs="方正仿宋_GB2312"/>
          <w:color w:val="auto"/>
          <w:szCs w:val="21"/>
          <w:highlight w:val="none"/>
          <w:lang w:eastAsia="zh-CN"/>
        </w:rPr>
        <w:t>：</w:t>
      </w:r>
    </w:p>
    <w:p w14:paraId="2C9F428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发包人提供的库房、堆场、设施和设备</w:t>
      </w:r>
      <w:r>
        <w:rPr>
          <w:rFonts w:hint="eastAsia" w:ascii="方正仿宋_GB2312" w:hAnsi="方正仿宋_GB2312" w:eastAsia="方正仿宋_GB2312" w:cs="方正仿宋_GB2312"/>
          <w:color w:val="auto"/>
          <w:szCs w:val="21"/>
          <w:highlight w:val="none"/>
          <w:lang w:eastAsia="zh-CN"/>
        </w:rPr>
        <w:t>：</w:t>
      </w:r>
    </w:p>
    <w:p w14:paraId="55882EE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6.3 样品</w:t>
      </w:r>
    </w:p>
    <w:p w14:paraId="2CD066E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6.3.1 样品的报送与封存</w:t>
      </w:r>
    </w:p>
    <w:p w14:paraId="578466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需要承包人报送样品的材料或工程设备，样品种类、名称、规格、数量</w:t>
      </w:r>
      <w:r>
        <w:rPr>
          <w:rFonts w:hint="eastAsia" w:ascii="方正仿宋_GB2312" w:hAnsi="方正仿宋_GB2312" w:eastAsia="方正仿宋_GB2312" w:cs="方正仿宋_GB2312"/>
          <w:color w:val="auto"/>
          <w:szCs w:val="21"/>
          <w:highlight w:val="none"/>
          <w:lang w:eastAsia="zh-CN"/>
        </w:rPr>
        <w:t>：</w:t>
      </w:r>
    </w:p>
    <w:p w14:paraId="0115AC0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6.4 质量检查</w:t>
      </w:r>
    </w:p>
    <w:p w14:paraId="114D24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6.4.1 工程质量要求</w:t>
      </w:r>
    </w:p>
    <w:p w14:paraId="4496D4C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工程质量的特殊标准或要求</w:t>
      </w:r>
      <w:r>
        <w:rPr>
          <w:rFonts w:hint="eastAsia" w:ascii="方正仿宋_GB2312" w:hAnsi="方正仿宋_GB2312" w:eastAsia="方正仿宋_GB2312" w:cs="方正仿宋_GB2312"/>
          <w:color w:val="auto"/>
          <w:szCs w:val="21"/>
          <w:highlight w:val="none"/>
          <w:lang w:eastAsia="zh-CN"/>
        </w:rPr>
        <w:t>：</w:t>
      </w:r>
    </w:p>
    <w:p w14:paraId="68C56EA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6.4.2 质量检查</w:t>
      </w:r>
    </w:p>
    <w:p w14:paraId="7DD39C3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除通用合同条件已列明的质量检查的地点外，发包人有权进行质量检查的其他地点</w:t>
      </w:r>
      <w:r>
        <w:rPr>
          <w:rFonts w:hint="eastAsia" w:ascii="方正仿宋_GB2312" w:hAnsi="方正仿宋_GB2312" w:eastAsia="方正仿宋_GB2312" w:cs="方正仿宋_GB2312"/>
          <w:color w:val="auto"/>
          <w:szCs w:val="21"/>
          <w:highlight w:val="none"/>
          <w:lang w:eastAsia="zh-CN"/>
        </w:rPr>
        <w:t>：</w:t>
      </w:r>
    </w:p>
    <w:p w14:paraId="6510DBA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6.4.3 隐蔽工程检查</w:t>
      </w:r>
    </w:p>
    <w:p w14:paraId="0A9E465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关于隐蔽工程和中间验收的特别约定</w:t>
      </w:r>
      <w:r>
        <w:rPr>
          <w:rFonts w:hint="eastAsia" w:ascii="方正仿宋_GB2312" w:hAnsi="方正仿宋_GB2312" w:eastAsia="方正仿宋_GB2312" w:cs="方正仿宋_GB2312"/>
          <w:color w:val="auto"/>
          <w:szCs w:val="21"/>
          <w:highlight w:val="none"/>
          <w:lang w:eastAsia="zh-CN"/>
        </w:rPr>
        <w:t>：</w:t>
      </w:r>
    </w:p>
    <w:p w14:paraId="350DDF0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6.5 由承包人试验和检验</w:t>
      </w:r>
    </w:p>
    <w:p w14:paraId="41F4B63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6.5.1 试验设备与试验人员</w:t>
      </w:r>
    </w:p>
    <w:p w14:paraId="007AC94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试验的内容、时间和地点</w:t>
      </w:r>
      <w:r>
        <w:rPr>
          <w:rFonts w:hint="eastAsia" w:ascii="方正仿宋_GB2312" w:hAnsi="方正仿宋_GB2312" w:eastAsia="方正仿宋_GB2312" w:cs="方正仿宋_GB2312"/>
          <w:color w:val="auto"/>
          <w:szCs w:val="21"/>
          <w:highlight w:val="none"/>
          <w:lang w:eastAsia="zh-CN"/>
        </w:rPr>
        <w:t>：</w:t>
      </w:r>
    </w:p>
    <w:p w14:paraId="0894975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试验所需要的试验设备、取样装置、试验场所和试验条件</w:t>
      </w:r>
      <w:r>
        <w:rPr>
          <w:rFonts w:hint="eastAsia" w:ascii="方正仿宋_GB2312" w:hAnsi="方正仿宋_GB2312" w:eastAsia="方正仿宋_GB2312" w:cs="方正仿宋_GB2312"/>
          <w:color w:val="auto"/>
          <w:szCs w:val="21"/>
          <w:highlight w:val="none"/>
          <w:lang w:eastAsia="zh-CN"/>
        </w:rPr>
        <w:t>：</w:t>
      </w:r>
    </w:p>
    <w:p w14:paraId="2FA8875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u w:val="single"/>
        </w:rPr>
      </w:pPr>
      <w:r>
        <w:rPr>
          <w:rFonts w:hint="eastAsia" w:ascii="方正仿宋_GB2312" w:hAnsi="方正仿宋_GB2312" w:eastAsia="方正仿宋_GB2312" w:cs="方正仿宋_GB2312"/>
          <w:color w:val="auto"/>
          <w:szCs w:val="21"/>
          <w:highlight w:val="none"/>
        </w:rPr>
        <w:t>试验和检验费用的计价原则</w:t>
      </w:r>
      <w:r>
        <w:rPr>
          <w:rFonts w:hint="eastAsia" w:ascii="方正仿宋_GB2312" w:hAnsi="方正仿宋_GB2312" w:eastAsia="方正仿宋_GB2312" w:cs="方正仿宋_GB2312"/>
          <w:color w:val="auto"/>
          <w:szCs w:val="21"/>
          <w:highlight w:val="none"/>
          <w:lang w:eastAsia="zh-CN"/>
        </w:rPr>
        <w:t>：</w:t>
      </w:r>
    </w:p>
    <w:p w14:paraId="2D5D6D37">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69" w:name="_Toc21698"/>
      <w:bookmarkStart w:id="1470" w:name="_Toc54862338"/>
      <w:r>
        <w:rPr>
          <w:rFonts w:hint="eastAsia" w:ascii="方正仿宋_GB2312" w:hAnsi="方正仿宋_GB2312" w:eastAsia="方正仿宋_GB2312" w:cs="方正仿宋_GB2312"/>
          <w:b w:val="0"/>
          <w:bCs/>
          <w:color w:val="auto"/>
          <w:kern w:val="2"/>
          <w:sz w:val="28"/>
          <w:szCs w:val="28"/>
          <w:highlight w:val="none"/>
          <w:lang w:val="zh-CN" w:eastAsia="zh-CN" w:bidi="ar-SA"/>
        </w:rPr>
        <w:t>第7条 施工</w:t>
      </w:r>
      <w:bookmarkEnd w:id="1469"/>
      <w:bookmarkEnd w:id="1470"/>
    </w:p>
    <w:p w14:paraId="45B0972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 交通运输</w:t>
      </w:r>
    </w:p>
    <w:p w14:paraId="44C852D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7.1.1 出入现场的权利</w:t>
      </w:r>
    </w:p>
    <w:p w14:paraId="0E2522C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关于出入现场的权利的约定</w:t>
      </w:r>
      <w:r>
        <w:rPr>
          <w:rFonts w:hint="eastAsia" w:ascii="方正仿宋_GB2312" w:hAnsi="方正仿宋_GB2312" w:eastAsia="方正仿宋_GB2312" w:cs="方正仿宋_GB2312"/>
          <w:color w:val="auto"/>
          <w:szCs w:val="21"/>
          <w:highlight w:val="none"/>
          <w:lang w:eastAsia="zh-CN"/>
        </w:rPr>
        <w:t>：</w:t>
      </w:r>
    </w:p>
    <w:p w14:paraId="6AD0432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7.1.2 场外交通</w:t>
      </w:r>
    </w:p>
    <w:p w14:paraId="3B61DA7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关于场外交通的特别约定</w:t>
      </w:r>
      <w:r>
        <w:rPr>
          <w:rFonts w:hint="eastAsia" w:ascii="方正仿宋_GB2312" w:hAnsi="方正仿宋_GB2312" w:eastAsia="方正仿宋_GB2312" w:cs="方正仿宋_GB2312"/>
          <w:color w:val="auto"/>
          <w:szCs w:val="21"/>
          <w:highlight w:val="none"/>
          <w:lang w:eastAsia="zh-CN"/>
        </w:rPr>
        <w:t>：</w:t>
      </w:r>
    </w:p>
    <w:p w14:paraId="7C28EA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7.1.3 场内交通</w:t>
      </w:r>
    </w:p>
    <w:p w14:paraId="0C2C7E7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关于场内交通的特别约定</w:t>
      </w:r>
      <w:r>
        <w:rPr>
          <w:rFonts w:hint="eastAsia" w:ascii="方正仿宋_GB2312" w:hAnsi="方正仿宋_GB2312" w:eastAsia="方正仿宋_GB2312" w:cs="方正仿宋_GB2312"/>
          <w:color w:val="auto"/>
          <w:szCs w:val="21"/>
          <w:highlight w:val="none"/>
          <w:lang w:eastAsia="zh-CN"/>
        </w:rPr>
        <w:t>：</w:t>
      </w:r>
    </w:p>
    <w:p w14:paraId="7DC6F9A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关于场内交通与场外交通边界的约定</w:t>
      </w:r>
      <w:r>
        <w:rPr>
          <w:rFonts w:hint="eastAsia" w:ascii="方正仿宋_GB2312" w:hAnsi="方正仿宋_GB2312" w:eastAsia="方正仿宋_GB2312" w:cs="方正仿宋_GB2312"/>
          <w:color w:val="auto"/>
          <w:szCs w:val="21"/>
          <w:highlight w:val="none"/>
          <w:lang w:eastAsia="zh-CN"/>
        </w:rPr>
        <w:t>：</w:t>
      </w:r>
    </w:p>
    <w:p w14:paraId="690BEB1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7.1.4 超大件和超重件的运输</w:t>
      </w:r>
    </w:p>
    <w:p w14:paraId="7C92E0E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运输超大件或超重件所需的道路和桥梁临时加固改造费用和其他有关费用由承担。</w:t>
      </w:r>
    </w:p>
    <w:p w14:paraId="1EE0C8F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7.2 施工设备和临时设施</w:t>
      </w:r>
    </w:p>
    <w:p w14:paraId="2B9E951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7.2.1 承包人提供的施工设备和临时设施</w:t>
      </w:r>
    </w:p>
    <w:p w14:paraId="06E4F3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临时设施的费用和临时占地手续和费用承担的特别约定</w:t>
      </w:r>
      <w:r>
        <w:rPr>
          <w:rFonts w:hint="eastAsia" w:ascii="方正仿宋_GB2312" w:hAnsi="方正仿宋_GB2312" w:eastAsia="方正仿宋_GB2312" w:cs="方正仿宋_GB2312"/>
          <w:color w:val="auto"/>
          <w:szCs w:val="21"/>
          <w:highlight w:val="none"/>
          <w:lang w:eastAsia="zh-CN"/>
        </w:rPr>
        <w:t>：</w:t>
      </w:r>
    </w:p>
    <w:p w14:paraId="3BDD24E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7.2.2 发包人提供的施工设备和临时设施</w:t>
      </w:r>
    </w:p>
    <w:p w14:paraId="33A228D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发包人提供的施工设备或临时设施范围</w:t>
      </w:r>
      <w:r>
        <w:rPr>
          <w:rFonts w:hint="eastAsia" w:ascii="方正仿宋_GB2312" w:hAnsi="方正仿宋_GB2312" w:eastAsia="方正仿宋_GB2312" w:cs="方正仿宋_GB2312"/>
          <w:color w:val="auto"/>
          <w:szCs w:val="21"/>
          <w:highlight w:val="none"/>
          <w:lang w:eastAsia="zh-CN"/>
        </w:rPr>
        <w:t>：</w:t>
      </w:r>
    </w:p>
    <w:p w14:paraId="6A42B5B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7.3 现场合作</w:t>
      </w:r>
    </w:p>
    <w:p w14:paraId="4057D8B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关于现场合作费用的特别约定</w:t>
      </w:r>
      <w:r>
        <w:rPr>
          <w:rFonts w:hint="eastAsia" w:ascii="方正仿宋_GB2312" w:hAnsi="方正仿宋_GB2312" w:eastAsia="方正仿宋_GB2312" w:cs="方正仿宋_GB2312"/>
          <w:color w:val="auto"/>
          <w:szCs w:val="21"/>
          <w:highlight w:val="none"/>
          <w:lang w:eastAsia="zh-CN"/>
        </w:rPr>
        <w:t>：</w:t>
      </w:r>
    </w:p>
    <w:p w14:paraId="71924D4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7.4 测量放线</w:t>
      </w:r>
    </w:p>
    <w:p w14:paraId="7A7A03E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7.4.1 关于测量放线的特别约定的技术规范</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施工控制网资料的告知期限</w:t>
      </w:r>
      <w:r>
        <w:rPr>
          <w:rFonts w:hint="eastAsia" w:ascii="方正仿宋_GB2312" w:hAnsi="方正仿宋_GB2312" w:eastAsia="方正仿宋_GB2312" w:cs="方正仿宋_GB2312"/>
          <w:color w:val="auto"/>
          <w:szCs w:val="21"/>
          <w:highlight w:val="none"/>
          <w:lang w:eastAsia="zh-CN"/>
        </w:rPr>
        <w:t>：</w:t>
      </w:r>
    </w:p>
    <w:p w14:paraId="69E10D5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7.5 现场劳动用工</w:t>
      </w:r>
    </w:p>
    <w:p w14:paraId="1F3E368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7.5.2 合同当事人对建筑工人工资清偿事宜和违约责任的约定</w:t>
      </w:r>
      <w:r>
        <w:rPr>
          <w:rFonts w:hint="eastAsia" w:ascii="方正仿宋_GB2312" w:hAnsi="方正仿宋_GB2312" w:eastAsia="方正仿宋_GB2312" w:cs="方正仿宋_GB2312"/>
          <w:color w:val="auto"/>
          <w:szCs w:val="21"/>
          <w:highlight w:val="none"/>
          <w:lang w:eastAsia="zh-CN"/>
        </w:rPr>
        <w:t>：</w:t>
      </w:r>
    </w:p>
    <w:p w14:paraId="00CD23C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7.6 安全文明施工</w:t>
      </w:r>
    </w:p>
    <w:p w14:paraId="1EAB0E5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7.6.1 安全生产要求</w:t>
      </w:r>
    </w:p>
    <w:p w14:paraId="408C2C4E">
      <w:pPr>
        <w:keepNext w:val="0"/>
        <w:keepLines w:val="0"/>
        <w:pageBreakBefore w:val="0"/>
        <w:kinsoku/>
        <w:wordWrap/>
        <w:overflowPunct/>
        <w:topLinePunct w:val="0"/>
        <w:bidi w:val="0"/>
        <w:snapToGrid w:val="0"/>
        <w:spacing w:after="0" w:line="360" w:lineRule="auto"/>
        <w:ind w:left="124" w:leftChars="59"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合同当事人对安全施工的要求</w:t>
      </w:r>
      <w:r>
        <w:rPr>
          <w:rFonts w:hint="eastAsia" w:ascii="方正仿宋_GB2312" w:hAnsi="方正仿宋_GB2312" w:eastAsia="方正仿宋_GB2312" w:cs="方正仿宋_GB2312"/>
          <w:color w:val="auto"/>
          <w:szCs w:val="21"/>
          <w:highlight w:val="none"/>
          <w:lang w:eastAsia="zh-CN"/>
        </w:rPr>
        <w:t>：</w:t>
      </w:r>
    </w:p>
    <w:p w14:paraId="503425E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7.6.3 文明施工</w:t>
      </w:r>
    </w:p>
    <w:p w14:paraId="7C6C9B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合同当事人对文明施工的要求</w:t>
      </w:r>
      <w:r>
        <w:rPr>
          <w:rFonts w:hint="eastAsia" w:ascii="方正仿宋_GB2312" w:hAnsi="方正仿宋_GB2312" w:eastAsia="方正仿宋_GB2312" w:cs="方正仿宋_GB2312"/>
          <w:color w:val="auto"/>
          <w:szCs w:val="21"/>
          <w:highlight w:val="none"/>
          <w:lang w:eastAsia="zh-CN"/>
        </w:rPr>
        <w:t>：</w:t>
      </w:r>
    </w:p>
    <w:p w14:paraId="1D1C92B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7.9 临时性公用设施</w:t>
      </w:r>
    </w:p>
    <w:p w14:paraId="7E1405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关于临时性公用设施的特别约定</w:t>
      </w:r>
      <w:r>
        <w:rPr>
          <w:rFonts w:hint="eastAsia" w:ascii="方正仿宋_GB2312" w:hAnsi="方正仿宋_GB2312" w:eastAsia="方正仿宋_GB2312" w:cs="方正仿宋_GB2312"/>
          <w:color w:val="auto"/>
          <w:szCs w:val="21"/>
          <w:highlight w:val="none"/>
          <w:lang w:eastAsia="zh-CN"/>
        </w:rPr>
        <w:t>：</w:t>
      </w:r>
    </w:p>
    <w:p w14:paraId="0788296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7.10 现场安保</w:t>
      </w:r>
    </w:p>
    <w:p w14:paraId="296E536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承包人现场安保义务的特别约定</w:t>
      </w:r>
      <w:r>
        <w:rPr>
          <w:rFonts w:hint="eastAsia" w:ascii="方正仿宋_GB2312" w:hAnsi="方正仿宋_GB2312" w:eastAsia="方正仿宋_GB2312" w:cs="方正仿宋_GB2312"/>
          <w:color w:val="auto"/>
          <w:szCs w:val="21"/>
          <w:highlight w:val="none"/>
          <w:lang w:eastAsia="zh-CN"/>
        </w:rPr>
        <w:t>：</w:t>
      </w:r>
    </w:p>
    <w:p w14:paraId="2EFC31BF">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71" w:name="_Toc54862340"/>
      <w:bookmarkStart w:id="1472" w:name="_Toc4598"/>
      <w:bookmarkStart w:id="1473" w:name="_Toc8213"/>
      <w:bookmarkStart w:id="1474" w:name="_Toc54862339"/>
      <w:r>
        <w:rPr>
          <w:rFonts w:hint="eastAsia" w:ascii="方正仿宋_GB2312" w:hAnsi="方正仿宋_GB2312" w:eastAsia="方正仿宋_GB2312" w:cs="方正仿宋_GB2312"/>
          <w:b w:val="0"/>
          <w:bCs/>
          <w:color w:val="auto"/>
          <w:kern w:val="2"/>
          <w:sz w:val="28"/>
          <w:szCs w:val="28"/>
          <w:highlight w:val="none"/>
          <w:lang w:val="zh-CN" w:eastAsia="zh-CN" w:bidi="ar-SA"/>
        </w:rPr>
        <w:t>第8条 工期和进度</w:t>
      </w:r>
    </w:p>
    <w:p w14:paraId="3296AB1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8.1 开始工作</w:t>
      </w:r>
    </w:p>
    <w:p w14:paraId="4C2365E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8.1.1 开始准备工作</w:t>
      </w:r>
      <w:r>
        <w:rPr>
          <w:rFonts w:hint="eastAsia" w:ascii="方正仿宋_GB2312" w:hAnsi="方正仿宋_GB2312" w:eastAsia="方正仿宋_GB2312" w:cs="方正仿宋_GB2312"/>
          <w:color w:val="auto"/>
          <w:szCs w:val="21"/>
          <w:highlight w:val="none"/>
          <w:lang w:eastAsia="zh-CN"/>
        </w:rPr>
        <w:t>：</w:t>
      </w:r>
    </w:p>
    <w:p w14:paraId="77E68E4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8.1.2 发包人可在计划开始工作之日起84日后发出开始工作通知的特殊情形</w:t>
      </w:r>
      <w:r>
        <w:rPr>
          <w:rFonts w:hint="eastAsia" w:ascii="方正仿宋_GB2312" w:hAnsi="方正仿宋_GB2312" w:eastAsia="方正仿宋_GB2312" w:cs="方正仿宋_GB2312"/>
          <w:color w:val="auto"/>
          <w:szCs w:val="21"/>
          <w:highlight w:val="none"/>
          <w:lang w:eastAsia="zh-CN"/>
        </w:rPr>
        <w:t>：</w:t>
      </w:r>
    </w:p>
    <w:p w14:paraId="64ADC5E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8.2 竣工日期</w:t>
      </w:r>
    </w:p>
    <w:p w14:paraId="11BE5C4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竣工日期的约定</w:t>
      </w:r>
      <w:r>
        <w:rPr>
          <w:rFonts w:hint="eastAsia" w:ascii="方正仿宋_GB2312" w:hAnsi="方正仿宋_GB2312" w:eastAsia="方正仿宋_GB2312" w:cs="方正仿宋_GB2312"/>
          <w:color w:val="auto"/>
          <w:szCs w:val="21"/>
          <w:highlight w:val="none"/>
          <w:lang w:eastAsia="zh-CN"/>
        </w:rPr>
        <w:t>：</w:t>
      </w:r>
    </w:p>
    <w:p w14:paraId="33A6C85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8.3 项目实施计划</w:t>
      </w:r>
    </w:p>
    <w:p w14:paraId="77CF123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8.3.1 项目实施计划的内容</w:t>
      </w:r>
    </w:p>
    <w:p w14:paraId="27D858F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项目实施计划的内容</w:t>
      </w:r>
      <w:r>
        <w:rPr>
          <w:rFonts w:hint="eastAsia" w:ascii="方正仿宋_GB2312" w:hAnsi="方正仿宋_GB2312" w:eastAsia="方正仿宋_GB2312" w:cs="方正仿宋_GB2312"/>
          <w:color w:val="auto"/>
          <w:szCs w:val="21"/>
          <w:highlight w:val="none"/>
          <w:lang w:eastAsia="zh-CN"/>
        </w:rPr>
        <w:t>：</w:t>
      </w:r>
    </w:p>
    <w:p w14:paraId="015F849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8.3.2 项目实施计划的提交和修改</w:t>
      </w:r>
    </w:p>
    <w:p w14:paraId="15B40C2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项目实施计划的提交及修改期限</w:t>
      </w:r>
      <w:r>
        <w:rPr>
          <w:rFonts w:hint="eastAsia" w:ascii="方正仿宋_GB2312" w:hAnsi="方正仿宋_GB2312" w:eastAsia="方正仿宋_GB2312" w:cs="方正仿宋_GB2312"/>
          <w:color w:val="auto"/>
          <w:szCs w:val="21"/>
          <w:highlight w:val="none"/>
          <w:lang w:eastAsia="zh-CN"/>
        </w:rPr>
        <w:t>：</w:t>
      </w:r>
    </w:p>
    <w:p w14:paraId="6EE16AC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8.4 项目进度计划</w:t>
      </w:r>
    </w:p>
    <w:p w14:paraId="78A4790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8.4.1 工程师在收到进度计划后确认或提出修改意见的期限</w:t>
      </w:r>
      <w:r>
        <w:rPr>
          <w:rFonts w:hint="eastAsia" w:ascii="方正仿宋_GB2312" w:hAnsi="方正仿宋_GB2312" w:eastAsia="方正仿宋_GB2312" w:cs="方正仿宋_GB2312"/>
          <w:color w:val="auto"/>
          <w:szCs w:val="21"/>
          <w:highlight w:val="none"/>
          <w:lang w:eastAsia="zh-CN"/>
        </w:rPr>
        <w:t>：</w:t>
      </w:r>
    </w:p>
    <w:p w14:paraId="6EA00B7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8.4.2 进度计划的具体要求</w:t>
      </w:r>
      <w:r>
        <w:rPr>
          <w:rFonts w:hint="eastAsia" w:ascii="方正仿宋_GB2312" w:hAnsi="方正仿宋_GB2312" w:eastAsia="方正仿宋_GB2312" w:cs="方正仿宋_GB2312"/>
          <w:color w:val="auto"/>
          <w:szCs w:val="21"/>
          <w:highlight w:val="none"/>
          <w:lang w:eastAsia="zh-CN"/>
        </w:rPr>
        <w:t>：</w:t>
      </w:r>
    </w:p>
    <w:p w14:paraId="1B7A391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关键路径及关键路径变化的确定原则</w:t>
      </w:r>
      <w:r>
        <w:rPr>
          <w:rFonts w:hint="eastAsia" w:ascii="方正仿宋_GB2312" w:hAnsi="方正仿宋_GB2312" w:eastAsia="方正仿宋_GB2312" w:cs="方正仿宋_GB2312"/>
          <w:color w:val="auto"/>
          <w:szCs w:val="21"/>
          <w:highlight w:val="none"/>
          <w:lang w:eastAsia="zh-CN"/>
        </w:rPr>
        <w:t>：</w:t>
      </w:r>
    </w:p>
    <w:p w14:paraId="1728AF5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承包人提交项目进度计划的份数和时间</w:t>
      </w:r>
      <w:r>
        <w:rPr>
          <w:rFonts w:hint="eastAsia" w:ascii="方正仿宋_GB2312" w:hAnsi="方正仿宋_GB2312" w:eastAsia="方正仿宋_GB2312" w:cs="方正仿宋_GB2312"/>
          <w:color w:val="auto"/>
          <w:szCs w:val="21"/>
          <w:highlight w:val="none"/>
          <w:lang w:eastAsia="zh-CN"/>
        </w:rPr>
        <w:t>：</w:t>
      </w:r>
    </w:p>
    <w:p w14:paraId="3420DE9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8.4.3 进度计划的修订</w:t>
      </w:r>
    </w:p>
    <w:p w14:paraId="1A149E1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承包人提交修订项目进度计划申请报告的期限</w:t>
      </w:r>
      <w:r>
        <w:rPr>
          <w:rFonts w:hint="eastAsia" w:ascii="方正仿宋_GB2312" w:hAnsi="方正仿宋_GB2312" w:eastAsia="方正仿宋_GB2312" w:cs="方正仿宋_GB2312"/>
          <w:color w:val="auto"/>
          <w:szCs w:val="21"/>
          <w:highlight w:val="none"/>
          <w:lang w:eastAsia="zh-CN"/>
        </w:rPr>
        <w:t>：</w:t>
      </w:r>
    </w:p>
    <w:p w14:paraId="1346C01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发包人批复修订项目进度计划申请报告的期限</w:t>
      </w:r>
      <w:r>
        <w:rPr>
          <w:rFonts w:hint="eastAsia" w:ascii="方正仿宋_GB2312" w:hAnsi="方正仿宋_GB2312" w:eastAsia="方正仿宋_GB2312" w:cs="方正仿宋_GB2312"/>
          <w:color w:val="auto"/>
          <w:szCs w:val="21"/>
          <w:highlight w:val="none"/>
          <w:lang w:eastAsia="zh-CN"/>
        </w:rPr>
        <w:t>：</w:t>
      </w:r>
    </w:p>
    <w:p w14:paraId="6DC4B59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承包人答复发包人提出修订合同计划的期限</w:t>
      </w:r>
      <w:r>
        <w:rPr>
          <w:rFonts w:hint="eastAsia" w:ascii="方正仿宋_GB2312" w:hAnsi="方正仿宋_GB2312" w:eastAsia="方正仿宋_GB2312" w:cs="方正仿宋_GB2312"/>
          <w:color w:val="auto"/>
          <w:szCs w:val="21"/>
          <w:highlight w:val="none"/>
          <w:lang w:eastAsia="zh-CN"/>
        </w:rPr>
        <w:t>：</w:t>
      </w:r>
    </w:p>
    <w:p w14:paraId="2136732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8.5 进度报告</w:t>
      </w:r>
    </w:p>
    <w:p w14:paraId="2EC6BEE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进度报告的具体要求</w:t>
      </w:r>
      <w:r>
        <w:rPr>
          <w:rFonts w:hint="eastAsia" w:ascii="方正仿宋_GB2312" w:hAnsi="方正仿宋_GB2312" w:eastAsia="方正仿宋_GB2312" w:cs="方正仿宋_GB2312"/>
          <w:color w:val="auto"/>
          <w:szCs w:val="21"/>
          <w:highlight w:val="none"/>
          <w:lang w:eastAsia="zh-CN"/>
        </w:rPr>
        <w:t>：</w:t>
      </w:r>
    </w:p>
    <w:p w14:paraId="6FD19D0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8.7 工期延误</w:t>
      </w:r>
    </w:p>
    <w:p w14:paraId="0BDA44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8.7.2 因承包人原因导致工期延误</w:t>
      </w:r>
    </w:p>
    <w:p w14:paraId="15FF627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因承包人原因使竣工日期延误，每延误1日的误期赔偿金额为合同协议书的合同价格的%或人民币金额为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累计最高赔偿金额为合同协议书的合同价格的：%或人民币金额为</w:t>
      </w:r>
      <w:r>
        <w:rPr>
          <w:rFonts w:hint="eastAsia" w:ascii="方正仿宋_GB2312" w:hAnsi="方正仿宋_GB2312" w:eastAsia="方正仿宋_GB2312" w:cs="方正仿宋_GB2312"/>
          <w:color w:val="auto"/>
          <w:szCs w:val="21"/>
          <w:highlight w:val="none"/>
          <w:lang w:eastAsia="zh-CN"/>
        </w:rPr>
        <w:t>：</w:t>
      </w:r>
    </w:p>
    <w:p w14:paraId="7049AC8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8.7.3 行政审批迟延</w:t>
      </w:r>
    </w:p>
    <w:p w14:paraId="10DD441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行政审批报送的职责分工</w:t>
      </w:r>
      <w:r>
        <w:rPr>
          <w:rFonts w:hint="eastAsia" w:ascii="方正仿宋_GB2312" w:hAnsi="方正仿宋_GB2312" w:eastAsia="方正仿宋_GB2312" w:cs="方正仿宋_GB2312"/>
          <w:color w:val="auto"/>
          <w:szCs w:val="21"/>
          <w:highlight w:val="none"/>
          <w:lang w:eastAsia="zh-CN"/>
        </w:rPr>
        <w:t>：</w:t>
      </w:r>
    </w:p>
    <w:p w14:paraId="453BAA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8.7.4 异常恶劣的气候条件</w:t>
      </w:r>
    </w:p>
    <w:p w14:paraId="7899406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双方约定视为异常恶劣的气候条件的情形</w:t>
      </w:r>
      <w:r>
        <w:rPr>
          <w:rFonts w:hint="eastAsia" w:ascii="方正仿宋_GB2312" w:hAnsi="方正仿宋_GB2312" w:eastAsia="方正仿宋_GB2312" w:cs="方正仿宋_GB2312"/>
          <w:color w:val="auto"/>
          <w:szCs w:val="21"/>
          <w:highlight w:val="none"/>
          <w:lang w:eastAsia="zh-CN"/>
        </w:rPr>
        <w:t>：</w:t>
      </w:r>
    </w:p>
    <w:p w14:paraId="1DD3A4E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8.8 工期提前</w:t>
      </w:r>
    </w:p>
    <w:p w14:paraId="2BDC155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8.8.2 承包人提前竣工的奖励</w:t>
      </w:r>
      <w:r>
        <w:rPr>
          <w:rFonts w:hint="eastAsia" w:ascii="方正仿宋_GB2312" w:hAnsi="方正仿宋_GB2312" w:eastAsia="方正仿宋_GB2312" w:cs="方正仿宋_GB2312"/>
          <w:color w:val="auto"/>
          <w:szCs w:val="21"/>
          <w:highlight w:val="none"/>
          <w:lang w:eastAsia="zh-CN"/>
        </w:rPr>
        <w:t>：</w:t>
      </w:r>
    </w:p>
    <w:p w14:paraId="7D005680">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p>
    <w:p w14:paraId="5BD6DA92">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r>
        <w:rPr>
          <w:rFonts w:hint="eastAsia" w:ascii="方正仿宋_GB2312" w:hAnsi="方正仿宋_GB2312" w:eastAsia="方正仿宋_GB2312" w:cs="方正仿宋_GB2312"/>
          <w:b w:val="0"/>
          <w:bCs/>
          <w:color w:val="auto"/>
          <w:kern w:val="2"/>
          <w:sz w:val="28"/>
          <w:szCs w:val="28"/>
          <w:highlight w:val="none"/>
          <w:lang w:val="zh-CN" w:eastAsia="zh-CN" w:bidi="ar-SA"/>
        </w:rPr>
        <w:t>第9条 竣工试验</w:t>
      </w:r>
      <w:bookmarkEnd w:id="1471"/>
      <w:bookmarkEnd w:id="1472"/>
    </w:p>
    <w:p w14:paraId="44A616F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9.1 竣工试验的义务</w:t>
      </w:r>
    </w:p>
    <w:p w14:paraId="4FA7CF7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9.1.3 竣工试验的阶段、内容和顺序</w:t>
      </w:r>
      <w:r>
        <w:rPr>
          <w:rFonts w:hint="eastAsia" w:ascii="方正仿宋_GB2312" w:hAnsi="方正仿宋_GB2312" w:eastAsia="方正仿宋_GB2312" w:cs="方正仿宋_GB2312"/>
          <w:color w:val="auto"/>
          <w:szCs w:val="21"/>
          <w:highlight w:val="none"/>
          <w:lang w:eastAsia="zh-CN"/>
        </w:rPr>
        <w:t>：</w:t>
      </w:r>
    </w:p>
    <w:p w14:paraId="62E0962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竣工试验的操作要求</w:t>
      </w:r>
      <w:r>
        <w:rPr>
          <w:rFonts w:hint="eastAsia" w:ascii="方正仿宋_GB2312" w:hAnsi="方正仿宋_GB2312" w:eastAsia="方正仿宋_GB2312" w:cs="方正仿宋_GB2312"/>
          <w:color w:val="auto"/>
          <w:szCs w:val="21"/>
          <w:highlight w:val="none"/>
          <w:lang w:eastAsia="zh-CN"/>
        </w:rPr>
        <w:t>：</w:t>
      </w:r>
    </w:p>
    <w:bookmarkEnd w:id="1473"/>
    <w:bookmarkEnd w:id="1474"/>
    <w:p w14:paraId="59E619F6">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75" w:name="_Toc4784272"/>
      <w:bookmarkEnd w:id="1475"/>
      <w:bookmarkStart w:id="1476" w:name="_Toc4784273"/>
      <w:bookmarkEnd w:id="1476"/>
      <w:bookmarkStart w:id="1477" w:name="_Toc54862341"/>
      <w:bookmarkStart w:id="1478" w:name="_Toc29172"/>
      <w:r>
        <w:rPr>
          <w:rFonts w:hint="eastAsia" w:ascii="方正仿宋_GB2312" w:hAnsi="方正仿宋_GB2312" w:eastAsia="方正仿宋_GB2312" w:cs="方正仿宋_GB2312"/>
          <w:b w:val="0"/>
          <w:bCs/>
          <w:color w:val="auto"/>
          <w:kern w:val="2"/>
          <w:sz w:val="28"/>
          <w:szCs w:val="28"/>
          <w:highlight w:val="none"/>
          <w:lang w:val="zh-CN" w:eastAsia="zh-CN" w:bidi="ar-SA"/>
        </w:rPr>
        <w:t>第10条 验收和工程接收</w:t>
      </w:r>
      <w:bookmarkEnd w:id="1477"/>
      <w:bookmarkEnd w:id="1478"/>
    </w:p>
    <w:p w14:paraId="5B86954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10.1 竣工验收</w:t>
      </w:r>
    </w:p>
    <w:p w14:paraId="23E451E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10.1.2 关于竣工验收程序的约定</w:t>
      </w:r>
      <w:r>
        <w:rPr>
          <w:rFonts w:hint="eastAsia" w:ascii="方正仿宋_GB2312" w:hAnsi="方正仿宋_GB2312" w:eastAsia="方正仿宋_GB2312" w:cs="方正仿宋_GB2312"/>
          <w:color w:val="auto"/>
          <w:szCs w:val="21"/>
          <w:highlight w:val="none"/>
          <w:lang w:eastAsia="zh-CN"/>
        </w:rPr>
        <w:t>：</w:t>
      </w:r>
    </w:p>
    <w:p w14:paraId="67EE98A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bookmarkStart w:id="1479" w:name="_Hlk46406260"/>
      <w:r>
        <w:rPr>
          <w:rFonts w:hint="eastAsia" w:ascii="方正仿宋_GB2312" w:hAnsi="方正仿宋_GB2312" w:eastAsia="方正仿宋_GB2312" w:cs="方正仿宋_GB2312"/>
          <w:color w:val="auto"/>
          <w:szCs w:val="21"/>
          <w:highlight w:val="none"/>
        </w:rPr>
        <w:t>发包人不按照合同约定组织竣工验收、颁发工程</w:t>
      </w:r>
      <w:r>
        <w:rPr>
          <w:rFonts w:hint="eastAsia" w:ascii="方正仿宋_GB2312" w:hAnsi="方正仿宋_GB2312" w:eastAsia="方正仿宋_GB2312" w:cs="方正仿宋_GB2312"/>
          <w:color w:val="auto"/>
          <w:szCs w:val="21"/>
          <w:highlight w:val="none"/>
          <w:lang w:eastAsia="zh-CN"/>
        </w:rPr>
        <w:t>接收</w:t>
      </w:r>
      <w:r>
        <w:rPr>
          <w:rFonts w:hint="eastAsia" w:ascii="方正仿宋_GB2312" w:hAnsi="方正仿宋_GB2312" w:eastAsia="方正仿宋_GB2312" w:cs="方正仿宋_GB2312"/>
          <w:color w:val="auto"/>
          <w:szCs w:val="21"/>
          <w:highlight w:val="none"/>
        </w:rPr>
        <w:t>证书的违约金的计算方式</w:t>
      </w:r>
      <w:r>
        <w:rPr>
          <w:rFonts w:hint="eastAsia" w:ascii="方正仿宋_GB2312" w:hAnsi="方正仿宋_GB2312" w:eastAsia="方正仿宋_GB2312" w:cs="方正仿宋_GB2312"/>
          <w:color w:val="auto"/>
          <w:szCs w:val="21"/>
          <w:highlight w:val="none"/>
          <w:lang w:eastAsia="zh-CN"/>
        </w:rPr>
        <w:t>：</w:t>
      </w:r>
    </w:p>
    <w:bookmarkEnd w:id="1479"/>
    <w:p w14:paraId="7DE7011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10.3</w:t>
      </w:r>
      <w:r>
        <w:rPr>
          <w:rFonts w:hint="eastAsia" w:ascii="方正仿宋_GB2312" w:hAnsi="方正仿宋_GB2312" w:eastAsia="方正仿宋_GB2312" w:cs="方正仿宋_GB2312"/>
          <w:color w:val="auto"/>
          <w:szCs w:val="21"/>
          <w:highlight w:val="none"/>
        </w:rPr>
        <w:tab/>
      </w:r>
      <w:r>
        <w:rPr>
          <w:rFonts w:hint="eastAsia" w:ascii="方正仿宋_GB2312" w:hAnsi="方正仿宋_GB2312" w:eastAsia="方正仿宋_GB2312" w:cs="方正仿宋_GB2312"/>
          <w:color w:val="auto"/>
          <w:szCs w:val="21"/>
          <w:highlight w:val="none"/>
        </w:rPr>
        <w:t xml:space="preserve"> 工程的接收</w:t>
      </w:r>
    </w:p>
    <w:p w14:paraId="77CE420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10.3.1工程接收的先后顺序、时间安排和其他要求</w:t>
      </w:r>
      <w:r>
        <w:rPr>
          <w:rFonts w:hint="eastAsia" w:ascii="方正仿宋_GB2312" w:hAnsi="方正仿宋_GB2312" w:eastAsia="方正仿宋_GB2312" w:cs="方正仿宋_GB2312"/>
          <w:color w:val="auto"/>
          <w:szCs w:val="21"/>
          <w:highlight w:val="none"/>
          <w:lang w:eastAsia="zh-CN"/>
        </w:rPr>
        <w:t>：</w:t>
      </w:r>
    </w:p>
    <w:p w14:paraId="0B3981D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10.3.2 </w:t>
      </w:r>
      <w:r>
        <w:rPr>
          <w:rFonts w:hint="eastAsia" w:ascii="方正仿宋_GB2312" w:hAnsi="方正仿宋_GB2312" w:eastAsia="方正仿宋_GB2312" w:cs="方正仿宋_GB2312"/>
          <w:color w:val="auto"/>
          <w:szCs w:val="21"/>
          <w:highlight w:val="none"/>
          <w:lang w:eastAsia="zh-CN"/>
        </w:rPr>
        <w:t>接收</w:t>
      </w:r>
      <w:r>
        <w:rPr>
          <w:rFonts w:hint="eastAsia" w:ascii="方正仿宋_GB2312" w:hAnsi="方正仿宋_GB2312" w:eastAsia="方正仿宋_GB2312" w:cs="方正仿宋_GB2312"/>
          <w:color w:val="auto"/>
          <w:szCs w:val="21"/>
          <w:highlight w:val="none"/>
        </w:rPr>
        <w:t>工程时承包人需提交竣工验收资料的类别、内容、份数和提交时间</w:t>
      </w:r>
      <w:r>
        <w:rPr>
          <w:rFonts w:hint="eastAsia" w:ascii="方正仿宋_GB2312" w:hAnsi="方正仿宋_GB2312" w:eastAsia="方正仿宋_GB2312" w:cs="方正仿宋_GB2312"/>
          <w:color w:val="auto"/>
          <w:szCs w:val="21"/>
          <w:highlight w:val="none"/>
          <w:lang w:eastAsia="zh-CN"/>
        </w:rPr>
        <w:t>：</w:t>
      </w:r>
    </w:p>
    <w:p w14:paraId="51293F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10.3.3 发包人逾期接收工程的违约责任</w:t>
      </w:r>
      <w:r>
        <w:rPr>
          <w:rFonts w:hint="eastAsia" w:ascii="方正仿宋_GB2312" w:hAnsi="方正仿宋_GB2312" w:eastAsia="方正仿宋_GB2312" w:cs="方正仿宋_GB2312"/>
          <w:color w:val="auto"/>
          <w:szCs w:val="21"/>
          <w:highlight w:val="none"/>
          <w:lang w:eastAsia="zh-CN"/>
        </w:rPr>
        <w:t>：</w:t>
      </w:r>
    </w:p>
    <w:p w14:paraId="1766820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10.3.4 承包人无正当理由不移交工程的违约责任</w:t>
      </w:r>
      <w:r>
        <w:rPr>
          <w:rFonts w:hint="eastAsia" w:ascii="方正仿宋_GB2312" w:hAnsi="方正仿宋_GB2312" w:eastAsia="方正仿宋_GB2312" w:cs="方正仿宋_GB2312"/>
          <w:color w:val="auto"/>
          <w:szCs w:val="21"/>
          <w:highlight w:val="none"/>
          <w:lang w:eastAsia="zh-CN"/>
        </w:rPr>
        <w:t>：</w:t>
      </w:r>
    </w:p>
    <w:p w14:paraId="27D377B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10.4 接收证书</w:t>
      </w:r>
    </w:p>
    <w:p w14:paraId="722A73D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10.4.1 工程接收证书颁发时间</w:t>
      </w:r>
      <w:r>
        <w:rPr>
          <w:rFonts w:hint="eastAsia" w:ascii="方正仿宋_GB2312" w:hAnsi="方正仿宋_GB2312" w:eastAsia="方正仿宋_GB2312" w:cs="方正仿宋_GB2312"/>
          <w:color w:val="auto"/>
          <w:szCs w:val="21"/>
          <w:highlight w:val="none"/>
          <w:lang w:eastAsia="zh-CN"/>
        </w:rPr>
        <w:t>：</w:t>
      </w:r>
    </w:p>
    <w:p w14:paraId="57E17AA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10.5 竣工退场</w:t>
      </w:r>
    </w:p>
    <w:p w14:paraId="764C85F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10.5.1 竣工退场的相关约定</w:t>
      </w:r>
      <w:r>
        <w:rPr>
          <w:rFonts w:hint="eastAsia" w:ascii="方正仿宋_GB2312" w:hAnsi="方正仿宋_GB2312" w:eastAsia="方正仿宋_GB2312" w:cs="方正仿宋_GB2312"/>
          <w:color w:val="auto"/>
          <w:szCs w:val="21"/>
          <w:highlight w:val="none"/>
          <w:lang w:eastAsia="zh-CN"/>
        </w:rPr>
        <w:t>：</w:t>
      </w:r>
    </w:p>
    <w:p w14:paraId="08F1D81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10.5.3人员撤离</w:t>
      </w:r>
    </w:p>
    <w:p w14:paraId="250D3E4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工程师同意需在缺陷责任期内继续工作和使用的人员、施工设备和临时工程的内容</w:t>
      </w:r>
      <w:r>
        <w:rPr>
          <w:rFonts w:hint="eastAsia" w:ascii="方正仿宋_GB2312" w:hAnsi="方正仿宋_GB2312" w:eastAsia="方正仿宋_GB2312" w:cs="方正仿宋_GB2312"/>
          <w:color w:val="auto"/>
          <w:szCs w:val="21"/>
          <w:highlight w:val="none"/>
          <w:lang w:eastAsia="zh-CN"/>
        </w:rPr>
        <w:t>：</w:t>
      </w:r>
    </w:p>
    <w:p w14:paraId="2CD60E76">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80" w:name="_Toc54862342"/>
      <w:bookmarkStart w:id="1481" w:name="_Toc23945"/>
      <w:r>
        <w:rPr>
          <w:rFonts w:hint="eastAsia" w:ascii="方正仿宋_GB2312" w:hAnsi="方正仿宋_GB2312" w:eastAsia="方正仿宋_GB2312" w:cs="方正仿宋_GB2312"/>
          <w:b w:val="0"/>
          <w:bCs/>
          <w:color w:val="auto"/>
          <w:kern w:val="2"/>
          <w:sz w:val="28"/>
          <w:szCs w:val="28"/>
          <w:highlight w:val="none"/>
          <w:lang w:val="zh-CN" w:eastAsia="zh-CN" w:bidi="ar-SA"/>
        </w:rPr>
        <w:t>第11条 缺陷责任与保修</w:t>
      </w:r>
      <w:bookmarkEnd w:id="1480"/>
      <w:bookmarkEnd w:id="1481"/>
    </w:p>
    <w:p w14:paraId="5D66353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11.2 缺陷责任期</w:t>
      </w:r>
    </w:p>
    <w:p w14:paraId="39E309B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缺陷责任期的期限</w:t>
      </w:r>
      <w:r>
        <w:rPr>
          <w:rFonts w:hint="eastAsia" w:ascii="方正仿宋_GB2312" w:hAnsi="方正仿宋_GB2312" w:eastAsia="方正仿宋_GB2312" w:cs="方正仿宋_GB2312"/>
          <w:color w:val="auto"/>
          <w:szCs w:val="21"/>
          <w:highlight w:val="none"/>
          <w:lang w:eastAsia="zh-CN"/>
        </w:rPr>
        <w:t>：</w:t>
      </w:r>
    </w:p>
    <w:p w14:paraId="3D0D0F1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 缺陷调查</w:t>
      </w:r>
    </w:p>
    <w:p w14:paraId="1B019FD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11.3.4 修复通知</w:t>
      </w:r>
    </w:p>
    <w:p w14:paraId="6407C3C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承包人收到保修通知并到达工程现场的合理时间</w:t>
      </w:r>
      <w:r>
        <w:rPr>
          <w:rFonts w:hint="eastAsia" w:ascii="方正仿宋_GB2312" w:hAnsi="方正仿宋_GB2312" w:eastAsia="方正仿宋_GB2312" w:cs="方正仿宋_GB2312"/>
          <w:color w:val="auto"/>
          <w:szCs w:val="21"/>
          <w:highlight w:val="none"/>
          <w:lang w:eastAsia="zh-CN"/>
        </w:rPr>
        <w:t>：</w:t>
      </w:r>
    </w:p>
    <w:p w14:paraId="3A97650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11.6 缺陷责任期终止证书</w:t>
      </w:r>
    </w:p>
    <w:p w14:paraId="1BBDC90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应于缺陷责任期届满后天内向发包人发出缺陷责任期届满通知，发包人应在收到缺陷责任期满通知后天内核实承包人是否履行缺陷修复义务，承包人未能履行缺陷修复义务的，发包人有权扣除相应金额的维修费用。发包人应在收到缺陷责任期届满通知后天内，向承包人颁发缺陷责任期终止证书。</w:t>
      </w:r>
    </w:p>
    <w:p w14:paraId="1EAA1E2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11.7 保修责任</w:t>
      </w:r>
    </w:p>
    <w:p w14:paraId="1617399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工程质量保修范围、期限和责任为</w:t>
      </w:r>
      <w:r>
        <w:rPr>
          <w:rFonts w:hint="eastAsia" w:ascii="方正仿宋_GB2312" w:hAnsi="方正仿宋_GB2312" w:eastAsia="方正仿宋_GB2312" w:cs="方正仿宋_GB2312"/>
          <w:color w:val="auto"/>
          <w:szCs w:val="21"/>
          <w:highlight w:val="none"/>
          <w:lang w:eastAsia="zh-CN"/>
        </w:rPr>
        <w:t>：</w:t>
      </w:r>
    </w:p>
    <w:p w14:paraId="6E769BBA">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82" w:name="_Toc54862343"/>
      <w:bookmarkStart w:id="1483" w:name="_Toc13005"/>
      <w:r>
        <w:rPr>
          <w:rFonts w:hint="eastAsia" w:ascii="方正仿宋_GB2312" w:hAnsi="方正仿宋_GB2312" w:eastAsia="方正仿宋_GB2312" w:cs="方正仿宋_GB2312"/>
          <w:b w:val="0"/>
          <w:bCs/>
          <w:color w:val="auto"/>
          <w:kern w:val="2"/>
          <w:sz w:val="28"/>
          <w:szCs w:val="28"/>
          <w:highlight w:val="none"/>
          <w:lang w:val="zh-CN" w:eastAsia="zh-CN" w:bidi="ar-SA"/>
        </w:rPr>
        <w:t>第12条 竣工后试验</w:t>
      </w:r>
      <w:bookmarkEnd w:id="1482"/>
      <w:bookmarkEnd w:id="1483"/>
    </w:p>
    <w:p w14:paraId="0A9DD9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本合同工程是否包含竣工后试验</w:t>
      </w:r>
      <w:r>
        <w:rPr>
          <w:rFonts w:hint="eastAsia" w:ascii="方正仿宋_GB2312" w:hAnsi="方正仿宋_GB2312" w:eastAsia="方正仿宋_GB2312" w:cs="方正仿宋_GB2312"/>
          <w:color w:val="auto"/>
          <w:szCs w:val="21"/>
          <w:highlight w:val="none"/>
          <w:lang w:eastAsia="zh-CN"/>
        </w:rPr>
        <w:t>：</w:t>
      </w:r>
    </w:p>
    <w:p w14:paraId="272E6C5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12.1 竣工后试验的程序</w:t>
      </w:r>
    </w:p>
    <w:p w14:paraId="45AFD23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方正仿宋_GB2312" w:hAnsi="方正仿宋_GB2312" w:eastAsia="方正仿宋_GB2312" w:cs="方正仿宋_GB2312"/>
          <w:color w:val="auto"/>
          <w:szCs w:val="21"/>
          <w:highlight w:val="none"/>
          <w:lang w:eastAsia="zh-CN"/>
        </w:rPr>
        <w:t>：</w:t>
      </w:r>
    </w:p>
    <w:p w14:paraId="2BDE5966">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84" w:name="_Toc31465"/>
      <w:bookmarkStart w:id="1485" w:name="_Toc54862344"/>
      <w:r>
        <w:rPr>
          <w:rFonts w:hint="eastAsia" w:ascii="方正仿宋_GB2312" w:hAnsi="方正仿宋_GB2312" w:eastAsia="方正仿宋_GB2312" w:cs="方正仿宋_GB2312"/>
          <w:b w:val="0"/>
          <w:bCs/>
          <w:color w:val="auto"/>
          <w:kern w:val="2"/>
          <w:sz w:val="28"/>
          <w:szCs w:val="28"/>
          <w:highlight w:val="none"/>
          <w:lang w:val="zh-CN" w:eastAsia="zh-CN" w:bidi="ar-SA"/>
        </w:rPr>
        <w:t>第13条 变更与调整</w:t>
      </w:r>
      <w:bookmarkEnd w:id="1484"/>
      <w:bookmarkEnd w:id="1485"/>
    </w:p>
    <w:p w14:paraId="50A0DB0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13.2 承包人的合理化建议</w:t>
      </w:r>
    </w:p>
    <w:p w14:paraId="2C85556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13.2.2 工程师应在收到承包人提交的合理化建议后日内审查完毕并报送发包人，发现其中存在技术上的缺陷，应通知承包人修改。发包人应在收到工程师报送的合理化建议后日内审批完毕。合理化建议经发包人批准的，工程师应及时发出变更指示，由此引起的合同价格调整按照执行。发包人不同意变更的，工程师应书面通知承包人</w:t>
      </w:r>
    </w:p>
    <w:p w14:paraId="13E80A5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13.2.3 承包人提出的合理化变更建议的利益分享约定</w:t>
      </w:r>
      <w:r>
        <w:rPr>
          <w:rFonts w:hint="eastAsia" w:ascii="方正仿宋_GB2312" w:hAnsi="方正仿宋_GB2312" w:eastAsia="方正仿宋_GB2312" w:cs="方正仿宋_GB2312"/>
          <w:color w:val="auto"/>
          <w:szCs w:val="21"/>
          <w:highlight w:val="none"/>
          <w:lang w:eastAsia="zh-CN"/>
        </w:rPr>
        <w:t>：</w:t>
      </w:r>
    </w:p>
    <w:p w14:paraId="5BCDFEF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13.3 变更程序</w:t>
      </w:r>
    </w:p>
    <w:p w14:paraId="2148681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13.3.3 变更估价</w:t>
      </w:r>
    </w:p>
    <w:p w14:paraId="3B886A6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13.3.3.1 变更估价原则</w:t>
      </w:r>
    </w:p>
    <w:p w14:paraId="12D92B1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关于变更估价原则的约定</w:t>
      </w:r>
      <w:r>
        <w:rPr>
          <w:rFonts w:hint="eastAsia" w:ascii="方正仿宋_GB2312" w:hAnsi="方正仿宋_GB2312" w:eastAsia="方正仿宋_GB2312" w:cs="方正仿宋_GB2312"/>
          <w:color w:val="auto"/>
          <w:szCs w:val="21"/>
          <w:highlight w:val="none"/>
          <w:lang w:eastAsia="zh-CN"/>
        </w:rPr>
        <w:t>：</w:t>
      </w:r>
    </w:p>
    <w:p w14:paraId="63372F0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13.4 暂估价</w:t>
      </w:r>
    </w:p>
    <w:p w14:paraId="217F63C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13.4.1 依法必须招标的暂估价项目</w:t>
      </w:r>
    </w:p>
    <w:p w14:paraId="42DD79D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承包人可以参与投标的暂估价项目范围</w:t>
      </w:r>
      <w:r>
        <w:rPr>
          <w:rFonts w:hint="eastAsia" w:ascii="方正仿宋_GB2312" w:hAnsi="方正仿宋_GB2312" w:eastAsia="方正仿宋_GB2312" w:cs="方正仿宋_GB2312"/>
          <w:color w:val="auto"/>
          <w:szCs w:val="21"/>
          <w:highlight w:val="none"/>
          <w:lang w:eastAsia="zh-CN"/>
        </w:rPr>
        <w:t>：</w:t>
      </w:r>
    </w:p>
    <w:p w14:paraId="32B91F4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承包人不得参与投标的暂估价项目范围</w:t>
      </w:r>
      <w:r>
        <w:rPr>
          <w:rFonts w:hint="eastAsia" w:ascii="方正仿宋_GB2312" w:hAnsi="方正仿宋_GB2312" w:eastAsia="方正仿宋_GB2312" w:cs="方正仿宋_GB2312"/>
          <w:color w:val="auto"/>
          <w:szCs w:val="21"/>
          <w:highlight w:val="none"/>
          <w:lang w:eastAsia="zh-CN"/>
        </w:rPr>
        <w:t>：</w:t>
      </w:r>
    </w:p>
    <w:p w14:paraId="506D83D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招投标程序及其他约定</w:t>
      </w:r>
      <w:r>
        <w:rPr>
          <w:rFonts w:hint="eastAsia" w:ascii="方正仿宋_GB2312" w:hAnsi="方正仿宋_GB2312" w:eastAsia="方正仿宋_GB2312" w:cs="方正仿宋_GB2312"/>
          <w:color w:val="auto"/>
          <w:szCs w:val="21"/>
          <w:highlight w:val="none"/>
          <w:lang w:eastAsia="zh-CN"/>
        </w:rPr>
        <w:t>：</w:t>
      </w:r>
    </w:p>
    <w:p w14:paraId="56AD326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13.4.2 不属于依法必须招标的暂估价项目</w:t>
      </w:r>
    </w:p>
    <w:p w14:paraId="78E97F4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不属于依法必须招标的暂估价项目的协商及估价的约定</w:t>
      </w:r>
      <w:r>
        <w:rPr>
          <w:rFonts w:hint="eastAsia" w:ascii="方正仿宋_GB2312" w:hAnsi="方正仿宋_GB2312" w:eastAsia="方正仿宋_GB2312" w:cs="方正仿宋_GB2312"/>
          <w:color w:val="auto"/>
          <w:szCs w:val="21"/>
          <w:highlight w:val="none"/>
          <w:lang w:eastAsia="zh-CN"/>
        </w:rPr>
        <w:t>：</w:t>
      </w:r>
    </w:p>
    <w:p w14:paraId="5FCE1AB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13.5 暂列金额</w:t>
      </w:r>
    </w:p>
    <w:p w14:paraId="291AD1E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其他关于</w:t>
      </w:r>
      <w:r>
        <w:rPr>
          <w:rFonts w:hint="eastAsia" w:ascii="方正仿宋_GB2312" w:hAnsi="方正仿宋_GB2312" w:eastAsia="方正仿宋_GB2312" w:cs="方正仿宋_GB2312"/>
          <w:color w:val="auto"/>
          <w:szCs w:val="21"/>
          <w:highlight w:val="none"/>
          <w:lang w:eastAsia="zh-CN"/>
        </w:rPr>
        <w:t>暂定金额</w:t>
      </w:r>
      <w:r>
        <w:rPr>
          <w:rFonts w:hint="eastAsia" w:ascii="方正仿宋_GB2312" w:hAnsi="方正仿宋_GB2312" w:eastAsia="方正仿宋_GB2312" w:cs="方正仿宋_GB2312"/>
          <w:color w:val="auto"/>
          <w:szCs w:val="21"/>
          <w:highlight w:val="none"/>
        </w:rPr>
        <w:t>使用的约定</w:t>
      </w:r>
      <w:r>
        <w:rPr>
          <w:rFonts w:hint="eastAsia" w:ascii="方正仿宋_GB2312" w:hAnsi="方正仿宋_GB2312" w:eastAsia="方正仿宋_GB2312" w:cs="方正仿宋_GB2312"/>
          <w:color w:val="auto"/>
          <w:szCs w:val="21"/>
          <w:highlight w:val="none"/>
          <w:lang w:eastAsia="zh-CN"/>
        </w:rPr>
        <w:t>：</w:t>
      </w:r>
    </w:p>
    <w:p w14:paraId="772DB18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13.8 市场价格波动引起的调整</w:t>
      </w:r>
    </w:p>
    <w:p w14:paraId="0F56EB6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13.8.2 关于是否采用《价格指数权重表》的约定</w:t>
      </w:r>
      <w:r>
        <w:rPr>
          <w:rFonts w:hint="eastAsia" w:ascii="方正仿宋_GB2312" w:hAnsi="方正仿宋_GB2312" w:eastAsia="方正仿宋_GB2312" w:cs="方正仿宋_GB2312"/>
          <w:color w:val="auto"/>
          <w:szCs w:val="21"/>
          <w:highlight w:val="none"/>
          <w:lang w:eastAsia="zh-CN"/>
        </w:rPr>
        <w:t>：</w:t>
      </w:r>
    </w:p>
    <w:p w14:paraId="57B7053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13.8.3 关于采用其他方式调整合同价款的约定</w:t>
      </w:r>
      <w:r>
        <w:rPr>
          <w:rFonts w:hint="eastAsia" w:ascii="方正仿宋_GB2312" w:hAnsi="方正仿宋_GB2312" w:eastAsia="方正仿宋_GB2312" w:cs="方正仿宋_GB2312"/>
          <w:color w:val="auto"/>
          <w:szCs w:val="21"/>
          <w:highlight w:val="none"/>
          <w:lang w:eastAsia="zh-CN"/>
        </w:rPr>
        <w:t>：</w:t>
      </w:r>
    </w:p>
    <w:p w14:paraId="37F3EFE2">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86" w:name="_Toc54862345"/>
      <w:bookmarkStart w:id="1487" w:name="_Toc23313"/>
      <w:r>
        <w:rPr>
          <w:rFonts w:hint="eastAsia" w:ascii="方正仿宋_GB2312" w:hAnsi="方正仿宋_GB2312" w:eastAsia="方正仿宋_GB2312" w:cs="方正仿宋_GB2312"/>
          <w:b w:val="0"/>
          <w:bCs/>
          <w:color w:val="auto"/>
          <w:kern w:val="2"/>
          <w:sz w:val="28"/>
          <w:szCs w:val="28"/>
          <w:highlight w:val="none"/>
          <w:lang w:val="zh-CN" w:eastAsia="zh-CN" w:bidi="ar-SA"/>
        </w:rPr>
        <w:t>第14条 合同价格与支付</w:t>
      </w:r>
      <w:bookmarkEnd w:id="1486"/>
      <w:bookmarkEnd w:id="1487"/>
    </w:p>
    <w:p w14:paraId="488A567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14.1 合同价格形式</w:t>
      </w:r>
    </w:p>
    <w:p w14:paraId="61527D6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14.1.1 关于合同价格形式的约定</w:t>
      </w:r>
      <w:r>
        <w:rPr>
          <w:rFonts w:hint="eastAsia" w:ascii="方正仿宋_GB2312" w:hAnsi="方正仿宋_GB2312" w:eastAsia="方正仿宋_GB2312" w:cs="方正仿宋_GB2312"/>
          <w:color w:val="auto"/>
          <w:szCs w:val="21"/>
          <w:highlight w:val="none"/>
          <w:lang w:eastAsia="zh-CN"/>
        </w:rPr>
        <w:t>：</w:t>
      </w:r>
    </w:p>
    <w:p w14:paraId="1845B18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14.1.2 关于合同价格调整的约定</w:t>
      </w:r>
      <w:r>
        <w:rPr>
          <w:rFonts w:hint="eastAsia" w:ascii="方正仿宋_GB2312" w:hAnsi="方正仿宋_GB2312" w:eastAsia="方正仿宋_GB2312" w:cs="方正仿宋_GB2312"/>
          <w:color w:val="auto"/>
          <w:szCs w:val="21"/>
          <w:highlight w:val="none"/>
          <w:lang w:eastAsia="zh-CN"/>
        </w:rPr>
        <w:t>：</w:t>
      </w:r>
    </w:p>
    <w:p w14:paraId="7DD7EA6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14.1.3 按实际完成的工程量支付工程价款的计量方法、估价方法</w:t>
      </w:r>
      <w:r>
        <w:rPr>
          <w:rFonts w:hint="eastAsia" w:ascii="方正仿宋_GB2312" w:hAnsi="方正仿宋_GB2312" w:eastAsia="方正仿宋_GB2312" w:cs="方正仿宋_GB2312"/>
          <w:color w:val="auto"/>
          <w:szCs w:val="21"/>
          <w:highlight w:val="none"/>
          <w:lang w:eastAsia="zh-CN"/>
        </w:rPr>
        <w:t>：</w:t>
      </w:r>
    </w:p>
    <w:p w14:paraId="1D1D540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14.2 预付款</w:t>
      </w:r>
    </w:p>
    <w:p w14:paraId="33D06ED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14.2.1 预付款支付</w:t>
      </w:r>
    </w:p>
    <w:p w14:paraId="622E352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预付款的金额或比例为</w:t>
      </w:r>
      <w:r>
        <w:rPr>
          <w:rFonts w:hint="eastAsia" w:ascii="方正仿宋_GB2312" w:hAnsi="方正仿宋_GB2312" w:eastAsia="方正仿宋_GB2312" w:cs="方正仿宋_GB2312"/>
          <w:color w:val="auto"/>
          <w:szCs w:val="21"/>
          <w:highlight w:val="none"/>
          <w:lang w:eastAsia="zh-CN"/>
        </w:rPr>
        <w:t>：</w:t>
      </w:r>
    </w:p>
    <w:p w14:paraId="3B12F02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预付款支付期限</w:t>
      </w:r>
      <w:r>
        <w:rPr>
          <w:rFonts w:hint="eastAsia" w:ascii="方正仿宋_GB2312" w:hAnsi="方正仿宋_GB2312" w:eastAsia="方正仿宋_GB2312" w:cs="方正仿宋_GB2312"/>
          <w:color w:val="auto"/>
          <w:szCs w:val="21"/>
          <w:highlight w:val="none"/>
          <w:lang w:eastAsia="zh-CN"/>
        </w:rPr>
        <w:t>：</w:t>
      </w:r>
    </w:p>
    <w:p w14:paraId="1EA07CE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预付款扣回的方式</w:t>
      </w:r>
      <w:r>
        <w:rPr>
          <w:rFonts w:hint="eastAsia" w:ascii="方正仿宋_GB2312" w:hAnsi="方正仿宋_GB2312" w:eastAsia="方正仿宋_GB2312" w:cs="方正仿宋_GB2312"/>
          <w:color w:val="auto"/>
          <w:szCs w:val="21"/>
          <w:highlight w:val="none"/>
          <w:lang w:eastAsia="zh-CN"/>
        </w:rPr>
        <w:t>：</w:t>
      </w:r>
    </w:p>
    <w:p w14:paraId="6D5311B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14.2.2预付款担保</w:t>
      </w:r>
    </w:p>
    <w:p w14:paraId="282F3A2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提供预付款担保期限</w:t>
      </w:r>
      <w:r>
        <w:rPr>
          <w:rFonts w:hint="eastAsia" w:ascii="方正仿宋_GB2312" w:hAnsi="方正仿宋_GB2312" w:eastAsia="方正仿宋_GB2312" w:cs="方正仿宋_GB2312"/>
          <w:color w:val="auto"/>
          <w:szCs w:val="21"/>
          <w:highlight w:val="none"/>
          <w:lang w:eastAsia="zh-CN"/>
        </w:rPr>
        <w:t>：</w:t>
      </w:r>
    </w:p>
    <w:p w14:paraId="49E2306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预付款担保形式</w:t>
      </w:r>
      <w:r>
        <w:rPr>
          <w:rFonts w:hint="eastAsia" w:ascii="方正仿宋_GB2312" w:hAnsi="方正仿宋_GB2312" w:eastAsia="方正仿宋_GB2312" w:cs="方正仿宋_GB2312"/>
          <w:color w:val="auto"/>
          <w:szCs w:val="21"/>
          <w:highlight w:val="none"/>
          <w:lang w:eastAsia="zh-CN"/>
        </w:rPr>
        <w:t>：</w:t>
      </w:r>
    </w:p>
    <w:p w14:paraId="0F22F9A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14.3 工程进度款</w:t>
      </w:r>
    </w:p>
    <w:p w14:paraId="762C52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14.3.1 工程进度付款申请</w:t>
      </w:r>
    </w:p>
    <w:p w14:paraId="5D0A51B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工程进度付款申请方式</w:t>
      </w:r>
      <w:r>
        <w:rPr>
          <w:rFonts w:hint="eastAsia" w:ascii="方正仿宋_GB2312" w:hAnsi="方正仿宋_GB2312" w:eastAsia="方正仿宋_GB2312" w:cs="方正仿宋_GB2312"/>
          <w:color w:val="auto"/>
          <w:szCs w:val="21"/>
          <w:highlight w:val="none"/>
          <w:lang w:eastAsia="zh-CN"/>
        </w:rPr>
        <w:t>：</w:t>
      </w:r>
    </w:p>
    <w:p w14:paraId="7A88873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承包人提交进度付款申请单的格式、内容、份数和时间</w:t>
      </w:r>
      <w:r>
        <w:rPr>
          <w:rFonts w:hint="eastAsia" w:ascii="方正仿宋_GB2312" w:hAnsi="方正仿宋_GB2312" w:eastAsia="方正仿宋_GB2312" w:cs="方正仿宋_GB2312"/>
          <w:color w:val="auto"/>
          <w:szCs w:val="21"/>
          <w:highlight w:val="none"/>
          <w:lang w:eastAsia="zh-CN"/>
        </w:rPr>
        <w:t>：</w:t>
      </w:r>
    </w:p>
    <w:p w14:paraId="288F973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进度付款申请单应包括的内容</w:t>
      </w:r>
      <w:r>
        <w:rPr>
          <w:rFonts w:hint="eastAsia" w:ascii="方正仿宋_GB2312" w:hAnsi="方正仿宋_GB2312" w:eastAsia="方正仿宋_GB2312" w:cs="方正仿宋_GB2312"/>
          <w:color w:val="auto"/>
          <w:szCs w:val="21"/>
          <w:highlight w:val="none"/>
          <w:lang w:eastAsia="zh-CN"/>
        </w:rPr>
        <w:t>：</w:t>
      </w:r>
    </w:p>
    <w:p w14:paraId="370BBE5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14.3.2 进度付款审核和支付</w:t>
      </w:r>
    </w:p>
    <w:p w14:paraId="1D8E9CAC">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进度付款的审核方式和支付的约定</w:t>
      </w:r>
      <w:r>
        <w:rPr>
          <w:rFonts w:hint="eastAsia" w:ascii="方正仿宋_GB2312" w:hAnsi="方正仿宋_GB2312" w:eastAsia="方正仿宋_GB2312" w:cs="方正仿宋_GB2312"/>
          <w:color w:val="auto"/>
          <w:szCs w:val="21"/>
          <w:highlight w:val="none"/>
          <w:lang w:eastAsia="zh-CN"/>
        </w:rPr>
        <w:t>：</w:t>
      </w:r>
    </w:p>
    <w:p w14:paraId="5B254B0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发包人应在进度款支付证书或临时进度款支付证书签发后的天内完成支付，发包人逾期支付进度款的，应按照支付违约金。</w:t>
      </w:r>
    </w:p>
    <w:p w14:paraId="2E44300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14.4 付款计划表</w:t>
      </w:r>
    </w:p>
    <w:p w14:paraId="69BC587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14.4.1 付款计划表的编制要求</w:t>
      </w:r>
      <w:r>
        <w:rPr>
          <w:rFonts w:hint="eastAsia" w:ascii="方正仿宋_GB2312" w:hAnsi="方正仿宋_GB2312" w:eastAsia="方正仿宋_GB2312" w:cs="方正仿宋_GB2312"/>
          <w:color w:val="auto"/>
          <w:szCs w:val="21"/>
          <w:highlight w:val="none"/>
          <w:lang w:eastAsia="zh-CN"/>
        </w:rPr>
        <w:t>：</w:t>
      </w:r>
    </w:p>
    <w:p w14:paraId="7793DB3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14.4.2 付款计划表的编制与审批</w:t>
      </w:r>
    </w:p>
    <w:p w14:paraId="535DCB1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付款计划表的编制</w:t>
      </w:r>
      <w:r>
        <w:rPr>
          <w:rFonts w:hint="eastAsia" w:ascii="方正仿宋_GB2312" w:hAnsi="方正仿宋_GB2312" w:eastAsia="方正仿宋_GB2312" w:cs="方正仿宋_GB2312"/>
          <w:color w:val="auto"/>
          <w:szCs w:val="21"/>
          <w:highlight w:val="none"/>
          <w:lang w:eastAsia="zh-CN"/>
        </w:rPr>
        <w:t>：</w:t>
      </w:r>
    </w:p>
    <w:p w14:paraId="2C252AA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14.5 竣工结算</w:t>
      </w:r>
    </w:p>
    <w:p w14:paraId="42777B4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14.5.1 竣工结算申请</w:t>
      </w:r>
    </w:p>
    <w:p w14:paraId="5484463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承包人提交竣工结算申请的时间</w:t>
      </w:r>
      <w:r>
        <w:rPr>
          <w:rFonts w:hint="eastAsia" w:ascii="方正仿宋_GB2312" w:hAnsi="方正仿宋_GB2312" w:eastAsia="方正仿宋_GB2312" w:cs="方正仿宋_GB2312"/>
          <w:color w:val="auto"/>
          <w:szCs w:val="21"/>
          <w:highlight w:val="none"/>
          <w:lang w:eastAsia="zh-CN"/>
        </w:rPr>
        <w:t>：</w:t>
      </w:r>
    </w:p>
    <w:p w14:paraId="562010F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竣工结算申请的资料清单和份数</w:t>
      </w:r>
      <w:r>
        <w:rPr>
          <w:rFonts w:hint="eastAsia" w:ascii="方正仿宋_GB2312" w:hAnsi="方正仿宋_GB2312" w:eastAsia="方正仿宋_GB2312" w:cs="方正仿宋_GB2312"/>
          <w:color w:val="auto"/>
          <w:szCs w:val="21"/>
          <w:highlight w:val="none"/>
          <w:lang w:eastAsia="zh-CN"/>
        </w:rPr>
        <w:t>：</w:t>
      </w:r>
    </w:p>
    <w:p w14:paraId="10A3AF9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竣工结算申请单的内容应包括</w:t>
      </w:r>
      <w:r>
        <w:rPr>
          <w:rFonts w:hint="eastAsia" w:ascii="方正仿宋_GB2312" w:hAnsi="方正仿宋_GB2312" w:eastAsia="方正仿宋_GB2312" w:cs="方正仿宋_GB2312"/>
          <w:color w:val="auto"/>
          <w:szCs w:val="21"/>
          <w:highlight w:val="none"/>
          <w:lang w:eastAsia="zh-CN"/>
        </w:rPr>
        <w:t>：</w:t>
      </w:r>
    </w:p>
    <w:p w14:paraId="03F340B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14.5.2 竣工结算审核</w:t>
      </w:r>
    </w:p>
    <w:p w14:paraId="1813A36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发包人审批竣工付款申请单的期限</w:t>
      </w:r>
      <w:r>
        <w:rPr>
          <w:rFonts w:hint="eastAsia" w:ascii="方正仿宋_GB2312" w:hAnsi="方正仿宋_GB2312" w:eastAsia="方正仿宋_GB2312" w:cs="方正仿宋_GB2312"/>
          <w:color w:val="auto"/>
          <w:szCs w:val="21"/>
          <w:highlight w:val="none"/>
          <w:lang w:eastAsia="zh-CN"/>
        </w:rPr>
        <w:t>：</w:t>
      </w:r>
    </w:p>
    <w:p w14:paraId="6CBB7A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b/>
          <w:bCs/>
          <w:color w:val="auto"/>
          <w:szCs w:val="21"/>
          <w:highlight w:val="none"/>
          <w:u w:val="single"/>
        </w:rPr>
      </w:pPr>
      <w:r>
        <w:rPr>
          <w:rFonts w:hint="eastAsia" w:ascii="方正仿宋_GB2312" w:hAnsi="方正仿宋_GB2312" w:eastAsia="方正仿宋_GB2312" w:cs="方正仿宋_GB2312"/>
          <w:color w:val="auto"/>
          <w:szCs w:val="21"/>
          <w:highlight w:val="none"/>
        </w:rPr>
        <w:t>发包人完成竣工付款的期限：</w:t>
      </w:r>
    </w:p>
    <w:p w14:paraId="3D706EC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关于竣工付款证书异议部分复核的方式和程序</w:t>
      </w:r>
      <w:r>
        <w:rPr>
          <w:rFonts w:hint="eastAsia" w:ascii="方正仿宋_GB2312" w:hAnsi="方正仿宋_GB2312" w:eastAsia="方正仿宋_GB2312" w:cs="方正仿宋_GB2312"/>
          <w:color w:val="auto"/>
          <w:szCs w:val="21"/>
          <w:highlight w:val="none"/>
          <w:lang w:eastAsia="zh-CN"/>
        </w:rPr>
        <w:t>：</w:t>
      </w:r>
    </w:p>
    <w:p w14:paraId="1519C41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14.6 质量保证金</w:t>
      </w:r>
    </w:p>
    <w:p w14:paraId="269412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14.6.1 承包人提供质量保证金的方式</w:t>
      </w:r>
    </w:p>
    <w:p w14:paraId="48DFA94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质量保证金采用以下第</w:t>
      </w:r>
      <w:r>
        <w:rPr>
          <w:rFonts w:hint="eastAsia" w:ascii="方正仿宋_GB2312" w:hAnsi="方正仿宋_GB2312" w:eastAsia="方正仿宋_GB2312" w:cs="方正仿宋_GB2312"/>
          <w:color w:val="auto"/>
          <w:szCs w:val="21"/>
          <w:highlight w:val="none"/>
          <w:u w:val="single"/>
          <w:lang w:val="en-US" w:eastAsia="zh-CN"/>
        </w:rPr>
        <w:t xml:space="preserve">    </w:t>
      </w:r>
      <w:r>
        <w:rPr>
          <w:rFonts w:hint="eastAsia" w:ascii="方正仿宋_GB2312" w:hAnsi="方正仿宋_GB2312" w:eastAsia="方正仿宋_GB2312" w:cs="方正仿宋_GB2312"/>
          <w:color w:val="auto"/>
          <w:szCs w:val="21"/>
          <w:highlight w:val="none"/>
        </w:rPr>
        <w:t>种方式：</w:t>
      </w:r>
    </w:p>
    <w:p w14:paraId="4008D79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1</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工程质量保证担保，保证金额为</w:t>
      </w:r>
      <w:r>
        <w:rPr>
          <w:rFonts w:hint="eastAsia" w:ascii="方正仿宋_GB2312" w:hAnsi="方正仿宋_GB2312" w:eastAsia="方正仿宋_GB2312" w:cs="方正仿宋_GB2312"/>
          <w:color w:val="auto"/>
          <w:szCs w:val="21"/>
          <w:highlight w:val="none"/>
          <w:lang w:eastAsia="zh-CN"/>
        </w:rPr>
        <w:t>：</w:t>
      </w:r>
    </w:p>
    <w:p w14:paraId="2B0EF97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2</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%的工程款；</w:t>
      </w:r>
    </w:p>
    <w:p w14:paraId="512F25C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3</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其他方式</w:t>
      </w:r>
      <w:r>
        <w:rPr>
          <w:rFonts w:hint="eastAsia" w:ascii="方正仿宋_GB2312" w:hAnsi="方正仿宋_GB2312" w:eastAsia="方正仿宋_GB2312" w:cs="方正仿宋_GB2312"/>
          <w:color w:val="auto"/>
          <w:szCs w:val="21"/>
          <w:highlight w:val="none"/>
          <w:lang w:eastAsia="zh-CN"/>
        </w:rPr>
        <w:t>：</w:t>
      </w:r>
    </w:p>
    <w:p w14:paraId="62A86B8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14.6.2 质量保证金的预留</w:t>
      </w:r>
    </w:p>
    <w:p w14:paraId="0B89416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质量保证金的预留采取以下第</w:t>
      </w:r>
      <w:r>
        <w:rPr>
          <w:rFonts w:hint="eastAsia" w:ascii="方正仿宋_GB2312" w:hAnsi="方正仿宋_GB2312" w:eastAsia="方正仿宋_GB2312" w:cs="方正仿宋_GB2312"/>
          <w:color w:val="auto"/>
          <w:szCs w:val="21"/>
          <w:highlight w:val="none"/>
          <w:u w:val="single"/>
          <w:lang w:val="en-US" w:eastAsia="zh-CN"/>
        </w:rPr>
        <w:t xml:space="preserve">    </w:t>
      </w:r>
      <w:r>
        <w:rPr>
          <w:rFonts w:hint="eastAsia" w:ascii="方正仿宋_GB2312" w:hAnsi="方正仿宋_GB2312" w:eastAsia="方正仿宋_GB2312" w:cs="方正仿宋_GB2312"/>
          <w:color w:val="auto"/>
          <w:szCs w:val="21"/>
          <w:highlight w:val="none"/>
        </w:rPr>
        <w:t>种方式：</w:t>
      </w:r>
    </w:p>
    <w:p w14:paraId="09205130">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1</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在支付工程进度款时逐次预留的质量保证金的比例</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在此情形下，质量保证金的计算基数不包括预付款的支付、扣回以及价格调整的金额；</w:t>
      </w:r>
    </w:p>
    <w:p w14:paraId="46DEFB7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2</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工程竣工结算时一次性预留专用合同条件第14.6.1项第</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2</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目约定的工程款预留比例的质量保证金；</w:t>
      </w:r>
    </w:p>
    <w:p w14:paraId="42A721A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3</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其他预留方式</w:t>
      </w:r>
      <w:r>
        <w:rPr>
          <w:rFonts w:hint="eastAsia" w:ascii="方正仿宋_GB2312" w:hAnsi="方正仿宋_GB2312" w:eastAsia="方正仿宋_GB2312" w:cs="方正仿宋_GB2312"/>
          <w:color w:val="auto"/>
          <w:szCs w:val="21"/>
          <w:highlight w:val="none"/>
          <w:lang w:eastAsia="zh-CN"/>
        </w:rPr>
        <w:t>：</w:t>
      </w:r>
    </w:p>
    <w:p w14:paraId="79EE5BE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关于质量保证金的补充约定</w:t>
      </w:r>
      <w:r>
        <w:rPr>
          <w:rFonts w:hint="eastAsia" w:ascii="方正仿宋_GB2312" w:hAnsi="方正仿宋_GB2312" w:eastAsia="方正仿宋_GB2312" w:cs="方正仿宋_GB2312"/>
          <w:color w:val="auto"/>
          <w:szCs w:val="21"/>
          <w:highlight w:val="none"/>
          <w:lang w:eastAsia="zh-CN"/>
        </w:rPr>
        <w:t>：</w:t>
      </w:r>
    </w:p>
    <w:p w14:paraId="1F53E02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14.7 最终结清</w:t>
      </w:r>
    </w:p>
    <w:p w14:paraId="1D30AC8F">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14.7.1 最终结清申请单</w:t>
      </w:r>
    </w:p>
    <w:p w14:paraId="4144394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当事人双方关于最终结清申请的其他约定</w:t>
      </w:r>
      <w:r>
        <w:rPr>
          <w:rFonts w:hint="eastAsia" w:ascii="方正仿宋_GB2312" w:hAnsi="方正仿宋_GB2312" w:eastAsia="方正仿宋_GB2312" w:cs="方正仿宋_GB2312"/>
          <w:color w:val="auto"/>
          <w:szCs w:val="21"/>
          <w:highlight w:val="none"/>
          <w:lang w:eastAsia="zh-CN"/>
        </w:rPr>
        <w:t>：</w:t>
      </w:r>
    </w:p>
    <w:p w14:paraId="4FA3939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14.7.2 最终结清证书和支付</w:t>
      </w:r>
    </w:p>
    <w:p w14:paraId="7A5F342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当事人双方关于最终结清支付的其他约定</w:t>
      </w:r>
      <w:r>
        <w:rPr>
          <w:rFonts w:hint="eastAsia" w:ascii="方正仿宋_GB2312" w:hAnsi="方正仿宋_GB2312" w:eastAsia="方正仿宋_GB2312" w:cs="方正仿宋_GB2312"/>
          <w:color w:val="auto"/>
          <w:szCs w:val="21"/>
          <w:highlight w:val="none"/>
          <w:lang w:eastAsia="zh-CN"/>
        </w:rPr>
        <w:t>：</w:t>
      </w:r>
    </w:p>
    <w:p w14:paraId="4E287564">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88" w:name="_Toc8338"/>
      <w:bookmarkStart w:id="1489" w:name="_Toc54862346"/>
      <w:r>
        <w:rPr>
          <w:rFonts w:hint="eastAsia" w:ascii="方正仿宋_GB2312" w:hAnsi="方正仿宋_GB2312" w:eastAsia="方正仿宋_GB2312" w:cs="方正仿宋_GB2312"/>
          <w:b w:val="0"/>
          <w:bCs/>
          <w:color w:val="auto"/>
          <w:kern w:val="2"/>
          <w:sz w:val="28"/>
          <w:szCs w:val="28"/>
          <w:highlight w:val="none"/>
          <w:lang w:val="zh-CN" w:eastAsia="zh-CN" w:bidi="ar-SA"/>
        </w:rPr>
        <w:t>第15条 违约</w:t>
      </w:r>
      <w:bookmarkEnd w:id="1488"/>
      <w:bookmarkEnd w:id="1489"/>
    </w:p>
    <w:p w14:paraId="18CA4ED3">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15.1 发包人违约</w:t>
      </w:r>
    </w:p>
    <w:p w14:paraId="41EA70B9">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15.1.1 发包人违约的情形</w:t>
      </w:r>
    </w:p>
    <w:p w14:paraId="65D88A1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发包人违约的其他情形。</w:t>
      </w:r>
    </w:p>
    <w:p w14:paraId="0228E30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15.1.3 发包人违约的责任</w:t>
      </w:r>
    </w:p>
    <w:p w14:paraId="3162D76E">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发包人违约责任的承担方式和计算方法</w:t>
      </w:r>
      <w:r>
        <w:rPr>
          <w:rFonts w:hint="eastAsia" w:ascii="方正仿宋_GB2312" w:hAnsi="方正仿宋_GB2312" w:eastAsia="方正仿宋_GB2312" w:cs="方正仿宋_GB2312"/>
          <w:color w:val="auto"/>
          <w:szCs w:val="21"/>
          <w:highlight w:val="none"/>
          <w:lang w:eastAsia="zh-CN"/>
        </w:rPr>
        <w:t>：</w:t>
      </w:r>
    </w:p>
    <w:p w14:paraId="020D1B82">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15.2 承包人违约</w:t>
      </w:r>
    </w:p>
    <w:p w14:paraId="09BFD1D8">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15.2.1 承包人违约的情形</w:t>
      </w:r>
    </w:p>
    <w:p w14:paraId="6FE8C22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承包人违约的其他情形</w:t>
      </w:r>
      <w:r>
        <w:rPr>
          <w:rFonts w:hint="eastAsia" w:ascii="方正仿宋_GB2312" w:hAnsi="方正仿宋_GB2312" w:eastAsia="方正仿宋_GB2312" w:cs="方正仿宋_GB2312"/>
          <w:color w:val="auto"/>
          <w:szCs w:val="21"/>
          <w:highlight w:val="none"/>
          <w:lang w:eastAsia="zh-CN"/>
        </w:rPr>
        <w:t>：</w:t>
      </w:r>
    </w:p>
    <w:p w14:paraId="38CA4F35">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15.2.2 通知改正</w:t>
      </w:r>
    </w:p>
    <w:p w14:paraId="76215F97">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工程师通知承包人改正的合理期限是</w:t>
      </w:r>
      <w:r>
        <w:rPr>
          <w:rFonts w:hint="eastAsia" w:ascii="方正仿宋_GB2312" w:hAnsi="方正仿宋_GB2312" w:eastAsia="方正仿宋_GB2312" w:cs="方正仿宋_GB2312"/>
          <w:color w:val="auto"/>
          <w:szCs w:val="21"/>
          <w:highlight w:val="none"/>
          <w:lang w:eastAsia="zh-CN"/>
        </w:rPr>
        <w:t>：</w:t>
      </w:r>
    </w:p>
    <w:p w14:paraId="2BEA255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15.2.3 承包人违约的责任</w:t>
      </w:r>
    </w:p>
    <w:p w14:paraId="192C70B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承包人违约责任的承担方式和计算方法</w:t>
      </w:r>
      <w:r>
        <w:rPr>
          <w:rFonts w:hint="eastAsia" w:ascii="方正仿宋_GB2312" w:hAnsi="方正仿宋_GB2312" w:eastAsia="方正仿宋_GB2312" w:cs="方正仿宋_GB2312"/>
          <w:color w:val="auto"/>
          <w:szCs w:val="21"/>
          <w:highlight w:val="none"/>
          <w:lang w:eastAsia="zh-CN"/>
        </w:rPr>
        <w:t>：</w:t>
      </w:r>
    </w:p>
    <w:p w14:paraId="29806F46">
      <w:pPr>
        <w:keepNext w:val="0"/>
        <w:keepLines w:val="0"/>
        <w:pageBreakBefore w:val="0"/>
        <w:widowControl w:val="0"/>
        <w:tabs>
          <w:tab w:val="left" w:pos="993"/>
        </w:tabs>
        <w:kinsoku/>
        <w:wordWrap/>
        <w:overflowPunct/>
        <w:topLinePunct w:val="0"/>
        <w:bidi w:val="0"/>
        <w:snapToGrid w:val="0"/>
        <w:spacing w:before="0" w:after="0" w:line="360" w:lineRule="auto"/>
        <w:jc w:val="left"/>
        <w:textAlignment w:val="auto"/>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0" w:name="_Toc54862347"/>
      <w:bookmarkStart w:id="1491" w:name="_Toc12245"/>
      <w:r>
        <w:rPr>
          <w:rFonts w:hint="eastAsia" w:ascii="方正仿宋_GB2312" w:hAnsi="方正仿宋_GB2312" w:eastAsia="方正仿宋_GB2312" w:cs="方正仿宋_GB2312"/>
          <w:b w:val="0"/>
          <w:bCs/>
          <w:color w:val="auto"/>
          <w:kern w:val="2"/>
          <w:sz w:val="28"/>
          <w:szCs w:val="28"/>
          <w:highlight w:val="none"/>
          <w:lang w:val="zh-CN" w:eastAsia="zh-CN" w:bidi="ar-SA"/>
        </w:rPr>
        <w:t>第16条 合同解除</w:t>
      </w:r>
      <w:bookmarkEnd w:id="1490"/>
      <w:bookmarkEnd w:id="1491"/>
    </w:p>
    <w:p w14:paraId="43D764DD">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16.1 由发包人解除合同</w:t>
      </w:r>
    </w:p>
    <w:p w14:paraId="37FEF4DB">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16.1.1 因承包人违约解除合同</w:t>
      </w:r>
    </w:p>
    <w:p w14:paraId="3BAC04EA">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双方约定可由发包人解除合同的其他事由</w:t>
      </w:r>
      <w:r>
        <w:rPr>
          <w:rFonts w:hint="eastAsia" w:ascii="方正仿宋_GB2312" w:hAnsi="方正仿宋_GB2312" w:eastAsia="方正仿宋_GB2312" w:cs="方正仿宋_GB2312"/>
          <w:color w:val="auto"/>
          <w:szCs w:val="21"/>
          <w:highlight w:val="none"/>
          <w:lang w:eastAsia="zh-CN"/>
        </w:rPr>
        <w:t>：</w:t>
      </w:r>
    </w:p>
    <w:p w14:paraId="1700B5A1">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16.2 由承包人解除合同</w:t>
      </w:r>
    </w:p>
    <w:p w14:paraId="613ED674">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16.2.1 因发包人违约解除合同</w:t>
      </w:r>
    </w:p>
    <w:p w14:paraId="3F8D7506">
      <w:pPr>
        <w:keepNext w:val="0"/>
        <w:keepLines w:val="0"/>
        <w:pageBreakBefore w:val="0"/>
        <w:kinsoku/>
        <w:wordWrap/>
        <w:overflowPunct/>
        <w:topLinePunct w:val="0"/>
        <w:bidi w:val="0"/>
        <w:snapToGrid w:val="0"/>
        <w:spacing w:after="0" w:line="360" w:lineRule="auto"/>
        <w:ind w:firstLine="600"/>
        <w:textAlignment w:val="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双方约定可由承包人解除合同的其他事由</w:t>
      </w:r>
      <w:r>
        <w:rPr>
          <w:rFonts w:hint="eastAsia" w:ascii="方正仿宋_GB2312" w:hAnsi="方正仿宋_GB2312" w:eastAsia="方正仿宋_GB2312" w:cs="方正仿宋_GB2312"/>
          <w:color w:val="auto"/>
          <w:szCs w:val="21"/>
          <w:highlight w:val="none"/>
          <w:lang w:eastAsia="zh-CN"/>
        </w:rPr>
        <w:t>：</w:t>
      </w:r>
    </w:p>
    <w:p w14:paraId="31C001FF">
      <w:pPr>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2" w:name="_Toc54862351"/>
      <w:bookmarkStart w:id="1493" w:name="_Toc54862348"/>
      <w:r>
        <w:rPr>
          <w:rFonts w:hint="eastAsia" w:ascii="方正仿宋_GB2312" w:hAnsi="方正仿宋_GB2312" w:eastAsia="方正仿宋_GB2312" w:cs="方正仿宋_GB2312"/>
          <w:b w:val="0"/>
          <w:bCs/>
          <w:color w:val="auto"/>
          <w:kern w:val="2"/>
          <w:sz w:val="28"/>
          <w:szCs w:val="28"/>
          <w:highlight w:val="none"/>
          <w:lang w:val="zh-CN" w:eastAsia="zh-CN" w:bidi="ar-SA"/>
        </w:rPr>
        <w:br w:type="page"/>
      </w:r>
    </w:p>
    <w:p w14:paraId="107BCB5E">
      <w:pPr>
        <w:keepNext w:val="0"/>
        <w:keepLines w:val="0"/>
        <w:widowControl w:val="0"/>
        <w:tabs>
          <w:tab w:val="left" w:pos="993"/>
        </w:tabs>
        <w:spacing w:before="0" w:after="0" w:line="360" w:lineRule="auto"/>
        <w:jc w:val="left"/>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4" w:name="_Toc28073"/>
      <w:r>
        <w:rPr>
          <w:rFonts w:hint="eastAsia" w:ascii="方正仿宋_GB2312" w:hAnsi="方正仿宋_GB2312" w:eastAsia="方正仿宋_GB2312" w:cs="方正仿宋_GB2312"/>
          <w:b w:val="0"/>
          <w:bCs/>
          <w:color w:val="auto"/>
          <w:kern w:val="2"/>
          <w:sz w:val="28"/>
          <w:szCs w:val="28"/>
          <w:highlight w:val="none"/>
          <w:lang w:val="zh-CN" w:eastAsia="zh-CN" w:bidi="ar-SA"/>
        </w:rPr>
        <w:t>专用合同条件附件</w:t>
      </w:r>
      <w:bookmarkEnd w:id="1492"/>
      <w:bookmarkEnd w:id="1494"/>
    </w:p>
    <w:p w14:paraId="37295E62">
      <w:pPr>
        <w:spacing w:after="0" w:line="360" w:lineRule="auto"/>
        <w:rPr>
          <w:rFonts w:hint="eastAsia" w:ascii="方正仿宋_GB2312" w:hAnsi="方正仿宋_GB2312" w:eastAsia="方正仿宋_GB2312" w:cs="方正仿宋_GB2312"/>
          <w:color w:val="auto"/>
          <w:szCs w:val="21"/>
          <w:highlight w:val="none"/>
        </w:rPr>
      </w:pPr>
    </w:p>
    <w:p w14:paraId="3A6FA64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附件1：发包人要求</w:t>
      </w:r>
    </w:p>
    <w:p w14:paraId="2ECB3B8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附件2：发包人供应材料设备一览表</w:t>
      </w:r>
    </w:p>
    <w:p w14:paraId="38B37FD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附件3：工程质量保修书</w:t>
      </w:r>
    </w:p>
    <w:p w14:paraId="7CA527F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附件4：主要建设工程文件目录</w:t>
      </w:r>
    </w:p>
    <w:p w14:paraId="653C670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附件5：承包人主要管理人员表</w:t>
      </w:r>
    </w:p>
    <w:p w14:paraId="380E0A2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附件6：价格指数权重表</w:t>
      </w:r>
    </w:p>
    <w:p w14:paraId="316A1D3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附件7：预付款保函</w:t>
      </w:r>
    </w:p>
    <w:p w14:paraId="48264C1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附件8：支付保函</w:t>
      </w:r>
    </w:p>
    <w:p w14:paraId="6649014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附件9：履约保函</w:t>
      </w:r>
    </w:p>
    <w:p w14:paraId="21C8844A">
      <w:pPr>
        <w:spacing w:after="0" w:line="360" w:lineRule="auto"/>
        <w:rPr>
          <w:rFonts w:hint="eastAsia" w:ascii="方正仿宋_GB2312" w:hAnsi="方正仿宋_GB2312" w:eastAsia="方正仿宋_GB2312" w:cs="方正仿宋_GB2312"/>
          <w:color w:val="auto"/>
          <w:szCs w:val="21"/>
          <w:highlight w:val="none"/>
        </w:rPr>
      </w:pPr>
    </w:p>
    <w:p w14:paraId="16EBA248">
      <w:pPr>
        <w:spacing w:after="0" w:line="360" w:lineRule="auto"/>
        <w:rPr>
          <w:rFonts w:hint="eastAsia" w:ascii="方正仿宋_GB2312" w:hAnsi="方正仿宋_GB2312" w:eastAsia="方正仿宋_GB2312" w:cs="方正仿宋_GB2312"/>
          <w:color w:val="auto"/>
          <w:szCs w:val="21"/>
          <w:highlight w:val="none"/>
        </w:rPr>
      </w:pPr>
    </w:p>
    <w:p w14:paraId="0DE07F8F">
      <w:pPr>
        <w:spacing w:after="0" w:line="360" w:lineRule="auto"/>
        <w:rPr>
          <w:rFonts w:hint="eastAsia" w:ascii="方正仿宋_GB2312" w:hAnsi="方正仿宋_GB2312" w:eastAsia="方正仿宋_GB2312" w:cs="方正仿宋_GB2312"/>
          <w:color w:val="auto"/>
          <w:szCs w:val="21"/>
          <w:highlight w:val="none"/>
        </w:rPr>
      </w:pPr>
    </w:p>
    <w:p w14:paraId="2EFABB32">
      <w:pPr>
        <w:spacing w:after="0" w:line="360" w:lineRule="auto"/>
        <w:jc w:val="lef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br w:type="page"/>
      </w:r>
    </w:p>
    <w:p w14:paraId="0FC7BDF6">
      <w:pPr>
        <w:keepNext w:val="0"/>
        <w:keepLines w:val="0"/>
        <w:widowControl w:val="0"/>
        <w:tabs>
          <w:tab w:val="left" w:pos="993"/>
        </w:tabs>
        <w:spacing w:before="0" w:after="0" w:line="360" w:lineRule="auto"/>
        <w:jc w:val="left"/>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5" w:name="_Toc4227"/>
      <w:r>
        <w:rPr>
          <w:rFonts w:hint="eastAsia" w:ascii="方正仿宋_GB2312" w:hAnsi="方正仿宋_GB2312" w:eastAsia="方正仿宋_GB2312" w:cs="方正仿宋_GB2312"/>
          <w:b w:val="0"/>
          <w:bCs/>
          <w:color w:val="auto"/>
          <w:kern w:val="2"/>
          <w:sz w:val="28"/>
          <w:szCs w:val="28"/>
          <w:highlight w:val="none"/>
          <w:lang w:val="zh-CN" w:eastAsia="zh-CN" w:bidi="ar-SA"/>
        </w:rPr>
        <w:t>第17条 不可抗力</w:t>
      </w:r>
      <w:bookmarkEnd w:id="1493"/>
      <w:bookmarkEnd w:id="1495"/>
    </w:p>
    <w:p w14:paraId="00BDBAD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17.1 不可抗力的定义</w:t>
      </w:r>
    </w:p>
    <w:p w14:paraId="7527685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除通用合同条件约定的不可抗力事件之外，视为不可抗力的其他情形</w:t>
      </w:r>
      <w:r>
        <w:rPr>
          <w:rFonts w:hint="eastAsia" w:ascii="方正仿宋_GB2312" w:hAnsi="方正仿宋_GB2312" w:eastAsia="方正仿宋_GB2312" w:cs="方正仿宋_GB2312"/>
          <w:color w:val="auto"/>
          <w:szCs w:val="21"/>
          <w:highlight w:val="none"/>
          <w:lang w:eastAsia="zh-CN"/>
        </w:rPr>
        <w:t>：</w:t>
      </w:r>
    </w:p>
    <w:p w14:paraId="0125CAE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17.6 因不可抗力解除合同</w:t>
      </w:r>
    </w:p>
    <w:p w14:paraId="2A91AA5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合同解除后，发包人应当在商定或确定发包人应支付款项后</w:t>
      </w:r>
      <w:r>
        <w:rPr>
          <w:rFonts w:hint="eastAsia" w:ascii="方正仿宋_GB2312" w:hAnsi="方正仿宋_GB2312" w:eastAsia="方正仿宋_GB2312" w:cs="方正仿宋_GB2312"/>
          <w:color w:val="auto"/>
          <w:szCs w:val="21"/>
          <w:highlight w:val="none"/>
          <w:lang w:eastAsia="zh-CN"/>
        </w:rPr>
        <w:t>的一</w:t>
      </w:r>
      <w:r>
        <w:rPr>
          <w:rFonts w:hint="eastAsia" w:ascii="方正仿宋_GB2312" w:hAnsi="方正仿宋_GB2312" w:eastAsia="方正仿宋_GB2312" w:cs="方正仿宋_GB2312"/>
          <w:color w:val="auto"/>
          <w:szCs w:val="21"/>
          <w:highlight w:val="none"/>
        </w:rPr>
        <w:t>天内完成款项的支付。</w:t>
      </w:r>
    </w:p>
    <w:p w14:paraId="69D1CF00">
      <w:pPr>
        <w:keepNext w:val="0"/>
        <w:keepLines w:val="0"/>
        <w:widowControl w:val="0"/>
        <w:tabs>
          <w:tab w:val="left" w:pos="993"/>
        </w:tabs>
        <w:spacing w:before="0" w:after="0" w:line="360" w:lineRule="auto"/>
        <w:jc w:val="left"/>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496" w:name="_Toc4784276"/>
      <w:bookmarkEnd w:id="1496"/>
      <w:bookmarkStart w:id="1497" w:name="_Toc4784277"/>
      <w:bookmarkEnd w:id="1497"/>
      <w:bookmarkStart w:id="1498" w:name="_Toc54862349"/>
      <w:bookmarkStart w:id="1499" w:name="_Toc30052"/>
      <w:r>
        <w:rPr>
          <w:rFonts w:hint="eastAsia" w:ascii="方正仿宋_GB2312" w:hAnsi="方正仿宋_GB2312" w:eastAsia="方正仿宋_GB2312" w:cs="方正仿宋_GB2312"/>
          <w:b w:val="0"/>
          <w:bCs/>
          <w:color w:val="auto"/>
          <w:kern w:val="2"/>
          <w:sz w:val="28"/>
          <w:szCs w:val="28"/>
          <w:highlight w:val="none"/>
          <w:lang w:val="zh-CN" w:eastAsia="zh-CN" w:bidi="ar-SA"/>
        </w:rPr>
        <w:t>第18条 保险</w:t>
      </w:r>
      <w:bookmarkEnd w:id="1498"/>
      <w:bookmarkEnd w:id="1499"/>
    </w:p>
    <w:p w14:paraId="6DE553C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18.1 设计和工程保险</w:t>
      </w:r>
    </w:p>
    <w:p w14:paraId="42063A2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18.1.1 双方当事人关于设计和工程保险的特别约定</w:t>
      </w:r>
      <w:r>
        <w:rPr>
          <w:rFonts w:hint="eastAsia" w:ascii="方正仿宋_GB2312" w:hAnsi="方正仿宋_GB2312" w:eastAsia="方正仿宋_GB2312" w:cs="方正仿宋_GB2312"/>
          <w:color w:val="auto"/>
          <w:szCs w:val="21"/>
          <w:highlight w:val="none"/>
          <w:lang w:eastAsia="zh-CN"/>
        </w:rPr>
        <w:t>：</w:t>
      </w:r>
    </w:p>
    <w:p w14:paraId="2A93C9A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18.1.2 双方当事人关于第三方责任险的特别约定</w:t>
      </w:r>
      <w:r>
        <w:rPr>
          <w:rFonts w:hint="eastAsia" w:ascii="方正仿宋_GB2312" w:hAnsi="方正仿宋_GB2312" w:eastAsia="方正仿宋_GB2312" w:cs="方正仿宋_GB2312"/>
          <w:color w:val="auto"/>
          <w:szCs w:val="21"/>
          <w:highlight w:val="none"/>
          <w:lang w:eastAsia="zh-CN"/>
        </w:rPr>
        <w:t>：</w:t>
      </w:r>
    </w:p>
    <w:p w14:paraId="5742590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18.2 工伤和意外伤害保险</w:t>
      </w:r>
    </w:p>
    <w:p w14:paraId="438E9A9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18.2.3 关于工伤保险和意外伤害保险的特别约定</w:t>
      </w:r>
      <w:r>
        <w:rPr>
          <w:rFonts w:hint="eastAsia" w:ascii="方正仿宋_GB2312" w:hAnsi="方正仿宋_GB2312" w:eastAsia="方正仿宋_GB2312" w:cs="方正仿宋_GB2312"/>
          <w:color w:val="auto"/>
          <w:szCs w:val="21"/>
          <w:highlight w:val="none"/>
          <w:lang w:eastAsia="zh-CN"/>
        </w:rPr>
        <w:t>：</w:t>
      </w:r>
    </w:p>
    <w:p w14:paraId="7EC171A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18.3 货物保险</w:t>
      </w:r>
    </w:p>
    <w:p w14:paraId="5C990CE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关于承包人应为其施工设备、材料、工程设备和临时工程等办理财产保险的特别约定</w:t>
      </w:r>
      <w:r>
        <w:rPr>
          <w:rFonts w:hint="eastAsia" w:ascii="方正仿宋_GB2312" w:hAnsi="方正仿宋_GB2312" w:eastAsia="方正仿宋_GB2312" w:cs="方正仿宋_GB2312"/>
          <w:color w:val="auto"/>
          <w:szCs w:val="21"/>
          <w:highlight w:val="none"/>
          <w:lang w:eastAsia="zh-CN"/>
        </w:rPr>
        <w:t>：</w:t>
      </w:r>
    </w:p>
    <w:p w14:paraId="1B5DA5A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18.4 其他保险</w:t>
      </w:r>
    </w:p>
    <w:p w14:paraId="6C5DB99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关于其他保险的约定</w:t>
      </w:r>
      <w:r>
        <w:rPr>
          <w:rFonts w:hint="eastAsia" w:ascii="方正仿宋_GB2312" w:hAnsi="方正仿宋_GB2312" w:eastAsia="方正仿宋_GB2312" w:cs="方正仿宋_GB2312"/>
          <w:color w:val="auto"/>
          <w:szCs w:val="21"/>
          <w:highlight w:val="none"/>
          <w:lang w:eastAsia="zh-CN"/>
        </w:rPr>
        <w:t>：</w:t>
      </w:r>
    </w:p>
    <w:p w14:paraId="2169CCB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18.5 对各项保险的一般要求</w:t>
      </w:r>
    </w:p>
    <w:p w14:paraId="2B038A0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18.5.2 保险凭证</w:t>
      </w:r>
    </w:p>
    <w:p w14:paraId="2E9B34A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保险单的条件</w:t>
      </w:r>
      <w:r>
        <w:rPr>
          <w:rFonts w:hint="eastAsia" w:ascii="方正仿宋_GB2312" w:hAnsi="方正仿宋_GB2312" w:eastAsia="方正仿宋_GB2312" w:cs="方正仿宋_GB2312"/>
          <w:color w:val="auto"/>
          <w:szCs w:val="21"/>
          <w:highlight w:val="none"/>
          <w:lang w:eastAsia="zh-CN"/>
        </w:rPr>
        <w:t>：</w:t>
      </w:r>
    </w:p>
    <w:p w14:paraId="4FEB676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18.5.4 通知义务</w:t>
      </w:r>
    </w:p>
    <w:p w14:paraId="1BF86F0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关于变更保险合同时的通知义务的约定</w:t>
      </w:r>
      <w:r>
        <w:rPr>
          <w:rFonts w:hint="eastAsia" w:ascii="方正仿宋_GB2312" w:hAnsi="方正仿宋_GB2312" w:eastAsia="方正仿宋_GB2312" w:cs="方正仿宋_GB2312"/>
          <w:color w:val="auto"/>
          <w:szCs w:val="21"/>
          <w:highlight w:val="none"/>
          <w:lang w:eastAsia="zh-CN"/>
        </w:rPr>
        <w:t>：</w:t>
      </w:r>
    </w:p>
    <w:p w14:paraId="75CBB33C">
      <w:pPr>
        <w:keepNext w:val="0"/>
        <w:keepLines w:val="0"/>
        <w:widowControl w:val="0"/>
        <w:tabs>
          <w:tab w:val="left" w:pos="993"/>
        </w:tabs>
        <w:spacing w:before="0" w:after="0" w:line="360" w:lineRule="auto"/>
        <w:jc w:val="left"/>
        <w:outlineLvl w:val="1"/>
        <w:rPr>
          <w:rFonts w:hint="eastAsia" w:ascii="方正仿宋_GB2312" w:hAnsi="方正仿宋_GB2312" w:eastAsia="方正仿宋_GB2312" w:cs="方正仿宋_GB2312"/>
          <w:b w:val="0"/>
          <w:bCs/>
          <w:color w:val="auto"/>
          <w:kern w:val="2"/>
          <w:sz w:val="28"/>
          <w:szCs w:val="28"/>
          <w:highlight w:val="none"/>
          <w:lang w:val="zh-CN" w:eastAsia="zh-CN" w:bidi="ar-SA"/>
        </w:rPr>
      </w:pPr>
      <w:bookmarkStart w:id="1500" w:name="_Toc54862350"/>
      <w:bookmarkStart w:id="1501" w:name="_Toc30502"/>
      <w:r>
        <w:rPr>
          <w:rFonts w:hint="eastAsia" w:ascii="方正仿宋_GB2312" w:hAnsi="方正仿宋_GB2312" w:eastAsia="方正仿宋_GB2312" w:cs="方正仿宋_GB2312"/>
          <w:b w:val="0"/>
          <w:bCs/>
          <w:color w:val="auto"/>
          <w:kern w:val="2"/>
          <w:sz w:val="28"/>
          <w:szCs w:val="28"/>
          <w:highlight w:val="none"/>
          <w:lang w:val="zh-CN" w:eastAsia="zh-CN" w:bidi="ar-SA"/>
        </w:rPr>
        <w:t>第20条 争议解决</w:t>
      </w:r>
      <w:bookmarkEnd w:id="1500"/>
      <w:bookmarkEnd w:id="1501"/>
    </w:p>
    <w:p w14:paraId="01CCE01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20.3 争议评审</w:t>
      </w:r>
    </w:p>
    <w:p w14:paraId="6C9BDD0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合同当事人是否同意将工程争议提交争议评审小组决定： 。</w:t>
      </w:r>
    </w:p>
    <w:p w14:paraId="0FB2118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20.3.1 争议评审小组的确定</w:t>
      </w:r>
    </w:p>
    <w:p w14:paraId="2E4A73F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争议评审小组成员的人数</w:t>
      </w:r>
      <w:r>
        <w:rPr>
          <w:rFonts w:hint="eastAsia" w:ascii="方正仿宋_GB2312" w:hAnsi="方正仿宋_GB2312" w:eastAsia="方正仿宋_GB2312" w:cs="方正仿宋_GB2312"/>
          <w:color w:val="auto"/>
          <w:szCs w:val="21"/>
          <w:highlight w:val="none"/>
          <w:lang w:eastAsia="zh-CN"/>
        </w:rPr>
        <w:t>：</w:t>
      </w:r>
    </w:p>
    <w:p w14:paraId="50DBC32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争议评审小组成员的确定</w:t>
      </w:r>
      <w:r>
        <w:rPr>
          <w:rFonts w:hint="eastAsia" w:ascii="方正仿宋_GB2312" w:hAnsi="方正仿宋_GB2312" w:eastAsia="方正仿宋_GB2312" w:cs="方正仿宋_GB2312"/>
          <w:color w:val="auto"/>
          <w:szCs w:val="21"/>
          <w:highlight w:val="none"/>
          <w:lang w:eastAsia="zh-CN"/>
        </w:rPr>
        <w:t>：</w:t>
      </w:r>
    </w:p>
    <w:p w14:paraId="0E1C7C2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选定争议避免/评审组的期限</w:t>
      </w:r>
      <w:r>
        <w:rPr>
          <w:rFonts w:hint="eastAsia" w:ascii="方正仿宋_GB2312" w:hAnsi="方正仿宋_GB2312" w:eastAsia="方正仿宋_GB2312" w:cs="方正仿宋_GB2312"/>
          <w:color w:val="auto"/>
          <w:szCs w:val="21"/>
          <w:highlight w:val="none"/>
          <w:lang w:eastAsia="zh-CN"/>
        </w:rPr>
        <w:t>：</w:t>
      </w:r>
    </w:p>
    <w:p w14:paraId="4EFE623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评审机构</w:t>
      </w:r>
      <w:r>
        <w:rPr>
          <w:rFonts w:hint="eastAsia" w:ascii="方正仿宋_GB2312" w:hAnsi="方正仿宋_GB2312" w:eastAsia="方正仿宋_GB2312" w:cs="方正仿宋_GB2312"/>
          <w:color w:val="auto"/>
          <w:szCs w:val="21"/>
          <w:highlight w:val="none"/>
          <w:lang w:eastAsia="zh-CN"/>
        </w:rPr>
        <w:t>：</w:t>
      </w:r>
    </w:p>
    <w:p w14:paraId="7CEBFEA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其他事项的约定</w:t>
      </w:r>
      <w:r>
        <w:rPr>
          <w:rFonts w:hint="eastAsia" w:ascii="方正仿宋_GB2312" w:hAnsi="方正仿宋_GB2312" w:eastAsia="方正仿宋_GB2312" w:cs="方正仿宋_GB2312"/>
          <w:color w:val="auto"/>
          <w:szCs w:val="21"/>
          <w:highlight w:val="none"/>
          <w:lang w:eastAsia="zh-CN"/>
        </w:rPr>
        <w:t>：</w:t>
      </w:r>
    </w:p>
    <w:p w14:paraId="0C8BECE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争议评审员报酬的承担人</w:t>
      </w:r>
      <w:r>
        <w:rPr>
          <w:rFonts w:hint="eastAsia" w:ascii="方正仿宋_GB2312" w:hAnsi="方正仿宋_GB2312" w:eastAsia="方正仿宋_GB2312" w:cs="方正仿宋_GB2312"/>
          <w:color w:val="auto"/>
          <w:szCs w:val="21"/>
          <w:highlight w:val="none"/>
          <w:lang w:eastAsia="zh-CN"/>
        </w:rPr>
        <w:t>：</w:t>
      </w:r>
    </w:p>
    <w:p w14:paraId="23B6528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20.3.2 争议的避免</w:t>
      </w:r>
    </w:p>
    <w:p w14:paraId="6C823C1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发包人和承包人是否均出席争议避免的非正式讨论</w:t>
      </w:r>
      <w:r>
        <w:rPr>
          <w:rFonts w:hint="eastAsia" w:ascii="方正仿宋_GB2312" w:hAnsi="方正仿宋_GB2312" w:eastAsia="方正仿宋_GB2312" w:cs="方正仿宋_GB2312"/>
          <w:color w:val="auto"/>
          <w:szCs w:val="21"/>
          <w:highlight w:val="none"/>
          <w:lang w:eastAsia="zh-CN"/>
        </w:rPr>
        <w:t>：</w:t>
      </w:r>
    </w:p>
    <w:p w14:paraId="19E1132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20.3.3 争议评审小组的决定</w:t>
      </w:r>
    </w:p>
    <w:p w14:paraId="4765F8B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关于争议评审小组的决定的特别约定</w:t>
      </w:r>
      <w:r>
        <w:rPr>
          <w:rFonts w:hint="eastAsia" w:ascii="方正仿宋_GB2312" w:hAnsi="方正仿宋_GB2312" w:eastAsia="方正仿宋_GB2312" w:cs="方正仿宋_GB2312"/>
          <w:color w:val="auto"/>
          <w:szCs w:val="21"/>
          <w:highlight w:val="none"/>
          <w:lang w:eastAsia="zh-CN"/>
        </w:rPr>
        <w:t>：</w:t>
      </w:r>
    </w:p>
    <w:p w14:paraId="667C37D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20.4 仲裁或诉讼</w:t>
      </w:r>
    </w:p>
    <w:p w14:paraId="2FF6B95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因合同及合同有关事项发生的争议，按</w:t>
      </w:r>
      <w:r>
        <w:rPr>
          <w:rFonts w:hint="eastAsia" w:ascii="方正仿宋_GB2312" w:hAnsi="方正仿宋_GB2312" w:eastAsia="方正仿宋_GB2312" w:cs="方正仿宋_GB2312"/>
          <w:color w:val="auto"/>
          <w:szCs w:val="21"/>
          <w:highlight w:val="none"/>
          <w:lang w:eastAsia="zh-CN"/>
        </w:rPr>
        <w:t>下列第几种方式</w:t>
      </w:r>
      <w:r>
        <w:rPr>
          <w:rFonts w:hint="eastAsia" w:ascii="方正仿宋_GB2312" w:hAnsi="方正仿宋_GB2312" w:eastAsia="方正仿宋_GB2312" w:cs="方正仿宋_GB2312"/>
          <w:color w:val="auto"/>
          <w:szCs w:val="21"/>
          <w:highlight w:val="none"/>
        </w:rPr>
        <w:t>解决：</w:t>
      </w:r>
    </w:p>
    <w:p w14:paraId="21B93EB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（1）向仲裁委员会申请仲裁；</w:t>
      </w:r>
    </w:p>
    <w:p w14:paraId="5FC958E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（2）向人民法院起诉。</w:t>
      </w:r>
    </w:p>
    <w:p w14:paraId="3542B3E6">
      <w:pPr>
        <w:spacing w:line="360" w:lineRule="auto"/>
        <w:ind w:firstLine="600"/>
        <w:rPr>
          <w:rFonts w:hint="eastAsia" w:ascii="方正仿宋_GB2312" w:hAnsi="方正仿宋_GB2312" w:eastAsia="方正仿宋_GB2312" w:cs="方正仿宋_GB2312"/>
          <w:color w:val="auto"/>
          <w:highlight w:val="none"/>
        </w:rPr>
        <w:sectPr>
          <w:headerReference r:id="rId5" w:type="default"/>
          <w:footerReference r:id="rId6" w:type="default"/>
          <w:pgSz w:w="11906" w:h="16838"/>
          <w:pgMar w:top="1440" w:right="1417" w:bottom="1440" w:left="1417" w:header="720" w:footer="998" w:gutter="0"/>
          <w:pgNumType w:fmt="decimal" w:start="1"/>
          <w:cols w:space="720" w:num="1"/>
          <w:docGrid w:linePitch="326" w:charSpace="0"/>
        </w:sectPr>
      </w:pPr>
    </w:p>
    <w:p w14:paraId="74BA781C">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02" w:name="_Toc22178"/>
      <w:bookmarkStart w:id="1503" w:name="_Toc54862352"/>
      <w:bookmarkStart w:id="1504" w:name="_Hlk38571789"/>
      <w:r>
        <w:rPr>
          <w:rFonts w:hint="eastAsia" w:ascii="方正仿宋_GB2312" w:hAnsi="方正仿宋_GB2312" w:eastAsia="方正仿宋_GB2312" w:cs="方正仿宋_GB2312"/>
          <w:b/>
          <w:bCs/>
          <w:color w:val="auto"/>
          <w:kern w:val="2"/>
          <w:sz w:val="28"/>
          <w:szCs w:val="28"/>
          <w:highlight w:val="none"/>
          <w:lang w:val="zh-CN" w:eastAsia="zh-CN" w:bidi="ar-SA"/>
        </w:rPr>
        <w:t>附件1《发包人要求》</w:t>
      </w:r>
      <w:bookmarkEnd w:id="1502"/>
      <w:bookmarkEnd w:id="1503"/>
    </w:p>
    <w:bookmarkEnd w:id="1504"/>
    <w:p w14:paraId="1625758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w:t>
      </w:r>
      <w:r>
        <w:rPr>
          <w:rFonts w:hint="eastAsia" w:ascii="方正仿宋_GB2312" w:hAnsi="方正仿宋_GB2312" w:eastAsia="方正仿宋_GB2312" w:cs="方正仿宋_GB2312"/>
          <w:color w:val="auto"/>
          <w:szCs w:val="21"/>
          <w:highlight w:val="none"/>
          <w:lang w:eastAsia="zh-CN"/>
        </w:rPr>
        <w:t>应予</w:t>
      </w:r>
      <w:r>
        <w:rPr>
          <w:rFonts w:hint="eastAsia" w:ascii="方正仿宋_GB2312" w:hAnsi="方正仿宋_GB2312" w:eastAsia="方正仿宋_GB2312" w:cs="方正仿宋_GB2312"/>
          <w:color w:val="auto"/>
          <w:szCs w:val="21"/>
          <w:highlight w:val="none"/>
        </w:rPr>
        <w:t>明确规定。</w:t>
      </w:r>
    </w:p>
    <w:p w14:paraId="02C50E6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《发包人要求》通常包括但不限于以下内容：</w:t>
      </w:r>
    </w:p>
    <w:p w14:paraId="68AD6F8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一、功能要求</w:t>
      </w:r>
    </w:p>
    <w:p w14:paraId="27DBA0E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（一）工程目的。</w:t>
      </w:r>
    </w:p>
    <w:p w14:paraId="0BAB3F4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（二）工程规模。</w:t>
      </w:r>
    </w:p>
    <w:p w14:paraId="7F263D5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（三）性能保证指标（性能保证表）。</w:t>
      </w:r>
    </w:p>
    <w:p w14:paraId="403B314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（四）产能保证指标。</w:t>
      </w:r>
    </w:p>
    <w:p w14:paraId="62EEFC6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二、工程范围</w:t>
      </w:r>
    </w:p>
    <w:p w14:paraId="14B0D14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（一）概述</w:t>
      </w:r>
    </w:p>
    <w:p w14:paraId="1ACD5A2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（二）包括的工作</w:t>
      </w:r>
    </w:p>
    <w:p w14:paraId="5C0EC56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永久工程的设计、采购、施工范围。</w:t>
      </w:r>
    </w:p>
    <w:p w14:paraId="1F4F94A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临时工程的设计与施工范围。</w:t>
      </w:r>
    </w:p>
    <w:p w14:paraId="1D75914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竣工验收工作范围。</w:t>
      </w:r>
    </w:p>
    <w:p w14:paraId="39EF4FC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 技术服务工作范围。</w:t>
      </w:r>
    </w:p>
    <w:p w14:paraId="63720E0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5. 培训工作范围。</w:t>
      </w:r>
    </w:p>
    <w:p w14:paraId="5B1A520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6. 保修工作范围。</w:t>
      </w:r>
    </w:p>
    <w:p w14:paraId="077BA69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（三）工作界区</w:t>
      </w:r>
    </w:p>
    <w:p w14:paraId="0F842B0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（四）发包人提供的现场条件</w:t>
      </w:r>
    </w:p>
    <w:p w14:paraId="574DB9E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施工用电。</w:t>
      </w:r>
    </w:p>
    <w:p w14:paraId="1A8D4A2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施工用水。</w:t>
      </w:r>
    </w:p>
    <w:p w14:paraId="2B3F48D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3. 施工排水。</w:t>
      </w:r>
    </w:p>
    <w:p w14:paraId="74BB79F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4.施工道路。</w:t>
      </w:r>
    </w:p>
    <w:p w14:paraId="7D4F2CC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（五）发包人提供的技术文件</w:t>
      </w:r>
    </w:p>
    <w:p w14:paraId="7B4E34B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除另有批准外，承包人的工作需要遵照发包人的下列技术文件</w:t>
      </w:r>
      <w:r>
        <w:rPr>
          <w:rFonts w:hint="eastAsia" w:ascii="方正仿宋_GB2312" w:hAnsi="方正仿宋_GB2312" w:eastAsia="方正仿宋_GB2312" w:cs="方正仿宋_GB2312"/>
          <w:color w:val="auto"/>
          <w:szCs w:val="21"/>
          <w:highlight w:val="none"/>
          <w:lang w:eastAsia="zh-CN"/>
        </w:rPr>
        <w:t>：</w:t>
      </w:r>
    </w:p>
    <w:p w14:paraId="3A22BF8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1. 发包人需求任务书。</w:t>
      </w:r>
    </w:p>
    <w:p w14:paraId="2A8F2E7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2. 发包人已完成的设计文件。</w:t>
      </w:r>
    </w:p>
    <w:p w14:paraId="544E170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三、工艺安排或要求（如有）</w:t>
      </w:r>
    </w:p>
    <w:p w14:paraId="703555B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四、时间要求</w:t>
      </w:r>
    </w:p>
    <w:p w14:paraId="32212E9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（一）开始工作时间。</w:t>
      </w:r>
    </w:p>
    <w:p w14:paraId="79AF7AE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（二）设计完成时间。</w:t>
      </w:r>
    </w:p>
    <w:p w14:paraId="6B52812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（三）进度计划。</w:t>
      </w:r>
    </w:p>
    <w:p w14:paraId="25BF68A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（四）竣工时间。</w:t>
      </w:r>
    </w:p>
    <w:p w14:paraId="1F04F59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（五）缺陷责任期。</w:t>
      </w:r>
    </w:p>
    <w:p w14:paraId="478C81C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（六）其他时间要求。</w:t>
      </w:r>
    </w:p>
    <w:p w14:paraId="3F2560B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五、技术要求</w:t>
      </w:r>
    </w:p>
    <w:p w14:paraId="044A669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（一）设计阶段和设计任务。</w:t>
      </w:r>
    </w:p>
    <w:p w14:paraId="189AFCF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（二）设计标准和规范。</w:t>
      </w:r>
    </w:p>
    <w:p w14:paraId="1CC12E2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（三）技术标准和要求。</w:t>
      </w:r>
    </w:p>
    <w:p w14:paraId="6325CE9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（四）质量标准。</w:t>
      </w:r>
    </w:p>
    <w:p w14:paraId="169428D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（五）设计、施工和设备监造、试验（如有）。</w:t>
      </w:r>
    </w:p>
    <w:p w14:paraId="3A759E4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（六）样品。</w:t>
      </w:r>
    </w:p>
    <w:p w14:paraId="3EDAF2C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（七）发包人提供的其他条件，如发包人或其委托的第三人提供的设计、工艺包、用于试验检验的工器具等，以及据此对承包人提出的予以配套的要求。</w:t>
      </w:r>
    </w:p>
    <w:p w14:paraId="6883481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六、竣工试验</w:t>
      </w:r>
    </w:p>
    <w:p w14:paraId="231CB42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（一）第一阶段，如对单车试验等的要求，包括试验前准备。</w:t>
      </w:r>
    </w:p>
    <w:p w14:paraId="5CD1535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（二）第二阶段</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对联动试车、投料试车等的要求，包括人员、设备、材料、燃料、电力、消耗品、工具等必要条件。</w:t>
      </w:r>
    </w:p>
    <w:p w14:paraId="15B574B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（三）第三阶段</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对性能测试及其他竣工试验的要求，包括产能指标、产品质量标准、运营指标、环保指标等。</w:t>
      </w:r>
    </w:p>
    <w:p w14:paraId="1E80803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七、竣工验收</w:t>
      </w:r>
    </w:p>
    <w:p w14:paraId="0F84AE2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八、竣工后试验（如有）</w:t>
      </w:r>
    </w:p>
    <w:p w14:paraId="081ABC2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九、文件要求</w:t>
      </w:r>
    </w:p>
    <w:p w14:paraId="69BC7D8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（一）设计文件，及其相关审批、核准、备案要求。</w:t>
      </w:r>
    </w:p>
    <w:p w14:paraId="0721F6D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（二）沟通计划。</w:t>
      </w:r>
    </w:p>
    <w:p w14:paraId="7B8E1AE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（三）风险管理计划。</w:t>
      </w:r>
    </w:p>
    <w:p w14:paraId="48BF81B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（四）竣工文件和工程的其他记录。</w:t>
      </w:r>
    </w:p>
    <w:p w14:paraId="486FB3D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（五）操作和维修手册。</w:t>
      </w:r>
    </w:p>
    <w:p w14:paraId="393F82B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（六）其他承包人文件。</w:t>
      </w:r>
    </w:p>
    <w:p w14:paraId="5E58714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十、工程项目管理规定</w:t>
      </w:r>
    </w:p>
    <w:p w14:paraId="5DB2AA7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（一）质量。</w:t>
      </w:r>
    </w:p>
    <w:p w14:paraId="53F72E4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（二）进度，包括里程碑进度计划（如果有）。</w:t>
      </w:r>
    </w:p>
    <w:p w14:paraId="631AF1A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（三）支付。</w:t>
      </w:r>
    </w:p>
    <w:p w14:paraId="7B36936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（四）HSE（健康、安全与环境管理体系）。</w:t>
      </w:r>
    </w:p>
    <w:p w14:paraId="39B20C5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（五）沟通。</w:t>
      </w:r>
    </w:p>
    <w:p w14:paraId="6F6EA6F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（六）变更。</w:t>
      </w:r>
    </w:p>
    <w:p w14:paraId="387DF2C2">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十一、其他要求</w:t>
      </w:r>
    </w:p>
    <w:p w14:paraId="3BC1BB2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（一）对承包人的主要人员资格要求。</w:t>
      </w:r>
    </w:p>
    <w:p w14:paraId="1B9665B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（二）相关审批、核准和备案手续的办理。</w:t>
      </w:r>
    </w:p>
    <w:p w14:paraId="79BCA26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（三）对项目业主人员的操作培训。</w:t>
      </w:r>
    </w:p>
    <w:p w14:paraId="16808E30">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（四）分包。</w:t>
      </w:r>
    </w:p>
    <w:p w14:paraId="0C0AA0D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（五）设备供应商。</w:t>
      </w:r>
    </w:p>
    <w:p w14:paraId="1F2F54E4">
      <w:pPr>
        <w:spacing w:after="0" w:line="360" w:lineRule="auto"/>
        <w:ind w:left="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（六）缺陷责任期的服务要求。</w:t>
      </w:r>
    </w:p>
    <w:p w14:paraId="1E0727A6">
      <w:pPr>
        <w:spacing w:after="0" w:line="360" w:lineRule="auto"/>
        <w:jc w:val="left"/>
        <w:rPr>
          <w:rFonts w:hint="eastAsia" w:ascii="方正仿宋_GB2312" w:hAnsi="方正仿宋_GB2312" w:eastAsia="方正仿宋_GB2312" w:cs="方正仿宋_GB2312"/>
          <w:color w:val="auto"/>
          <w:szCs w:val="21"/>
          <w:highlight w:val="none"/>
        </w:rPr>
      </w:pPr>
    </w:p>
    <w:p w14:paraId="6644DA73">
      <w:pPr>
        <w:spacing w:after="0" w:line="360" w:lineRule="auto"/>
        <w:jc w:val="left"/>
        <w:rPr>
          <w:rFonts w:hint="eastAsia" w:ascii="方正仿宋_GB2312" w:hAnsi="方正仿宋_GB2312" w:eastAsia="方正仿宋_GB2312" w:cs="方正仿宋_GB2312"/>
          <w:color w:val="auto"/>
          <w:szCs w:val="21"/>
          <w:highlight w:val="none"/>
        </w:rPr>
      </w:pPr>
    </w:p>
    <w:p w14:paraId="5A35A7A8">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2F15FC80">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0FA86E99">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4BA5ACF6">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23F1F37F">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25E925E9">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230E6DD7">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6B3F88F3">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43405343">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0F4BF17D">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71C5C0C8">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05" w:name="_Toc20171894"/>
      <w:bookmarkStart w:id="1506" w:name="_Toc54862353"/>
      <w:bookmarkStart w:id="1507" w:name="_Toc26648"/>
      <w:r>
        <w:rPr>
          <w:rFonts w:hint="eastAsia" w:ascii="方正仿宋_GB2312" w:hAnsi="方正仿宋_GB2312" w:eastAsia="方正仿宋_GB2312" w:cs="方正仿宋_GB2312"/>
          <w:b/>
          <w:bCs/>
          <w:color w:val="auto"/>
          <w:kern w:val="2"/>
          <w:sz w:val="28"/>
          <w:szCs w:val="28"/>
          <w:highlight w:val="none"/>
          <w:lang w:val="zh-CN" w:eastAsia="zh-CN" w:bidi="ar-SA"/>
        </w:rPr>
        <w:t>附件2 发包人供应材料设备一览表</w:t>
      </w:r>
      <w:bookmarkEnd w:id="1505"/>
      <w:bookmarkEnd w:id="1506"/>
      <w:bookmarkEnd w:id="1507"/>
    </w:p>
    <w:tbl>
      <w:tblPr>
        <w:tblStyle w:val="28"/>
        <w:tblW w:w="91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0B9C0D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vAlign w:val="center"/>
          </w:tcPr>
          <w:p w14:paraId="4D015D25">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序号</w:t>
            </w:r>
          </w:p>
        </w:tc>
        <w:tc>
          <w:tcPr>
            <w:tcW w:w="1165" w:type="dxa"/>
            <w:tcBorders>
              <w:top w:val="single" w:color="auto" w:sz="12" w:space="0"/>
              <w:bottom w:val="double" w:color="auto" w:sz="6" w:space="0"/>
            </w:tcBorders>
            <w:vAlign w:val="center"/>
          </w:tcPr>
          <w:p w14:paraId="2A9FE56F">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材料、设备品种</w:t>
            </w:r>
          </w:p>
        </w:tc>
        <w:tc>
          <w:tcPr>
            <w:tcW w:w="1126" w:type="dxa"/>
            <w:tcBorders>
              <w:top w:val="single" w:color="auto" w:sz="12" w:space="0"/>
              <w:bottom w:val="double" w:color="auto" w:sz="6" w:space="0"/>
            </w:tcBorders>
            <w:vAlign w:val="center"/>
          </w:tcPr>
          <w:p w14:paraId="3E91985A">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规格型号</w:t>
            </w:r>
          </w:p>
        </w:tc>
        <w:tc>
          <w:tcPr>
            <w:tcW w:w="567" w:type="dxa"/>
            <w:tcBorders>
              <w:top w:val="single" w:color="auto" w:sz="12" w:space="0"/>
              <w:bottom w:val="double" w:color="auto" w:sz="6" w:space="0"/>
            </w:tcBorders>
            <w:vAlign w:val="center"/>
          </w:tcPr>
          <w:p w14:paraId="62ED7B8B">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单位</w:t>
            </w:r>
          </w:p>
        </w:tc>
        <w:tc>
          <w:tcPr>
            <w:tcW w:w="686" w:type="dxa"/>
            <w:tcBorders>
              <w:top w:val="single" w:color="auto" w:sz="12" w:space="0"/>
              <w:bottom w:val="double" w:color="auto" w:sz="6" w:space="0"/>
            </w:tcBorders>
            <w:vAlign w:val="center"/>
          </w:tcPr>
          <w:p w14:paraId="1848F27D">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数量</w:t>
            </w:r>
          </w:p>
        </w:tc>
        <w:tc>
          <w:tcPr>
            <w:tcW w:w="992" w:type="dxa"/>
            <w:tcBorders>
              <w:top w:val="single" w:color="auto" w:sz="12" w:space="0"/>
              <w:bottom w:val="double" w:color="auto" w:sz="6" w:space="0"/>
            </w:tcBorders>
            <w:vAlign w:val="center"/>
          </w:tcPr>
          <w:p w14:paraId="5F071F65">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单价（元）</w:t>
            </w:r>
          </w:p>
        </w:tc>
        <w:tc>
          <w:tcPr>
            <w:tcW w:w="1134" w:type="dxa"/>
            <w:tcBorders>
              <w:top w:val="single" w:color="auto" w:sz="12" w:space="0"/>
              <w:bottom w:val="double" w:color="auto" w:sz="6" w:space="0"/>
            </w:tcBorders>
            <w:vAlign w:val="center"/>
          </w:tcPr>
          <w:p w14:paraId="20269EA7">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质量等级</w:t>
            </w:r>
          </w:p>
        </w:tc>
        <w:tc>
          <w:tcPr>
            <w:tcW w:w="1134" w:type="dxa"/>
            <w:tcBorders>
              <w:top w:val="single" w:color="auto" w:sz="12" w:space="0"/>
              <w:bottom w:val="double" w:color="auto" w:sz="6" w:space="0"/>
            </w:tcBorders>
            <w:vAlign w:val="center"/>
          </w:tcPr>
          <w:p w14:paraId="37B21ACF">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供应时间</w:t>
            </w:r>
          </w:p>
        </w:tc>
        <w:tc>
          <w:tcPr>
            <w:tcW w:w="1134" w:type="dxa"/>
            <w:tcBorders>
              <w:top w:val="single" w:color="auto" w:sz="12" w:space="0"/>
              <w:bottom w:val="double" w:color="auto" w:sz="6" w:space="0"/>
            </w:tcBorders>
            <w:vAlign w:val="center"/>
          </w:tcPr>
          <w:p w14:paraId="3E09F27A">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送达地点</w:t>
            </w:r>
          </w:p>
        </w:tc>
        <w:tc>
          <w:tcPr>
            <w:tcW w:w="709" w:type="dxa"/>
            <w:tcBorders>
              <w:top w:val="single" w:color="auto" w:sz="12" w:space="0"/>
              <w:bottom w:val="double" w:color="auto" w:sz="6" w:space="0"/>
            </w:tcBorders>
            <w:vAlign w:val="center"/>
          </w:tcPr>
          <w:p w14:paraId="53F43B72">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备注</w:t>
            </w:r>
          </w:p>
        </w:tc>
      </w:tr>
      <w:tr w14:paraId="01DEE3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vAlign w:val="center"/>
          </w:tcPr>
          <w:p w14:paraId="02AA87A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tcBorders>
              <w:top w:val="double" w:color="auto" w:sz="6" w:space="0"/>
              <w:bottom w:val="single" w:color="auto" w:sz="6" w:space="0"/>
            </w:tcBorders>
            <w:vAlign w:val="center"/>
          </w:tcPr>
          <w:p w14:paraId="5A09607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tcBorders>
              <w:top w:val="double" w:color="auto" w:sz="6" w:space="0"/>
              <w:bottom w:val="single" w:color="auto" w:sz="6" w:space="0"/>
            </w:tcBorders>
            <w:vAlign w:val="center"/>
          </w:tcPr>
          <w:p w14:paraId="74A6DA1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tcBorders>
              <w:top w:val="double" w:color="auto" w:sz="6" w:space="0"/>
              <w:bottom w:val="single" w:color="auto" w:sz="6" w:space="0"/>
            </w:tcBorders>
            <w:vAlign w:val="center"/>
          </w:tcPr>
          <w:p w14:paraId="535133E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tcBorders>
              <w:top w:val="double" w:color="auto" w:sz="6" w:space="0"/>
              <w:bottom w:val="single" w:color="auto" w:sz="6" w:space="0"/>
            </w:tcBorders>
            <w:vAlign w:val="center"/>
          </w:tcPr>
          <w:p w14:paraId="7AAA766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Borders>
              <w:top w:val="double" w:color="auto" w:sz="6" w:space="0"/>
              <w:bottom w:val="single" w:color="auto" w:sz="6" w:space="0"/>
            </w:tcBorders>
          </w:tcPr>
          <w:p w14:paraId="45CDA59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double" w:color="auto" w:sz="6" w:space="0"/>
              <w:bottom w:val="single" w:color="auto" w:sz="6" w:space="0"/>
            </w:tcBorders>
            <w:vAlign w:val="center"/>
          </w:tcPr>
          <w:p w14:paraId="26CEFBF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double" w:color="auto" w:sz="6" w:space="0"/>
              <w:bottom w:val="single" w:color="auto" w:sz="6" w:space="0"/>
            </w:tcBorders>
            <w:vAlign w:val="center"/>
          </w:tcPr>
          <w:p w14:paraId="1515825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double" w:color="auto" w:sz="6" w:space="0"/>
              <w:bottom w:val="single" w:color="auto" w:sz="6" w:space="0"/>
            </w:tcBorders>
            <w:vAlign w:val="center"/>
          </w:tcPr>
          <w:p w14:paraId="039D043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tcBorders>
              <w:top w:val="double" w:color="auto" w:sz="6" w:space="0"/>
              <w:bottom w:val="single" w:color="auto" w:sz="6" w:space="0"/>
            </w:tcBorders>
            <w:vAlign w:val="center"/>
          </w:tcPr>
          <w:p w14:paraId="2CC1312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CA73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vAlign w:val="center"/>
          </w:tcPr>
          <w:p w14:paraId="0B12071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tcBorders>
              <w:top w:val="nil"/>
            </w:tcBorders>
            <w:vAlign w:val="center"/>
          </w:tcPr>
          <w:p w14:paraId="026CC70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tcBorders>
              <w:top w:val="nil"/>
            </w:tcBorders>
            <w:vAlign w:val="center"/>
          </w:tcPr>
          <w:p w14:paraId="20A3B77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tcBorders>
              <w:top w:val="nil"/>
            </w:tcBorders>
            <w:vAlign w:val="center"/>
          </w:tcPr>
          <w:p w14:paraId="6C079AF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tcBorders>
              <w:top w:val="nil"/>
            </w:tcBorders>
            <w:vAlign w:val="center"/>
          </w:tcPr>
          <w:p w14:paraId="313F1E1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Borders>
              <w:top w:val="nil"/>
            </w:tcBorders>
          </w:tcPr>
          <w:p w14:paraId="642251F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nil"/>
            </w:tcBorders>
            <w:vAlign w:val="center"/>
          </w:tcPr>
          <w:p w14:paraId="799B8C4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nil"/>
            </w:tcBorders>
            <w:vAlign w:val="center"/>
          </w:tcPr>
          <w:p w14:paraId="30D68F0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nil"/>
            </w:tcBorders>
            <w:vAlign w:val="center"/>
          </w:tcPr>
          <w:p w14:paraId="1ACEEE3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tcBorders>
              <w:top w:val="nil"/>
            </w:tcBorders>
            <w:vAlign w:val="center"/>
          </w:tcPr>
          <w:p w14:paraId="2442E02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2FDF6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1000A19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77818C4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44B9A20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7C8962A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6F2D3E2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5516956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4EE779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DF7085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B98179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014D4E2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2D32C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15B1210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1EC69E7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63EEFCB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1A57FFF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76C000E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3B4C327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FB7247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730266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2B06DB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4B3A6B2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3CCC5B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1308FF5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3582938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059FBE9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73BBB3D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05CD349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434D815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9E3181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7F8F62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CD3E7D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30953F0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1C7813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4C49FFB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2277B8A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2E89B78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6E4DC6F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49B0D1E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00E3706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96FCBB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3C88F7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3B612B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6071D01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5F878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0BF3101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392A8C9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045B256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6DA7C29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1904FA7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2E6BAB5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77E482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B498EA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FB523E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6345BAD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3FA78A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504B892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00A2C25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234C729B">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2A7D548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5525959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68FE462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96762F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BEC46A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54B9FB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0D2C02A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1154D7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467A05D4">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4D0AAEE3">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21BD5C6F">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16C662DC">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4C6627E8">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4C523DC8">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2C267D9E">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33794848">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7174C99C">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5D398FE6">
            <w:pPr>
              <w:spacing w:after="0" w:line="360" w:lineRule="auto"/>
              <w:rPr>
                <w:rFonts w:hint="eastAsia" w:ascii="方正仿宋_GB2312" w:hAnsi="方正仿宋_GB2312" w:eastAsia="方正仿宋_GB2312" w:cs="方正仿宋_GB2312"/>
                <w:color w:val="auto"/>
                <w:szCs w:val="21"/>
                <w:highlight w:val="none"/>
              </w:rPr>
            </w:pPr>
          </w:p>
        </w:tc>
      </w:tr>
      <w:tr w14:paraId="57FCA1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5F49EC0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65" w:type="dxa"/>
            <w:vAlign w:val="center"/>
          </w:tcPr>
          <w:p w14:paraId="162E102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26" w:type="dxa"/>
            <w:vAlign w:val="center"/>
          </w:tcPr>
          <w:p w14:paraId="71DBF68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567" w:type="dxa"/>
            <w:vAlign w:val="center"/>
          </w:tcPr>
          <w:p w14:paraId="4634950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686" w:type="dxa"/>
            <w:vAlign w:val="center"/>
          </w:tcPr>
          <w:p w14:paraId="4EA5E43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992" w:type="dxa"/>
          </w:tcPr>
          <w:p w14:paraId="01338B9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19BF0D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133661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0CB469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709" w:type="dxa"/>
            <w:vAlign w:val="center"/>
          </w:tcPr>
          <w:p w14:paraId="185F11F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1DB65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3E8FFBEF">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7BC439A1">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6084BECB">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0DF7483C">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67D4E2C0">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5457EB2D">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7680BE3F">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47B290EC">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547427F4">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4F5BFFBD">
            <w:pPr>
              <w:spacing w:after="0" w:line="360" w:lineRule="auto"/>
              <w:rPr>
                <w:rFonts w:hint="eastAsia" w:ascii="方正仿宋_GB2312" w:hAnsi="方正仿宋_GB2312" w:eastAsia="方正仿宋_GB2312" w:cs="方正仿宋_GB2312"/>
                <w:color w:val="auto"/>
                <w:szCs w:val="21"/>
                <w:highlight w:val="none"/>
              </w:rPr>
            </w:pPr>
          </w:p>
        </w:tc>
      </w:tr>
      <w:tr w14:paraId="5B37C0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78D8E4E">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38CBA780">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33D917BB">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62A610F9">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72E6C295">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4DC057B5">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313A38A1">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477D6A26">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4ADEACDF">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78AE99D2">
            <w:pPr>
              <w:spacing w:after="0" w:line="360" w:lineRule="auto"/>
              <w:rPr>
                <w:rFonts w:hint="eastAsia" w:ascii="方正仿宋_GB2312" w:hAnsi="方正仿宋_GB2312" w:eastAsia="方正仿宋_GB2312" w:cs="方正仿宋_GB2312"/>
                <w:color w:val="auto"/>
                <w:szCs w:val="21"/>
                <w:highlight w:val="none"/>
              </w:rPr>
            </w:pPr>
          </w:p>
        </w:tc>
      </w:tr>
      <w:tr w14:paraId="274C3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2EA101DE">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25516E17">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341B3EC3">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231F960A">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4496EE27">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35CCBFE0">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46C5ED4A">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12034444">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735FDDEE">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79E3D567">
            <w:pPr>
              <w:spacing w:after="0" w:line="360" w:lineRule="auto"/>
              <w:rPr>
                <w:rFonts w:hint="eastAsia" w:ascii="方正仿宋_GB2312" w:hAnsi="方正仿宋_GB2312" w:eastAsia="方正仿宋_GB2312" w:cs="方正仿宋_GB2312"/>
                <w:color w:val="auto"/>
                <w:szCs w:val="21"/>
                <w:highlight w:val="none"/>
              </w:rPr>
            </w:pPr>
          </w:p>
        </w:tc>
      </w:tr>
      <w:tr w14:paraId="019A1C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4EEE7C9E">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39353DC9">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6701CE42">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5D73298E">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1697CE6E">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5E2D480A">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22923C58">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006FF5D5">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0584ACD7">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28016696">
            <w:pPr>
              <w:spacing w:after="0" w:line="360" w:lineRule="auto"/>
              <w:rPr>
                <w:rFonts w:hint="eastAsia" w:ascii="方正仿宋_GB2312" w:hAnsi="方正仿宋_GB2312" w:eastAsia="方正仿宋_GB2312" w:cs="方正仿宋_GB2312"/>
                <w:color w:val="auto"/>
                <w:szCs w:val="21"/>
                <w:highlight w:val="none"/>
              </w:rPr>
            </w:pPr>
          </w:p>
        </w:tc>
      </w:tr>
      <w:tr w14:paraId="5F7D96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3D19B45">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29A63F8C">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2EF4735E">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1F5A503E">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3190B808">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5827C1DE">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26CC1F88">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03C997AE">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178D9DDC">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11B5F804">
            <w:pPr>
              <w:spacing w:after="0" w:line="360" w:lineRule="auto"/>
              <w:rPr>
                <w:rFonts w:hint="eastAsia" w:ascii="方正仿宋_GB2312" w:hAnsi="方正仿宋_GB2312" w:eastAsia="方正仿宋_GB2312" w:cs="方正仿宋_GB2312"/>
                <w:color w:val="auto"/>
                <w:szCs w:val="21"/>
                <w:highlight w:val="none"/>
              </w:rPr>
            </w:pPr>
          </w:p>
        </w:tc>
      </w:tr>
      <w:tr w14:paraId="1FAE02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4A6FF9B0">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25FBF7F4">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48712BA2">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44B294CC">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52BD7922">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00AD114C">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7D4FA444">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7B623AA6">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1C92F62F">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07CFF0AE">
            <w:pPr>
              <w:spacing w:after="0" w:line="360" w:lineRule="auto"/>
              <w:rPr>
                <w:rFonts w:hint="eastAsia" w:ascii="方正仿宋_GB2312" w:hAnsi="方正仿宋_GB2312" w:eastAsia="方正仿宋_GB2312" w:cs="方正仿宋_GB2312"/>
                <w:color w:val="auto"/>
                <w:szCs w:val="21"/>
                <w:highlight w:val="none"/>
              </w:rPr>
            </w:pPr>
          </w:p>
        </w:tc>
      </w:tr>
      <w:tr w14:paraId="4A8893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0078558E">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71657E22">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746AD58A">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21AD0729">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62D9F2A0">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4CCE7274">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451CFD29">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57441DBC">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4E1087A8">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26EE53FC">
            <w:pPr>
              <w:spacing w:after="0" w:line="360" w:lineRule="auto"/>
              <w:rPr>
                <w:rFonts w:hint="eastAsia" w:ascii="方正仿宋_GB2312" w:hAnsi="方正仿宋_GB2312" w:eastAsia="方正仿宋_GB2312" w:cs="方正仿宋_GB2312"/>
                <w:color w:val="auto"/>
                <w:szCs w:val="21"/>
                <w:highlight w:val="none"/>
              </w:rPr>
            </w:pPr>
          </w:p>
        </w:tc>
      </w:tr>
      <w:tr w14:paraId="5E047C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C1BD2A8">
            <w:pPr>
              <w:spacing w:after="0" w:line="360" w:lineRule="auto"/>
              <w:rPr>
                <w:rFonts w:hint="eastAsia" w:ascii="方正仿宋_GB2312" w:hAnsi="方正仿宋_GB2312" w:eastAsia="方正仿宋_GB2312" w:cs="方正仿宋_GB2312"/>
                <w:color w:val="auto"/>
                <w:szCs w:val="21"/>
                <w:highlight w:val="none"/>
              </w:rPr>
            </w:pPr>
          </w:p>
        </w:tc>
        <w:tc>
          <w:tcPr>
            <w:tcW w:w="1165" w:type="dxa"/>
            <w:vAlign w:val="center"/>
          </w:tcPr>
          <w:p w14:paraId="5CDFF9E8">
            <w:pPr>
              <w:spacing w:after="0" w:line="360" w:lineRule="auto"/>
              <w:rPr>
                <w:rFonts w:hint="eastAsia" w:ascii="方正仿宋_GB2312" w:hAnsi="方正仿宋_GB2312" w:eastAsia="方正仿宋_GB2312" w:cs="方正仿宋_GB2312"/>
                <w:color w:val="auto"/>
                <w:szCs w:val="21"/>
                <w:highlight w:val="none"/>
              </w:rPr>
            </w:pPr>
          </w:p>
        </w:tc>
        <w:tc>
          <w:tcPr>
            <w:tcW w:w="1126" w:type="dxa"/>
            <w:vAlign w:val="center"/>
          </w:tcPr>
          <w:p w14:paraId="0174987B">
            <w:pPr>
              <w:spacing w:after="0" w:line="360" w:lineRule="auto"/>
              <w:rPr>
                <w:rFonts w:hint="eastAsia" w:ascii="方正仿宋_GB2312" w:hAnsi="方正仿宋_GB2312" w:eastAsia="方正仿宋_GB2312" w:cs="方正仿宋_GB2312"/>
                <w:color w:val="auto"/>
                <w:szCs w:val="21"/>
                <w:highlight w:val="none"/>
              </w:rPr>
            </w:pPr>
          </w:p>
        </w:tc>
        <w:tc>
          <w:tcPr>
            <w:tcW w:w="567" w:type="dxa"/>
            <w:vAlign w:val="center"/>
          </w:tcPr>
          <w:p w14:paraId="3224E5A6">
            <w:pPr>
              <w:spacing w:after="0" w:line="360" w:lineRule="auto"/>
              <w:rPr>
                <w:rFonts w:hint="eastAsia" w:ascii="方正仿宋_GB2312" w:hAnsi="方正仿宋_GB2312" w:eastAsia="方正仿宋_GB2312" w:cs="方正仿宋_GB2312"/>
                <w:color w:val="auto"/>
                <w:szCs w:val="21"/>
                <w:highlight w:val="none"/>
              </w:rPr>
            </w:pPr>
          </w:p>
        </w:tc>
        <w:tc>
          <w:tcPr>
            <w:tcW w:w="686" w:type="dxa"/>
            <w:vAlign w:val="center"/>
          </w:tcPr>
          <w:p w14:paraId="0402DC3F">
            <w:pPr>
              <w:spacing w:after="0" w:line="360" w:lineRule="auto"/>
              <w:rPr>
                <w:rFonts w:hint="eastAsia" w:ascii="方正仿宋_GB2312" w:hAnsi="方正仿宋_GB2312" w:eastAsia="方正仿宋_GB2312" w:cs="方正仿宋_GB2312"/>
                <w:color w:val="auto"/>
                <w:szCs w:val="21"/>
                <w:highlight w:val="none"/>
              </w:rPr>
            </w:pPr>
          </w:p>
        </w:tc>
        <w:tc>
          <w:tcPr>
            <w:tcW w:w="992" w:type="dxa"/>
          </w:tcPr>
          <w:p w14:paraId="076F6481">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5382D85C">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361E878E">
            <w:pPr>
              <w:spacing w:after="0" w:line="360" w:lineRule="auto"/>
              <w:rPr>
                <w:rFonts w:hint="eastAsia" w:ascii="方正仿宋_GB2312" w:hAnsi="方正仿宋_GB2312" w:eastAsia="方正仿宋_GB2312" w:cs="方正仿宋_GB2312"/>
                <w:color w:val="auto"/>
                <w:szCs w:val="21"/>
                <w:highlight w:val="none"/>
              </w:rPr>
            </w:pPr>
          </w:p>
        </w:tc>
        <w:tc>
          <w:tcPr>
            <w:tcW w:w="1134" w:type="dxa"/>
            <w:vAlign w:val="center"/>
          </w:tcPr>
          <w:p w14:paraId="5DE61509">
            <w:pPr>
              <w:spacing w:after="0" w:line="360" w:lineRule="auto"/>
              <w:rPr>
                <w:rFonts w:hint="eastAsia" w:ascii="方正仿宋_GB2312" w:hAnsi="方正仿宋_GB2312" w:eastAsia="方正仿宋_GB2312" w:cs="方正仿宋_GB2312"/>
                <w:color w:val="auto"/>
                <w:szCs w:val="21"/>
                <w:highlight w:val="none"/>
              </w:rPr>
            </w:pPr>
          </w:p>
        </w:tc>
        <w:tc>
          <w:tcPr>
            <w:tcW w:w="709" w:type="dxa"/>
            <w:vAlign w:val="center"/>
          </w:tcPr>
          <w:p w14:paraId="63C895AF">
            <w:pPr>
              <w:spacing w:after="0" w:line="360" w:lineRule="auto"/>
              <w:rPr>
                <w:rFonts w:hint="eastAsia" w:ascii="方正仿宋_GB2312" w:hAnsi="方正仿宋_GB2312" w:eastAsia="方正仿宋_GB2312" w:cs="方正仿宋_GB2312"/>
                <w:color w:val="auto"/>
                <w:szCs w:val="21"/>
                <w:highlight w:val="none"/>
              </w:rPr>
            </w:pPr>
          </w:p>
        </w:tc>
      </w:tr>
    </w:tbl>
    <w:p w14:paraId="76430C64">
      <w:pPr>
        <w:spacing w:after="0" w:line="360" w:lineRule="auto"/>
        <w:rPr>
          <w:rFonts w:hint="eastAsia" w:ascii="方正仿宋_GB2312" w:hAnsi="方正仿宋_GB2312" w:eastAsia="方正仿宋_GB2312" w:cs="方正仿宋_GB2312"/>
          <w:color w:val="auto"/>
          <w:szCs w:val="21"/>
          <w:highlight w:val="none"/>
        </w:rPr>
      </w:pPr>
    </w:p>
    <w:p w14:paraId="0869C9AE">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br w:type="page"/>
      </w:r>
    </w:p>
    <w:p w14:paraId="6275A5F1">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08" w:name="_Toc18791"/>
      <w:bookmarkStart w:id="1509" w:name="_Toc54862354"/>
      <w:bookmarkStart w:id="1510" w:name="_Toc20171895"/>
      <w:r>
        <w:rPr>
          <w:rFonts w:hint="eastAsia" w:ascii="方正仿宋_GB2312" w:hAnsi="方正仿宋_GB2312" w:eastAsia="方正仿宋_GB2312" w:cs="方正仿宋_GB2312"/>
          <w:b/>
          <w:bCs/>
          <w:color w:val="auto"/>
          <w:kern w:val="2"/>
          <w:sz w:val="28"/>
          <w:szCs w:val="28"/>
          <w:highlight w:val="none"/>
          <w:lang w:val="zh-CN" w:eastAsia="zh-CN" w:bidi="ar-SA"/>
        </w:rPr>
        <w:t>附件3 工程质量保修书</w:t>
      </w:r>
      <w:bookmarkEnd w:id="1508"/>
      <w:bookmarkEnd w:id="1509"/>
      <w:bookmarkEnd w:id="1510"/>
    </w:p>
    <w:p w14:paraId="40308F84">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发包人（全称）：</w:t>
      </w:r>
    </w:p>
    <w:p w14:paraId="590ACD1B">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承包人（全称）：</w:t>
      </w:r>
    </w:p>
    <w:p w14:paraId="2803EBE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发包人和承包人根据《中华人民共和国建筑法》和《建设工程质量管理条例》，经协商一致就（工程全称）订立工程质量保修书。</w:t>
      </w:r>
    </w:p>
    <w:p w14:paraId="71D6544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一、工程质量保修范围和内容</w:t>
      </w:r>
    </w:p>
    <w:p w14:paraId="2F4764E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承包人在质量保修期内，按照有关法律规定和合同约定，承担工程质量保修责任。</w:t>
      </w:r>
    </w:p>
    <w:p w14:paraId="0D7AFD5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方正仿宋_GB2312" w:hAnsi="方正仿宋_GB2312" w:eastAsia="方正仿宋_GB2312" w:cs="方正仿宋_GB2312"/>
          <w:color w:val="auto"/>
          <w:szCs w:val="21"/>
          <w:highlight w:val="none"/>
          <w:lang w:eastAsia="zh-CN"/>
        </w:rPr>
        <w:t>：</w:t>
      </w:r>
    </w:p>
    <w:p w14:paraId="34A6402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二、质量保修期</w:t>
      </w:r>
    </w:p>
    <w:p w14:paraId="3AE7A31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根据《建设工程质量管理条例》及有关规定，工程的质量保修期如下：</w:t>
      </w:r>
    </w:p>
    <w:p w14:paraId="6FDB9DE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1.</w:t>
      </w:r>
      <w:r>
        <w:rPr>
          <w:rFonts w:hint="eastAsia" w:ascii="方正仿宋_GB2312" w:hAnsi="方正仿宋_GB2312" w:eastAsia="方正仿宋_GB2312" w:cs="方正仿宋_GB2312"/>
          <w:color w:val="auto"/>
          <w:szCs w:val="21"/>
          <w:highlight w:val="none"/>
        </w:rPr>
        <w:t>地基基础工程和主体结构工程为设计文件规定的工程合理使用年限；</w:t>
      </w:r>
    </w:p>
    <w:p w14:paraId="17B65FC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2.</w:t>
      </w:r>
      <w:r>
        <w:rPr>
          <w:rFonts w:hint="eastAsia" w:ascii="方正仿宋_GB2312" w:hAnsi="方正仿宋_GB2312" w:eastAsia="方正仿宋_GB2312" w:cs="方正仿宋_GB2312"/>
          <w:color w:val="auto"/>
          <w:szCs w:val="21"/>
          <w:highlight w:val="none"/>
        </w:rPr>
        <w:t>屋面防水工程、有防水要求的卫生间、房间和外墙面的防渗为年；</w:t>
      </w:r>
    </w:p>
    <w:p w14:paraId="46E70B8B">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3.</w:t>
      </w:r>
      <w:r>
        <w:rPr>
          <w:rFonts w:hint="eastAsia" w:ascii="方正仿宋_GB2312" w:hAnsi="方正仿宋_GB2312" w:eastAsia="方正仿宋_GB2312" w:cs="方正仿宋_GB2312"/>
          <w:color w:val="auto"/>
          <w:szCs w:val="21"/>
          <w:highlight w:val="none"/>
        </w:rPr>
        <w:t>装修工程为年；</w:t>
      </w:r>
    </w:p>
    <w:p w14:paraId="672EE6F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4.</w:t>
      </w:r>
      <w:r>
        <w:rPr>
          <w:rFonts w:hint="eastAsia" w:ascii="方正仿宋_GB2312" w:hAnsi="方正仿宋_GB2312" w:eastAsia="方正仿宋_GB2312" w:cs="方正仿宋_GB2312"/>
          <w:color w:val="auto"/>
          <w:szCs w:val="21"/>
          <w:highlight w:val="none"/>
        </w:rPr>
        <w:t>电气管线、给排水管道、设备安装工程为年；</w:t>
      </w:r>
    </w:p>
    <w:p w14:paraId="5A660B2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5.</w:t>
      </w:r>
      <w:r>
        <w:rPr>
          <w:rFonts w:hint="eastAsia" w:ascii="方正仿宋_GB2312" w:hAnsi="方正仿宋_GB2312" w:eastAsia="方正仿宋_GB2312" w:cs="方正仿宋_GB2312"/>
          <w:color w:val="auto"/>
          <w:szCs w:val="21"/>
          <w:highlight w:val="none"/>
        </w:rPr>
        <w:t>供热与供冷系统为个采暖期、供冷期；</w:t>
      </w:r>
    </w:p>
    <w:p w14:paraId="76E71AB9">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6.</w:t>
      </w:r>
      <w:r>
        <w:rPr>
          <w:rFonts w:hint="eastAsia" w:ascii="方正仿宋_GB2312" w:hAnsi="方正仿宋_GB2312" w:eastAsia="方正仿宋_GB2312" w:cs="方正仿宋_GB2312"/>
          <w:color w:val="auto"/>
          <w:szCs w:val="21"/>
          <w:highlight w:val="none"/>
        </w:rPr>
        <w:t>住宅小区内的给排水设施、道路等配套工程为年；</w:t>
      </w:r>
    </w:p>
    <w:p w14:paraId="1284548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7.</w:t>
      </w:r>
      <w:r>
        <w:rPr>
          <w:rFonts w:hint="eastAsia" w:ascii="方正仿宋_GB2312" w:hAnsi="方正仿宋_GB2312" w:eastAsia="方正仿宋_GB2312" w:cs="方正仿宋_GB2312"/>
          <w:color w:val="auto"/>
          <w:szCs w:val="21"/>
          <w:highlight w:val="none"/>
        </w:rPr>
        <w:t>其他项目保修期限约定如下</w:t>
      </w:r>
      <w:r>
        <w:rPr>
          <w:rFonts w:hint="eastAsia" w:ascii="方正仿宋_GB2312" w:hAnsi="方正仿宋_GB2312" w:eastAsia="方正仿宋_GB2312" w:cs="方正仿宋_GB2312"/>
          <w:color w:val="auto"/>
          <w:szCs w:val="21"/>
          <w:highlight w:val="none"/>
          <w:lang w:eastAsia="zh-CN"/>
        </w:rPr>
        <w:t>：</w:t>
      </w:r>
    </w:p>
    <w:p w14:paraId="47CCDBA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质量保修期自工程竣工验收合格之日起计算。</w:t>
      </w:r>
    </w:p>
    <w:p w14:paraId="48D601A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三、缺陷责任期</w:t>
      </w:r>
    </w:p>
    <w:p w14:paraId="44D17AB7">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工程缺陷责任期为</w:t>
      </w:r>
      <w:r>
        <w:rPr>
          <w:rFonts w:hint="eastAsia" w:ascii="方正仿宋_GB2312" w:hAnsi="方正仿宋_GB2312" w:eastAsia="方正仿宋_GB2312" w:cs="方正仿宋_GB2312"/>
          <w:color w:val="auto"/>
          <w:szCs w:val="21"/>
          <w:highlight w:val="none"/>
          <w:u w:val="single"/>
          <w:lang w:val="en-US" w:eastAsia="zh-CN"/>
        </w:rPr>
        <w:t xml:space="preserve">    </w:t>
      </w:r>
      <w:r>
        <w:rPr>
          <w:rFonts w:hint="eastAsia" w:ascii="方正仿宋_GB2312" w:hAnsi="方正仿宋_GB2312" w:eastAsia="方正仿宋_GB2312" w:cs="方正仿宋_GB2312"/>
          <w:color w:val="auto"/>
          <w:szCs w:val="21"/>
          <w:highlight w:val="none"/>
        </w:rPr>
        <w:t>个月，缺陷责任期自工程通过竣工验收之日起计算。单位/区段工程先于全部工程进行验收，单位/区段工程缺陷责任期自单位/区段工程验收合格之日起算。</w:t>
      </w:r>
    </w:p>
    <w:p w14:paraId="6A0DC23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缺陷责任期终止后，发包人应返还剩余的质量保证金。</w:t>
      </w:r>
    </w:p>
    <w:p w14:paraId="1F4AB36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四、质量保修责任</w:t>
      </w:r>
    </w:p>
    <w:p w14:paraId="693FE46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1.</w:t>
      </w:r>
      <w:r>
        <w:rPr>
          <w:rFonts w:hint="eastAsia" w:ascii="方正仿宋_GB2312" w:hAnsi="方正仿宋_GB2312" w:eastAsia="方正仿宋_GB2312" w:cs="方正仿宋_GB2312"/>
          <w:color w:val="auto"/>
          <w:szCs w:val="21"/>
          <w:highlight w:val="none"/>
        </w:rPr>
        <w:t>属于保修范围、内容的项目，承包人应当在接到保修通知之日起7天内派人保修。承包人不在约定期限内派人</w:t>
      </w:r>
      <w:r>
        <w:rPr>
          <w:rFonts w:hint="eastAsia" w:ascii="方正仿宋_GB2312" w:hAnsi="方正仿宋_GB2312" w:eastAsia="方正仿宋_GB2312" w:cs="方正仿宋_GB2312"/>
          <w:color w:val="auto"/>
          <w:szCs w:val="21"/>
          <w:highlight w:val="none"/>
          <w:lang w:eastAsia="zh-CN"/>
        </w:rPr>
        <w:t>包修</w:t>
      </w:r>
      <w:r>
        <w:rPr>
          <w:rFonts w:hint="eastAsia" w:ascii="方正仿宋_GB2312" w:hAnsi="方正仿宋_GB2312" w:eastAsia="方正仿宋_GB2312" w:cs="方正仿宋_GB2312"/>
          <w:color w:val="auto"/>
          <w:szCs w:val="21"/>
          <w:highlight w:val="none"/>
        </w:rPr>
        <w:t>的，发包人可以委托他人修理。</w:t>
      </w:r>
    </w:p>
    <w:p w14:paraId="3FE26B33">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2.</w:t>
      </w:r>
      <w:r>
        <w:rPr>
          <w:rFonts w:hint="eastAsia" w:ascii="方正仿宋_GB2312" w:hAnsi="方正仿宋_GB2312" w:eastAsia="方正仿宋_GB2312" w:cs="方正仿宋_GB2312"/>
          <w:color w:val="auto"/>
          <w:szCs w:val="21"/>
          <w:highlight w:val="none"/>
        </w:rPr>
        <w:t>发生紧急事故需抢修的，承包人在接到事故通知后，应当立即到达事故现场抢修。</w:t>
      </w:r>
    </w:p>
    <w:p w14:paraId="0720602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3.</w:t>
      </w:r>
      <w:r>
        <w:rPr>
          <w:rFonts w:hint="eastAsia" w:ascii="方正仿宋_GB2312" w:hAnsi="方正仿宋_GB2312" w:eastAsia="方正仿宋_GB2312" w:cs="方正仿宋_GB2312"/>
          <w:color w:val="auto"/>
          <w:szCs w:val="21"/>
          <w:highlight w:val="none"/>
        </w:rPr>
        <w:t>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6D91DC7F">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lang w:eastAsia="zh-CN"/>
        </w:rPr>
        <w:t>4.</w:t>
      </w:r>
      <w:r>
        <w:rPr>
          <w:rFonts w:hint="eastAsia" w:ascii="方正仿宋_GB2312" w:hAnsi="方正仿宋_GB2312" w:eastAsia="方正仿宋_GB2312" w:cs="方正仿宋_GB2312"/>
          <w:color w:val="auto"/>
          <w:szCs w:val="21"/>
          <w:highlight w:val="none"/>
        </w:rPr>
        <w:t>质量保修完成后，由发包人组织验收。</w:t>
      </w:r>
    </w:p>
    <w:p w14:paraId="66BCAC1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五、保修费用</w:t>
      </w:r>
    </w:p>
    <w:p w14:paraId="6A6BB21A">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保修费用由造成质量缺陷的责任方承担。</w:t>
      </w:r>
    </w:p>
    <w:p w14:paraId="45C58B0A">
      <w:pPr>
        <w:spacing w:after="0" w:line="360" w:lineRule="auto"/>
        <w:ind w:firstLine="600"/>
        <w:rPr>
          <w:rFonts w:hint="eastAsia" w:ascii="方正仿宋_GB2312" w:hAnsi="方正仿宋_GB2312" w:eastAsia="方正仿宋_GB2312" w:cs="方正仿宋_GB2312"/>
          <w:color w:val="auto"/>
          <w:szCs w:val="21"/>
          <w:highlight w:val="none"/>
          <w:u w:val="single"/>
        </w:rPr>
      </w:pPr>
      <w:r>
        <w:rPr>
          <w:rFonts w:hint="eastAsia" w:ascii="方正仿宋_GB2312" w:hAnsi="方正仿宋_GB2312" w:eastAsia="方正仿宋_GB2312" w:cs="方正仿宋_GB2312"/>
          <w:color w:val="auto"/>
          <w:szCs w:val="21"/>
          <w:highlight w:val="none"/>
        </w:rPr>
        <w:t>六、双方约定的其他工程质量保修事项</w:t>
      </w:r>
      <w:r>
        <w:rPr>
          <w:rFonts w:hint="eastAsia" w:ascii="方正仿宋_GB2312" w:hAnsi="方正仿宋_GB2312" w:eastAsia="方正仿宋_GB2312" w:cs="方正仿宋_GB2312"/>
          <w:color w:val="auto"/>
          <w:szCs w:val="21"/>
          <w:highlight w:val="none"/>
          <w:lang w:eastAsia="zh-CN"/>
        </w:rPr>
        <w:t>：</w:t>
      </w:r>
    </w:p>
    <w:p w14:paraId="3CB86DFC">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工程质量保修书由发包人、承包人在工程竣工验收前共同签署，作为工程总承包合同附件，其有效期限至保修期满。</w:t>
      </w:r>
    </w:p>
    <w:p w14:paraId="048AA3FF">
      <w:pPr>
        <w:spacing w:after="0" w:line="360" w:lineRule="auto"/>
        <w:ind w:firstLine="600"/>
        <w:rPr>
          <w:rFonts w:hint="eastAsia" w:ascii="方正仿宋_GB2312" w:hAnsi="方正仿宋_GB2312" w:eastAsia="方正仿宋_GB2312" w:cs="方正仿宋_GB2312"/>
          <w:color w:val="auto"/>
          <w:szCs w:val="21"/>
          <w:highlight w:val="none"/>
        </w:rPr>
      </w:pPr>
    </w:p>
    <w:p w14:paraId="712A75AE">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发包人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公章</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承包人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公章</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w:t>
      </w:r>
    </w:p>
    <w:p w14:paraId="4B839D6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地  址：                     地  址：       </w:t>
      </w:r>
    </w:p>
    <w:p w14:paraId="3A535845">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法定代表人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签字</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法定代表人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签字</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w:t>
      </w:r>
    </w:p>
    <w:p w14:paraId="0BDA004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委托代理人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签字</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委托代理人</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签字</w:t>
      </w:r>
      <w:r>
        <w:rPr>
          <w:rFonts w:hint="eastAsia" w:ascii="方正仿宋_GB2312" w:hAnsi="方正仿宋_GB2312" w:eastAsia="方正仿宋_GB2312" w:cs="方正仿宋_GB2312"/>
          <w:color w:val="auto"/>
          <w:szCs w:val="21"/>
          <w:highlight w:val="none"/>
          <w:lang w:eastAsia="zh-CN"/>
        </w:rPr>
        <w:t>）</w:t>
      </w:r>
      <w:r>
        <w:rPr>
          <w:rFonts w:hint="eastAsia" w:ascii="方正仿宋_GB2312" w:hAnsi="方正仿宋_GB2312" w:eastAsia="方正仿宋_GB2312" w:cs="方正仿宋_GB2312"/>
          <w:color w:val="auto"/>
          <w:szCs w:val="21"/>
          <w:highlight w:val="none"/>
        </w:rPr>
        <w:t xml:space="preserve">：       </w:t>
      </w:r>
    </w:p>
    <w:p w14:paraId="7EB756CD">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电  话：                     电  话：</w:t>
      </w:r>
    </w:p>
    <w:p w14:paraId="11C18566">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传  真：                     传  真：  </w:t>
      </w:r>
    </w:p>
    <w:p w14:paraId="57D741F8">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开户银行：                   开户银行：</w:t>
      </w:r>
    </w:p>
    <w:p w14:paraId="3F931064">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账  号：                     账  号： </w:t>
      </w:r>
    </w:p>
    <w:p w14:paraId="08F00F71">
      <w:pPr>
        <w:spacing w:after="0" w:line="360" w:lineRule="auto"/>
        <w:ind w:firstLine="60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 xml:space="preserve">邮政编码：                   邮政编码：   </w:t>
      </w:r>
    </w:p>
    <w:p w14:paraId="03F13C1A">
      <w:pPr>
        <w:spacing w:after="0" w:line="360" w:lineRule="auto"/>
        <w:jc w:val="lef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br w:type="page"/>
      </w:r>
    </w:p>
    <w:p w14:paraId="10CAA37E">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11" w:name="_Toc20171896"/>
      <w:bookmarkStart w:id="1512" w:name="_Toc13335"/>
      <w:bookmarkStart w:id="1513" w:name="_Toc54862355"/>
      <w:r>
        <w:rPr>
          <w:rFonts w:hint="eastAsia" w:ascii="方正仿宋_GB2312" w:hAnsi="方正仿宋_GB2312" w:eastAsia="方正仿宋_GB2312" w:cs="方正仿宋_GB2312"/>
          <w:b/>
          <w:bCs/>
          <w:color w:val="auto"/>
          <w:kern w:val="2"/>
          <w:sz w:val="28"/>
          <w:szCs w:val="28"/>
          <w:highlight w:val="none"/>
          <w:lang w:val="zh-CN" w:eastAsia="zh-CN" w:bidi="ar-SA"/>
        </w:rPr>
        <w:t>附件4 主要建设工程文件目录</w:t>
      </w:r>
      <w:bookmarkEnd w:id="1511"/>
      <w:bookmarkEnd w:id="1512"/>
      <w:bookmarkEnd w:id="1513"/>
    </w:p>
    <w:tbl>
      <w:tblPr>
        <w:tblStyle w:val="28"/>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4AF80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vAlign w:val="center"/>
          </w:tcPr>
          <w:p w14:paraId="42B8F8C8">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文件名称</w:t>
            </w:r>
          </w:p>
        </w:tc>
        <w:tc>
          <w:tcPr>
            <w:tcW w:w="1276" w:type="dxa"/>
            <w:tcBorders>
              <w:top w:val="single" w:color="auto" w:sz="12" w:space="0"/>
              <w:bottom w:val="double" w:color="auto" w:sz="6" w:space="0"/>
            </w:tcBorders>
            <w:vAlign w:val="center"/>
          </w:tcPr>
          <w:p w14:paraId="52D500B4">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套数</w:t>
            </w:r>
          </w:p>
        </w:tc>
        <w:tc>
          <w:tcPr>
            <w:tcW w:w="1450" w:type="dxa"/>
            <w:tcBorders>
              <w:top w:val="single" w:color="auto" w:sz="12" w:space="0"/>
              <w:bottom w:val="double" w:color="auto" w:sz="6" w:space="0"/>
            </w:tcBorders>
            <w:vAlign w:val="center"/>
          </w:tcPr>
          <w:p w14:paraId="2986A53F">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费用（元）</w:t>
            </w:r>
          </w:p>
        </w:tc>
        <w:tc>
          <w:tcPr>
            <w:tcW w:w="1243" w:type="dxa"/>
            <w:tcBorders>
              <w:top w:val="single" w:color="auto" w:sz="12" w:space="0"/>
              <w:bottom w:val="double" w:color="auto" w:sz="6" w:space="0"/>
            </w:tcBorders>
            <w:vAlign w:val="center"/>
          </w:tcPr>
          <w:p w14:paraId="456830D4">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质量</w:t>
            </w:r>
          </w:p>
        </w:tc>
        <w:tc>
          <w:tcPr>
            <w:tcW w:w="1450" w:type="dxa"/>
            <w:tcBorders>
              <w:top w:val="single" w:color="auto" w:sz="12" w:space="0"/>
              <w:bottom w:val="double" w:color="auto" w:sz="6" w:space="0"/>
            </w:tcBorders>
          </w:tcPr>
          <w:p w14:paraId="22A5147F">
            <w:pPr>
              <w:spacing w:after="0" w:line="360" w:lineRule="auto"/>
              <w:jc w:val="cente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移交时间</w:t>
            </w:r>
          </w:p>
        </w:tc>
        <w:tc>
          <w:tcPr>
            <w:tcW w:w="1670" w:type="dxa"/>
            <w:tcBorders>
              <w:top w:val="single" w:color="auto" w:sz="12" w:space="0"/>
              <w:bottom w:val="double" w:color="auto" w:sz="6" w:space="0"/>
            </w:tcBorders>
          </w:tcPr>
          <w:p w14:paraId="36892AEA">
            <w:pPr>
              <w:spacing w:after="0" w:line="360" w:lineRule="auto"/>
              <w:jc w:val="cente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责任人</w:t>
            </w:r>
          </w:p>
        </w:tc>
      </w:tr>
      <w:tr w14:paraId="79ADA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vAlign w:val="center"/>
          </w:tcPr>
          <w:p w14:paraId="6BE3626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tcBorders>
              <w:top w:val="double" w:color="auto" w:sz="6" w:space="0"/>
              <w:bottom w:val="single" w:color="auto" w:sz="6" w:space="0"/>
            </w:tcBorders>
            <w:vAlign w:val="center"/>
          </w:tcPr>
          <w:p w14:paraId="2D659B5B">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tcBorders>
              <w:top w:val="double" w:color="auto" w:sz="6" w:space="0"/>
              <w:bottom w:val="single" w:color="auto" w:sz="6" w:space="0"/>
            </w:tcBorders>
            <w:vAlign w:val="center"/>
          </w:tcPr>
          <w:p w14:paraId="16C58F5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tcBorders>
              <w:top w:val="double" w:color="auto" w:sz="6" w:space="0"/>
              <w:bottom w:val="single" w:color="auto" w:sz="6" w:space="0"/>
            </w:tcBorders>
            <w:vAlign w:val="center"/>
          </w:tcPr>
          <w:p w14:paraId="2469BB5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tcBorders>
              <w:top w:val="double" w:color="auto" w:sz="6" w:space="0"/>
              <w:bottom w:val="single" w:color="auto" w:sz="6" w:space="0"/>
            </w:tcBorders>
            <w:vAlign w:val="center"/>
          </w:tcPr>
          <w:p w14:paraId="35D9752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tcBorders>
              <w:top w:val="double" w:color="auto" w:sz="6" w:space="0"/>
              <w:bottom w:val="single" w:color="auto" w:sz="6" w:space="0"/>
            </w:tcBorders>
            <w:vAlign w:val="center"/>
          </w:tcPr>
          <w:p w14:paraId="6523096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506D62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vAlign w:val="center"/>
          </w:tcPr>
          <w:p w14:paraId="67EE99D3">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tcBorders>
              <w:top w:val="nil"/>
            </w:tcBorders>
            <w:vAlign w:val="center"/>
          </w:tcPr>
          <w:p w14:paraId="6277F96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tcBorders>
              <w:top w:val="nil"/>
            </w:tcBorders>
            <w:vAlign w:val="center"/>
          </w:tcPr>
          <w:p w14:paraId="117BF9F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tcBorders>
              <w:top w:val="nil"/>
            </w:tcBorders>
            <w:vAlign w:val="center"/>
          </w:tcPr>
          <w:p w14:paraId="57DFE11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tcBorders>
              <w:top w:val="nil"/>
            </w:tcBorders>
            <w:vAlign w:val="center"/>
          </w:tcPr>
          <w:p w14:paraId="1394D55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tcBorders>
              <w:top w:val="nil"/>
            </w:tcBorders>
            <w:vAlign w:val="center"/>
          </w:tcPr>
          <w:p w14:paraId="4F115C0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23182D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5EE661D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656646E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4C381F8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4CF09BB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55E369B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65DB109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3788C8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2B1127E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100103E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38A1D9A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03D64325">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2A5FF81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4360373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732B1C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376A7AF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1323B48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23BF96EA">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64A5852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3D37A0A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2A70681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79D78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5ACE33E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59312F0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13EFC51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54054CF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1443DBA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15781FF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F4C7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2B63582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378E838E">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177F1E81">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4654AD2F">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6560896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2DF6608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90EA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35BFA20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270BDD56">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34492522">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3B3F8580">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27F31C6D">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37EB03E9">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11AD83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17EE3C78">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5101D0D4">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5B4E4970">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644F76B6">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3FDC650B">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5E16FDA9">
            <w:pPr>
              <w:spacing w:after="0" w:line="360" w:lineRule="auto"/>
              <w:rPr>
                <w:rFonts w:hint="eastAsia" w:ascii="方正仿宋_GB2312" w:hAnsi="方正仿宋_GB2312" w:eastAsia="方正仿宋_GB2312" w:cs="方正仿宋_GB2312"/>
                <w:color w:val="auto"/>
                <w:szCs w:val="21"/>
                <w:highlight w:val="none"/>
              </w:rPr>
            </w:pPr>
          </w:p>
        </w:tc>
      </w:tr>
      <w:tr w14:paraId="37A26F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2DA1AF6C">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76" w:type="dxa"/>
            <w:vAlign w:val="center"/>
          </w:tcPr>
          <w:p w14:paraId="0129AF2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66ECA2A7">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243" w:type="dxa"/>
            <w:vAlign w:val="center"/>
          </w:tcPr>
          <w:p w14:paraId="5D467A48">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50" w:type="dxa"/>
            <w:vAlign w:val="center"/>
          </w:tcPr>
          <w:p w14:paraId="191454D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670" w:type="dxa"/>
            <w:vAlign w:val="center"/>
          </w:tcPr>
          <w:p w14:paraId="5FC32FD4">
            <w:pPr>
              <w:widowControl w:val="0"/>
              <w:spacing w:after="120" w:line="360" w:lineRule="auto"/>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243547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47D3540F">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5DE8CFD7">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3E990BB8">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2150D9BA">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324655C0">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45A85FBB">
            <w:pPr>
              <w:spacing w:after="0" w:line="360" w:lineRule="auto"/>
              <w:rPr>
                <w:rFonts w:hint="eastAsia" w:ascii="方正仿宋_GB2312" w:hAnsi="方正仿宋_GB2312" w:eastAsia="方正仿宋_GB2312" w:cs="方正仿宋_GB2312"/>
                <w:color w:val="auto"/>
                <w:szCs w:val="21"/>
                <w:highlight w:val="none"/>
              </w:rPr>
            </w:pPr>
          </w:p>
        </w:tc>
      </w:tr>
      <w:tr w14:paraId="102F91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73E7292A">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6AD9F9DD">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3E3290BB">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3F685C77">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59BAB709">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6F9FB944">
            <w:pPr>
              <w:spacing w:after="0" w:line="360" w:lineRule="auto"/>
              <w:rPr>
                <w:rFonts w:hint="eastAsia" w:ascii="方正仿宋_GB2312" w:hAnsi="方正仿宋_GB2312" w:eastAsia="方正仿宋_GB2312" w:cs="方正仿宋_GB2312"/>
                <w:color w:val="auto"/>
                <w:szCs w:val="21"/>
                <w:highlight w:val="none"/>
              </w:rPr>
            </w:pPr>
          </w:p>
        </w:tc>
      </w:tr>
      <w:tr w14:paraId="28A3CC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3DF986D2">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370351AE">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407BDC9A">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62D58F73">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5278BFEB">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797C1DB3">
            <w:pPr>
              <w:spacing w:after="0" w:line="360" w:lineRule="auto"/>
              <w:rPr>
                <w:rFonts w:hint="eastAsia" w:ascii="方正仿宋_GB2312" w:hAnsi="方正仿宋_GB2312" w:eastAsia="方正仿宋_GB2312" w:cs="方正仿宋_GB2312"/>
                <w:color w:val="auto"/>
                <w:szCs w:val="21"/>
                <w:highlight w:val="none"/>
              </w:rPr>
            </w:pPr>
          </w:p>
        </w:tc>
      </w:tr>
      <w:tr w14:paraId="6E1B80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198B1891">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68F449A0">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3235F8E6">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1F5D81E7">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063D8901">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0B9649D2">
            <w:pPr>
              <w:spacing w:after="0" w:line="360" w:lineRule="auto"/>
              <w:rPr>
                <w:rFonts w:hint="eastAsia" w:ascii="方正仿宋_GB2312" w:hAnsi="方正仿宋_GB2312" w:eastAsia="方正仿宋_GB2312" w:cs="方正仿宋_GB2312"/>
                <w:color w:val="auto"/>
                <w:szCs w:val="21"/>
                <w:highlight w:val="none"/>
              </w:rPr>
            </w:pPr>
          </w:p>
        </w:tc>
      </w:tr>
      <w:tr w14:paraId="3C8445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5E3EB64E">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09DC3FFB">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6EC53A76">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34AA5C06">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40E62100">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6740F3C6">
            <w:pPr>
              <w:spacing w:after="0" w:line="360" w:lineRule="auto"/>
              <w:rPr>
                <w:rFonts w:hint="eastAsia" w:ascii="方正仿宋_GB2312" w:hAnsi="方正仿宋_GB2312" w:eastAsia="方正仿宋_GB2312" w:cs="方正仿宋_GB2312"/>
                <w:color w:val="auto"/>
                <w:szCs w:val="21"/>
                <w:highlight w:val="none"/>
              </w:rPr>
            </w:pPr>
          </w:p>
        </w:tc>
      </w:tr>
      <w:tr w14:paraId="13CA11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7E85716A">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09D0A3EF">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7EA37794">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67DA9891">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3E772196">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2EC74700">
            <w:pPr>
              <w:spacing w:after="0" w:line="360" w:lineRule="auto"/>
              <w:rPr>
                <w:rFonts w:hint="eastAsia" w:ascii="方正仿宋_GB2312" w:hAnsi="方正仿宋_GB2312" w:eastAsia="方正仿宋_GB2312" w:cs="方正仿宋_GB2312"/>
                <w:color w:val="auto"/>
                <w:szCs w:val="21"/>
                <w:highlight w:val="none"/>
              </w:rPr>
            </w:pPr>
          </w:p>
        </w:tc>
      </w:tr>
      <w:tr w14:paraId="3105FF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3D86D96D">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3A0A91AA">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586A47DD">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0518C4CA">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0924806F">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03089662">
            <w:pPr>
              <w:spacing w:after="0" w:line="360" w:lineRule="auto"/>
              <w:rPr>
                <w:rFonts w:hint="eastAsia" w:ascii="方正仿宋_GB2312" w:hAnsi="方正仿宋_GB2312" w:eastAsia="方正仿宋_GB2312" w:cs="方正仿宋_GB2312"/>
                <w:color w:val="auto"/>
                <w:szCs w:val="21"/>
                <w:highlight w:val="none"/>
              </w:rPr>
            </w:pPr>
          </w:p>
        </w:tc>
      </w:tr>
      <w:tr w14:paraId="68FD6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1D9B72DB">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4A2ADA3B">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6A654BF5">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3C0439FC">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79F37FEA">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30FC4F8B">
            <w:pPr>
              <w:spacing w:after="0" w:line="360" w:lineRule="auto"/>
              <w:rPr>
                <w:rFonts w:hint="eastAsia" w:ascii="方正仿宋_GB2312" w:hAnsi="方正仿宋_GB2312" w:eastAsia="方正仿宋_GB2312" w:cs="方正仿宋_GB2312"/>
                <w:color w:val="auto"/>
                <w:szCs w:val="21"/>
                <w:highlight w:val="none"/>
              </w:rPr>
            </w:pPr>
          </w:p>
        </w:tc>
      </w:tr>
      <w:tr w14:paraId="609B15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3ADDEF6D">
            <w:pPr>
              <w:spacing w:after="0" w:line="360" w:lineRule="auto"/>
              <w:rPr>
                <w:rFonts w:hint="eastAsia" w:ascii="方正仿宋_GB2312" w:hAnsi="方正仿宋_GB2312" w:eastAsia="方正仿宋_GB2312" w:cs="方正仿宋_GB2312"/>
                <w:color w:val="auto"/>
                <w:szCs w:val="21"/>
                <w:highlight w:val="none"/>
              </w:rPr>
            </w:pPr>
          </w:p>
        </w:tc>
        <w:tc>
          <w:tcPr>
            <w:tcW w:w="1276" w:type="dxa"/>
          </w:tcPr>
          <w:p w14:paraId="1BB77278">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762C63CE">
            <w:pPr>
              <w:spacing w:after="0" w:line="360" w:lineRule="auto"/>
              <w:rPr>
                <w:rFonts w:hint="eastAsia" w:ascii="方正仿宋_GB2312" w:hAnsi="方正仿宋_GB2312" w:eastAsia="方正仿宋_GB2312" w:cs="方正仿宋_GB2312"/>
                <w:color w:val="auto"/>
                <w:szCs w:val="21"/>
                <w:highlight w:val="none"/>
              </w:rPr>
            </w:pPr>
          </w:p>
        </w:tc>
        <w:tc>
          <w:tcPr>
            <w:tcW w:w="1243" w:type="dxa"/>
          </w:tcPr>
          <w:p w14:paraId="797D8EE7">
            <w:pPr>
              <w:spacing w:after="0" w:line="360" w:lineRule="auto"/>
              <w:rPr>
                <w:rFonts w:hint="eastAsia" w:ascii="方正仿宋_GB2312" w:hAnsi="方正仿宋_GB2312" w:eastAsia="方正仿宋_GB2312" w:cs="方正仿宋_GB2312"/>
                <w:color w:val="auto"/>
                <w:szCs w:val="21"/>
                <w:highlight w:val="none"/>
              </w:rPr>
            </w:pPr>
          </w:p>
        </w:tc>
        <w:tc>
          <w:tcPr>
            <w:tcW w:w="1450" w:type="dxa"/>
          </w:tcPr>
          <w:p w14:paraId="540C882D">
            <w:pPr>
              <w:spacing w:after="0" w:line="360" w:lineRule="auto"/>
              <w:rPr>
                <w:rFonts w:hint="eastAsia" w:ascii="方正仿宋_GB2312" w:hAnsi="方正仿宋_GB2312" w:eastAsia="方正仿宋_GB2312" w:cs="方正仿宋_GB2312"/>
                <w:color w:val="auto"/>
                <w:szCs w:val="21"/>
                <w:highlight w:val="none"/>
              </w:rPr>
            </w:pPr>
          </w:p>
        </w:tc>
        <w:tc>
          <w:tcPr>
            <w:tcW w:w="1670" w:type="dxa"/>
          </w:tcPr>
          <w:p w14:paraId="7835C27E">
            <w:pPr>
              <w:spacing w:after="0" w:line="360" w:lineRule="auto"/>
              <w:rPr>
                <w:rFonts w:hint="eastAsia" w:ascii="方正仿宋_GB2312" w:hAnsi="方正仿宋_GB2312" w:eastAsia="方正仿宋_GB2312" w:cs="方正仿宋_GB2312"/>
                <w:color w:val="auto"/>
                <w:szCs w:val="21"/>
                <w:highlight w:val="none"/>
              </w:rPr>
            </w:pPr>
          </w:p>
        </w:tc>
      </w:tr>
    </w:tbl>
    <w:p w14:paraId="1D1BE0F6">
      <w:pPr>
        <w:spacing w:after="0" w:line="360" w:lineRule="auto"/>
        <w:rPr>
          <w:rFonts w:hint="eastAsia" w:ascii="方正仿宋_GB2312" w:hAnsi="方正仿宋_GB2312" w:eastAsia="方正仿宋_GB2312" w:cs="方正仿宋_GB2312"/>
          <w:color w:val="auto"/>
          <w:szCs w:val="21"/>
          <w:highlight w:val="none"/>
        </w:rPr>
      </w:pPr>
    </w:p>
    <w:p w14:paraId="20C3BE8C">
      <w:pPr>
        <w:spacing w:after="0" w:line="360" w:lineRule="auto"/>
        <w:rPr>
          <w:rFonts w:hint="eastAsia" w:ascii="方正仿宋_GB2312" w:hAnsi="方正仿宋_GB2312" w:eastAsia="方正仿宋_GB2312" w:cs="方正仿宋_GB2312"/>
          <w:color w:val="auto"/>
          <w:szCs w:val="21"/>
          <w:highlight w:val="none"/>
        </w:rPr>
      </w:pPr>
    </w:p>
    <w:p w14:paraId="3594F1DC">
      <w:pPr>
        <w:spacing w:line="360" w:lineRule="auto"/>
        <w:rPr>
          <w:rFonts w:hint="eastAsia" w:ascii="方正仿宋_GB2312" w:hAnsi="方正仿宋_GB2312" w:eastAsia="方正仿宋_GB2312" w:cs="方正仿宋_GB2312"/>
          <w:color w:val="auto"/>
          <w:highlight w:val="none"/>
        </w:rPr>
        <w:sectPr>
          <w:pgSz w:w="11906" w:h="16838"/>
          <w:pgMar w:top="1440" w:right="1800" w:bottom="1440" w:left="1800" w:header="720" w:footer="998" w:gutter="0"/>
          <w:pgNumType w:fmt="decimal"/>
          <w:cols w:space="720" w:num="1"/>
          <w:docGrid w:linePitch="326" w:charSpace="0"/>
        </w:sectPr>
      </w:pPr>
    </w:p>
    <w:p w14:paraId="40F5CB02">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14" w:name="_Toc6425"/>
      <w:bookmarkStart w:id="1515" w:name="_Toc54862356"/>
      <w:bookmarkStart w:id="1516" w:name="_Toc20171897"/>
      <w:r>
        <w:rPr>
          <w:rFonts w:hint="eastAsia" w:ascii="方正仿宋_GB2312" w:hAnsi="方正仿宋_GB2312" w:eastAsia="方正仿宋_GB2312" w:cs="方正仿宋_GB2312"/>
          <w:b/>
          <w:bCs/>
          <w:color w:val="auto"/>
          <w:kern w:val="2"/>
          <w:sz w:val="28"/>
          <w:szCs w:val="28"/>
          <w:highlight w:val="none"/>
          <w:lang w:val="zh-CN" w:eastAsia="zh-CN" w:bidi="ar-SA"/>
        </w:rPr>
        <w:t>附件5 承包人主要管理人员表</w:t>
      </w:r>
      <w:bookmarkEnd w:id="1514"/>
      <w:bookmarkEnd w:id="1515"/>
      <w:bookmarkEnd w:id="1516"/>
    </w:p>
    <w:tbl>
      <w:tblPr>
        <w:tblStyle w:val="28"/>
        <w:tblW w:w="90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5E513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bottom w:val="double" w:color="auto" w:sz="6" w:space="0"/>
            </w:tcBorders>
            <w:vAlign w:val="center"/>
          </w:tcPr>
          <w:p w14:paraId="425AE8D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名    称</w:t>
            </w:r>
          </w:p>
        </w:tc>
        <w:tc>
          <w:tcPr>
            <w:tcW w:w="1418" w:type="dxa"/>
            <w:tcBorders>
              <w:top w:val="single" w:color="auto" w:sz="12" w:space="0"/>
              <w:bottom w:val="double" w:color="auto" w:sz="6" w:space="0"/>
            </w:tcBorders>
            <w:vAlign w:val="center"/>
          </w:tcPr>
          <w:p w14:paraId="3D3B794A">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姓名</w:t>
            </w:r>
          </w:p>
        </w:tc>
        <w:tc>
          <w:tcPr>
            <w:tcW w:w="1134" w:type="dxa"/>
            <w:tcBorders>
              <w:top w:val="single" w:color="auto" w:sz="12" w:space="0"/>
              <w:bottom w:val="double" w:color="auto" w:sz="6" w:space="0"/>
            </w:tcBorders>
            <w:vAlign w:val="center"/>
          </w:tcPr>
          <w:p w14:paraId="4F0E0FC4">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职务</w:t>
            </w:r>
          </w:p>
        </w:tc>
        <w:tc>
          <w:tcPr>
            <w:tcW w:w="1134" w:type="dxa"/>
            <w:tcBorders>
              <w:top w:val="single" w:color="auto" w:sz="12" w:space="0"/>
              <w:bottom w:val="double" w:color="auto" w:sz="6" w:space="0"/>
            </w:tcBorders>
            <w:vAlign w:val="center"/>
          </w:tcPr>
          <w:p w14:paraId="68A6B85A">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职称</w:t>
            </w:r>
          </w:p>
        </w:tc>
        <w:tc>
          <w:tcPr>
            <w:tcW w:w="3896" w:type="dxa"/>
            <w:tcBorders>
              <w:top w:val="single" w:color="auto" w:sz="12" w:space="0"/>
              <w:bottom w:val="double" w:color="auto" w:sz="6" w:space="0"/>
            </w:tcBorders>
            <w:vAlign w:val="center"/>
          </w:tcPr>
          <w:p w14:paraId="3D1BFA3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主要资历、经验及承担过的项目</w:t>
            </w:r>
          </w:p>
        </w:tc>
      </w:tr>
      <w:tr w14:paraId="7E8FB5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vAlign w:val="center"/>
          </w:tcPr>
          <w:p w14:paraId="1058ECA2">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一、总部人员</w:t>
            </w:r>
          </w:p>
        </w:tc>
      </w:tr>
      <w:tr w14:paraId="080DAF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5C575859">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项目主管</w:t>
            </w:r>
          </w:p>
        </w:tc>
        <w:tc>
          <w:tcPr>
            <w:tcW w:w="1418" w:type="dxa"/>
            <w:tcBorders>
              <w:top w:val="nil"/>
            </w:tcBorders>
            <w:vAlign w:val="center"/>
          </w:tcPr>
          <w:p w14:paraId="31DC3E1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nil"/>
            </w:tcBorders>
            <w:vAlign w:val="center"/>
          </w:tcPr>
          <w:p w14:paraId="34138C5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top w:val="nil"/>
            </w:tcBorders>
            <w:vAlign w:val="center"/>
          </w:tcPr>
          <w:p w14:paraId="2AF5AC0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tcBorders>
              <w:top w:val="nil"/>
            </w:tcBorders>
            <w:vAlign w:val="center"/>
          </w:tcPr>
          <w:p w14:paraId="23E6CF6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10C9DE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nil"/>
            </w:tcBorders>
            <w:vAlign w:val="center"/>
          </w:tcPr>
          <w:p w14:paraId="0C66DFF3">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18" w:type="dxa"/>
            <w:vAlign w:val="center"/>
          </w:tcPr>
          <w:p w14:paraId="106A4BF2">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71B98F3">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14EE2D5D">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653EF3C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52C658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0F57FA73">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其他人员</w:t>
            </w:r>
          </w:p>
        </w:tc>
        <w:tc>
          <w:tcPr>
            <w:tcW w:w="1418" w:type="dxa"/>
            <w:vAlign w:val="center"/>
          </w:tcPr>
          <w:p w14:paraId="2CE7E26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202C644">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2D043E9">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3BC510A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6D348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vAlign w:val="center"/>
          </w:tcPr>
          <w:p w14:paraId="15A3686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18" w:type="dxa"/>
            <w:vAlign w:val="center"/>
          </w:tcPr>
          <w:p w14:paraId="4B7ED6E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182BD9B2">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6D00CC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1934C214">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50E75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vAlign w:val="center"/>
          </w:tcPr>
          <w:p w14:paraId="0E1907E9">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二、现场人员</w:t>
            </w:r>
          </w:p>
        </w:tc>
      </w:tr>
      <w:tr w14:paraId="65D581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39668D0E">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工程总承包</w:t>
            </w:r>
          </w:p>
          <w:p w14:paraId="0ADA7DB9">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项目经理</w:t>
            </w:r>
          </w:p>
        </w:tc>
        <w:tc>
          <w:tcPr>
            <w:tcW w:w="1418" w:type="dxa"/>
            <w:vAlign w:val="center"/>
          </w:tcPr>
          <w:p w14:paraId="4686FEAA">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48E3296">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489486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658CE86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p w14:paraId="2568B71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FF16E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18D07476">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项目副经理</w:t>
            </w:r>
          </w:p>
        </w:tc>
        <w:tc>
          <w:tcPr>
            <w:tcW w:w="1418" w:type="dxa"/>
            <w:vAlign w:val="center"/>
          </w:tcPr>
          <w:p w14:paraId="506F79D3">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B01ADD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09CE3FE">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5AEA4233">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101878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545E76DF">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设计负责人</w:t>
            </w:r>
          </w:p>
        </w:tc>
        <w:tc>
          <w:tcPr>
            <w:tcW w:w="1418" w:type="dxa"/>
            <w:vAlign w:val="center"/>
          </w:tcPr>
          <w:p w14:paraId="23AA3AF2">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28BE7093">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C1D321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09DDA15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7A71F6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7C802C09">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采购负责人</w:t>
            </w:r>
          </w:p>
        </w:tc>
        <w:tc>
          <w:tcPr>
            <w:tcW w:w="1418" w:type="dxa"/>
            <w:vAlign w:val="center"/>
          </w:tcPr>
          <w:p w14:paraId="2024CE0B">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AF4D22F">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BC4D36E">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790A8C4D">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576B1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0C67D248">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施工负责人</w:t>
            </w:r>
          </w:p>
        </w:tc>
        <w:tc>
          <w:tcPr>
            <w:tcW w:w="1418" w:type="dxa"/>
            <w:vAlign w:val="center"/>
          </w:tcPr>
          <w:p w14:paraId="6FF39BF2">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7CE91AB">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BC2E35E">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77E13714">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7102A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6E3EF414">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技术负责人</w:t>
            </w:r>
          </w:p>
        </w:tc>
        <w:tc>
          <w:tcPr>
            <w:tcW w:w="1418" w:type="dxa"/>
            <w:vAlign w:val="center"/>
          </w:tcPr>
          <w:p w14:paraId="26FFAB5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CD08362">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553245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2B0B95A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A5844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1CE12AE0">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造价管理</w:t>
            </w:r>
          </w:p>
        </w:tc>
        <w:tc>
          <w:tcPr>
            <w:tcW w:w="1418" w:type="dxa"/>
            <w:vAlign w:val="center"/>
          </w:tcPr>
          <w:p w14:paraId="056E640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962841E">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723B6D3">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66C2A6F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638D23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796A4004">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质量管理</w:t>
            </w:r>
          </w:p>
        </w:tc>
        <w:tc>
          <w:tcPr>
            <w:tcW w:w="1418" w:type="dxa"/>
            <w:vAlign w:val="center"/>
          </w:tcPr>
          <w:p w14:paraId="01A017E9">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57F4AF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84C67A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24AD4D1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3F6CA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775B2FFF">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计划管理</w:t>
            </w:r>
          </w:p>
        </w:tc>
        <w:tc>
          <w:tcPr>
            <w:tcW w:w="1418" w:type="dxa"/>
            <w:vAlign w:val="center"/>
          </w:tcPr>
          <w:p w14:paraId="5D074BF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39E4589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98A000A">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26A64218">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033D72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629D3AF9">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安全管理</w:t>
            </w:r>
          </w:p>
        </w:tc>
        <w:tc>
          <w:tcPr>
            <w:tcW w:w="1418" w:type="dxa"/>
            <w:vAlign w:val="center"/>
          </w:tcPr>
          <w:p w14:paraId="211B2A3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41B31EAC">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0D8FB98D">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6E7A532D">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4DEB71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vAlign w:val="center"/>
          </w:tcPr>
          <w:p w14:paraId="3343A03E">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环境管理</w:t>
            </w:r>
          </w:p>
        </w:tc>
        <w:tc>
          <w:tcPr>
            <w:tcW w:w="1418" w:type="dxa"/>
            <w:vAlign w:val="center"/>
          </w:tcPr>
          <w:p w14:paraId="10903564">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E117FB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6E971FF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64D668C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578421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single" w:color="auto" w:sz="6" w:space="0"/>
            </w:tcBorders>
            <w:vAlign w:val="center"/>
          </w:tcPr>
          <w:p w14:paraId="1D14AAFA">
            <w:pPr>
              <w:widowControl w:val="0"/>
              <w:spacing w:after="120" w:line="360" w:lineRule="auto"/>
              <w:jc w:val="center"/>
              <w:rPr>
                <w:rFonts w:hint="eastAsia" w:ascii="方正仿宋_GB2312" w:hAnsi="方正仿宋_GB2312" w:eastAsia="方正仿宋_GB2312" w:cs="方正仿宋_GB2312"/>
                <w:color w:val="auto"/>
                <w:kern w:val="0"/>
                <w:sz w:val="21"/>
                <w:szCs w:val="21"/>
                <w:highlight w:val="none"/>
                <w:lang w:val="en-US" w:eastAsia="zh-CN" w:bidi="ar-SA"/>
              </w:rPr>
            </w:pPr>
            <w:r>
              <w:rPr>
                <w:rFonts w:hint="eastAsia" w:ascii="方正仿宋_GB2312" w:hAnsi="方正仿宋_GB2312" w:eastAsia="方正仿宋_GB2312" w:cs="方正仿宋_GB2312"/>
                <w:color w:val="auto"/>
                <w:kern w:val="0"/>
                <w:sz w:val="21"/>
                <w:szCs w:val="21"/>
                <w:highlight w:val="none"/>
                <w:lang w:val="en-US" w:eastAsia="zh-CN" w:bidi="ar-SA"/>
              </w:rPr>
              <w:t>其他人员</w:t>
            </w:r>
          </w:p>
        </w:tc>
        <w:tc>
          <w:tcPr>
            <w:tcW w:w="1418" w:type="dxa"/>
            <w:vAlign w:val="center"/>
          </w:tcPr>
          <w:p w14:paraId="1E74EADF">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B84DB6E">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233DE83">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2F2A6B94">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5F6105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1AC5DB5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18" w:type="dxa"/>
            <w:tcBorders>
              <w:bottom w:val="nil"/>
            </w:tcBorders>
            <w:vAlign w:val="center"/>
          </w:tcPr>
          <w:p w14:paraId="1360A61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bottom w:val="nil"/>
            </w:tcBorders>
            <w:vAlign w:val="center"/>
          </w:tcPr>
          <w:p w14:paraId="6DCD814F">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tcBorders>
              <w:bottom w:val="nil"/>
            </w:tcBorders>
            <w:vAlign w:val="center"/>
          </w:tcPr>
          <w:p w14:paraId="00BC086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tcBorders>
              <w:bottom w:val="nil"/>
            </w:tcBorders>
            <w:vAlign w:val="center"/>
          </w:tcPr>
          <w:p w14:paraId="1FCA8121">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r w14:paraId="109D5D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continue"/>
            <w:vAlign w:val="center"/>
          </w:tcPr>
          <w:p w14:paraId="18886B46">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418" w:type="dxa"/>
            <w:vAlign w:val="center"/>
          </w:tcPr>
          <w:p w14:paraId="3F86E125">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5895AAA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1134" w:type="dxa"/>
            <w:vAlign w:val="center"/>
          </w:tcPr>
          <w:p w14:paraId="7F36A537">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c>
          <w:tcPr>
            <w:tcW w:w="3896" w:type="dxa"/>
            <w:vAlign w:val="center"/>
          </w:tcPr>
          <w:p w14:paraId="5E2D4030">
            <w:pPr>
              <w:widowControl w:val="0"/>
              <w:spacing w:after="120" w:line="360" w:lineRule="auto"/>
              <w:ind w:firstLine="420"/>
              <w:jc w:val="both"/>
              <w:rPr>
                <w:rFonts w:hint="eastAsia" w:ascii="方正仿宋_GB2312" w:hAnsi="方正仿宋_GB2312" w:eastAsia="方正仿宋_GB2312" w:cs="方正仿宋_GB2312"/>
                <w:color w:val="auto"/>
                <w:kern w:val="0"/>
                <w:sz w:val="21"/>
                <w:szCs w:val="21"/>
                <w:highlight w:val="none"/>
                <w:lang w:val="en-US" w:eastAsia="zh-CN" w:bidi="ar-SA"/>
              </w:rPr>
            </w:pPr>
          </w:p>
        </w:tc>
      </w:tr>
    </w:tbl>
    <w:p w14:paraId="2C4935C0">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17" w:name="_Toc54862357"/>
      <w:bookmarkStart w:id="1518" w:name="_Toc18448"/>
      <w:r>
        <w:rPr>
          <w:rFonts w:hint="eastAsia" w:ascii="方正仿宋_GB2312" w:hAnsi="方正仿宋_GB2312" w:eastAsia="方正仿宋_GB2312" w:cs="方正仿宋_GB2312"/>
          <w:b/>
          <w:bCs/>
          <w:color w:val="auto"/>
          <w:kern w:val="2"/>
          <w:sz w:val="28"/>
          <w:szCs w:val="28"/>
          <w:highlight w:val="none"/>
          <w:lang w:val="zh-CN" w:eastAsia="zh-CN" w:bidi="ar-SA"/>
        </w:rPr>
        <w:t>附件6 价格指数权重表</w:t>
      </w:r>
      <w:bookmarkEnd w:id="1517"/>
      <w:bookmarkEnd w:id="1518"/>
    </w:p>
    <w:tbl>
      <w:tblPr>
        <w:tblStyle w:val="28"/>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3EBC2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29" w:type="dxa"/>
            <w:vMerge w:val="restart"/>
          </w:tcPr>
          <w:p w14:paraId="702EA6C2">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序号</w:t>
            </w:r>
          </w:p>
        </w:tc>
        <w:tc>
          <w:tcPr>
            <w:tcW w:w="1460" w:type="dxa"/>
            <w:gridSpan w:val="2"/>
            <w:vMerge w:val="restart"/>
          </w:tcPr>
          <w:p w14:paraId="30C08595">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名称</w:t>
            </w:r>
          </w:p>
        </w:tc>
        <w:tc>
          <w:tcPr>
            <w:tcW w:w="2295" w:type="dxa"/>
            <w:gridSpan w:val="2"/>
          </w:tcPr>
          <w:p w14:paraId="508BAEB6">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变更权重B</w:t>
            </w:r>
          </w:p>
        </w:tc>
        <w:tc>
          <w:tcPr>
            <w:tcW w:w="2445" w:type="dxa"/>
            <w:gridSpan w:val="2"/>
          </w:tcPr>
          <w:p w14:paraId="6A03C9BF">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基本价格指数F0</w:t>
            </w:r>
          </w:p>
        </w:tc>
        <w:tc>
          <w:tcPr>
            <w:tcW w:w="1380" w:type="dxa"/>
          </w:tcPr>
          <w:p w14:paraId="19003044">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备注</w:t>
            </w:r>
          </w:p>
        </w:tc>
      </w:tr>
      <w:tr w14:paraId="438CE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29" w:type="dxa"/>
            <w:vMerge w:val="continue"/>
          </w:tcPr>
          <w:p w14:paraId="5BA9DF8D">
            <w:pPr>
              <w:spacing w:after="0" w:line="360" w:lineRule="auto"/>
              <w:rPr>
                <w:rFonts w:hint="eastAsia" w:ascii="方正仿宋_GB2312" w:hAnsi="方正仿宋_GB2312" w:eastAsia="方正仿宋_GB2312" w:cs="方正仿宋_GB2312"/>
                <w:color w:val="auto"/>
                <w:szCs w:val="21"/>
                <w:highlight w:val="none"/>
              </w:rPr>
            </w:pPr>
          </w:p>
        </w:tc>
        <w:tc>
          <w:tcPr>
            <w:tcW w:w="1460" w:type="dxa"/>
            <w:gridSpan w:val="2"/>
            <w:vMerge w:val="continue"/>
          </w:tcPr>
          <w:p w14:paraId="1D6271A2">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201D4DFA">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代号</w:t>
            </w:r>
          </w:p>
        </w:tc>
        <w:tc>
          <w:tcPr>
            <w:tcW w:w="1080" w:type="dxa"/>
          </w:tcPr>
          <w:p w14:paraId="03105BB3">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权重</w:t>
            </w:r>
          </w:p>
        </w:tc>
        <w:tc>
          <w:tcPr>
            <w:tcW w:w="1215" w:type="dxa"/>
          </w:tcPr>
          <w:p w14:paraId="60FEFE91">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代号</w:t>
            </w:r>
          </w:p>
        </w:tc>
        <w:tc>
          <w:tcPr>
            <w:tcW w:w="1230" w:type="dxa"/>
          </w:tcPr>
          <w:p w14:paraId="194F6F81">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指数</w:t>
            </w:r>
          </w:p>
        </w:tc>
        <w:tc>
          <w:tcPr>
            <w:tcW w:w="1380" w:type="dxa"/>
          </w:tcPr>
          <w:p w14:paraId="712E082F">
            <w:pPr>
              <w:spacing w:after="0" w:line="360" w:lineRule="auto"/>
              <w:rPr>
                <w:rFonts w:hint="eastAsia" w:ascii="方正仿宋_GB2312" w:hAnsi="方正仿宋_GB2312" w:eastAsia="方正仿宋_GB2312" w:cs="方正仿宋_GB2312"/>
                <w:color w:val="auto"/>
                <w:szCs w:val="21"/>
                <w:highlight w:val="none"/>
              </w:rPr>
            </w:pPr>
          </w:p>
        </w:tc>
      </w:tr>
      <w:tr w14:paraId="392F7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180B3AC0">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restart"/>
          </w:tcPr>
          <w:p w14:paraId="50A35DC7">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变</w:t>
            </w:r>
          </w:p>
          <w:p w14:paraId="522FAE1F">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值</w:t>
            </w:r>
          </w:p>
          <w:p w14:paraId="67569139">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部</w:t>
            </w:r>
          </w:p>
          <w:p w14:paraId="724F5B43">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分</w:t>
            </w:r>
          </w:p>
        </w:tc>
        <w:tc>
          <w:tcPr>
            <w:tcW w:w="876" w:type="dxa"/>
          </w:tcPr>
          <w:p w14:paraId="6A39A558">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31E05325">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B1</w:t>
            </w:r>
          </w:p>
        </w:tc>
        <w:tc>
          <w:tcPr>
            <w:tcW w:w="1080" w:type="dxa"/>
          </w:tcPr>
          <w:p w14:paraId="41134857">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15C32BBA">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F01</w:t>
            </w:r>
          </w:p>
        </w:tc>
        <w:tc>
          <w:tcPr>
            <w:tcW w:w="1230" w:type="dxa"/>
          </w:tcPr>
          <w:p w14:paraId="6BD44436">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48BC680C">
            <w:pPr>
              <w:spacing w:after="0" w:line="360" w:lineRule="auto"/>
              <w:rPr>
                <w:rFonts w:hint="eastAsia" w:ascii="方正仿宋_GB2312" w:hAnsi="方正仿宋_GB2312" w:eastAsia="方正仿宋_GB2312" w:cs="方正仿宋_GB2312"/>
                <w:color w:val="auto"/>
                <w:szCs w:val="21"/>
                <w:highlight w:val="none"/>
              </w:rPr>
            </w:pPr>
          </w:p>
        </w:tc>
      </w:tr>
      <w:tr w14:paraId="7B25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48C2B4EB">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continue"/>
          </w:tcPr>
          <w:p w14:paraId="73DA5245">
            <w:pPr>
              <w:spacing w:after="0" w:line="360" w:lineRule="auto"/>
              <w:rPr>
                <w:rFonts w:hint="eastAsia" w:ascii="方正仿宋_GB2312" w:hAnsi="方正仿宋_GB2312" w:eastAsia="方正仿宋_GB2312" w:cs="方正仿宋_GB2312"/>
                <w:color w:val="auto"/>
                <w:szCs w:val="21"/>
                <w:highlight w:val="none"/>
              </w:rPr>
            </w:pPr>
          </w:p>
        </w:tc>
        <w:tc>
          <w:tcPr>
            <w:tcW w:w="876" w:type="dxa"/>
          </w:tcPr>
          <w:p w14:paraId="359F948D">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40CED66D">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B2</w:t>
            </w:r>
          </w:p>
        </w:tc>
        <w:tc>
          <w:tcPr>
            <w:tcW w:w="1080" w:type="dxa"/>
          </w:tcPr>
          <w:p w14:paraId="24EC1E43">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6A66DD61">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F02</w:t>
            </w:r>
          </w:p>
        </w:tc>
        <w:tc>
          <w:tcPr>
            <w:tcW w:w="1230" w:type="dxa"/>
          </w:tcPr>
          <w:p w14:paraId="187F3A7E">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016F7633">
            <w:pPr>
              <w:spacing w:after="0" w:line="360" w:lineRule="auto"/>
              <w:rPr>
                <w:rFonts w:hint="eastAsia" w:ascii="方正仿宋_GB2312" w:hAnsi="方正仿宋_GB2312" w:eastAsia="方正仿宋_GB2312" w:cs="方正仿宋_GB2312"/>
                <w:color w:val="auto"/>
                <w:szCs w:val="21"/>
                <w:highlight w:val="none"/>
              </w:rPr>
            </w:pPr>
          </w:p>
        </w:tc>
      </w:tr>
      <w:tr w14:paraId="1049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5A628D4B">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continue"/>
          </w:tcPr>
          <w:p w14:paraId="32FBA10D">
            <w:pPr>
              <w:spacing w:after="0" w:line="360" w:lineRule="auto"/>
              <w:rPr>
                <w:rFonts w:hint="eastAsia" w:ascii="方正仿宋_GB2312" w:hAnsi="方正仿宋_GB2312" w:eastAsia="方正仿宋_GB2312" w:cs="方正仿宋_GB2312"/>
                <w:color w:val="auto"/>
                <w:szCs w:val="21"/>
                <w:highlight w:val="none"/>
              </w:rPr>
            </w:pPr>
          </w:p>
        </w:tc>
        <w:tc>
          <w:tcPr>
            <w:tcW w:w="876" w:type="dxa"/>
          </w:tcPr>
          <w:p w14:paraId="5918947A">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58E4F405">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B3</w:t>
            </w:r>
          </w:p>
        </w:tc>
        <w:tc>
          <w:tcPr>
            <w:tcW w:w="1080" w:type="dxa"/>
          </w:tcPr>
          <w:p w14:paraId="1820C24B">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331185FD">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F03</w:t>
            </w:r>
          </w:p>
        </w:tc>
        <w:tc>
          <w:tcPr>
            <w:tcW w:w="1230" w:type="dxa"/>
          </w:tcPr>
          <w:p w14:paraId="290BD29B">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3A2E8923">
            <w:pPr>
              <w:spacing w:after="0" w:line="360" w:lineRule="auto"/>
              <w:rPr>
                <w:rFonts w:hint="eastAsia" w:ascii="方正仿宋_GB2312" w:hAnsi="方正仿宋_GB2312" w:eastAsia="方正仿宋_GB2312" w:cs="方正仿宋_GB2312"/>
                <w:color w:val="auto"/>
                <w:szCs w:val="21"/>
                <w:highlight w:val="none"/>
              </w:rPr>
            </w:pPr>
          </w:p>
        </w:tc>
      </w:tr>
      <w:tr w14:paraId="0EAE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9D924DE">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continue"/>
          </w:tcPr>
          <w:p w14:paraId="0963D9C8">
            <w:pPr>
              <w:spacing w:after="0" w:line="360" w:lineRule="auto"/>
              <w:rPr>
                <w:rFonts w:hint="eastAsia" w:ascii="方正仿宋_GB2312" w:hAnsi="方正仿宋_GB2312" w:eastAsia="方正仿宋_GB2312" w:cs="方正仿宋_GB2312"/>
                <w:color w:val="auto"/>
                <w:szCs w:val="21"/>
                <w:highlight w:val="none"/>
              </w:rPr>
            </w:pPr>
          </w:p>
        </w:tc>
        <w:tc>
          <w:tcPr>
            <w:tcW w:w="876" w:type="dxa"/>
          </w:tcPr>
          <w:p w14:paraId="26942010">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08F62318">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B4</w:t>
            </w:r>
          </w:p>
        </w:tc>
        <w:tc>
          <w:tcPr>
            <w:tcW w:w="1080" w:type="dxa"/>
          </w:tcPr>
          <w:p w14:paraId="30551118">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5E3EF262">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F04</w:t>
            </w:r>
          </w:p>
        </w:tc>
        <w:tc>
          <w:tcPr>
            <w:tcW w:w="1230" w:type="dxa"/>
          </w:tcPr>
          <w:p w14:paraId="7C89CCD2">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59745EDC">
            <w:pPr>
              <w:spacing w:after="0" w:line="360" w:lineRule="auto"/>
              <w:rPr>
                <w:rFonts w:hint="eastAsia" w:ascii="方正仿宋_GB2312" w:hAnsi="方正仿宋_GB2312" w:eastAsia="方正仿宋_GB2312" w:cs="方正仿宋_GB2312"/>
                <w:color w:val="auto"/>
                <w:szCs w:val="21"/>
                <w:highlight w:val="none"/>
              </w:rPr>
            </w:pPr>
          </w:p>
        </w:tc>
      </w:tr>
      <w:tr w14:paraId="4649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739CE289">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continue"/>
          </w:tcPr>
          <w:p w14:paraId="7BA877B8">
            <w:pPr>
              <w:spacing w:after="0" w:line="360" w:lineRule="auto"/>
              <w:rPr>
                <w:rFonts w:hint="eastAsia" w:ascii="方正仿宋_GB2312" w:hAnsi="方正仿宋_GB2312" w:eastAsia="方正仿宋_GB2312" w:cs="方正仿宋_GB2312"/>
                <w:color w:val="auto"/>
                <w:szCs w:val="21"/>
                <w:highlight w:val="none"/>
              </w:rPr>
            </w:pPr>
          </w:p>
        </w:tc>
        <w:tc>
          <w:tcPr>
            <w:tcW w:w="876" w:type="dxa"/>
          </w:tcPr>
          <w:p w14:paraId="1B040DBF">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6ED8EDA7">
            <w:pPr>
              <w:spacing w:after="0" w:line="360" w:lineRule="auto"/>
              <w:rPr>
                <w:rFonts w:hint="eastAsia" w:ascii="方正仿宋_GB2312" w:hAnsi="方正仿宋_GB2312" w:eastAsia="方正仿宋_GB2312" w:cs="方正仿宋_GB2312"/>
                <w:color w:val="auto"/>
                <w:szCs w:val="21"/>
                <w:highlight w:val="none"/>
              </w:rPr>
            </w:pPr>
          </w:p>
        </w:tc>
        <w:tc>
          <w:tcPr>
            <w:tcW w:w="1080" w:type="dxa"/>
          </w:tcPr>
          <w:p w14:paraId="1313784B">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77F06C2E">
            <w:pPr>
              <w:spacing w:after="0" w:line="360" w:lineRule="auto"/>
              <w:rPr>
                <w:rFonts w:hint="eastAsia" w:ascii="方正仿宋_GB2312" w:hAnsi="方正仿宋_GB2312" w:eastAsia="方正仿宋_GB2312" w:cs="方正仿宋_GB2312"/>
                <w:color w:val="auto"/>
                <w:szCs w:val="21"/>
                <w:highlight w:val="none"/>
              </w:rPr>
            </w:pPr>
          </w:p>
        </w:tc>
        <w:tc>
          <w:tcPr>
            <w:tcW w:w="1230" w:type="dxa"/>
          </w:tcPr>
          <w:p w14:paraId="2A842733">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6F6F96A7">
            <w:pPr>
              <w:spacing w:after="0" w:line="360" w:lineRule="auto"/>
              <w:rPr>
                <w:rFonts w:hint="eastAsia" w:ascii="方正仿宋_GB2312" w:hAnsi="方正仿宋_GB2312" w:eastAsia="方正仿宋_GB2312" w:cs="方正仿宋_GB2312"/>
                <w:color w:val="auto"/>
                <w:szCs w:val="21"/>
                <w:highlight w:val="none"/>
              </w:rPr>
            </w:pPr>
          </w:p>
        </w:tc>
      </w:tr>
      <w:tr w14:paraId="5041E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767ADEC8">
            <w:pPr>
              <w:spacing w:after="0" w:line="360" w:lineRule="auto"/>
              <w:rPr>
                <w:rFonts w:hint="eastAsia" w:ascii="方正仿宋_GB2312" w:hAnsi="方正仿宋_GB2312" w:eastAsia="方正仿宋_GB2312" w:cs="方正仿宋_GB2312"/>
                <w:color w:val="auto"/>
                <w:szCs w:val="21"/>
                <w:highlight w:val="none"/>
              </w:rPr>
            </w:pPr>
          </w:p>
        </w:tc>
        <w:tc>
          <w:tcPr>
            <w:tcW w:w="584" w:type="dxa"/>
            <w:vMerge w:val="continue"/>
          </w:tcPr>
          <w:p w14:paraId="099C1A56">
            <w:pPr>
              <w:spacing w:after="0" w:line="360" w:lineRule="auto"/>
              <w:rPr>
                <w:rFonts w:hint="eastAsia" w:ascii="方正仿宋_GB2312" w:hAnsi="方正仿宋_GB2312" w:eastAsia="方正仿宋_GB2312" w:cs="方正仿宋_GB2312"/>
                <w:color w:val="auto"/>
                <w:szCs w:val="21"/>
                <w:highlight w:val="none"/>
              </w:rPr>
            </w:pPr>
          </w:p>
        </w:tc>
        <w:tc>
          <w:tcPr>
            <w:tcW w:w="876" w:type="dxa"/>
          </w:tcPr>
          <w:p w14:paraId="34DF8698">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230CEFC0">
            <w:pPr>
              <w:spacing w:after="0" w:line="360" w:lineRule="auto"/>
              <w:rPr>
                <w:rFonts w:hint="eastAsia" w:ascii="方正仿宋_GB2312" w:hAnsi="方正仿宋_GB2312" w:eastAsia="方正仿宋_GB2312" w:cs="方正仿宋_GB2312"/>
                <w:color w:val="auto"/>
                <w:szCs w:val="21"/>
                <w:highlight w:val="none"/>
              </w:rPr>
            </w:pPr>
          </w:p>
        </w:tc>
        <w:tc>
          <w:tcPr>
            <w:tcW w:w="1080" w:type="dxa"/>
          </w:tcPr>
          <w:p w14:paraId="51F6A794">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12F2E858">
            <w:pPr>
              <w:spacing w:after="0" w:line="360" w:lineRule="auto"/>
              <w:rPr>
                <w:rFonts w:hint="eastAsia" w:ascii="方正仿宋_GB2312" w:hAnsi="方正仿宋_GB2312" w:eastAsia="方正仿宋_GB2312" w:cs="方正仿宋_GB2312"/>
                <w:color w:val="auto"/>
                <w:szCs w:val="21"/>
                <w:highlight w:val="none"/>
              </w:rPr>
            </w:pPr>
          </w:p>
        </w:tc>
        <w:tc>
          <w:tcPr>
            <w:tcW w:w="1230" w:type="dxa"/>
          </w:tcPr>
          <w:p w14:paraId="095A9F5A">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1E66EA60">
            <w:pPr>
              <w:spacing w:after="0" w:line="360" w:lineRule="auto"/>
              <w:rPr>
                <w:rFonts w:hint="eastAsia" w:ascii="方正仿宋_GB2312" w:hAnsi="方正仿宋_GB2312" w:eastAsia="方正仿宋_GB2312" w:cs="方正仿宋_GB2312"/>
                <w:color w:val="auto"/>
                <w:szCs w:val="21"/>
                <w:highlight w:val="none"/>
              </w:rPr>
            </w:pPr>
          </w:p>
        </w:tc>
      </w:tr>
      <w:tr w14:paraId="4753C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tcPr>
          <w:p w14:paraId="19AFCFFF">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定值部分权重A</w:t>
            </w:r>
          </w:p>
        </w:tc>
        <w:tc>
          <w:tcPr>
            <w:tcW w:w="1215" w:type="dxa"/>
          </w:tcPr>
          <w:p w14:paraId="6A855995">
            <w:pPr>
              <w:spacing w:after="0" w:line="360" w:lineRule="auto"/>
              <w:rPr>
                <w:rFonts w:hint="eastAsia" w:ascii="方正仿宋_GB2312" w:hAnsi="方正仿宋_GB2312" w:eastAsia="方正仿宋_GB2312" w:cs="方正仿宋_GB2312"/>
                <w:color w:val="auto"/>
                <w:szCs w:val="21"/>
                <w:highlight w:val="none"/>
              </w:rPr>
            </w:pPr>
          </w:p>
        </w:tc>
        <w:tc>
          <w:tcPr>
            <w:tcW w:w="1080" w:type="dxa"/>
          </w:tcPr>
          <w:p w14:paraId="5CDD3DAE">
            <w:pPr>
              <w:spacing w:after="0" w:line="360" w:lineRule="auto"/>
              <w:rPr>
                <w:rFonts w:hint="eastAsia" w:ascii="方正仿宋_GB2312" w:hAnsi="方正仿宋_GB2312" w:eastAsia="方正仿宋_GB2312" w:cs="方正仿宋_GB2312"/>
                <w:color w:val="auto"/>
                <w:szCs w:val="21"/>
                <w:highlight w:val="none"/>
              </w:rPr>
            </w:pPr>
          </w:p>
        </w:tc>
        <w:tc>
          <w:tcPr>
            <w:tcW w:w="1215" w:type="dxa"/>
          </w:tcPr>
          <w:p w14:paraId="3CCF7D87">
            <w:pPr>
              <w:spacing w:after="0" w:line="360" w:lineRule="auto"/>
              <w:rPr>
                <w:rFonts w:hint="eastAsia" w:ascii="方正仿宋_GB2312" w:hAnsi="方正仿宋_GB2312" w:eastAsia="方正仿宋_GB2312" w:cs="方正仿宋_GB2312"/>
                <w:color w:val="auto"/>
                <w:szCs w:val="21"/>
                <w:highlight w:val="none"/>
              </w:rPr>
            </w:pPr>
          </w:p>
        </w:tc>
        <w:tc>
          <w:tcPr>
            <w:tcW w:w="1230" w:type="dxa"/>
          </w:tcPr>
          <w:p w14:paraId="3855BFDE">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3A8D211E">
            <w:pPr>
              <w:spacing w:after="0" w:line="360" w:lineRule="auto"/>
              <w:rPr>
                <w:rFonts w:hint="eastAsia" w:ascii="方正仿宋_GB2312" w:hAnsi="方正仿宋_GB2312" w:eastAsia="方正仿宋_GB2312" w:cs="方正仿宋_GB2312"/>
                <w:color w:val="auto"/>
                <w:szCs w:val="21"/>
                <w:highlight w:val="none"/>
              </w:rPr>
            </w:pPr>
          </w:p>
        </w:tc>
      </w:tr>
      <w:tr w14:paraId="55D06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tcPr>
          <w:p w14:paraId="19EBF716">
            <w:pPr>
              <w:spacing w:after="0"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合计</w:t>
            </w:r>
          </w:p>
        </w:tc>
        <w:tc>
          <w:tcPr>
            <w:tcW w:w="2295" w:type="dxa"/>
            <w:gridSpan w:val="2"/>
          </w:tcPr>
          <w:p w14:paraId="70463DB8">
            <w:pPr>
              <w:spacing w:after="0" w:line="360" w:lineRule="auto"/>
              <w:rPr>
                <w:rFonts w:hint="eastAsia" w:ascii="方正仿宋_GB2312" w:hAnsi="方正仿宋_GB2312" w:eastAsia="方正仿宋_GB2312" w:cs="方正仿宋_GB2312"/>
                <w:color w:val="auto"/>
                <w:szCs w:val="21"/>
                <w:highlight w:val="none"/>
              </w:rPr>
            </w:pPr>
          </w:p>
        </w:tc>
        <w:tc>
          <w:tcPr>
            <w:tcW w:w="2445" w:type="dxa"/>
            <w:gridSpan w:val="2"/>
          </w:tcPr>
          <w:p w14:paraId="6BBDC89D">
            <w:pPr>
              <w:spacing w:after="0" w:line="360" w:lineRule="auto"/>
              <w:rPr>
                <w:rFonts w:hint="eastAsia" w:ascii="方正仿宋_GB2312" w:hAnsi="方正仿宋_GB2312" w:eastAsia="方正仿宋_GB2312" w:cs="方正仿宋_GB2312"/>
                <w:color w:val="auto"/>
                <w:szCs w:val="21"/>
                <w:highlight w:val="none"/>
              </w:rPr>
            </w:pPr>
          </w:p>
        </w:tc>
        <w:tc>
          <w:tcPr>
            <w:tcW w:w="1380" w:type="dxa"/>
          </w:tcPr>
          <w:p w14:paraId="3843BE69">
            <w:pPr>
              <w:spacing w:after="0" w:line="360" w:lineRule="auto"/>
              <w:rPr>
                <w:rFonts w:hint="eastAsia" w:ascii="方正仿宋_GB2312" w:hAnsi="方正仿宋_GB2312" w:eastAsia="方正仿宋_GB2312" w:cs="方正仿宋_GB2312"/>
                <w:color w:val="auto"/>
                <w:szCs w:val="21"/>
                <w:highlight w:val="none"/>
              </w:rPr>
            </w:pPr>
          </w:p>
        </w:tc>
      </w:tr>
    </w:tbl>
    <w:p w14:paraId="285A3D9C">
      <w:pPr>
        <w:keepNext/>
        <w:keepLines/>
        <w:widowControl w:val="0"/>
        <w:numPr>
          <w:ilvl w:val="0"/>
          <w:numId w:val="0"/>
        </w:numPr>
        <w:tabs>
          <w:tab w:val="left" w:pos="1134"/>
        </w:tabs>
        <w:spacing w:before="260" w:after="260" w:line="360" w:lineRule="auto"/>
        <w:ind w:firstLine="0"/>
        <w:jc w:val="both"/>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326CD1B0">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77B53930">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5C896D4C">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346A5DBC">
      <w:pPr>
        <w:keepNext/>
        <w:keepLines/>
        <w:widowControl w:val="0"/>
        <w:numPr>
          <w:ilvl w:val="0"/>
          <w:numId w:val="0"/>
        </w:numPr>
        <w:tabs>
          <w:tab w:val="left" w:pos="1134"/>
        </w:tabs>
        <w:spacing w:before="260" w:after="26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03BC912D">
      <w:pPr>
        <w:spacing w:after="0" w:line="240" w:lineRule="auto"/>
        <w:rPr>
          <w:rFonts w:hint="eastAsia" w:ascii="方正仿宋_GB2312" w:hAnsi="方正仿宋_GB2312" w:eastAsia="方正仿宋_GB2312" w:cs="方正仿宋_GB2312"/>
          <w:color w:val="auto"/>
          <w:sz w:val="28"/>
          <w:szCs w:val="28"/>
          <w:highlight w:val="none"/>
        </w:rPr>
      </w:pPr>
    </w:p>
    <w:p w14:paraId="686B399B">
      <w:pPr>
        <w:widowControl w:val="0"/>
        <w:autoSpaceDE w:val="0"/>
        <w:autoSpaceDN w:val="0"/>
        <w:adjustRightInd w:val="0"/>
        <w:rPr>
          <w:rFonts w:hint="eastAsia" w:ascii="方正仿宋_GB2312" w:hAnsi="方正仿宋_GB2312" w:eastAsia="方正仿宋_GB2312" w:cs="方正仿宋_GB2312"/>
          <w:color w:val="auto"/>
          <w:sz w:val="28"/>
          <w:szCs w:val="28"/>
          <w:highlight w:val="none"/>
          <w:lang w:val="en-US" w:eastAsia="zh-CN" w:bidi="ar-SA"/>
        </w:rPr>
      </w:pPr>
    </w:p>
    <w:p w14:paraId="14860AB8">
      <w:pPr>
        <w:widowControl w:val="0"/>
        <w:autoSpaceDE w:val="0"/>
        <w:autoSpaceDN w:val="0"/>
        <w:adjustRightInd w:val="0"/>
        <w:rPr>
          <w:rFonts w:hint="eastAsia" w:ascii="方正仿宋_GB2312" w:hAnsi="方正仿宋_GB2312" w:eastAsia="方正仿宋_GB2312" w:cs="方正仿宋_GB2312"/>
          <w:color w:val="auto"/>
          <w:sz w:val="28"/>
          <w:szCs w:val="28"/>
          <w:highlight w:val="none"/>
          <w:lang w:val="en-US" w:eastAsia="zh-CN" w:bidi="ar-SA"/>
        </w:rPr>
      </w:pPr>
    </w:p>
    <w:p w14:paraId="291770B9">
      <w:pPr>
        <w:widowControl w:val="0"/>
        <w:autoSpaceDE w:val="0"/>
        <w:autoSpaceDN w:val="0"/>
        <w:adjustRightInd w:val="0"/>
        <w:rPr>
          <w:rFonts w:hint="eastAsia" w:ascii="方正仿宋_GB2312" w:hAnsi="方正仿宋_GB2312" w:eastAsia="方正仿宋_GB2312" w:cs="方正仿宋_GB2312"/>
          <w:color w:val="auto"/>
          <w:sz w:val="28"/>
          <w:szCs w:val="28"/>
          <w:highlight w:val="none"/>
          <w:lang w:val="en-US" w:eastAsia="zh-CN" w:bidi="ar-SA"/>
        </w:rPr>
      </w:pPr>
    </w:p>
    <w:p w14:paraId="21AACF7F">
      <w:pPr>
        <w:widowControl w:val="0"/>
        <w:autoSpaceDE w:val="0"/>
        <w:autoSpaceDN w:val="0"/>
        <w:adjustRightInd w:val="0"/>
        <w:rPr>
          <w:rFonts w:hint="eastAsia" w:ascii="方正仿宋_GB2312" w:hAnsi="方正仿宋_GB2312" w:eastAsia="方正仿宋_GB2312" w:cs="方正仿宋_GB2312"/>
          <w:color w:val="auto"/>
          <w:sz w:val="28"/>
          <w:szCs w:val="28"/>
          <w:highlight w:val="none"/>
          <w:lang w:val="en-US" w:eastAsia="zh-CN" w:bidi="ar-SA"/>
        </w:rPr>
      </w:pPr>
    </w:p>
    <w:p w14:paraId="22D94CE6">
      <w:pPr>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19" w:name="_Toc31143"/>
      <w:r>
        <w:rPr>
          <w:rFonts w:hint="eastAsia" w:ascii="方正仿宋_GB2312" w:hAnsi="方正仿宋_GB2312" w:eastAsia="方正仿宋_GB2312" w:cs="方正仿宋_GB2312"/>
          <w:b/>
          <w:bCs/>
          <w:color w:val="auto"/>
          <w:kern w:val="2"/>
          <w:sz w:val="28"/>
          <w:szCs w:val="28"/>
          <w:highlight w:val="none"/>
          <w:lang w:val="zh-CN" w:eastAsia="zh-CN" w:bidi="ar-SA"/>
        </w:rPr>
        <w:br w:type="page"/>
      </w:r>
    </w:p>
    <w:p w14:paraId="011530FB">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0"/>
          <w:sz w:val="28"/>
          <w:szCs w:val="28"/>
          <w:highlight w:val="none"/>
          <w:lang w:val="zh-CN" w:eastAsia="zh-CN" w:bidi="ar-SA"/>
        </w:rPr>
      </w:pPr>
      <w:r>
        <w:rPr>
          <w:rFonts w:hint="eastAsia" w:ascii="方正仿宋_GB2312" w:hAnsi="方正仿宋_GB2312" w:eastAsia="方正仿宋_GB2312" w:cs="方正仿宋_GB2312"/>
          <w:b/>
          <w:bCs/>
          <w:color w:val="auto"/>
          <w:kern w:val="2"/>
          <w:sz w:val="28"/>
          <w:szCs w:val="28"/>
          <w:highlight w:val="none"/>
          <w:lang w:val="zh-CN" w:eastAsia="zh-CN" w:bidi="ar-SA"/>
        </w:rPr>
        <w:t>附件7 预付款保函示范文本</w:t>
      </w:r>
      <w:bookmarkEnd w:id="1519"/>
    </w:p>
    <w:p w14:paraId="622F7B2C">
      <w:pPr>
        <w:spacing w:after="0" w:line="360" w:lineRule="auto"/>
        <w:jc w:val="center"/>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t>（独立保函）</w:t>
      </w:r>
    </w:p>
    <w:p w14:paraId="2FC252E4">
      <w:pPr>
        <w:wordWrap w:val="0"/>
        <w:spacing w:after="0" w:line="360" w:lineRule="auto"/>
        <w:jc w:val="righ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编号：           </w:t>
      </w:r>
    </w:p>
    <w:p w14:paraId="6C8A23E8">
      <w:pPr>
        <w:spacing w:after="0" w:line="360" w:lineRule="auto"/>
        <w:rPr>
          <w:rFonts w:hint="eastAsia" w:ascii="方正仿宋_GB2312" w:hAnsi="方正仿宋_GB2312" w:eastAsia="方正仿宋_GB2312" w:cs="方正仿宋_GB2312"/>
          <w:color w:val="auto"/>
          <w:kern w:val="0"/>
          <w:szCs w:val="21"/>
          <w:highlight w:val="none"/>
        </w:rPr>
      </w:pPr>
    </w:p>
    <w:p w14:paraId="3842625B">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申请人：</w:t>
      </w:r>
    </w:p>
    <w:p w14:paraId="70A29E5D">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147FDD13">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w:t>
      </w:r>
    </w:p>
    <w:p w14:paraId="370742C4">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574D214B">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开立人：</w:t>
      </w:r>
    </w:p>
    <w:p w14:paraId="5DDD9E71">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22445671">
      <w:pPr>
        <w:spacing w:after="0" w:line="360" w:lineRule="auto"/>
        <w:rPr>
          <w:rFonts w:hint="eastAsia" w:ascii="方正仿宋_GB2312" w:hAnsi="方正仿宋_GB2312" w:eastAsia="方正仿宋_GB2312" w:cs="方正仿宋_GB2312"/>
          <w:color w:val="auto"/>
          <w:kern w:val="0"/>
          <w:szCs w:val="21"/>
          <w:highlight w:val="none"/>
        </w:rPr>
      </w:pPr>
    </w:p>
    <w:p w14:paraId="796D1B67">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（受益人名称）： </w:t>
      </w:r>
    </w:p>
    <w:p w14:paraId="39D43A72">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鉴于        （以下简称“受益人”）与         （以下简称“申请人”）于   年   月   日就           工程（以下简称“本工程”）施工和有关事项协商一致共同签订《        》（以下简称“基础合同”），我方（即“开立人”）根据主合同了解到申请人为主合同项下之承包人，受益人为主合同项下之发包人，基于申请人的请求，我方同意就申请人按照合同约定正确和合理地为合同目的使用预付款，向贵方提供不可撤销、不可转让的见索即付独立保函（以下简称“本保函”）。 </w:t>
      </w:r>
    </w:p>
    <w:p w14:paraId="08BFF44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一、本保函担保范围：申请人未按照合同约定正确和合理地为合同目的使用预付款，应当向贵方</w:t>
      </w:r>
      <w:r>
        <w:rPr>
          <w:rFonts w:hint="eastAsia" w:ascii="方正仿宋_GB2312" w:hAnsi="方正仿宋_GB2312" w:eastAsia="方正仿宋_GB2312" w:cs="方正仿宋_GB2312"/>
          <w:color w:val="auto"/>
          <w:kern w:val="0"/>
          <w:szCs w:val="21"/>
          <w:highlight w:val="none"/>
          <w:lang w:eastAsia="zh-CN"/>
        </w:rPr>
        <w:t>承担</w:t>
      </w:r>
      <w:r>
        <w:rPr>
          <w:rFonts w:hint="eastAsia" w:ascii="方正仿宋_GB2312" w:hAnsi="方正仿宋_GB2312" w:eastAsia="方正仿宋_GB2312" w:cs="方正仿宋_GB2312"/>
          <w:color w:val="auto"/>
          <w:kern w:val="0"/>
          <w:szCs w:val="21"/>
          <w:highlight w:val="none"/>
        </w:rPr>
        <w:t>违约责任和赔偿因此造成的损失、利息、律师费、诉讼费用等实现债权的费用。</w:t>
      </w:r>
    </w:p>
    <w:p w14:paraId="2F3E59BF">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二、本保函担保金额最高不超过人民币（大写）          元（¥       ）。 </w:t>
      </w:r>
    </w:p>
    <w:p w14:paraId="3BD6B6D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三、本保函有效期自开立之日起至发包人全额扣回预付款后   日止，最迟不超过    年    月    日。</w:t>
      </w:r>
    </w:p>
    <w:p w14:paraId="0701233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四、我方承诺，在收到受益人发来的书面付款通知后的    日内无条件支付，前述书面付款通知即为付款要求之单据，且应满足以下要求：</w:t>
      </w:r>
    </w:p>
    <w:p w14:paraId="3D7E6FD6">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（1）付款通知到达的日期在本保函的有效期内；</w:t>
      </w:r>
    </w:p>
    <w:p w14:paraId="689C0E5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（2）载明要求支付的金额；</w:t>
      </w:r>
    </w:p>
    <w:p w14:paraId="4710EBD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（3）载明申请人违反合同义务的条款和内容；</w:t>
      </w:r>
    </w:p>
    <w:p w14:paraId="6131E1E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（4）声明不存在合同文件约定或我国法律规定免除申请人或开立人支付责任的情形；</w:t>
      </w:r>
    </w:p>
    <w:p w14:paraId="31A6BC4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（5）付款通知应在本保函有效期内到达的地址是：             。</w:t>
      </w:r>
    </w:p>
    <w:p w14:paraId="4A803311">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受益人发出的书面付款通知应由其为鉴明受益人法定代表人（负责人）或授权代理人签字并加盖公章。</w:t>
      </w:r>
    </w:p>
    <w:p w14:paraId="79B223A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五、本保函项下的权利不得转让，不得设定担保。贵方未经我方书面同意转 让本保函或其项下任何权利，对我方不发生法律效力。 </w:t>
      </w:r>
    </w:p>
    <w:p w14:paraId="7CB2C7A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六、与本保函有关的基础合同不成立、不生效、无效、被撤销、被解除，不影响本保函的独立有效。 </w:t>
      </w:r>
    </w:p>
    <w:p w14:paraId="515F2BBA">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七、贵方应在本保函到期后的七日内将本保函正本退回我方注销，</w:t>
      </w:r>
      <w:r>
        <w:rPr>
          <w:rFonts w:hint="eastAsia" w:ascii="方正仿宋_GB2312" w:hAnsi="方正仿宋_GB2312" w:eastAsia="方正仿宋_GB2312" w:cs="方正仿宋_GB2312"/>
          <w:color w:val="auto"/>
          <w:kern w:val="0"/>
          <w:szCs w:val="21"/>
          <w:highlight w:val="none"/>
          <w:lang w:eastAsia="zh-CN"/>
        </w:rPr>
        <w:t>但</w:t>
      </w:r>
      <w:r>
        <w:rPr>
          <w:rFonts w:hint="eastAsia" w:ascii="方正仿宋_GB2312" w:hAnsi="方正仿宋_GB2312" w:eastAsia="方正仿宋_GB2312" w:cs="方正仿宋_GB2312"/>
          <w:color w:val="auto"/>
          <w:kern w:val="0"/>
          <w:szCs w:val="21"/>
          <w:highlight w:val="none"/>
        </w:rPr>
        <w:t xml:space="preserve">不论贵方是否按此要求将本保函正本退回我方，我方在本保函项下的义务和责任均在保函有效期到期后自动消灭。 </w:t>
      </w:r>
    </w:p>
    <w:p w14:paraId="5927042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八、本保函适用的法律为中华人民共和国法律，争议裁判管辖地为中华人民共和国     。 </w:t>
      </w:r>
    </w:p>
    <w:p w14:paraId="128CCF35">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九、本保函自我方法定代表人或授权代</w:t>
      </w:r>
      <w:r>
        <w:rPr>
          <w:rFonts w:hint="eastAsia" w:ascii="方正仿宋_GB2312" w:hAnsi="方正仿宋_GB2312" w:eastAsia="方正仿宋_GB2312" w:cs="方正仿宋_GB2312"/>
          <w:color w:val="auto"/>
          <w:kern w:val="0"/>
          <w:szCs w:val="21"/>
          <w:highlight w:val="none"/>
          <w:lang w:eastAsia="zh-CN"/>
        </w:rPr>
        <w:t>表人</w:t>
      </w:r>
      <w:r>
        <w:rPr>
          <w:rFonts w:hint="eastAsia" w:ascii="方正仿宋_GB2312" w:hAnsi="方正仿宋_GB2312" w:eastAsia="方正仿宋_GB2312" w:cs="方正仿宋_GB2312"/>
          <w:color w:val="auto"/>
          <w:kern w:val="0"/>
          <w:szCs w:val="21"/>
          <w:highlight w:val="none"/>
        </w:rPr>
        <w:t xml:space="preserve">签字并加盖公章之日起生效。 </w:t>
      </w:r>
    </w:p>
    <w:p w14:paraId="1219976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768DB01F">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15540137">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开 立 人：                              （公章） </w:t>
      </w:r>
    </w:p>
    <w:p w14:paraId="296B956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法定代表人（或授权代表）：               （签字） </w:t>
      </w:r>
    </w:p>
    <w:p w14:paraId="11A656C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地    址：                                       </w:t>
      </w:r>
    </w:p>
    <w:p w14:paraId="4BA6FF9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邮政编码：                 </w:t>
      </w:r>
    </w:p>
    <w:p w14:paraId="4290C0D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电    话：                 </w:t>
      </w:r>
    </w:p>
    <w:p w14:paraId="7E2B042B">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传    真：                 </w:t>
      </w:r>
    </w:p>
    <w:p w14:paraId="441E63E8">
      <w:pPr>
        <w:spacing w:after="0" w:line="360" w:lineRule="auto"/>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开立时间：      年      月        日</w:t>
      </w:r>
    </w:p>
    <w:p w14:paraId="30036ED9">
      <w:pPr>
        <w:spacing w:after="0" w:line="360" w:lineRule="auto"/>
        <w:jc w:val="center"/>
        <w:rPr>
          <w:rFonts w:hint="eastAsia" w:ascii="方正仿宋_GB2312" w:hAnsi="方正仿宋_GB2312" w:eastAsia="方正仿宋_GB2312" w:cs="方正仿宋_GB2312"/>
          <w:b/>
          <w:bCs/>
          <w:color w:val="auto"/>
          <w:sz w:val="32"/>
          <w:szCs w:val="32"/>
          <w:highlight w:val="none"/>
        </w:rPr>
      </w:pPr>
    </w:p>
    <w:p w14:paraId="2E0C8EAA">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671C46D5">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367ABCF7">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350AC179">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4DE2B9DB">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222E4A33">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p>
    <w:p w14:paraId="358F3E2A">
      <w:pPr>
        <w:spacing w:after="0" w:line="240" w:lineRule="auto"/>
        <w:rPr>
          <w:rFonts w:hint="eastAsia" w:ascii="方正仿宋_GB2312" w:hAnsi="方正仿宋_GB2312" w:eastAsia="方正仿宋_GB2312" w:cs="方正仿宋_GB2312"/>
          <w:color w:val="auto"/>
          <w:sz w:val="28"/>
          <w:szCs w:val="28"/>
          <w:highlight w:val="none"/>
        </w:rPr>
      </w:pPr>
    </w:p>
    <w:p w14:paraId="629DBDC8">
      <w:pPr>
        <w:widowControl w:val="0"/>
        <w:autoSpaceDE w:val="0"/>
        <w:autoSpaceDN w:val="0"/>
        <w:adjustRightInd w:val="0"/>
        <w:rPr>
          <w:rFonts w:hint="eastAsia" w:ascii="方正仿宋_GB2312" w:hAnsi="方正仿宋_GB2312" w:eastAsia="方正仿宋_GB2312" w:cs="方正仿宋_GB2312"/>
          <w:color w:val="auto"/>
          <w:sz w:val="28"/>
          <w:szCs w:val="28"/>
          <w:highlight w:val="none"/>
          <w:lang w:val="en-US" w:eastAsia="zh-CN" w:bidi="ar-SA"/>
        </w:rPr>
      </w:pPr>
    </w:p>
    <w:p w14:paraId="37EF2D28">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20" w:name="_Toc24602"/>
      <w:r>
        <w:rPr>
          <w:rFonts w:hint="eastAsia" w:ascii="方正仿宋_GB2312" w:hAnsi="方正仿宋_GB2312" w:eastAsia="方正仿宋_GB2312" w:cs="方正仿宋_GB2312"/>
          <w:b/>
          <w:bCs/>
          <w:color w:val="auto"/>
          <w:kern w:val="2"/>
          <w:sz w:val="28"/>
          <w:szCs w:val="28"/>
          <w:highlight w:val="none"/>
          <w:lang w:val="zh-CN" w:eastAsia="zh-CN" w:bidi="ar-SA"/>
        </w:rPr>
        <w:t>附件8 支付保函示范文本</w:t>
      </w:r>
      <w:bookmarkEnd w:id="1520"/>
    </w:p>
    <w:p w14:paraId="6F2AC6DD">
      <w:pPr>
        <w:spacing w:after="0" w:line="360" w:lineRule="auto"/>
        <w:jc w:val="center"/>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t>（独立保函）</w:t>
      </w:r>
    </w:p>
    <w:p w14:paraId="1B034366">
      <w:pPr>
        <w:spacing w:after="0" w:line="360" w:lineRule="auto"/>
        <w:ind w:firstLine="420" w:firstLineChars="200"/>
        <w:jc w:val="center"/>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编号：      </w:t>
      </w:r>
    </w:p>
    <w:p w14:paraId="62272406">
      <w:pPr>
        <w:spacing w:after="0" w:line="360" w:lineRule="auto"/>
        <w:ind w:firstLine="420" w:firstLineChars="200"/>
        <w:jc w:val="center"/>
        <w:rPr>
          <w:rFonts w:hint="eastAsia" w:ascii="方正仿宋_GB2312" w:hAnsi="方正仿宋_GB2312" w:eastAsia="方正仿宋_GB2312" w:cs="方正仿宋_GB2312"/>
          <w:color w:val="auto"/>
          <w:kern w:val="0"/>
          <w:szCs w:val="21"/>
          <w:highlight w:val="none"/>
        </w:rPr>
      </w:pPr>
    </w:p>
    <w:p w14:paraId="34495203">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申请人：</w:t>
      </w:r>
    </w:p>
    <w:p w14:paraId="0D9E2DA2">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35781C10">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w:t>
      </w:r>
    </w:p>
    <w:p w14:paraId="418D8CB9">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6F03F0B5">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开立人：</w:t>
      </w:r>
    </w:p>
    <w:p w14:paraId="69207602">
      <w:pPr>
        <w:spacing w:after="0" w:line="360" w:lineRule="auto"/>
        <w:ind w:firstLine="420" w:firstLineChars="200"/>
        <w:jc w:val="left"/>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27B5FF3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79F4B9B2">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bookmarkStart w:id="1521" w:name="_Hlk40355074"/>
      <w:r>
        <w:rPr>
          <w:rFonts w:hint="eastAsia" w:ascii="方正仿宋_GB2312" w:hAnsi="方正仿宋_GB2312" w:eastAsia="方正仿宋_GB2312" w:cs="方正仿宋_GB2312"/>
          <w:color w:val="auto"/>
          <w:kern w:val="0"/>
          <w:szCs w:val="21"/>
          <w:highlight w:val="none"/>
        </w:rPr>
        <w:t xml:space="preserve">              （受益人名称）： </w:t>
      </w:r>
    </w:p>
    <w:bookmarkEnd w:id="1521"/>
    <w:p w14:paraId="0F893436">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鉴于        （以下简称“受益人”）与         （以下简称“申请人”）于   年   月   日就           工程（以下简称“本工程”）施工和有关事项协商一致共同签订</w:t>
      </w:r>
      <w:r>
        <w:rPr>
          <w:rFonts w:hint="eastAsia" w:ascii="方正仿宋_GB2312" w:hAnsi="方正仿宋_GB2312" w:eastAsia="方正仿宋_GB2312" w:cs="方正仿宋_GB2312"/>
          <w:color w:val="auto"/>
          <w:kern w:val="0"/>
          <w:szCs w:val="21"/>
          <w:highlight w:val="none"/>
          <w:lang w:eastAsia="zh-CN"/>
        </w:rPr>
        <w:t>《        》（以下简称“基础合同”）</w:t>
      </w:r>
      <w:r>
        <w:rPr>
          <w:rFonts w:hint="eastAsia" w:ascii="方正仿宋_GB2312" w:hAnsi="方正仿宋_GB2312" w:eastAsia="方正仿宋_GB2312" w:cs="方正仿宋_GB2312"/>
          <w:color w:val="auto"/>
          <w:kern w:val="0"/>
          <w:szCs w:val="21"/>
          <w:highlight w:val="none"/>
        </w:rPr>
        <w:t xml:space="preserve">，我方（即“开立人”）根据基础合同了解到申请人为基础合同项下之发包人，受益人为基础合同项下之承包人，基于申请人的请求，我方同意就申请人履行与贵方签订的基础合同项下的工程款（指基础合同约定的除工程质量保修金以外的工程款）付款义务，向贵方提供不可撤销、不可转让的见索即付独立保函（以下简称“本保函”）。 </w:t>
      </w:r>
    </w:p>
    <w:p w14:paraId="1E0B48B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一、本保函担保范围：申请人未履行基础合同约定的工程款支付义务，应当向贵方</w:t>
      </w:r>
      <w:r>
        <w:rPr>
          <w:rFonts w:hint="eastAsia" w:ascii="方正仿宋_GB2312" w:hAnsi="方正仿宋_GB2312" w:eastAsia="方正仿宋_GB2312" w:cs="方正仿宋_GB2312"/>
          <w:color w:val="auto"/>
          <w:kern w:val="0"/>
          <w:szCs w:val="21"/>
          <w:highlight w:val="none"/>
          <w:lang w:eastAsia="zh-CN"/>
        </w:rPr>
        <w:t>承担</w:t>
      </w:r>
      <w:r>
        <w:rPr>
          <w:rFonts w:hint="eastAsia" w:ascii="方正仿宋_GB2312" w:hAnsi="方正仿宋_GB2312" w:eastAsia="方正仿宋_GB2312" w:cs="方正仿宋_GB2312"/>
          <w:color w:val="auto"/>
          <w:kern w:val="0"/>
          <w:szCs w:val="21"/>
          <w:highlight w:val="none"/>
        </w:rPr>
        <w:t>违约责任和赔偿因此造成的损失、利息、律师费、诉讼费用等实现债权的费用。</w:t>
      </w:r>
    </w:p>
    <w:p w14:paraId="43B53A2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二、本保函担保金额最高不超过人民币（大写）          元（¥       ）。 </w:t>
      </w:r>
    </w:p>
    <w:p w14:paraId="7EE932C2">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三、本保函有效期自开立之日起至基础合同约定的除工程质量保修金以外的全部工程结算款项支付之</w:t>
      </w:r>
      <w:r>
        <w:rPr>
          <w:rFonts w:hint="eastAsia" w:ascii="方正仿宋_GB2312" w:hAnsi="方正仿宋_GB2312" w:eastAsia="方正仿宋_GB2312" w:cs="方正仿宋_GB2312"/>
          <w:color w:val="auto"/>
          <w:kern w:val="0"/>
          <w:szCs w:val="21"/>
          <w:highlight w:val="none"/>
          <w:lang w:eastAsia="zh-CN"/>
        </w:rPr>
        <w:t>日</w:t>
      </w:r>
      <w:r>
        <w:rPr>
          <w:rFonts w:hint="eastAsia" w:ascii="方正仿宋_GB2312" w:hAnsi="方正仿宋_GB2312" w:eastAsia="方正仿宋_GB2312" w:cs="方正仿宋_GB2312"/>
          <w:color w:val="auto"/>
          <w:kern w:val="0"/>
          <w:szCs w:val="21"/>
          <w:highlight w:val="none"/>
        </w:rPr>
        <w:t xml:space="preserve">   止，最迟不超过    年    月    日。 </w:t>
      </w:r>
    </w:p>
    <w:p w14:paraId="1E63CD0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四、我方承诺，在收到受益人发来的书面付款通知后的    日内无条件支付，前述书面付款通知即为付款要求之单据，且应满足以下要求：</w:t>
      </w:r>
    </w:p>
    <w:p w14:paraId="0D51F63E">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（1）付款通知到达的日期在本保函的有效期内；</w:t>
      </w:r>
    </w:p>
    <w:p w14:paraId="624A7D12">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（2）载明要求支付的金额；</w:t>
      </w:r>
    </w:p>
    <w:p w14:paraId="7EF8DBF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（3）载明申请人违反合同义务的条款和内容；</w:t>
      </w:r>
    </w:p>
    <w:p w14:paraId="072B9B8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（4）声明不存在合同文件约定或我国法律规定免除申请人或开立人支付责任的情形；</w:t>
      </w:r>
    </w:p>
    <w:p w14:paraId="34D524A1">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（5）付款通知应在本保函有效期内到达的地址是：             。</w:t>
      </w:r>
    </w:p>
    <w:p w14:paraId="4A4C30D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受益人发出的书面付款通知应由其为鉴明受益人法定代表人（负责人）或授权代理人签字并加盖公章。</w:t>
      </w:r>
    </w:p>
    <w:p w14:paraId="043AF29F">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五、本保函项下的权利不得转让，不得设定担保。贵方未经我方书面同意转 让本保函或其项下任何权利，对我方不发生法律效力。 </w:t>
      </w:r>
    </w:p>
    <w:p w14:paraId="4BF5B592">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六、与本保函有关的基础合同不成立、不生效、无效、被撤销、被解除，不影响本保函的独立有效。 </w:t>
      </w:r>
    </w:p>
    <w:p w14:paraId="4292E84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七、贵方应在本保函到期后的七日内将本保函正本退回我方注销，</w:t>
      </w:r>
      <w:r>
        <w:rPr>
          <w:rFonts w:hint="eastAsia" w:ascii="方正仿宋_GB2312" w:hAnsi="方正仿宋_GB2312" w:eastAsia="方正仿宋_GB2312" w:cs="方正仿宋_GB2312"/>
          <w:color w:val="auto"/>
          <w:kern w:val="0"/>
          <w:szCs w:val="21"/>
          <w:highlight w:val="none"/>
          <w:lang w:eastAsia="zh-CN"/>
        </w:rPr>
        <w:t>但</w:t>
      </w:r>
      <w:r>
        <w:rPr>
          <w:rFonts w:hint="eastAsia" w:ascii="方正仿宋_GB2312" w:hAnsi="方正仿宋_GB2312" w:eastAsia="方正仿宋_GB2312" w:cs="方正仿宋_GB2312"/>
          <w:color w:val="auto"/>
          <w:kern w:val="0"/>
          <w:szCs w:val="21"/>
          <w:highlight w:val="none"/>
        </w:rPr>
        <w:t xml:space="preserve">不论贵方是否按此要求将本保函正本退回我方，我方在本保函项下的义务和责任均在保函有效期到期后自动消灭。 </w:t>
      </w:r>
    </w:p>
    <w:p w14:paraId="4E96718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八、本保函适用的法律为中华人民共和国法律，争议裁判管辖地为中华人民共和国     。 </w:t>
      </w:r>
    </w:p>
    <w:p w14:paraId="4AC474E5">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九、本保函自我方法定代表人</w:t>
      </w:r>
      <w:bookmarkStart w:id="1522" w:name="_Hlk58487855"/>
      <w:r>
        <w:rPr>
          <w:rFonts w:hint="eastAsia" w:ascii="方正仿宋_GB2312" w:hAnsi="方正仿宋_GB2312" w:eastAsia="方正仿宋_GB2312" w:cs="方正仿宋_GB2312"/>
          <w:color w:val="auto"/>
          <w:kern w:val="0"/>
          <w:szCs w:val="21"/>
          <w:highlight w:val="none"/>
        </w:rPr>
        <w:t>或授权代</w:t>
      </w:r>
      <w:r>
        <w:rPr>
          <w:rFonts w:hint="eastAsia" w:ascii="方正仿宋_GB2312" w:hAnsi="方正仿宋_GB2312" w:eastAsia="方正仿宋_GB2312" w:cs="方正仿宋_GB2312"/>
          <w:color w:val="auto"/>
          <w:kern w:val="0"/>
          <w:szCs w:val="21"/>
          <w:highlight w:val="none"/>
          <w:lang w:eastAsia="zh-CN"/>
        </w:rPr>
        <w:t>表人</w:t>
      </w:r>
      <w:bookmarkEnd w:id="1522"/>
      <w:r>
        <w:rPr>
          <w:rFonts w:hint="eastAsia" w:ascii="方正仿宋_GB2312" w:hAnsi="方正仿宋_GB2312" w:eastAsia="方正仿宋_GB2312" w:cs="方正仿宋_GB2312"/>
          <w:color w:val="auto"/>
          <w:kern w:val="0"/>
          <w:szCs w:val="21"/>
          <w:highlight w:val="none"/>
        </w:rPr>
        <w:t xml:space="preserve">签字并加盖公章之日起生效。 </w:t>
      </w:r>
    </w:p>
    <w:p w14:paraId="02CF7B0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1D1E07C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139006B6">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开 立 人：                              （公章） </w:t>
      </w:r>
    </w:p>
    <w:p w14:paraId="6183C1D0">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法定代表人（或授权代表）：               （签字） </w:t>
      </w:r>
    </w:p>
    <w:p w14:paraId="312CCD6E">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地    址：                                       </w:t>
      </w:r>
    </w:p>
    <w:p w14:paraId="05A4D00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邮政编码：                 </w:t>
      </w:r>
    </w:p>
    <w:p w14:paraId="37F5E971">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电    话：                 </w:t>
      </w:r>
    </w:p>
    <w:p w14:paraId="0C7874C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传    真：                 </w:t>
      </w:r>
    </w:p>
    <w:p w14:paraId="0B77576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开立时间：      年      月        日</w:t>
      </w:r>
    </w:p>
    <w:p w14:paraId="0ABF347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20179242">
      <w:pPr>
        <w:widowControl w:val="0"/>
        <w:autoSpaceDE w:val="0"/>
        <w:autoSpaceDN w:val="0"/>
        <w:adjustRightInd w:val="0"/>
        <w:rPr>
          <w:rFonts w:hint="eastAsia" w:ascii="方正仿宋_GB2312" w:hAnsi="方正仿宋_GB2312" w:eastAsia="方正仿宋_GB2312" w:cs="方正仿宋_GB2312"/>
          <w:color w:val="auto"/>
          <w:sz w:val="21"/>
          <w:szCs w:val="21"/>
          <w:highlight w:val="none"/>
          <w:lang w:val="en-US" w:eastAsia="zh-CN" w:bidi="ar-SA"/>
        </w:rPr>
      </w:pPr>
    </w:p>
    <w:p w14:paraId="35FAEF43">
      <w:pPr>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23" w:name="_Toc22287"/>
      <w:r>
        <w:rPr>
          <w:rFonts w:hint="eastAsia" w:ascii="方正仿宋_GB2312" w:hAnsi="方正仿宋_GB2312" w:eastAsia="方正仿宋_GB2312" w:cs="方正仿宋_GB2312"/>
          <w:b/>
          <w:bCs/>
          <w:color w:val="auto"/>
          <w:kern w:val="2"/>
          <w:sz w:val="28"/>
          <w:szCs w:val="28"/>
          <w:highlight w:val="none"/>
          <w:lang w:val="zh-CN" w:eastAsia="zh-CN" w:bidi="ar-SA"/>
        </w:rPr>
        <w:br w:type="page"/>
      </w:r>
    </w:p>
    <w:p w14:paraId="09FD5196">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r>
        <w:rPr>
          <w:rFonts w:hint="eastAsia" w:ascii="方正仿宋_GB2312" w:hAnsi="方正仿宋_GB2312" w:eastAsia="方正仿宋_GB2312" w:cs="方正仿宋_GB2312"/>
          <w:b/>
          <w:bCs/>
          <w:color w:val="auto"/>
          <w:kern w:val="2"/>
          <w:sz w:val="28"/>
          <w:szCs w:val="28"/>
          <w:highlight w:val="none"/>
          <w:lang w:val="zh-CN" w:eastAsia="zh-CN" w:bidi="ar-SA"/>
        </w:rPr>
        <w:t>附件9履约保函示范文本</w:t>
      </w:r>
      <w:bookmarkEnd w:id="1523"/>
    </w:p>
    <w:bookmarkEnd w:id="553"/>
    <w:bookmarkEnd w:id="554"/>
    <w:bookmarkEnd w:id="555"/>
    <w:p w14:paraId="62C40736">
      <w:pPr>
        <w:keepNext/>
        <w:keepLines/>
        <w:widowControl w:val="0"/>
        <w:numPr>
          <w:ilvl w:val="0"/>
          <w:numId w:val="0"/>
        </w:numPr>
        <w:tabs>
          <w:tab w:val="left" w:pos="1134"/>
        </w:tabs>
        <w:spacing w:before="0" w:after="0" w:line="360" w:lineRule="auto"/>
        <w:ind w:firstLine="0"/>
        <w:jc w:val="center"/>
        <w:outlineLvl w:val="1"/>
        <w:rPr>
          <w:rFonts w:hint="eastAsia" w:ascii="方正仿宋_GB2312" w:hAnsi="方正仿宋_GB2312" w:eastAsia="方正仿宋_GB2312" w:cs="方正仿宋_GB2312"/>
          <w:b/>
          <w:bCs/>
          <w:color w:val="auto"/>
          <w:kern w:val="2"/>
          <w:sz w:val="28"/>
          <w:szCs w:val="28"/>
          <w:highlight w:val="none"/>
          <w:lang w:val="zh-CN" w:eastAsia="zh-CN" w:bidi="ar-SA"/>
        </w:rPr>
      </w:pPr>
      <w:bookmarkStart w:id="1524" w:name="_Toc24440"/>
      <w:bookmarkStart w:id="1525" w:name="_Toc502753691"/>
      <w:bookmarkStart w:id="1526" w:name="_Toc247527826"/>
      <w:bookmarkStart w:id="1527" w:name="_Toc247514245"/>
      <w:bookmarkStart w:id="1528" w:name="_Toc375560250"/>
      <w:r>
        <w:rPr>
          <w:rFonts w:hint="eastAsia" w:ascii="方正仿宋_GB2312" w:hAnsi="方正仿宋_GB2312" w:eastAsia="方正仿宋_GB2312" w:cs="方正仿宋_GB2312"/>
          <w:b/>
          <w:bCs/>
          <w:color w:val="auto"/>
          <w:kern w:val="2"/>
          <w:sz w:val="28"/>
          <w:szCs w:val="28"/>
          <w:highlight w:val="none"/>
          <w:lang w:val="zh-CN" w:eastAsia="zh-CN" w:bidi="ar-SA"/>
        </w:rPr>
        <w:t>（独立保函）</w:t>
      </w:r>
      <w:bookmarkEnd w:id="1524"/>
    </w:p>
    <w:p w14:paraId="0FE1CEDE">
      <w:pPr>
        <w:spacing w:after="0" w:line="360" w:lineRule="auto"/>
        <w:ind w:firstLine="420" w:firstLineChars="200"/>
        <w:jc w:val="center"/>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编号：</w:t>
      </w:r>
    </w:p>
    <w:p w14:paraId="13D98B38">
      <w:pPr>
        <w:widowControl w:val="0"/>
        <w:autoSpaceDE w:val="0"/>
        <w:autoSpaceDN w:val="0"/>
        <w:adjustRightInd w:val="0"/>
        <w:rPr>
          <w:rFonts w:hint="eastAsia" w:ascii="方正仿宋_GB2312" w:hAnsi="方正仿宋_GB2312" w:eastAsia="方正仿宋_GB2312" w:cs="方正仿宋_GB2312"/>
          <w:color w:val="auto"/>
          <w:sz w:val="24"/>
          <w:szCs w:val="24"/>
          <w:highlight w:val="none"/>
          <w:lang w:val="en-US" w:eastAsia="zh-CN" w:bidi="ar-SA"/>
        </w:rPr>
      </w:pPr>
    </w:p>
    <w:p w14:paraId="5879E1B0">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申请人：</w:t>
      </w:r>
    </w:p>
    <w:p w14:paraId="67810F37">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3881C191">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w:t>
      </w:r>
    </w:p>
    <w:p w14:paraId="44551CA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049E1FC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开立人：</w:t>
      </w:r>
    </w:p>
    <w:p w14:paraId="717A954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地址：</w:t>
      </w:r>
    </w:p>
    <w:p w14:paraId="1C92BFC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1BCEFD7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              （受益人名称）： </w:t>
      </w:r>
    </w:p>
    <w:p w14:paraId="30787D5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鉴于        （以下简称“受益人”）与         （以下简称“申请人”）于   年   月   日就           工程（以下简称“本工程”）施工和有关事项协商一致共同签订《        》（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p>
    <w:p w14:paraId="46004167">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一、本保函担保范围：承包人未按照基础合同的约定履行义务，应当向贵方</w:t>
      </w:r>
      <w:r>
        <w:rPr>
          <w:rFonts w:hint="eastAsia" w:ascii="方正仿宋_GB2312" w:hAnsi="方正仿宋_GB2312" w:eastAsia="方正仿宋_GB2312" w:cs="方正仿宋_GB2312"/>
          <w:color w:val="auto"/>
          <w:kern w:val="0"/>
          <w:szCs w:val="21"/>
          <w:highlight w:val="none"/>
          <w:lang w:eastAsia="zh-CN"/>
        </w:rPr>
        <w:t>承担</w:t>
      </w:r>
      <w:r>
        <w:rPr>
          <w:rFonts w:hint="eastAsia" w:ascii="方正仿宋_GB2312" w:hAnsi="方正仿宋_GB2312" w:eastAsia="方正仿宋_GB2312" w:cs="方正仿宋_GB2312"/>
          <w:color w:val="auto"/>
          <w:kern w:val="0"/>
          <w:szCs w:val="21"/>
          <w:highlight w:val="none"/>
        </w:rPr>
        <w:t>违约责任和赔偿因此造成的损失、利息、律师费、诉讼费用等实现债权的费用。</w:t>
      </w:r>
    </w:p>
    <w:p w14:paraId="20EAF2F0">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二、本保函担保金额最高不超过人民币（大写）          元（¥       ）。 </w:t>
      </w:r>
    </w:p>
    <w:p w14:paraId="20CA2B3A">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三、本保函有效期自开立之日起至基础合同约定的缺陷责任期后   日止，最迟不超过    年    月    日。 </w:t>
      </w:r>
    </w:p>
    <w:p w14:paraId="6994B4A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四、我方承诺，在收到受益人发来的书面付款通知后的    日内无条件支付，前述书面付款通知即为付款要求之单据，且应满足以下要求：</w:t>
      </w:r>
    </w:p>
    <w:p w14:paraId="6037E77A">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（1）付款通知到达的日期在本保函的有效期内；</w:t>
      </w:r>
    </w:p>
    <w:p w14:paraId="1DD26991">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（2）载明要求支付的金额；</w:t>
      </w:r>
    </w:p>
    <w:p w14:paraId="1FEC9F63">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（3）载明申请人违反合同义务的条款和内容；</w:t>
      </w:r>
    </w:p>
    <w:p w14:paraId="4B9FB0C8">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（4）声明不存在合同文件约定或我国法律规定免除申请人或开立人支付责任的情形；</w:t>
      </w:r>
    </w:p>
    <w:p w14:paraId="2708F93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（5）付款通知应在本保函有效期内到达的地址是：             。</w:t>
      </w:r>
    </w:p>
    <w:p w14:paraId="300517FA">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受益人发出的书面付款通知应由其为鉴明受益人法定代表人（负责人）或授权代理人签字并加盖公章。</w:t>
      </w:r>
    </w:p>
    <w:p w14:paraId="0737A0F5">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五、本保函项下的权利不得转让，不得设定担保。贵方未经我方书面同意转 让本保函或其项下任何权利，对我方不发生法律效力。 </w:t>
      </w:r>
    </w:p>
    <w:p w14:paraId="0CC10457">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六、与本保函有关的基础合同不成立、不生效、无效、被撤销、被解除，不影响本保函的独立有效。 </w:t>
      </w:r>
    </w:p>
    <w:p w14:paraId="61358604">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七、贵方应在本保函到期后的七日内将本保函正本退回我方注销，</w:t>
      </w:r>
      <w:r>
        <w:rPr>
          <w:rFonts w:hint="eastAsia" w:ascii="方正仿宋_GB2312" w:hAnsi="方正仿宋_GB2312" w:eastAsia="方正仿宋_GB2312" w:cs="方正仿宋_GB2312"/>
          <w:color w:val="auto"/>
          <w:kern w:val="0"/>
          <w:szCs w:val="21"/>
          <w:highlight w:val="none"/>
          <w:lang w:eastAsia="zh-CN"/>
        </w:rPr>
        <w:t>但</w:t>
      </w:r>
      <w:r>
        <w:rPr>
          <w:rFonts w:hint="eastAsia" w:ascii="方正仿宋_GB2312" w:hAnsi="方正仿宋_GB2312" w:eastAsia="方正仿宋_GB2312" w:cs="方正仿宋_GB2312"/>
          <w:color w:val="auto"/>
          <w:kern w:val="0"/>
          <w:szCs w:val="21"/>
          <w:highlight w:val="none"/>
        </w:rPr>
        <w:t xml:space="preserve">不论贵方是否按此要求将本保函正本退回我方，我方在本保函项下的义务和责任均在保函有效期到期后自动消灭。 </w:t>
      </w:r>
    </w:p>
    <w:p w14:paraId="3A682110">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八、本保函适用的法律为中华人民共和国法律，争议裁判管辖地为中华人民共和国     。 </w:t>
      </w:r>
    </w:p>
    <w:p w14:paraId="118FA0D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九、本保函自我方法定代表人或授权代</w:t>
      </w:r>
      <w:r>
        <w:rPr>
          <w:rFonts w:hint="eastAsia" w:ascii="方正仿宋_GB2312" w:hAnsi="方正仿宋_GB2312" w:eastAsia="方正仿宋_GB2312" w:cs="方正仿宋_GB2312"/>
          <w:color w:val="auto"/>
          <w:kern w:val="0"/>
          <w:szCs w:val="21"/>
          <w:highlight w:val="none"/>
          <w:lang w:eastAsia="zh-CN"/>
        </w:rPr>
        <w:t>表人</w:t>
      </w:r>
      <w:r>
        <w:rPr>
          <w:rFonts w:hint="eastAsia" w:ascii="方正仿宋_GB2312" w:hAnsi="方正仿宋_GB2312" w:eastAsia="方正仿宋_GB2312" w:cs="方正仿宋_GB2312"/>
          <w:color w:val="auto"/>
          <w:kern w:val="0"/>
          <w:szCs w:val="21"/>
          <w:highlight w:val="none"/>
        </w:rPr>
        <w:t xml:space="preserve">签字并加盖公章之日起生效。 </w:t>
      </w:r>
    </w:p>
    <w:p w14:paraId="57CDEC7E">
      <w:pPr>
        <w:widowControl w:val="0"/>
        <w:autoSpaceDE w:val="0"/>
        <w:autoSpaceDN w:val="0"/>
        <w:adjustRightInd w:val="0"/>
        <w:rPr>
          <w:rFonts w:hint="eastAsia" w:ascii="方正仿宋_GB2312" w:hAnsi="方正仿宋_GB2312" w:eastAsia="方正仿宋_GB2312" w:cs="方正仿宋_GB2312"/>
          <w:color w:val="auto"/>
          <w:sz w:val="24"/>
          <w:szCs w:val="24"/>
          <w:highlight w:val="none"/>
          <w:lang w:val="en-US" w:eastAsia="zh-CN" w:bidi="ar-SA"/>
        </w:rPr>
      </w:pPr>
    </w:p>
    <w:p w14:paraId="16396F4C">
      <w:pPr>
        <w:widowControl w:val="0"/>
        <w:autoSpaceDE w:val="0"/>
        <w:autoSpaceDN w:val="0"/>
        <w:adjustRightInd w:val="0"/>
        <w:rPr>
          <w:rFonts w:hint="eastAsia" w:ascii="方正仿宋_GB2312" w:hAnsi="方正仿宋_GB2312" w:eastAsia="方正仿宋_GB2312" w:cs="方正仿宋_GB2312"/>
          <w:color w:val="auto"/>
          <w:sz w:val="24"/>
          <w:szCs w:val="24"/>
          <w:highlight w:val="none"/>
          <w:lang w:val="en-US" w:eastAsia="zh-CN" w:bidi="ar-SA"/>
        </w:rPr>
      </w:pPr>
    </w:p>
    <w:p w14:paraId="1408A099">
      <w:pPr>
        <w:widowControl w:val="0"/>
        <w:autoSpaceDE w:val="0"/>
        <w:autoSpaceDN w:val="0"/>
        <w:adjustRightInd w:val="0"/>
        <w:rPr>
          <w:rFonts w:hint="eastAsia" w:ascii="方正仿宋_GB2312" w:hAnsi="方正仿宋_GB2312" w:eastAsia="方正仿宋_GB2312" w:cs="方正仿宋_GB2312"/>
          <w:color w:val="auto"/>
          <w:sz w:val="24"/>
          <w:szCs w:val="24"/>
          <w:highlight w:val="none"/>
          <w:lang w:val="en-US" w:eastAsia="zh-CN" w:bidi="ar-SA"/>
        </w:rPr>
      </w:pPr>
    </w:p>
    <w:p w14:paraId="7D494F8C">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开 立 人：                              （公章） </w:t>
      </w:r>
    </w:p>
    <w:p w14:paraId="294E7182">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法定代表人（或授权代表）：               （签字） </w:t>
      </w:r>
    </w:p>
    <w:p w14:paraId="667938FD">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地    址：                                       </w:t>
      </w:r>
    </w:p>
    <w:p w14:paraId="1BB9126E">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邮政编码：                 </w:t>
      </w:r>
    </w:p>
    <w:p w14:paraId="700821F2">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电    话：                 </w:t>
      </w:r>
    </w:p>
    <w:p w14:paraId="07B53850">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 xml:space="preserve">传    真：                 </w:t>
      </w:r>
    </w:p>
    <w:p w14:paraId="666E601A">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r>
        <w:rPr>
          <w:rFonts w:hint="eastAsia" w:ascii="方正仿宋_GB2312" w:hAnsi="方正仿宋_GB2312" w:eastAsia="方正仿宋_GB2312" w:cs="方正仿宋_GB2312"/>
          <w:color w:val="auto"/>
          <w:kern w:val="0"/>
          <w:szCs w:val="21"/>
          <w:highlight w:val="none"/>
        </w:rPr>
        <w:t>开立时间：      年      月     日</w:t>
      </w:r>
    </w:p>
    <w:p w14:paraId="160AFAC9">
      <w:pPr>
        <w:spacing w:after="0" w:line="360" w:lineRule="auto"/>
        <w:ind w:firstLine="420" w:firstLineChars="200"/>
        <w:rPr>
          <w:rFonts w:hint="eastAsia" w:ascii="方正仿宋_GB2312" w:hAnsi="方正仿宋_GB2312" w:eastAsia="方正仿宋_GB2312" w:cs="方正仿宋_GB2312"/>
          <w:color w:val="auto"/>
          <w:kern w:val="0"/>
          <w:szCs w:val="21"/>
          <w:highlight w:val="none"/>
        </w:rPr>
      </w:pPr>
    </w:p>
    <w:p w14:paraId="4E8E0F70">
      <w:pPr>
        <w:pageBreakBefore w:val="0"/>
        <w:widowControl w:val="0"/>
        <w:kinsoku/>
        <w:wordWrap/>
        <w:overflowPunct/>
        <w:topLinePunct w:val="0"/>
        <w:bidi w:val="0"/>
        <w:snapToGrid w:val="0"/>
        <w:spacing w:after="0" w:line="240" w:lineRule="auto"/>
        <w:textAlignment w:val="auto"/>
        <w:outlineLvl w:val="9"/>
        <w:rPr>
          <w:rFonts w:hint="eastAsia" w:ascii="方正仿宋_GB2312" w:hAnsi="方正仿宋_GB2312" w:eastAsia="方正仿宋_GB2312" w:cs="方正仿宋_GB2312"/>
          <w:b/>
          <w:color w:val="auto"/>
          <w:sz w:val="28"/>
          <w:szCs w:val="28"/>
          <w:highlight w:val="none"/>
        </w:rPr>
      </w:pPr>
    </w:p>
    <w:p w14:paraId="66FE755F">
      <w:pPr>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br w:type="page"/>
      </w:r>
    </w:p>
    <w:p w14:paraId="68053CFB">
      <w:pPr>
        <w:jc w:val="center"/>
        <w:outlineLvl w:val="9"/>
        <w:rPr>
          <w:rFonts w:hint="eastAsia" w:ascii="方正仿宋_GB2312" w:hAnsi="方正仿宋_GB2312" w:eastAsia="方正仿宋_GB2312" w:cs="方正仿宋_GB2312"/>
          <w:b/>
          <w:bCs/>
          <w:color w:val="auto"/>
          <w:sz w:val="24"/>
          <w:szCs w:val="24"/>
          <w:highlight w:val="none"/>
        </w:rPr>
      </w:pPr>
    </w:p>
    <w:p w14:paraId="505F8728">
      <w:pPr>
        <w:jc w:val="center"/>
        <w:outlineLvl w:val="9"/>
        <w:rPr>
          <w:rFonts w:hint="eastAsia" w:ascii="方正仿宋_GB2312" w:hAnsi="方正仿宋_GB2312" w:eastAsia="方正仿宋_GB2312" w:cs="方正仿宋_GB2312"/>
          <w:b/>
          <w:bCs/>
          <w:color w:val="auto"/>
          <w:sz w:val="24"/>
          <w:szCs w:val="24"/>
          <w:highlight w:val="none"/>
        </w:rPr>
      </w:pPr>
    </w:p>
    <w:p w14:paraId="4F80A271">
      <w:pPr>
        <w:jc w:val="center"/>
        <w:outlineLvl w:val="9"/>
        <w:rPr>
          <w:rFonts w:hint="eastAsia" w:ascii="方正仿宋_GB2312" w:hAnsi="方正仿宋_GB2312" w:eastAsia="方正仿宋_GB2312" w:cs="方正仿宋_GB2312"/>
          <w:b/>
          <w:bCs/>
          <w:color w:val="auto"/>
          <w:sz w:val="24"/>
          <w:szCs w:val="24"/>
          <w:highlight w:val="none"/>
        </w:rPr>
      </w:pPr>
    </w:p>
    <w:p w14:paraId="408EF60C">
      <w:pPr>
        <w:jc w:val="center"/>
        <w:outlineLvl w:val="9"/>
        <w:rPr>
          <w:rFonts w:hint="eastAsia" w:ascii="方正仿宋_GB2312" w:hAnsi="方正仿宋_GB2312" w:eastAsia="方正仿宋_GB2312" w:cs="方正仿宋_GB2312"/>
          <w:b/>
          <w:bCs/>
          <w:color w:val="auto"/>
          <w:sz w:val="24"/>
          <w:szCs w:val="24"/>
          <w:highlight w:val="none"/>
        </w:rPr>
      </w:pPr>
    </w:p>
    <w:p w14:paraId="20320CC7">
      <w:pPr>
        <w:jc w:val="center"/>
        <w:outlineLvl w:val="9"/>
        <w:rPr>
          <w:rFonts w:hint="eastAsia" w:ascii="方正仿宋_GB2312" w:hAnsi="方正仿宋_GB2312" w:eastAsia="方正仿宋_GB2312" w:cs="方正仿宋_GB2312"/>
          <w:b/>
          <w:bCs/>
          <w:color w:val="auto"/>
          <w:sz w:val="24"/>
          <w:szCs w:val="24"/>
          <w:highlight w:val="none"/>
        </w:rPr>
      </w:pPr>
    </w:p>
    <w:p w14:paraId="30F749CB">
      <w:pPr>
        <w:jc w:val="center"/>
        <w:outlineLvl w:val="9"/>
        <w:rPr>
          <w:rFonts w:hint="eastAsia" w:ascii="方正仿宋_GB2312" w:hAnsi="方正仿宋_GB2312" w:eastAsia="方正仿宋_GB2312" w:cs="方正仿宋_GB2312"/>
          <w:b/>
          <w:bCs/>
          <w:color w:val="auto"/>
          <w:sz w:val="24"/>
          <w:szCs w:val="24"/>
          <w:highlight w:val="none"/>
        </w:rPr>
      </w:pPr>
    </w:p>
    <w:p w14:paraId="7BF5C3CE">
      <w:pPr>
        <w:jc w:val="center"/>
        <w:outlineLvl w:val="9"/>
        <w:rPr>
          <w:rFonts w:hint="eastAsia" w:ascii="方正仿宋_GB2312" w:hAnsi="方正仿宋_GB2312" w:eastAsia="方正仿宋_GB2312" w:cs="方正仿宋_GB2312"/>
          <w:b/>
          <w:bCs/>
          <w:color w:val="auto"/>
          <w:sz w:val="24"/>
          <w:szCs w:val="24"/>
          <w:highlight w:val="none"/>
        </w:rPr>
      </w:pPr>
    </w:p>
    <w:p w14:paraId="5BCDE15D">
      <w:pPr>
        <w:jc w:val="center"/>
        <w:outlineLvl w:val="9"/>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第二卷</w:t>
      </w:r>
    </w:p>
    <w:p w14:paraId="45581293">
      <w:pPr>
        <w:spacing w:line="400" w:lineRule="exact"/>
        <w:outlineLvl w:val="9"/>
        <w:rPr>
          <w:rFonts w:hint="eastAsia" w:ascii="方正仿宋_GB2312" w:hAnsi="方正仿宋_GB2312" w:eastAsia="方正仿宋_GB2312" w:cs="方正仿宋_GB2312"/>
          <w:color w:val="auto"/>
          <w:sz w:val="24"/>
          <w:szCs w:val="24"/>
          <w:highlight w:val="none"/>
        </w:rPr>
      </w:pPr>
    </w:p>
    <w:p w14:paraId="218BC639">
      <w:pPr>
        <w:spacing w:line="400" w:lineRule="exact"/>
        <w:jc w:val="center"/>
        <w:outlineLvl w:val="9"/>
        <w:rPr>
          <w:rFonts w:hint="eastAsia" w:ascii="方正仿宋_GB2312" w:hAnsi="方正仿宋_GB2312" w:eastAsia="方正仿宋_GB2312" w:cs="方正仿宋_GB2312"/>
          <w:color w:val="auto"/>
          <w:sz w:val="24"/>
          <w:szCs w:val="24"/>
          <w:highlight w:val="none"/>
        </w:rPr>
      </w:pPr>
    </w:p>
    <w:p w14:paraId="023C8409">
      <w:pPr>
        <w:jc w:val="center"/>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r>
    </w:p>
    <w:p w14:paraId="318656AE">
      <w:pPr>
        <w:pageBreakBefore w:val="0"/>
        <w:widowControl w:val="0"/>
        <w:kinsoku/>
        <w:wordWrap/>
        <w:overflowPunct/>
        <w:topLinePunct w:val="0"/>
        <w:autoSpaceDE/>
        <w:autoSpaceDN/>
        <w:bidi w:val="0"/>
        <w:adjustRightInd/>
        <w:snapToGrid w:val="0"/>
        <w:spacing w:after="0" w:line="336" w:lineRule="auto"/>
        <w:jc w:val="center"/>
        <w:textAlignment w:val="auto"/>
        <w:outlineLvl w:val="1"/>
        <w:rPr>
          <w:rFonts w:hint="eastAsia" w:ascii="方正仿宋_GB2312" w:hAnsi="方正仿宋_GB2312" w:eastAsia="方正仿宋_GB2312" w:cs="方正仿宋_GB2312"/>
          <w:b/>
          <w:bCs/>
          <w:color w:val="auto"/>
          <w:kern w:val="0"/>
          <w:sz w:val="24"/>
          <w:szCs w:val="24"/>
          <w:highlight w:val="none"/>
        </w:rPr>
      </w:pPr>
      <w:bookmarkStart w:id="1529" w:name="_Toc31189"/>
      <w:r>
        <w:rPr>
          <w:rFonts w:hint="eastAsia" w:ascii="方正仿宋_GB2312" w:hAnsi="方正仿宋_GB2312" w:eastAsia="方正仿宋_GB2312" w:cs="方正仿宋_GB2312"/>
          <w:b/>
          <w:bCs/>
          <w:color w:val="auto"/>
          <w:kern w:val="0"/>
          <w:sz w:val="24"/>
          <w:szCs w:val="24"/>
          <w:highlight w:val="none"/>
        </w:rPr>
        <w:t>第五章  发包人要求</w:t>
      </w:r>
      <w:bookmarkEnd w:id="1525"/>
      <w:bookmarkEnd w:id="1529"/>
    </w:p>
    <w:p w14:paraId="67BAED2A">
      <w:pPr>
        <w:pageBreakBefore w:val="0"/>
        <w:widowControl w:val="0"/>
        <w:kinsoku/>
        <w:wordWrap/>
        <w:overflowPunct/>
        <w:topLinePunct w:val="0"/>
        <w:autoSpaceDE/>
        <w:autoSpaceDN/>
        <w:bidi w:val="0"/>
        <w:adjustRightInd/>
        <w:snapToGrid w:val="0"/>
        <w:spacing w:after="0" w:line="336" w:lineRule="auto"/>
        <w:textAlignment w:val="auto"/>
        <w:outlineLvl w:val="9"/>
        <w:rPr>
          <w:rFonts w:hint="eastAsia" w:ascii="方正仿宋_GB2312" w:hAnsi="方正仿宋_GB2312" w:eastAsia="方正仿宋_GB2312" w:cs="方正仿宋_GB2312"/>
          <w:b/>
          <w:bCs/>
          <w:color w:val="auto"/>
          <w:sz w:val="24"/>
          <w:szCs w:val="24"/>
          <w:highlight w:val="none"/>
        </w:rPr>
      </w:pPr>
    </w:p>
    <w:p w14:paraId="598A68D8">
      <w:pPr>
        <w:keepNext w:val="0"/>
        <w:keepLines w:val="0"/>
        <w:pageBreakBefore w:val="0"/>
        <w:widowControl w:val="0"/>
        <w:kinsoku/>
        <w:wordWrap/>
        <w:overflowPunct/>
        <w:topLinePunct w:val="0"/>
        <w:autoSpaceDE/>
        <w:autoSpaceDN/>
        <w:bidi w:val="0"/>
        <w:snapToGrid w:val="0"/>
        <w:spacing w:after="0" w:line="360" w:lineRule="auto"/>
        <w:ind w:left="20"/>
        <w:textAlignment w:val="auto"/>
        <w:outlineLvl w:val="1"/>
        <w:rPr>
          <w:rFonts w:hint="eastAsia" w:ascii="方正仿宋_GB2312" w:hAnsi="方正仿宋_GB2312" w:eastAsia="方正仿宋_GB2312" w:cs="方正仿宋_GB2312"/>
          <w:color w:val="auto"/>
          <w:spacing w:val="7"/>
          <w:sz w:val="28"/>
          <w:szCs w:val="28"/>
          <w:highlight w:val="none"/>
          <w14:textOutline w14:w="4358" w14:cap="sq">
            <w14:solidFill>
              <w14:srgbClr w14:val="000000"/>
            </w14:solidFill>
            <w14:prstDash w14:val="solid"/>
            <w14:bevel/>
          </w14:textOutline>
        </w:rPr>
      </w:pPr>
      <w:bookmarkStart w:id="1530" w:name="_Toc27501"/>
      <w:bookmarkStart w:id="1531" w:name="_Toc8117"/>
      <w:bookmarkStart w:id="1532" w:name="_Toc18014"/>
      <w:r>
        <w:rPr>
          <w:rFonts w:hint="eastAsia" w:ascii="方正仿宋_GB2312" w:hAnsi="方正仿宋_GB2312" w:eastAsia="方正仿宋_GB2312" w:cs="方正仿宋_GB2312"/>
          <w:color w:val="auto"/>
          <w:spacing w:val="9"/>
          <w:position w:val="1"/>
          <w:sz w:val="24"/>
          <w:szCs w:val="24"/>
          <w:highlight w:val="none"/>
          <w14:textOutline w14:w="4358" w14:cap="sq">
            <w14:solidFill>
              <w14:srgbClr w14:val="000000"/>
            </w14:solidFill>
            <w14:prstDash w14:val="solid"/>
            <w14:bevel/>
          </w14:textOutline>
        </w:rPr>
        <w:t>一、项目概况</w:t>
      </w:r>
      <w:bookmarkEnd w:id="1530"/>
      <w:bookmarkEnd w:id="1531"/>
      <w:bookmarkEnd w:id="1532"/>
    </w:p>
    <w:p w14:paraId="50EB4A9C">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bookmarkStart w:id="1533" w:name="_Toc19890"/>
      <w:bookmarkStart w:id="1534" w:name="_Toc9877"/>
      <w:bookmarkStart w:id="1535" w:name="_Toc4967"/>
      <w:r>
        <w:rPr>
          <w:rFonts w:hint="eastAsia" w:ascii="方正仿宋_GB2312" w:hAnsi="方正仿宋_GB2312" w:eastAsia="方正仿宋_GB2312" w:cs="方正仿宋_GB2312"/>
          <w:b w:val="0"/>
          <w:bCs w:val="0"/>
          <w:color w:val="auto"/>
          <w:kern w:val="0"/>
          <w:sz w:val="24"/>
          <w:szCs w:val="24"/>
          <w:highlight w:val="none"/>
          <w:lang w:val="en-US" w:eastAsia="zh-CN"/>
        </w:rPr>
        <w:t>1.项目名称：牟定县绿色综合分拣中心建设项目设计施工总承包（EPC）</w:t>
      </w:r>
    </w:p>
    <w:p w14:paraId="23CEE377">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2.项目建设地点：云南牟定产业园区黄龙山片区。</w:t>
      </w:r>
    </w:p>
    <w:p w14:paraId="58C2C41F">
      <w:pPr>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firstLine="480" w:firstLineChars="200"/>
        <w:jc w:val="both"/>
        <w:textAlignment w:val="auto"/>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 xml:space="preserve">3.项目建设内容及规模：新建一个年分拣能力为 12 万吨的综合化绿色分拣中心，项目规划用地面积 28.94亩，建设以废纸类、废塑料类、废弃电子电器产品等再生资源综合（中型）绿色分拣中心，建设生产线3 条，项目建设内容主要包括：1、购置分选设备（16 套）、拆解机器人（2 套）、剪切（2 套）、破碎（4套）、清洗（2套）、打包（4 套）等绿色智能化分拣设备、除尘设备 3 套、除气设备 3 套、污水处理设备 2 套及智能化管理设备等；2、新建厂房 8300 ㎡，主要包括分拣车间、拆解加工车间、破碎加工车间、清洗消毒车间、打包压缩车间、原料仓库、成品仓库、管理用房并配套场地道路硬化，给排水、消防、供配电、绿化等附属设施。       </w:t>
      </w:r>
    </w:p>
    <w:p w14:paraId="4FB3FBCB">
      <w:pPr>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firstLine="480" w:firstLineChars="200"/>
        <w:jc w:val="both"/>
        <w:textAlignment w:val="auto"/>
        <w:rPr>
          <w:rFonts w:hint="eastAsia" w:ascii="方正仿宋_GB2312" w:hAnsi="方正仿宋_GB2312" w:eastAsia="方正仿宋_GB2312" w:cs="方正仿宋_GB2312"/>
          <w:color w:val="auto"/>
          <w:kern w:val="2"/>
          <w:sz w:val="24"/>
          <w:szCs w:val="24"/>
          <w:highlight w:val="none"/>
          <w:u w:val="none"/>
          <w:lang w:val="en-US" w:eastAsia="zh-CN" w:bidi="ar-SA"/>
        </w:rPr>
      </w:pPr>
      <w:r>
        <w:rPr>
          <w:rFonts w:hint="eastAsia" w:ascii="方正仿宋_GB2312" w:hAnsi="方正仿宋_GB2312" w:eastAsia="方正仿宋_GB2312" w:cs="方正仿宋_GB2312"/>
          <w:b w:val="0"/>
          <w:bCs w:val="0"/>
          <w:color w:val="auto"/>
          <w:kern w:val="0"/>
          <w:sz w:val="24"/>
          <w:szCs w:val="24"/>
          <w:highlight w:val="none"/>
          <w:lang w:val="en-US" w:eastAsia="zh-CN"/>
        </w:rPr>
        <w:t>4.项目估算总投资：约6230.32万元。</w:t>
      </w:r>
    </w:p>
    <w:p w14:paraId="359DA0AB">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5.工期</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val="en-US" w:eastAsia="zh-CN"/>
        </w:rPr>
        <w:t>450日历天</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73FEBDB4">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6.招标范围：本项目范围内全部修建性详细规划 初步设计 施工图设计、工程总承包及项目实施过程中的配合服务。包括但不限于本项目的工程初步设计、施工图设计、工程施工直至竣工验收合格及整体移交、工程缺陷期内的缺陷修复和保修期内的保修工作。</w:t>
      </w:r>
    </w:p>
    <w:p w14:paraId="5759CBCD">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6.1设计：完成本项目建设内容范围内全部工程及配套设施等的初步设计、施工图设计（含方案设计优化），完成设计全套成果资料制作；配合审图公司完成施工图审查；配合甲方完成行政主管部门的审批、专家咨询、组织专家论证会、资料收集等相关工作；施工过程中的全过程设计服务及协调工作，设计后期的跟踪服务等，工作范围以设计任务书及合同签订为准。</w:t>
      </w:r>
    </w:p>
    <w:p w14:paraId="4DED9625">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default"/>
          <w:color w:val="auto"/>
          <w:highlight w:val="none"/>
          <w:lang w:val="en-US"/>
        </w:rPr>
      </w:pPr>
      <w:r>
        <w:rPr>
          <w:rFonts w:hint="eastAsia" w:ascii="方正仿宋_GB2312" w:hAnsi="方正仿宋_GB2312" w:eastAsia="方正仿宋_GB2312" w:cs="方正仿宋_GB2312"/>
          <w:b w:val="0"/>
          <w:bCs w:val="0"/>
          <w:color w:val="auto"/>
          <w:kern w:val="0"/>
          <w:sz w:val="24"/>
          <w:szCs w:val="24"/>
          <w:highlight w:val="none"/>
          <w:lang w:val="en-US" w:eastAsia="zh-CN"/>
        </w:rPr>
        <w:t>6.2施工：完成本项目经审查通过的施工图设计包含的全部施工内容等相关工作，组织验收；完成竣工图的编制、资料归档，配合甲方完成竣工结算审计工作及缺陷责任期内的缺陷修复和保修期内的保修工作等。</w:t>
      </w:r>
    </w:p>
    <w:p w14:paraId="31419491">
      <w:pPr>
        <w:keepNext w:val="0"/>
        <w:keepLines w:val="0"/>
        <w:pageBreakBefore w:val="0"/>
        <w:widowControl w:val="0"/>
        <w:numPr>
          <w:ilvl w:val="0"/>
          <w:numId w:val="6"/>
        </w:numPr>
        <w:kinsoku/>
        <w:wordWrap/>
        <w:overflowPunct/>
        <w:topLinePunct w:val="0"/>
        <w:autoSpaceDE/>
        <w:autoSpaceDN/>
        <w:bidi w:val="0"/>
        <w:snapToGrid w:val="0"/>
        <w:spacing w:after="0" w:line="360" w:lineRule="auto"/>
        <w:ind w:left="20"/>
        <w:textAlignment w:val="auto"/>
        <w:outlineLvl w:val="1"/>
        <w:rPr>
          <w:rFonts w:hint="eastAsia" w:ascii="方正仿宋_GB2312" w:hAnsi="方正仿宋_GB2312" w:eastAsia="方正仿宋_GB2312" w:cs="方正仿宋_GB2312"/>
          <w:color w:val="auto"/>
          <w:spacing w:val="9"/>
          <w:position w:val="1"/>
          <w:sz w:val="24"/>
          <w:szCs w:val="24"/>
          <w:highlight w:val="none"/>
          <w14:textOutline w14:w="4358" w14:cap="sq">
            <w14:solidFill>
              <w14:srgbClr w14:val="000000"/>
            </w14:solidFill>
            <w14:prstDash w14:val="solid"/>
            <w14:bevel/>
          </w14:textOutline>
        </w:rPr>
      </w:pPr>
      <w:r>
        <w:rPr>
          <w:rFonts w:hint="eastAsia" w:ascii="方正仿宋_GB2312" w:hAnsi="方正仿宋_GB2312" w:eastAsia="方正仿宋_GB2312" w:cs="方正仿宋_GB2312"/>
          <w:color w:val="auto"/>
          <w:spacing w:val="9"/>
          <w:position w:val="1"/>
          <w:sz w:val="24"/>
          <w:szCs w:val="24"/>
          <w:highlight w:val="none"/>
          <w14:textOutline w14:w="4358" w14:cap="sq">
            <w14:solidFill>
              <w14:srgbClr w14:val="000000"/>
            </w14:solidFill>
            <w14:prstDash w14:val="solid"/>
            <w14:bevel/>
          </w14:textOutline>
        </w:rPr>
        <w:t>主要标准和技术规范</w:t>
      </w:r>
      <w:bookmarkEnd w:id="1533"/>
      <w:bookmarkEnd w:id="1534"/>
      <w:bookmarkEnd w:id="1535"/>
    </w:p>
    <w:p w14:paraId="2B25DF72">
      <w:pPr>
        <w:pStyle w:val="5"/>
        <w:keepNext w:val="0"/>
        <w:keepLines w:val="0"/>
        <w:pageBreakBefore w:val="0"/>
        <w:widowControl w:val="0"/>
        <w:numPr>
          <w:ilvl w:val="0"/>
          <w:numId w:val="0"/>
        </w:numPr>
        <w:kinsoku/>
        <w:wordWrap/>
        <w:overflowPunct/>
        <w:topLinePunct w:val="0"/>
        <w:autoSpaceDE/>
        <w:autoSpaceDN/>
        <w:bidi w:val="0"/>
        <w:snapToGrid w:val="0"/>
        <w:spacing w:after="0" w:line="360" w:lineRule="auto"/>
        <w:textAlignment w:val="auto"/>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详见“可行性研究报告”</w:t>
      </w:r>
    </w:p>
    <w:p w14:paraId="646FC898">
      <w:pPr>
        <w:keepNext w:val="0"/>
        <w:keepLines w:val="0"/>
        <w:pageBreakBefore w:val="0"/>
        <w:widowControl w:val="0"/>
        <w:kinsoku/>
        <w:wordWrap/>
        <w:overflowPunct/>
        <w:topLinePunct w:val="0"/>
        <w:autoSpaceDE/>
        <w:autoSpaceDN/>
        <w:bidi w:val="0"/>
        <w:snapToGrid w:val="0"/>
        <w:spacing w:after="0" w:line="360" w:lineRule="auto"/>
        <w:ind w:left="18"/>
        <w:textAlignment w:val="auto"/>
        <w:outlineLvl w:val="1"/>
        <w:rPr>
          <w:rFonts w:hint="eastAsia" w:ascii="方正仿宋_GB2312" w:hAnsi="方正仿宋_GB2312" w:eastAsia="方正仿宋_GB2312" w:cs="方正仿宋_GB2312"/>
          <w:color w:val="auto"/>
          <w:sz w:val="24"/>
          <w:szCs w:val="24"/>
          <w:highlight w:val="none"/>
        </w:rPr>
      </w:pPr>
      <w:bookmarkStart w:id="1536" w:name="_Toc17593"/>
      <w:bookmarkStart w:id="1537" w:name="_Toc28507"/>
      <w:bookmarkStart w:id="1538" w:name="_Toc16998"/>
      <w:r>
        <w:rPr>
          <w:rFonts w:hint="eastAsia" w:ascii="方正仿宋_GB2312" w:hAnsi="方正仿宋_GB2312" w:eastAsia="方正仿宋_GB2312" w:cs="方正仿宋_GB2312"/>
          <w:color w:val="auto"/>
          <w:spacing w:val="18"/>
          <w:sz w:val="24"/>
          <w:szCs w:val="24"/>
          <w:highlight w:val="none"/>
          <w:lang w:val="en-US" w:eastAsia="zh-CN"/>
          <w14:textOutline w14:w="3795" w14:cap="sq">
            <w14:solidFill>
              <w14:srgbClr w14:val="000000"/>
            </w14:solidFill>
            <w14:prstDash w14:val="solid"/>
            <w14:bevel/>
          </w14:textOutline>
        </w:rPr>
        <w:t>三</w:t>
      </w:r>
      <w:r>
        <w:rPr>
          <w:rFonts w:hint="eastAsia" w:ascii="方正仿宋_GB2312" w:hAnsi="方正仿宋_GB2312" w:eastAsia="方正仿宋_GB2312" w:cs="方正仿宋_GB2312"/>
          <w:color w:val="auto"/>
          <w:spacing w:val="9"/>
          <w:sz w:val="24"/>
          <w:szCs w:val="24"/>
          <w:highlight w:val="none"/>
          <w14:textOutline w14:w="3795" w14:cap="sq">
            <w14:solidFill>
              <w14:srgbClr w14:val="000000"/>
            </w14:solidFill>
            <w14:prstDash w14:val="solid"/>
            <w14:bevel/>
          </w14:textOutline>
        </w:rPr>
        <w:t>、质量要求</w:t>
      </w:r>
      <w:bookmarkEnd w:id="1536"/>
      <w:bookmarkEnd w:id="1537"/>
      <w:bookmarkEnd w:id="1538"/>
    </w:p>
    <w:p w14:paraId="6A946761">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bookmarkStart w:id="1539" w:name="_Toc15751"/>
      <w:bookmarkStart w:id="1540" w:name="_Toc30765"/>
      <w:bookmarkStart w:id="1541" w:name="_Toc15985"/>
      <w:r>
        <w:rPr>
          <w:rFonts w:hint="eastAsia" w:ascii="方正仿宋_GB2312" w:hAnsi="方正仿宋_GB2312" w:eastAsia="方正仿宋_GB2312" w:cs="方正仿宋_GB2312"/>
          <w:b w:val="0"/>
          <w:bCs w:val="0"/>
          <w:color w:val="auto"/>
          <w:kern w:val="0"/>
          <w:sz w:val="24"/>
          <w:szCs w:val="24"/>
          <w:highlight w:val="none"/>
          <w:lang w:val="en-US" w:eastAsia="zh-CN"/>
        </w:rPr>
        <w:t>设计：符合国家、行业及地方现行的相关标准及强制性规范，满足相关部门审批要求并一次性通过审批；并对提供的设计成果质量终身负责。</w:t>
      </w:r>
    </w:p>
    <w:p w14:paraId="3FBDE727">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施工：符合设计要求，执行《建筑工程施工质量验收统一标准》（GB50300-2013）及国家、省、市现行的质量验收标准，一次性验收合格，并保证各专项工程验收通过。</w:t>
      </w:r>
    </w:p>
    <w:p w14:paraId="7E646C9C">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val="en-US"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总承包承诺：执行《建设项目工程总承包管理规范》（GB/T50358-2017）及国家、省、市现行法规、规范的相关规定。</w:t>
      </w:r>
    </w:p>
    <w:p w14:paraId="08B6438B">
      <w:pPr>
        <w:keepNext w:val="0"/>
        <w:keepLines w:val="0"/>
        <w:pageBreakBefore w:val="0"/>
        <w:widowControl w:val="0"/>
        <w:kinsoku/>
        <w:wordWrap/>
        <w:overflowPunct/>
        <w:topLinePunct w:val="0"/>
        <w:autoSpaceDE/>
        <w:autoSpaceDN/>
        <w:bidi w:val="0"/>
        <w:snapToGrid w:val="0"/>
        <w:spacing w:after="0" w:line="360" w:lineRule="auto"/>
        <w:ind w:left="14"/>
        <w:textAlignment w:val="auto"/>
        <w:outlineLvl w:val="1"/>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9"/>
          <w:sz w:val="24"/>
          <w:szCs w:val="24"/>
          <w:highlight w:val="none"/>
          <w:lang w:eastAsia="zh-CN"/>
          <w14:textOutline w14:w="3795" w14:cap="sq">
            <w14:solidFill>
              <w14:srgbClr w14:val="000000"/>
            </w14:solidFill>
            <w14:prstDash w14:val="solid"/>
            <w14:bevel/>
          </w14:textOutline>
        </w:rPr>
        <w:t>五、</w:t>
      </w:r>
      <w:r>
        <w:rPr>
          <w:rFonts w:hint="eastAsia" w:ascii="方正仿宋_GB2312" w:hAnsi="方正仿宋_GB2312" w:eastAsia="方正仿宋_GB2312" w:cs="方正仿宋_GB2312"/>
          <w:color w:val="auto"/>
          <w:spacing w:val="9"/>
          <w:sz w:val="24"/>
          <w:szCs w:val="24"/>
          <w:highlight w:val="none"/>
          <w14:textOutline w14:w="3795" w14:cap="sq">
            <w14:solidFill>
              <w14:srgbClr w14:val="000000"/>
            </w14:solidFill>
            <w14:prstDash w14:val="solid"/>
            <w14:bevel/>
          </w14:textOutline>
        </w:rPr>
        <w:t>文件要求</w:t>
      </w:r>
      <w:bookmarkEnd w:id="1539"/>
      <w:bookmarkEnd w:id="1540"/>
      <w:bookmarkEnd w:id="1541"/>
    </w:p>
    <w:p w14:paraId="45E410D7">
      <w:pPr>
        <w:keepNext w:val="0"/>
        <w:keepLines w:val="0"/>
        <w:pageBreakBefore w:val="0"/>
        <w:widowControl w:val="0"/>
        <w:kinsoku/>
        <w:wordWrap/>
        <w:overflowPunct/>
        <w:topLinePunct w:val="0"/>
        <w:autoSpaceDE/>
        <w:autoSpaceDN/>
        <w:bidi w:val="0"/>
        <w:snapToGrid w:val="0"/>
        <w:spacing w:after="0" w:line="360" w:lineRule="auto"/>
        <w:ind w:left="449"/>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16"/>
          <w:sz w:val="24"/>
          <w:szCs w:val="24"/>
          <w:highlight w:val="none"/>
          <w:lang w:eastAsia="zh-CN"/>
        </w:rPr>
        <w:t>1）</w:t>
      </w:r>
      <w:r>
        <w:rPr>
          <w:rFonts w:hint="eastAsia" w:ascii="方正仿宋_GB2312" w:hAnsi="方正仿宋_GB2312" w:eastAsia="方正仿宋_GB2312" w:cs="方正仿宋_GB2312"/>
          <w:color w:val="auto"/>
          <w:spacing w:val="8"/>
          <w:sz w:val="24"/>
          <w:szCs w:val="24"/>
          <w:highlight w:val="none"/>
        </w:rPr>
        <w:t xml:space="preserve"> </w:t>
      </w:r>
      <w:r>
        <w:rPr>
          <w:rFonts w:hint="eastAsia" w:ascii="方正仿宋_GB2312" w:hAnsi="方正仿宋_GB2312" w:eastAsia="方正仿宋_GB2312" w:cs="方正仿宋_GB2312"/>
          <w:color w:val="auto"/>
          <w:spacing w:val="8"/>
          <w:sz w:val="24"/>
          <w:szCs w:val="24"/>
          <w:highlight w:val="none"/>
          <w:lang w:val="en-US" w:eastAsia="zh-CN"/>
        </w:rPr>
        <w:t>设计</w:t>
      </w:r>
      <w:r>
        <w:rPr>
          <w:rFonts w:hint="eastAsia" w:ascii="方正仿宋_GB2312" w:hAnsi="方正仿宋_GB2312" w:eastAsia="方正仿宋_GB2312" w:cs="方正仿宋_GB2312"/>
          <w:color w:val="auto"/>
          <w:spacing w:val="8"/>
          <w:sz w:val="24"/>
          <w:szCs w:val="24"/>
          <w:highlight w:val="none"/>
        </w:rPr>
        <w:t>文件</w:t>
      </w:r>
      <w:r>
        <w:rPr>
          <w:rFonts w:hint="eastAsia" w:ascii="方正仿宋_GB2312" w:hAnsi="方正仿宋_GB2312" w:eastAsia="方正仿宋_GB2312" w:cs="方正仿宋_GB2312"/>
          <w:color w:val="auto"/>
          <w:spacing w:val="8"/>
          <w:sz w:val="24"/>
          <w:szCs w:val="24"/>
          <w:highlight w:val="none"/>
          <w:lang w:eastAsia="zh-CN"/>
        </w:rPr>
        <w:t>及</w:t>
      </w:r>
      <w:r>
        <w:rPr>
          <w:rFonts w:hint="eastAsia" w:ascii="方正仿宋_GB2312" w:hAnsi="方正仿宋_GB2312" w:eastAsia="方正仿宋_GB2312" w:cs="方正仿宋_GB2312"/>
          <w:color w:val="auto"/>
          <w:spacing w:val="8"/>
          <w:sz w:val="24"/>
          <w:szCs w:val="24"/>
          <w:highlight w:val="none"/>
        </w:rPr>
        <w:t>相关审批、核准、备案要求：施工图审查合格；</w:t>
      </w:r>
    </w:p>
    <w:p w14:paraId="48CE5512">
      <w:pPr>
        <w:keepNext w:val="0"/>
        <w:keepLines w:val="0"/>
        <w:pageBreakBefore w:val="0"/>
        <w:widowControl w:val="0"/>
        <w:kinsoku/>
        <w:wordWrap/>
        <w:overflowPunct/>
        <w:topLinePunct w:val="0"/>
        <w:autoSpaceDE/>
        <w:autoSpaceDN/>
        <w:bidi w:val="0"/>
        <w:snapToGrid w:val="0"/>
        <w:spacing w:after="0" w:line="360" w:lineRule="auto"/>
        <w:ind w:left="436"/>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14"/>
          <w:sz w:val="24"/>
          <w:szCs w:val="24"/>
          <w:highlight w:val="none"/>
          <w:lang w:eastAsia="zh-CN"/>
        </w:rPr>
        <w:t>2）</w:t>
      </w:r>
      <w:r>
        <w:rPr>
          <w:rFonts w:hint="eastAsia" w:ascii="方正仿宋_GB2312" w:hAnsi="方正仿宋_GB2312" w:eastAsia="方正仿宋_GB2312" w:cs="方正仿宋_GB2312"/>
          <w:color w:val="auto"/>
          <w:spacing w:val="7"/>
          <w:sz w:val="24"/>
          <w:szCs w:val="24"/>
          <w:highlight w:val="none"/>
        </w:rPr>
        <w:t xml:space="preserve"> 竣工文件和工程的其他记录；</w:t>
      </w:r>
    </w:p>
    <w:p w14:paraId="4C14EBEA">
      <w:pPr>
        <w:keepNext w:val="0"/>
        <w:keepLines w:val="0"/>
        <w:pageBreakBefore w:val="0"/>
        <w:widowControl w:val="0"/>
        <w:kinsoku/>
        <w:wordWrap/>
        <w:overflowPunct/>
        <w:topLinePunct w:val="0"/>
        <w:autoSpaceDE/>
        <w:autoSpaceDN/>
        <w:bidi w:val="0"/>
        <w:snapToGrid w:val="0"/>
        <w:spacing w:after="0" w:line="360" w:lineRule="auto"/>
        <w:ind w:left="449"/>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8"/>
          <w:sz w:val="24"/>
          <w:szCs w:val="24"/>
          <w:highlight w:val="none"/>
          <w:lang w:eastAsia="zh-CN"/>
        </w:rPr>
        <w:t>1）</w:t>
      </w:r>
      <w:r>
        <w:rPr>
          <w:rFonts w:hint="eastAsia" w:ascii="方正仿宋_GB2312" w:hAnsi="方正仿宋_GB2312" w:eastAsia="方正仿宋_GB2312" w:cs="方正仿宋_GB2312"/>
          <w:color w:val="auto"/>
          <w:spacing w:val="7"/>
          <w:sz w:val="24"/>
          <w:szCs w:val="24"/>
          <w:highlight w:val="none"/>
        </w:rPr>
        <w:t xml:space="preserve"> 竣工验收通知书</w:t>
      </w:r>
      <w:r>
        <w:rPr>
          <w:rFonts w:hint="eastAsia" w:ascii="方正仿宋_GB2312" w:hAnsi="方正仿宋_GB2312" w:eastAsia="方正仿宋_GB2312" w:cs="方正仿宋_GB2312"/>
          <w:color w:val="auto"/>
          <w:spacing w:val="7"/>
          <w:sz w:val="24"/>
          <w:szCs w:val="24"/>
          <w:highlight w:val="none"/>
          <w:lang w:eastAsia="zh-CN"/>
        </w:rPr>
        <w:t>（</w:t>
      </w:r>
      <w:r>
        <w:rPr>
          <w:rFonts w:hint="eastAsia" w:ascii="方正仿宋_GB2312" w:hAnsi="方正仿宋_GB2312" w:eastAsia="方正仿宋_GB2312" w:cs="方正仿宋_GB2312"/>
          <w:color w:val="auto"/>
          <w:spacing w:val="7"/>
          <w:sz w:val="24"/>
          <w:szCs w:val="24"/>
          <w:highlight w:val="none"/>
        </w:rPr>
        <w:t>竣工验收前报送</w:t>
      </w:r>
      <w:r>
        <w:rPr>
          <w:rFonts w:hint="eastAsia" w:ascii="方正仿宋_GB2312" w:hAnsi="方正仿宋_GB2312" w:eastAsia="方正仿宋_GB2312" w:cs="方正仿宋_GB2312"/>
          <w:color w:val="auto"/>
          <w:spacing w:val="7"/>
          <w:sz w:val="24"/>
          <w:szCs w:val="24"/>
          <w:highlight w:val="none"/>
          <w:lang w:eastAsia="zh-CN"/>
        </w:rPr>
        <w:t>）</w:t>
      </w:r>
      <w:r>
        <w:rPr>
          <w:rFonts w:hint="eastAsia" w:ascii="方正仿宋_GB2312" w:hAnsi="方正仿宋_GB2312" w:eastAsia="方正仿宋_GB2312" w:cs="方正仿宋_GB2312"/>
          <w:color w:val="auto"/>
          <w:spacing w:val="7"/>
          <w:sz w:val="24"/>
          <w:szCs w:val="24"/>
          <w:highlight w:val="none"/>
        </w:rPr>
        <w:t>；</w:t>
      </w:r>
    </w:p>
    <w:p w14:paraId="5A2370AC">
      <w:pPr>
        <w:keepNext w:val="0"/>
        <w:keepLines w:val="0"/>
        <w:pageBreakBefore w:val="0"/>
        <w:widowControl w:val="0"/>
        <w:kinsoku/>
        <w:wordWrap/>
        <w:overflowPunct/>
        <w:topLinePunct w:val="0"/>
        <w:autoSpaceDE/>
        <w:autoSpaceDN/>
        <w:bidi w:val="0"/>
        <w:snapToGrid w:val="0"/>
        <w:spacing w:after="0" w:line="360" w:lineRule="auto"/>
        <w:ind w:left="436"/>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7"/>
          <w:sz w:val="24"/>
          <w:szCs w:val="24"/>
          <w:highlight w:val="none"/>
          <w:lang w:eastAsia="zh-CN"/>
        </w:rPr>
        <w:t>2）</w:t>
      </w:r>
      <w:r>
        <w:rPr>
          <w:rFonts w:hint="eastAsia" w:ascii="方正仿宋_GB2312" w:hAnsi="方正仿宋_GB2312" w:eastAsia="方正仿宋_GB2312" w:cs="方正仿宋_GB2312"/>
          <w:color w:val="auto"/>
          <w:spacing w:val="7"/>
          <w:sz w:val="24"/>
          <w:szCs w:val="24"/>
          <w:highlight w:val="none"/>
        </w:rPr>
        <w:t xml:space="preserve"> 工程竣工验收证明；</w:t>
      </w:r>
    </w:p>
    <w:p w14:paraId="2F735FBD">
      <w:pPr>
        <w:keepNext w:val="0"/>
        <w:keepLines w:val="0"/>
        <w:pageBreakBefore w:val="0"/>
        <w:widowControl w:val="0"/>
        <w:kinsoku/>
        <w:wordWrap/>
        <w:overflowPunct/>
        <w:topLinePunct w:val="0"/>
        <w:autoSpaceDE/>
        <w:autoSpaceDN/>
        <w:bidi w:val="0"/>
        <w:snapToGrid w:val="0"/>
        <w:spacing w:after="0" w:line="360" w:lineRule="auto"/>
        <w:ind w:left="438"/>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16"/>
          <w:sz w:val="24"/>
          <w:szCs w:val="24"/>
          <w:highlight w:val="none"/>
          <w:lang w:eastAsia="zh-CN"/>
        </w:rPr>
        <w:t>3）</w:t>
      </w:r>
      <w:r>
        <w:rPr>
          <w:rFonts w:hint="eastAsia" w:ascii="方正仿宋_GB2312" w:hAnsi="方正仿宋_GB2312" w:eastAsia="方正仿宋_GB2312" w:cs="方正仿宋_GB2312"/>
          <w:color w:val="auto"/>
          <w:spacing w:val="8"/>
          <w:sz w:val="24"/>
          <w:szCs w:val="24"/>
          <w:highlight w:val="none"/>
        </w:rPr>
        <w:t xml:space="preserve"> 设计、监理、施工单位质量检查评估报告</w:t>
      </w:r>
      <w:r>
        <w:rPr>
          <w:rFonts w:hint="eastAsia" w:ascii="方正仿宋_GB2312" w:hAnsi="方正仿宋_GB2312" w:eastAsia="方正仿宋_GB2312" w:cs="方正仿宋_GB2312"/>
          <w:color w:val="auto"/>
          <w:spacing w:val="8"/>
          <w:sz w:val="24"/>
          <w:szCs w:val="24"/>
          <w:highlight w:val="none"/>
          <w:lang w:eastAsia="zh-CN"/>
        </w:rPr>
        <w:t>（</w:t>
      </w:r>
      <w:r>
        <w:rPr>
          <w:rFonts w:hint="eastAsia" w:ascii="方正仿宋_GB2312" w:hAnsi="方正仿宋_GB2312" w:eastAsia="方正仿宋_GB2312" w:cs="方正仿宋_GB2312"/>
          <w:color w:val="auto"/>
          <w:spacing w:val="8"/>
          <w:sz w:val="24"/>
          <w:szCs w:val="24"/>
          <w:highlight w:val="none"/>
        </w:rPr>
        <w:t>竣工验收前报送</w:t>
      </w:r>
      <w:r>
        <w:rPr>
          <w:rFonts w:hint="eastAsia" w:ascii="方正仿宋_GB2312" w:hAnsi="方正仿宋_GB2312" w:eastAsia="方正仿宋_GB2312" w:cs="方正仿宋_GB2312"/>
          <w:color w:val="auto"/>
          <w:spacing w:val="8"/>
          <w:sz w:val="24"/>
          <w:szCs w:val="24"/>
          <w:highlight w:val="none"/>
          <w:lang w:eastAsia="zh-CN"/>
        </w:rPr>
        <w:t>）</w:t>
      </w:r>
      <w:r>
        <w:rPr>
          <w:rFonts w:hint="eastAsia" w:ascii="方正仿宋_GB2312" w:hAnsi="方正仿宋_GB2312" w:eastAsia="方正仿宋_GB2312" w:cs="方正仿宋_GB2312"/>
          <w:color w:val="auto"/>
          <w:spacing w:val="8"/>
          <w:sz w:val="24"/>
          <w:szCs w:val="24"/>
          <w:highlight w:val="none"/>
        </w:rPr>
        <w:t>；</w:t>
      </w:r>
    </w:p>
    <w:p w14:paraId="31ACD390">
      <w:pPr>
        <w:keepNext w:val="0"/>
        <w:keepLines w:val="0"/>
        <w:pageBreakBefore w:val="0"/>
        <w:widowControl w:val="0"/>
        <w:kinsoku/>
        <w:wordWrap/>
        <w:overflowPunct/>
        <w:topLinePunct w:val="0"/>
        <w:autoSpaceDE/>
        <w:autoSpaceDN/>
        <w:bidi w:val="0"/>
        <w:snapToGrid w:val="0"/>
        <w:spacing w:after="0" w:line="360" w:lineRule="auto"/>
        <w:ind w:left="433"/>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16"/>
          <w:sz w:val="24"/>
          <w:szCs w:val="24"/>
          <w:highlight w:val="none"/>
          <w:lang w:eastAsia="zh-CN"/>
        </w:rPr>
        <w:t>4）</w:t>
      </w:r>
      <w:r>
        <w:rPr>
          <w:rFonts w:hint="eastAsia" w:ascii="方正仿宋_GB2312" w:hAnsi="方正仿宋_GB2312" w:eastAsia="方正仿宋_GB2312" w:cs="方正仿宋_GB2312"/>
          <w:color w:val="auto"/>
          <w:spacing w:val="8"/>
          <w:sz w:val="24"/>
          <w:szCs w:val="24"/>
          <w:highlight w:val="none"/>
        </w:rPr>
        <w:t xml:space="preserve"> 建设工程质量检测报告及功能试验资料；</w:t>
      </w:r>
    </w:p>
    <w:p w14:paraId="12AFB1EF">
      <w:pPr>
        <w:keepNext w:val="0"/>
        <w:keepLines w:val="0"/>
        <w:pageBreakBefore w:val="0"/>
        <w:widowControl w:val="0"/>
        <w:kinsoku/>
        <w:wordWrap/>
        <w:overflowPunct/>
        <w:topLinePunct w:val="0"/>
        <w:autoSpaceDE/>
        <w:autoSpaceDN/>
        <w:bidi w:val="0"/>
        <w:snapToGrid w:val="0"/>
        <w:spacing w:after="0" w:line="360" w:lineRule="auto"/>
        <w:ind w:left="438"/>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8"/>
          <w:sz w:val="24"/>
          <w:szCs w:val="24"/>
          <w:highlight w:val="none"/>
          <w:lang w:eastAsia="zh-CN"/>
        </w:rPr>
        <w:t>5）</w:t>
      </w:r>
      <w:r>
        <w:rPr>
          <w:rFonts w:hint="eastAsia" w:ascii="方正仿宋_GB2312" w:hAnsi="方正仿宋_GB2312" w:eastAsia="方正仿宋_GB2312" w:cs="方正仿宋_GB2312"/>
          <w:color w:val="auto"/>
          <w:spacing w:val="8"/>
          <w:sz w:val="24"/>
          <w:szCs w:val="24"/>
          <w:highlight w:val="none"/>
        </w:rPr>
        <w:t xml:space="preserve"> 规划、环保等部门出具的证明文件</w:t>
      </w:r>
      <w:r>
        <w:rPr>
          <w:rFonts w:hint="eastAsia" w:ascii="方正仿宋_GB2312" w:hAnsi="方正仿宋_GB2312" w:eastAsia="方正仿宋_GB2312" w:cs="方正仿宋_GB2312"/>
          <w:color w:val="auto"/>
          <w:spacing w:val="7"/>
          <w:sz w:val="24"/>
          <w:szCs w:val="24"/>
          <w:highlight w:val="none"/>
        </w:rPr>
        <w:t>；</w:t>
      </w:r>
    </w:p>
    <w:p w14:paraId="71609532">
      <w:pPr>
        <w:pStyle w:val="5"/>
        <w:keepNext w:val="0"/>
        <w:keepLines w:val="0"/>
        <w:pageBreakBefore w:val="0"/>
        <w:widowControl w:val="0"/>
        <w:kinsoku/>
        <w:wordWrap/>
        <w:overflowPunct/>
        <w:topLinePunct w:val="0"/>
        <w:autoSpaceDE/>
        <w:autoSpaceDN/>
        <w:bidi w:val="0"/>
        <w:snapToGrid w:val="0"/>
        <w:spacing w:after="0" w:line="360" w:lineRule="auto"/>
        <w:textAlignment w:val="auto"/>
        <w:rPr>
          <w:rFonts w:hint="eastAsia" w:ascii="方正仿宋_GB2312" w:hAnsi="方正仿宋_GB2312" w:eastAsia="方正仿宋_GB2312" w:cs="方正仿宋_GB2312"/>
          <w:color w:val="auto"/>
          <w:spacing w:val="8"/>
          <w:sz w:val="24"/>
          <w:szCs w:val="24"/>
          <w:highlight w:val="none"/>
        </w:rPr>
      </w:pPr>
      <w:r>
        <w:rPr>
          <w:rFonts w:hint="eastAsia" w:ascii="方正仿宋_GB2312" w:hAnsi="方正仿宋_GB2312" w:eastAsia="方正仿宋_GB2312" w:cs="方正仿宋_GB2312"/>
          <w:color w:val="auto"/>
          <w:spacing w:val="13"/>
          <w:sz w:val="24"/>
          <w:szCs w:val="24"/>
          <w:highlight w:val="none"/>
          <w:lang w:eastAsia="zh-CN"/>
        </w:rPr>
        <w:t>6）</w:t>
      </w:r>
      <w:r>
        <w:rPr>
          <w:rFonts w:hint="eastAsia" w:ascii="方正仿宋_GB2312" w:hAnsi="方正仿宋_GB2312" w:eastAsia="方正仿宋_GB2312" w:cs="方正仿宋_GB2312"/>
          <w:color w:val="auto"/>
          <w:spacing w:val="8"/>
          <w:sz w:val="24"/>
          <w:szCs w:val="24"/>
          <w:highlight w:val="none"/>
        </w:rPr>
        <w:t xml:space="preserve"> 法规、规章规定必须提供的</w:t>
      </w:r>
      <w:r>
        <w:rPr>
          <w:rFonts w:hint="eastAsia" w:ascii="方正仿宋_GB2312" w:hAnsi="方正仿宋_GB2312" w:eastAsia="方正仿宋_GB2312" w:cs="方正仿宋_GB2312"/>
          <w:color w:val="auto"/>
          <w:spacing w:val="8"/>
          <w:sz w:val="24"/>
          <w:szCs w:val="24"/>
          <w:highlight w:val="none"/>
          <w:lang w:eastAsia="zh-CN"/>
        </w:rPr>
        <w:t>其他</w:t>
      </w:r>
      <w:r>
        <w:rPr>
          <w:rFonts w:hint="eastAsia" w:ascii="方正仿宋_GB2312" w:hAnsi="方正仿宋_GB2312" w:eastAsia="方正仿宋_GB2312" w:cs="方正仿宋_GB2312"/>
          <w:color w:val="auto"/>
          <w:spacing w:val="8"/>
          <w:sz w:val="24"/>
          <w:szCs w:val="24"/>
          <w:highlight w:val="none"/>
        </w:rPr>
        <w:t>文件。</w:t>
      </w:r>
    </w:p>
    <w:p w14:paraId="2AEAE1E4">
      <w:pPr>
        <w:pStyle w:val="5"/>
        <w:keepNext w:val="0"/>
        <w:keepLines w:val="0"/>
        <w:pageBreakBefore w:val="0"/>
        <w:widowControl w:val="0"/>
        <w:kinsoku/>
        <w:wordWrap/>
        <w:overflowPunct/>
        <w:topLinePunct w:val="0"/>
        <w:autoSpaceDE/>
        <w:autoSpaceDN/>
        <w:bidi w:val="0"/>
        <w:snapToGrid w:val="0"/>
        <w:spacing w:after="0" w:line="360" w:lineRule="auto"/>
        <w:textAlignment w:val="auto"/>
        <w:rPr>
          <w:rFonts w:hint="eastAsia" w:ascii="方正仿宋_GB2312" w:hAnsi="方正仿宋_GB2312" w:eastAsia="方正仿宋_GB2312" w:cs="方正仿宋_GB2312"/>
          <w:color w:val="auto"/>
          <w:spacing w:val="8"/>
          <w:sz w:val="24"/>
          <w:szCs w:val="24"/>
          <w:highlight w:val="none"/>
        </w:rPr>
      </w:pPr>
      <w:r>
        <w:rPr>
          <w:rFonts w:hint="eastAsia" w:ascii="方正仿宋_GB2312" w:hAnsi="方正仿宋_GB2312" w:eastAsia="方正仿宋_GB2312" w:cs="方正仿宋_GB2312"/>
          <w:color w:val="auto"/>
          <w:spacing w:val="8"/>
          <w:sz w:val="24"/>
          <w:szCs w:val="24"/>
          <w:highlight w:val="none"/>
        </w:rPr>
        <w:t>投标</w:t>
      </w:r>
      <w:r>
        <w:rPr>
          <w:rFonts w:hint="eastAsia" w:ascii="方正仿宋_GB2312" w:hAnsi="方正仿宋_GB2312" w:eastAsia="方正仿宋_GB2312" w:cs="方正仿宋_GB2312"/>
          <w:color w:val="auto"/>
          <w:spacing w:val="8"/>
          <w:sz w:val="24"/>
          <w:szCs w:val="24"/>
          <w:highlight w:val="none"/>
          <w:lang w:eastAsia="zh-CN"/>
        </w:rPr>
        <w:t>人必</w:t>
      </w:r>
      <w:r>
        <w:rPr>
          <w:rFonts w:hint="eastAsia" w:ascii="方正仿宋_GB2312" w:hAnsi="方正仿宋_GB2312" w:eastAsia="方正仿宋_GB2312" w:cs="方正仿宋_GB2312"/>
          <w:color w:val="auto"/>
          <w:spacing w:val="8"/>
          <w:sz w:val="24"/>
          <w:szCs w:val="24"/>
          <w:highlight w:val="none"/>
        </w:rPr>
        <w:t>须执行本技术标准和要求所列标准。当投标人所执行标准与所列标准有矛盾时，按较高标准执 行。投标人在设计、采购和施工中所涉及的各项规范、标准和法律必须遵循现行最新版本的标准。</w:t>
      </w:r>
    </w:p>
    <w:p w14:paraId="2D3536FC">
      <w:pPr>
        <w:pStyle w:val="5"/>
        <w:keepNext w:val="0"/>
        <w:keepLines w:val="0"/>
        <w:pageBreakBefore w:val="0"/>
        <w:widowControl w:val="0"/>
        <w:kinsoku/>
        <w:wordWrap/>
        <w:overflowPunct/>
        <w:topLinePunct w:val="0"/>
        <w:autoSpaceDE/>
        <w:autoSpaceDN/>
        <w:bidi w:val="0"/>
        <w:snapToGrid w:val="0"/>
        <w:spacing w:after="0" w:line="36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pacing w:val="8"/>
          <w:sz w:val="24"/>
          <w:szCs w:val="24"/>
          <w:highlight w:val="none"/>
          <w:lang w:val="en-US" w:eastAsia="zh-CN"/>
        </w:rPr>
        <w:t>本项目所有专业工程施工必须符合国家相关的质量验收规范及评定标准。</w:t>
      </w:r>
    </w:p>
    <w:p w14:paraId="0B7EB06E">
      <w:pPr>
        <w:pStyle w:val="5"/>
        <w:rPr>
          <w:rFonts w:hint="eastAsia" w:ascii="方正仿宋_GB2312" w:hAnsi="方正仿宋_GB2312" w:eastAsia="方正仿宋_GB2312" w:cs="方正仿宋_GB2312"/>
          <w:color w:val="auto"/>
          <w:highlight w:val="none"/>
          <w:lang w:val="en-US" w:eastAsia="zh-CN"/>
        </w:rPr>
      </w:pPr>
    </w:p>
    <w:p w14:paraId="69A1BCED">
      <w:pPr>
        <w:rPr>
          <w:rFonts w:hint="eastAsia" w:ascii="方正仿宋_GB2312" w:hAnsi="方正仿宋_GB2312" w:eastAsia="方正仿宋_GB2312" w:cs="方正仿宋_GB2312"/>
          <w:b/>
          <w:bCs/>
          <w:color w:val="auto"/>
          <w:sz w:val="32"/>
          <w:szCs w:val="32"/>
          <w:highlight w:val="none"/>
        </w:rPr>
      </w:pPr>
      <w:bookmarkStart w:id="1542" w:name="_Toc23974"/>
      <w:r>
        <w:rPr>
          <w:rFonts w:hint="eastAsia" w:ascii="方正仿宋_GB2312" w:hAnsi="方正仿宋_GB2312" w:eastAsia="方正仿宋_GB2312" w:cs="方正仿宋_GB2312"/>
          <w:b/>
          <w:bCs/>
          <w:color w:val="auto"/>
          <w:sz w:val="32"/>
          <w:szCs w:val="32"/>
          <w:highlight w:val="none"/>
        </w:rPr>
        <w:br w:type="page"/>
      </w:r>
    </w:p>
    <w:p w14:paraId="5EE87DD5">
      <w:pPr>
        <w:jc w:val="center"/>
        <w:outlineLvl w:val="1"/>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b/>
          <w:bCs/>
          <w:color w:val="auto"/>
          <w:sz w:val="32"/>
          <w:szCs w:val="32"/>
          <w:highlight w:val="none"/>
        </w:rPr>
        <w:t>第六章  投标文件格式</w:t>
      </w:r>
      <w:bookmarkEnd w:id="556"/>
      <w:bookmarkEnd w:id="557"/>
      <w:bookmarkEnd w:id="558"/>
      <w:bookmarkEnd w:id="1526"/>
      <w:bookmarkEnd w:id="1527"/>
      <w:bookmarkEnd w:id="1528"/>
      <w:bookmarkEnd w:id="1542"/>
    </w:p>
    <w:p w14:paraId="5AAE95FE">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p>
    <w:p w14:paraId="1B2CEFD1">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注：（1）“_______（电子签章）”的，下划线上填写单位全称（法定名称），在单位全称上加电子签章，单位全称应与单位章一致。“盖章”按第二章“投标人须知”3.7.3“签字、盖章要求”办理。</w:t>
      </w:r>
    </w:p>
    <w:p w14:paraId="6CFD4481">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下划线后括号内的填写说明，如电子签章、签字、项目名称、招标人名称、姓名等，投标人在编制投标文件时，可以删除。</w:t>
      </w:r>
    </w:p>
    <w:p w14:paraId="379553D9">
      <w:pPr>
        <w:keepNext w:val="0"/>
        <w:keepLines w:val="0"/>
        <w:pageBreakBefore w:val="0"/>
        <w:widowControl w:val="0"/>
        <w:kinsoku/>
        <w:wordWrap/>
        <w:overflowPunct/>
        <w:topLinePunct w:val="0"/>
        <w:autoSpaceDE w:val="0"/>
        <w:autoSpaceDN w:val="0"/>
        <w:bidi w:val="0"/>
        <w:adjustRightInd w:val="0"/>
        <w:snapToGrid w:val="0"/>
        <w:spacing w:after="0" w:line="360" w:lineRule="auto"/>
        <w:textAlignment w:val="auto"/>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（2）本章中与投标人有关的“注”，投标人在编制投标文件时，都应保留（已删除内容除外）。</w:t>
      </w:r>
    </w:p>
    <w:p w14:paraId="510E80A6">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br w:type="page"/>
      </w:r>
    </w:p>
    <w:p w14:paraId="089E3EA0">
      <w:pPr>
        <w:autoSpaceDE w:val="0"/>
        <w:autoSpaceDN w:val="0"/>
        <w:adjustRightInd w:val="0"/>
        <w:jc w:val="center"/>
        <w:outlineLvl w:val="9"/>
        <w:rPr>
          <w:rFonts w:hint="eastAsia" w:ascii="方正仿宋_GB2312" w:hAnsi="方正仿宋_GB2312" w:eastAsia="方正仿宋_GB2312" w:cs="方正仿宋_GB2312"/>
          <w:color w:val="auto"/>
          <w:kern w:val="0"/>
          <w:sz w:val="24"/>
          <w:szCs w:val="24"/>
          <w:highlight w:val="none"/>
        </w:rPr>
      </w:pPr>
    </w:p>
    <w:p w14:paraId="374EBCEB">
      <w:pPr>
        <w:autoSpaceDE w:val="0"/>
        <w:autoSpaceDN w:val="0"/>
        <w:adjustRightInd w:val="0"/>
        <w:jc w:val="center"/>
        <w:outlineLvl w:val="9"/>
        <w:rPr>
          <w:rFonts w:hint="eastAsia" w:ascii="方正仿宋_GB2312" w:hAnsi="方正仿宋_GB2312" w:eastAsia="方正仿宋_GB2312" w:cs="方正仿宋_GB2312"/>
          <w:color w:val="auto"/>
          <w:kern w:val="0"/>
          <w:sz w:val="24"/>
          <w:szCs w:val="24"/>
          <w:highlight w:val="none"/>
        </w:rPr>
      </w:pPr>
    </w:p>
    <w:p w14:paraId="6DC8593F">
      <w:pPr>
        <w:spacing w:before="127" w:line="222" w:lineRule="auto"/>
        <w:ind w:left="25"/>
        <w:jc w:val="center"/>
        <w:outlineLvl w:val="1"/>
        <w:rPr>
          <w:rFonts w:hint="eastAsia" w:ascii="方正仿宋_GB2312" w:hAnsi="方正仿宋_GB2312" w:eastAsia="方正仿宋_GB2312" w:cs="方正仿宋_GB2312"/>
          <w:color w:val="auto"/>
          <w:sz w:val="28"/>
          <w:szCs w:val="28"/>
          <w:highlight w:val="none"/>
        </w:rPr>
      </w:pPr>
      <w:bookmarkStart w:id="1543" w:name="_Toc28776"/>
      <w:bookmarkStart w:id="1544" w:name="_Toc31134"/>
      <w:bookmarkStart w:id="1545" w:name="_Toc4212"/>
      <w:bookmarkStart w:id="1546" w:name="_Toc31262"/>
      <w:r>
        <w:rPr>
          <w:rFonts w:hint="eastAsia" w:ascii="方正仿宋_GB2312" w:hAnsi="方正仿宋_GB2312" w:eastAsia="方正仿宋_GB2312" w:cs="方正仿宋_GB2312"/>
          <w:color w:val="auto"/>
          <w:spacing w:val="22"/>
          <w:sz w:val="28"/>
          <w:szCs w:val="28"/>
          <w:highlight w:val="none"/>
          <w:lang w:eastAsia="zh-CN"/>
        </w:rPr>
        <w:t>（</w:t>
      </w:r>
      <w:r>
        <w:rPr>
          <w:rFonts w:hint="eastAsia" w:ascii="方正仿宋_GB2312" w:hAnsi="方正仿宋_GB2312" w:eastAsia="方正仿宋_GB2312" w:cs="方正仿宋_GB2312"/>
          <w:color w:val="auto"/>
          <w:spacing w:val="20"/>
          <w:sz w:val="28"/>
          <w:szCs w:val="28"/>
          <w:highlight w:val="none"/>
        </w:rPr>
        <w:t>项目名称</w:t>
      </w:r>
      <w:r>
        <w:rPr>
          <w:rFonts w:hint="eastAsia" w:ascii="方正仿宋_GB2312" w:hAnsi="方正仿宋_GB2312" w:eastAsia="方正仿宋_GB2312" w:cs="方正仿宋_GB2312"/>
          <w:color w:val="auto"/>
          <w:spacing w:val="20"/>
          <w:sz w:val="28"/>
          <w:szCs w:val="28"/>
          <w:highlight w:val="none"/>
          <w:lang w:eastAsia="zh-CN"/>
        </w:rPr>
        <w:t>）</w:t>
      </w:r>
      <w:bookmarkEnd w:id="1543"/>
      <w:bookmarkEnd w:id="1544"/>
      <w:bookmarkEnd w:id="1545"/>
      <w:bookmarkEnd w:id="1546"/>
    </w:p>
    <w:p w14:paraId="62D9E2F4">
      <w:pPr>
        <w:spacing w:line="243" w:lineRule="auto"/>
        <w:rPr>
          <w:rFonts w:hint="eastAsia" w:ascii="方正仿宋_GB2312" w:hAnsi="方正仿宋_GB2312" w:eastAsia="方正仿宋_GB2312" w:cs="方正仿宋_GB2312"/>
          <w:color w:val="auto"/>
          <w:sz w:val="21"/>
          <w:highlight w:val="none"/>
        </w:rPr>
      </w:pPr>
    </w:p>
    <w:p w14:paraId="4D25B2D1">
      <w:pPr>
        <w:spacing w:line="243" w:lineRule="auto"/>
        <w:rPr>
          <w:rFonts w:hint="eastAsia" w:ascii="方正仿宋_GB2312" w:hAnsi="方正仿宋_GB2312" w:eastAsia="方正仿宋_GB2312" w:cs="方正仿宋_GB2312"/>
          <w:color w:val="auto"/>
          <w:sz w:val="21"/>
          <w:highlight w:val="none"/>
        </w:rPr>
      </w:pPr>
    </w:p>
    <w:p w14:paraId="030F7431">
      <w:pPr>
        <w:spacing w:line="243" w:lineRule="auto"/>
        <w:rPr>
          <w:rFonts w:hint="eastAsia" w:ascii="方正仿宋_GB2312" w:hAnsi="方正仿宋_GB2312" w:eastAsia="方正仿宋_GB2312" w:cs="方正仿宋_GB2312"/>
          <w:color w:val="auto"/>
          <w:sz w:val="21"/>
          <w:highlight w:val="none"/>
        </w:rPr>
      </w:pPr>
    </w:p>
    <w:p w14:paraId="60487049">
      <w:pPr>
        <w:spacing w:line="243" w:lineRule="auto"/>
        <w:rPr>
          <w:rFonts w:hint="eastAsia" w:ascii="方正仿宋_GB2312" w:hAnsi="方正仿宋_GB2312" w:eastAsia="方正仿宋_GB2312" w:cs="方正仿宋_GB2312"/>
          <w:color w:val="auto"/>
          <w:sz w:val="21"/>
          <w:highlight w:val="none"/>
        </w:rPr>
      </w:pPr>
    </w:p>
    <w:p w14:paraId="2E863A40">
      <w:pPr>
        <w:spacing w:line="244" w:lineRule="auto"/>
        <w:rPr>
          <w:rFonts w:hint="eastAsia" w:ascii="方正仿宋_GB2312" w:hAnsi="方正仿宋_GB2312" w:eastAsia="方正仿宋_GB2312" w:cs="方正仿宋_GB2312"/>
          <w:color w:val="auto"/>
          <w:sz w:val="21"/>
          <w:highlight w:val="none"/>
        </w:rPr>
      </w:pPr>
    </w:p>
    <w:p w14:paraId="668FB531">
      <w:pPr>
        <w:spacing w:before="309" w:line="224" w:lineRule="auto"/>
        <w:ind w:left="2236"/>
        <w:rPr>
          <w:rFonts w:hint="eastAsia" w:ascii="方正仿宋_GB2312" w:hAnsi="方正仿宋_GB2312" w:eastAsia="方正仿宋_GB2312" w:cs="方正仿宋_GB2312"/>
          <w:color w:val="auto"/>
          <w:sz w:val="95"/>
          <w:szCs w:val="95"/>
          <w:highlight w:val="none"/>
        </w:rPr>
      </w:pPr>
      <w:r>
        <w:rPr>
          <w:rFonts w:hint="eastAsia" w:ascii="方正仿宋_GB2312" w:hAnsi="方正仿宋_GB2312" w:eastAsia="方正仿宋_GB2312" w:cs="方正仿宋_GB2312"/>
          <w:color w:val="auto"/>
          <w:spacing w:val="9"/>
          <w:sz w:val="95"/>
          <w:szCs w:val="95"/>
          <w:highlight w:val="none"/>
          <w14:textOutline w14:w="17434" w14:cap="sq">
            <w14:solidFill>
              <w14:srgbClr w14:val="000000"/>
            </w14:solidFill>
            <w14:prstDash w14:val="solid"/>
            <w14:bevel/>
          </w14:textOutline>
        </w:rPr>
        <w:t>投</w:t>
      </w:r>
      <w:r>
        <w:rPr>
          <w:rFonts w:hint="eastAsia" w:ascii="方正仿宋_GB2312" w:hAnsi="方正仿宋_GB2312" w:eastAsia="方正仿宋_GB2312" w:cs="方正仿宋_GB2312"/>
          <w:color w:val="auto"/>
          <w:spacing w:val="9"/>
          <w:sz w:val="95"/>
          <w:szCs w:val="95"/>
          <w:highlight w:val="none"/>
        </w:rPr>
        <w:t xml:space="preserve"> </w:t>
      </w:r>
      <w:r>
        <w:rPr>
          <w:rFonts w:hint="eastAsia" w:ascii="方正仿宋_GB2312" w:hAnsi="方正仿宋_GB2312" w:eastAsia="方正仿宋_GB2312" w:cs="方正仿宋_GB2312"/>
          <w:color w:val="auto"/>
          <w:spacing w:val="9"/>
          <w:sz w:val="95"/>
          <w:szCs w:val="95"/>
          <w:highlight w:val="none"/>
          <w14:textOutline w14:w="17434" w14:cap="sq">
            <w14:solidFill>
              <w14:srgbClr w14:val="000000"/>
            </w14:solidFill>
            <w14:prstDash w14:val="solid"/>
            <w14:bevel/>
          </w14:textOutline>
        </w:rPr>
        <w:t>标</w:t>
      </w:r>
      <w:r>
        <w:rPr>
          <w:rFonts w:hint="eastAsia" w:ascii="方正仿宋_GB2312" w:hAnsi="方正仿宋_GB2312" w:eastAsia="方正仿宋_GB2312" w:cs="方正仿宋_GB2312"/>
          <w:color w:val="auto"/>
          <w:spacing w:val="9"/>
          <w:sz w:val="95"/>
          <w:szCs w:val="95"/>
          <w:highlight w:val="none"/>
        </w:rPr>
        <w:t xml:space="preserve"> </w:t>
      </w:r>
      <w:r>
        <w:rPr>
          <w:rFonts w:hint="eastAsia" w:ascii="方正仿宋_GB2312" w:hAnsi="方正仿宋_GB2312" w:eastAsia="方正仿宋_GB2312" w:cs="方正仿宋_GB2312"/>
          <w:color w:val="auto"/>
          <w:spacing w:val="9"/>
          <w:sz w:val="95"/>
          <w:szCs w:val="95"/>
          <w:highlight w:val="none"/>
          <w14:textOutline w14:w="17434" w14:cap="sq">
            <w14:solidFill>
              <w14:srgbClr w14:val="000000"/>
            </w14:solidFill>
            <w14:prstDash w14:val="solid"/>
            <w14:bevel/>
          </w14:textOutline>
        </w:rPr>
        <w:t>文</w:t>
      </w:r>
      <w:r>
        <w:rPr>
          <w:rFonts w:hint="eastAsia" w:ascii="方正仿宋_GB2312" w:hAnsi="方正仿宋_GB2312" w:eastAsia="方正仿宋_GB2312" w:cs="方正仿宋_GB2312"/>
          <w:color w:val="auto"/>
          <w:spacing w:val="9"/>
          <w:sz w:val="95"/>
          <w:szCs w:val="95"/>
          <w:highlight w:val="none"/>
        </w:rPr>
        <w:t xml:space="preserve"> </w:t>
      </w:r>
      <w:r>
        <w:rPr>
          <w:rFonts w:hint="eastAsia" w:ascii="方正仿宋_GB2312" w:hAnsi="方正仿宋_GB2312" w:eastAsia="方正仿宋_GB2312" w:cs="方正仿宋_GB2312"/>
          <w:color w:val="auto"/>
          <w:spacing w:val="8"/>
          <w:sz w:val="95"/>
          <w:szCs w:val="95"/>
          <w:highlight w:val="none"/>
          <w14:textOutline w14:w="17434" w14:cap="sq">
            <w14:solidFill>
              <w14:srgbClr w14:val="000000"/>
            </w14:solidFill>
            <w14:prstDash w14:val="solid"/>
            <w14:bevel/>
          </w14:textOutline>
        </w:rPr>
        <w:t>件</w:t>
      </w:r>
    </w:p>
    <w:p w14:paraId="235C0373">
      <w:pPr>
        <w:spacing w:line="242" w:lineRule="auto"/>
        <w:rPr>
          <w:rFonts w:hint="eastAsia" w:ascii="方正仿宋_GB2312" w:hAnsi="方正仿宋_GB2312" w:eastAsia="方正仿宋_GB2312" w:cs="方正仿宋_GB2312"/>
          <w:color w:val="auto"/>
          <w:sz w:val="21"/>
          <w:highlight w:val="none"/>
        </w:rPr>
      </w:pPr>
    </w:p>
    <w:p w14:paraId="5E9CD99F">
      <w:pPr>
        <w:spacing w:line="242" w:lineRule="auto"/>
        <w:rPr>
          <w:rFonts w:hint="eastAsia" w:ascii="方正仿宋_GB2312" w:hAnsi="方正仿宋_GB2312" w:eastAsia="方正仿宋_GB2312" w:cs="方正仿宋_GB2312"/>
          <w:color w:val="auto"/>
          <w:sz w:val="21"/>
          <w:highlight w:val="none"/>
        </w:rPr>
      </w:pPr>
    </w:p>
    <w:p w14:paraId="60227099">
      <w:pPr>
        <w:spacing w:line="242" w:lineRule="auto"/>
        <w:rPr>
          <w:rFonts w:hint="eastAsia" w:ascii="方正仿宋_GB2312" w:hAnsi="方正仿宋_GB2312" w:eastAsia="方正仿宋_GB2312" w:cs="方正仿宋_GB2312"/>
          <w:color w:val="auto"/>
          <w:sz w:val="21"/>
          <w:highlight w:val="none"/>
        </w:rPr>
      </w:pPr>
    </w:p>
    <w:p w14:paraId="356DB8EE">
      <w:pPr>
        <w:spacing w:line="242" w:lineRule="auto"/>
        <w:rPr>
          <w:rFonts w:hint="eastAsia" w:ascii="方正仿宋_GB2312" w:hAnsi="方正仿宋_GB2312" w:eastAsia="方正仿宋_GB2312" w:cs="方正仿宋_GB2312"/>
          <w:color w:val="auto"/>
          <w:sz w:val="21"/>
          <w:highlight w:val="none"/>
        </w:rPr>
      </w:pPr>
    </w:p>
    <w:p w14:paraId="520F15FA">
      <w:pPr>
        <w:spacing w:line="243" w:lineRule="auto"/>
        <w:rPr>
          <w:rFonts w:hint="eastAsia" w:ascii="方正仿宋_GB2312" w:hAnsi="方正仿宋_GB2312" w:eastAsia="方正仿宋_GB2312" w:cs="方正仿宋_GB2312"/>
          <w:color w:val="auto"/>
          <w:sz w:val="21"/>
          <w:highlight w:val="none"/>
        </w:rPr>
      </w:pPr>
    </w:p>
    <w:p w14:paraId="44A3A4D0">
      <w:pPr>
        <w:spacing w:line="243" w:lineRule="auto"/>
        <w:rPr>
          <w:rFonts w:hint="eastAsia" w:ascii="方正仿宋_GB2312" w:hAnsi="方正仿宋_GB2312" w:eastAsia="方正仿宋_GB2312" w:cs="方正仿宋_GB2312"/>
          <w:color w:val="auto"/>
          <w:sz w:val="21"/>
          <w:highlight w:val="none"/>
        </w:rPr>
      </w:pPr>
    </w:p>
    <w:p w14:paraId="52A47FD8">
      <w:pPr>
        <w:spacing w:line="243" w:lineRule="auto"/>
        <w:rPr>
          <w:rFonts w:hint="eastAsia" w:ascii="方正仿宋_GB2312" w:hAnsi="方正仿宋_GB2312" w:eastAsia="方正仿宋_GB2312" w:cs="方正仿宋_GB2312"/>
          <w:color w:val="auto"/>
          <w:sz w:val="21"/>
          <w:highlight w:val="none"/>
        </w:rPr>
      </w:pPr>
    </w:p>
    <w:p w14:paraId="1EF92BC1">
      <w:pPr>
        <w:spacing w:before="91" w:line="454" w:lineRule="exact"/>
        <w:ind w:left="2604"/>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pacing w:val="-8"/>
          <w:position w:val="12"/>
          <w:sz w:val="28"/>
          <w:szCs w:val="28"/>
          <w:highlight w:val="none"/>
        </w:rPr>
        <w:t xml:space="preserve">投标人 </w:t>
      </w:r>
      <w:r>
        <w:rPr>
          <w:rFonts w:hint="eastAsia" w:ascii="方正仿宋_GB2312" w:hAnsi="方正仿宋_GB2312" w:eastAsia="方正仿宋_GB2312" w:cs="方正仿宋_GB2312"/>
          <w:color w:val="auto"/>
          <w:spacing w:val="-8"/>
          <w:position w:val="12"/>
          <w:sz w:val="28"/>
          <w:szCs w:val="28"/>
          <w:highlight w:val="none"/>
          <w:lang w:eastAsia="zh-CN"/>
        </w:rPr>
        <w:t>（</w:t>
      </w:r>
      <w:r>
        <w:rPr>
          <w:rFonts w:hint="eastAsia" w:ascii="方正仿宋_GB2312" w:hAnsi="方正仿宋_GB2312" w:eastAsia="方正仿宋_GB2312" w:cs="方正仿宋_GB2312"/>
          <w:color w:val="auto"/>
          <w:spacing w:val="-8"/>
          <w:position w:val="12"/>
          <w:sz w:val="28"/>
          <w:szCs w:val="28"/>
          <w:highlight w:val="none"/>
        </w:rPr>
        <w:t>牵头单位</w:t>
      </w:r>
      <w:r>
        <w:rPr>
          <w:rFonts w:hint="eastAsia" w:ascii="方正仿宋_GB2312" w:hAnsi="方正仿宋_GB2312" w:eastAsia="方正仿宋_GB2312" w:cs="方正仿宋_GB2312"/>
          <w:color w:val="auto"/>
          <w:spacing w:val="-8"/>
          <w:position w:val="12"/>
          <w:sz w:val="28"/>
          <w:szCs w:val="28"/>
          <w:highlight w:val="none"/>
          <w:lang w:eastAsia="zh-CN"/>
        </w:rPr>
        <w:t>）</w:t>
      </w:r>
      <w:r>
        <w:rPr>
          <w:rFonts w:hint="eastAsia" w:ascii="方正仿宋_GB2312" w:hAnsi="方正仿宋_GB2312" w:eastAsia="方正仿宋_GB2312" w:cs="方正仿宋_GB2312"/>
          <w:color w:val="auto"/>
          <w:spacing w:val="-8"/>
          <w:position w:val="12"/>
          <w:sz w:val="28"/>
          <w:szCs w:val="28"/>
          <w:highlight w:val="none"/>
        </w:rPr>
        <w:t xml:space="preserve"> ：  </w:t>
      </w:r>
      <w:r>
        <w:rPr>
          <w:rFonts w:hint="eastAsia" w:ascii="方正仿宋_GB2312" w:hAnsi="方正仿宋_GB2312" w:eastAsia="方正仿宋_GB2312" w:cs="方正仿宋_GB2312"/>
          <w:color w:val="auto"/>
          <w:spacing w:val="-8"/>
          <w:position w:val="12"/>
          <w:sz w:val="28"/>
          <w:szCs w:val="28"/>
          <w:highlight w:val="none"/>
          <w:lang w:eastAsia="zh-CN"/>
        </w:rPr>
        <w:t>（</w:t>
      </w:r>
      <w:r>
        <w:rPr>
          <w:rFonts w:hint="eastAsia" w:ascii="方正仿宋_GB2312" w:hAnsi="方正仿宋_GB2312" w:eastAsia="方正仿宋_GB2312" w:cs="方正仿宋_GB2312"/>
          <w:color w:val="auto"/>
          <w:spacing w:val="-8"/>
          <w:position w:val="12"/>
          <w:sz w:val="28"/>
          <w:szCs w:val="28"/>
          <w:highlight w:val="none"/>
        </w:rPr>
        <w:t>盖电子章</w:t>
      </w:r>
      <w:r>
        <w:rPr>
          <w:rFonts w:hint="eastAsia" w:ascii="方正仿宋_GB2312" w:hAnsi="方正仿宋_GB2312" w:eastAsia="方正仿宋_GB2312" w:cs="方正仿宋_GB2312"/>
          <w:color w:val="auto"/>
          <w:spacing w:val="-8"/>
          <w:position w:val="12"/>
          <w:sz w:val="28"/>
          <w:szCs w:val="28"/>
          <w:highlight w:val="none"/>
          <w:lang w:eastAsia="zh-CN"/>
        </w:rPr>
        <w:t>）</w:t>
      </w:r>
    </w:p>
    <w:p w14:paraId="7E2CD067">
      <w:pPr>
        <w:spacing w:before="1" w:line="222" w:lineRule="auto"/>
        <w:ind w:left="2475"/>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pacing w:val="-16"/>
          <w:sz w:val="28"/>
          <w:szCs w:val="28"/>
          <w:highlight w:val="none"/>
        </w:rPr>
        <w:t>法</w:t>
      </w:r>
      <w:r>
        <w:rPr>
          <w:rFonts w:hint="eastAsia" w:ascii="方正仿宋_GB2312" w:hAnsi="方正仿宋_GB2312" w:eastAsia="方正仿宋_GB2312" w:cs="方正仿宋_GB2312"/>
          <w:color w:val="auto"/>
          <w:spacing w:val="-15"/>
          <w:sz w:val="28"/>
          <w:szCs w:val="28"/>
          <w:highlight w:val="none"/>
        </w:rPr>
        <w:t>定</w:t>
      </w:r>
      <w:r>
        <w:rPr>
          <w:rFonts w:hint="eastAsia" w:ascii="方正仿宋_GB2312" w:hAnsi="方正仿宋_GB2312" w:eastAsia="方正仿宋_GB2312" w:cs="方正仿宋_GB2312"/>
          <w:color w:val="auto"/>
          <w:spacing w:val="-8"/>
          <w:sz w:val="28"/>
          <w:szCs w:val="28"/>
          <w:highlight w:val="none"/>
        </w:rPr>
        <w:t xml:space="preserve">代表人：  </w:t>
      </w:r>
      <w:r>
        <w:rPr>
          <w:rFonts w:hint="eastAsia" w:ascii="方正仿宋_GB2312" w:hAnsi="方正仿宋_GB2312" w:eastAsia="方正仿宋_GB2312" w:cs="方正仿宋_GB2312"/>
          <w:color w:val="auto"/>
          <w:spacing w:val="-8"/>
          <w:sz w:val="28"/>
          <w:szCs w:val="28"/>
          <w:highlight w:val="none"/>
          <w:lang w:eastAsia="zh-CN"/>
        </w:rPr>
        <w:t>（</w:t>
      </w:r>
      <w:r>
        <w:rPr>
          <w:rFonts w:hint="eastAsia" w:ascii="方正仿宋_GB2312" w:hAnsi="方正仿宋_GB2312" w:eastAsia="方正仿宋_GB2312" w:cs="方正仿宋_GB2312"/>
          <w:color w:val="auto"/>
          <w:spacing w:val="-8"/>
          <w:sz w:val="28"/>
          <w:szCs w:val="28"/>
          <w:highlight w:val="none"/>
        </w:rPr>
        <w:t>电子签字或盖电子章</w:t>
      </w:r>
      <w:r>
        <w:rPr>
          <w:rFonts w:hint="eastAsia" w:ascii="方正仿宋_GB2312" w:hAnsi="方正仿宋_GB2312" w:eastAsia="方正仿宋_GB2312" w:cs="方正仿宋_GB2312"/>
          <w:color w:val="auto"/>
          <w:spacing w:val="-8"/>
          <w:sz w:val="28"/>
          <w:szCs w:val="28"/>
          <w:highlight w:val="none"/>
          <w:lang w:eastAsia="zh-CN"/>
        </w:rPr>
        <w:t>）</w:t>
      </w:r>
    </w:p>
    <w:p w14:paraId="3A01A433">
      <w:pPr>
        <w:spacing w:before="115" w:line="223" w:lineRule="auto"/>
        <w:ind w:left="401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pacing w:val="7"/>
          <w:sz w:val="28"/>
          <w:szCs w:val="28"/>
          <w:highlight w:val="none"/>
        </w:rPr>
        <w:t>年</w:t>
      </w:r>
      <w:r>
        <w:rPr>
          <w:rFonts w:hint="eastAsia" w:ascii="方正仿宋_GB2312" w:hAnsi="方正仿宋_GB2312" w:eastAsia="方正仿宋_GB2312" w:cs="方正仿宋_GB2312"/>
          <w:color w:val="auto"/>
          <w:spacing w:val="6"/>
          <w:sz w:val="28"/>
          <w:szCs w:val="28"/>
          <w:highlight w:val="none"/>
        </w:rPr>
        <w:t xml:space="preserve">   月   日</w:t>
      </w:r>
    </w:p>
    <w:p w14:paraId="22A93D89">
      <w:pPr>
        <w:spacing w:line="343" w:lineRule="auto"/>
        <w:rPr>
          <w:rFonts w:hint="eastAsia" w:ascii="方正仿宋_GB2312" w:hAnsi="方正仿宋_GB2312" w:eastAsia="方正仿宋_GB2312" w:cs="方正仿宋_GB2312"/>
          <w:color w:val="auto"/>
          <w:sz w:val="21"/>
          <w:highlight w:val="none"/>
        </w:rPr>
      </w:pPr>
    </w:p>
    <w:p w14:paraId="7DF9F2F8">
      <w:pPr>
        <w:spacing w:line="343" w:lineRule="auto"/>
        <w:rPr>
          <w:rFonts w:hint="eastAsia" w:ascii="方正仿宋_GB2312" w:hAnsi="方正仿宋_GB2312" w:eastAsia="方正仿宋_GB2312" w:cs="方正仿宋_GB2312"/>
          <w:color w:val="auto"/>
          <w:sz w:val="21"/>
          <w:highlight w:val="none"/>
        </w:rPr>
      </w:pPr>
    </w:p>
    <w:p w14:paraId="23D0C01D">
      <w:pPr>
        <w:spacing w:before="65" w:line="231" w:lineRule="auto"/>
        <w:ind w:left="653"/>
        <w:rPr>
          <w:rFonts w:hint="eastAsia" w:ascii="方正仿宋_GB2312" w:hAnsi="方正仿宋_GB2312" w:eastAsia="方正仿宋_GB2312" w:cs="方正仿宋_GB2312"/>
          <w:color w:val="auto"/>
          <w:sz w:val="20"/>
          <w:szCs w:val="20"/>
          <w:highlight w:val="none"/>
        </w:rPr>
      </w:pPr>
      <w:r>
        <w:rPr>
          <w:rFonts w:hint="eastAsia" w:ascii="方正仿宋_GB2312" w:hAnsi="方正仿宋_GB2312" w:eastAsia="方正仿宋_GB2312" w:cs="方正仿宋_GB2312"/>
          <w:color w:val="auto"/>
          <w:spacing w:val="10"/>
          <w:sz w:val="20"/>
          <w:szCs w:val="20"/>
          <w:highlight w:val="none"/>
          <w14:textOutline w14:w="3795" w14:cap="sq">
            <w14:solidFill>
              <w14:srgbClr w14:val="000000"/>
            </w14:solidFill>
            <w14:prstDash w14:val="solid"/>
            <w14:bevel/>
          </w14:textOutline>
        </w:rPr>
        <w:t>如投标人为联合体，除文件特别规定外，其余内容均由联合体牵头人负责签章。</w:t>
      </w:r>
    </w:p>
    <w:p w14:paraId="2DAE3AB5">
      <w:pPr>
        <w:rPr>
          <w:rFonts w:hint="eastAsia" w:ascii="方正仿宋_GB2312" w:hAnsi="方正仿宋_GB2312" w:eastAsia="方正仿宋_GB2312" w:cs="方正仿宋_GB2312"/>
          <w:b/>
          <w:bCs w:val="0"/>
          <w:color w:val="auto"/>
          <w:sz w:val="32"/>
          <w:szCs w:val="32"/>
          <w:highlight w:val="none"/>
        </w:rPr>
      </w:pPr>
      <w:bookmarkStart w:id="1547" w:name="_Toc19426"/>
      <w:r>
        <w:rPr>
          <w:rFonts w:hint="eastAsia" w:ascii="方正仿宋_GB2312" w:hAnsi="方正仿宋_GB2312" w:eastAsia="方正仿宋_GB2312" w:cs="方正仿宋_GB2312"/>
          <w:b/>
          <w:bCs w:val="0"/>
          <w:color w:val="auto"/>
          <w:sz w:val="32"/>
          <w:szCs w:val="32"/>
          <w:highlight w:val="none"/>
        </w:rPr>
        <w:br w:type="page"/>
      </w:r>
    </w:p>
    <w:bookmarkEnd w:id="1547"/>
    <w:p w14:paraId="00FFA8F1">
      <w:pPr>
        <w:autoSpaceDE w:val="0"/>
        <w:autoSpaceDN w:val="0"/>
        <w:adjustRightInd w:val="0"/>
        <w:ind w:firstLine="2289" w:firstLineChars="950"/>
        <w:outlineLvl w:val="9"/>
        <w:rPr>
          <w:rFonts w:hint="eastAsia" w:ascii="方正仿宋_GB2312" w:hAnsi="方正仿宋_GB2312" w:eastAsia="方正仿宋_GB2312" w:cs="方正仿宋_GB2312"/>
          <w:b/>
          <w:bCs/>
          <w:color w:val="auto"/>
          <w:kern w:val="0"/>
          <w:sz w:val="24"/>
          <w:szCs w:val="24"/>
          <w:highlight w:val="none"/>
          <w:lang w:val="zh-CN"/>
        </w:rPr>
      </w:pPr>
    </w:p>
    <w:p w14:paraId="6869F7D9">
      <w:pPr>
        <w:keepNext/>
        <w:keepLines/>
        <w:autoSpaceDE w:val="0"/>
        <w:autoSpaceDN w:val="0"/>
        <w:adjustRightInd w:val="0"/>
        <w:spacing w:before="260" w:after="260" w:line="415" w:lineRule="atLeast"/>
        <w:jc w:val="center"/>
        <w:outlineLvl w:val="9"/>
        <w:rPr>
          <w:rFonts w:hint="eastAsia" w:ascii="方正仿宋_GB2312" w:hAnsi="方正仿宋_GB2312" w:eastAsia="方正仿宋_GB2312" w:cs="方正仿宋_GB2312"/>
          <w:b/>
          <w:bCs/>
          <w:color w:val="auto"/>
          <w:kern w:val="0"/>
          <w:sz w:val="24"/>
          <w:szCs w:val="24"/>
          <w:highlight w:val="none"/>
        </w:rPr>
      </w:pPr>
      <w:r>
        <w:rPr>
          <w:rFonts w:hint="eastAsia" w:ascii="方正仿宋_GB2312" w:hAnsi="方正仿宋_GB2312" w:eastAsia="方正仿宋_GB2312" w:cs="方正仿宋_GB2312"/>
          <w:b/>
          <w:bCs/>
          <w:color w:val="auto"/>
          <w:kern w:val="0"/>
          <w:sz w:val="24"/>
          <w:szCs w:val="24"/>
          <w:highlight w:val="none"/>
          <w:lang w:val="zh-CN"/>
        </w:rPr>
        <w:t>目录</w:t>
      </w:r>
    </w:p>
    <w:p w14:paraId="6A9162A9">
      <w:pPr>
        <w:autoSpaceDE w:val="0"/>
        <w:autoSpaceDN w:val="0"/>
        <w:adjustRightInd w:val="0"/>
        <w:spacing w:line="540" w:lineRule="atLeast"/>
        <w:outlineLvl w:val="9"/>
        <w:rPr>
          <w:rFonts w:hint="eastAsia" w:ascii="方正仿宋_GB2312" w:hAnsi="方正仿宋_GB2312" w:eastAsia="方正仿宋_GB2312" w:cs="方正仿宋_GB2312"/>
          <w:color w:val="auto"/>
          <w:kern w:val="0"/>
          <w:sz w:val="24"/>
          <w:szCs w:val="24"/>
          <w:highlight w:val="none"/>
        </w:rPr>
      </w:pPr>
    </w:p>
    <w:p w14:paraId="47D2C8CC">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r>
        <w:rPr>
          <w:rFonts w:hint="eastAsia" w:ascii="方正仿宋_GB2312" w:hAnsi="方正仿宋_GB2312" w:eastAsia="方正仿宋_GB2312" w:cs="方正仿宋_GB2312"/>
          <w:color w:val="auto"/>
          <w:kern w:val="0"/>
          <w:sz w:val="24"/>
          <w:szCs w:val="24"/>
          <w:highlight w:val="none"/>
          <w:lang w:val="zh-CN"/>
        </w:rPr>
        <w:t>格式自拟</w:t>
      </w:r>
    </w:p>
    <w:p w14:paraId="77B02EEA">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p>
    <w:p w14:paraId="09667302">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p>
    <w:p w14:paraId="6BC51B96">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p>
    <w:p w14:paraId="7CE9D797">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p>
    <w:p w14:paraId="3FDD0E05">
      <w:pPr>
        <w:autoSpaceDE w:val="0"/>
        <w:autoSpaceDN w:val="0"/>
        <w:adjustRightInd w:val="0"/>
        <w:outlineLvl w:val="9"/>
        <w:rPr>
          <w:rFonts w:hint="eastAsia" w:ascii="方正仿宋_GB2312" w:hAnsi="方正仿宋_GB2312" w:eastAsia="方正仿宋_GB2312" w:cs="方正仿宋_GB2312"/>
          <w:color w:val="auto"/>
          <w:kern w:val="0"/>
          <w:sz w:val="24"/>
          <w:szCs w:val="24"/>
          <w:highlight w:val="none"/>
          <w:lang w:val="zh-CN"/>
        </w:rPr>
      </w:pPr>
    </w:p>
    <w:p w14:paraId="07966FC7">
      <w:pPr>
        <w:pStyle w:val="63"/>
        <w:snapToGrid w:val="0"/>
        <w:spacing w:before="120" w:beforeLines="50" w:after="240" w:afterLines="100" w:line="360" w:lineRule="auto"/>
        <w:ind w:left="0" w:firstLine="0"/>
        <w:jc w:val="center"/>
        <w:outlineLvl w:val="2"/>
        <w:rPr>
          <w:rFonts w:hint="eastAsia" w:ascii="方正仿宋_GB2312" w:hAnsi="方正仿宋_GB2312" w:eastAsia="方正仿宋_GB2312" w:cs="方正仿宋_GB2312"/>
          <w:b/>
          <w:bCs/>
          <w:color w:val="auto"/>
          <w:kern w:val="0"/>
          <w:sz w:val="24"/>
          <w:szCs w:val="24"/>
          <w:highlight w:val="none"/>
        </w:rPr>
      </w:pPr>
    </w:p>
    <w:p w14:paraId="5D77C50F">
      <w:pPr>
        <w:bidi w:val="0"/>
        <w:rPr>
          <w:rFonts w:hint="eastAsia" w:ascii="方正仿宋_GB2312" w:hAnsi="方正仿宋_GB2312" w:eastAsia="方正仿宋_GB2312" w:cs="方正仿宋_GB2312"/>
          <w:b/>
          <w:bCs/>
          <w:color w:val="auto"/>
          <w:kern w:val="0"/>
          <w:sz w:val="24"/>
          <w:szCs w:val="24"/>
          <w:highlight w:val="none"/>
        </w:rPr>
      </w:pPr>
    </w:p>
    <w:p w14:paraId="4A32FB29">
      <w:pPr>
        <w:bidi w:val="0"/>
        <w:rPr>
          <w:rFonts w:hint="eastAsia" w:ascii="方正仿宋_GB2312" w:hAnsi="方正仿宋_GB2312" w:eastAsia="方正仿宋_GB2312" w:cs="方正仿宋_GB2312"/>
          <w:b/>
          <w:bCs/>
          <w:color w:val="auto"/>
          <w:kern w:val="0"/>
          <w:sz w:val="24"/>
          <w:szCs w:val="24"/>
          <w:highlight w:val="none"/>
        </w:rPr>
      </w:pPr>
    </w:p>
    <w:p w14:paraId="7E58C53A">
      <w:pPr>
        <w:bidi w:val="0"/>
        <w:rPr>
          <w:rFonts w:hint="eastAsia" w:ascii="方正仿宋_GB2312" w:hAnsi="方正仿宋_GB2312" w:eastAsia="方正仿宋_GB2312" w:cs="方正仿宋_GB2312"/>
          <w:b/>
          <w:bCs/>
          <w:color w:val="auto"/>
          <w:kern w:val="0"/>
          <w:sz w:val="24"/>
          <w:szCs w:val="24"/>
          <w:highlight w:val="none"/>
        </w:rPr>
      </w:pPr>
    </w:p>
    <w:p w14:paraId="77DD2D33">
      <w:pPr>
        <w:bidi w:val="0"/>
        <w:rPr>
          <w:rFonts w:hint="eastAsia" w:ascii="方正仿宋_GB2312" w:hAnsi="方正仿宋_GB2312" w:eastAsia="方正仿宋_GB2312" w:cs="方正仿宋_GB2312"/>
          <w:b/>
          <w:bCs/>
          <w:color w:val="auto"/>
          <w:kern w:val="0"/>
          <w:sz w:val="24"/>
          <w:szCs w:val="24"/>
          <w:highlight w:val="none"/>
        </w:rPr>
      </w:pPr>
    </w:p>
    <w:p w14:paraId="2C91935E">
      <w:pPr>
        <w:bidi w:val="0"/>
        <w:rPr>
          <w:rFonts w:hint="eastAsia" w:ascii="方正仿宋_GB2312" w:hAnsi="方正仿宋_GB2312" w:eastAsia="方正仿宋_GB2312" w:cs="方正仿宋_GB2312"/>
          <w:b/>
          <w:bCs/>
          <w:color w:val="auto"/>
          <w:kern w:val="0"/>
          <w:sz w:val="24"/>
          <w:szCs w:val="24"/>
          <w:highlight w:val="none"/>
        </w:rPr>
      </w:pPr>
    </w:p>
    <w:p w14:paraId="4F874B7B">
      <w:pPr>
        <w:bidi w:val="0"/>
        <w:rPr>
          <w:rFonts w:hint="eastAsia" w:ascii="方正仿宋_GB2312" w:hAnsi="方正仿宋_GB2312" w:eastAsia="方正仿宋_GB2312" w:cs="方正仿宋_GB2312"/>
          <w:b/>
          <w:bCs/>
          <w:color w:val="auto"/>
          <w:kern w:val="0"/>
          <w:sz w:val="24"/>
          <w:szCs w:val="24"/>
          <w:highlight w:val="none"/>
        </w:rPr>
      </w:pPr>
    </w:p>
    <w:p w14:paraId="272A30FF">
      <w:pPr>
        <w:bidi w:val="0"/>
        <w:rPr>
          <w:rFonts w:hint="eastAsia" w:ascii="方正仿宋_GB2312" w:hAnsi="方正仿宋_GB2312" w:eastAsia="方正仿宋_GB2312" w:cs="方正仿宋_GB2312"/>
          <w:b/>
          <w:bCs/>
          <w:color w:val="auto"/>
          <w:kern w:val="0"/>
          <w:sz w:val="24"/>
          <w:szCs w:val="24"/>
          <w:highlight w:val="none"/>
        </w:rPr>
      </w:pPr>
    </w:p>
    <w:p w14:paraId="00001322">
      <w:pPr>
        <w:bidi w:val="0"/>
        <w:jc w:val="center"/>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kern w:val="0"/>
          <w:sz w:val="24"/>
          <w:szCs w:val="24"/>
          <w:highlight w:val="none"/>
        </w:rPr>
        <w:br w:type="page"/>
      </w:r>
      <w:bookmarkStart w:id="1548" w:name="_Toc16309"/>
      <w:r>
        <w:rPr>
          <w:rFonts w:hint="eastAsia" w:ascii="方正仿宋_GB2312" w:hAnsi="方正仿宋_GB2312" w:eastAsia="方正仿宋_GB2312" w:cs="方正仿宋_GB2312"/>
          <w:b/>
          <w:bCs/>
          <w:color w:val="auto"/>
          <w:sz w:val="30"/>
          <w:szCs w:val="30"/>
          <w:highlight w:val="none"/>
        </w:rPr>
        <w:t>第一部分  投标函部分</w:t>
      </w:r>
      <w:bookmarkEnd w:id="1548"/>
    </w:p>
    <w:p w14:paraId="0A1F0C96">
      <w:pPr>
        <w:pStyle w:val="63"/>
        <w:snapToGrid w:val="0"/>
        <w:spacing w:before="120" w:beforeLines="50" w:after="240" w:afterLines="100" w:line="360" w:lineRule="auto"/>
        <w:ind w:left="0" w:firstLine="0"/>
        <w:jc w:val="center"/>
        <w:outlineLvl w:val="2"/>
        <w:rPr>
          <w:rFonts w:hint="eastAsia" w:ascii="方正仿宋_GB2312" w:hAnsi="方正仿宋_GB2312" w:eastAsia="方正仿宋_GB2312" w:cs="方正仿宋_GB2312"/>
          <w:b/>
          <w:bCs/>
          <w:color w:val="auto"/>
          <w:sz w:val="30"/>
          <w:szCs w:val="30"/>
          <w:highlight w:val="none"/>
        </w:rPr>
      </w:pPr>
      <w:bookmarkStart w:id="1549" w:name="_Toc14515"/>
      <w:r>
        <w:rPr>
          <w:rFonts w:hint="eastAsia" w:ascii="方正仿宋_GB2312" w:hAnsi="方正仿宋_GB2312" w:eastAsia="方正仿宋_GB2312" w:cs="方正仿宋_GB2312"/>
          <w:b/>
          <w:bCs/>
          <w:color w:val="auto"/>
          <w:sz w:val="30"/>
          <w:szCs w:val="30"/>
          <w:highlight w:val="none"/>
        </w:rPr>
        <w:t>一、投标函及附录</w:t>
      </w:r>
      <w:bookmarkEnd w:id="1549"/>
    </w:p>
    <w:p w14:paraId="16E3522F">
      <w:pPr>
        <w:keepNext/>
        <w:keepLines/>
        <w:wordWrap w:val="0"/>
        <w:autoSpaceDE w:val="0"/>
        <w:autoSpaceDN w:val="0"/>
        <w:adjustRightInd w:val="0"/>
        <w:snapToGrid w:val="0"/>
        <w:spacing w:after="0" w:line="360" w:lineRule="auto"/>
        <w:jc w:val="center"/>
        <w:outlineLvl w:val="9"/>
        <w:rPr>
          <w:rFonts w:hint="eastAsia" w:ascii="方正仿宋_GB2312" w:hAnsi="方正仿宋_GB2312" w:eastAsia="方正仿宋_GB2312" w:cs="方正仿宋_GB2312"/>
          <w:b/>
          <w:bCs/>
          <w:color w:val="auto"/>
          <w:kern w:val="0"/>
          <w:sz w:val="24"/>
          <w:szCs w:val="24"/>
          <w:highlight w:val="none"/>
          <w:lang w:val="zh-CN"/>
        </w:rPr>
      </w:pPr>
      <w:r>
        <w:rPr>
          <w:rFonts w:hint="eastAsia" w:ascii="方正仿宋_GB2312" w:hAnsi="方正仿宋_GB2312" w:eastAsia="方正仿宋_GB2312" w:cs="方正仿宋_GB2312"/>
          <w:b/>
          <w:bCs/>
          <w:color w:val="auto"/>
          <w:kern w:val="0"/>
          <w:sz w:val="24"/>
          <w:szCs w:val="24"/>
          <w:highlight w:val="none"/>
          <w:lang w:val="zh-CN"/>
        </w:rPr>
        <w:t>（一）投标函</w:t>
      </w:r>
    </w:p>
    <w:p w14:paraId="6F79BCA8">
      <w:pPr>
        <w:keepNext/>
        <w:keepLines/>
        <w:pageBreakBefore w:val="0"/>
        <w:widowControl w:val="0"/>
        <w:kinsoku/>
        <w:wordWrap/>
        <w:overflowPunct/>
        <w:topLinePunct w:val="0"/>
        <w:autoSpaceDE w:val="0"/>
        <w:autoSpaceDN w:val="0"/>
        <w:bidi w:val="0"/>
        <w:adjustRightInd w:val="0"/>
        <w:snapToGrid w:val="0"/>
        <w:spacing w:after="0" w:line="336" w:lineRule="auto"/>
        <w:textAlignment w:val="auto"/>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lang w:val="zh-CN"/>
        </w:rPr>
        <w:t>（招标人名称）：</w:t>
      </w:r>
    </w:p>
    <w:p w14:paraId="42629D78">
      <w:pPr>
        <w:keepNext w:val="0"/>
        <w:keepLines w:val="0"/>
        <w:pageBreakBefore w:val="0"/>
        <w:widowControl w:val="0"/>
        <w:kinsoku/>
        <w:wordWrap/>
        <w:overflowPunct/>
        <w:topLinePunct w:val="0"/>
        <w:autoSpaceDE/>
        <w:autoSpaceDN/>
        <w:bidi w:val="0"/>
        <w:adjustRightInd/>
        <w:snapToGrid w:val="0"/>
        <w:spacing w:after="0"/>
        <w:ind w:firstLine="480" w:firstLineChars="200"/>
        <w:textAlignment w:val="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lang w:eastAsia="zh-CN"/>
        </w:rPr>
        <w:t>1.</w:t>
      </w:r>
      <w:r>
        <w:rPr>
          <w:rFonts w:hint="eastAsia" w:ascii="方正仿宋_GB2312" w:hAnsi="方正仿宋_GB2312" w:eastAsia="方正仿宋_GB2312" w:cs="方正仿宋_GB2312"/>
          <w:color w:val="auto"/>
          <w:sz w:val="24"/>
          <w:szCs w:val="24"/>
          <w:highlight w:val="none"/>
        </w:rPr>
        <w:t>我方已仔细研究了</w:t>
      </w:r>
      <w:r>
        <w:rPr>
          <w:rFonts w:hint="eastAsia" w:ascii="方正仿宋_GB2312" w:hAnsi="方正仿宋_GB2312" w:eastAsia="方正仿宋_GB2312" w:cs="方正仿宋_GB2312"/>
          <w:color w:val="auto"/>
          <w:sz w:val="24"/>
          <w:szCs w:val="24"/>
          <w:highlight w:val="none"/>
          <w:u w:val="single"/>
        </w:rPr>
        <w:t>（项目名称）</w:t>
      </w:r>
      <w:r>
        <w:rPr>
          <w:rFonts w:hint="eastAsia" w:ascii="方正仿宋_GB2312" w:hAnsi="方正仿宋_GB2312" w:eastAsia="方正仿宋_GB2312" w:cs="方正仿宋_GB2312"/>
          <w:color w:val="auto"/>
          <w:sz w:val="24"/>
          <w:szCs w:val="24"/>
          <w:highlight w:val="none"/>
        </w:rPr>
        <w:t>招标文件的全部内容，愿意根据招标文件要求，</w:t>
      </w:r>
      <w:r>
        <w:rPr>
          <w:rFonts w:hint="eastAsia" w:ascii="方正仿宋_GB2312" w:hAnsi="方正仿宋_GB2312" w:eastAsia="方正仿宋_GB2312" w:cs="方正仿宋_GB2312"/>
          <w:color w:val="auto"/>
          <w:sz w:val="24"/>
          <w:szCs w:val="24"/>
          <w:highlight w:val="none"/>
          <w:lang w:eastAsia="zh-CN"/>
        </w:rPr>
        <w:t>设计费</w:t>
      </w:r>
      <w:r>
        <w:rPr>
          <w:rFonts w:hint="eastAsia" w:ascii="方正仿宋_GB2312" w:hAnsi="方正仿宋_GB2312" w:eastAsia="方正仿宋_GB2312" w:cs="方正仿宋_GB2312"/>
          <w:color w:val="auto"/>
          <w:sz w:val="24"/>
          <w:szCs w:val="24"/>
          <w:highlight w:val="none"/>
        </w:rPr>
        <w:t>投标报价</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none"/>
          <w:lang w:val="en-US" w:eastAsia="zh-CN"/>
        </w:rPr>
        <w:t>%</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工程施工费下浮率投标报价</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工期</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u w:val="single"/>
          <w:lang w:val="en-US" w:eastAsia="zh-CN"/>
        </w:rPr>
        <w:t>总工期   日历天</w:t>
      </w:r>
      <w:r>
        <w:rPr>
          <w:rFonts w:hint="eastAsia" w:ascii="方正仿宋_GB2312" w:hAnsi="方正仿宋_GB2312" w:eastAsia="方正仿宋_GB2312" w:cs="方正仿宋_GB2312"/>
          <w:color w:val="auto"/>
          <w:sz w:val="24"/>
          <w:szCs w:val="24"/>
          <w:highlight w:val="none"/>
        </w:rPr>
        <w:t>，按合同约定实施和完成承包工程，修补工程中的任何缺陷，工程质量符合</w:t>
      </w:r>
      <w:r>
        <w:rPr>
          <w:rFonts w:hint="eastAsia" w:ascii="方正仿宋_GB2312" w:hAnsi="方正仿宋_GB2312" w:eastAsia="方正仿宋_GB2312" w:cs="方正仿宋_GB2312"/>
          <w:color w:val="auto"/>
          <w:sz w:val="24"/>
          <w:szCs w:val="24"/>
          <w:highlight w:val="none"/>
          <w:u w:val="single"/>
        </w:rPr>
        <w:t>“投标人须知前附表”1.3.3项质量标准要求</w:t>
      </w:r>
      <w:r>
        <w:rPr>
          <w:rFonts w:hint="eastAsia" w:ascii="方正仿宋_GB2312" w:hAnsi="方正仿宋_GB2312" w:eastAsia="方正仿宋_GB2312" w:cs="方正仿宋_GB2312"/>
          <w:color w:val="auto"/>
          <w:sz w:val="24"/>
          <w:szCs w:val="24"/>
          <w:highlight w:val="none"/>
        </w:rPr>
        <w:t>。</w:t>
      </w:r>
    </w:p>
    <w:p w14:paraId="17FE1DC4">
      <w:pPr>
        <w:pageBreakBefore w:val="0"/>
        <w:widowControl w:val="0"/>
        <w:kinsoku/>
        <w:wordWrap/>
        <w:overflowPunct/>
        <w:topLinePunct w:val="0"/>
        <w:bidi w:val="0"/>
        <w:snapToGrid w:val="0"/>
        <w:spacing w:after="0" w:line="336"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2.</w:t>
      </w:r>
      <w:r>
        <w:rPr>
          <w:rFonts w:hint="eastAsia" w:ascii="方正仿宋_GB2312" w:hAnsi="方正仿宋_GB2312" w:eastAsia="方正仿宋_GB2312" w:cs="方正仿宋_GB2312"/>
          <w:color w:val="auto"/>
          <w:sz w:val="24"/>
          <w:szCs w:val="24"/>
          <w:highlight w:val="none"/>
        </w:rPr>
        <w:t>我方承诺在招标文件规定的投标有效期内不修改、撤销投标文件。</w:t>
      </w:r>
    </w:p>
    <w:p w14:paraId="669D316A">
      <w:pPr>
        <w:pageBreakBefore w:val="0"/>
        <w:widowControl w:val="0"/>
        <w:kinsoku/>
        <w:wordWrap/>
        <w:overflowPunct/>
        <w:topLinePunct w:val="0"/>
        <w:bidi w:val="0"/>
        <w:snapToGrid w:val="0"/>
        <w:spacing w:after="0" w:line="336"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3.</w:t>
      </w:r>
      <w:r>
        <w:rPr>
          <w:rFonts w:hint="eastAsia" w:ascii="方正仿宋_GB2312" w:hAnsi="方正仿宋_GB2312" w:eastAsia="方正仿宋_GB2312" w:cs="方正仿宋_GB2312"/>
          <w:color w:val="auto"/>
          <w:sz w:val="24"/>
          <w:szCs w:val="24"/>
          <w:highlight w:val="none"/>
        </w:rPr>
        <w:t>随同本投标函提交投标保证金一份，金额为人民币（大写）</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w:t>
      </w:r>
    </w:p>
    <w:p w14:paraId="5EC9C0B3">
      <w:pPr>
        <w:pageBreakBefore w:val="0"/>
        <w:widowControl w:val="0"/>
        <w:kinsoku/>
        <w:wordWrap/>
        <w:overflowPunct/>
        <w:topLinePunct w:val="0"/>
        <w:bidi w:val="0"/>
        <w:snapToGrid w:val="0"/>
        <w:spacing w:after="0" w:line="336"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4.</w:t>
      </w:r>
      <w:r>
        <w:rPr>
          <w:rFonts w:hint="eastAsia" w:ascii="方正仿宋_GB2312" w:hAnsi="方正仿宋_GB2312" w:eastAsia="方正仿宋_GB2312" w:cs="方正仿宋_GB2312"/>
          <w:color w:val="auto"/>
          <w:sz w:val="24"/>
          <w:szCs w:val="24"/>
          <w:highlight w:val="none"/>
        </w:rPr>
        <w:t>如我方中标：</w:t>
      </w:r>
    </w:p>
    <w:p w14:paraId="77D340E7">
      <w:pPr>
        <w:pageBreakBefore w:val="0"/>
        <w:widowControl w:val="0"/>
        <w:kinsoku/>
        <w:wordWrap/>
        <w:overflowPunct/>
        <w:topLinePunct w:val="0"/>
        <w:bidi w:val="0"/>
        <w:snapToGrid w:val="0"/>
        <w:spacing w:after="0" w:line="336" w:lineRule="auto"/>
        <w:ind w:firstLine="820" w:firstLineChars="342"/>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（1）我方承诺在收到中标通知书后，在中标通知书规定的期限内与你方签订合同。</w:t>
      </w:r>
    </w:p>
    <w:p w14:paraId="33DC0E3C">
      <w:pPr>
        <w:pageBreakBefore w:val="0"/>
        <w:widowControl w:val="0"/>
        <w:kinsoku/>
        <w:wordWrap/>
        <w:overflowPunct/>
        <w:topLinePunct w:val="0"/>
        <w:bidi w:val="0"/>
        <w:snapToGrid w:val="0"/>
        <w:spacing w:after="0" w:line="336" w:lineRule="auto"/>
        <w:ind w:firstLine="820" w:firstLineChars="342"/>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（2）随同本投标函递交的投标函附录属于合同文件的组成部分。</w:t>
      </w:r>
    </w:p>
    <w:p w14:paraId="4D846927">
      <w:pPr>
        <w:pageBreakBefore w:val="0"/>
        <w:widowControl w:val="0"/>
        <w:kinsoku/>
        <w:wordWrap/>
        <w:overflowPunct/>
        <w:topLinePunct w:val="0"/>
        <w:bidi w:val="0"/>
        <w:snapToGrid w:val="0"/>
        <w:spacing w:after="0" w:line="336" w:lineRule="auto"/>
        <w:ind w:firstLine="820" w:firstLineChars="342"/>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（3）我方承诺按照招标文件规定向你方递交履约担保。</w:t>
      </w:r>
    </w:p>
    <w:p w14:paraId="54C97550">
      <w:pPr>
        <w:pageBreakBefore w:val="0"/>
        <w:widowControl w:val="0"/>
        <w:kinsoku/>
        <w:wordWrap/>
        <w:overflowPunct/>
        <w:topLinePunct w:val="0"/>
        <w:bidi w:val="0"/>
        <w:snapToGrid w:val="0"/>
        <w:spacing w:after="0" w:line="336" w:lineRule="auto"/>
        <w:ind w:firstLine="820" w:firstLineChars="342"/>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（4）我方承诺在合同约定的期限内保质保量完成并移交全部合同工程，否则按我方违约承担一切责任。</w:t>
      </w:r>
    </w:p>
    <w:p w14:paraId="48CEAA70">
      <w:pPr>
        <w:pageBreakBefore w:val="0"/>
        <w:widowControl w:val="0"/>
        <w:kinsoku/>
        <w:wordWrap/>
        <w:overflowPunct/>
        <w:topLinePunct w:val="0"/>
        <w:bidi w:val="0"/>
        <w:snapToGrid w:val="0"/>
        <w:spacing w:after="0" w:line="336"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5.</w:t>
      </w:r>
      <w:r>
        <w:rPr>
          <w:rFonts w:hint="eastAsia" w:ascii="方正仿宋_GB2312" w:hAnsi="方正仿宋_GB2312" w:eastAsia="方正仿宋_GB2312" w:cs="方正仿宋_GB2312"/>
          <w:color w:val="auto"/>
          <w:sz w:val="24"/>
          <w:szCs w:val="24"/>
          <w:highlight w:val="none"/>
        </w:rPr>
        <w:t>我方在此声明，所递交的投标文件及有关资料内容完整、真实和准确，且不存在第二章“投标人须知”第1.4.3项和第1.4.4项规定的任何一种情形。</w:t>
      </w:r>
    </w:p>
    <w:p w14:paraId="727896A6">
      <w:pPr>
        <w:pageBreakBefore w:val="0"/>
        <w:widowControl w:val="0"/>
        <w:kinsoku/>
        <w:wordWrap/>
        <w:overflowPunct/>
        <w:topLinePunct w:val="0"/>
        <w:bidi w:val="0"/>
        <w:snapToGrid w:val="0"/>
        <w:spacing w:after="0" w:line="336" w:lineRule="auto"/>
        <w:ind w:firstLine="480" w:firstLineChars="20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6.</w:t>
      </w:r>
      <w:r>
        <w:rPr>
          <w:rFonts w:hint="eastAsia" w:ascii="方正仿宋_GB2312" w:hAnsi="方正仿宋_GB2312" w:eastAsia="方正仿宋_GB2312" w:cs="方正仿宋_GB2312"/>
          <w:color w:val="auto"/>
          <w:sz w:val="24"/>
          <w:szCs w:val="24"/>
          <w:highlight w:val="none"/>
        </w:rPr>
        <w:t>（其他补充说明）。</w:t>
      </w:r>
    </w:p>
    <w:p w14:paraId="0ACF30F0">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投标人（牵头人单位）：（电子签章）</w:t>
      </w:r>
    </w:p>
    <w:p w14:paraId="660DE54B">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法定代表人或其委托代理人：（电子签章）</w:t>
      </w:r>
    </w:p>
    <w:p w14:paraId="56BA06B8">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地址：</w:t>
      </w:r>
    </w:p>
    <w:p w14:paraId="2D19D35A">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网址：</w:t>
      </w:r>
    </w:p>
    <w:p w14:paraId="2A3915AB">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电话：</w:t>
      </w:r>
    </w:p>
    <w:p w14:paraId="7F76062D">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传真：</w:t>
      </w:r>
    </w:p>
    <w:p w14:paraId="49B5C192">
      <w:pPr>
        <w:pageBreakBefore w:val="0"/>
        <w:widowControl w:val="0"/>
        <w:kinsoku/>
        <w:wordWrap/>
        <w:overflowPunct/>
        <w:topLinePunct w:val="0"/>
        <w:bidi w:val="0"/>
        <w:snapToGrid w:val="0"/>
        <w:spacing w:after="0" w:line="336" w:lineRule="auto"/>
        <w:ind w:firstLine="4200" w:firstLineChars="17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邮政编码：</w:t>
      </w:r>
    </w:p>
    <w:p w14:paraId="47F885D1">
      <w:pPr>
        <w:pageBreakBefore w:val="0"/>
        <w:widowControl w:val="0"/>
        <w:kinsoku/>
        <w:wordWrap/>
        <w:overflowPunct/>
        <w:topLinePunct w:val="0"/>
        <w:bidi w:val="0"/>
        <w:snapToGrid w:val="0"/>
        <w:spacing w:after="0" w:line="336" w:lineRule="auto"/>
        <w:ind w:firstLine="5400" w:firstLineChars="2250"/>
        <w:textAlignment w:val="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年  月  日</w:t>
      </w:r>
    </w:p>
    <w:p w14:paraId="0146E1FD">
      <w:pPr>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br w:type="page"/>
      </w:r>
    </w:p>
    <w:p w14:paraId="1A4F46B0">
      <w:pPr>
        <w:pStyle w:val="62"/>
        <w:numPr>
          <w:ilvl w:val="0"/>
          <w:numId w:val="0"/>
        </w:numPr>
        <w:snapToGrid w:val="0"/>
        <w:spacing w:after="120" w:afterLines="50" w:line="360" w:lineRule="auto"/>
        <w:ind w:left="1" w:leftChars="0"/>
        <w:jc w:val="center"/>
        <w:outlineLvl w:val="3"/>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lang w:eastAsia="zh-CN"/>
        </w:rPr>
        <w:t>（</w:t>
      </w:r>
      <w:r>
        <w:rPr>
          <w:rFonts w:hint="eastAsia" w:ascii="方正仿宋_GB2312" w:hAnsi="方正仿宋_GB2312" w:eastAsia="方正仿宋_GB2312" w:cs="方正仿宋_GB2312"/>
          <w:b/>
          <w:bCs/>
          <w:color w:val="auto"/>
          <w:sz w:val="28"/>
          <w:szCs w:val="28"/>
          <w:highlight w:val="none"/>
          <w:lang w:val="en-US" w:eastAsia="zh-CN"/>
        </w:rPr>
        <w:t>二</w:t>
      </w:r>
      <w:r>
        <w:rPr>
          <w:rFonts w:hint="eastAsia" w:ascii="方正仿宋_GB2312" w:hAnsi="方正仿宋_GB2312" w:eastAsia="方正仿宋_GB2312" w:cs="方正仿宋_GB2312"/>
          <w:b/>
          <w:bCs/>
          <w:color w:val="auto"/>
          <w:sz w:val="28"/>
          <w:szCs w:val="28"/>
          <w:highlight w:val="none"/>
          <w:lang w:eastAsia="zh-CN"/>
        </w:rPr>
        <w:t>）</w:t>
      </w:r>
      <w:r>
        <w:rPr>
          <w:rFonts w:hint="eastAsia" w:ascii="方正仿宋_GB2312" w:hAnsi="方正仿宋_GB2312" w:eastAsia="方正仿宋_GB2312" w:cs="方正仿宋_GB2312"/>
          <w:b/>
          <w:bCs/>
          <w:color w:val="auto"/>
          <w:sz w:val="28"/>
          <w:szCs w:val="28"/>
          <w:highlight w:val="none"/>
        </w:rPr>
        <w:t>投标函附录</w:t>
      </w:r>
    </w:p>
    <w:tbl>
      <w:tblPr>
        <w:tblStyle w:val="28"/>
        <w:tblW w:w="936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93"/>
        <w:gridCol w:w="1320"/>
        <w:gridCol w:w="3350"/>
        <w:gridCol w:w="1343"/>
      </w:tblGrid>
      <w:tr w14:paraId="505961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tcBorders>
              <w:top w:val="single" w:color="auto" w:sz="12" w:space="0"/>
            </w:tcBorders>
            <w:vAlign w:val="center"/>
          </w:tcPr>
          <w:p w14:paraId="25BDB1DF">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序号</w:t>
            </w:r>
          </w:p>
        </w:tc>
        <w:tc>
          <w:tcPr>
            <w:tcW w:w="2593" w:type="dxa"/>
            <w:tcBorders>
              <w:top w:val="single" w:color="auto" w:sz="12" w:space="0"/>
            </w:tcBorders>
            <w:vAlign w:val="center"/>
          </w:tcPr>
          <w:p w14:paraId="231AC045">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条款名称</w:t>
            </w:r>
          </w:p>
        </w:tc>
        <w:tc>
          <w:tcPr>
            <w:tcW w:w="1320" w:type="dxa"/>
            <w:tcBorders>
              <w:top w:val="single" w:color="auto" w:sz="12" w:space="0"/>
            </w:tcBorders>
            <w:vAlign w:val="center"/>
          </w:tcPr>
          <w:p w14:paraId="43E27AA0">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条款号</w:t>
            </w:r>
          </w:p>
        </w:tc>
        <w:tc>
          <w:tcPr>
            <w:tcW w:w="3350" w:type="dxa"/>
            <w:tcBorders>
              <w:top w:val="single" w:color="auto" w:sz="12" w:space="0"/>
            </w:tcBorders>
            <w:vAlign w:val="center"/>
          </w:tcPr>
          <w:p w14:paraId="3E16744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内容</w:t>
            </w:r>
          </w:p>
        </w:tc>
        <w:tc>
          <w:tcPr>
            <w:tcW w:w="1343" w:type="dxa"/>
            <w:tcBorders>
              <w:top w:val="single" w:color="auto" w:sz="12" w:space="0"/>
            </w:tcBorders>
            <w:vAlign w:val="center"/>
          </w:tcPr>
          <w:p w14:paraId="20CC7BB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备注</w:t>
            </w:r>
          </w:p>
        </w:tc>
      </w:tr>
      <w:tr w14:paraId="22D78F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60" w:type="dxa"/>
            <w:vAlign w:val="center"/>
          </w:tcPr>
          <w:p w14:paraId="501371A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lang w:val="zh-TW"/>
              </w:rPr>
            </w:pPr>
            <w:r>
              <w:rPr>
                <w:rFonts w:hint="eastAsia" w:ascii="方正仿宋_GB2312" w:hAnsi="方正仿宋_GB2312" w:eastAsia="方正仿宋_GB2312" w:cs="方正仿宋_GB2312"/>
                <w:color w:val="auto"/>
                <w:highlight w:val="none"/>
                <w:lang w:val="zh-TW"/>
              </w:rPr>
              <w:t>1</w:t>
            </w:r>
          </w:p>
        </w:tc>
        <w:tc>
          <w:tcPr>
            <w:tcW w:w="2593" w:type="dxa"/>
            <w:vAlign w:val="center"/>
          </w:tcPr>
          <w:p w14:paraId="68244CD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总承包项目负责人</w:t>
            </w:r>
          </w:p>
          <w:p w14:paraId="22FA2AE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rPr>
              <w:t>设计</w:t>
            </w:r>
            <w:r>
              <w:rPr>
                <w:rFonts w:hint="eastAsia" w:ascii="方正仿宋_GB2312" w:hAnsi="方正仿宋_GB2312" w:eastAsia="方正仿宋_GB2312" w:cs="方正仿宋_GB2312"/>
                <w:color w:val="auto"/>
                <w:highlight w:val="none"/>
                <w:lang w:eastAsia="zh-CN"/>
              </w:rPr>
              <w:t>负责人</w:t>
            </w:r>
          </w:p>
          <w:p w14:paraId="5C87783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zh-TW"/>
              </w:rPr>
              <w:t>施工负责人</w:t>
            </w:r>
            <w:r>
              <w:rPr>
                <w:rFonts w:hint="eastAsia" w:ascii="方正仿宋_GB2312" w:hAnsi="方正仿宋_GB2312" w:eastAsia="方正仿宋_GB2312" w:cs="方正仿宋_GB2312"/>
                <w:color w:val="auto"/>
                <w:highlight w:val="none"/>
              </w:rPr>
              <w:t>（项目经理）</w:t>
            </w:r>
          </w:p>
        </w:tc>
        <w:tc>
          <w:tcPr>
            <w:tcW w:w="1320" w:type="dxa"/>
            <w:vAlign w:val="center"/>
          </w:tcPr>
          <w:p w14:paraId="1E59E0F8">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536E97BD">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kern w:val="2"/>
                <w:sz w:val="21"/>
                <w:szCs w:val="24"/>
                <w:highlight w:val="none"/>
                <w:lang w:val="en-US" w:eastAsia="zh-CN" w:bidi="ar-SA"/>
              </w:rPr>
            </w:pPr>
            <w:r>
              <w:rPr>
                <w:rFonts w:hint="eastAsia" w:ascii="方正仿宋_GB2312" w:hAnsi="方正仿宋_GB2312" w:eastAsia="方正仿宋_GB2312" w:cs="方正仿宋_GB2312"/>
                <w:color w:val="auto"/>
                <w:highlight w:val="none"/>
              </w:rPr>
              <w:t>姓名：_______，注册证号：</w:t>
            </w:r>
          </w:p>
          <w:p w14:paraId="4BFC2063">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姓名：_______，注册证号：</w:t>
            </w:r>
          </w:p>
          <w:p w14:paraId="3DF83023">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姓名：_______，注册证号：</w:t>
            </w:r>
          </w:p>
        </w:tc>
        <w:tc>
          <w:tcPr>
            <w:tcW w:w="1343" w:type="dxa"/>
            <w:vAlign w:val="center"/>
          </w:tcPr>
          <w:p w14:paraId="6F7D9B20">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671BDE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67C952F8">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w:t>
            </w:r>
          </w:p>
        </w:tc>
        <w:tc>
          <w:tcPr>
            <w:tcW w:w="2593" w:type="dxa"/>
            <w:vAlign w:val="center"/>
          </w:tcPr>
          <w:p w14:paraId="676A1DB6">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工期</w:t>
            </w:r>
          </w:p>
        </w:tc>
        <w:tc>
          <w:tcPr>
            <w:tcW w:w="1320" w:type="dxa"/>
            <w:vAlign w:val="center"/>
          </w:tcPr>
          <w:p w14:paraId="50D2F756">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3506981A">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 xml:space="preserve"> </w:t>
            </w:r>
            <w:r>
              <w:rPr>
                <w:rFonts w:hint="eastAsia" w:ascii="方正仿宋_GB2312" w:hAnsi="方正仿宋_GB2312" w:eastAsia="方正仿宋_GB2312" w:cs="方正仿宋_GB2312"/>
                <w:color w:val="auto"/>
                <w:highlight w:val="none"/>
                <w:u w:val="single"/>
                <w:lang w:val="en-US" w:eastAsia="zh-CN"/>
              </w:rPr>
              <w:t xml:space="preserve">     </w:t>
            </w:r>
            <w:r>
              <w:rPr>
                <w:rFonts w:hint="eastAsia" w:ascii="方正仿宋_GB2312" w:hAnsi="方正仿宋_GB2312" w:eastAsia="方正仿宋_GB2312" w:cs="方正仿宋_GB2312"/>
                <w:color w:val="auto"/>
                <w:highlight w:val="none"/>
                <w:lang w:val="en-US" w:eastAsia="zh-CN"/>
              </w:rPr>
              <w:t>日历天。</w:t>
            </w:r>
          </w:p>
        </w:tc>
        <w:tc>
          <w:tcPr>
            <w:tcW w:w="1343" w:type="dxa"/>
            <w:vAlign w:val="center"/>
          </w:tcPr>
          <w:p w14:paraId="4A50CA9B">
            <w:pPr>
              <w:keepNext w:val="0"/>
              <w:keepLines w:val="0"/>
              <w:pageBreakBefore w:val="0"/>
              <w:widowControl w:val="0"/>
              <w:kinsoku/>
              <w:wordWrap/>
              <w:overflowPunct/>
              <w:topLinePunct w:val="0"/>
              <w:autoSpaceDE/>
              <w:autoSpaceDN/>
              <w:bidi w:val="0"/>
              <w:snapToGrid w:val="0"/>
              <w:spacing w:after="0" w:line="240" w:lineRule="auto"/>
              <w:ind w:firstLine="718" w:firstLineChars="342"/>
              <w:jc w:val="center"/>
              <w:textAlignment w:val="auto"/>
              <w:rPr>
                <w:rFonts w:hint="eastAsia" w:ascii="方正仿宋_GB2312" w:hAnsi="方正仿宋_GB2312" w:eastAsia="方正仿宋_GB2312" w:cs="方正仿宋_GB2312"/>
                <w:color w:val="auto"/>
                <w:highlight w:val="none"/>
              </w:rPr>
            </w:pPr>
          </w:p>
        </w:tc>
      </w:tr>
      <w:tr w14:paraId="354B4A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4F147887">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w:t>
            </w:r>
          </w:p>
        </w:tc>
        <w:tc>
          <w:tcPr>
            <w:tcW w:w="2593" w:type="dxa"/>
            <w:vAlign w:val="center"/>
          </w:tcPr>
          <w:p w14:paraId="1C5317E1">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缺陷责任期</w:t>
            </w:r>
          </w:p>
        </w:tc>
        <w:tc>
          <w:tcPr>
            <w:tcW w:w="1320" w:type="dxa"/>
            <w:vAlign w:val="center"/>
          </w:tcPr>
          <w:p w14:paraId="56F97122">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18084CA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自竣工验收合格之日起计算，期限为</w:t>
            </w:r>
            <w:r>
              <w:rPr>
                <w:rFonts w:hint="eastAsia" w:ascii="方正仿宋_GB2312" w:hAnsi="方正仿宋_GB2312" w:eastAsia="方正仿宋_GB2312" w:cs="方正仿宋_GB2312"/>
                <w:color w:val="auto"/>
                <w:highlight w:val="none"/>
                <w:lang w:val="en-US" w:eastAsia="zh-CN"/>
              </w:rPr>
              <w:t>12个月，其他有特殊要求的单独约定</w:t>
            </w:r>
          </w:p>
        </w:tc>
        <w:tc>
          <w:tcPr>
            <w:tcW w:w="1343" w:type="dxa"/>
            <w:vAlign w:val="center"/>
          </w:tcPr>
          <w:p w14:paraId="6A2D548F">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129B47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73F046CD">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w:t>
            </w:r>
          </w:p>
        </w:tc>
        <w:tc>
          <w:tcPr>
            <w:tcW w:w="2593" w:type="dxa"/>
            <w:vAlign w:val="center"/>
          </w:tcPr>
          <w:p w14:paraId="707073E8">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zh-TW" w:eastAsia="zh-TW"/>
              </w:rPr>
              <w:t>承包人履约担保金额</w:t>
            </w:r>
          </w:p>
        </w:tc>
        <w:tc>
          <w:tcPr>
            <w:tcW w:w="1320" w:type="dxa"/>
            <w:vAlign w:val="center"/>
          </w:tcPr>
          <w:p w14:paraId="6E8FB35B">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194DCEB0">
            <w:pPr>
              <w:keepNext w:val="0"/>
              <w:keepLines w:val="0"/>
              <w:pageBreakBefore w:val="0"/>
              <w:widowControl w:val="0"/>
              <w:kinsoku/>
              <w:wordWrap/>
              <w:overflowPunct/>
              <w:topLinePunct w:val="0"/>
              <w:autoSpaceDE/>
              <w:autoSpaceDN/>
              <w:bidi w:val="0"/>
              <w:snapToGrid w:val="0"/>
              <w:spacing w:after="0" w:line="240" w:lineRule="auto"/>
              <w:jc w:val="left"/>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按招标文件相关规定执行</w:t>
            </w:r>
          </w:p>
        </w:tc>
        <w:tc>
          <w:tcPr>
            <w:tcW w:w="1343" w:type="dxa"/>
            <w:vAlign w:val="center"/>
          </w:tcPr>
          <w:p w14:paraId="33B22FB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45E514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17D9489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w:t>
            </w:r>
          </w:p>
        </w:tc>
        <w:tc>
          <w:tcPr>
            <w:tcW w:w="2593" w:type="dxa"/>
            <w:vAlign w:val="center"/>
          </w:tcPr>
          <w:p w14:paraId="4D326B0E">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zh-TW" w:eastAsia="zh-TW"/>
              </w:rPr>
              <w:t>质量标准</w:t>
            </w:r>
          </w:p>
        </w:tc>
        <w:tc>
          <w:tcPr>
            <w:tcW w:w="1320" w:type="dxa"/>
            <w:vAlign w:val="center"/>
          </w:tcPr>
          <w:p w14:paraId="6380CD52">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6040540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工程设计质量标准：</w:t>
            </w:r>
          </w:p>
          <w:p w14:paraId="1B3EF011">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工程施工质量标准：</w:t>
            </w:r>
          </w:p>
        </w:tc>
        <w:tc>
          <w:tcPr>
            <w:tcW w:w="1343" w:type="dxa"/>
            <w:vAlign w:val="center"/>
          </w:tcPr>
          <w:p w14:paraId="67E83C02">
            <w:pPr>
              <w:keepNext w:val="0"/>
              <w:keepLines w:val="0"/>
              <w:pageBreakBefore w:val="0"/>
              <w:widowControl w:val="0"/>
              <w:kinsoku/>
              <w:wordWrap/>
              <w:overflowPunct/>
              <w:topLinePunct w:val="0"/>
              <w:autoSpaceDE/>
              <w:autoSpaceDN/>
              <w:bidi w:val="0"/>
              <w:snapToGrid w:val="0"/>
              <w:spacing w:after="0" w:line="240" w:lineRule="auto"/>
              <w:ind w:firstLine="718" w:firstLineChars="342"/>
              <w:jc w:val="center"/>
              <w:textAlignment w:val="auto"/>
              <w:rPr>
                <w:rFonts w:hint="eastAsia" w:ascii="方正仿宋_GB2312" w:hAnsi="方正仿宋_GB2312" w:eastAsia="方正仿宋_GB2312" w:cs="方正仿宋_GB2312"/>
                <w:color w:val="auto"/>
                <w:highlight w:val="none"/>
              </w:rPr>
            </w:pPr>
          </w:p>
        </w:tc>
      </w:tr>
      <w:tr w14:paraId="4128FA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53BB0BE6">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6</w:t>
            </w:r>
          </w:p>
        </w:tc>
        <w:tc>
          <w:tcPr>
            <w:tcW w:w="2593" w:type="dxa"/>
            <w:vAlign w:val="center"/>
          </w:tcPr>
          <w:p w14:paraId="0B7278F5">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en-US" w:eastAsia="zh-CN"/>
              </w:rPr>
              <w:t>投标有效期</w:t>
            </w:r>
          </w:p>
        </w:tc>
        <w:tc>
          <w:tcPr>
            <w:tcW w:w="1320" w:type="dxa"/>
            <w:vAlign w:val="center"/>
          </w:tcPr>
          <w:p w14:paraId="7C86582E">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75E307C2">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default"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90日历天</w:t>
            </w:r>
          </w:p>
        </w:tc>
        <w:tc>
          <w:tcPr>
            <w:tcW w:w="1343" w:type="dxa"/>
            <w:vAlign w:val="center"/>
          </w:tcPr>
          <w:p w14:paraId="090B3F1E">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196998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60" w:type="dxa"/>
            <w:vAlign w:val="center"/>
          </w:tcPr>
          <w:p w14:paraId="7BF6E773">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7</w:t>
            </w:r>
          </w:p>
        </w:tc>
        <w:tc>
          <w:tcPr>
            <w:tcW w:w="2593" w:type="dxa"/>
            <w:vAlign w:val="center"/>
          </w:tcPr>
          <w:p w14:paraId="3E482193">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开工预付款金额</w:t>
            </w:r>
          </w:p>
        </w:tc>
        <w:tc>
          <w:tcPr>
            <w:tcW w:w="1320" w:type="dxa"/>
            <w:vAlign w:val="center"/>
          </w:tcPr>
          <w:p w14:paraId="30BA61FA">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02B43DF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无</w:t>
            </w:r>
          </w:p>
        </w:tc>
        <w:tc>
          <w:tcPr>
            <w:tcW w:w="1343" w:type="dxa"/>
            <w:vAlign w:val="center"/>
          </w:tcPr>
          <w:p w14:paraId="4FE50A5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270321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60" w:type="dxa"/>
            <w:vAlign w:val="center"/>
          </w:tcPr>
          <w:p w14:paraId="2A15963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8</w:t>
            </w:r>
          </w:p>
        </w:tc>
        <w:tc>
          <w:tcPr>
            <w:tcW w:w="2593" w:type="dxa"/>
            <w:vAlign w:val="center"/>
          </w:tcPr>
          <w:p w14:paraId="0F2146F1">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逾期交工违约金（包含设计工期和施工工期）</w:t>
            </w:r>
          </w:p>
        </w:tc>
        <w:tc>
          <w:tcPr>
            <w:tcW w:w="1320" w:type="dxa"/>
            <w:vAlign w:val="center"/>
          </w:tcPr>
          <w:p w14:paraId="623CD7C5">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4FA137DA">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10000＋违约天数×500元/天</w:t>
            </w:r>
            <w:r>
              <w:rPr>
                <w:rFonts w:hint="eastAsia" w:ascii="方正仿宋_GB2312" w:hAnsi="方正仿宋_GB2312" w:eastAsia="方正仿宋_GB2312" w:cs="方正仿宋_GB2312"/>
                <w:color w:val="auto"/>
                <w:highlight w:val="none"/>
                <w:lang w:eastAsia="zh-CN"/>
              </w:rPr>
              <w:t>；违约金最高限额为</w:t>
            </w:r>
            <w:r>
              <w:rPr>
                <w:rFonts w:hint="eastAsia" w:ascii="方正仿宋_GB2312" w:hAnsi="方正仿宋_GB2312" w:eastAsia="方正仿宋_GB2312" w:cs="方正仿宋_GB2312"/>
                <w:color w:val="auto"/>
                <w:highlight w:val="none"/>
                <w:lang w:val="en-US" w:eastAsia="zh-CN"/>
              </w:rPr>
              <w:t>10%的签约合同价</w:t>
            </w:r>
          </w:p>
        </w:tc>
        <w:tc>
          <w:tcPr>
            <w:tcW w:w="1343" w:type="dxa"/>
            <w:vAlign w:val="center"/>
          </w:tcPr>
          <w:p w14:paraId="03E797D1">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47C701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0400A2CC">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9</w:t>
            </w:r>
          </w:p>
        </w:tc>
        <w:tc>
          <w:tcPr>
            <w:tcW w:w="2593" w:type="dxa"/>
            <w:vAlign w:val="center"/>
          </w:tcPr>
          <w:p w14:paraId="1518A9E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质量保证金金额</w:t>
            </w:r>
          </w:p>
        </w:tc>
        <w:tc>
          <w:tcPr>
            <w:tcW w:w="1320" w:type="dxa"/>
            <w:vAlign w:val="center"/>
          </w:tcPr>
          <w:p w14:paraId="438567DF">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6317F0E5">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工程价款结算总额的</w:t>
            </w:r>
            <w:r>
              <w:rPr>
                <w:rFonts w:hint="eastAsia" w:ascii="方正仿宋_GB2312" w:hAnsi="方正仿宋_GB2312" w:eastAsia="方正仿宋_GB2312" w:cs="方正仿宋_GB2312"/>
                <w:color w:val="auto"/>
                <w:highlight w:val="none"/>
                <w:lang w:val="en-US" w:eastAsia="zh-CN"/>
              </w:rPr>
              <w:t>3</w:t>
            </w:r>
            <w:r>
              <w:rPr>
                <w:rFonts w:hint="eastAsia" w:ascii="方正仿宋_GB2312" w:hAnsi="方正仿宋_GB2312" w:eastAsia="方正仿宋_GB2312" w:cs="方正仿宋_GB2312"/>
                <w:color w:val="auto"/>
                <w:highlight w:val="none"/>
              </w:rPr>
              <w:t>%</w:t>
            </w:r>
          </w:p>
        </w:tc>
        <w:tc>
          <w:tcPr>
            <w:tcW w:w="1343" w:type="dxa"/>
            <w:vAlign w:val="center"/>
          </w:tcPr>
          <w:p w14:paraId="0EC5FC92">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3E23CC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6853C386">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2593" w:type="dxa"/>
            <w:vAlign w:val="center"/>
          </w:tcPr>
          <w:p w14:paraId="2FE5FC33">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保修期</w:t>
            </w:r>
          </w:p>
        </w:tc>
        <w:tc>
          <w:tcPr>
            <w:tcW w:w="1320" w:type="dxa"/>
            <w:vAlign w:val="center"/>
          </w:tcPr>
          <w:p w14:paraId="0F2D3482">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5167133C">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按国家规定执行</w:t>
            </w:r>
          </w:p>
        </w:tc>
        <w:tc>
          <w:tcPr>
            <w:tcW w:w="1343" w:type="dxa"/>
            <w:vAlign w:val="center"/>
          </w:tcPr>
          <w:p w14:paraId="10A351E4">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4F68F5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30D5CDD9">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11</w:t>
            </w:r>
          </w:p>
        </w:tc>
        <w:tc>
          <w:tcPr>
            <w:tcW w:w="2593" w:type="dxa"/>
            <w:vAlign w:val="center"/>
          </w:tcPr>
          <w:p w14:paraId="7D967368">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价格调整的差额计算</w:t>
            </w:r>
          </w:p>
        </w:tc>
        <w:tc>
          <w:tcPr>
            <w:tcW w:w="1320" w:type="dxa"/>
            <w:vAlign w:val="center"/>
          </w:tcPr>
          <w:p w14:paraId="02EACD27">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51D3F36A">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合同期内不调价差</w:t>
            </w:r>
          </w:p>
        </w:tc>
        <w:tc>
          <w:tcPr>
            <w:tcW w:w="1343" w:type="dxa"/>
            <w:vAlign w:val="center"/>
          </w:tcPr>
          <w:p w14:paraId="17FD2C76">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325707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60" w:type="dxa"/>
            <w:vAlign w:val="center"/>
          </w:tcPr>
          <w:p w14:paraId="40867FCF">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12</w:t>
            </w:r>
          </w:p>
        </w:tc>
        <w:tc>
          <w:tcPr>
            <w:tcW w:w="2593" w:type="dxa"/>
            <w:vAlign w:val="center"/>
          </w:tcPr>
          <w:p w14:paraId="18361165">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逾期付款违约金的比例</w:t>
            </w:r>
          </w:p>
        </w:tc>
        <w:tc>
          <w:tcPr>
            <w:tcW w:w="1320" w:type="dxa"/>
            <w:vAlign w:val="center"/>
          </w:tcPr>
          <w:p w14:paraId="0BE0ADD3">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3350" w:type="dxa"/>
            <w:vAlign w:val="center"/>
          </w:tcPr>
          <w:p w14:paraId="5589F78C">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最高限额不超过</w:t>
            </w:r>
            <w:r>
              <w:rPr>
                <w:rFonts w:hint="eastAsia" w:ascii="方正仿宋_GB2312" w:hAnsi="方正仿宋_GB2312" w:eastAsia="方正仿宋_GB2312" w:cs="方正仿宋_GB2312"/>
                <w:color w:val="auto"/>
                <w:highlight w:val="none"/>
                <w:lang w:val="en-US" w:eastAsia="zh-CN"/>
              </w:rPr>
              <w:t>10%</w:t>
            </w:r>
          </w:p>
        </w:tc>
        <w:tc>
          <w:tcPr>
            <w:tcW w:w="1343" w:type="dxa"/>
            <w:vAlign w:val="center"/>
          </w:tcPr>
          <w:p w14:paraId="51C7B795">
            <w:pPr>
              <w:keepNext w:val="0"/>
              <w:keepLines w:val="0"/>
              <w:pageBreakBefore w:val="0"/>
              <w:widowControl w:val="0"/>
              <w:kinsoku/>
              <w:wordWrap/>
              <w:overflowPunct/>
              <w:topLinePunct w:val="0"/>
              <w:autoSpaceDE/>
              <w:autoSpaceDN/>
              <w:bidi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bl>
    <w:p w14:paraId="08DFF64E">
      <w:pPr>
        <w:adjustRightInd w:val="0"/>
        <w:snapToGrid w:val="0"/>
        <w:spacing w:line="360" w:lineRule="auto"/>
        <w:ind w:firstLine="420" w:firstLineChars="200"/>
        <w:jc w:val="right"/>
        <w:rPr>
          <w:rFonts w:hint="eastAsia" w:ascii="方正仿宋_GB2312" w:hAnsi="方正仿宋_GB2312" w:eastAsia="方正仿宋_GB2312" w:cs="方正仿宋_GB2312"/>
          <w:color w:val="auto"/>
          <w:highlight w:val="none"/>
        </w:rPr>
      </w:pPr>
    </w:p>
    <w:p w14:paraId="1B9F4D9F">
      <w:pPr>
        <w:keepNext w:val="0"/>
        <w:keepLines w:val="0"/>
        <w:pageBreakBefore w:val="0"/>
        <w:widowControl w:val="0"/>
        <w:kinsoku/>
        <w:wordWrap/>
        <w:overflowPunct/>
        <w:topLinePunct w:val="0"/>
        <w:autoSpaceDE/>
        <w:autoSpaceDN/>
        <w:bidi w:val="0"/>
        <w:adjustRightInd w:val="0"/>
        <w:snapToGrid w:val="0"/>
        <w:spacing w:after="0" w:line="480" w:lineRule="auto"/>
        <w:ind w:firstLine="420" w:firstLineChars="200"/>
        <w:jc w:val="both"/>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投标人（牵头人单位）：___________（电子签章）</w:t>
      </w:r>
    </w:p>
    <w:p w14:paraId="50A4A317">
      <w:pPr>
        <w:keepNext w:val="0"/>
        <w:keepLines w:val="0"/>
        <w:pageBreakBefore w:val="0"/>
        <w:widowControl w:val="0"/>
        <w:kinsoku/>
        <w:wordWrap/>
        <w:overflowPunct/>
        <w:topLinePunct w:val="0"/>
        <w:autoSpaceDE/>
        <w:autoSpaceDN/>
        <w:bidi w:val="0"/>
        <w:snapToGrid w:val="0"/>
        <w:spacing w:after="0" w:line="480" w:lineRule="auto"/>
        <w:ind w:firstLine="420" w:firstLineChars="200"/>
        <w:jc w:val="left"/>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法定代表人或其委托代理人：_________（电子签章）</w:t>
      </w:r>
    </w:p>
    <w:p w14:paraId="2F6907EF">
      <w:pPr>
        <w:keepNext w:val="0"/>
        <w:keepLines w:val="0"/>
        <w:pageBreakBefore w:val="0"/>
        <w:widowControl w:val="0"/>
        <w:kinsoku/>
        <w:wordWrap/>
        <w:overflowPunct/>
        <w:topLinePunct w:val="0"/>
        <w:autoSpaceDE/>
        <w:autoSpaceDN/>
        <w:bidi w:val="0"/>
        <w:adjustRightInd w:val="0"/>
        <w:snapToGrid w:val="0"/>
        <w:spacing w:after="0" w:line="480" w:lineRule="auto"/>
        <w:ind w:firstLine="420" w:firstLineChars="200"/>
        <w:jc w:val="both"/>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_____年___月___日</w:t>
      </w:r>
    </w:p>
    <w:p w14:paraId="0427D0C2">
      <w:pPr>
        <w:pStyle w:val="23"/>
        <w:spacing w:line="3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备注：投标人在响应招标文件中规定的实质性要求和条件的基础上，</w:t>
      </w:r>
      <w:r>
        <w:rPr>
          <w:rFonts w:hint="eastAsia" w:ascii="方正仿宋_GB2312" w:hAnsi="方正仿宋_GB2312" w:eastAsia="方正仿宋_GB2312" w:cs="方正仿宋_GB2312"/>
          <w:color w:val="auto"/>
          <w:highlight w:val="none"/>
          <w:lang w:eastAsia="zh-CN"/>
        </w:rPr>
        <w:t>可以</w:t>
      </w:r>
      <w:r>
        <w:rPr>
          <w:rFonts w:hint="eastAsia" w:ascii="方正仿宋_GB2312" w:hAnsi="方正仿宋_GB2312" w:eastAsia="方正仿宋_GB2312" w:cs="方正仿宋_GB2312"/>
          <w:color w:val="auto"/>
          <w:highlight w:val="none"/>
        </w:rPr>
        <w:t>做出其他有利于招标人的承诺。此类承诺可在本表中予以补充填写。</w:t>
      </w:r>
    </w:p>
    <w:p w14:paraId="5423D6E2">
      <w:pPr>
        <w:adjustRightInd w:val="0"/>
        <w:snapToGrid w:val="0"/>
        <w:spacing w:line="360" w:lineRule="auto"/>
        <w:jc w:val="center"/>
        <w:outlineLvl w:val="2"/>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24"/>
          <w:szCs w:val="24"/>
          <w:highlight w:val="none"/>
        </w:rPr>
        <w:br w:type="page"/>
      </w:r>
      <w:bookmarkStart w:id="1550" w:name="_Toc27791"/>
      <w:r>
        <w:rPr>
          <w:rFonts w:hint="eastAsia" w:ascii="方正仿宋_GB2312" w:hAnsi="方正仿宋_GB2312" w:eastAsia="方正仿宋_GB2312" w:cs="方正仿宋_GB2312"/>
          <w:b/>
          <w:bCs/>
          <w:color w:val="auto"/>
          <w:sz w:val="28"/>
          <w:szCs w:val="28"/>
          <w:highlight w:val="none"/>
        </w:rPr>
        <w:t>二、法定代表人身份证明</w:t>
      </w:r>
      <w:bookmarkEnd w:id="1550"/>
    </w:p>
    <w:p w14:paraId="1266C575">
      <w:pPr>
        <w:adjustRightInd w:val="0"/>
        <w:snapToGrid w:val="0"/>
        <w:spacing w:line="360" w:lineRule="auto"/>
        <w:ind w:firstLine="420" w:firstLineChars="200"/>
        <w:rPr>
          <w:rFonts w:hint="eastAsia" w:ascii="方正仿宋_GB2312" w:hAnsi="方正仿宋_GB2312" w:eastAsia="方正仿宋_GB2312" w:cs="方正仿宋_GB2312"/>
          <w:color w:val="auto"/>
          <w:highlight w:val="none"/>
        </w:rPr>
      </w:pPr>
    </w:p>
    <w:p w14:paraId="435042DD">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投标人：_________________________________________________________</w:t>
      </w:r>
    </w:p>
    <w:p w14:paraId="35DC8546">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单位性质：_________________________________________________________</w:t>
      </w:r>
    </w:p>
    <w:p w14:paraId="6EF1E7BB">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地址：_________________________________________________________</w:t>
      </w:r>
    </w:p>
    <w:p w14:paraId="41031E6A">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成立时间：____________年____________月_______________日</w:t>
      </w:r>
    </w:p>
    <w:p w14:paraId="1B0FF175">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经营期限：_________________________________________________________</w:t>
      </w:r>
    </w:p>
    <w:p w14:paraId="7EE09F61">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姓名：____________________________   性别：__________________</w:t>
      </w:r>
    </w:p>
    <w:p w14:paraId="08EA46CB">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年龄：____________________________   职务：__________________</w:t>
      </w:r>
    </w:p>
    <w:p w14:paraId="4DEF0229">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系__________________________________________（投标人名称）的法定代表人。</w:t>
      </w:r>
    </w:p>
    <w:p w14:paraId="4302BE64">
      <w:pPr>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特此证明。</w:t>
      </w:r>
    </w:p>
    <w:p w14:paraId="3BA37D82">
      <w:pPr>
        <w:spacing w:line="240" w:lineRule="auto"/>
        <w:jc w:val="left"/>
        <w:rPr>
          <w:rFonts w:hint="eastAsia" w:ascii="方正仿宋_GB2312" w:hAnsi="方正仿宋_GB2312" w:eastAsia="方正仿宋_GB2312" w:cs="方正仿宋_GB2312"/>
          <w:color w:val="auto"/>
          <w:highlight w:val="none"/>
        </w:rPr>
      </w:pPr>
    </w:p>
    <w:p w14:paraId="3F8AD33E">
      <w:pPr>
        <w:spacing w:line="240" w:lineRule="auto"/>
        <w:jc w:val="left"/>
        <w:rPr>
          <w:rFonts w:hint="eastAsia" w:ascii="方正仿宋_GB2312" w:hAnsi="方正仿宋_GB2312" w:eastAsia="方正仿宋_GB2312" w:cs="方正仿宋_GB2312"/>
          <w:color w:val="auto"/>
          <w:highlight w:val="none"/>
        </w:rPr>
      </w:pPr>
    </w:p>
    <w:p w14:paraId="6BE22DDB">
      <w:pPr>
        <w:spacing w:line="240" w:lineRule="auto"/>
        <w:ind w:right="4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注：附法定代表人身份证扫描件（正反面）。</w:t>
      </w:r>
    </w:p>
    <w:p w14:paraId="11BE3AA0">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04AA8006">
      <w:pPr>
        <w:adjustRightInd w:val="0"/>
        <w:snapToGrid w:val="0"/>
        <w:spacing w:line="240" w:lineRule="auto"/>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（以联合体形式参加投标的，由联合体牵头方提供）</w:t>
      </w:r>
    </w:p>
    <w:p w14:paraId="7B5C166B">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7881B91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both"/>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投标人（牵头人单位）：_______________（电子签章）</w:t>
      </w:r>
    </w:p>
    <w:p w14:paraId="6FDF82F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both"/>
        <w:textAlignment w:val="auto"/>
        <w:rPr>
          <w:rFonts w:hint="eastAsia" w:ascii="方正仿宋_GB2312" w:hAnsi="方正仿宋_GB2312" w:eastAsia="方正仿宋_GB2312" w:cs="方正仿宋_GB2312"/>
          <w:color w:val="auto"/>
          <w:highlight w:val="none"/>
        </w:rPr>
      </w:pPr>
    </w:p>
    <w:p w14:paraId="7C584A2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both"/>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______年___月____日</w:t>
      </w:r>
    </w:p>
    <w:p w14:paraId="6C84AD67">
      <w:pPr>
        <w:adjustRightInd w:val="0"/>
        <w:snapToGrid w:val="0"/>
        <w:spacing w:line="360" w:lineRule="auto"/>
        <w:ind w:firstLine="420" w:firstLineChars="200"/>
        <w:rPr>
          <w:rFonts w:hint="eastAsia" w:ascii="方正仿宋_GB2312" w:hAnsi="方正仿宋_GB2312" w:eastAsia="方正仿宋_GB2312" w:cs="方正仿宋_GB2312"/>
          <w:color w:val="auto"/>
          <w:highlight w:val="none"/>
        </w:rPr>
      </w:pPr>
    </w:p>
    <w:p w14:paraId="6CEC0687">
      <w:pPr>
        <w:pStyle w:val="63"/>
        <w:snapToGrid w:val="0"/>
        <w:spacing w:before="120" w:beforeLines="50" w:after="240" w:afterLines="100" w:line="360" w:lineRule="auto"/>
        <w:ind w:left="0" w:firstLine="0"/>
        <w:rPr>
          <w:rFonts w:hint="eastAsia" w:ascii="方正仿宋_GB2312" w:hAnsi="方正仿宋_GB2312" w:eastAsia="方正仿宋_GB2312" w:cs="方正仿宋_GB2312"/>
          <w:color w:val="auto"/>
          <w:sz w:val="20"/>
          <w:szCs w:val="20"/>
          <w:highlight w:val="none"/>
        </w:rPr>
      </w:pPr>
    </w:p>
    <w:p w14:paraId="6AF2573B">
      <w:pPr>
        <w:pStyle w:val="63"/>
        <w:snapToGrid w:val="0"/>
        <w:spacing w:before="120" w:beforeLines="50" w:after="240" w:afterLines="100" w:line="360" w:lineRule="auto"/>
        <w:ind w:left="0" w:firstLine="0"/>
        <w:rPr>
          <w:rFonts w:hint="eastAsia" w:ascii="方正仿宋_GB2312" w:hAnsi="方正仿宋_GB2312" w:eastAsia="方正仿宋_GB2312" w:cs="方正仿宋_GB2312"/>
          <w:b/>
          <w:bCs/>
          <w:color w:val="auto"/>
          <w:sz w:val="28"/>
          <w:szCs w:val="28"/>
          <w:highlight w:val="none"/>
        </w:rPr>
      </w:pPr>
    </w:p>
    <w:p w14:paraId="752F8F30">
      <w:pPr>
        <w:pStyle w:val="63"/>
        <w:snapToGrid w:val="0"/>
        <w:spacing w:before="120" w:beforeLines="50" w:after="240" w:afterLines="100" w:line="360" w:lineRule="auto"/>
        <w:ind w:left="0" w:firstLine="0"/>
        <w:rPr>
          <w:rFonts w:hint="eastAsia" w:ascii="方正仿宋_GB2312" w:hAnsi="方正仿宋_GB2312" w:eastAsia="方正仿宋_GB2312" w:cs="方正仿宋_GB2312"/>
          <w:b/>
          <w:bCs/>
          <w:color w:val="auto"/>
          <w:sz w:val="28"/>
          <w:szCs w:val="28"/>
          <w:highlight w:val="none"/>
        </w:rPr>
      </w:pPr>
    </w:p>
    <w:p w14:paraId="187D3F51">
      <w:pPr>
        <w:adjustRightInd w:val="0"/>
        <w:snapToGrid w:val="0"/>
        <w:spacing w:line="360" w:lineRule="auto"/>
        <w:jc w:val="both"/>
        <w:rPr>
          <w:rFonts w:hint="eastAsia" w:ascii="方正仿宋_GB2312" w:hAnsi="方正仿宋_GB2312" w:eastAsia="方正仿宋_GB2312" w:cs="方正仿宋_GB2312"/>
          <w:b/>
          <w:bCs/>
          <w:color w:val="auto"/>
          <w:sz w:val="28"/>
          <w:szCs w:val="28"/>
          <w:highlight w:val="none"/>
        </w:rPr>
      </w:pPr>
      <w:bookmarkStart w:id="1551" w:name="_Toc25682_WPSOffice_Level2"/>
      <w:bookmarkStart w:id="1552" w:name="_Toc11841_WPSOffice_Level2"/>
    </w:p>
    <w:p w14:paraId="4D8274DB">
      <w:pPr>
        <w:adjustRightInd w:val="0"/>
        <w:snapToGrid w:val="0"/>
        <w:spacing w:line="360" w:lineRule="auto"/>
        <w:jc w:val="center"/>
        <w:outlineLvl w:val="2"/>
        <w:rPr>
          <w:rFonts w:hint="eastAsia" w:ascii="方正仿宋_GB2312" w:hAnsi="方正仿宋_GB2312" w:eastAsia="方正仿宋_GB2312" w:cs="方正仿宋_GB2312"/>
          <w:b/>
          <w:bCs/>
          <w:color w:val="auto"/>
          <w:sz w:val="28"/>
          <w:szCs w:val="28"/>
          <w:highlight w:val="none"/>
        </w:rPr>
      </w:pPr>
      <w:bookmarkStart w:id="1553" w:name="_Toc16244"/>
      <w:bookmarkStart w:id="1554" w:name="_Toc31000"/>
      <w:r>
        <w:rPr>
          <w:rFonts w:hint="eastAsia" w:ascii="方正仿宋_GB2312" w:hAnsi="方正仿宋_GB2312" w:eastAsia="方正仿宋_GB2312" w:cs="方正仿宋_GB2312"/>
          <w:b/>
          <w:bCs/>
          <w:color w:val="auto"/>
          <w:sz w:val="28"/>
          <w:szCs w:val="28"/>
          <w:highlight w:val="none"/>
        </w:rPr>
        <w:t>三、授权委托书</w:t>
      </w:r>
      <w:bookmarkEnd w:id="1551"/>
      <w:bookmarkEnd w:id="1552"/>
      <w:bookmarkEnd w:id="1553"/>
      <w:bookmarkEnd w:id="1554"/>
    </w:p>
    <w:p w14:paraId="01511CCA">
      <w:pPr>
        <w:adjustRightInd w:val="0"/>
        <w:snapToGrid w:val="0"/>
        <w:spacing w:line="360" w:lineRule="auto"/>
        <w:ind w:firstLine="420" w:firstLineChars="200"/>
        <w:rPr>
          <w:rFonts w:hint="eastAsia" w:ascii="方正仿宋_GB2312" w:hAnsi="方正仿宋_GB2312" w:eastAsia="方正仿宋_GB2312" w:cs="方正仿宋_GB2312"/>
          <w:color w:val="auto"/>
          <w:highlight w:val="none"/>
        </w:rPr>
      </w:pPr>
    </w:p>
    <w:p w14:paraId="0EE08EAA">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本人________（姓名）系__________________（投标人名称）的法定代表人，现委托________（姓名）为我方代理人。代理人根据授权，以我方名义签署、澄清、说明、补正、递交、撤回、修改__________________________（项目名称）招标的投标文件、签订合同和处理有关事宜，其法律后果由我方承担。</w:t>
      </w:r>
    </w:p>
    <w:p w14:paraId="39C6CF90">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委托期限：________。</w:t>
      </w:r>
    </w:p>
    <w:p w14:paraId="564406F5">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代理人无转委托权。</w:t>
      </w:r>
    </w:p>
    <w:p w14:paraId="33DAC416">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46D8A316">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附：委托代理人身份证扫描件（正反面）</w:t>
      </w:r>
    </w:p>
    <w:p w14:paraId="3CAC26C8">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61C05FA8">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50D253F1">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投标人：________________________（电子签章）</w:t>
      </w:r>
    </w:p>
    <w:p w14:paraId="2664132C">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法定代表人：________________________（电子签章）</w:t>
      </w:r>
    </w:p>
    <w:p w14:paraId="0A67D79C">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318BA684">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身份证号码：____________________________________</w:t>
      </w:r>
    </w:p>
    <w:p w14:paraId="0E5B7C5A">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21114CB6">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委托代理人：____________________________________</w:t>
      </w:r>
    </w:p>
    <w:p w14:paraId="6BAE33FB">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46F8FE95">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身份证号码：____________________________________</w:t>
      </w:r>
    </w:p>
    <w:p w14:paraId="602D53F6">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6035B8F1">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_________年_______月_______日</w:t>
      </w:r>
    </w:p>
    <w:p w14:paraId="2CF128C8">
      <w:pPr>
        <w:adjustRightInd w:val="0"/>
        <w:snapToGrid w:val="0"/>
        <w:spacing w:line="360" w:lineRule="auto"/>
        <w:rPr>
          <w:rFonts w:hint="eastAsia" w:ascii="方正仿宋_GB2312" w:hAnsi="方正仿宋_GB2312" w:eastAsia="方正仿宋_GB2312" w:cs="方正仿宋_GB2312"/>
          <w:color w:val="auto"/>
          <w:highlight w:val="none"/>
        </w:rPr>
      </w:pPr>
    </w:p>
    <w:p w14:paraId="094BE38F">
      <w:pPr>
        <w:pStyle w:val="63"/>
        <w:numPr>
          <w:ilvl w:val="1"/>
          <w:numId w:val="0"/>
        </w:numPr>
        <w:snapToGrid w:val="0"/>
        <w:spacing w:before="120" w:beforeLines="50" w:after="240" w:afterLines="100" w:line="360" w:lineRule="auto"/>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highlight w:val="none"/>
        </w:rPr>
        <w:t>注</w:t>
      </w:r>
      <w:r>
        <w:rPr>
          <w:rFonts w:hint="eastAsia" w:ascii="方正仿宋_GB2312" w:hAnsi="方正仿宋_GB2312" w:eastAsia="方正仿宋_GB2312" w:cs="方正仿宋_GB2312"/>
          <w:b/>
          <w:bCs/>
          <w:color w:val="auto"/>
          <w:sz w:val="28"/>
          <w:szCs w:val="28"/>
          <w:highlight w:val="none"/>
        </w:rPr>
        <w:t>：</w:t>
      </w:r>
      <w:r>
        <w:rPr>
          <w:rFonts w:hint="eastAsia" w:ascii="方正仿宋_GB2312" w:hAnsi="方正仿宋_GB2312" w:eastAsia="方正仿宋_GB2312" w:cs="方正仿宋_GB2312"/>
          <w:b/>
          <w:bCs/>
          <w:color w:val="auto"/>
          <w:highlight w:val="none"/>
        </w:rPr>
        <w:t>以联合体形式参加投标的，由联合体牵头单位授权委托人提供。</w:t>
      </w:r>
    </w:p>
    <w:p w14:paraId="425B5C58">
      <w:pPr>
        <w:pStyle w:val="62"/>
        <w:snapToGrid w:val="0"/>
        <w:spacing w:after="120" w:afterLines="50" w:line="360" w:lineRule="auto"/>
        <w:ind w:left="0" w:firstLine="0"/>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color w:val="auto"/>
          <w:sz w:val="20"/>
          <w:szCs w:val="20"/>
          <w:highlight w:val="none"/>
        </w:rPr>
        <w:br w:type="page"/>
      </w:r>
    </w:p>
    <w:p w14:paraId="6F4ECED8">
      <w:pPr>
        <w:adjustRightInd w:val="0"/>
        <w:snapToGrid w:val="0"/>
        <w:spacing w:line="360" w:lineRule="auto"/>
        <w:jc w:val="center"/>
        <w:outlineLvl w:val="2"/>
        <w:rPr>
          <w:rFonts w:hint="eastAsia" w:ascii="方正仿宋_GB2312" w:hAnsi="方正仿宋_GB2312" w:eastAsia="方正仿宋_GB2312" w:cs="方正仿宋_GB2312"/>
          <w:b/>
          <w:bCs/>
          <w:color w:val="auto"/>
          <w:sz w:val="28"/>
          <w:szCs w:val="28"/>
          <w:highlight w:val="none"/>
        </w:rPr>
      </w:pPr>
      <w:bookmarkStart w:id="1555" w:name="_Toc32076"/>
      <w:bookmarkStart w:id="1556" w:name="_Toc5944"/>
      <w:r>
        <w:rPr>
          <w:rFonts w:hint="eastAsia" w:ascii="方正仿宋_GB2312" w:hAnsi="方正仿宋_GB2312" w:eastAsia="方正仿宋_GB2312" w:cs="方正仿宋_GB2312"/>
          <w:b/>
          <w:bCs/>
          <w:color w:val="auto"/>
          <w:sz w:val="28"/>
          <w:szCs w:val="28"/>
          <w:highlight w:val="none"/>
        </w:rPr>
        <w:t>四、</w:t>
      </w:r>
      <w:r>
        <w:rPr>
          <w:rFonts w:hint="eastAsia" w:ascii="方正仿宋_GB2312" w:hAnsi="方正仿宋_GB2312" w:eastAsia="方正仿宋_GB2312" w:cs="方正仿宋_GB2312"/>
          <w:b/>
          <w:bCs/>
          <w:color w:val="auto"/>
          <w:sz w:val="28"/>
          <w:szCs w:val="28"/>
          <w:highlight w:val="none"/>
        </w:rPr>
        <w:fldChar w:fldCharType="begin"/>
      </w:r>
      <w:r>
        <w:rPr>
          <w:rFonts w:hint="eastAsia" w:ascii="方正仿宋_GB2312" w:hAnsi="方正仿宋_GB2312" w:eastAsia="方正仿宋_GB2312" w:cs="方正仿宋_GB2312"/>
          <w:b/>
          <w:bCs/>
          <w:color w:val="auto"/>
          <w:sz w:val="28"/>
          <w:szCs w:val="28"/>
          <w:highlight w:val="none"/>
        </w:rPr>
        <w:instrText xml:space="preserve"> AUTOTEXT  其他要求 \* MERGEFORMAT </w:instrText>
      </w:r>
      <w:r>
        <w:rPr>
          <w:rFonts w:hint="eastAsia" w:ascii="方正仿宋_GB2312" w:hAnsi="方正仿宋_GB2312" w:eastAsia="方正仿宋_GB2312" w:cs="方正仿宋_GB2312"/>
          <w:b/>
          <w:bCs/>
          <w:color w:val="auto"/>
          <w:sz w:val="28"/>
          <w:szCs w:val="28"/>
          <w:highlight w:val="none"/>
        </w:rPr>
        <w:fldChar w:fldCharType="separate"/>
      </w:r>
      <w:r>
        <w:rPr>
          <w:rFonts w:hint="eastAsia" w:ascii="方正仿宋_GB2312" w:hAnsi="方正仿宋_GB2312" w:eastAsia="方正仿宋_GB2312" w:cs="方正仿宋_GB2312"/>
          <w:b/>
          <w:bCs/>
          <w:color w:val="auto"/>
          <w:sz w:val="28"/>
          <w:szCs w:val="28"/>
          <w:highlight w:val="none"/>
        </w:rPr>
        <w:fldChar w:fldCharType="end"/>
      </w:r>
      <w:r>
        <w:rPr>
          <w:rFonts w:hint="eastAsia" w:ascii="方正仿宋_GB2312" w:hAnsi="方正仿宋_GB2312" w:eastAsia="方正仿宋_GB2312" w:cs="方正仿宋_GB2312"/>
          <w:b/>
          <w:bCs/>
          <w:color w:val="auto"/>
          <w:sz w:val="28"/>
          <w:szCs w:val="28"/>
          <w:highlight w:val="none"/>
        </w:rPr>
        <w:t>投标保证金缴纳凭证</w:t>
      </w:r>
      <w:bookmarkEnd w:id="1555"/>
      <w:bookmarkEnd w:id="1556"/>
    </w:p>
    <w:p w14:paraId="3C052850">
      <w:pPr>
        <w:adjustRightInd w:val="0"/>
        <w:snapToGrid w:val="0"/>
        <w:spacing w:line="240" w:lineRule="auto"/>
        <w:rPr>
          <w:rStyle w:val="64"/>
          <w:rFonts w:hint="eastAsia" w:ascii="方正仿宋_GB2312" w:hAnsi="方正仿宋_GB2312" w:eastAsia="方正仿宋_GB2312" w:cs="方正仿宋_GB2312"/>
          <w:color w:val="auto"/>
          <w:sz w:val="28"/>
          <w:szCs w:val="28"/>
          <w:highlight w:val="none"/>
        </w:rPr>
      </w:pPr>
    </w:p>
    <w:p w14:paraId="4B504F48">
      <w:pPr>
        <w:adjustRightInd w:val="0"/>
        <w:snapToGrid w:val="0"/>
        <w:spacing w:line="240" w:lineRule="auto"/>
        <w:ind w:firstLine="420" w:firstLineChars="200"/>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u w:val="single"/>
        </w:rPr>
        <w:t>（招标人名称）</w:t>
      </w:r>
      <w:r>
        <w:rPr>
          <w:rStyle w:val="64"/>
          <w:rFonts w:hint="eastAsia" w:ascii="方正仿宋_GB2312" w:hAnsi="方正仿宋_GB2312" w:eastAsia="方正仿宋_GB2312" w:cs="方正仿宋_GB2312"/>
          <w:color w:val="auto"/>
          <w:highlight w:val="none"/>
        </w:rPr>
        <w:t>：</w:t>
      </w:r>
    </w:p>
    <w:p w14:paraId="45DDE9B4">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本投标人自愿参加</w:t>
      </w:r>
      <w:r>
        <w:rPr>
          <w:rStyle w:val="64"/>
          <w:rFonts w:hint="eastAsia" w:ascii="方正仿宋_GB2312" w:hAnsi="方正仿宋_GB2312" w:eastAsia="方正仿宋_GB2312" w:cs="方正仿宋_GB2312"/>
          <w:color w:val="auto"/>
          <w:highlight w:val="none"/>
          <w:u w:val="single"/>
        </w:rPr>
        <w:t xml:space="preserve">（项目名称）     </w:t>
      </w:r>
      <w:r>
        <w:rPr>
          <w:rStyle w:val="64"/>
          <w:rFonts w:hint="eastAsia" w:ascii="方正仿宋_GB2312" w:hAnsi="方正仿宋_GB2312" w:eastAsia="方正仿宋_GB2312" w:cs="方正仿宋_GB2312"/>
          <w:color w:val="auto"/>
          <w:highlight w:val="none"/>
        </w:rPr>
        <w:t>招标的投标，并按招标文件要求缴纳投标保证金，金额为￥   （大写：  ）。</w:t>
      </w:r>
    </w:p>
    <w:p w14:paraId="422095CF">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本投标人承诺所缴纳投标保证金是从本公司基本账户缴纳的，若有虚假，由此引起的一切责任均由我公司承担。</w:t>
      </w:r>
    </w:p>
    <w:p w14:paraId="37EE168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附件：</w:t>
      </w:r>
    </w:p>
    <w:p w14:paraId="6DBC2376">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lang w:eastAsia="zh-CN"/>
        </w:rPr>
        <w:t>（</w:t>
      </w:r>
      <w:r>
        <w:rPr>
          <w:rStyle w:val="64"/>
          <w:rFonts w:hint="eastAsia" w:ascii="方正仿宋_GB2312" w:hAnsi="方正仿宋_GB2312" w:eastAsia="方正仿宋_GB2312" w:cs="方正仿宋_GB2312"/>
          <w:color w:val="auto"/>
          <w:highlight w:val="none"/>
        </w:rPr>
        <w:t>1</w:t>
      </w:r>
      <w:r>
        <w:rPr>
          <w:rStyle w:val="64"/>
          <w:rFonts w:hint="eastAsia" w:ascii="方正仿宋_GB2312" w:hAnsi="方正仿宋_GB2312" w:eastAsia="方正仿宋_GB2312" w:cs="方正仿宋_GB2312"/>
          <w:color w:val="auto"/>
          <w:highlight w:val="none"/>
          <w:lang w:eastAsia="zh-CN"/>
        </w:rPr>
        <w:t>）</w:t>
      </w:r>
      <w:r>
        <w:rPr>
          <w:rStyle w:val="64"/>
          <w:rFonts w:hint="eastAsia" w:ascii="方正仿宋_GB2312" w:hAnsi="方正仿宋_GB2312" w:eastAsia="方正仿宋_GB2312" w:cs="方正仿宋_GB2312"/>
          <w:color w:val="auto"/>
          <w:highlight w:val="none"/>
        </w:rPr>
        <w:t>人民银行颁发的基本存款账户开户许可证原件扫描件；</w:t>
      </w:r>
    </w:p>
    <w:p w14:paraId="0D7C70DC">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lang w:eastAsia="zh-CN"/>
        </w:rPr>
        <w:t>（</w:t>
      </w:r>
      <w:r>
        <w:rPr>
          <w:rStyle w:val="64"/>
          <w:rFonts w:hint="eastAsia" w:ascii="方正仿宋_GB2312" w:hAnsi="方正仿宋_GB2312" w:eastAsia="方正仿宋_GB2312" w:cs="方正仿宋_GB2312"/>
          <w:color w:val="auto"/>
          <w:highlight w:val="none"/>
        </w:rPr>
        <w:t>2</w:t>
      </w:r>
      <w:r>
        <w:rPr>
          <w:rStyle w:val="64"/>
          <w:rFonts w:hint="eastAsia" w:ascii="方正仿宋_GB2312" w:hAnsi="方正仿宋_GB2312" w:eastAsia="方正仿宋_GB2312" w:cs="方正仿宋_GB2312"/>
          <w:color w:val="auto"/>
          <w:highlight w:val="none"/>
          <w:lang w:eastAsia="zh-CN"/>
        </w:rPr>
        <w:t>）</w:t>
      </w:r>
      <w:r>
        <w:rPr>
          <w:rStyle w:val="64"/>
          <w:rFonts w:hint="eastAsia" w:ascii="方正仿宋_GB2312" w:hAnsi="方正仿宋_GB2312" w:eastAsia="方正仿宋_GB2312" w:cs="方正仿宋_GB2312"/>
          <w:color w:val="auto"/>
          <w:highlight w:val="none"/>
        </w:rPr>
        <w:t>采用现金缴纳（转账或电汇）投标保证金的</w:t>
      </w:r>
      <w:r>
        <w:rPr>
          <w:rStyle w:val="64"/>
          <w:rFonts w:hint="eastAsia" w:ascii="方正仿宋_GB2312" w:hAnsi="方正仿宋_GB2312" w:eastAsia="方正仿宋_GB2312" w:cs="方正仿宋_GB2312"/>
          <w:color w:val="auto"/>
          <w:highlight w:val="none"/>
          <w:lang w:eastAsia="zh-CN"/>
        </w:rPr>
        <w:t>，在</w:t>
      </w:r>
      <w:r>
        <w:rPr>
          <w:rStyle w:val="64"/>
          <w:rFonts w:hint="eastAsia" w:ascii="方正仿宋_GB2312" w:hAnsi="方正仿宋_GB2312" w:eastAsia="方正仿宋_GB2312" w:cs="方正仿宋_GB2312"/>
          <w:color w:val="auto"/>
          <w:highlight w:val="none"/>
        </w:rPr>
        <w:t>投标文件中须扫描上传基本账户开户许可证原件和投标人在楚雄州公共资源电子服务系统中打印的保证金缴纳回执原件；采用银行保函方式缴纳投标保证金的</w:t>
      </w:r>
      <w:r>
        <w:rPr>
          <w:rStyle w:val="64"/>
          <w:rFonts w:hint="eastAsia" w:ascii="方正仿宋_GB2312" w:hAnsi="方正仿宋_GB2312" w:eastAsia="方正仿宋_GB2312" w:cs="方正仿宋_GB2312"/>
          <w:color w:val="auto"/>
          <w:highlight w:val="none"/>
          <w:lang w:eastAsia="zh-CN"/>
        </w:rPr>
        <w:t>，在</w:t>
      </w:r>
      <w:r>
        <w:rPr>
          <w:rStyle w:val="64"/>
          <w:rFonts w:hint="eastAsia" w:ascii="方正仿宋_GB2312" w:hAnsi="方正仿宋_GB2312" w:eastAsia="方正仿宋_GB2312" w:cs="方正仿宋_GB2312"/>
          <w:color w:val="auto"/>
          <w:highlight w:val="none"/>
        </w:rPr>
        <w:t>投标文件中扫描上传基本账户开户银行出具的保函原件；采用保证保险方式缴纳投标保证金的</w:t>
      </w:r>
      <w:r>
        <w:rPr>
          <w:rStyle w:val="64"/>
          <w:rFonts w:hint="eastAsia" w:ascii="方正仿宋_GB2312" w:hAnsi="方正仿宋_GB2312" w:eastAsia="方正仿宋_GB2312" w:cs="方正仿宋_GB2312"/>
          <w:color w:val="auto"/>
          <w:highlight w:val="none"/>
          <w:lang w:eastAsia="zh-CN"/>
        </w:rPr>
        <w:t>，在</w:t>
      </w:r>
      <w:r>
        <w:rPr>
          <w:rStyle w:val="64"/>
          <w:rFonts w:hint="eastAsia" w:ascii="方正仿宋_GB2312" w:hAnsi="方正仿宋_GB2312" w:eastAsia="方正仿宋_GB2312" w:cs="方正仿宋_GB2312"/>
          <w:color w:val="auto"/>
          <w:highlight w:val="none"/>
        </w:rPr>
        <w:t>投标文件中扫描上传保证保险缴纳回执原件。</w:t>
      </w:r>
    </w:p>
    <w:p w14:paraId="168B9632">
      <w:pPr>
        <w:adjustRightInd w:val="0"/>
        <w:snapToGrid w:val="0"/>
        <w:spacing w:line="240" w:lineRule="auto"/>
        <w:ind w:firstLine="420" w:firstLineChars="200"/>
        <w:rPr>
          <w:rStyle w:val="64"/>
          <w:rFonts w:hint="eastAsia" w:ascii="方正仿宋_GB2312" w:hAnsi="方正仿宋_GB2312" w:eastAsia="方正仿宋_GB2312" w:cs="方正仿宋_GB2312"/>
          <w:color w:val="auto"/>
          <w:highlight w:val="none"/>
        </w:rPr>
      </w:pPr>
    </w:p>
    <w:p w14:paraId="6F1C365A">
      <w:pPr>
        <w:adjustRightInd w:val="0"/>
        <w:snapToGrid w:val="0"/>
        <w:spacing w:line="240" w:lineRule="auto"/>
        <w:ind w:firstLine="420" w:firstLineChars="200"/>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投标人（牵头单位）：（电子签章）</w:t>
      </w:r>
    </w:p>
    <w:p w14:paraId="07F14E3A">
      <w:pPr>
        <w:adjustRightInd w:val="0"/>
        <w:snapToGrid w:val="0"/>
        <w:spacing w:line="240" w:lineRule="auto"/>
        <w:ind w:firstLine="420" w:firstLineChars="200"/>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法定代表人（电子签章）：</w:t>
      </w:r>
    </w:p>
    <w:p w14:paraId="658F1E6E">
      <w:pPr>
        <w:adjustRightInd w:val="0"/>
        <w:snapToGrid w:val="0"/>
        <w:spacing w:line="240" w:lineRule="auto"/>
        <w:ind w:firstLine="420" w:firstLineChars="200"/>
        <w:rPr>
          <w:rStyle w:val="64"/>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年   月   日</w:t>
      </w:r>
    </w:p>
    <w:p w14:paraId="70481A92">
      <w:pPr>
        <w:adjustRightInd w:val="0"/>
        <w:snapToGrid w:val="0"/>
        <w:spacing w:line="360" w:lineRule="auto"/>
        <w:ind w:firstLine="440" w:firstLineChars="200"/>
        <w:rPr>
          <w:rFonts w:hint="eastAsia" w:ascii="方正仿宋_GB2312" w:hAnsi="方正仿宋_GB2312" w:eastAsia="方正仿宋_GB2312" w:cs="方正仿宋_GB2312"/>
          <w:color w:val="auto"/>
          <w:sz w:val="22"/>
          <w:szCs w:val="22"/>
          <w:highlight w:val="none"/>
        </w:rPr>
      </w:pPr>
    </w:p>
    <w:p w14:paraId="3B74AA3C">
      <w:pPr>
        <w:adjustRightInd w:val="0"/>
        <w:snapToGrid w:val="0"/>
        <w:spacing w:line="360" w:lineRule="auto"/>
        <w:jc w:val="center"/>
        <w:rPr>
          <w:rFonts w:hint="eastAsia" w:ascii="方正仿宋_GB2312" w:hAnsi="方正仿宋_GB2312" w:eastAsia="方正仿宋_GB2312" w:cs="方正仿宋_GB2312"/>
          <w:b/>
          <w:bCs/>
          <w:color w:val="auto"/>
          <w:sz w:val="28"/>
          <w:szCs w:val="28"/>
          <w:highlight w:val="none"/>
        </w:rPr>
      </w:pPr>
      <w:bookmarkStart w:id="1557" w:name="_Toc28530_WPSOffice_Level2"/>
      <w:bookmarkStart w:id="1558" w:name="_Toc2149_WPSOffice_Level2"/>
    </w:p>
    <w:p w14:paraId="5106BE40">
      <w:pPr>
        <w:pStyle w:val="36"/>
        <w:rPr>
          <w:rFonts w:hint="eastAsia" w:ascii="方正仿宋_GB2312" w:hAnsi="方正仿宋_GB2312" w:eastAsia="方正仿宋_GB2312" w:cs="方正仿宋_GB2312"/>
          <w:b/>
          <w:bCs/>
          <w:color w:val="auto"/>
          <w:sz w:val="28"/>
          <w:szCs w:val="28"/>
          <w:highlight w:val="none"/>
        </w:rPr>
      </w:pPr>
    </w:p>
    <w:p w14:paraId="36B69DA8">
      <w:pPr>
        <w:pStyle w:val="36"/>
        <w:rPr>
          <w:rFonts w:hint="eastAsia" w:ascii="方正仿宋_GB2312" w:hAnsi="方正仿宋_GB2312" w:eastAsia="方正仿宋_GB2312" w:cs="方正仿宋_GB2312"/>
          <w:b/>
          <w:bCs/>
          <w:color w:val="auto"/>
          <w:sz w:val="28"/>
          <w:szCs w:val="28"/>
          <w:highlight w:val="none"/>
        </w:rPr>
      </w:pPr>
    </w:p>
    <w:p w14:paraId="53845E3E">
      <w:pPr>
        <w:pStyle w:val="36"/>
        <w:rPr>
          <w:rFonts w:hint="eastAsia" w:ascii="方正仿宋_GB2312" w:hAnsi="方正仿宋_GB2312" w:eastAsia="方正仿宋_GB2312" w:cs="方正仿宋_GB2312"/>
          <w:b/>
          <w:bCs/>
          <w:color w:val="auto"/>
          <w:sz w:val="28"/>
          <w:szCs w:val="28"/>
          <w:highlight w:val="none"/>
        </w:rPr>
      </w:pPr>
    </w:p>
    <w:p w14:paraId="045AFC17">
      <w:pPr>
        <w:pStyle w:val="36"/>
        <w:rPr>
          <w:rFonts w:hint="eastAsia" w:ascii="方正仿宋_GB2312" w:hAnsi="方正仿宋_GB2312" w:eastAsia="方正仿宋_GB2312" w:cs="方正仿宋_GB2312"/>
          <w:b/>
          <w:bCs/>
          <w:color w:val="auto"/>
          <w:sz w:val="28"/>
          <w:szCs w:val="28"/>
          <w:highlight w:val="none"/>
        </w:rPr>
      </w:pPr>
    </w:p>
    <w:p w14:paraId="6EF28044">
      <w:pPr>
        <w:pStyle w:val="36"/>
        <w:rPr>
          <w:rFonts w:hint="eastAsia" w:ascii="方正仿宋_GB2312" w:hAnsi="方正仿宋_GB2312" w:eastAsia="方正仿宋_GB2312" w:cs="方正仿宋_GB2312"/>
          <w:b/>
          <w:bCs/>
          <w:color w:val="auto"/>
          <w:sz w:val="28"/>
          <w:szCs w:val="28"/>
          <w:highlight w:val="none"/>
        </w:rPr>
      </w:pPr>
    </w:p>
    <w:p w14:paraId="66413A4F">
      <w:pPr>
        <w:rPr>
          <w:rFonts w:hint="eastAsia" w:ascii="方正仿宋_GB2312" w:hAnsi="方正仿宋_GB2312" w:eastAsia="方正仿宋_GB2312" w:cs="方正仿宋_GB2312"/>
          <w:b/>
          <w:bCs/>
          <w:color w:val="auto"/>
          <w:sz w:val="28"/>
          <w:szCs w:val="28"/>
          <w:highlight w:val="none"/>
        </w:rPr>
      </w:pPr>
      <w:bookmarkStart w:id="1559" w:name="_Toc27551"/>
      <w:bookmarkStart w:id="1560" w:name="_Toc23130"/>
      <w:r>
        <w:rPr>
          <w:rFonts w:hint="eastAsia" w:ascii="方正仿宋_GB2312" w:hAnsi="方正仿宋_GB2312" w:eastAsia="方正仿宋_GB2312" w:cs="方正仿宋_GB2312"/>
          <w:b/>
          <w:bCs/>
          <w:color w:val="auto"/>
          <w:sz w:val="28"/>
          <w:szCs w:val="28"/>
          <w:highlight w:val="none"/>
        </w:rPr>
        <w:br w:type="page"/>
      </w:r>
    </w:p>
    <w:p w14:paraId="35370636">
      <w:pPr>
        <w:adjustRightInd w:val="0"/>
        <w:snapToGrid w:val="0"/>
        <w:spacing w:line="240" w:lineRule="auto"/>
        <w:jc w:val="center"/>
        <w:outlineLvl w:val="2"/>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28"/>
          <w:szCs w:val="28"/>
          <w:highlight w:val="none"/>
        </w:rPr>
        <w:t>五、联合体协议书</w:t>
      </w:r>
      <w:bookmarkEnd w:id="1557"/>
      <w:bookmarkEnd w:id="1558"/>
      <w:bookmarkEnd w:id="1559"/>
      <w:bookmarkEnd w:id="1560"/>
    </w:p>
    <w:p w14:paraId="5EBBABCD">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_________________________（所有成员单位名称）自愿组成___________</w:t>
      </w:r>
      <w:r>
        <w:rPr>
          <w:rFonts w:hint="eastAsia" w:ascii="方正仿宋_GB2312" w:hAnsi="方正仿宋_GB2312" w:eastAsia="方正仿宋_GB2312" w:cs="方正仿宋_GB2312"/>
          <w:color w:val="auto"/>
          <w:highlight w:val="none"/>
          <w:lang w:eastAsia="zh-CN"/>
        </w:rPr>
        <w:t>（联</w:t>
      </w:r>
      <w:r>
        <w:rPr>
          <w:rFonts w:hint="eastAsia" w:ascii="方正仿宋_GB2312" w:hAnsi="方正仿宋_GB2312" w:eastAsia="方正仿宋_GB2312" w:cs="方正仿宋_GB2312"/>
          <w:color w:val="auto"/>
          <w:highlight w:val="none"/>
        </w:rPr>
        <w:t>合体名称）联合体，共同参加__________________________（项目名称）</w:t>
      </w:r>
      <w:r>
        <w:rPr>
          <w:rFonts w:hint="eastAsia" w:ascii="方正仿宋_GB2312" w:hAnsi="方正仿宋_GB2312" w:eastAsia="方正仿宋_GB2312" w:cs="方正仿宋_GB2312"/>
          <w:color w:val="auto"/>
          <w:highlight w:val="none"/>
          <w:lang w:eastAsia="zh-CN"/>
        </w:rPr>
        <w:t>（</w:t>
      </w:r>
      <w:r>
        <w:rPr>
          <w:rFonts w:hint="eastAsia" w:ascii="方正仿宋_GB2312" w:hAnsi="方正仿宋_GB2312" w:eastAsia="方正仿宋_GB2312" w:cs="方正仿宋_GB2312"/>
          <w:color w:val="auto"/>
          <w:highlight w:val="none"/>
          <w:lang w:val="en-US" w:eastAsia="zh-CN"/>
        </w:rPr>
        <w:t>EPC）</w:t>
      </w:r>
      <w:r>
        <w:rPr>
          <w:rFonts w:hint="eastAsia" w:ascii="方正仿宋_GB2312" w:hAnsi="方正仿宋_GB2312" w:eastAsia="方正仿宋_GB2312" w:cs="方正仿宋_GB2312"/>
          <w:color w:val="auto"/>
          <w:highlight w:val="none"/>
        </w:rPr>
        <w:t>招标的投标。现就联合体投标事宜订立如下协议。</w:t>
      </w:r>
    </w:p>
    <w:p w14:paraId="770131F4">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1.</w:t>
      </w:r>
      <w:r>
        <w:rPr>
          <w:rFonts w:hint="eastAsia" w:ascii="方正仿宋_GB2312" w:hAnsi="方正仿宋_GB2312" w:eastAsia="方正仿宋_GB2312" w:cs="方正仿宋_GB2312"/>
          <w:color w:val="auto"/>
          <w:highlight w:val="none"/>
        </w:rPr>
        <w:t>_____________________（某成员单位名称）为联合体名称牵头人。</w:t>
      </w:r>
    </w:p>
    <w:p w14:paraId="70EDD76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2.</w:t>
      </w:r>
      <w:r>
        <w:rPr>
          <w:rFonts w:hint="eastAsia" w:ascii="方正仿宋_GB2312" w:hAnsi="方正仿宋_GB2312" w:eastAsia="方正仿宋_GB2312" w:cs="方正仿宋_GB2312"/>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7BDA95A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3.</w:t>
      </w:r>
      <w:r>
        <w:rPr>
          <w:rFonts w:hint="eastAsia" w:ascii="方正仿宋_GB2312" w:hAnsi="方正仿宋_GB2312" w:eastAsia="方正仿宋_GB2312" w:cs="方正仿宋_GB2312"/>
          <w:color w:val="auto"/>
          <w:highlight w:val="none"/>
        </w:rPr>
        <w:t>联合体将严格按照招标文件的各项要求，递交投标文件，履行合同，并对外承担连带责任。</w:t>
      </w:r>
    </w:p>
    <w:p w14:paraId="115D7290">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4.</w:t>
      </w:r>
      <w:r>
        <w:rPr>
          <w:rFonts w:hint="eastAsia" w:ascii="方正仿宋_GB2312" w:hAnsi="方正仿宋_GB2312" w:eastAsia="方正仿宋_GB2312" w:cs="方正仿宋_GB2312"/>
          <w:color w:val="auto"/>
          <w:highlight w:val="none"/>
        </w:rPr>
        <w:t>联合体各成员单位内部的职责分工如下：</w:t>
      </w:r>
    </w:p>
    <w:p w14:paraId="264A973A">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___________________________________________________________________________________________________________________________________</w:t>
      </w:r>
    </w:p>
    <w:p w14:paraId="0F21B7B8">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5.</w:t>
      </w:r>
      <w:r>
        <w:rPr>
          <w:rFonts w:hint="eastAsia" w:ascii="方正仿宋_GB2312" w:hAnsi="方正仿宋_GB2312" w:eastAsia="方正仿宋_GB2312" w:cs="方正仿宋_GB2312"/>
          <w:color w:val="auto"/>
          <w:highlight w:val="none"/>
        </w:rPr>
        <w:t>本协议书自签署之日起生效，合同履行完毕后自动失效。</w:t>
      </w:r>
    </w:p>
    <w:p w14:paraId="7B0FD191">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6.</w:t>
      </w:r>
      <w:r>
        <w:rPr>
          <w:rFonts w:hint="eastAsia" w:ascii="方正仿宋_GB2312" w:hAnsi="方正仿宋_GB2312" w:eastAsia="方正仿宋_GB2312" w:cs="方正仿宋_GB2312"/>
          <w:color w:val="auto"/>
          <w:highlight w:val="none"/>
        </w:rPr>
        <w:t>本协议书一式_____份，联合体成员和招标人各执一份。</w:t>
      </w:r>
    </w:p>
    <w:p w14:paraId="6C390031">
      <w:pPr>
        <w:adjustRightInd w:val="0"/>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注：本协议书由委托代理人签字的，应附法定代表人签字的授权委托书。</w:t>
      </w:r>
    </w:p>
    <w:p w14:paraId="7F95E75A">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1D0A8C4C">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联合体</w:t>
      </w:r>
      <w:r>
        <w:rPr>
          <w:rFonts w:hint="eastAsia" w:ascii="方正仿宋_GB2312" w:hAnsi="方正仿宋_GB2312" w:eastAsia="方正仿宋_GB2312" w:cs="方正仿宋_GB2312"/>
          <w:color w:val="auto"/>
          <w:highlight w:val="none"/>
        </w:rPr>
        <w:t>牵头人名称：_________________________________（单位盖章）</w:t>
      </w:r>
    </w:p>
    <w:p w14:paraId="1645C9AC">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法定代表人或其委托代理人：_______________________（签字）</w:t>
      </w:r>
    </w:p>
    <w:p w14:paraId="3B82D0A6">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233BCF0A">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联合体</w:t>
      </w:r>
      <w:r>
        <w:rPr>
          <w:rFonts w:hint="eastAsia" w:ascii="方正仿宋_GB2312" w:hAnsi="方正仿宋_GB2312" w:eastAsia="方正仿宋_GB2312" w:cs="方正仿宋_GB2312"/>
          <w:color w:val="auto"/>
          <w:highlight w:val="none"/>
        </w:rPr>
        <w:t>成员</w:t>
      </w:r>
      <w:r>
        <w:rPr>
          <w:rFonts w:hint="eastAsia" w:ascii="方正仿宋_GB2312" w:hAnsi="方正仿宋_GB2312" w:eastAsia="方正仿宋_GB2312" w:cs="方正仿宋_GB2312"/>
          <w:color w:val="auto"/>
          <w:highlight w:val="none"/>
          <w:lang w:eastAsia="zh-CN"/>
        </w:rPr>
        <w:t>一</w:t>
      </w:r>
      <w:r>
        <w:rPr>
          <w:rFonts w:hint="eastAsia" w:ascii="方正仿宋_GB2312" w:hAnsi="方正仿宋_GB2312" w:eastAsia="方正仿宋_GB2312" w:cs="方正仿宋_GB2312"/>
          <w:color w:val="auto"/>
          <w:highlight w:val="none"/>
        </w:rPr>
        <w:t>名称：_________________________________（单位盖章）</w:t>
      </w:r>
    </w:p>
    <w:p w14:paraId="63401A2C">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法定代表人或其委托代理人：_______________________（签字）</w:t>
      </w:r>
    </w:p>
    <w:p w14:paraId="22C0B764">
      <w:pPr>
        <w:adjustRightInd w:val="0"/>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联合体</w:t>
      </w:r>
      <w:r>
        <w:rPr>
          <w:rFonts w:hint="eastAsia" w:ascii="方正仿宋_GB2312" w:hAnsi="方正仿宋_GB2312" w:eastAsia="方正仿宋_GB2312" w:cs="方正仿宋_GB2312"/>
          <w:color w:val="auto"/>
          <w:highlight w:val="none"/>
        </w:rPr>
        <w:t>成员</w:t>
      </w:r>
      <w:r>
        <w:rPr>
          <w:rFonts w:hint="eastAsia" w:ascii="方正仿宋_GB2312" w:hAnsi="方正仿宋_GB2312" w:eastAsia="方正仿宋_GB2312" w:cs="方正仿宋_GB2312"/>
          <w:color w:val="auto"/>
          <w:highlight w:val="none"/>
          <w:lang w:val="en-US" w:eastAsia="zh-CN"/>
        </w:rPr>
        <w:t>二</w:t>
      </w:r>
      <w:r>
        <w:rPr>
          <w:rFonts w:hint="eastAsia" w:ascii="方正仿宋_GB2312" w:hAnsi="方正仿宋_GB2312" w:eastAsia="方正仿宋_GB2312" w:cs="方正仿宋_GB2312"/>
          <w:color w:val="auto"/>
          <w:highlight w:val="none"/>
        </w:rPr>
        <w:t>名称：_________________________________（单位盖章）</w:t>
      </w:r>
    </w:p>
    <w:p w14:paraId="4D2D3460">
      <w:pPr>
        <w:pStyle w:val="5"/>
        <w:ind w:firstLine="2730" w:firstLineChars="13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法定代表人或其委托代理人：_______________________（签字）</w:t>
      </w:r>
    </w:p>
    <w:p w14:paraId="78EC6B34">
      <w:pPr>
        <w:adjustRightInd w:val="0"/>
        <w:snapToGrid w:val="0"/>
        <w:spacing w:line="24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highlight w:val="none"/>
        </w:rPr>
        <w:t>注：如为联合体投标的需附此协议书原件扫描件，签字盖章后确认无误扫描上传</w:t>
      </w:r>
    </w:p>
    <w:p w14:paraId="178A24F4">
      <w:pPr>
        <w:adjustRightInd w:val="0"/>
        <w:snapToGrid w:val="0"/>
        <w:spacing w:line="240" w:lineRule="auto"/>
        <w:ind w:firstLine="5880" w:firstLineChars="28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_____年___月____日</w:t>
      </w:r>
    </w:p>
    <w:p w14:paraId="01E21A70">
      <w:pPr>
        <w:pStyle w:val="11"/>
        <w:rPr>
          <w:rFonts w:hint="eastAsia" w:ascii="方正仿宋_GB2312" w:hAnsi="方正仿宋_GB2312" w:eastAsia="方正仿宋_GB2312" w:cs="方正仿宋_GB2312"/>
          <w:color w:val="auto"/>
          <w:highlight w:val="none"/>
        </w:rPr>
      </w:pPr>
    </w:p>
    <w:p w14:paraId="3351E077">
      <w:pPr>
        <w:rPr>
          <w:rFonts w:hint="eastAsia" w:ascii="方正仿宋_GB2312" w:hAnsi="方正仿宋_GB2312" w:eastAsia="方正仿宋_GB2312" w:cs="方正仿宋_GB2312"/>
          <w:color w:val="auto"/>
          <w:highlight w:val="none"/>
        </w:rPr>
      </w:pPr>
    </w:p>
    <w:p w14:paraId="38322C05">
      <w:pPr>
        <w:pStyle w:val="11"/>
        <w:rPr>
          <w:rFonts w:hint="eastAsia" w:ascii="方正仿宋_GB2312" w:hAnsi="方正仿宋_GB2312" w:eastAsia="方正仿宋_GB2312" w:cs="方正仿宋_GB2312"/>
          <w:color w:val="auto"/>
          <w:highlight w:val="none"/>
        </w:rPr>
      </w:pPr>
    </w:p>
    <w:p w14:paraId="3A17B290">
      <w:pPr>
        <w:pStyle w:val="4"/>
        <w:keepNext/>
        <w:keepLines/>
        <w:pageBreakBefore w:val="0"/>
        <w:widowControl w:val="0"/>
        <w:kinsoku/>
        <w:wordWrap/>
        <w:overflowPunct/>
        <w:topLinePunct w:val="0"/>
        <w:autoSpaceDE/>
        <w:autoSpaceDN/>
        <w:bidi w:val="0"/>
        <w:adjustRightInd/>
        <w:snapToGrid w:val="0"/>
        <w:spacing w:after="0" w:line="240" w:lineRule="auto"/>
        <w:ind w:firstLine="148"/>
        <w:jc w:val="center"/>
        <w:textAlignment w:val="auto"/>
        <w:rPr>
          <w:rFonts w:hint="eastAsia" w:ascii="仿宋" w:hAnsi="仿宋" w:eastAsia="仿宋" w:cs="仿宋"/>
          <w:b/>
          <w:bCs/>
          <w:color w:val="auto"/>
          <w:sz w:val="32"/>
          <w:szCs w:val="32"/>
          <w:highlight w:val="none"/>
        </w:rPr>
      </w:pPr>
      <w:bookmarkStart w:id="1561" w:name="_Toc4320"/>
      <w:bookmarkStart w:id="1562" w:name="_Toc25925"/>
      <w:r>
        <w:rPr>
          <w:rFonts w:hint="eastAsia" w:ascii="仿宋" w:hAnsi="仿宋" w:eastAsia="仿宋" w:cs="仿宋"/>
          <w:b/>
          <w:bCs/>
          <w:color w:val="auto"/>
          <w:sz w:val="30"/>
          <w:szCs w:val="30"/>
          <w:highlight w:val="none"/>
        </w:rPr>
        <w:t>第二部分  资格审查部分</w:t>
      </w:r>
      <w:bookmarkEnd w:id="1561"/>
      <w:bookmarkEnd w:id="1562"/>
    </w:p>
    <w:p w14:paraId="3CDBF5CE">
      <w:pPr>
        <w:pStyle w:val="4"/>
        <w:keepNext/>
        <w:keepLines/>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仿宋" w:hAnsi="仿宋" w:eastAsia="仿宋" w:cs="仿宋"/>
          <w:b/>
          <w:bCs w:val="0"/>
          <w:color w:val="auto"/>
          <w:sz w:val="28"/>
          <w:szCs w:val="28"/>
          <w:highlight w:val="none"/>
        </w:rPr>
      </w:pPr>
      <w:bookmarkStart w:id="1563" w:name="_Toc4078"/>
      <w:bookmarkStart w:id="1564" w:name="_Toc18994"/>
      <w:r>
        <w:rPr>
          <w:rFonts w:hint="eastAsia" w:ascii="仿宋" w:hAnsi="仿宋" w:eastAsia="仿宋" w:cs="仿宋"/>
          <w:b/>
          <w:bCs w:val="0"/>
          <w:color w:val="auto"/>
          <w:sz w:val="28"/>
          <w:szCs w:val="28"/>
          <w:highlight w:val="none"/>
        </w:rPr>
        <w:t>一、投标人基本情况</w:t>
      </w:r>
      <w:bookmarkEnd w:id="1563"/>
      <w:bookmarkEnd w:id="1564"/>
    </w:p>
    <w:p w14:paraId="55C883F5">
      <w:pPr>
        <w:pStyle w:val="4"/>
        <w:keepNext/>
        <w:keepLines/>
        <w:pageBreakBefore w:val="0"/>
        <w:widowControl w:val="0"/>
        <w:kinsoku/>
        <w:wordWrap/>
        <w:overflowPunct/>
        <w:topLinePunct w:val="0"/>
        <w:autoSpaceDE/>
        <w:autoSpaceDN/>
        <w:bidi w:val="0"/>
        <w:adjustRightInd/>
        <w:snapToGrid w:val="0"/>
        <w:spacing w:before="0" w:after="0" w:line="240" w:lineRule="auto"/>
        <w:ind w:firstLine="0" w:firstLineChars="0"/>
        <w:jc w:val="center"/>
        <w:textAlignment w:val="auto"/>
        <w:rPr>
          <w:rFonts w:hint="eastAsia" w:ascii="仿宋" w:hAnsi="仿宋" w:eastAsia="仿宋" w:cs="仿宋"/>
          <w:b/>
          <w:bCs w:val="0"/>
          <w:color w:val="auto"/>
          <w:sz w:val="24"/>
          <w:szCs w:val="24"/>
          <w:highlight w:val="none"/>
          <w:lang w:eastAsia="zh-CN"/>
        </w:rPr>
      </w:pPr>
      <w:bookmarkStart w:id="1565" w:name="_Toc18382"/>
      <w:bookmarkStart w:id="1566" w:name="_Toc17021"/>
      <w:r>
        <w:rPr>
          <w:rFonts w:hint="eastAsia" w:ascii="仿宋" w:hAnsi="仿宋" w:eastAsia="仿宋" w:cs="仿宋"/>
          <w:b/>
          <w:bCs w:val="0"/>
          <w:color w:val="auto"/>
          <w:sz w:val="24"/>
          <w:szCs w:val="24"/>
          <w:highlight w:val="none"/>
          <w:lang w:eastAsia="zh-CN"/>
        </w:rPr>
        <w:t>（一）投标人信息汇总表</w:t>
      </w:r>
    </w:p>
    <w:tbl>
      <w:tblPr>
        <w:tblStyle w:val="28"/>
        <w:tblW w:w="94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2597"/>
        <w:gridCol w:w="2729"/>
        <w:gridCol w:w="1776"/>
      </w:tblGrid>
      <w:tr w14:paraId="38DB3A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472" w:type="dxa"/>
            <w:gridSpan w:val="4"/>
            <w:tcBorders>
              <w:top w:val="single" w:color="auto" w:sz="12" w:space="0"/>
            </w:tcBorders>
            <w:vAlign w:val="center"/>
          </w:tcPr>
          <w:p w14:paraId="3090CD7C">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联合体牵头人信息</w:t>
            </w:r>
          </w:p>
        </w:tc>
      </w:tr>
      <w:tr w14:paraId="1967DB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25E31D2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联合体牵头人名称</w:t>
            </w:r>
          </w:p>
        </w:tc>
        <w:tc>
          <w:tcPr>
            <w:tcW w:w="2597" w:type="dxa"/>
            <w:tcBorders>
              <w:top w:val="single" w:color="auto" w:sz="12" w:space="0"/>
            </w:tcBorders>
            <w:vAlign w:val="center"/>
          </w:tcPr>
          <w:p w14:paraId="121F30CE">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tcBorders>
            <w:vAlign w:val="center"/>
          </w:tcPr>
          <w:p w14:paraId="3FBD877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统一社会信用代码</w:t>
            </w:r>
          </w:p>
        </w:tc>
        <w:tc>
          <w:tcPr>
            <w:tcW w:w="1776" w:type="dxa"/>
            <w:tcBorders>
              <w:top w:val="single" w:color="auto" w:sz="12" w:space="0"/>
            </w:tcBorders>
            <w:vAlign w:val="center"/>
          </w:tcPr>
          <w:p w14:paraId="5DE477E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734B2A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0010841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企业类型</w:t>
            </w:r>
          </w:p>
        </w:tc>
        <w:tc>
          <w:tcPr>
            <w:tcW w:w="2597" w:type="dxa"/>
            <w:tcBorders>
              <w:top w:val="single" w:color="auto" w:sz="12" w:space="0"/>
            </w:tcBorders>
            <w:vAlign w:val="center"/>
          </w:tcPr>
          <w:p w14:paraId="3F24EF83">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tcBorders>
            <w:vAlign w:val="center"/>
          </w:tcPr>
          <w:p w14:paraId="4AE4EBDD">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企业资质等级</w:t>
            </w:r>
          </w:p>
        </w:tc>
        <w:tc>
          <w:tcPr>
            <w:tcW w:w="1776" w:type="dxa"/>
            <w:tcBorders>
              <w:top w:val="single" w:color="auto" w:sz="12" w:space="0"/>
            </w:tcBorders>
            <w:vAlign w:val="center"/>
          </w:tcPr>
          <w:p w14:paraId="7C3CB07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3D072A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31D8FFDC">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rPr>
              <w:t>成立时间</w:t>
            </w:r>
          </w:p>
        </w:tc>
        <w:tc>
          <w:tcPr>
            <w:tcW w:w="7102" w:type="dxa"/>
            <w:gridSpan w:val="3"/>
            <w:tcBorders>
              <w:top w:val="single" w:color="auto" w:sz="12" w:space="0"/>
            </w:tcBorders>
            <w:vAlign w:val="center"/>
          </w:tcPr>
          <w:p w14:paraId="5FDB644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162FF7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7E7DBA55">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法定代表人</w:t>
            </w:r>
          </w:p>
        </w:tc>
        <w:tc>
          <w:tcPr>
            <w:tcW w:w="2597" w:type="dxa"/>
            <w:tcBorders>
              <w:top w:val="single" w:color="auto" w:sz="12" w:space="0"/>
            </w:tcBorders>
            <w:vAlign w:val="center"/>
          </w:tcPr>
          <w:p w14:paraId="4618299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tcBorders>
            <w:vAlign w:val="center"/>
          </w:tcPr>
          <w:p w14:paraId="3EB1790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安全生产许可证编号</w:t>
            </w:r>
          </w:p>
        </w:tc>
        <w:tc>
          <w:tcPr>
            <w:tcW w:w="1776" w:type="dxa"/>
            <w:tcBorders>
              <w:top w:val="single" w:color="auto" w:sz="12" w:space="0"/>
            </w:tcBorders>
            <w:vAlign w:val="center"/>
          </w:tcPr>
          <w:p w14:paraId="71E4C02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249CD9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67ED58A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总承包负责人</w:t>
            </w:r>
          </w:p>
        </w:tc>
        <w:tc>
          <w:tcPr>
            <w:tcW w:w="2597" w:type="dxa"/>
            <w:tcBorders>
              <w:top w:val="single" w:color="auto" w:sz="12" w:space="0"/>
            </w:tcBorders>
            <w:vAlign w:val="center"/>
          </w:tcPr>
          <w:p w14:paraId="0D37C3F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tcBorders>
            <w:vAlign w:val="center"/>
          </w:tcPr>
          <w:p w14:paraId="47B5BA07">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总承包负责人</w:t>
            </w:r>
            <w:r>
              <w:rPr>
                <w:rFonts w:hint="eastAsia" w:ascii="方正仿宋_GB2312" w:hAnsi="方正仿宋_GB2312" w:eastAsia="方正仿宋_GB2312" w:cs="方正仿宋_GB2312"/>
                <w:color w:val="auto"/>
                <w:highlight w:val="none"/>
                <w:lang w:eastAsia="zh-CN"/>
              </w:rPr>
              <w:t>身份证号码</w:t>
            </w:r>
          </w:p>
        </w:tc>
        <w:tc>
          <w:tcPr>
            <w:tcW w:w="1776" w:type="dxa"/>
            <w:tcBorders>
              <w:top w:val="single" w:color="auto" w:sz="12" w:space="0"/>
            </w:tcBorders>
            <w:vAlign w:val="center"/>
          </w:tcPr>
          <w:p w14:paraId="38375A2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2F0875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3A1B62B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总承包负责人</w:t>
            </w:r>
            <w:r>
              <w:rPr>
                <w:rFonts w:hint="eastAsia" w:ascii="方正仿宋_GB2312" w:hAnsi="方正仿宋_GB2312" w:eastAsia="方正仿宋_GB2312" w:cs="方正仿宋_GB2312"/>
                <w:color w:val="auto"/>
                <w:highlight w:val="none"/>
                <w:lang w:eastAsia="zh-CN"/>
              </w:rPr>
              <w:t>执业资格</w:t>
            </w:r>
          </w:p>
        </w:tc>
        <w:tc>
          <w:tcPr>
            <w:tcW w:w="2597" w:type="dxa"/>
            <w:tcBorders>
              <w:top w:val="single" w:color="auto" w:sz="12" w:space="0"/>
            </w:tcBorders>
            <w:vAlign w:val="center"/>
          </w:tcPr>
          <w:p w14:paraId="00FAE36F">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tcBorders>
            <w:vAlign w:val="center"/>
          </w:tcPr>
          <w:p w14:paraId="72F5F29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总承包负责人建造师</w:t>
            </w:r>
            <w:r>
              <w:rPr>
                <w:rFonts w:hint="eastAsia" w:ascii="方正仿宋_GB2312" w:hAnsi="方正仿宋_GB2312" w:eastAsia="方正仿宋_GB2312" w:cs="方正仿宋_GB2312"/>
                <w:color w:val="auto"/>
                <w:highlight w:val="none"/>
                <w:lang w:eastAsia="zh-CN"/>
              </w:rPr>
              <w:t>注册编号</w:t>
            </w:r>
          </w:p>
        </w:tc>
        <w:tc>
          <w:tcPr>
            <w:tcW w:w="1776" w:type="dxa"/>
            <w:tcBorders>
              <w:top w:val="single" w:color="auto" w:sz="12" w:space="0"/>
            </w:tcBorders>
            <w:vAlign w:val="center"/>
          </w:tcPr>
          <w:p w14:paraId="4D9F32B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0D5A6D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5C9BDE5B">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施工负责人（项目经理）</w:t>
            </w:r>
          </w:p>
        </w:tc>
        <w:tc>
          <w:tcPr>
            <w:tcW w:w="2597" w:type="dxa"/>
            <w:tcBorders>
              <w:top w:val="single" w:color="auto" w:sz="12" w:space="0"/>
            </w:tcBorders>
            <w:vAlign w:val="center"/>
          </w:tcPr>
          <w:p w14:paraId="04C1A357">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tcBorders>
            <w:vAlign w:val="center"/>
          </w:tcPr>
          <w:p w14:paraId="005E23F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施工负责人（项目经理）</w:t>
            </w:r>
            <w:r>
              <w:rPr>
                <w:rFonts w:hint="eastAsia" w:ascii="方正仿宋_GB2312" w:hAnsi="方正仿宋_GB2312" w:eastAsia="方正仿宋_GB2312" w:cs="方正仿宋_GB2312"/>
                <w:color w:val="auto"/>
                <w:highlight w:val="none"/>
                <w:lang w:eastAsia="zh-CN"/>
              </w:rPr>
              <w:t>身份证号码</w:t>
            </w:r>
          </w:p>
        </w:tc>
        <w:tc>
          <w:tcPr>
            <w:tcW w:w="1776" w:type="dxa"/>
            <w:tcBorders>
              <w:top w:val="single" w:color="auto" w:sz="12" w:space="0"/>
            </w:tcBorders>
            <w:vAlign w:val="center"/>
          </w:tcPr>
          <w:p w14:paraId="3C8686A8">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081144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1788C0F4">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施工负责人（项目经理）</w:t>
            </w:r>
            <w:r>
              <w:rPr>
                <w:rFonts w:hint="eastAsia" w:ascii="方正仿宋_GB2312" w:hAnsi="方正仿宋_GB2312" w:eastAsia="方正仿宋_GB2312" w:cs="方正仿宋_GB2312"/>
                <w:color w:val="auto"/>
                <w:highlight w:val="none"/>
                <w:lang w:eastAsia="zh-CN"/>
              </w:rPr>
              <w:t>执业资格</w:t>
            </w:r>
          </w:p>
        </w:tc>
        <w:tc>
          <w:tcPr>
            <w:tcW w:w="2597" w:type="dxa"/>
            <w:tcBorders>
              <w:top w:val="single" w:color="auto" w:sz="12" w:space="0"/>
            </w:tcBorders>
            <w:vAlign w:val="center"/>
          </w:tcPr>
          <w:p w14:paraId="5E4F282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tcBorders>
            <w:vAlign w:val="center"/>
          </w:tcPr>
          <w:p w14:paraId="7A81BBDF">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zh-CN" w:eastAsia="zh-CN"/>
              </w:rPr>
              <w:t>施工负责人（项目经理）建造师</w:t>
            </w:r>
            <w:r>
              <w:rPr>
                <w:rFonts w:hint="eastAsia" w:ascii="方正仿宋_GB2312" w:hAnsi="方正仿宋_GB2312" w:eastAsia="方正仿宋_GB2312" w:cs="方正仿宋_GB2312"/>
                <w:color w:val="auto"/>
                <w:highlight w:val="none"/>
                <w:lang w:eastAsia="zh-CN"/>
              </w:rPr>
              <w:t>注册编号</w:t>
            </w:r>
          </w:p>
        </w:tc>
        <w:tc>
          <w:tcPr>
            <w:tcW w:w="1776" w:type="dxa"/>
            <w:tcBorders>
              <w:top w:val="single" w:color="auto" w:sz="12" w:space="0"/>
            </w:tcBorders>
            <w:vAlign w:val="center"/>
          </w:tcPr>
          <w:p w14:paraId="391BAB54">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401B57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0A08474E">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联系人</w:t>
            </w:r>
          </w:p>
        </w:tc>
        <w:tc>
          <w:tcPr>
            <w:tcW w:w="2597" w:type="dxa"/>
            <w:tcBorders>
              <w:top w:val="single" w:color="auto" w:sz="12" w:space="0"/>
            </w:tcBorders>
            <w:vAlign w:val="center"/>
          </w:tcPr>
          <w:p w14:paraId="49F7E45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tcBorders>
            <w:vAlign w:val="center"/>
          </w:tcPr>
          <w:p w14:paraId="683F6A5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联系电话</w:t>
            </w:r>
          </w:p>
        </w:tc>
        <w:tc>
          <w:tcPr>
            <w:tcW w:w="1776" w:type="dxa"/>
            <w:tcBorders>
              <w:top w:val="single" w:color="auto" w:sz="12" w:space="0"/>
            </w:tcBorders>
            <w:vAlign w:val="center"/>
          </w:tcPr>
          <w:p w14:paraId="770BCE5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7C21DE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tcBorders>
            <w:vAlign w:val="center"/>
          </w:tcPr>
          <w:p w14:paraId="2C95CCA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投标保证金（万元）</w:t>
            </w:r>
          </w:p>
        </w:tc>
        <w:tc>
          <w:tcPr>
            <w:tcW w:w="2597" w:type="dxa"/>
            <w:tcBorders>
              <w:top w:val="single" w:color="auto" w:sz="12" w:space="0"/>
            </w:tcBorders>
            <w:vAlign w:val="center"/>
          </w:tcPr>
          <w:p w14:paraId="618AFD3F">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tcBorders>
            <w:vAlign w:val="center"/>
          </w:tcPr>
          <w:p w14:paraId="09C2FBCF">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保证金递交方式</w:t>
            </w:r>
          </w:p>
        </w:tc>
        <w:tc>
          <w:tcPr>
            <w:tcW w:w="1776" w:type="dxa"/>
            <w:tcBorders>
              <w:top w:val="single" w:color="auto" w:sz="12" w:space="0"/>
            </w:tcBorders>
            <w:vAlign w:val="center"/>
          </w:tcPr>
          <w:p w14:paraId="3EF842B7">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6D2093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21FF413C">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w:t>
            </w:r>
            <w:r>
              <w:rPr>
                <w:rFonts w:hint="eastAsia" w:ascii="方正仿宋_GB2312" w:hAnsi="方正仿宋_GB2312" w:eastAsia="方正仿宋_GB2312" w:cs="方正仿宋_GB2312"/>
                <w:color w:val="auto"/>
                <w:highlight w:val="none"/>
              </w:rPr>
              <w:t>成立时间</w:t>
            </w:r>
          </w:p>
        </w:tc>
        <w:tc>
          <w:tcPr>
            <w:tcW w:w="7102" w:type="dxa"/>
            <w:gridSpan w:val="3"/>
            <w:tcBorders>
              <w:top w:val="single" w:color="auto" w:sz="12" w:space="0"/>
              <w:bottom w:val="single" w:color="auto" w:sz="12" w:space="0"/>
            </w:tcBorders>
            <w:vAlign w:val="center"/>
          </w:tcPr>
          <w:p w14:paraId="2583333C">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579EF2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472" w:type="dxa"/>
            <w:gridSpan w:val="4"/>
            <w:tcBorders>
              <w:top w:val="single" w:color="auto" w:sz="12" w:space="0"/>
              <w:bottom w:val="single" w:color="auto" w:sz="12" w:space="0"/>
            </w:tcBorders>
            <w:vAlign w:val="center"/>
          </w:tcPr>
          <w:p w14:paraId="069DC8B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联合体成员信息（设计）</w:t>
            </w:r>
          </w:p>
        </w:tc>
      </w:tr>
      <w:tr w14:paraId="1FB3E7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2B0EE6DF">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联合体成员人名称</w:t>
            </w:r>
          </w:p>
        </w:tc>
        <w:tc>
          <w:tcPr>
            <w:tcW w:w="2597" w:type="dxa"/>
            <w:tcBorders>
              <w:top w:val="single" w:color="auto" w:sz="12" w:space="0"/>
              <w:bottom w:val="single" w:color="auto" w:sz="12" w:space="0"/>
            </w:tcBorders>
            <w:vAlign w:val="center"/>
          </w:tcPr>
          <w:p w14:paraId="34BF984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bottom w:val="single" w:color="auto" w:sz="12" w:space="0"/>
            </w:tcBorders>
            <w:vAlign w:val="center"/>
          </w:tcPr>
          <w:p w14:paraId="2907543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统一社会信用代码</w:t>
            </w:r>
          </w:p>
        </w:tc>
        <w:tc>
          <w:tcPr>
            <w:tcW w:w="1776" w:type="dxa"/>
            <w:tcBorders>
              <w:top w:val="single" w:color="auto" w:sz="12" w:space="0"/>
              <w:bottom w:val="single" w:color="auto" w:sz="12" w:space="0"/>
            </w:tcBorders>
            <w:vAlign w:val="center"/>
          </w:tcPr>
          <w:p w14:paraId="0DD1E86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78D66E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0D6FCED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企业类型</w:t>
            </w:r>
          </w:p>
        </w:tc>
        <w:tc>
          <w:tcPr>
            <w:tcW w:w="2597" w:type="dxa"/>
            <w:tcBorders>
              <w:top w:val="single" w:color="auto" w:sz="12" w:space="0"/>
              <w:bottom w:val="single" w:color="auto" w:sz="12" w:space="0"/>
            </w:tcBorders>
            <w:vAlign w:val="center"/>
          </w:tcPr>
          <w:p w14:paraId="1BC4407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bottom w:val="single" w:color="auto" w:sz="12" w:space="0"/>
            </w:tcBorders>
            <w:vAlign w:val="center"/>
          </w:tcPr>
          <w:p w14:paraId="6C5362F9">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企业资质等级</w:t>
            </w:r>
          </w:p>
        </w:tc>
        <w:tc>
          <w:tcPr>
            <w:tcW w:w="1776" w:type="dxa"/>
            <w:tcBorders>
              <w:top w:val="single" w:color="auto" w:sz="12" w:space="0"/>
              <w:bottom w:val="single" w:color="auto" w:sz="12" w:space="0"/>
            </w:tcBorders>
            <w:vAlign w:val="center"/>
          </w:tcPr>
          <w:p w14:paraId="6C211FE0">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226E5B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013D45D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法定代表人</w:t>
            </w:r>
          </w:p>
        </w:tc>
        <w:tc>
          <w:tcPr>
            <w:tcW w:w="7102" w:type="dxa"/>
            <w:gridSpan w:val="3"/>
            <w:tcBorders>
              <w:top w:val="single" w:color="auto" w:sz="12" w:space="0"/>
              <w:bottom w:val="single" w:color="auto" w:sz="12" w:space="0"/>
            </w:tcBorders>
            <w:vAlign w:val="center"/>
          </w:tcPr>
          <w:p w14:paraId="49DF9A15">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122D21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6424111D">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en-US" w:eastAsia="zh-CN"/>
              </w:rPr>
              <w:t>设计</w:t>
            </w:r>
            <w:r>
              <w:rPr>
                <w:rFonts w:hint="eastAsia" w:ascii="方正仿宋_GB2312" w:hAnsi="方正仿宋_GB2312" w:eastAsia="方正仿宋_GB2312" w:cs="方正仿宋_GB2312"/>
                <w:color w:val="auto"/>
                <w:highlight w:val="none"/>
                <w:lang w:eastAsia="zh-CN"/>
              </w:rPr>
              <w:t>负责人</w:t>
            </w:r>
          </w:p>
        </w:tc>
        <w:tc>
          <w:tcPr>
            <w:tcW w:w="2597" w:type="dxa"/>
            <w:tcBorders>
              <w:top w:val="single" w:color="auto" w:sz="12" w:space="0"/>
              <w:bottom w:val="single" w:color="auto" w:sz="12" w:space="0"/>
            </w:tcBorders>
            <w:vAlign w:val="center"/>
          </w:tcPr>
          <w:p w14:paraId="1FBB39B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bottom w:val="single" w:color="auto" w:sz="12" w:space="0"/>
            </w:tcBorders>
            <w:vAlign w:val="center"/>
          </w:tcPr>
          <w:p w14:paraId="1AB88647">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en-US" w:eastAsia="zh-CN"/>
              </w:rPr>
              <w:t>设计</w:t>
            </w:r>
            <w:r>
              <w:rPr>
                <w:rFonts w:hint="eastAsia" w:ascii="方正仿宋_GB2312" w:hAnsi="方正仿宋_GB2312" w:eastAsia="方正仿宋_GB2312" w:cs="方正仿宋_GB2312"/>
                <w:color w:val="auto"/>
                <w:highlight w:val="none"/>
                <w:lang w:eastAsia="zh-CN"/>
              </w:rPr>
              <w:t>负责人身份证号码</w:t>
            </w:r>
          </w:p>
        </w:tc>
        <w:tc>
          <w:tcPr>
            <w:tcW w:w="1776" w:type="dxa"/>
            <w:tcBorders>
              <w:top w:val="single" w:color="auto" w:sz="12" w:space="0"/>
              <w:bottom w:val="single" w:color="auto" w:sz="12" w:space="0"/>
            </w:tcBorders>
            <w:vAlign w:val="center"/>
          </w:tcPr>
          <w:p w14:paraId="15B00C91">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39C15F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4A85163D">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en-US" w:eastAsia="zh-CN"/>
              </w:rPr>
              <w:t>设计</w:t>
            </w:r>
            <w:r>
              <w:rPr>
                <w:rFonts w:hint="eastAsia" w:ascii="方正仿宋_GB2312" w:hAnsi="方正仿宋_GB2312" w:eastAsia="方正仿宋_GB2312" w:cs="方正仿宋_GB2312"/>
                <w:color w:val="auto"/>
                <w:highlight w:val="none"/>
                <w:lang w:eastAsia="zh-CN"/>
              </w:rPr>
              <w:t>负责人执业资格</w:t>
            </w:r>
          </w:p>
        </w:tc>
        <w:tc>
          <w:tcPr>
            <w:tcW w:w="2597" w:type="dxa"/>
            <w:tcBorders>
              <w:top w:val="single" w:color="auto" w:sz="12" w:space="0"/>
              <w:bottom w:val="single" w:color="auto" w:sz="12" w:space="0"/>
            </w:tcBorders>
            <w:vAlign w:val="center"/>
          </w:tcPr>
          <w:p w14:paraId="1A8680E3">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bottom w:val="single" w:color="auto" w:sz="12" w:space="0"/>
            </w:tcBorders>
            <w:vAlign w:val="center"/>
          </w:tcPr>
          <w:p w14:paraId="1E5AA7C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en-US" w:eastAsia="zh-CN"/>
              </w:rPr>
              <w:t>设计</w:t>
            </w:r>
            <w:r>
              <w:rPr>
                <w:rFonts w:hint="eastAsia" w:ascii="方正仿宋_GB2312" w:hAnsi="方正仿宋_GB2312" w:eastAsia="方正仿宋_GB2312" w:cs="方正仿宋_GB2312"/>
                <w:color w:val="auto"/>
                <w:highlight w:val="none"/>
                <w:lang w:eastAsia="zh-CN"/>
              </w:rPr>
              <w:t>负责人注册编号</w:t>
            </w:r>
          </w:p>
        </w:tc>
        <w:tc>
          <w:tcPr>
            <w:tcW w:w="1776" w:type="dxa"/>
            <w:tcBorders>
              <w:top w:val="single" w:color="auto" w:sz="12" w:space="0"/>
              <w:bottom w:val="single" w:color="auto" w:sz="12" w:space="0"/>
            </w:tcBorders>
            <w:vAlign w:val="center"/>
          </w:tcPr>
          <w:p w14:paraId="2932A4C2">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2602F9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463482AC">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联系人</w:t>
            </w:r>
          </w:p>
        </w:tc>
        <w:tc>
          <w:tcPr>
            <w:tcW w:w="2597" w:type="dxa"/>
            <w:tcBorders>
              <w:top w:val="single" w:color="auto" w:sz="12" w:space="0"/>
              <w:bottom w:val="single" w:color="auto" w:sz="12" w:space="0"/>
            </w:tcBorders>
            <w:vAlign w:val="center"/>
          </w:tcPr>
          <w:p w14:paraId="3DF85BCE">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c>
          <w:tcPr>
            <w:tcW w:w="2729" w:type="dxa"/>
            <w:tcBorders>
              <w:top w:val="single" w:color="auto" w:sz="12" w:space="0"/>
              <w:bottom w:val="single" w:color="auto" w:sz="12" w:space="0"/>
            </w:tcBorders>
            <w:vAlign w:val="center"/>
          </w:tcPr>
          <w:p w14:paraId="080E29A5">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联系电话</w:t>
            </w:r>
          </w:p>
        </w:tc>
        <w:tc>
          <w:tcPr>
            <w:tcW w:w="1776" w:type="dxa"/>
            <w:tcBorders>
              <w:top w:val="single" w:color="auto" w:sz="12" w:space="0"/>
              <w:bottom w:val="single" w:color="auto" w:sz="12" w:space="0"/>
            </w:tcBorders>
            <w:vAlign w:val="center"/>
          </w:tcPr>
          <w:p w14:paraId="5BF9393A">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r w14:paraId="587A2D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70" w:type="dxa"/>
            <w:tcBorders>
              <w:top w:val="single" w:color="auto" w:sz="12" w:space="0"/>
              <w:bottom w:val="single" w:color="auto" w:sz="12" w:space="0"/>
            </w:tcBorders>
            <w:vAlign w:val="center"/>
          </w:tcPr>
          <w:p w14:paraId="3515A996">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eastAsia="zh-CN"/>
              </w:rPr>
              <w:t>企业</w:t>
            </w:r>
            <w:r>
              <w:rPr>
                <w:rFonts w:hint="eastAsia" w:ascii="方正仿宋_GB2312" w:hAnsi="方正仿宋_GB2312" w:eastAsia="方正仿宋_GB2312" w:cs="方正仿宋_GB2312"/>
                <w:color w:val="auto"/>
                <w:highlight w:val="none"/>
              </w:rPr>
              <w:t>成立时间</w:t>
            </w:r>
          </w:p>
        </w:tc>
        <w:tc>
          <w:tcPr>
            <w:tcW w:w="7102" w:type="dxa"/>
            <w:gridSpan w:val="3"/>
            <w:tcBorders>
              <w:top w:val="single" w:color="auto" w:sz="12" w:space="0"/>
              <w:bottom w:val="single" w:color="auto" w:sz="12" w:space="0"/>
            </w:tcBorders>
            <w:vAlign w:val="center"/>
          </w:tcPr>
          <w:p w14:paraId="3D83FD74">
            <w:pPr>
              <w:keepNext w:val="0"/>
              <w:keepLines w:val="0"/>
              <w:pageBreakBefore w:val="0"/>
              <w:widowControl w:val="0"/>
              <w:kinsoku/>
              <w:wordWrap/>
              <w:overflowPunct/>
              <w:topLinePunct/>
              <w:autoSpaceDE/>
              <w:autoSpaceDN/>
              <w:bidi w:val="0"/>
              <w:adjustRightInd w:val="0"/>
              <w:snapToGrid w:val="0"/>
              <w:spacing w:after="0"/>
              <w:jc w:val="center"/>
              <w:textAlignment w:val="auto"/>
              <w:rPr>
                <w:rFonts w:hint="eastAsia" w:ascii="方正仿宋_GB2312" w:hAnsi="方正仿宋_GB2312" w:eastAsia="方正仿宋_GB2312" w:cs="方正仿宋_GB2312"/>
                <w:color w:val="auto"/>
                <w:highlight w:val="none"/>
                <w:lang w:eastAsia="zh-CN"/>
              </w:rPr>
            </w:pPr>
          </w:p>
        </w:tc>
      </w:tr>
    </w:tbl>
    <w:p w14:paraId="62D6B419">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r>
    </w:p>
    <w:p w14:paraId="7601DD76">
      <w:pPr>
        <w:pStyle w:val="4"/>
        <w:keepNext/>
        <w:keepLines/>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eastAsia="zh-CN"/>
        </w:rPr>
        <w:t>二</w:t>
      </w:r>
      <w:r>
        <w:rPr>
          <w:rFonts w:hint="eastAsia" w:ascii="方正仿宋_GB2312" w:hAnsi="方正仿宋_GB2312" w:eastAsia="方正仿宋_GB2312" w:cs="方正仿宋_GB2312"/>
          <w:color w:val="auto"/>
          <w:highlight w:val="none"/>
        </w:rPr>
        <w:t>）投标人基本情况表</w:t>
      </w:r>
      <w:bookmarkEnd w:id="1565"/>
      <w:bookmarkEnd w:id="1566"/>
    </w:p>
    <w:tbl>
      <w:tblPr>
        <w:tblStyle w:val="28"/>
        <w:tblW w:w="94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1183"/>
        <w:gridCol w:w="592"/>
        <w:gridCol w:w="592"/>
        <w:gridCol w:w="1184"/>
        <w:gridCol w:w="769"/>
        <w:gridCol w:w="414"/>
        <w:gridCol w:w="592"/>
        <w:gridCol w:w="592"/>
        <w:gridCol w:w="1184"/>
      </w:tblGrid>
      <w:tr w14:paraId="108D7B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370" w:type="dxa"/>
            <w:tcBorders>
              <w:top w:val="single" w:color="auto" w:sz="12" w:space="0"/>
            </w:tcBorders>
            <w:vAlign w:val="center"/>
          </w:tcPr>
          <w:p w14:paraId="23D96D74">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投标人名称</w:t>
            </w:r>
          </w:p>
        </w:tc>
        <w:tc>
          <w:tcPr>
            <w:tcW w:w="7102" w:type="dxa"/>
            <w:gridSpan w:val="9"/>
            <w:tcBorders>
              <w:top w:val="single" w:color="auto" w:sz="12" w:space="0"/>
            </w:tcBorders>
            <w:vAlign w:val="center"/>
          </w:tcPr>
          <w:p w14:paraId="692FC218">
            <w:pPr>
              <w:topLinePunct/>
              <w:adjustRightInd w:val="0"/>
              <w:snapToGrid w:val="0"/>
              <w:jc w:val="center"/>
              <w:rPr>
                <w:rFonts w:hint="eastAsia" w:ascii="方正仿宋_GB2312" w:hAnsi="方正仿宋_GB2312" w:eastAsia="方正仿宋_GB2312" w:cs="方正仿宋_GB2312"/>
                <w:color w:val="auto"/>
                <w:highlight w:val="none"/>
              </w:rPr>
            </w:pPr>
          </w:p>
        </w:tc>
      </w:tr>
      <w:tr w14:paraId="3BA70B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2370" w:type="dxa"/>
            <w:vAlign w:val="center"/>
          </w:tcPr>
          <w:p w14:paraId="7334593A">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注册地址</w:t>
            </w:r>
          </w:p>
        </w:tc>
        <w:tc>
          <w:tcPr>
            <w:tcW w:w="3551" w:type="dxa"/>
            <w:gridSpan w:val="4"/>
            <w:vAlign w:val="center"/>
          </w:tcPr>
          <w:p w14:paraId="57F1B0D3">
            <w:pPr>
              <w:topLinePunct/>
              <w:adjustRightInd w:val="0"/>
              <w:snapToGrid w:val="0"/>
              <w:jc w:val="center"/>
              <w:rPr>
                <w:rFonts w:hint="eastAsia" w:ascii="方正仿宋_GB2312" w:hAnsi="方正仿宋_GB2312" w:eastAsia="方正仿宋_GB2312" w:cs="方正仿宋_GB2312"/>
                <w:color w:val="auto"/>
                <w:highlight w:val="none"/>
              </w:rPr>
            </w:pPr>
          </w:p>
        </w:tc>
        <w:tc>
          <w:tcPr>
            <w:tcW w:w="1775" w:type="dxa"/>
            <w:gridSpan w:val="3"/>
            <w:vAlign w:val="center"/>
          </w:tcPr>
          <w:p w14:paraId="6C3A2AEE">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邮政编码</w:t>
            </w:r>
          </w:p>
        </w:tc>
        <w:tc>
          <w:tcPr>
            <w:tcW w:w="1776" w:type="dxa"/>
            <w:gridSpan w:val="2"/>
            <w:vAlign w:val="center"/>
          </w:tcPr>
          <w:p w14:paraId="26B6FF96">
            <w:pPr>
              <w:topLinePunct/>
              <w:adjustRightInd w:val="0"/>
              <w:snapToGrid w:val="0"/>
              <w:jc w:val="center"/>
              <w:rPr>
                <w:rFonts w:hint="eastAsia" w:ascii="方正仿宋_GB2312" w:hAnsi="方正仿宋_GB2312" w:eastAsia="方正仿宋_GB2312" w:cs="方正仿宋_GB2312"/>
                <w:color w:val="auto"/>
                <w:highlight w:val="none"/>
              </w:rPr>
            </w:pPr>
          </w:p>
        </w:tc>
      </w:tr>
      <w:tr w14:paraId="09760F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2370" w:type="dxa"/>
            <w:vMerge w:val="restart"/>
            <w:vAlign w:val="center"/>
          </w:tcPr>
          <w:p w14:paraId="17163373">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联系方式</w:t>
            </w:r>
          </w:p>
        </w:tc>
        <w:tc>
          <w:tcPr>
            <w:tcW w:w="1775" w:type="dxa"/>
            <w:gridSpan w:val="2"/>
            <w:vAlign w:val="center"/>
          </w:tcPr>
          <w:p w14:paraId="1AF5A752">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联系人</w:t>
            </w:r>
          </w:p>
        </w:tc>
        <w:tc>
          <w:tcPr>
            <w:tcW w:w="1776" w:type="dxa"/>
            <w:gridSpan w:val="2"/>
            <w:vAlign w:val="center"/>
          </w:tcPr>
          <w:p w14:paraId="73F76CD1">
            <w:pPr>
              <w:topLinePunct/>
              <w:adjustRightInd w:val="0"/>
              <w:snapToGrid w:val="0"/>
              <w:jc w:val="center"/>
              <w:rPr>
                <w:rFonts w:hint="eastAsia" w:ascii="方正仿宋_GB2312" w:hAnsi="方正仿宋_GB2312" w:eastAsia="方正仿宋_GB2312" w:cs="方正仿宋_GB2312"/>
                <w:color w:val="auto"/>
                <w:highlight w:val="none"/>
              </w:rPr>
            </w:pPr>
          </w:p>
        </w:tc>
        <w:tc>
          <w:tcPr>
            <w:tcW w:w="1775" w:type="dxa"/>
            <w:gridSpan w:val="3"/>
            <w:vAlign w:val="center"/>
          </w:tcPr>
          <w:p w14:paraId="43B3BEE8">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电话</w:t>
            </w:r>
          </w:p>
        </w:tc>
        <w:tc>
          <w:tcPr>
            <w:tcW w:w="1776" w:type="dxa"/>
            <w:gridSpan w:val="2"/>
            <w:vAlign w:val="center"/>
          </w:tcPr>
          <w:p w14:paraId="4943C00F">
            <w:pPr>
              <w:topLinePunct/>
              <w:adjustRightInd w:val="0"/>
              <w:snapToGrid w:val="0"/>
              <w:jc w:val="center"/>
              <w:rPr>
                <w:rFonts w:hint="eastAsia" w:ascii="方正仿宋_GB2312" w:hAnsi="方正仿宋_GB2312" w:eastAsia="方正仿宋_GB2312" w:cs="方正仿宋_GB2312"/>
                <w:color w:val="auto"/>
                <w:highlight w:val="none"/>
              </w:rPr>
            </w:pPr>
          </w:p>
        </w:tc>
      </w:tr>
      <w:tr w14:paraId="528FAC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2370" w:type="dxa"/>
            <w:vMerge w:val="continue"/>
            <w:vAlign w:val="center"/>
          </w:tcPr>
          <w:p w14:paraId="4C318E15">
            <w:pPr>
              <w:topLinePunct/>
              <w:adjustRightInd w:val="0"/>
              <w:snapToGrid w:val="0"/>
              <w:jc w:val="center"/>
              <w:rPr>
                <w:rFonts w:hint="eastAsia" w:ascii="方正仿宋_GB2312" w:hAnsi="方正仿宋_GB2312" w:eastAsia="方正仿宋_GB2312" w:cs="方正仿宋_GB2312"/>
                <w:color w:val="auto"/>
                <w:highlight w:val="none"/>
              </w:rPr>
            </w:pPr>
          </w:p>
        </w:tc>
        <w:tc>
          <w:tcPr>
            <w:tcW w:w="1775" w:type="dxa"/>
            <w:gridSpan w:val="2"/>
            <w:vAlign w:val="center"/>
          </w:tcPr>
          <w:p w14:paraId="130D7D01">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传真</w:t>
            </w:r>
          </w:p>
        </w:tc>
        <w:tc>
          <w:tcPr>
            <w:tcW w:w="1776" w:type="dxa"/>
            <w:gridSpan w:val="2"/>
            <w:vAlign w:val="center"/>
          </w:tcPr>
          <w:p w14:paraId="69757E9A">
            <w:pPr>
              <w:topLinePunct/>
              <w:adjustRightInd w:val="0"/>
              <w:snapToGrid w:val="0"/>
              <w:jc w:val="center"/>
              <w:rPr>
                <w:rFonts w:hint="eastAsia" w:ascii="方正仿宋_GB2312" w:hAnsi="方正仿宋_GB2312" w:eastAsia="方正仿宋_GB2312" w:cs="方正仿宋_GB2312"/>
                <w:color w:val="auto"/>
                <w:highlight w:val="none"/>
              </w:rPr>
            </w:pPr>
          </w:p>
        </w:tc>
        <w:tc>
          <w:tcPr>
            <w:tcW w:w="1775" w:type="dxa"/>
            <w:gridSpan w:val="3"/>
            <w:vAlign w:val="center"/>
          </w:tcPr>
          <w:p w14:paraId="625BE9D7">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网址</w:t>
            </w:r>
          </w:p>
        </w:tc>
        <w:tc>
          <w:tcPr>
            <w:tcW w:w="1776" w:type="dxa"/>
            <w:gridSpan w:val="2"/>
            <w:vAlign w:val="center"/>
          </w:tcPr>
          <w:p w14:paraId="215C7565">
            <w:pPr>
              <w:topLinePunct/>
              <w:adjustRightInd w:val="0"/>
              <w:snapToGrid w:val="0"/>
              <w:jc w:val="center"/>
              <w:rPr>
                <w:rFonts w:hint="eastAsia" w:ascii="方正仿宋_GB2312" w:hAnsi="方正仿宋_GB2312" w:eastAsia="方正仿宋_GB2312" w:cs="方正仿宋_GB2312"/>
                <w:color w:val="auto"/>
                <w:highlight w:val="none"/>
              </w:rPr>
            </w:pPr>
          </w:p>
        </w:tc>
      </w:tr>
      <w:tr w14:paraId="311CFF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2370" w:type="dxa"/>
            <w:vAlign w:val="center"/>
          </w:tcPr>
          <w:p w14:paraId="024BA6D0">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组织结构</w:t>
            </w:r>
          </w:p>
        </w:tc>
        <w:tc>
          <w:tcPr>
            <w:tcW w:w="7102" w:type="dxa"/>
            <w:gridSpan w:val="9"/>
            <w:vAlign w:val="center"/>
          </w:tcPr>
          <w:p w14:paraId="1D3A1725">
            <w:pPr>
              <w:topLinePunct/>
              <w:adjustRightInd w:val="0"/>
              <w:snapToGrid w:val="0"/>
              <w:jc w:val="center"/>
              <w:rPr>
                <w:rFonts w:hint="eastAsia" w:ascii="方正仿宋_GB2312" w:hAnsi="方正仿宋_GB2312" w:eastAsia="方正仿宋_GB2312" w:cs="方正仿宋_GB2312"/>
                <w:color w:val="auto"/>
                <w:highlight w:val="none"/>
              </w:rPr>
            </w:pPr>
          </w:p>
        </w:tc>
      </w:tr>
      <w:tr w14:paraId="3C8880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370" w:type="dxa"/>
            <w:vAlign w:val="center"/>
          </w:tcPr>
          <w:p w14:paraId="62DA2A9E">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w:t>
            </w:r>
          </w:p>
        </w:tc>
        <w:tc>
          <w:tcPr>
            <w:tcW w:w="1183" w:type="dxa"/>
            <w:vAlign w:val="center"/>
          </w:tcPr>
          <w:p w14:paraId="6AC46EE3">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w:t>
            </w:r>
          </w:p>
        </w:tc>
        <w:tc>
          <w:tcPr>
            <w:tcW w:w="1184" w:type="dxa"/>
            <w:gridSpan w:val="2"/>
            <w:vAlign w:val="center"/>
          </w:tcPr>
          <w:p w14:paraId="0A4A4C7C">
            <w:pPr>
              <w:topLinePunct/>
              <w:adjustRightInd w:val="0"/>
              <w:snapToGrid w:val="0"/>
              <w:jc w:val="center"/>
              <w:rPr>
                <w:rFonts w:hint="eastAsia" w:ascii="方正仿宋_GB2312" w:hAnsi="方正仿宋_GB2312" w:eastAsia="方正仿宋_GB2312" w:cs="方正仿宋_GB2312"/>
                <w:color w:val="auto"/>
                <w:highlight w:val="none"/>
              </w:rPr>
            </w:pPr>
          </w:p>
        </w:tc>
        <w:tc>
          <w:tcPr>
            <w:tcW w:w="1184" w:type="dxa"/>
            <w:vAlign w:val="center"/>
          </w:tcPr>
          <w:p w14:paraId="27B8E4E2">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技术职称</w:t>
            </w:r>
          </w:p>
        </w:tc>
        <w:tc>
          <w:tcPr>
            <w:tcW w:w="1183" w:type="dxa"/>
            <w:gridSpan w:val="2"/>
            <w:vAlign w:val="center"/>
          </w:tcPr>
          <w:p w14:paraId="2DB44449">
            <w:pPr>
              <w:topLinePunct/>
              <w:adjustRightInd w:val="0"/>
              <w:snapToGrid w:val="0"/>
              <w:jc w:val="center"/>
              <w:rPr>
                <w:rFonts w:hint="eastAsia" w:ascii="方正仿宋_GB2312" w:hAnsi="方正仿宋_GB2312" w:eastAsia="方正仿宋_GB2312" w:cs="方正仿宋_GB2312"/>
                <w:color w:val="auto"/>
                <w:highlight w:val="none"/>
              </w:rPr>
            </w:pPr>
          </w:p>
        </w:tc>
        <w:tc>
          <w:tcPr>
            <w:tcW w:w="1184" w:type="dxa"/>
            <w:gridSpan w:val="2"/>
            <w:vAlign w:val="center"/>
          </w:tcPr>
          <w:p w14:paraId="41F2657C">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电话</w:t>
            </w:r>
          </w:p>
        </w:tc>
        <w:tc>
          <w:tcPr>
            <w:tcW w:w="1184" w:type="dxa"/>
            <w:vAlign w:val="center"/>
          </w:tcPr>
          <w:p w14:paraId="096A1DC3">
            <w:pPr>
              <w:topLinePunct/>
              <w:adjustRightInd w:val="0"/>
              <w:snapToGrid w:val="0"/>
              <w:jc w:val="center"/>
              <w:rPr>
                <w:rFonts w:hint="eastAsia" w:ascii="方正仿宋_GB2312" w:hAnsi="方正仿宋_GB2312" w:eastAsia="方正仿宋_GB2312" w:cs="方正仿宋_GB2312"/>
                <w:color w:val="auto"/>
                <w:highlight w:val="none"/>
              </w:rPr>
            </w:pPr>
          </w:p>
        </w:tc>
      </w:tr>
      <w:tr w14:paraId="227A2D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370" w:type="dxa"/>
            <w:vAlign w:val="center"/>
          </w:tcPr>
          <w:p w14:paraId="208D0AD0">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技术负责人</w:t>
            </w:r>
          </w:p>
        </w:tc>
        <w:tc>
          <w:tcPr>
            <w:tcW w:w="1183" w:type="dxa"/>
            <w:vAlign w:val="center"/>
          </w:tcPr>
          <w:p w14:paraId="76043AAD">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姓名</w:t>
            </w:r>
          </w:p>
        </w:tc>
        <w:tc>
          <w:tcPr>
            <w:tcW w:w="1184" w:type="dxa"/>
            <w:gridSpan w:val="2"/>
            <w:vAlign w:val="center"/>
          </w:tcPr>
          <w:p w14:paraId="0A2AE635">
            <w:pPr>
              <w:topLinePunct/>
              <w:adjustRightInd w:val="0"/>
              <w:snapToGrid w:val="0"/>
              <w:jc w:val="center"/>
              <w:rPr>
                <w:rFonts w:hint="eastAsia" w:ascii="方正仿宋_GB2312" w:hAnsi="方正仿宋_GB2312" w:eastAsia="方正仿宋_GB2312" w:cs="方正仿宋_GB2312"/>
                <w:color w:val="auto"/>
                <w:highlight w:val="none"/>
              </w:rPr>
            </w:pPr>
          </w:p>
        </w:tc>
        <w:tc>
          <w:tcPr>
            <w:tcW w:w="1184" w:type="dxa"/>
            <w:vAlign w:val="center"/>
          </w:tcPr>
          <w:p w14:paraId="4E0C2C8C">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技术职称</w:t>
            </w:r>
          </w:p>
        </w:tc>
        <w:tc>
          <w:tcPr>
            <w:tcW w:w="1183" w:type="dxa"/>
            <w:gridSpan w:val="2"/>
            <w:vAlign w:val="center"/>
          </w:tcPr>
          <w:p w14:paraId="56BDCB72">
            <w:pPr>
              <w:topLinePunct/>
              <w:adjustRightInd w:val="0"/>
              <w:snapToGrid w:val="0"/>
              <w:jc w:val="center"/>
              <w:rPr>
                <w:rFonts w:hint="eastAsia" w:ascii="方正仿宋_GB2312" w:hAnsi="方正仿宋_GB2312" w:eastAsia="方正仿宋_GB2312" w:cs="方正仿宋_GB2312"/>
                <w:color w:val="auto"/>
                <w:highlight w:val="none"/>
              </w:rPr>
            </w:pPr>
          </w:p>
        </w:tc>
        <w:tc>
          <w:tcPr>
            <w:tcW w:w="1184" w:type="dxa"/>
            <w:gridSpan w:val="2"/>
            <w:vAlign w:val="center"/>
          </w:tcPr>
          <w:p w14:paraId="22DA3AA8">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电话</w:t>
            </w:r>
          </w:p>
        </w:tc>
        <w:tc>
          <w:tcPr>
            <w:tcW w:w="1184" w:type="dxa"/>
            <w:vAlign w:val="center"/>
          </w:tcPr>
          <w:p w14:paraId="6C098432">
            <w:pPr>
              <w:topLinePunct/>
              <w:adjustRightInd w:val="0"/>
              <w:snapToGrid w:val="0"/>
              <w:jc w:val="center"/>
              <w:rPr>
                <w:rFonts w:hint="eastAsia" w:ascii="方正仿宋_GB2312" w:hAnsi="方正仿宋_GB2312" w:eastAsia="方正仿宋_GB2312" w:cs="方正仿宋_GB2312"/>
                <w:color w:val="auto"/>
                <w:highlight w:val="none"/>
              </w:rPr>
            </w:pPr>
          </w:p>
        </w:tc>
      </w:tr>
      <w:tr w14:paraId="470450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370" w:type="dxa"/>
            <w:vAlign w:val="center"/>
          </w:tcPr>
          <w:p w14:paraId="51217D72">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成立时间</w:t>
            </w:r>
          </w:p>
        </w:tc>
        <w:tc>
          <w:tcPr>
            <w:tcW w:w="3551" w:type="dxa"/>
            <w:gridSpan w:val="4"/>
            <w:vAlign w:val="center"/>
          </w:tcPr>
          <w:p w14:paraId="1F9C7E19">
            <w:pPr>
              <w:topLinePunct/>
              <w:adjustRightInd w:val="0"/>
              <w:snapToGrid w:val="0"/>
              <w:jc w:val="center"/>
              <w:rPr>
                <w:rFonts w:hint="eastAsia" w:ascii="方正仿宋_GB2312" w:hAnsi="方正仿宋_GB2312" w:eastAsia="方正仿宋_GB2312" w:cs="方正仿宋_GB2312"/>
                <w:color w:val="auto"/>
                <w:highlight w:val="none"/>
              </w:rPr>
            </w:pPr>
          </w:p>
        </w:tc>
        <w:tc>
          <w:tcPr>
            <w:tcW w:w="3551" w:type="dxa"/>
            <w:gridSpan w:val="5"/>
            <w:vAlign w:val="center"/>
          </w:tcPr>
          <w:p w14:paraId="478CC6DE">
            <w:pPr>
              <w:topLinePunct/>
              <w:adjustRightInd w:val="0"/>
              <w:snapToGrid w:val="0"/>
              <w:ind w:firstLine="105" w:firstLineChars="5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员工总人数：______________</w:t>
            </w:r>
          </w:p>
        </w:tc>
      </w:tr>
      <w:tr w14:paraId="4CDF01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2370" w:type="dxa"/>
            <w:vAlign w:val="center"/>
          </w:tcPr>
          <w:p w14:paraId="499ABCA2">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企业资质等级</w:t>
            </w:r>
          </w:p>
        </w:tc>
        <w:tc>
          <w:tcPr>
            <w:tcW w:w="3551" w:type="dxa"/>
            <w:gridSpan w:val="4"/>
            <w:vAlign w:val="center"/>
          </w:tcPr>
          <w:p w14:paraId="2A38C257">
            <w:pPr>
              <w:topLinePunct/>
              <w:adjustRightInd w:val="0"/>
              <w:snapToGrid w:val="0"/>
              <w:jc w:val="center"/>
              <w:rPr>
                <w:rFonts w:hint="eastAsia" w:ascii="方正仿宋_GB2312" w:hAnsi="方正仿宋_GB2312" w:eastAsia="方正仿宋_GB2312" w:cs="方正仿宋_GB2312"/>
                <w:color w:val="auto"/>
                <w:highlight w:val="none"/>
              </w:rPr>
            </w:pPr>
          </w:p>
        </w:tc>
        <w:tc>
          <w:tcPr>
            <w:tcW w:w="769" w:type="dxa"/>
            <w:vMerge w:val="restart"/>
            <w:vAlign w:val="center"/>
          </w:tcPr>
          <w:p w14:paraId="6D18A35D">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其</w:t>
            </w:r>
          </w:p>
          <w:p w14:paraId="6804222E">
            <w:pPr>
              <w:topLinePunct/>
              <w:adjustRightInd w:val="0"/>
              <w:snapToGrid w:val="0"/>
              <w:jc w:val="center"/>
              <w:rPr>
                <w:rFonts w:hint="eastAsia" w:ascii="方正仿宋_GB2312" w:hAnsi="方正仿宋_GB2312" w:eastAsia="方正仿宋_GB2312" w:cs="方正仿宋_GB2312"/>
                <w:color w:val="auto"/>
                <w:highlight w:val="none"/>
              </w:rPr>
            </w:pPr>
          </w:p>
          <w:p w14:paraId="2ACBB7B8">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中</w:t>
            </w:r>
          </w:p>
        </w:tc>
        <w:tc>
          <w:tcPr>
            <w:tcW w:w="1598" w:type="dxa"/>
            <w:gridSpan w:val="3"/>
            <w:vAlign w:val="center"/>
          </w:tcPr>
          <w:p w14:paraId="484004E9">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项目负责人</w:t>
            </w:r>
          </w:p>
        </w:tc>
        <w:tc>
          <w:tcPr>
            <w:tcW w:w="1184" w:type="dxa"/>
            <w:vAlign w:val="center"/>
          </w:tcPr>
          <w:p w14:paraId="1AA3F5BC">
            <w:pPr>
              <w:topLinePunct/>
              <w:adjustRightInd w:val="0"/>
              <w:snapToGrid w:val="0"/>
              <w:jc w:val="center"/>
              <w:rPr>
                <w:rFonts w:hint="eastAsia" w:ascii="方正仿宋_GB2312" w:hAnsi="方正仿宋_GB2312" w:eastAsia="方正仿宋_GB2312" w:cs="方正仿宋_GB2312"/>
                <w:color w:val="auto"/>
                <w:highlight w:val="none"/>
              </w:rPr>
            </w:pPr>
          </w:p>
        </w:tc>
      </w:tr>
      <w:tr w14:paraId="20D2EE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2370" w:type="dxa"/>
            <w:vAlign w:val="center"/>
          </w:tcPr>
          <w:p w14:paraId="16069DE2">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营业执照号</w:t>
            </w:r>
          </w:p>
        </w:tc>
        <w:tc>
          <w:tcPr>
            <w:tcW w:w="3551" w:type="dxa"/>
            <w:gridSpan w:val="4"/>
            <w:vAlign w:val="center"/>
          </w:tcPr>
          <w:p w14:paraId="6CCE97BA">
            <w:pPr>
              <w:topLinePunct/>
              <w:adjustRightInd w:val="0"/>
              <w:snapToGrid w:val="0"/>
              <w:jc w:val="center"/>
              <w:rPr>
                <w:rFonts w:hint="eastAsia" w:ascii="方正仿宋_GB2312" w:hAnsi="方正仿宋_GB2312" w:eastAsia="方正仿宋_GB2312" w:cs="方正仿宋_GB2312"/>
                <w:color w:val="auto"/>
                <w:highlight w:val="none"/>
              </w:rPr>
            </w:pPr>
          </w:p>
        </w:tc>
        <w:tc>
          <w:tcPr>
            <w:tcW w:w="769" w:type="dxa"/>
            <w:vMerge w:val="continue"/>
            <w:vAlign w:val="center"/>
          </w:tcPr>
          <w:p w14:paraId="06C77F7B">
            <w:pPr>
              <w:topLinePunct/>
              <w:adjustRightInd w:val="0"/>
              <w:snapToGrid w:val="0"/>
              <w:jc w:val="center"/>
              <w:rPr>
                <w:rFonts w:hint="eastAsia" w:ascii="方正仿宋_GB2312" w:hAnsi="方正仿宋_GB2312" w:eastAsia="方正仿宋_GB2312" w:cs="方正仿宋_GB2312"/>
                <w:color w:val="auto"/>
                <w:highlight w:val="none"/>
              </w:rPr>
            </w:pPr>
          </w:p>
        </w:tc>
        <w:tc>
          <w:tcPr>
            <w:tcW w:w="1598" w:type="dxa"/>
            <w:gridSpan w:val="3"/>
            <w:vAlign w:val="center"/>
          </w:tcPr>
          <w:p w14:paraId="38C85D9B">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高级职称人员</w:t>
            </w:r>
          </w:p>
        </w:tc>
        <w:tc>
          <w:tcPr>
            <w:tcW w:w="1184" w:type="dxa"/>
            <w:vAlign w:val="center"/>
          </w:tcPr>
          <w:p w14:paraId="11E3784F">
            <w:pPr>
              <w:topLinePunct/>
              <w:adjustRightInd w:val="0"/>
              <w:snapToGrid w:val="0"/>
              <w:jc w:val="center"/>
              <w:rPr>
                <w:rFonts w:hint="eastAsia" w:ascii="方正仿宋_GB2312" w:hAnsi="方正仿宋_GB2312" w:eastAsia="方正仿宋_GB2312" w:cs="方正仿宋_GB2312"/>
                <w:color w:val="auto"/>
                <w:highlight w:val="none"/>
              </w:rPr>
            </w:pPr>
          </w:p>
        </w:tc>
      </w:tr>
      <w:tr w14:paraId="2C5443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2370" w:type="dxa"/>
            <w:vAlign w:val="center"/>
          </w:tcPr>
          <w:p w14:paraId="48887C1D">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注册资金</w:t>
            </w:r>
          </w:p>
        </w:tc>
        <w:tc>
          <w:tcPr>
            <w:tcW w:w="3551" w:type="dxa"/>
            <w:gridSpan w:val="4"/>
            <w:vAlign w:val="center"/>
          </w:tcPr>
          <w:p w14:paraId="42255AF4">
            <w:pPr>
              <w:topLinePunct/>
              <w:adjustRightInd w:val="0"/>
              <w:snapToGrid w:val="0"/>
              <w:jc w:val="center"/>
              <w:rPr>
                <w:rFonts w:hint="eastAsia" w:ascii="方正仿宋_GB2312" w:hAnsi="方正仿宋_GB2312" w:eastAsia="方正仿宋_GB2312" w:cs="方正仿宋_GB2312"/>
                <w:color w:val="auto"/>
                <w:highlight w:val="none"/>
              </w:rPr>
            </w:pPr>
          </w:p>
        </w:tc>
        <w:tc>
          <w:tcPr>
            <w:tcW w:w="769" w:type="dxa"/>
            <w:vMerge w:val="continue"/>
            <w:vAlign w:val="center"/>
          </w:tcPr>
          <w:p w14:paraId="0CD004B9">
            <w:pPr>
              <w:topLinePunct/>
              <w:adjustRightInd w:val="0"/>
              <w:snapToGrid w:val="0"/>
              <w:jc w:val="center"/>
              <w:rPr>
                <w:rFonts w:hint="eastAsia" w:ascii="方正仿宋_GB2312" w:hAnsi="方正仿宋_GB2312" w:eastAsia="方正仿宋_GB2312" w:cs="方正仿宋_GB2312"/>
                <w:color w:val="auto"/>
                <w:highlight w:val="none"/>
              </w:rPr>
            </w:pPr>
          </w:p>
        </w:tc>
        <w:tc>
          <w:tcPr>
            <w:tcW w:w="1598" w:type="dxa"/>
            <w:gridSpan w:val="3"/>
            <w:vAlign w:val="center"/>
          </w:tcPr>
          <w:p w14:paraId="59954353">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中级职称人员</w:t>
            </w:r>
          </w:p>
        </w:tc>
        <w:tc>
          <w:tcPr>
            <w:tcW w:w="1184" w:type="dxa"/>
            <w:vAlign w:val="center"/>
          </w:tcPr>
          <w:p w14:paraId="234157AE">
            <w:pPr>
              <w:topLinePunct/>
              <w:adjustRightInd w:val="0"/>
              <w:snapToGrid w:val="0"/>
              <w:jc w:val="center"/>
              <w:rPr>
                <w:rFonts w:hint="eastAsia" w:ascii="方正仿宋_GB2312" w:hAnsi="方正仿宋_GB2312" w:eastAsia="方正仿宋_GB2312" w:cs="方正仿宋_GB2312"/>
                <w:color w:val="auto"/>
                <w:highlight w:val="none"/>
              </w:rPr>
            </w:pPr>
          </w:p>
        </w:tc>
      </w:tr>
      <w:tr w14:paraId="536DDA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2370" w:type="dxa"/>
            <w:vAlign w:val="center"/>
          </w:tcPr>
          <w:p w14:paraId="34B409D0">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开户银行</w:t>
            </w:r>
          </w:p>
        </w:tc>
        <w:tc>
          <w:tcPr>
            <w:tcW w:w="3551" w:type="dxa"/>
            <w:gridSpan w:val="4"/>
            <w:vAlign w:val="center"/>
          </w:tcPr>
          <w:p w14:paraId="0563232B">
            <w:pPr>
              <w:topLinePunct/>
              <w:adjustRightInd w:val="0"/>
              <w:snapToGrid w:val="0"/>
              <w:jc w:val="center"/>
              <w:rPr>
                <w:rFonts w:hint="eastAsia" w:ascii="方正仿宋_GB2312" w:hAnsi="方正仿宋_GB2312" w:eastAsia="方正仿宋_GB2312" w:cs="方正仿宋_GB2312"/>
                <w:color w:val="auto"/>
                <w:highlight w:val="none"/>
              </w:rPr>
            </w:pPr>
          </w:p>
        </w:tc>
        <w:tc>
          <w:tcPr>
            <w:tcW w:w="769" w:type="dxa"/>
            <w:vMerge w:val="continue"/>
            <w:vAlign w:val="center"/>
          </w:tcPr>
          <w:p w14:paraId="6BBC1474">
            <w:pPr>
              <w:topLinePunct/>
              <w:adjustRightInd w:val="0"/>
              <w:snapToGrid w:val="0"/>
              <w:jc w:val="center"/>
              <w:rPr>
                <w:rFonts w:hint="eastAsia" w:ascii="方正仿宋_GB2312" w:hAnsi="方正仿宋_GB2312" w:eastAsia="方正仿宋_GB2312" w:cs="方正仿宋_GB2312"/>
                <w:color w:val="auto"/>
                <w:highlight w:val="none"/>
              </w:rPr>
            </w:pPr>
          </w:p>
        </w:tc>
        <w:tc>
          <w:tcPr>
            <w:tcW w:w="1598" w:type="dxa"/>
            <w:gridSpan w:val="3"/>
            <w:vAlign w:val="center"/>
          </w:tcPr>
          <w:p w14:paraId="7ACD3DB9">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初级职称人员</w:t>
            </w:r>
          </w:p>
        </w:tc>
        <w:tc>
          <w:tcPr>
            <w:tcW w:w="1184" w:type="dxa"/>
            <w:vAlign w:val="center"/>
          </w:tcPr>
          <w:p w14:paraId="05843915">
            <w:pPr>
              <w:topLinePunct/>
              <w:adjustRightInd w:val="0"/>
              <w:snapToGrid w:val="0"/>
              <w:jc w:val="center"/>
              <w:rPr>
                <w:rFonts w:hint="eastAsia" w:ascii="方正仿宋_GB2312" w:hAnsi="方正仿宋_GB2312" w:eastAsia="方正仿宋_GB2312" w:cs="方正仿宋_GB2312"/>
                <w:color w:val="auto"/>
                <w:highlight w:val="none"/>
              </w:rPr>
            </w:pPr>
          </w:p>
        </w:tc>
      </w:tr>
      <w:tr w14:paraId="1F01BF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2370" w:type="dxa"/>
            <w:vAlign w:val="center"/>
          </w:tcPr>
          <w:p w14:paraId="31F547DC">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账号</w:t>
            </w:r>
          </w:p>
        </w:tc>
        <w:tc>
          <w:tcPr>
            <w:tcW w:w="3551" w:type="dxa"/>
            <w:gridSpan w:val="4"/>
            <w:vAlign w:val="center"/>
          </w:tcPr>
          <w:p w14:paraId="37189549">
            <w:pPr>
              <w:topLinePunct/>
              <w:adjustRightInd w:val="0"/>
              <w:snapToGrid w:val="0"/>
              <w:jc w:val="center"/>
              <w:rPr>
                <w:rFonts w:hint="eastAsia" w:ascii="方正仿宋_GB2312" w:hAnsi="方正仿宋_GB2312" w:eastAsia="方正仿宋_GB2312" w:cs="方正仿宋_GB2312"/>
                <w:color w:val="auto"/>
                <w:highlight w:val="none"/>
              </w:rPr>
            </w:pPr>
          </w:p>
        </w:tc>
        <w:tc>
          <w:tcPr>
            <w:tcW w:w="769" w:type="dxa"/>
            <w:vMerge w:val="continue"/>
            <w:vAlign w:val="center"/>
          </w:tcPr>
          <w:p w14:paraId="0164DE51">
            <w:pPr>
              <w:topLinePunct/>
              <w:adjustRightInd w:val="0"/>
              <w:snapToGrid w:val="0"/>
              <w:jc w:val="center"/>
              <w:rPr>
                <w:rFonts w:hint="eastAsia" w:ascii="方正仿宋_GB2312" w:hAnsi="方正仿宋_GB2312" w:eastAsia="方正仿宋_GB2312" w:cs="方正仿宋_GB2312"/>
                <w:color w:val="auto"/>
                <w:highlight w:val="none"/>
              </w:rPr>
            </w:pPr>
          </w:p>
        </w:tc>
        <w:tc>
          <w:tcPr>
            <w:tcW w:w="1598" w:type="dxa"/>
            <w:gridSpan w:val="3"/>
            <w:vAlign w:val="center"/>
          </w:tcPr>
          <w:p w14:paraId="20C7929C">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技工</w:t>
            </w:r>
          </w:p>
        </w:tc>
        <w:tc>
          <w:tcPr>
            <w:tcW w:w="1184" w:type="dxa"/>
            <w:vAlign w:val="center"/>
          </w:tcPr>
          <w:p w14:paraId="04EFB7BA">
            <w:pPr>
              <w:topLinePunct/>
              <w:adjustRightInd w:val="0"/>
              <w:snapToGrid w:val="0"/>
              <w:jc w:val="center"/>
              <w:rPr>
                <w:rFonts w:hint="eastAsia" w:ascii="方正仿宋_GB2312" w:hAnsi="方正仿宋_GB2312" w:eastAsia="方正仿宋_GB2312" w:cs="方正仿宋_GB2312"/>
                <w:color w:val="auto"/>
                <w:highlight w:val="none"/>
              </w:rPr>
            </w:pPr>
          </w:p>
        </w:tc>
      </w:tr>
      <w:tr w14:paraId="64CBA1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2370" w:type="dxa"/>
            <w:vAlign w:val="center"/>
          </w:tcPr>
          <w:p w14:paraId="4E24DA76">
            <w:pPr>
              <w:topLinePunct/>
              <w:adjustRightInd w:val="0"/>
              <w:snapToGrid w:val="0"/>
              <w:ind w:firstLine="210" w:firstLineChars="10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经营范围</w:t>
            </w:r>
          </w:p>
        </w:tc>
        <w:tc>
          <w:tcPr>
            <w:tcW w:w="7102" w:type="dxa"/>
            <w:gridSpan w:val="9"/>
            <w:vAlign w:val="center"/>
          </w:tcPr>
          <w:p w14:paraId="6B9CC7EA">
            <w:pPr>
              <w:topLinePunct/>
              <w:adjustRightInd w:val="0"/>
              <w:snapToGrid w:val="0"/>
              <w:jc w:val="center"/>
              <w:rPr>
                <w:rFonts w:hint="eastAsia" w:ascii="方正仿宋_GB2312" w:hAnsi="方正仿宋_GB2312" w:eastAsia="方正仿宋_GB2312" w:cs="方正仿宋_GB2312"/>
                <w:color w:val="auto"/>
                <w:highlight w:val="none"/>
              </w:rPr>
            </w:pPr>
          </w:p>
        </w:tc>
      </w:tr>
      <w:tr w14:paraId="78E9F6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70" w:type="dxa"/>
            <w:tcBorders>
              <w:bottom w:val="single" w:color="auto" w:sz="12" w:space="0"/>
            </w:tcBorders>
            <w:vAlign w:val="center"/>
          </w:tcPr>
          <w:p w14:paraId="7F8B7543">
            <w:pPr>
              <w:topLinePunct/>
              <w:adjustRightInd w:val="0"/>
              <w:snapToGrid w:val="0"/>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备注</w:t>
            </w:r>
          </w:p>
        </w:tc>
        <w:tc>
          <w:tcPr>
            <w:tcW w:w="7102" w:type="dxa"/>
            <w:gridSpan w:val="9"/>
            <w:tcBorders>
              <w:bottom w:val="single" w:color="auto" w:sz="12" w:space="0"/>
            </w:tcBorders>
            <w:vAlign w:val="center"/>
          </w:tcPr>
          <w:p w14:paraId="35D639A5">
            <w:pPr>
              <w:topLinePunct/>
              <w:adjustRightInd w:val="0"/>
              <w:snapToGrid w:val="0"/>
              <w:jc w:val="center"/>
              <w:rPr>
                <w:rFonts w:hint="eastAsia" w:ascii="方正仿宋_GB2312" w:hAnsi="方正仿宋_GB2312" w:eastAsia="方正仿宋_GB2312" w:cs="方正仿宋_GB2312"/>
                <w:color w:val="auto"/>
                <w:highlight w:val="none"/>
              </w:rPr>
            </w:pPr>
          </w:p>
        </w:tc>
      </w:tr>
    </w:tbl>
    <w:p w14:paraId="6F59E68D">
      <w:pPr>
        <w:pStyle w:val="65"/>
        <w:adjustRightInd w:val="0"/>
        <w:snapToGrid w:val="0"/>
        <w:spacing w:before="120" w:beforeLines="50"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zh-TW"/>
        </w:rPr>
        <w:t>备注：</w:t>
      </w:r>
      <w:r>
        <w:rPr>
          <w:rFonts w:hint="eastAsia" w:ascii="方正仿宋_GB2312" w:hAnsi="方正仿宋_GB2312" w:eastAsia="方正仿宋_GB2312" w:cs="方正仿宋_GB2312"/>
          <w:color w:val="auto"/>
          <w:highlight w:val="none"/>
        </w:rPr>
        <w:t>1.本表后须附投标人营业执照副本原件扫描件（如为联合体则各成员均须提供）、资质证书副本原件扫描件（如为联合体则</w:t>
      </w:r>
      <w:r>
        <w:rPr>
          <w:rFonts w:hint="eastAsia" w:ascii="方正仿宋_GB2312" w:hAnsi="方正仿宋_GB2312" w:eastAsia="方正仿宋_GB2312" w:cs="方正仿宋_GB2312"/>
          <w:color w:val="auto"/>
          <w:highlight w:val="none"/>
          <w:lang w:eastAsia="zh-CN"/>
        </w:rPr>
        <w:t>由</w:t>
      </w:r>
      <w:r>
        <w:rPr>
          <w:rFonts w:hint="eastAsia" w:ascii="方正仿宋_GB2312" w:hAnsi="方正仿宋_GB2312" w:eastAsia="方正仿宋_GB2312" w:cs="方正仿宋_GB2312"/>
          <w:color w:val="auto"/>
          <w:highlight w:val="none"/>
          <w:lang w:val="en-US" w:eastAsia="zh-CN"/>
        </w:rPr>
        <w:t>设计</w:t>
      </w:r>
      <w:r>
        <w:rPr>
          <w:rFonts w:hint="eastAsia" w:ascii="方正仿宋_GB2312" w:hAnsi="方正仿宋_GB2312" w:eastAsia="方正仿宋_GB2312" w:cs="方正仿宋_GB2312"/>
          <w:color w:val="auto"/>
          <w:highlight w:val="none"/>
          <w:lang w:eastAsia="zh-CN"/>
        </w:rPr>
        <w:t>、施工单位</w:t>
      </w:r>
      <w:r>
        <w:rPr>
          <w:rFonts w:hint="eastAsia" w:ascii="方正仿宋_GB2312" w:hAnsi="方正仿宋_GB2312" w:eastAsia="方正仿宋_GB2312" w:cs="方正仿宋_GB2312"/>
          <w:color w:val="auto"/>
          <w:highlight w:val="none"/>
        </w:rPr>
        <w:t>提供），安全生产许可证副本原件扫描件（如为联合体则由施工单位提供）；</w:t>
      </w:r>
    </w:p>
    <w:p w14:paraId="206166A7">
      <w:pPr>
        <w:pStyle w:val="65"/>
        <w:adjustRightInd w:val="0"/>
        <w:snapToGrid w:val="0"/>
        <w:spacing w:line="36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2.如为联合体投标，联合体各成员须分别填写和附相关资料原件扫描件；</w:t>
      </w:r>
    </w:p>
    <w:p w14:paraId="6D419000">
      <w:pPr>
        <w:rPr>
          <w:rFonts w:hint="eastAsia" w:ascii="方正仿宋_GB2312" w:hAnsi="方正仿宋_GB2312" w:eastAsia="方正仿宋_GB2312" w:cs="方正仿宋_GB2312"/>
          <w:color w:val="auto"/>
          <w:highlight w:val="none"/>
        </w:rPr>
      </w:pPr>
      <w:bookmarkStart w:id="1567" w:name="_Toc45897175"/>
      <w:bookmarkStart w:id="1568" w:name="_Toc15268_WPSOffice_Level2"/>
      <w:bookmarkStart w:id="1569" w:name="_Toc20054"/>
      <w:bookmarkStart w:id="1570" w:name="_Toc16377_WPSOffice_Level2"/>
      <w:r>
        <w:rPr>
          <w:rFonts w:hint="eastAsia" w:ascii="方正仿宋_GB2312" w:hAnsi="方正仿宋_GB2312" w:eastAsia="方正仿宋_GB2312" w:cs="方正仿宋_GB2312"/>
          <w:color w:val="auto"/>
          <w:highlight w:val="none"/>
        </w:rPr>
        <w:br w:type="page"/>
      </w:r>
    </w:p>
    <w:p w14:paraId="61DC4652">
      <w:pPr>
        <w:pStyle w:val="4"/>
        <w:spacing w:line="240" w:lineRule="auto"/>
        <w:ind w:firstLine="0" w:firstLineChars="0"/>
        <w:jc w:val="center"/>
        <w:rPr>
          <w:rFonts w:hint="eastAsia" w:ascii="方正仿宋_GB2312" w:hAnsi="方正仿宋_GB2312" w:eastAsia="方正仿宋_GB2312" w:cs="方正仿宋_GB2312"/>
          <w:color w:val="auto"/>
          <w:highlight w:val="none"/>
        </w:rPr>
      </w:pPr>
      <w:bookmarkStart w:id="1571" w:name="_Toc27206"/>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eastAsia="zh-CN"/>
        </w:rPr>
        <w:t>三</w:t>
      </w:r>
      <w:r>
        <w:rPr>
          <w:rFonts w:hint="eastAsia" w:ascii="方正仿宋_GB2312" w:hAnsi="方正仿宋_GB2312" w:eastAsia="方正仿宋_GB2312" w:cs="方正仿宋_GB2312"/>
          <w:color w:val="auto"/>
          <w:highlight w:val="none"/>
        </w:rPr>
        <w:t>）主要人员简历表</w:t>
      </w:r>
      <w:bookmarkEnd w:id="1567"/>
      <w:bookmarkEnd w:id="1568"/>
      <w:bookmarkEnd w:id="1569"/>
      <w:bookmarkEnd w:id="1570"/>
      <w:bookmarkEnd w:id="1571"/>
    </w:p>
    <w:p w14:paraId="329E24B6">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“主要人员简历表”中的总承包项目负责人应附注册建造师证、安全生产考核合格证（B证</w:t>
      </w:r>
      <w:r>
        <w:rPr>
          <w:rFonts w:hint="eastAsia" w:ascii="方正仿宋_GB2312" w:hAnsi="方正仿宋_GB2312" w:eastAsia="方正仿宋_GB2312" w:cs="方正仿宋_GB2312"/>
          <w:color w:val="auto"/>
          <w:sz w:val="21"/>
          <w:szCs w:val="21"/>
          <w:highlight w:val="none"/>
          <w:lang w:eastAsia="zh-CN"/>
        </w:rPr>
        <w:t>）和</w:t>
      </w:r>
      <w:r>
        <w:rPr>
          <w:rFonts w:hint="eastAsia" w:ascii="方正仿宋_GB2312" w:hAnsi="方正仿宋_GB2312" w:eastAsia="方正仿宋_GB2312" w:cs="方正仿宋_GB2312"/>
          <w:color w:val="auto"/>
          <w:sz w:val="21"/>
          <w:szCs w:val="21"/>
          <w:highlight w:val="none"/>
        </w:rPr>
        <w:t>身份证、</w:t>
      </w:r>
      <w:r>
        <w:rPr>
          <w:rFonts w:hint="eastAsia" w:ascii="方正仿宋_GB2312" w:hAnsi="方正仿宋_GB2312" w:eastAsia="方正仿宋_GB2312" w:cs="方正仿宋_GB2312"/>
          <w:color w:val="auto"/>
          <w:sz w:val="21"/>
          <w:szCs w:val="21"/>
          <w:highlight w:val="none"/>
          <w:lang w:eastAsia="zh-CN"/>
        </w:rPr>
        <w:t>职工基本养老保险参保证明缴费证明</w:t>
      </w:r>
      <w:r>
        <w:rPr>
          <w:rFonts w:hint="eastAsia" w:ascii="方正仿宋_GB2312" w:hAnsi="方正仿宋_GB2312" w:eastAsia="方正仿宋_GB2312" w:cs="方正仿宋_GB2312"/>
          <w:color w:val="auto"/>
          <w:sz w:val="21"/>
          <w:szCs w:val="21"/>
          <w:highlight w:val="none"/>
        </w:rPr>
        <w:t>（原件扫描件）；设计负责人应附注册证书、身份证、</w:t>
      </w:r>
      <w:r>
        <w:rPr>
          <w:rFonts w:hint="eastAsia" w:ascii="方正仿宋_GB2312" w:hAnsi="方正仿宋_GB2312" w:eastAsia="方正仿宋_GB2312" w:cs="方正仿宋_GB2312"/>
          <w:color w:val="auto"/>
          <w:sz w:val="21"/>
          <w:szCs w:val="21"/>
          <w:highlight w:val="none"/>
          <w:lang w:eastAsia="zh-CN"/>
        </w:rPr>
        <w:t>职工基本养老保险参保证明缴费证明</w:t>
      </w:r>
      <w:r>
        <w:rPr>
          <w:rFonts w:hint="eastAsia" w:ascii="方正仿宋_GB2312" w:hAnsi="方正仿宋_GB2312" w:eastAsia="方正仿宋_GB2312" w:cs="方正仿宋_GB2312"/>
          <w:color w:val="auto"/>
          <w:sz w:val="21"/>
          <w:szCs w:val="21"/>
          <w:highlight w:val="none"/>
        </w:rPr>
        <w:t>（原件扫描件）</w:t>
      </w:r>
      <w:r>
        <w:rPr>
          <w:rFonts w:hint="eastAsia" w:ascii="方正仿宋_GB2312" w:hAnsi="方正仿宋_GB2312" w:eastAsia="方正仿宋_GB2312" w:cs="方正仿宋_GB2312"/>
          <w:color w:val="auto"/>
          <w:sz w:val="21"/>
          <w:szCs w:val="21"/>
          <w:highlight w:val="none"/>
          <w:lang w:eastAsia="zh-CN"/>
        </w:rPr>
        <w:t>，已经退休的，要提供返聘协议及退休证书</w:t>
      </w:r>
      <w:r>
        <w:rPr>
          <w:rFonts w:hint="eastAsia" w:ascii="方正仿宋_GB2312" w:hAnsi="方正仿宋_GB2312" w:eastAsia="方正仿宋_GB2312" w:cs="方正仿宋_GB2312"/>
          <w:color w:val="auto"/>
          <w:sz w:val="21"/>
          <w:szCs w:val="21"/>
          <w:highlight w:val="none"/>
        </w:rPr>
        <w:t>；施工负责人</w:t>
      </w:r>
      <w:r>
        <w:rPr>
          <w:rFonts w:hint="eastAsia" w:ascii="方正仿宋_GB2312" w:hAnsi="方正仿宋_GB2312" w:eastAsia="方正仿宋_GB2312" w:cs="方正仿宋_GB2312"/>
          <w:color w:val="auto"/>
          <w:sz w:val="21"/>
          <w:szCs w:val="21"/>
          <w:highlight w:val="none"/>
          <w:lang w:eastAsia="zh-CN"/>
        </w:rPr>
        <w:t>（项目经理）</w:t>
      </w:r>
      <w:r>
        <w:rPr>
          <w:rFonts w:hint="eastAsia" w:ascii="方正仿宋_GB2312" w:hAnsi="方正仿宋_GB2312" w:eastAsia="方正仿宋_GB2312" w:cs="方正仿宋_GB2312"/>
          <w:color w:val="auto"/>
          <w:sz w:val="21"/>
          <w:szCs w:val="21"/>
          <w:highlight w:val="none"/>
        </w:rPr>
        <w:t>应附建造师注册证、安全生产考核合格证（B证）、身份证、</w:t>
      </w:r>
      <w:r>
        <w:rPr>
          <w:rFonts w:hint="eastAsia" w:ascii="方正仿宋_GB2312" w:hAnsi="方正仿宋_GB2312" w:eastAsia="方正仿宋_GB2312" w:cs="方正仿宋_GB2312"/>
          <w:color w:val="auto"/>
          <w:sz w:val="21"/>
          <w:szCs w:val="21"/>
          <w:highlight w:val="none"/>
          <w:lang w:eastAsia="zh-CN"/>
        </w:rPr>
        <w:t>职工基本养老保险参保证明缴费证明</w:t>
      </w:r>
      <w:r>
        <w:rPr>
          <w:rFonts w:hint="eastAsia" w:ascii="方正仿宋_GB2312" w:hAnsi="方正仿宋_GB2312" w:eastAsia="方正仿宋_GB2312" w:cs="方正仿宋_GB2312"/>
          <w:color w:val="auto"/>
          <w:sz w:val="21"/>
          <w:szCs w:val="21"/>
          <w:highlight w:val="none"/>
        </w:rPr>
        <w:t>（原件扫描件）等原件扫描件。</w:t>
      </w:r>
    </w:p>
    <w:tbl>
      <w:tblPr>
        <w:tblStyle w:val="2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722"/>
        <w:gridCol w:w="927"/>
        <w:gridCol w:w="1443"/>
        <w:gridCol w:w="328"/>
        <w:gridCol w:w="1261"/>
        <w:gridCol w:w="163"/>
        <w:gridCol w:w="2134"/>
      </w:tblGrid>
      <w:tr w14:paraId="4159A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7" w:type="dxa"/>
            <w:vAlign w:val="center"/>
          </w:tcPr>
          <w:p w14:paraId="4F66C47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姓名</w:t>
            </w:r>
          </w:p>
        </w:tc>
        <w:tc>
          <w:tcPr>
            <w:tcW w:w="1079" w:type="dxa"/>
            <w:gridSpan w:val="2"/>
            <w:vAlign w:val="center"/>
          </w:tcPr>
          <w:p w14:paraId="0833A29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927" w:type="dxa"/>
            <w:vAlign w:val="center"/>
          </w:tcPr>
          <w:p w14:paraId="7736604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年龄</w:t>
            </w:r>
          </w:p>
        </w:tc>
        <w:tc>
          <w:tcPr>
            <w:tcW w:w="1443" w:type="dxa"/>
            <w:vAlign w:val="center"/>
          </w:tcPr>
          <w:p w14:paraId="20C0B6B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752" w:type="dxa"/>
            <w:gridSpan w:val="3"/>
            <w:vAlign w:val="center"/>
          </w:tcPr>
          <w:p w14:paraId="25A9AAE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学历</w:t>
            </w:r>
          </w:p>
        </w:tc>
        <w:tc>
          <w:tcPr>
            <w:tcW w:w="2134" w:type="dxa"/>
            <w:vAlign w:val="center"/>
          </w:tcPr>
          <w:p w14:paraId="7776494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62BD5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7" w:type="dxa"/>
            <w:vAlign w:val="center"/>
          </w:tcPr>
          <w:p w14:paraId="30E074E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职称</w:t>
            </w:r>
          </w:p>
        </w:tc>
        <w:tc>
          <w:tcPr>
            <w:tcW w:w="1079" w:type="dxa"/>
            <w:gridSpan w:val="2"/>
            <w:vAlign w:val="center"/>
          </w:tcPr>
          <w:p w14:paraId="16EA19A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927" w:type="dxa"/>
            <w:vAlign w:val="center"/>
          </w:tcPr>
          <w:p w14:paraId="693A355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职务</w:t>
            </w:r>
          </w:p>
        </w:tc>
        <w:tc>
          <w:tcPr>
            <w:tcW w:w="1443" w:type="dxa"/>
            <w:vAlign w:val="center"/>
          </w:tcPr>
          <w:p w14:paraId="064398D5">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752" w:type="dxa"/>
            <w:gridSpan w:val="3"/>
            <w:vAlign w:val="center"/>
          </w:tcPr>
          <w:p w14:paraId="616F336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拟在本合同担任职务</w:t>
            </w:r>
          </w:p>
        </w:tc>
        <w:tc>
          <w:tcPr>
            <w:tcW w:w="2134" w:type="dxa"/>
            <w:vAlign w:val="center"/>
          </w:tcPr>
          <w:p w14:paraId="18F44F25">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43816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7" w:type="dxa"/>
            <w:vAlign w:val="center"/>
          </w:tcPr>
          <w:p w14:paraId="2F0E63C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color w:val="auto"/>
                <w:sz w:val="21"/>
                <w:szCs w:val="21"/>
                <w:highlight w:val="none"/>
                <w:lang w:eastAsia="zh-CN"/>
              </w:rPr>
              <w:t>注册证书</w:t>
            </w:r>
          </w:p>
        </w:tc>
        <w:tc>
          <w:tcPr>
            <w:tcW w:w="2006" w:type="dxa"/>
            <w:gridSpan w:val="3"/>
            <w:vAlign w:val="center"/>
          </w:tcPr>
          <w:p w14:paraId="1EB5849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lang w:eastAsia="zh-CN"/>
              </w:rPr>
            </w:pPr>
          </w:p>
        </w:tc>
        <w:tc>
          <w:tcPr>
            <w:tcW w:w="1443" w:type="dxa"/>
            <w:vAlign w:val="center"/>
          </w:tcPr>
          <w:p w14:paraId="7BC2C5B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eastAsia="zh-CN"/>
              </w:rPr>
              <w:t>证书编号（注册编号）</w:t>
            </w:r>
          </w:p>
        </w:tc>
        <w:tc>
          <w:tcPr>
            <w:tcW w:w="3886" w:type="dxa"/>
            <w:gridSpan w:val="4"/>
            <w:vAlign w:val="center"/>
          </w:tcPr>
          <w:p w14:paraId="1BEE8E7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33AA8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7" w:type="dxa"/>
            <w:vAlign w:val="center"/>
          </w:tcPr>
          <w:p w14:paraId="34AD36C5">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color w:val="auto"/>
                <w:sz w:val="21"/>
                <w:szCs w:val="21"/>
                <w:highlight w:val="none"/>
                <w:lang w:eastAsia="zh-CN"/>
              </w:rPr>
              <w:t>身份证号</w:t>
            </w:r>
          </w:p>
        </w:tc>
        <w:tc>
          <w:tcPr>
            <w:tcW w:w="7335" w:type="dxa"/>
            <w:gridSpan w:val="8"/>
            <w:vAlign w:val="center"/>
          </w:tcPr>
          <w:p w14:paraId="5F9CEAE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286A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7" w:type="dxa"/>
            <w:vAlign w:val="center"/>
          </w:tcPr>
          <w:p w14:paraId="6B1CD8D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毕业学校</w:t>
            </w:r>
          </w:p>
        </w:tc>
        <w:tc>
          <w:tcPr>
            <w:tcW w:w="7335" w:type="dxa"/>
            <w:gridSpan w:val="8"/>
            <w:vAlign w:val="center"/>
          </w:tcPr>
          <w:p w14:paraId="6D95F72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年毕业于学校专业</w:t>
            </w:r>
          </w:p>
        </w:tc>
      </w:tr>
      <w:tr w14:paraId="67613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22" w:type="dxa"/>
            <w:gridSpan w:val="9"/>
            <w:vAlign w:val="center"/>
          </w:tcPr>
          <w:p w14:paraId="12845B1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主要工作经历</w:t>
            </w:r>
          </w:p>
        </w:tc>
      </w:tr>
      <w:tr w14:paraId="7EF9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vAlign w:val="center"/>
          </w:tcPr>
          <w:p w14:paraId="203FD18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时间</w:t>
            </w:r>
          </w:p>
        </w:tc>
        <w:tc>
          <w:tcPr>
            <w:tcW w:w="3420" w:type="dxa"/>
            <w:gridSpan w:val="4"/>
            <w:vAlign w:val="center"/>
          </w:tcPr>
          <w:p w14:paraId="78D53D8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参加过的类似项目</w:t>
            </w:r>
          </w:p>
        </w:tc>
        <w:tc>
          <w:tcPr>
            <w:tcW w:w="1261" w:type="dxa"/>
            <w:vAlign w:val="center"/>
          </w:tcPr>
          <w:p w14:paraId="0FAC842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担任职务</w:t>
            </w:r>
          </w:p>
        </w:tc>
        <w:tc>
          <w:tcPr>
            <w:tcW w:w="2297" w:type="dxa"/>
            <w:gridSpan w:val="2"/>
            <w:vAlign w:val="center"/>
          </w:tcPr>
          <w:p w14:paraId="48527FA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发包人及联系电话</w:t>
            </w:r>
          </w:p>
        </w:tc>
      </w:tr>
      <w:tr w14:paraId="5267C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tcPr>
          <w:p w14:paraId="66B2E1B7">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tcPr>
          <w:p w14:paraId="14A65AF3">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tcPr>
          <w:p w14:paraId="6A57A593">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tcPr>
          <w:p w14:paraId="2F7E9AB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62A2A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tcPr>
          <w:p w14:paraId="674BA0D7">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tcPr>
          <w:p w14:paraId="118C912A">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tcPr>
          <w:p w14:paraId="4256799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tcPr>
          <w:p w14:paraId="7CC09AA4">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27F4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tcPr>
          <w:p w14:paraId="6BEEF66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tcPr>
          <w:p w14:paraId="1EA73F4C">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tcPr>
          <w:p w14:paraId="33F4B480">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tcPr>
          <w:p w14:paraId="21046AC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7E358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vAlign w:val="center"/>
          </w:tcPr>
          <w:p w14:paraId="3D416D9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vAlign w:val="center"/>
          </w:tcPr>
          <w:p w14:paraId="54E7B153">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vAlign w:val="center"/>
          </w:tcPr>
          <w:p w14:paraId="67C7674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vAlign w:val="center"/>
          </w:tcPr>
          <w:p w14:paraId="2B0ADC86">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598CC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vAlign w:val="center"/>
          </w:tcPr>
          <w:p w14:paraId="2B5BDAF0">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vAlign w:val="center"/>
          </w:tcPr>
          <w:p w14:paraId="2453CE0A">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vAlign w:val="center"/>
          </w:tcPr>
          <w:p w14:paraId="2C2B67F6">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vAlign w:val="center"/>
          </w:tcPr>
          <w:p w14:paraId="30EA92D9">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3B41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44" w:type="dxa"/>
            <w:gridSpan w:val="2"/>
            <w:vAlign w:val="center"/>
          </w:tcPr>
          <w:p w14:paraId="3AFE6424">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3420" w:type="dxa"/>
            <w:gridSpan w:val="4"/>
            <w:vAlign w:val="center"/>
          </w:tcPr>
          <w:p w14:paraId="4B7399D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61" w:type="dxa"/>
            <w:vAlign w:val="center"/>
          </w:tcPr>
          <w:p w14:paraId="32A6274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297" w:type="dxa"/>
            <w:gridSpan w:val="2"/>
            <w:vAlign w:val="center"/>
          </w:tcPr>
          <w:p w14:paraId="4E3A056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bl>
    <w:p w14:paraId="6FF1549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备注：1.总承包项目负责人</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设计负责人、施工负责人分别填写，若总承包项目负责人和施工负责人为同一人的，只需填写总承包项目负责人</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设计负责人。</w:t>
      </w:r>
    </w:p>
    <w:p w14:paraId="35E7C30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color w:val="auto"/>
          <w:sz w:val="21"/>
          <w:szCs w:val="21"/>
          <w:highlight w:val="none"/>
        </w:rPr>
        <w:t>2.</w:t>
      </w:r>
      <w:r>
        <w:rPr>
          <w:rFonts w:hint="eastAsia" w:ascii="方正仿宋_GB2312" w:hAnsi="方正仿宋_GB2312" w:eastAsia="方正仿宋_GB2312" w:cs="方正仿宋_GB2312"/>
          <w:color w:val="auto"/>
          <w:sz w:val="21"/>
          <w:szCs w:val="21"/>
          <w:highlight w:val="none"/>
          <w:lang w:eastAsia="zh-CN"/>
        </w:rPr>
        <w:t>若为退休人员</w:t>
      </w:r>
      <w:r>
        <w:rPr>
          <w:rFonts w:hint="eastAsia" w:ascii="方正仿宋_GB2312" w:hAnsi="方正仿宋_GB2312" w:eastAsia="方正仿宋_GB2312" w:cs="方正仿宋_GB2312"/>
          <w:color w:val="auto"/>
          <w:sz w:val="21"/>
          <w:szCs w:val="21"/>
          <w:highlight w:val="none"/>
          <w:lang w:val="en-US" w:eastAsia="zh-CN"/>
        </w:rPr>
        <w:t>需</w:t>
      </w:r>
      <w:r>
        <w:rPr>
          <w:rFonts w:hint="eastAsia" w:ascii="方正仿宋_GB2312" w:hAnsi="方正仿宋_GB2312" w:eastAsia="方正仿宋_GB2312" w:cs="方正仿宋_GB2312"/>
          <w:color w:val="auto"/>
          <w:sz w:val="21"/>
          <w:szCs w:val="21"/>
          <w:highlight w:val="none"/>
          <w:lang w:eastAsia="zh-CN"/>
        </w:rPr>
        <w:t>提供退休证及聘用合同原件扫描件即可。</w:t>
      </w:r>
    </w:p>
    <w:p w14:paraId="31F1C626">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3.以上提供材料须真实、准确、有效和完整，若投标人提供虚假材料，一经查实，即取消投标资格。</w:t>
      </w:r>
    </w:p>
    <w:p w14:paraId="0B560031">
      <w:pP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br w:type="page"/>
      </w:r>
    </w:p>
    <w:p w14:paraId="35FA1F53">
      <w:pPr>
        <w:pStyle w:val="44"/>
        <w:adjustRightInd w:val="0"/>
        <w:snapToGrid w:val="0"/>
        <w:spacing w:after="200" w:line="360" w:lineRule="auto"/>
        <w:jc w:val="center"/>
        <w:rPr>
          <w:rStyle w:val="64"/>
          <w:rFonts w:hint="eastAsia" w:ascii="方正仿宋_GB2312" w:hAnsi="方正仿宋_GB2312" w:eastAsia="方正仿宋_GB2312" w:cs="方正仿宋_GB2312"/>
          <w:b/>
          <w:bCs/>
          <w:color w:val="auto"/>
          <w:kern w:val="2"/>
          <w:sz w:val="32"/>
          <w:szCs w:val="32"/>
          <w:highlight w:val="none"/>
        </w:rPr>
      </w:pPr>
      <w:r>
        <w:rPr>
          <w:rStyle w:val="64"/>
          <w:rFonts w:hint="eastAsia" w:ascii="方正仿宋_GB2312" w:hAnsi="方正仿宋_GB2312" w:eastAsia="方正仿宋_GB2312" w:cs="方正仿宋_GB2312"/>
          <w:b/>
          <w:bCs/>
          <w:color w:val="auto"/>
          <w:kern w:val="2"/>
          <w:sz w:val="28"/>
          <w:szCs w:val="28"/>
          <w:highlight w:val="none"/>
        </w:rPr>
        <w:t>附：承诺书</w:t>
      </w:r>
    </w:p>
    <w:p w14:paraId="39450A11">
      <w:pPr>
        <w:pStyle w:val="66"/>
        <w:adjustRightInd w:val="0"/>
        <w:snapToGrid w:val="0"/>
        <w:spacing w:after="200" w:line="360" w:lineRule="auto"/>
        <w:jc w:val="both"/>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u w:val="single"/>
        </w:rPr>
        <w:t>（招标人名称）</w:t>
      </w:r>
      <w:r>
        <w:rPr>
          <w:rStyle w:val="64"/>
          <w:rFonts w:hint="eastAsia" w:ascii="方正仿宋_GB2312" w:hAnsi="方正仿宋_GB2312" w:eastAsia="方正仿宋_GB2312" w:cs="方正仿宋_GB2312"/>
          <w:color w:val="auto"/>
          <w:kern w:val="2"/>
          <w:sz w:val="21"/>
          <w:szCs w:val="21"/>
          <w:highlight w:val="none"/>
        </w:rPr>
        <w:t>：</w:t>
      </w:r>
    </w:p>
    <w:p w14:paraId="053CA75F">
      <w:pPr>
        <w:spacing w:line="440" w:lineRule="exact"/>
        <w:ind w:firstLine="420" w:firstLineChars="200"/>
        <w:jc w:val="left"/>
        <w:rPr>
          <w:rFonts w:hint="eastAsia" w:ascii="方正仿宋_GB2312" w:hAnsi="方正仿宋_GB2312" w:eastAsia="方正仿宋_GB2312" w:cs="方正仿宋_GB2312"/>
          <w:color w:val="auto"/>
          <w:highlight w:val="none"/>
        </w:rPr>
      </w:pPr>
      <w:r>
        <w:rPr>
          <w:rStyle w:val="64"/>
          <w:rFonts w:hint="eastAsia" w:ascii="方正仿宋_GB2312" w:hAnsi="方正仿宋_GB2312" w:eastAsia="方正仿宋_GB2312" w:cs="方正仿宋_GB2312"/>
          <w:color w:val="auto"/>
          <w:highlight w:val="none"/>
        </w:rPr>
        <w:t>我方在此声明，我方拟派往</w:t>
      </w:r>
      <w:r>
        <w:rPr>
          <w:rStyle w:val="64"/>
          <w:rFonts w:hint="eastAsia" w:ascii="方正仿宋_GB2312" w:hAnsi="方正仿宋_GB2312" w:eastAsia="方正仿宋_GB2312" w:cs="方正仿宋_GB2312"/>
          <w:color w:val="auto"/>
          <w:highlight w:val="none"/>
          <w:u w:val="single"/>
        </w:rPr>
        <w:t xml:space="preserve">（项目名称）  </w:t>
      </w:r>
      <w:r>
        <w:rPr>
          <w:rStyle w:val="64"/>
          <w:rFonts w:hint="eastAsia" w:ascii="方正仿宋_GB2312" w:hAnsi="方正仿宋_GB2312" w:eastAsia="方正仿宋_GB2312" w:cs="方正仿宋_GB2312"/>
          <w:color w:val="auto"/>
          <w:highlight w:val="none"/>
        </w:rPr>
        <w:t>招标</w:t>
      </w:r>
      <w:r>
        <w:rPr>
          <w:rFonts w:hint="eastAsia" w:ascii="方正仿宋_GB2312" w:hAnsi="方正仿宋_GB2312" w:eastAsia="方正仿宋_GB2312" w:cs="方正仿宋_GB2312"/>
          <w:color w:val="auto"/>
          <w:highlight w:val="none"/>
        </w:rPr>
        <w:t>（以下简称“本工程”）的项目</w:t>
      </w:r>
      <w:r>
        <w:rPr>
          <w:rFonts w:hint="eastAsia" w:ascii="方正仿宋_GB2312" w:hAnsi="方正仿宋_GB2312" w:eastAsia="方正仿宋_GB2312" w:cs="方正仿宋_GB2312"/>
          <w:color w:val="auto"/>
          <w:highlight w:val="none"/>
          <w:u w:val="single"/>
          <w:lang w:eastAsia="zh-CN"/>
        </w:rPr>
        <w:t>总承包项目负责人或</w:t>
      </w:r>
      <w:r>
        <w:rPr>
          <w:rFonts w:hint="eastAsia" w:ascii="方正仿宋_GB2312" w:hAnsi="方正仿宋_GB2312" w:eastAsia="方正仿宋_GB2312" w:cs="方正仿宋_GB2312"/>
          <w:color w:val="auto"/>
          <w:highlight w:val="none"/>
          <w:u w:val="single"/>
        </w:rPr>
        <w:t>施工负责人（项目经理）  姓名</w:t>
      </w:r>
      <w:r>
        <w:rPr>
          <w:rFonts w:hint="eastAsia" w:ascii="方正仿宋_GB2312" w:hAnsi="方正仿宋_GB2312" w:eastAsia="方正仿宋_GB2312" w:cs="方正仿宋_GB2312"/>
          <w:color w:val="auto"/>
          <w:highlight w:val="none"/>
        </w:rPr>
        <w:t>现阶段没有担任任何在建建设工程项目的项目负责人。</w:t>
      </w:r>
    </w:p>
    <w:p w14:paraId="2D890EC7">
      <w:pPr>
        <w:spacing w:line="440" w:lineRule="exact"/>
        <w:ind w:firstLine="42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我方保证上述信息的真实和准确，并愿意承担因我方就此弄虚作假所引起的一切法律后果。</w:t>
      </w:r>
    </w:p>
    <w:p w14:paraId="3912BE96">
      <w:pPr>
        <w:pStyle w:val="66"/>
        <w:adjustRightInd w:val="0"/>
        <w:snapToGrid w:val="0"/>
        <w:spacing w:after="200" w:line="360" w:lineRule="auto"/>
        <w:ind w:firstLine="420" w:firstLineChars="200"/>
        <w:jc w:val="both"/>
        <w:rPr>
          <w:rStyle w:val="64"/>
          <w:rFonts w:hint="eastAsia" w:ascii="方正仿宋_GB2312" w:hAnsi="方正仿宋_GB2312" w:eastAsia="方正仿宋_GB2312" w:cs="方正仿宋_GB2312"/>
          <w:color w:val="auto"/>
          <w:kern w:val="2"/>
          <w:sz w:val="21"/>
          <w:szCs w:val="21"/>
          <w:highlight w:val="none"/>
        </w:rPr>
      </w:pPr>
    </w:p>
    <w:p w14:paraId="2CCD4FF2">
      <w:pPr>
        <w:pStyle w:val="46"/>
        <w:adjustRightInd w:val="0"/>
        <w:snapToGrid w:val="0"/>
        <w:spacing w:after="200" w:line="360" w:lineRule="auto"/>
        <w:ind w:firstLine="420" w:firstLineChars="200"/>
        <w:rPr>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特此承诺</w:t>
      </w:r>
    </w:p>
    <w:p w14:paraId="7367D067">
      <w:pPr>
        <w:spacing w:line="440" w:lineRule="exact"/>
        <w:ind w:firstLine="420" w:firstLineChars="200"/>
        <w:rPr>
          <w:rFonts w:hint="eastAsia" w:ascii="方正仿宋_GB2312" w:hAnsi="方正仿宋_GB2312" w:eastAsia="方正仿宋_GB2312" w:cs="方正仿宋_GB2312"/>
          <w:color w:val="auto"/>
          <w:highlight w:val="none"/>
        </w:rPr>
      </w:pPr>
    </w:p>
    <w:p w14:paraId="159E1DFE">
      <w:pPr>
        <w:spacing w:line="440" w:lineRule="exact"/>
        <w:ind w:firstLine="420" w:firstLineChars="200"/>
        <w:rPr>
          <w:rFonts w:hint="eastAsia" w:ascii="方正仿宋_GB2312" w:hAnsi="方正仿宋_GB2312" w:eastAsia="方正仿宋_GB2312" w:cs="方正仿宋_GB2312"/>
          <w:color w:val="auto"/>
          <w:highlight w:val="none"/>
        </w:rPr>
      </w:pPr>
    </w:p>
    <w:p w14:paraId="367E9A89">
      <w:pPr>
        <w:spacing w:line="440" w:lineRule="exact"/>
        <w:ind w:firstLine="420" w:firstLineChars="200"/>
        <w:rPr>
          <w:rFonts w:hint="eastAsia" w:ascii="方正仿宋_GB2312" w:hAnsi="方正仿宋_GB2312" w:eastAsia="方正仿宋_GB2312" w:cs="方正仿宋_GB2312"/>
          <w:color w:val="auto"/>
          <w:highlight w:val="none"/>
        </w:rPr>
      </w:pPr>
    </w:p>
    <w:p w14:paraId="6AA5917C">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投标人（牵头单位）：（电子签章）</w:t>
      </w:r>
    </w:p>
    <w:p w14:paraId="17B72C67">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法定代表人（电子签章）：</w:t>
      </w:r>
    </w:p>
    <w:p w14:paraId="3CFFB60D">
      <w:pPr>
        <w:pStyle w:val="44"/>
        <w:spacing w:after="200" w:line="276" w:lineRule="auto"/>
        <w:ind w:firstLine="3614" w:firstLineChars="1721"/>
        <w:rPr>
          <w:rStyle w:val="64"/>
          <w:rFonts w:hint="eastAsia" w:ascii="方正仿宋_GB2312" w:hAnsi="方正仿宋_GB2312" w:eastAsia="方正仿宋_GB2312" w:cs="方正仿宋_GB2312"/>
          <w:color w:val="auto"/>
          <w:sz w:val="21"/>
          <w:szCs w:val="21"/>
          <w:highlight w:val="none"/>
          <w:u w:val="single"/>
        </w:rPr>
      </w:pPr>
      <w:r>
        <w:rPr>
          <w:rStyle w:val="64"/>
          <w:rFonts w:hint="eastAsia" w:ascii="方正仿宋_GB2312" w:hAnsi="方正仿宋_GB2312" w:eastAsia="方正仿宋_GB2312" w:cs="方正仿宋_GB2312"/>
          <w:color w:val="auto"/>
          <w:sz w:val="21"/>
          <w:szCs w:val="21"/>
          <w:highlight w:val="none"/>
        </w:rPr>
        <w:t>年  月  日</w:t>
      </w:r>
    </w:p>
    <w:p w14:paraId="763DF1C5">
      <w:pPr>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br w:type="page"/>
      </w:r>
    </w:p>
    <w:p w14:paraId="33416D1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highlight w:val="none"/>
          <w:lang w:eastAsia="zh-CN"/>
        </w:rPr>
        <w:t>（</w:t>
      </w:r>
      <w:r>
        <w:rPr>
          <w:rFonts w:hint="eastAsia" w:ascii="方正仿宋_GB2312" w:hAnsi="方正仿宋_GB2312" w:eastAsia="方正仿宋_GB2312" w:cs="方正仿宋_GB2312"/>
          <w:b/>
          <w:bCs/>
          <w:color w:val="auto"/>
          <w:highlight w:val="none"/>
          <w:lang w:val="en-US" w:eastAsia="zh-CN"/>
        </w:rPr>
        <w:t>四</w:t>
      </w:r>
      <w:r>
        <w:rPr>
          <w:rFonts w:hint="eastAsia" w:ascii="方正仿宋_GB2312" w:hAnsi="方正仿宋_GB2312" w:eastAsia="方正仿宋_GB2312" w:cs="方正仿宋_GB2312"/>
          <w:b/>
          <w:bCs/>
          <w:color w:val="auto"/>
          <w:highlight w:val="none"/>
          <w:lang w:eastAsia="zh-CN"/>
        </w:rPr>
        <w:t>）项目管理机构及人员要求</w:t>
      </w:r>
    </w:p>
    <w:tbl>
      <w:tblPr>
        <w:tblStyle w:val="28"/>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2036"/>
        <w:gridCol w:w="1368"/>
      </w:tblGrid>
      <w:tr w14:paraId="4CA9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99" w:type="dxa"/>
            <w:gridSpan w:val="9"/>
            <w:vAlign w:val="center"/>
          </w:tcPr>
          <w:p w14:paraId="50DF6E0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拟配备设计人员</w:t>
            </w:r>
          </w:p>
        </w:tc>
      </w:tr>
      <w:tr w14:paraId="1B4C3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shd w:val="clear" w:color="auto" w:fill="auto"/>
            <w:vAlign w:val="center"/>
          </w:tcPr>
          <w:p w14:paraId="1768CC6C">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专业岗位</w:t>
            </w:r>
          </w:p>
        </w:tc>
        <w:tc>
          <w:tcPr>
            <w:tcW w:w="709" w:type="dxa"/>
            <w:shd w:val="clear" w:color="auto" w:fill="auto"/>
            <w:vAlign w:val="center"/>
          </w:tcPr>
          <w:p w14:paraId="58B1130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姓名</w:t>
            </w:r>
          </w:p>
        </w:tc>
        <w:tc>
          <w:tcPr>
            <w:tcW w:w="709" w:type="dxa"/>
            <w:shd w:val="clear" w:color="auto" w:fill="auto"/>
            <w:vAlign w:val="center"/>
          </w:tcPr>
          <w:p w14:paraId="1A7CA6B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性别</w:t>
            </w:r>
          </w:p>
        </w:tc>
        <w:tc>
          <w:tcPr>
            <w:tcW w:w="1276" w:type="dxa"/>
            <w:shd w:val="clear" w:color="auto" w:fill="auto"/>
            <w:vAlign w:val="center"/>
          </w:tcPr>
          <w:p w14:paraId="325727D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出生年月</w:t>
            </w:r>
          </w:p>
        </w:tc>
        <w:tc>
          <w:tcPr>
            <w:tcW w:w="1135" w:type="dxa"/>
            <w:shd w:val="clear" w:color="auto" w:fill="auto"/>
            <w:vAlign w:val="center"/>
          </w:tcPr>
          <w:p w14:paraId="68A1E06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工作年限</w:t>
            </w:r>
          </w:p>
        </w:tc>
        <w:tc>
          <w:tcPr>
            <w:tcW w:w="709" w:type="dxa"/>
            <w:shd w:val="clear" w:color="auto" w:fill="auto"/>
            <w:vAlign w:val="center"/>
          </w:tcPr>
          <w:p w14:paraId="4B2EB09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职称</w:t>
            </w:r>
          </w:p>
        </w:tc>
        <w:tc>
          <w:tcPr>
            <w:tcW w:w="803" w:type="dxa"/>
            <w:shd w:val="clear" w:color="auto" w:fill="auto"/>
            <w:vAlign w:val="center"/>
          </w:tcPr>
          <w:p w14:paraId="58A3AE4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学历</w:t>
            </w:r>
          </w:p>
        </w:tc>
        <w:tc>
          <w:tcPr>
            <w:tcW w:w="2036" w:type="dxa"/>
            <w:shd w:val="clear" w:color="auto" w:fill="auto"/>
            <w:vAlign w:val="center"/>
          </w:tcPr>
          <w:p w14:paraId="3127E7C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（相关证书）及编号</w:t>
            </w:r>
          </w:p>
        </w:tc>
        <w:tc>
          <w:tcPr>
            <w:tcW w:w="1368" w:type="dxa"/>
            <w:shd w:val="clear" w:color="auto" w:fill="auto"/>
            <w:vAlign w:val="center"/>
          </w:tcPr>
          <w:p w14:paraId="3BA126F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岗位要求</w:t>
            </w:r>
          </w:p>
        </w:tc>
      </w:tr>
      <w:tr w14:paraId="30D80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shd w:val="clear" w:color="auto" w:fill="auto"/>
            <w:vAlign w:val="center"/>
          </w:tcPr>
          <w:p w14:paraId="6C08577B">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228EF04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075506BC">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shd w:val="clear" w:color="auto" w:fill="auto"/>
            <w:vAlign w:val="center"/>
          </w:tcPr>
          <w:p w14:paraId="6AF05EE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shd w:val="clear" w:color="auto" w:fill="auto"/>
            <w:vAlign w:val="center"/>
          </w:tcPr>
          <w:p w14:paraId="1E0D13C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2197078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shd w:val="clear" w:color="auto" w:fill="auto"/>
            <w:vAlign w:val="center"/>
          </w:tcPr>
          <w:p w14:paraId="14721BCC">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shd w:val="clear" w:color="auto" w:fill="auto"/>
            <w:vAlign w:val="center"/>
          </w:tcPr>
          <w:p w14:paraId="2C03744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shd w:val="clear" w:color="auto" w:fill="auto"/>
            <w:vAlign w:val="center"/>
          </w:tcPr>
          <w:p w14:paraId="3366EC7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7CD59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shd w:val="clear" w:color="auto" w:fill="auto"/>
            <w:vAlign w:val="center"/>
          </w:tcPr>
          <w:p w14:paraId="7F2A2D8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6A9BD55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006494A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shd w:val="clear" w:color="auto" w:fill="auto"/>
            <w:vAlign w:val="center"/>
          </w:tcPr>
          <w:p w14:paraId="22DC76F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shd w:val="clear" w:color="auto" w:fill="auto"/>
            <w:vAlign w:val="center"/>
          </w:tcPr>
          <w:p w14:paraId="42AB2B4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23E88F9E">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shd w:val="clear" w:color="auto" w:fill="auto"/>
            <w:vAlign w:val="center"/>
          </w:tcPr>
          <w:p w14:paraId="1E2841A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shd w:val="clear" w:color="auto" w:fill="auto"/>
            <w:vAlign w:val="center"/>
          </w:tcPr>
          <w:p w14:paraId="55610E2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shd w:val="clear" w:color="auto" w:fill="auto"/>
            <w:vAlign w:val="center"/>
          </w:tcPr>
          <w:p w14:paraId="43F2962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6A7DD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shd w:val="clear" w:color="auto" w:fill="auto"/>
            <w:vAlign w:val="center"/>
          </w:tcPr>
          <w:p w14:paraId="7940EB9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63A6598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62D5A176">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shd w:val="clear" w:color="auto" w:fill="auto"/>
            <w:vAlign w:val="center"/>
          </w:tcPr>
          <w:p w14:paraId="70449E7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shd w:val="clear" w:color="auto" w:fill="auto"/>
            <w:vAlign w:val="center"/>
          </w:tcPr>
          <w:p w14:paraId="1BA7B11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6BD0B8E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shd w:val="clear" w:color="auto" w:fill="auto"/>
            <w:vAlign w:val="center"/>
          </w:tcPr>
          <w:p w14:paraId="7898506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shd w:val="clear" w:color="auto" w:fill="auto"/>
            <w:vAlign w:val="center"/>
          </w:tcPr>
          <w:p w14:paraId="041C271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shd w:val="clear" w:color="auto" w:fill="auto"/>
            <w:vAlign w:val="center"/>
          </w:tcPr>
          <w:p w14:paraId="5C942F3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4AE10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shd w:val="clear" w:color="auto" w:fill="auto"/>
            <w:vAlign w:val="center"/>
          </w:tcPr>
          <w:p w14:paraId="565BC8F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307DB66D">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28DE1DD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shd w:val="clear" w:color="auto" w:fill="auto"/>
            <w:vAlign w:val="center"/>
          </w:tcPr>
          <w:p w14:paraId="6B3501D2">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shd w:val="clear" w:color="auto" w:fill="auto"/>
            <w:vAlign w:val="center"/>
          </w:tcPr>
          <w:p w14:paraId="4306E1A7">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shd w:val="clear" w:color="auto" w:fill="auto"/>
            <w:vAlign w:val="center"/>
          </w:tcPr>
          <w:p w14:paraId="3D54EA2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shd w:val="clear" w:color="auto" w:fill="auto"/>
            <w:vAlign w:val="center"/>
          </w:tcPr>
          <w:p w14:paraId="7C263A2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shd w:val="clear" w:color="auto" w:fill="auto"/>
            <w:vAlign w:val="center"/>
          </w:tcPr>
          <w:p w14:paraId="1550C565">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shd w:val="clear" w:color="auto" w:fill="auto"/>
            <w:vAlign w:val="center"/>
          </w:tcPr>
          <w:p w14:paraId="49EA39C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6A23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199" w:type="dxa"/>
            <w:gridSpan w:val="9"/>
            <w:vAlign w:val="center"/>
          </w:tcPr>
          <w:p w14:paraId="3A42188A">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拟配备的施工现场专业（管理）人员</w:t>
            </w:r>
          </w:p>
        </w:tc>
      </w:tr>
      <w:tr w14:paraId="4F73F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2D3EFBA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专业岗位</w:t>
            </w:r>
          </w:p>
        </w:tc>
        <w:tc>
          <w:tcPr>
            <w:tcW w:w="709" w:type="dxa"/>
            <w:vAlign w:val="center"/>
          </w:tcPr>
          <w:p w14:paraId="590F729B">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姓名</w:t>
            </w:r>
          </w:p>
        </w:tc>
        <w:tc>
          <w:tcPr>
            <w:tcW w:w="709" w:type="dxa"/>
            <w:vAlign w:val="center"/>
          </w:tcPr>
          <w:p w14:paraId="6BC8FFF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性别</w:t>
            </w:r>
          </w:p>
        </w:tc>
        <w:tc>
          <w:tcPr>
            <w:tcW w:w="1276" w:type="dxa"/>
            <w:vAlign w:val="center"/>
          </w:tcPr>
          <w:p w14:paraId="68A7AC2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出生年月</w:t>
            </w:r>
          </w:p>
        </w:tc>
        <w:tc>
          <w:tcPr>
            <w:tcW w:w="1135" w:type="dxa"/>
            <w:vAlign w:val="center"/>
          </w:tcPr>
          <w:p w14:paraId="5D65E78C">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工作年限</w:t>
            </w:r>
          </w:p>
        </w:tc>
        <w:tc>
          <w:tcPr>
            <w:tcW w:w="709" w:type="dxa"/>
            <w:vAlign w:val="center"/>
          </w:tcPr>
          <w:p w14:paraId="20001F3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职称</w:t>
            </w:r>
          </w:p>
        </w:tc>
        <w:tc>
          <w:tcPr>
            <w:tcW w:w="803" w:type="dxa"/>
            <w:vAlign w:val="center"/>
          </w:tcPr>
          <w:p w14:paraId="0634603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学历</w:t>
            </w:r>
          </w:p>
        </w:tc>
        <w:tc>
          <w:tcPr>
            <w:tcW w:w="2036" w:type="dxa"/>
            <w:vAlign w:val="center"/>
          </w:tcPr>
          <w:p w14:paraId="042AA30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（相关证书）及编号</w:t>
            </w:r>
          </w:p>
        </w:tc>
        <w:tc>
          <w:tcPr>
            <w:tcW w:w="1368" w:type="dxa"/>
            <w:vAlign w:val="center"/>
          </w:tcPr>
          <w:p w14:paraId="7558E0E9">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岗位要求</w:t>
            </w:r>
          </w:p>
        </w:tc>
      </w:tr>
      <w:tr w14:paraId="0177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79F9C644">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668DCE4F">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484EB3C7">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589A91D8">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20C9DD91">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5A73CB9B">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3A18DE53">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3E89514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0F5C6860">
            <w:pPr>
              <w:keepNext w:val="0"/>
              <w:keepLines w:val="0"/>
              <w:pageBreakBefore w:val="0"/>
              <w:widowControl w:val="0"/>
              <w:kinsoku/>
              <w:wordWrap/>
              <w:overflowPunct/>
              <w:topLinePunct w:val="0"/>
              <w:autoSpaceDE/>
              <w:autoSpaceDN/>
              <w:bidi w:val="0"/>
              <w:adjustRightInd/>
              <w:snapToGrid w:val="0"/>
              <w:spacing w:after="0" w:line="360" w:lineRule="auto"/>
              <w:jc w:val="center"/>
              <w:textAlignment w:val="auto"/>
              <w:rPr>
                <w:rFonts w:hint="eastAsia" w:ascii="方正仿宋_GB2312" w:hAnsi="方正仿宋_GB2312" w:eastAsia="方正仿宋_GB2312" w:cs="方正仿宋_GB2312"/>
                <w:color w:val="auto"/>
                <w:sz w:val="21"/>
                <w:szCs w:val="21"/>
                <w:highlight w:val="none"/>
              </w:rPr>
            </w:pPr>
          </w:p>
        </w:tc>
      </w:tr>
      <w:tr w14:paraId="39F58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74B7102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7A6B9414">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45442443">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79E4F43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245E833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6E82452C">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551217ED">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7BB66382">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4F6689D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189DD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5428D7D7">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37BB7C53">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7BF3EDC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3C1603DD">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259CF3D1">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2F0925B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51586D43">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2255C0DE">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1515FA7A">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r w14:paraId="377C3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54" w:type="dxa"/>
            <w:vAlign w:val="center"/>
          </w:tcPr>
          <w:p w14:paraId="03AC9213">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0E9DE97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2E892C4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276" w:type="dxa"/>
            <w:vAlign w:val="center"/>
          </w:tcPr>
          <w:p w14:paraId="1795E34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135" w:type="dxa"/>
            <w:vAlign w:val="center"/>
          </w:tcPr>
          <w:p w14:paraId="34B51EB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709" w:type="dxa"/>
            <w:vAlign w:val="center"/>
          </w:tcPr>
          <w:p w14:paraId="3E466456">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803" w:type="dxa"/>
            <w:vAlign w:val="center"/>
          </w:tcPr>
          <w:p w14:paraId="05DA2D7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2036" w:type="dxa"/>
            <w:vAlign w:val="center"/>
          </w:tcPr>
          <w:p w14:paraId="38642AB3">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c>
          <w:tcPr>
            <w:tcW w:w="1368" w:type="dxa"/>
            <w:vAlign w:val="center"/>
          </w:tcPr>
          <w:p w14:paraId="765FD786">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p>
        </w:tc>
      </w:tr>
    </w:tbl>
    <w:p w14:paraId="1F0E016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注：1</w:t>
      </w:r>
      <w:r>
        <w:rPr>
          <w:rFonts w:hint="eastAsia" w:ascii="方正仿宋_GB2312" w:hAnsi="方正仿宋_GB2312" w:eastAsia="方正仿宋_GB2312" w:cs="方正仿宋_GB2312"/>
          <w:color w:val="auto"/>
          <w:sz w:val="21"/>
          <w:szCs w:val="21"/>
          <w:highlight w:val="none"/>
          <w:lang w:val="en-US" w:eastAsia="zh-CN"/>
        </w:rPr>
        <w:t>.</w:t>
      </w:r>
      <w:r>
        <w:rPr>
          <w:rFonts w:hint="eastAsia" w:ascii="方正仿宋_GB2312" w:hAnsi="方正仿宋_GB2312" w:eastAsia="方正仿宋_GB2312" w:cs="方正仿宋_GB2312"/>
          <w:color w:val="auto"/>
          <w:sz w:val="21"/>
          <w:szCs w:val="21"/>
          <w:highlight w:val="none"/>
        </w:rPr>
        <w:t>表中“岗位要求”一栏，由投标人填“专职”或“兼任”；</w:t>
      </w:r>
    </w:p>
    <w:p w14:paraId="496428EF">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2.拟配备的设计人员：</w:t>
      </w:r>
      <w:r>
        <w:rPr>
          <w:rFonts w:hint="eastAsia" w:ascii="方正仿宋_GB2312" w:hAnsi="方正仿宋_GB2312" w:eastAsia="方正仿宋_GB2312" w:cs="方正仿宋_GB2312"/>
          <w:color w:val="auto"/>
          <w:sz w:val="21"/>
          <w:szCs w:val="21"/>
          <w:highlight w:val="none"/>
        </w:rPr>
        <w:t>提供</w:t>
      </w:r>
      <w:r>
        <w:rPr>
          <w:rFonts w:hint="eastAsia" w:ascii="方正仿宋_GB2312" w:hAnsi="方正仿宋_GB2312" w:eastAsia="方正仿宋_GB2312" w:cs="方正仿宋_GB2312"/>
          <w:color w:val="auto"/>
          <w:sz w:val="21"/>
          <w:szCs w:val="21"/>
          <w:highlight w:val="none"/>
          <w:lang w:eastAsia="zh-CN"/>
        </w:rPr>
        <w:t>相关证书</w:t>
      </w:r>
      <w:r>
        <w:rPr>
          <w:rFonts w:hint="eastAsia" w:ascii="方正仿宋_GB2312" w:hAnsi="方正仿宋_GB2312" w:eastAsia="方正仿宋_GB2312" w:cs="方正仿宋_GB2312"/>
          <w:color w:val="auto"/>
          <w:sz w:val="21"/>
          <w:szCs w:val="21"/>
          <w:highlight w:val="none"/>
        </w:rPr>
        <w:t>、身份证原件扫描件</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zh-CN"/>
        </w:rPr>
        <w:t>职工基本养老保险参保证明</w:t>
      </w:r>
      <w:r>
        <w:rPr>
          <w:rFonts w:hint="eastAsia" w:ascii="方正仿宋_GB2312" w:hAnsi="方正仿宋_GB2312" w:eastAsia="方正仿宋_GB2312" w:cs="方正仿宋_GB2312"/>
          <w:color w:val="auto"/>
          <w:sz w:val="21"/>
          <w:szCs w:val="21"/>
          <w:highlight w:val="none"/>
        </w:rPr>
        <w:t>扫描件</w:t>
      </w:r>
      <w:r>
        <w:rPr>
          <w:rFonts w:hint="eastAsia" w:ascii="方正仿宋_GB2312" w:hAnsi="方正仿宋_GB2312" w:eastAsia="方正仿宋_GB2312" w:cs="方正仿宋_GB2312"/>
          <w:color w:val="auto"/>
          <w:sz w:val="21"/>
          <w:szCs w:val="21"/>
          <w:highlight w:val="none"/>
          <w:lang w:eastAsia="zh-CN"/>
        </w:rPr>
        <w:t>、已经退休的，需要提供返聘协议及退休证书</w:t>
      </w:r>
      <w:r>
        <w:rPr>
          <w:rFonts w:hint="eastAsia" w:ascii="方正仿宋_GB2312" w:hAnsi="方正仿宋_GB2312" w:eastAsia="方正仿宋_GB2312" w:cs="方正仿宋_GB2312"/>
          <w:color w:val="auto"/>
          <w:sz w:val="21"/>
          <w:szCs w:val="21"/>
          <w:highlight w:val="none"/>
          <w:lang w:val="en-US" w:eastAsia="zh-CN"/>
        </w:rPr>
        <w:t>扫描件</w:t>
      </w:r>
      <w:r>
        <w:rPr>
          <w:rFonts w:hint="eastAsia" w:ascii="方正仿宋_GB2312" w:hAnsi="方正仿宋_GB2312" w:eastAsia="方正仿宋_GB2312" w:cs="方正仿宋_GB2312"/>
          <w:color w:val="auto"/>
          <w:sz w:val="21"/>
          <w:szCs w:val="21"/>
          <w:highlight w:val="none"/>
          <w:lang w:val="zh-CN"/>
        </w:rPr>
        <w:t>；</w:t>
      </w:r>
    </w:p>
    <w:p w14:paraId="50D1F5B5">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3.</w:t>
      </w:r>
      <w:r>
        <w:rPr>
          <w:rFonts w:hint="eastAsia" w:ascii="方正仿宋_GB2312" w:hAnsi="方正仿宋_GB2312" w:eastAsia="方正仿宋_GB2312" w:cs="方正仿宋_GB2312"/>
          <w:color w:val="auto"/>
          <w:sz w:val="21"/>
          <w:szCs w:val="21"/>
          <w:highlight w:val="none"/>
        </w:rPr>
        <w:t>技术负责人</w:t>
      </w:r>
      <w:r>
        <w:rPr>
          <w:rFonts w:hint="eastAsia" w:ascii="方正仿宋_GB2312" w:hAnsi="方正仿宋_GB2312" w:eastAsia="方正仿宋_GB2312" w:cs="方正仿宋_GB2312"/>
          <w:color w:val="auto"/>
          <w:sz w:val="21"/>
          <w:szCs w:val="21"/>
          <w:highlight w:val="none"/>
          <w:lang w:eastAsia="zh-CN"/>
        </w:rPr>
        <w:t>须提供职称证书、身份证原件扫描件、职工基本养老保险参保证明</w:t>
      </w:r>
      <w:r>
        <w:rPr>
          <w:rFonts w:hint="eastAsia" w:ascii="方正仿宋_GB2312" w:hAnsi="方正仿宋_GB2312" w:eastAsia="方正仿宋_GB2312" w:cs="方正仿宋_GB2312"/>
          <w:color w:val="auto"/>
          <w:sz w:val="21"/>
          <w:szCs w:val="21"/>
          <w:highlight w:val="none"/>
          <w:lang w:val="zh-CN"/>
        </w:rPr>
        <w:t>；</w:t>
      </w:r>
      <w:r>
        <w:rPr>
          <w:rFonts w:hint="eastAsia" w:ascii="方正仿宋_GB2312" w:hAnsi="方正仿宋_GB2312" w:eastAsia="方正仿宋_GB2312" w:cs="方正仿宋_GB2312"/>
          <w:color w:val="auto"/>
          <w:sz w:val="21"/>
          <w:szCs w:val="21"/>
          <w:highlight w:val="none"/>
        </w:rPr>
        <w:t>施工员须提供</w:t>
      </w:r>
      <w:r>
        <w:rPr>
          <w:rFonts w:hint="eastAsia" w:ascii="方正仿宋_GB2312" w:hAnsi="方正仿宋_GB2312" w:eastAsia="方正仿宋_GB2312" w:cs="方正仿宋_GB2312"/>
          <w:color w:val="auto"/>
          <w:sz w:val="21"/>
          <w:szCs w:val="21"/>
          <w:highlight w:val="none"/>
          <w:lang w:eastAsia="zh-CN"/>
        </w:rPr>
        <w:t>相关证书</w:t>
      </w:r>
      <w:r>
        <w:rPr>
          <w:rFonts w:hint="eastAsia" w:ascii="方正仿宋_GB2312" w:hAnsi="方正仿宋_GB2312" w:eastAsia="方正仿宋_GB2312" w:cs="方正仿宋_GB2312"/>
          <w:color w:val="auto"/>
          <w:sz w:val="21"/>
          <w:szCs w:val="21"/>
          <w:highlight w:val="none"/>
        </w:rPr>
        <w:t>、身份证原件扫描件</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zh-CN"/>
        </w:rPr>
        <w:t>职工基本养老保险参保证明；</w:t>
      </w:r>
      <w:r>
        <w:rPr>
          <w:rFonts w:hint="eastAsia" w:ascii="方正仿宋_GB2312" w:hAnsi="方正仿宋_GB2312" w:eastAsia="方正仿宋_GB2312" w:cs="方正仿宋_GB2312"/>
          <w:color w:val="auto"/>
          <w:sz w:val="21"/>
          <w:szCs w:val="21"/>
          <w:highlight w:val="none"/>
        </w:rPr>
        <w:t>安全员须提供</w:t>
      </w:r>
      <w:r>
        <w:rPr>
          <w:rFonts w:hint="eastAsia" w:ascii="方正仿宋_GB2312" w:hAnsi="方正仿宋_GB2312" w:eastAsia="方正仿宋_GB2312" w:cs="方正仿宋_GB2312"/>
          <w:color w:val="auto"/>
          <w:sz w:val="21"/>
          <w:szCs w:val="21"/>
          <w:highlight w:val="none"/>
          <w:lang w:eastAsia="zh-CN"/>
        </w:rPr>
        <w:t>相关证书</w:t>
      </w:r>
      <w:r>
        <w:rPr>
          <w:rFonts w:hint="eastAsia" w:ascii="方正仿宋_GB2312" w:hAnsi="方正仿宋_GB2312" w:eastAsia="方正仿宋_GB2312" w:cs="方正仿宋_GB2312"/>
          <w:color w:val="auto"/>
          <w:sz w:val="21"/>
          <w:szCs w:val="21"/>
          <w:highlight w:val="none"/>
        </w:rPr>
        <w:t>、身份证原件扫描件</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zh-CN"/>
        </w:rPr>
        <w:t>职工基本养老保险参保证明；</w:t>
      </w:r>
      <w:r>
        <w:rPr>
          <w:rFonts w:hint="eastAsia" w:ascii="方正仿宋_GB2312" w:hAnsi="方正仿宋_GB2312" w:eastAsia="方正仿宋_GB2312" w:cs="方正仿宋_GB2312"/>
          <w:color w:val="auto"/>
          <w:sz w:val="21"/>
          <w:szCs w:val="21"/>
          <w:highlight w:val="none"/>
        </w:rPr>
        <w:t>质量员须提供</w:t>
      </w:r>
      <w:r>
        <w:rPr>
          <w:rFonts w:hint="eastAsia" w:ascii="方正仿宋_GB2312" w:hAnsi="方正仿宋_GB2312" w:eastAsia="方正仿宋_GB2312" w:cs="方正仿宋_GB2312"/>
          <w:color w:val="auto"/>
          <w:sz w:val="21"/>
          <w:szCs w:val="21"/>
          <w:highlight w:val="none"/>
          <w:lang w:eastAsia="zh-CN"/>
        </w:rPr>
        <w:t>相关证书</w:t>
      </w:r>
      <w:r>
        <w:rPr>
          <w:rFonts w:hint="eastAsia" w:ascii="方正仿宋_GB2312" w:hAnsi="方正仿宋_GB2312" w:eastAsia="方正仿宋_GB2312" w:cs="方正仿宋_GB2312"/>
          <w:color w:val="auto"/>
          <w:sz w:val="21"/>
          <w:szCs w:val="21"/>
          <w:highlight w:val="none"/>
        </w:rPr>
        <w:t>、身份证原件扫描件</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lang w:val="zh-CN"/>
        </w:rPr>
        <w:t>职工基本养老保险参保证明；</w:t>
      </w:r>
      <w:r>
        <w:rPr>
          <w:rFonts w:hint="eastAsia" w:ascii="方正仿宋_GB2312" w:hAnsi="方正仿宋_GB2312" w:eastAsia="方正仿宋_GB2312" w:cs="方正仿宋_GB2312"/>
          <w:color w:val="auto"/>
          <w:sz w:val="21"/>
          <w:szCs w:val="21"/>
          <w:highlight w:val="none"/>
        </w:rPr>
        <w:t>其余人员提供相关证书及身份证原件扫描件</w:t>
      </w:r>
      <w:r>
        <w:rPr>
          <w:rFonts w:hint="eastAsia" w:ascii="方正仿宋_GB2312" w:hAnsi="方正仿宋_GB2312" w:eastAsia="方正仿宋_GB2312" w:cs="方正仿宋_GB2312"/>
          <w:color w:val="auto"/>
          <w:sz w:val="21"/>
          <w:szCs w:val="21"/>
          <w:highlight w:val="none"/>
          <w:lang w:eastAsia="zh-CN"/>
        </w:rPr>
        <w:t>。</w:t>
      </w:r>
    </w:p>
    <w:p w14:paraId="11FAA8E8">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lang w:val="en-US" w:eastAsia="zh-CN"/>
        </w:rPr>
        <w:t>4</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表格不够填写的，可由投标人自行添加。</w:t>
      </w:r>
    </w:p>
    <w:p w14:paraId="61BD5856">
      <w:pPr>
        <w:rPr>
          <w:rFonts w:hint="eastAsia" w:ascii="方正仿宋_GB2312" w:hAnsi="方正仿宋_GB2312" w:eastAsia="方正仿宋_GB2312" w:cs="方正仿宋_GB2312"/>
          <w:b/>
          <w:bCs/>
          <w:color w:val="auto"/>
          <w:sz w:val="21"/>
          <w:szCs w:val="21"/>
          <w:highlight w:val="none"/>
          <w:lang w:val="en-US" w:eastAsia="zh-CN"/>
        </w:rPr>
      </w:pPr>
      <w:r>
        <w:rPr>
          <w:rFonts w:hint="eastAsia" w:ascii="方正仿宋_GB2312" w:hAnsi="方正仿宋_GB2312" w:eastAsia="方正仿宋_GB2312" w:cs="方正仿宋_GB2312"/>
          <w:b/>
          <w:bCs/>
          <w:color w:val="auto"/>
          <w:sz w:val="21"/>
          <w:szCs w:val="21"/>
          <w:highlight w:val="none"/>
          <w:lang w:val="en-US" w:eastAsia="zh-CN"/>
        </w:rPr>
        <w:br w:type="page"/>
      </w:r>
    </w:p>
    <w:p w14:paraId="1044206E">
      <w:pPr>
        <w:pStyle w:val="5"/>
        <w:keepNext w:val="0"/>
        <w:keepLines w:val="0"/>
        <w:pageBreakBefore w:val="0"/>
        <w:widowControl w:val="0"/>
        <w:kinsoku/>
        <w:wordWrap/>
        <w:overflowPunct/>
        <w:topLinePunct w:val="0"/>
        <w:autoSpaceDE/>
        <w:autoSpaceDN/>
        <w:bidi w:val="0"/>
        <w:adjustRightInd/>
        <w:snapToGrid w:val="0"/>
        <w:ind w:left="0" w:leftChars="0" w:firstLine="420" w:firstLineChars="200"/>
        <w:textAlignment w:val="auto"/>
        <w:rPr>
          <w:rFonts w:hint="eastAsia" w:ascii="方正仿宋_GB2312" w:hAnsi="方正仿宋_GB2312" w:eastAsia="方正仿宋_GB2312" w:cs="方正仿宋_GB2312"/>
          <w:color w:val="auto"/>
          <w:highlight w:val="none"/>
          <w:lang w:val="en-US"/>
        </w:rPr>
      </w:pPr>
    </w:p>
    <w:p w14:paraId="501DC1BA">
      <w:pPr>
        <w:pStyle w:val="4"/>
        <w:ind w:firstLine="0" w:firstLineChars="0"/>
        <w:jc w:val="center"/>
        <w:rPr>
          <w:rFonts w:hint="eastAsia" w:ascii="方正仿宋_GB2312" w:hAnsi="方正仿宋_GB2312" w:eastAsia="方正仿宋_GB2312" w:cs="方正仿宋_GB2312"/>
          <w:color w:val="auto"/>
          <w:sz w:val="32"/>
          <w:szCs w:val="32"/>
          <w:highlight w:val="none"/>
        </w:rPr>
      </w:pPr>
      <w:bookmarkStart w:id="1572" w:name="_Toc30773"/>
      <w:bookmarkStart w:id="1573" w:name="_Toc152045809"/>
      <w:bookmarkStart w:id="1574" w:name="_Toc247514301"/>
      <w:bookmarkStart w:id="1575" w:name="_Toc144974877"/>
      <w:bookmarkStart w:id="1576" w:name="_Toc13109"/>
      <w:bookmarkStart w:id="1577" w:name="_Toc26026_WPSOffice_Level2"/>
      <w:bookmarkStart w:id="1578" w:name="_Toc247527849"/>
      <w:bookmarkStart w:id="1579" w:name="_Toc11432_WPSOffice_Level2"/>
      <w:bookmarkStart w:id="1580" w:name="_Toc2251"/>
      <w:bookmarkStart w:id="1581" w:name="_Toc152042598"/>
      <w:bookmarkStart w:id="1582" w:name="_Toc318966032"/>
      <w:r>
        <w:rPr>
          <w:rFonts w:hint="eastAsia" w:ascii="方正仿宋_GB2312" w:hAnsi="方正仿宋_GB2312" w:eastAsia="方正仿宋_GB2312" w:cs="方正仿宋_GB2312"/>
          <w:color w:val="auto"/>
          <w:sz w:val="32"/>
          <w:szCs w:val="32"/>
          <w:highlight w:val="none"/>
        </w:rPr>
        <w:t>二、</w:t>
      </w:r>
      <w:r>
        <w:rPr>
          <w:rFonts w:hint="eastAsia" w:ascii="方正仿宋_GB2312" w:hAnsi="方正仿宋_GB2312" w:eastAsia="方正仿宋_GB2312" w:cs="方正仿宋_GB2312"/>
          <w:b/>
          <w:bCs w:val="0"/>
          <w:color w:val="auto"/>
          <w:sz w:val="32"/>
          <w:szCs w:val="32"/>
          <w:highlight w:val="none"/>
        </w:rPr>
        <w:t>近年财务状况表</w:t>
      </w:r>
      <w:bookmarkEnd w:id="1572"/>
      <w:bookmarkEnd w:id="1573"/>
      <w:bookmarkEnd w:id="1574"/>
      <w:bookmarkEnd w:id="1575"/>
      <w:bookmarkEnd w:id="1576"/>
      <w:bookmarkEnd w:id="1577"/>
      <w:bookmarkEnd w:id="1578"/>
      <w:bookmarkEnd w:id="1579"/>
      <w:bookmarkEnd w:id="1580"/>
      <w:bookmarkEnd w:id="1581"/>
      <w:bookmarkEnd w:id="1582"/>
    </w:p>
    <w:tbl>
      <w:tblPr>
        <w:tblStyle w:val="28"/>
        <w:tblW w:w="846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2721"/>
        <w:gridCol w:w="1265"/>
        <w:gridCol w:w="4475"/>
      </w:tblGrid>
      <w:tr w14:paraId="24AD28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Borders>
              <w:top w:val="single" w:color="auto" w:sz="12" w:space="0"/>
            </w:tcBorders>
            <w:tcMar>
              <w:top w:w="80" w:type="dxa"/>
              <w:left w:w="80" w:type="dxa"/>
              <w:bottom w:w="80" w:type="dxa"/>
              <w:right w:w="80" w:type="dxa"/>
            </w:tcMar>
            <w:vAlign w:val="center"/>
          </w:tcPr>
          <w:p w14:paraId="4788DF48">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项目或指标</w:t>
            </w:r>
          </w:p>
        </w:tc>
        <w:tc>
          <w:tcPr>
            <w:tcW w:w="1265" w:type="dxa"/>
            <w:tcBorders>
              <w:top w:val="single" w:color="auto" w:sz="12" w:space="0"/>
            </w:tcBorders>
            <w:vAlign w:val="center"/>
          </w:tcPr>
          <w:p w14:paraId="4EF509EC">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单位</w:t>
            </w:r>
          </w:p>
        </w:tc>
        <w:tc>
          <w:tcPr>
            <w:tcW w:w="4475" w:type="dxa"/>
            <w:tcBorders>
              <w:top w:val="single" w:color="auto" w:sz="12" w:space="0"/>
            </w:tcBorders>
            <w:vAlign w:val="center"/>
          </w:tcPr>
          <w:p w14:paraId="2B6E9434">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en-US" w:eastAsia="zh-CN"/>
              </w:rPr>
              <w:t xml:space="preserve">  </w:t>
            </w:r>
            <w:r>
              <w:rPr>
                <w:rFonts w:hint="eastAsia" w:ascii="方正仿宋_GB2312" w:hAnsi="方正仿宋_GB2312" w:eastAsia="方正仿宋_GB2312" w:cs="方正仿宋_GB2312"/>
                <w:color w:val="auto"/>
                <w:kern w:val="0"/>
                <w:highlight w:val="none"/>
                <w:lang w:val="zh-TW" w:eastAsia="zh-TW"/>
              </w:rPr>
              <w:t>年</w:t>
            </w:r>
          </w:p>
        </w:tc>
      </w:tr>
      <w:tr w14:paraId="0219DF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5C5CBA09">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一、注册资金</w:t>
            </w:r>
          </w:p>
        </w:tc>
        <w:tc>
          <w:tcPr>
            <w:tcW w:w="1265" w:type="dxa"/>
            <w:vAlign w:val="center"/>
          </w:tcPr>
          <w:p w14:paraId="7ECE8157">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227080A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5814F2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394C506C">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二、净资产</w:t>
            </w:r>
          </w:p>
        </w:tc>
        <w:tc>
          <w:tcPr>
            <w:tcW w:w="1265" w:type="dxa"/>
            <w:vAlign w:val="center"/>
          </w:tcPr>
          <w:p w14:paraId="462B8E6D">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69612B2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482616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23558114">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三、总资产</w:t>
            </w:r>
          </w:p>
        </w:tc>
        <w:tc>
          <w:tcPr>
            <w:tcW w:w="1265" w:type="dxa"/>
            <w:vAlign w:val="center"/>
          </w:tcPr>
          <w:p w14:paraId="38AEDF5C">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60E643B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35119E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63208C63">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四、固定资产</w:t>
            </w:r>
          </w:p>
        </w:tc>
        <w:tc>
          <w:tcPr>
            <w:tcW w:w="1265" w:type="dxa"/>
            <w:vAlign w:val="center"/>
          </w:tcPr>
          <w:p w14:paraId="45FDEEA3">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64D64B3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317C05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77EA933B">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五、流动资产</w:t>
            </w:r>
          </w:p>
        </w:tc>
        <w:tc>
          <w:tcPr>
            <w:tcW w:w="1265" w:type="dxa"/>
            <w:vAlign w:val="center"/>
          </w:tcPr>
          <w:p w14:paraId="0A006258">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5837B6A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00C4DF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1DE80572">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六、流动负债</w:t>
            </w:r>
          </w:p>
        </w:tc>
        <w:tc>
          <w:tcPr>
            <w:tcW w:w="1265" w:type="dxa"/>
            <w:vAlign w:val="center"/>
          </w:tcPr>
          <w:p w14:paraId="32BA47DF">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1143B29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07034B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555BD325">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七、负债合计</w:t>
            </w:r>
          </w:p>
        </w:tc>
        <w:tc>
          <w:tcPr>
            <w:tcW w:w="1265" w:type="dxa"/>
            <w:vAlign w:val="center"/>
          </w:tcPr>
          <w:p w14:paraId="084B5137">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0174F4E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6A85B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4F922184">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八、营业收入</w:t>
            </w:r>
          </w:p>
        </w:tc>
        <w:tc>
          <w:tcPr>
            <w:tcW w:w="1265" w:type="dxa"/>
            <w:vAlign w:val="center"/>
          </w:tcPr>
          <w:p w14:paraId="06588B48">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3060414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684A19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51C1E262">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九、净利润</w:t>
            </w:r>
          </w:p>
        </w:tc>
        <w:tc>
          <w:tcPr>
            <w:tcW w:w="1265" w:type="dxa"/>
            <w:vAlign w:val="center"/>
          </w:tcPr>
          <w:p w14:paraId="53A21FF1">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2DE022C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3E27DA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03B76ABF">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十、现金流量净额</w:t>
            </w:r>
          </w:p>
        </w:tc>
        <w:tc>
          <w:tcPr>
            <w:tcW w:w="1265" w:type="dxa"/>
            <w:vAlign w:val="center"/>
          </w:tcPr>
          <w:p w14:paraId="568E3D9E">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万元</w:t>
            </w:r>
          </w:p>
        </w:tc>
        <w:tc>
          <w:tcPr>
            <w:tcW w:w="4475" w:type="dxa"/>
            <w:vAlign w:val="center"/>
          </w:tcPr>
          <w:p w14:paraId="64B819F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21FCB3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166326E2">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十一、主要财务指标</w:t>
            </w:r>
          </w:p>
        </w:tc>
        <w:tc>
          <w:tcPr>
            <w:tcW w:w="1265" w:type="dxa"/>
            <w:vAlign w:val="center"/>
          </w:tcPr>
          <w:p w14:paraId="658B46B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c>
          <w:tcPr>
            <w:tcW w:w="4475" w:type="dxa"/>
            <w:vAlign w:val="center"/>
          </w:tcPr>
          <w:p w14:paraId="7C38747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77511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37C21DA7">
            <w:pPr>
              <w:pStyle w:val="65"/>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eastAsia="zh-CN"/>
              </w:rPr>
              <w:t>1.</w:t>
            </w:r>
            <w:r>
              <w:rPr>
                <w:rFonts w:hint="eastAsia" w:ascii="方正仿宋_GB2312" w:hAnsi="方正仿宋_GB2312" w:eastAsia="方正仿宋_GB2312" w:cs="方正仿宋_GB2312"/>
                <w:color w:val="auto"/>
                <w:kern w:val="0"/>
                <w:highlight w:val="none"/>
                <w:lang w:val="zh-TW" w:eastAsia="zh-TW"/>
              </w:rPr>
              <w:t>净资产收益率</w:t>
            </w:r>
          </w:p>
        </w:tc>
        <w:tc>
          <w:tcPr>
            <w:tcW w:w="1265" w:type="dxa"/>
            <w:vAlign w:val="center"/>
          </w:tcPr>
          <w:p w14:paraId="2715D775">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w:t>
            </w:r>
          </w:p>
        </w:tc>
        <w:tc>
          <w:tcPr>
            <w:tcW w:w="4475" w:type="dxa"/>
            <w:vAlign w:val="center"/>
          </w:tcPr>
          <w:p w14:paraId="0CC7634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5408A9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7059FB98">
            <w:pPr>
              <w:pStyle w:val="65"/>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eastAsia="zh-CN"/>
              </w:rPr>
              <w:t>2.</w:t>
            </w:r>
            <w:r>
              <w:rPr>
                <w:rFonts w:hint="eastAsia" w:ascii="方正仿宋_GB2312" w:hAnsi="方正仿宋_GB2312" w:eastAsia="方正仿宋_GB2312" w:cs="方正仿宋_GB2312"/>
                <w:color w:val="auto"/>
                <w:kern w:val="0"/>
                <w:highlight w:val="none"/>
                <w:lang w:val="zh-TW" w:eastAsia="zh-TW"/>
              </w:rPr>
              <w:t>总资产报酬率</w:t>
            </w:r>
          </w:p>
        </w:tc>
        <w:tc>
          <w:tcPr>
            <w:tcW w:w="1265" w:type="dxa"/>
            <w:vAlign w:val="center"/>
          </w:tcPr>
          <w:p w14:paraId="482BBB82">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w:t>
            </w:r>
          </w:p>
        </w:tc>
        <w:tc>
          <w:tcPr>
            <w:tcW w:w="4475" w:type="dxa"/>
            <w:vAlign w:val="center"/>
          </w:tcPr>
          <w:p w14:paraId="7D17621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2EC3A9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6AF340A8">
            <w:pPr>
              <w:pStyle w:val="65"/>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eastAsia="zh-CN"/>
              </w:rPr>
              <w:t>3.</w:t>
            </w:r>
            <w:r>
              <w:rPr>
                <w:rFonts w:hint="eastAsia" w:ascii="方正仿宋_GB2312" w:hAnsi="方正仿宋_GB2312" w:eastAsia="方正仿宋_GB2312" w:cs="方正仿宋_GB2312"/>
                <w:color w:val="auto"/>
                <w:kern w:val="0"/>
                <w:highlight w:val="none"/>
                <w:lang w:val="zh-TW" w:eastAsia="zh-TW"/>
              </w:rPr>
              <w:t>主营业务利润率</w:t>
            </w:r>
          </w:p>
        </w:tc>
        <w:tc>
          <w:tcPr>
            <w:tcW w:w="1265" w:type="dxa"/>
            <w:vAlign w:val="center"/>
          </w:tcPr>
          <w:p w14:paraId="477D3DF7">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w:t>
            </w:r>
          </w:p>
        </w:tc>
        <w:tc>
          <w:tcPr>
            <w:tcW w:w="4475" w:type="dxa"/>
            <w:vAlign w:val="center"/>
          </w:tcPr>
          <w:p w14:paraId="073B72C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r w14:paraId="5A7EDA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0" w:hRule="atLeast"/>
          <w:jc w:val="center"/>
        </w:trPr>
        <w:tc>
          <w:tcPr>
            <w:tcW w:w="2721" w:type="dxa"/>
            <w:tcMar>
              <w:top w:w="80" w:type="dxa"/>
              <w:left w:w="80" w:type="dxa"/>
              <w:bottom w:w="80" w:type="dxa"/>
              <w:right w:w="80" w:type="dxa"/>
            </w:tcMar>
            <w:vAlign w:val="center"/>
          </w:tcPr>
          <w:p w14:paraId="06292645">
            <w:pPr>
              <w:pStyle w:val="65"/>
              <w:keepNext w:val="0"/>
              <w:keepLines w:val="0"/>
              <w:pageBreakBefore w:val="0"/>
              <w:widowControl w:val="0"/>
              <w:kinsoku/>
              <w:wordWrap/>
              <w:overflowPunct/>
              <w:topLinePunct w:val="0"/>
              <w:autoSpaceDE/>
              <w:autoSpaceDN/>
              <w:bidi w:val="0"/>
              <w:adjustRightInd w:val="0"/>
              <w:snapToGrid w:val="0"/>
              <w:spacing w:line="240" w:lineRule="auto"/>
              <w:ind w:firstLine="281" w:firstLineChars="134"/>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eastAsia="zh-CN"/>
              </w:rPr>
              <w:t>4.</w:t>
            </w:r>
            <w:r>
              <w:rPr>
                <w:rFonts w:hint="eastAsia" w:ascii="方正仿宋_GB2312" w:hAnsi="方正仿宋_GB2312" w:eastAsia="方正仿宋_GB2312" w:cs="方正仿宋_GB2312"/>
                <w:color w:val="auto"/>
                <w:kern w:val="0"/>
                <w:highlight w:val="none"/>
                <w:lang w:val="zh-TW" w:eastAsia="zh-TW"/>
              </w:rPr>
              <w:t>资产负债率</w:t>
            </w:r>
          </w:p>
        </w:tc>
        <w:tc>
          <w:tcPr>
            <w:tcW w:w="1265" w:type="dxa"/>
            <w:vAlign w:val="center"/>
          </w:tcPr>
          <w:p w14:paraId="56998263">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kern w:val="0"/>
                <w:highlight w:val="none"/>
                <w:lang w:val="zh-TW" w:eastAsia="zh-TW"/>
              </w:rPr>
              <w:t>％</w:t>
            </w:r>
          </w:p>
        </w:tc>
        <w:tc>
          <w:tcPr>
            <w:tcW w:w="4475" w:type="dxa"/>
            <w:vAlign w:val="center"/>
          </w:tcPr>
          <w:p w14:paraId="0C6F951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方正仿宋_GB2312" w:hAnsi="方正仿宋_GB2312" w:eastAsia="方正仿宋_GB2312" w:cs="方正仿宋_GB2312"/>
                <w:color w:val="auto"/>
                <w:highlight w:val="none"/>
              </w:rPr>
            </w:pPr>
          </w:p>
        </w:tc>
      </w:tr>
    </w:tbl>
    <w:p w14:paraId="09C8FBDE">
      <w:pPr>
        <w:keepNext w:val="0"/>
        <w:keepLines w:val="0"/>
        <w:pageBreakBefore w:val="0"/>
        <w:widowControl w:val="0"/>
        <w:kinsoku/>
        <w:wordWrap/>
        <w:overflowPunct/>
        <w:topLinePunct w:val="0"/>
        <w:autoSpaceDE/>
        <w:autoSpaceDN/>
        <w:bidi w:val="0"/>
        <w:snapToGrid w:val="0"/>
        <w:spacing w:after="0" w:line="360" w:lineRule="auto"/>
        <w:ind w:firstLine="420" w:firstLineChars="200"/>
        <w:textAlignment w:val="auto"/>
        <w:outlineLvl w:val="9"/>
        <w:rPr>
          <w:rFonts w:hint="eastAsia" w:ascii="方正仿宋_GB2312" w:hAnsi="方正仿宋_GB2312" w:eastAsia="方正仿宋_GB2312" w:cs="方正仿宋_GB2312"/>
          <w:color w:val="auto"/>
          <w:sz w:val="21"/>
          <w:szCs w:val="21"/>
          <w:highlight w:val="none"/>
          <w:lang w:val="zh-TW"/>
        </w:rPr>
      </w:pPr>
      <w:bookmarkStart w:id="1583" w:name="_Toc16622"/>
      <w:r>
        <w:rPr>
          <w:rFonts w:hint="eastAsia" w:ascii="方正仿宋_GB2312" w:hAnsi="方正仿宋_GB2312" w:eastAsia="方正仿宋_GB2312" w:cs="方正仿宋_GB2312"/>
          <w:color w:val="auto"/>
          <w:sz w:val="21"/>
          <w:szCs w:val="21"/>
          <w:highlight w:val="none"/>
          <w:lang w:val="zh-TW"/>
        </w:rPr>
        <w:t>备注：</w:t>
      </w:r>
      <w:r>
        <w:rPr>
          <w:rFonts w:hint="eastAsia" w:ascii="方正仿宋_GB2312" w:hAnsi="方正仿宋_GB2312" w:eastAsia="方正仿宋_GB2312" w:cs="方正仿宋_GB2312"/>
          <w:color w:val="auto"/>
          <w:sz w:val="21"/>
          <w:szCs w:val="21"/>
          <w:highlight w:val="none"/>
          <w:lang w:val="zh-TW" w:eastAsia="zh-CN"/>
        </w:rPr>
        <w:t>（</w:t>
      </w:r>
      <w:r>
        <w:rPr>
          <w:rFonts w:hint="eastAsia" w:ascii="方正仿宋_GB2312" w:hAnsi="方正仿宋_GB2312" w:eastAsia="方正仿宋_GB2312" w:cs="方正仿宋_GB2312"/>
          <w:color w:val="auto"/>
          <w:sz w:val="21"/>
          <w:szCs w:val="21"/>
          <w:highlight w:val="none"/>
          <w:lang w:val="en-US" w:eastAsia="zh-CN"/>
        </w:rPr>
        <w:t>1</w:t>
      </w:r>
      <w:r>
        <w:rPr>
          <w:rFonts w:hint="eastAsia" w:ascii="方正仿宋_GB2312" w:hAnsi="方正仿宋_GB2312" w:eastAsia="方正仿宋_GB2312" w:cs="方正仿宋_GB2312"/>
          <w:color w:val="auto"/>
          <w:sz w:val="21"/>
          <w:szCs w:val="21"/>
          <w:highlight w:val="none"/>
          <w:lang w:val="zh-TW" w:eastAsia="zh-CN"/>
        </w:rPr>
        <w:t>）</w:t>
      </w:r>
      <w:r>
        <w:rPr>
          <w:rFonts w:hint="eastAsia" w:ascii="方正仿宋_GB2312" w:hAnsi="方正仿宋_GB2312" w:eastAsia="方正仿宋_GB2312" w:cs="方正仿宋_GB2312"/>
          <w:color w:val="auto"/>
          <w:sz w:val="21"/>
          <w:szCs w:val="21"/>
          <w:highlight w:val="none"/>
          <w:lang w:val="zh-TW"/>
        </w:rPr>
        <w:t>提供经审计机构审计的财务报表</w:t>
      </w:r>
      <w:r>
        <w:rPr>
          <w:rFonts w:hint="eastAsia" w:ascii="方正仿宋_GB2312" w:hAnsi="方正仿宋_GB2312" w:eastAsia="方正仿宋_GB2312" w:cs="方正仿宋_GB2312"/>
          <w:color w:val="auto"/>
          <w:sz w:val="21"/>
          <w:szCs w:val="21"/>
          <w:highlight w:val="none"/>
          <w:lang w:val="zh-TW" w:eastAsia="zh-CN"/>
        </w:rPr>
        <w:t>及相关材料</w:t>
      </w:r>
      <w:r>
        <w:rPr>
          <w:rFonts w:hint="eastAsia" w:ascii="方正仿宋_GB2312" w:hAnsi="方正仿宋_GB2312" w:eastAsia="方正仿宋_GB2312" w:cs="方正仿宋_GB2312"/>
          <w:color w:val="auto"/>
          <w:sz w:val="21"/>
          <w:szCs w:val="21"/>
          <w:highlight w:val="none"/>
          <w:lang w:val="zh-TW"/>
        </w:rPr>
        <w:t>，</w:t>
      </w:r>
      <w:r>
        <w:rPr>
          <w:rFonts w:hint="eastAsia" w:ascii="方正仿宋_GB2312" w:hAnsi="方正仿宋_GB2312" w:eastAsia="方正仿宋_GB2312" w:cs="方正仿宋_GB2312"/>
          <w:color w:val="auto"/>
          <w:sz w:val="21"/>
          <w:szCs w:val="21"/>
          <w:highlight w:val="none"/>
          <w:lang w:val="zh-TW" w:eastAsia="zh-CN"/>
        </w:rPr>
        <w:t>具体</w:t>
      </w:r>
      <w:r>
        <w:rPr>
          <w:rFonts w:hint="eastAsia" w:ascii="方正仿宋_GB2312" w:hAnsi="方正仿宋_GB2312" w:eastAsia="方正仿宋_GB2312" w:cs="方正仿宋_GB2312"/>
          <w:color w:val="auto"/>
          <w:sz w:val="21"/>
          <w:szCs w:val="21"/>
          <w:highlight w:val="none"/>
          <w:lang w:val="zh-TW"/>
        </w:rPr>
        <w:t>要求见投标人须知前附表。</w:t>
      </w:r>
    </w:p>
    <w:p w14:paraId="3B8CFED0">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hint="eastAsia" w:ascii="方正仿宋_GB2312" w:hAnsi="方正仿宋_GB2312" w:eastAsia="方正仿宋_GB2312" w:cs="方正仿宋_GB2312"/>
          <w:color w:val="auto"/>
          <w:sz w:val="21"/>
          <w:szCs w:val="21"/>
          <w:highlight w:val="none"/>
          <w:lang w:val="en-US" w:eastAsia="zh-CN"/>
        </w:rPr>
      </w:pPr>
    </w:p>
    <w:p w14:paraId="367FF6B9">
      <w:pP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br w:type="page"/>
      </w:r>
    </w:p>
    <w:p w14:paraId="54D2653C">
      <w:pPr>
        <w:pStyle w:val="4"/>
        <w:ind w:firstLine="0" w:firstLineChars="0"/>
        <w:jc w:val="center"/>
        <w:rPr>
          <w:rFonts w:hint="eastAsia" w:ascii="方正仿宋_GB2312" w:hAnsi="方正仿宋_GB2312" w:eastAsia="方正仿宋_GB2312" w:cs="方正仿宋_GB2312"/>
          <w:color w:val="auto"/>
          <w:sz w:val="32"/>
          <w:szCs w:val="32"/>
          <w:highlight w:val="none"/>
        </w:rPr>
      </w:pPr>
      <w:bookmarkStart w:id="1584" w:name="_Toc1770"/>
      <w:r>
        <w:rPr>
          <w:rFonts w:hint="eastAsia" w:ascii="方正仿宋_GB2312" w:hAnsi="方正仿宋_GB2312" w:eastAsia="方正仿宋_GB2312" w:cs="方正仿宋_GB2312"/>
          <w:color w:val="auto"/>
          <w:sz w:val="32"/>
          <w:szCs w:val="32"/>
          <w:highlight w:val="none"/>
        </w:rPr>
        <w:t>三、信誉承诺</w:t>
      </w:r>
      <w:bookmarkEnd w:id="1583"/>
      <w:bookmarkEnd w:id="1584"/>
    </w:p>
    <w:p w14:paraId="7CB3BCD3">
      <w:pPr>
        <w:pStyle w:val="44"/>
        <w:adjustRightInd w:val="0"/>
        <w:snapToGrid w:val="0"/>
        <w:spacing w:after="200" w:line="360" w:lineRule="auto"/>
        <w:jc w:val="cente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t>（符合第二章“投标人须知前附表”1.4.1项规定）</w:t>
      </w:r>
    </w:p>
    <w:p w14:paraId="250ED50A">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1.</w:t>
      </w:r>
      <w:r>
        <w:rPr>
          <w:rFonts w:hint="eastAsia" w:ascii="方正仿宋_GB2312" w:hAnsi="方正仿宋_GB2312" w:eastAsia="方正仿宋_GB2312" w:cs="方正仿宋_GB2312"/>
          <w:b w:val="0"/>
          <w:bCs w:val="0"/>
          <w:color w:val="auto"/>
          <w:kern w:val="0"/>
          <w:sz w:val="24"/>
          <w:szCs w:val="24"/>
          <w:highlight w:val="none"/>
        </w:rPr>
        <w:t>投标人当前没有处于被责令停产、投标资格取消、财产被接管或冻结、破产等状态；投标人近三年内未曾骗取中标或严重违约或发生重大工程质量、安全事故，没有被建设行政主管部门列入黑名单的情况（</w:t>
      </w:r>
      <w:r>
        <w:rPr>
          <w:rFonts w:hint="eastAsia" w:ascii="方正仿宋_GB2312" w:hAnsi="方正仿宋_GB2312" w:eastAsia="方正仿宋_GB2312" w:cs="方正仿宋_GB2312"/>
          <w:b w:val="0"/>
          <w:bCs w:val="0"/>
          <w:color w:val="auto"/>
          <w:kern w:val="0"/>
          <w:sz w:val="24"/>
          <w:szCs w:val="24"/>
          <w:highlight w:val="none"/>
          <w:lang w:val="zh-CN" w:eastAsia="zh-CN"/>
        </w:rPr>
        <w:t>如未出现上述情况，投标人须做出承诺，若为联合体投标的，联合体投标的各成员均须作出承诺，并对其真实性负责</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74297751">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lang w:eastAsia="zh-CN"/>
        </w:rPr>
      </w:pPr>
      <w:r>
        <w:rPr>
          <w:rFonts w:hint="eastAsia" w:ascii="方正仿宋_GB2312" w:hAnsi="方正仿宋_GB2312" w:eastAsia="方正仿宋_GB2312" w:cs="方正仿宋_GB2312"/>
          <w:b w:val="0"/>
          <w:bCs w:val="0"/>
          <w:color w:val="auto"/>
          <w:kern w:val="0"/>
          <w:sz w:val="24"/>
          <w:szCs w:val="24"/>
          <w:highlight w:val="none"/>
          <w:lang w:val="en-US" w:eastAsia="zh-CN"/>
        </w:rPr>
        <w:t>2.</w:t>
      </w:r>
      <w:r>
        <w:rPr>
          <w:rFonts w:hint="eastAsia" w:ascii="方正仿宋_GB2312" w:hAnsi="方正仿宋_GB2312" w:eastAsia="方正仿宋_GB2312" w:cs="方正仿宋_GB2312"/>
          <w:b w:val="0"/>
          <w:bCs w:val="0"/>
          <w:color w:val="auto"/>
          <w:kern w:val="0"/>
          <w:sz w:val="24"/>
          <w:szCs w:val="24"/>
          <w:highlight w:val="none"/>
        </w:rPr>
        <w:t>企业、企业法定代表人及拟派项目负责人通过“中国裁判文书网”查询犯罪档案记录，案由类型检索为行贿、受贿案件（</w:t>
      </w:r>
      <w:r>
        <w:rPr>
          <w:rFonts w:hint="eastAsia" w:ascii="方正仿宋_GB2312" w:hAnsi="方正仿宋_GB2312" w:eastAsia="方正仿宋_GB2312" w:cs="方正仿宋_GB2312"/>
          <w:b w:val="0"/>
          <w:bCs w:val="0"/>
          <w:color w:val="auto"/>
          <w:kern w:val="0"/>
          <w:sz w:val="24"/>
          <w:szCs w:val="24"/>
          <w:highlight w:val="none"/>
          <w:lang w:val="zh-CN" w:eastAsia="zh-CN"/>
        </w:rPr>
        <w:t>投标人自行在中国裁判文书网查询，提供承诺函，若为联合体投标的，联合体投标的各成员均须提供</w:t>
      </w:r>
      <w:r>
        <w:rPr>
          <w:rFonts w:hint="eastAsia" w:ascii="方正仿宋_GB2312" w:hAnsi="方正仿宋_GB2312" w:eastAsia="方正仿宋_GB2312" w:cs="方正仿宋_GB2312"/>
          <w:b w:val="0"/>
          <w:bCs w:val="0"/>
          <w:color w:val="auto"/>
          <w:kern w:val="0"/>
          <w:sz w:val="24"/>
          <w:szCs w:val="24"/>
          <w:highlight w:val="none"/>
        </w:rPr>
        <w:t>）</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1F925B8C">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3.</w:t>
      </w:r>
      <w:r>
        <w:rPr>
          <w:rFonts w:hint="eastAsia" w:ascii="方正仿宋_GB2312" w:hAnsi="方正仿宋_GB2312" w:eastAsia="方正仿宋_GB2312" w:cs="方正仿宋_GB2312"/>
          <w:b w:val="0"/>
          <w:bCs w:val="0"/>
          <w:color w:val="auto"/>
          <w:kern w:val="0"/>
          <w:sz w:val="24"/>
          <w:szCs w:val="24"/>
          <w:highlight w:val="none"/>
          <w:lang w:val="zh-CN" w:eastAsia="zh-CN"/>
        </w:rPr>
        <w:t>近三年企业、企业法定代表人及拟派项目负责人未被“信用中国”网站及中国执行信息公开网列为失信被执行人（投标人自行在“信用中国”网站及中国执行信息公开网查询，提供承诺函，若为联合体投标的，联合体投标的各成员均须提供）</w:t>
      </w:r>
    </w:p>
    <w:p w14:paraId="199072FE">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4.</w:t>
      </w:r>
      <w:r>
        <w:rPr>
          <w:rFonts w:hint="eastAsia" w:ascii="方正仿宋_GB2312" w:hAnsi="方正仿宋_GB2312" w:eastAsia="方正仿宋_GB2312" w:cs="方正仿宋_GB2312"/>
          <w:b w:val="0"/>
          <w:bCs w:val="0"/>
          <w:color w:val="auto"/>
          <w:kern w:val="0"/>
          <w:sz w:val="24"/>
          <w:szCs w:val="24"/>
          <w:highlight w:val="none"/>
          <w:lang w:val="zh-CN" w:eastAsia="zh-CN"/>
        </w:rPr>
        <w:t>投标人（联合体投标的由牵头人提供）近3年未出现拖欠农民工工资情况（投标人提供未出现拖欠农民工工资情况承诺，并对其真实性负责）；</w:t>
      </w:r>
      <w:r>
        <w:rPr>
          <w:rFonts w:hint="eastAsia" w:ascii="方正仿宋_GB2312" w:hAnsi="方正仿宋_GB2312" w:eastAsia="方正仿宋_GB2312" w:cs="方正仿宋_GB2312"/>
          <w:b w:val="0"/>
          <w:bCs w:val="0"/>
          <w:color w:val="auto"/>
          <w:kern w:val="0"/>
          <w:sz w:val="24"/>
          <w:szCs w:val="24"/>
          <w:highlight w:val="none"/>
          <w:lang w:eastAsia="zh-CN"/>
        </w:rPr>
        <w:t xml:space="preserve"> </w:t>
      </w:r>
    </w:p>
    <w:p w14:paraId="035EE8D9">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5.</w:t>
      </w:r>
      <w:r>
        <w:rPr>
          <w:rFonts w:hint="eastAsia" w:ascii="方正仿宋_GB2312" w:hAnsi="方正仿宋_GB2312" w:eastAsia="方正仿宋_GB2312" w:cs="方正仿宋_GB2312"/>
          <w:b w:val="0"/>
          <w:bCs w:val="0"/>
          <w:color w:val="auto"/>
          <w:kern w:val="0"/>
          <w:sz w:val="24"/>
          <w:szCs w:val="24"/>
          <w:highlight w:val="none"/>
        </w:rPr>
        <w:t>投标人</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lang w:val="zh-CN" w:eastAsia="zh-CN"/>
        </w:rPr>
        <w:t>联合体投标的由牵头人提供</w:t>
      </w:r>
      <w:r>
        <w:rPr>
          <w:rFonts w:hint="eastAsia" w:ascii="方正仿宋_GB2312" w:hAnsi="方正仿宋_GB2312" w:eastAsia="方正仿宋_GB2312" w:cs="方正仿宋_GB2312"/>
          <w:b w:val="0"/>
          <w:bCs w:val="0"/>
          <w:color w:val="auto"/>
          <w:kern w:val="0"/>
          <w:sz w:val="24"/>
          <w:szCs w:val="24"/>
          <w:highlight w:val="none"/>
          <w:lang w:eastAsia="zh-CN"/>
        </w:rPr>
        <w:t>）</w:t>
      </w:r>
      <w:r>
        <w:rPr>
          <w:rFonts w:hint="eastAsia" w:ascii="方正仿宋_GB2312" w:hAnsi="方正仿宋_GB2312" w:eastAsia="方正仿宋_GB2312" w:cs="方正仿宋_GB2312"/>
          <w:b w:val="0"/>
          <w:bCs w:val="0"/>
          <w:color w:val="auto"/>
          <w:kern w:val="0"/>
          <w:sz w:val="24"/>
          <w:szCs w:val="24"/>
          <w:highlight w:val="none"/>
        </w:rPr>
        <w:t>农民工工资：根据中华人民共和国国务院令第724号《保障农民工工资支付条例》要求，针对农民工工资支付事项，承包人须在工程项目所在地人社部门足额缴纳农民工工资保证金，并严格按人社部门的相关要求支付农民工工资。（提供承诺书）</w:t>
      </w:r>
    </w:p>
    <w:p w14:paraId="4AE8E28B">
      <w:pPr>
        <w:keepNext w:val="0"/>
        <w:keepLines w:val="0"/>
        <w:pageBreakBefore w:val="0"/>
        <w:widowControl w:val="0"/>
        <w:kinsoku/>
        <w:wordWrap/>
        <w:overflowPunct/>
        <w:topLinePunct w:val="0"/>
        <w:autoSpaceDE/>
        <w:autoSpaceDN/>
        <w:bidi w:val="0"/>
        <w:adjustRightInd w:val="0"/>
        <w:snapToGrid w:val="0"/>
        <w:spacing w:after="0" w:line="384" w:lineRule="auto"/>
        <w:ind w:firstLine="480" w:firstLineChars="200"/>
        <w:textAlignment w:val="auto"/>
        <w:outlineLvl w:val="9"/>
        <w:rPr>
          <w:rFonts w:hint="eastAsia" w:ascii="方正仿宋_GB2312" w:hAnsi="方正仿宋_GB2312" w:eastAsia="方正仿宋_GB2312" w:cs="方正仿宋_GB2312"/>
          <w:b w:val="0"/>
          <w:bCs w:val="0"/>
          <w:color w:val="auto"/>
          <w:kern w:val="0"/>
          <w:sz w:val="24"/>
          <w:szCs w:val="24"/>
          <w:highlight w:val="none"/>
        </w:rPr>
      </w:pPr>
      <w:r>
        <w:rPr>
          <w:rFonts w:hint="eastAsia" w:ascii="方正仿宋_GB2312" w:hAnsi="方正仿宋_GB2312" w:eastAsia="方正仿宋_GB2312" w:cs="方正仿宋_GB2312"/>
          <w:b w:val="0"/>
          <w:bCs w:val="0"/>
          <w:color w:val="auto"/>
          <w:kern w:val="0"/>
          <w:sz w:val="24"/>
          <w:szCs w:val="24"/>
          <w:highlight w:val="none"/>
          <w:lang w:val="en-US" w:eastAsia="zh-CN"/>
        </w:rPr>
        <w:t>6.</w:t>
      </w:r>
      <w:r>
        <w:rPr>
          <w:rFonts w:hint="eastAsia" w:ascii="方正仿宋_GB2312" w:hAnsi="方正仿宋_GB2312" w:eastAsia="方正仿宋_GB2312" w:cs="方正仿宋_GB2312"/>
          <w:b w:val="0"/>
          <w:bCs w:val="0"/>
          <w:color w:val="auto"/>
          <w:kern w:val="0"/>
          <w:sz w:val="24"/>
          <w:szCs w:val="24"/>
          <w:highlight w:val="none"/>
        </w:rPr>
        <w:t>诉讼及仲裁：投标人近三年有无诉讼及仲裁案件（以中国裁判文书网查询结果为准并提供截图）。若有诉讼及仲裁案件情况，且诉讼及仲裁案件不影响投标人在本招标项目履约能力的，投标人须提供声明函。</w:t>
      </w:r>
      <w:r>
        <w:rPr>
          <w:rFonts w:hint="eastAsia" w:ascii="方正仿宋_GB2312" w:hAnsi="方正仿宋_GB2312" w:eastAsia="方正仿宋_GB2312" w:cs="方正仿宋_GB2312"/>
          <w:b w:val="0"/>
          <w:bCs w:val="0"/>
          <w:color w:val="auto"/>
          <w:kern w:val="0"/>
          <w:sz w:val="24"/>
          <w:szCs w:val="24"/>
          <w:highlight w:val="none"/>
          <w:lang w:val="zh-CN" w:eastAsia="zh-CN"/>
        </w:rPr>
        <w:t>（若为联合体投标的，联合体投标的各成员均须提供）</w:t>
      </w:r>
      <w:r>
        <w:rPr>
          <w:rFonts w:hint="eastAsia" w:ascii="方正仿宋_GB2312" w:hAnsi="方正仿宋_GB2312" w:eastAsia="方正仿宋_GB2312" w:cs="方正仿宋_GB2312"/>
          <w:b w:val="0"/>
          <w:bCs w:val="0"/>
          <w:color w:val="auto"/>
          <w:kern w:val="0"/>
          <w:sz w:val="24"/>
          <w:szCs w:val="24"/>
          <w:highlight w:val="none"/>
          <w:lang w:eastAsia="zh-CN"/>
        </w:rPr>
        <w:t>；</w:t>
      </w:r>
    </w:p>
    <w:p w14:paraId="0F0BE362">
      <w:pPr>
        <w:keepNext w:val="0"/>
        <w:keepLines w:val="0"/>
        <w:pageBreakBefore w:val="0"/>
        <w:widowControl w:val="0"/>
        <w:kinsoku/>
        <w:wordWrap/>
        <w:overflowPunct/>
        <w:topLinePunct w:val="0"/>
        <w:autoSpaceDE/>
        <w:autoSpaceDN/>
        <w:bidi w:val="0"/>
        <w:adjustRightInd w:val="0"/>
        <w:snapToGrid w:val="0"/>
        <w:spacing w:after="0" w:line="384" w:lineRule="auto"/>
        <w:ind w:firstLine="643" w:firstLineChars="200"/>
        <w:textAlignment w:val="auto"/>
        <w:outlineLvl w:val="9"/>
        <w:rPr>
          <w:rStyle w:val="64"/>
          <w:rFonts w:hint="eastAsia" w:ascii="方正仿宋_GB2312" w:hAnsi="方正仿宋_GB2312" w:eastAsia="方正仿宋_GB2312" w:cs="方正仿宋_GB2312"/>
          <w:b/>
          <w:bCs/>
          <w:color w:val="auto"/>
          <w:kern w:val="2"/>
          <w:sz w:val="32"/>
          <w:szCs w:val="32"/>
          <w:highlight w:val="none"/>
        </w:rPr>
      </w:pPr>
    </w:p>
    <w:p w14:paraId="674BC71C">
      <w:pPr>
        <w:rPr>
          <w:rFonts w:hint="eastAsia" w:ascii="方正仿宋_GB2312" w:hAnsi="方正仿宋_GB2312" w:eastAsia="方正仿宋_GB2312" w:cs="方正仿宋_GB2312"/>
          <w:color w:val="auto"/>
          <w:sz w:val="32"/>
          <w:szCs w:val="32"/>
          <w:highlight w:val="none"/>
        </w:rPr>
      </w:pPr>
      <w:bookmarkStart w:id="1585" w:name="_Toc13120"/>
      <w:bookmarkStart w:id="1586" w:name="_Toc16004"/>
      <w:r>
        <w:rPr>
          <w:rFonts w:hint="eastAsia" w:ascii="方正仿宋_GB2312" w:hAnsi="方正仿宋_GB2312" w:eastAsia="方正仿宋_GB2312" w:cs="方正仿宋_GB2312"/>
          <w:color w:val="auto"/>
          <w:sz w:val="32"/>
          <w:szCs w:val="32"/>
          <w:highlight w:val="none"/>
        </w:rPr>
        <w:br w:type="page"/>
      </w:r>
    </w:p>
    <w:p w14:paraId="6D78E2B4">
      <w:pPr>
        <w:pStyle w:val="4"/>
        <w:ind w:firstLine="0" w:firstLineChars="0"/>
        <w:jc w:val="cente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t>四、相关承诺书</w:t>
      </w:r>
      <w:bookmarkEnd w:id="1585"/>
      <w:bookmarkEnd w:id="1586"/>
    </w:p>
    <w:p w14:paraId="162ACBC6">
      <w:pPr>
        <w:adjustRightInd w:val="0"/>
        <w:snapToGrid w:val="0"/>
        <w:spacing w:line="360" w:lineRule="auto"/>
        <w:jc w:val="center"/>
        <w:rPr>
          <w:rFonts w:hint="eastAsia" w:ascii="方正仿宋_GB2312" w:hAnsi="方正仿宋_GB2312" w:eastAsia="方正仿宋_GB2312" w:cs="方正仿宋_GB2312"/>
          <w:b/>
          <w:bCs/>
          <w:color w:val="auto"/>
          <w:sz w:val="28"/>
          <w:szCs w:val="28"/>
          <w:highlight w:val="none"/>
        </w:rPr>
      </w:pPr>
      <w:r>
        <w:rPr>
          <w:rStyle w:val="64"/>
          <w:rFonts w:hint="eastAsia" w:ascii="方正仿宋_GB2312" w:hAnsi="方正仿宋_GB2312" w:eastAsia="方正仿宋_GB2312" w:cs="方正仿宋_GB2312"/>
          <w:b/>
          <w:bCs/>
          <w:color w:val="auto"/>
          <w:sz w:val="28"/>
          <w:szCs w:val="28"/>
          <w:highlight w:val="none"/>
        </w:rPr>
        <w:t>4.1</w:t>
      </w:r>
      <w:r>
        <w:rPr>
          <w:rFonts w:hint="eastAsia" w:ascii="方正仿宋_GB2312" w:hAnsi="方正仿宋_GB2312" w:eastAsia="方正仿宋_GB2312" w:cs="方正仿宋_GB2312"/>
          <w:b/>
          <w:bCs/>
          <w:color w:val="auto"/>
          <w:sz w:val="28"/>
          <w:szCs w:val="28"/>
          <w:highlight w:val="none"/>
        </w:rPr>
        <w:t>投标承诺书</w:t>
      </w:r>
    </w:p>
    <w:p w14:paraId="3D28D612">
      <w:pPr>
        <w:snapToGrid w:val="0"/>
        <w:spacing w:before="240" w:beforeLines="100" w:after="120" w:afterLines="50" w:line="240" w:lineRule="auto"/>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本公司承诺：</w:t>
      </w:r>
    </w:p>
    <w:p w14:paraId="2F2CD99B">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遵循公开、公平、公正和诚实守信的原则，参加_________________________的投标。</w:t>
      </w:r>
    </w:p>
    <w:p w14:paraId="6A57DE04">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一、不提供有违真实的材料。</w:t>
      </w:r>
    </w:p>
    <w:p w14:paraId="6E766BB7">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二、不与招标人或其他投标人串通投标，损害国家利益、社会利益或他人的合法权益。</w:t>
      </w:r>
    </w:p>
    <w:p w14:paraId="38A1DC2C">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三、不向招标人或评标委员会成员行贿，以谋取中标。</w:t>
      </w:r>
    </w:p>
    <w:p w14:paraId="7B90909B">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四、不以他人名义投标或者其他方式弄虚作假，骗取中标。</w:t>
      </w:r>
    </w:p>
    <w:p w14:paraId="0981B410">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五、不进行缺乏事实根据或者法律依据的投诉。</w:t>
      </w:r>
    </w:p>
    <w:p w14:paraId="557FBA27">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六、不在投标中哄抬价格或恶意压价。</w:t>
      </w:r>
    </w:p>
    <w:p w14:paraId="746285AA">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七、不违反相关法律法规，注册建造师不同时在两个及两个以上的建设项目上担任施工项目负责人。</w:t>
      </w:r>
    </w:p>
    <w:p w14:paraId="3173582E">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八、遵守国家和本市安全、质量有关法律法规和规范性文件中关于质量员、安全员的数量和人选的相关规定。</w:t>
      </w:r>
    </w:p>
    <w:p w14:paraId="39F32A85">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九、</w:t>
      </w:r>
      <w:r>
        <w:rPr>
          <w:rFonts w:hint="eastAsia" w:ascii="方正仿宋_GB2312" w:hAnsi="方正仿宋_GB2312" w:eastAsia="方正仿宋_GB2312" w:cs="方正仿宋_GB2312"/>
          <w:color w:val="auto"/>
          <w:highlight w:val="none"/>
          <w:lang w:eastAsia="zh-CN"/>
        </w:rPr>
        <w:t>加强</w:t>
      </w:r>
      <w:r>
        <w:rPr>
          <w:rFonts w:hint="eastAsia" w:ascii="方正仿宋_GB2312" w:hAnsi="方正仿宋_GB2312" w:eastAsia="方正仿宋_GB2312" w:cs="方正仿宋_GB2312"/>
          <w:color w:val="auto"/>
          <w:highlight w:val="none"/>
        </w:rPr>
        <w:t>分包和劳务分包管理，对所分包工程的安全、质量和进度承担责任，不拖欠农民工工资，按时将分包合同报行政部门备案。</w:t>
      </w:r>
    </w:p>
    <w:p w14:paraId="19AA4B72">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十、按照招标文件规定及合同约定，执行承诺的施工工期。</w:t>
      </w:r>
    </w:p>
    <w:p w14:paraId="0D3383BE">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十一、保证建筑材料符合相关标准和设计、施工要求，不使用未经检测或者检测质量不合格的建筑材料。</w:t>
      </w:r>
    </w:p>
    <w:p w14:paraId="498A004D">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十二、本公司若违反本投标承诺，愿承担相应的法律责任。</w:t>
      </w:r>
    </w:p>
    <w:p w14:paraId="7C7B81F2">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十三、其他承诺：______________________________________。</w:t>
      </w:r>
    </w:p>
    <w:p w14:paraId="41A79E01">
      <w:pPr>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02A0B63D">
      <w:pPr>
        <w:snapToGrid w:val="0"/>
        <w:spacing w:line="240" w:lineRule="auto"/>
        <w:ind w:firstLine="420" w:firstLineChars="200"/>
        <w:jc w:val="right"/>
        <w:rPr>
          <w:rFonts w:hint="eastAsia" w:ascii="方正仿宋_GB2312" w:hAnsi="方正仿宋_GB2312" w:eastAsia="方正仿宋_GB2312" w:cs="方正仿宋_GB2312"/>
          <w:color w:val="auto"/>
          <w:highlight w:val="none"/>
        </w:rPr>
      </w:pPr>
    </w:p>
    <w:p w14:paraId="040CD63D">
      <w:pPr>
        <w:snapToGrid w:val="0"/>
        <w:spacing w:line="240" w:lineRule="auto"/>
        <w:ind w:right="840"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投标单位（牵头人单位）：___________________（电子签章）</w:t>
      </w:r>
    </w:p>
    <w:p w14:paraId="2CA55323">
      <w:pPr>
        <w:snapToGrid w:val="0"/>
        <w:spacing w:line="24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法定代表人或其委托代理人：___________________（电子签章）</w:t>
      </w:r>
      <w:bookmarkStart w:id="1587" w:name="_Toc144974875"/>
      <w:bookmarkStart w:id="1588" w:name="_Toc152045807"/>
      <w:bookmarkStart w:id="1589" w:name="_Toc318966030"/>
      <w:bookmarkStart w:id="1590" w:name="_Toc152042596"/>
      <w:bookmarkStart w:id="1591" w:name="_Toc17453"/>
      <w:bookmarkStart w:id="1592" w:name="_Toc247514299"/>
      <w:bookmarkStart w:id="1593" w:name="_Toc247527847"/>
    </w:p>
    <w:p w14:paraId="5D74C771">
      <w:pPr>
        <w:snapToGrid w:val="0"/>
        <w:spacing w:line="240" w:lineRule="auto"/>
        <w:ind w:left="420" w:leftChars="200" w:firstLine="630" w:firstLineChars="3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   月   日</w:t>
      </w:r>
    </w:p>
    <w:p w14:paraId="6BBD5D3F">
      <w:pPr>
        <w:pStyle w:val="63"/>
        <w:snapToGrid w:val="0"/>
        <w:spacing w:before="120" w:beforeLines="50" w:after="240" w:afterLines="100" w:line="360" w:lineRule="auto"/>
        <w:ind w:left="0" w:firstLine="0"/>
        <w:jc w:val="center"/>
        <w:rPr>
          <w:rFonts w:hint="eastAsia" w:ascii="方正仿宋_GB2312" w:hAnsi="方正仿宋_GB2312" w:eastAsia="方正仿宋_GB2312" w:cs="方正仿宋_GB2312"/>
          <w:color w:val="auto"/>
          <w:highlight w:val="none"/>
        </w:rPr>
        <w:sectPr>
          <w:pgSz w:w="11910" w:h="16850"/>
          <w:pgMar w:top="1540" w:right="1300" w:bottom="1060" w:left="1420" w:header="876" w:footer="860" w:gutter="0"/>
          <w:pgNumType w:fmt="decimal"/>
          <w:cols w:space="720" w:num="1"/>
        </w:sectPr>
      </w:pPr>
    </w:p>
    <w:bookmarkEnd w:id="1587"/>
    <w:bookmarkEnd w:id="1588"/>
    <w:bookmarkEnd w:id="1589"/>
    <w:bookmarkEnd w:id="1590"/>
    <w:bookmarkEnd w:id="1591"/>
    <w:bookmarkEnd w:id="1592"/>
    <w:bookmarkEnd w:id="1593"/>
    <w:p w14:paraId="31062FA5">
      <w:pPr>
        <w:jc w:val="center"/>
        <w:rPr>
          <w:rStyle w:val="64"/>
          <w:rFonts w:hint="eastAsia" w:ascii="方正仿宋_GB2312" w:hAnsi="方正仿宋_GB2312" w:eastAsia="方正仿宋_GB2312" w:cs="方正仿宋_GB2312"/>
          <w:b/>
          <w:bCs/>
          <w:color w:val="auto"/>
          <w:sz w:val="28"/>
          <w:szCs w:val="28"/>
          <w:highlight w:val="none"/>
        </w:rPr>
      </w:pPr>
      <w:r>
        <w:rPr>
          <w:rStyle w:val="64"/>
          <w:rFonts w:hint="eastAsia" w:ascii="方正仿宋_GB2312" w:hAnsi="方正仿宋_GB2312" w:eastAsia="方正仿宋_GB2312" w:cs="方正仿宋_GB2312"/>
          <w:b/>
          <w:bCs/>
          <w:color w:val="auto"/>
          <w:sz w:val="28"/>
          <w:szCs w:val="28"/>
          <w:highlight w:val="none"/>
        </w:rPr>
        <w:t>4.2诚信投标承诺书</w:t>
      </w:r>
    </w:p>
    <w:p w14:paraId="0CA40012">
      <w:pPr>
        <w:pStyle w:val="36"/>
        <w:rPr>
          <w:rFonts w:hint="eastAsia" w:ascii="方正仿宋_GB2312" w:hAnsi="方正仿宋_GB2312" w:eastAsia="方正仿宋_GB2312" w:cs="方正仿宋_GB2312"/>
          <w:color w:val="auto"/>
          <w:highlight w:val="none"/>
        </w:rPr>
      </w:pPr>
    </w:p>
    <w:p w14:paraId="15DD6A84">
      <w:pPr>
        <w:snapToGrid w:val="0"/>
        <w:spacing w:line="360" w:lineRule="auto"/>
        <w:ind w:left="420" w:left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我方郑重承诺：</w:t>
      </w:r>
    </w:p>
    <w:p w14:paraId="03E688F1">
      <w:pPr>
        <w:snapToGrid w:val="0"/>
        <w:spacing w:line="360" w:lineRule="auto"/>
        <w:ind w:left="420" w:leftChars="200" w:firstLine="42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我方已仔细阅读招标公告及招标文件，理解且认可其告知的诚信投标的相关内容</w:t>
      </w:r>
      <w:r>
        <w:rPr>
          <w:rFonts w:hint="eastAsia" w:ascii="方正仿宋_GB2312" w:hAnsi="方正仿宋_GB2312" w:eastAsia="方正仿宋_GB2312" w:cs="方正仿宋_GB2312"/>
          <w:color w:val="auto"/>
          <w:highlight w:val="none"/>
          <w:lang w:eastAsia="zh-CN"/>
        </w:rPr>
        <w:t>，并</w:t>
      </w:r>
      <w:r>
        <w:rPr>
          <w:rFonts w:hint="eastAsia" w:ascii="方正仿宋_GB2312" w:hAnsi="方正仿宋_GB2312" w:eastAsia="方正仿宋_GB2312" w:cs="方正仿宋_GB2312"/>
          <w:color w:val="auto"/>
          <w:highlight w:val="none"/>
        </w:rPr>
        <w:t>承诺按照招标文件的有关要求，遵守投标纪律，保证电子投标文件提交的所有材料和填报的信息是真实、准确、有效和完整的，无弄虚作假行为，对违反以上承诺所造成的后果，愿意接受有关法律法规规定的任何处罚。</w:t>
      </w:r>
    </w:p>
    <w:p w14:paraId="39E1596A">
      <w:pPr>
        <w:pStyle w:val="36"/>
        <w:rPr>
          <w:rFonts w:hint="eastAsia" w:ascii="方正仿宋_GB2312" w:hAnsi="方正仿宋_GB2312" w:eastAsia="方正仿宋_GB2312" w:cs="方正仿宋_GB2312"/>
          <w:color w:val="auto"/>
          <w:highlight w:val="none"/>
        </w:rPr>
      </w:pPr>
    </w:p>
    <w:p w14:paraId="680CF368">
      <w:pPr>
        <w:pStyle w:val="36"/>
        <w:rPr>
          <w:rFonts w:hint="eastAsia" w:ascii="方正仿宋_GB2312" w:hAnsi="方正仿宋_GB2312" w:eastAsia="方正仿宋_GB2312" w:cs="方正仿宋_GB2312"/>
          <w:color w:val="auto"/>
          <w:highlight w:val="none"/>
        </w:rPr>
      </w:pPr>
    </w:p>
    <w:p w14:paraId="410B6314">
      <w:pPr>
        <w:pStyle w:val="36"/>
        <w:rPr>
          <w:rFonts w:hint="eastAsia" w:ascii="方正仿宋_GB2312" w:hAnsi="方正仿宋_GB2312" w:eastAsia="方正仿宋_GB2312" w:cs="方正仿宋_GB2312"/>
          <w:color w:val="auto"/>
          <w:highlight w:val="none"/>
        </w:rPr>
      </w:pPr>
    </w:p>
    <w:p w14:paraId="3EB25BF0">
      <w:pPr>
        <w:pStyle w:val="36"/>
        <w:rPr>
          <w:rFonts w:hint="eastAsia" w:ascii="方正仿宋_GB2312" w:hAnsi="方正仿宋_GB2312" w:eastAsia="方正仿宋_GB2312" w:cs="方正仿宋_GB2312"/>
          <w:color w:val="auto"/>
          <w:highlight w:val="none"/>
        </w:rPr>
      </w:pPr>
    </w:p>
    <w:p w14:paraId="22148294">
      <w:pPr>
        <w:snapToGrid w:val="0"/>
        <w:spacing w:line="360" w:lineRule="auto"/>
        <w:ind w:left="420" w:leftChars="200" w:firstLine="42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投标人（电子签章）：</w:t>
      </w:r>
    </w:p>
    <w:p w14:paraId="081723E6">
      <w:pPr>
        <w:snapToGrid w:val="0"/>
        <w:spacing w:line="360" w:lineRule="auto"/>
        <w:ind w:left="420" w:leftChars="200" w:firstLine="42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法定代表人（电子签章）：</w:t>
      </w:r>
    </w:p>
    <w:p w14:paraId="097F7F65">
      <w:pPr>
        <w:snapToGrid w:val="0"/>
        <w:spacing w:line="360" w:lineRule="auto"/>
        <w:ind w:left="420" w:leftChars="200" w:firstLine="420" w:firstLineChars="200"/>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年   月    日</w:t>
      </w:r>
    </w:p>
    <w:p w14:paraId="76278805">
      <w:pPr>
        <w:snapToGrid w:val="0"/>
        <w:spacing w:line="36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若为联合体投标的，联合体各成员单位均需提供</w:t>
      </w:r>
    </w:p>
    <w:p w14:paraId="2E023F50">
      <w:pPr>
        <w:rPr>
          <w:rFonts w:hint="eastAsia" w:ascii="方正仿宋_GB2312" w:hAnsi="方正仿宋_GB2312" w:eastAsia="方正仿宋_GB2312" w:cs="方正仿宋_GB2312"/>
          <w:color w:val="auto"/>
          <w:highlight w:val="none"/>
        </w:rPr>
      </w:pPr>
    </w:p>
    <w:p w14:paraId="5A586F2D">
      <w:pPr>
        <w:rPr>
          <w:rFonts w:hint="eastAsia" w:ascii="方正仿宋_GB2312" w:hAnsi="方正仿宋_GB2312" w:eastAsia="方正仿宋_GB2312" w:cs="方正仿宋_GB2312"/>
          <w:color w:val="auto"/>
          <w:highlight w:val="none"/>
        </w:rPr>
      </w:pPr>
    </w:p>
    <w:p w14:paraId="707517B6">
      <w:pPr>
        <w:pStyle w:val="36"/>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r>
    </w:p>
    <w:p w14:paraId="138D9266">
      <w:pPr>
        <w:pStyle w:val="44"/>
        <w:adjustRightInd w:val="0"/>
        <w:snapToGrid w:val="0"/>
        <w:spacing w:after="100" w:line="380" w:lineRule="exact"/>
        <w:jc w:val="cente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t>4.3建设工程投标人依法依规参加投标活动</w:t>
      </w:r>
    </w:p>
    <w:p w14:paraId="0B8C7392">
      <w:pPr>
        <w:pStyle w:val="44"/>
        <w:adjustRightInd w:val="0"/>
        <w:snapToGrid w:val="0"/>
        <w:spacing w:after="100" w:line="380" w:lineRule="exact"/>
        <w:jc w:val="cente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t>承诺书</w:t>
      </w:r>
    </w:p>
    <w:p w14:paraId="01F5F33E">
      <w:pPr>
        <w:snapToGrid w:val="0"/>
        <w:spacing w:line="360" w:lineRule="auto"/>
        <w:ind w:firstLine="420" w:firstLineChars="200"/>
        <w:rPr>
          <w:rFonts w:hint="eastAsia" w:ascii="方正仿宋_GB2312" w:hAnsi="方正仿宋_GB2312" w:eastAsia="方正仿宋_GB2312" w:cs="方正仿宋_GB2312"/>
          <w:color w:val="auto"/>
          <w:highlight w:val="none"/>
        </w:rPr>
      </w:pPr>
    </w:p>
    <w:p w14:paraId="2550C64E">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我单位作为项目的投标人，现作出如下承诺：</w:t>
      </w:r>
    </w:p>
    <w:p w14:paraId="1F85B386">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1.坚决贯彻落实习近平总书记关于扫黑除恶专项斗争的重要指示精神，按照</w:t>
      </w:r>
      <w:r>
        <w:rPr>
          <w:rFonts w:hint="eastAsia" w:ascii="方正仿宋_GB2312" w:hAnsi="方正仿宋_GB2312" w:eastAsia="方正仿宋_GB2312" w:cs="方正仿宋_GB2312"/>
          <w:color w:val="auto"/>
          <w:highlight w:val="none"/>
          <w:lang w:eastAsia="zh-CN"/>
        </w:rPr>
        <w:t>党中央、国务院</w:t>
      </w:r>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eastAsia="zh-CN"/>
        </w:rPr>
        <w:t>省委、省政府</w:t>
      </w:r>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eastAsia="zh-CN"/>
        </w:rPr>
        <w:t>州委、州政府</w:t>
      </w:r>
      <w:r>
        <w:rPr>
          <w:rFonts w:hint="eastAsia" w:ascii="方正仿宋_GB2312" w:hAnsi="方正仿宋_GB2312" w:eastAsia="方正仿宋_GB2312" w:cs="方正仿宋_GB2312"/>
          <w:color w:val="auto"/>
          <w:highlight w:val="none"/>
        </w:rPr>
        <w:t>的决策部署，严格遵守《住房和城乡建设部关于进一步加强房屋建筑和市政基础设施工程招标投标监管的指导意见》</w:t>
      </w:r>
      <w:r>
        <w:rPr>
          <w:rFonts w:hint="eastAsia" w:ascii="方正仿宋_GB2312" w:hAnsi="方正仿宋_GB2312" w:eastAsia="方正仿宋_GB2312" w:cs="方正仿宋_GB2312"/>
          <w:color w:val="auto"/>
          <w:highlight w:val="none"/>
          <w:lang w:eastAsia="zh-CN"/>
        </w:rPr>
        <w:t>（</w:t>
      </w:r>
      <w:r>
        <w:rPr>
          <w:rFonts w:hint="eastAsia" w:ascii="方正仿宋_GB2312" w:hAnsi="方正仿宋_GB2312" w:eastAsia="方正仿宋_GB2312" w:cs="方正仿宋_GB2312"/>
          <w:color w:val="auto"/>
          <w:highlight w:val="none"/>
        </w:rPr>
        <w:t>建市规</w:t>
      </w:r>
      <w:r>
        <w:rPr>
          <w:rFonts w:hint="eastAsia" w:ascii="方正仿宋_GB2312" w:hAnsi="方正仿宋_GB2312" w:eastAsia="方正仿宋_GB2312" w:cs="方正仿宋_GB2312"/>
          <w:color w:val="auto"/>
          <w:highlight w:val="none"/>
          <w:lang w:eastAsia="zh-CN"/>
        </w:rPr>
        <w:t>〔2019〕11号）</w:t>
      </w:r>
      <w:r>
        <w:rPr>
          <w:rFonts w:hint="eastAsia" w:ascii="方正仿宋_GB2312" w:hAnsi="方正仿宋_GB2312" w:eastAsia="方正仿宋_GB2312" w:cs="方正仿宋_GB2312"/>
          <w:color w:val="auto"/>
          <w:highlight w:val="none"/>
        </w:rPr>
        <w:t>文件要求，扎实开展好全省住建系统扫黑除恶专项斗争，营造良好的建筑市场秩序，促进建筑业高质量发展；</w:t>
      </w:r>
    </w:p>
    <w:p w14:paraId="3F591464">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2.严格遵守《中华人民共和国招标投标法》等有关法律法规，公开、公平、公正和诚实信用参加工程项目投标；</w:t>
      </w:r>
    </w:p>
    <w:p w14:paraId="072DD163">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3.不与其他投标人相互串通投标或者与招标人、招标代理机构串通投标；</w:t>
      </w:r>
    </w:p>
    <w:p w14:paraId="0A7BF358">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4.不向招标人、招标代理机构或者评标委员会成员行贿谋取中标；</w:t>
      </w:r>
    </w:p>
    <w:p w14:paraId="76A84B21">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5.不以他人名义投标，挂靠、借用资质投标或者以其他方式弄虚作假，骗取中标；</w:t>
      </w:r>
    </w:p>
    <w:p w14:paraId="79E39749">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6.不以暴力手段胁迫其他潜在投标人放弃投标，或胁迫中标人放弃中标，强揽工程；</w:t>
      </w:r>
    </w:p>
    <w:p w14:paraId="4FC56A57">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7.不恶意举报投诉中标人或其他潜在投标人，干扰招标投标正常秩序；</w:t>
      </w:r>
    </w:p>
    <w:p w14:paraId="03AC5936">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8.不将中标项目转让给他人，不将中标项目肢解分别转让给他人，不将中标项目违法分包给他人；</w:t>
      </w:r>
    </w:p>
    <w:p w14:paraId="32A28A1A">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4.在投标过程中，秉承诚实、信用、公平、公正的原则开展工作，出具的各类书面文件、证件及资料均真实、有效不弄虚作假。</w:t>
      </w:r>
    </w:p>
    <w:p w14:paraId="7D275803">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p>
    <w:p w14:paraId="29E232E0">
      <w:pPr>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若违反上述行为，本投标人自愿承担相关责任，接受招标投标监督管理部门、纪检</w:t>
      </w:r>
      <w:r>
        <w:rPr>
          <w:rFonts w:hint="eastAsia" w:ascii="方正仿宋_GB2312" w:hAnsi="方正仿宋_GB2312" w:eastAsia="方正仿宋_GB2312" w:cs="方正仿宋_GB2312"/>
          <w:color w:val="auto"/>
          <w:highlight w:val="none"/>
          <w:lang w:eastAsia="zh-CN"/>
        </w:rPr>
        <w:t>国家监察委员会</w:t>
      </w:r>
      <w:r>
        <w:rPr>
          <w:rFonts w:hint="eastAsia" w:ascii="方正仿宋_GB2312" w:hAnsi="方正仿宋_GB2312" w:eastAsia="方正仿宋_GB2312" w:cs="方正仿宋_GB2312"/>
          <w:color w:val="auto"/>
          <w:highlight w:val="none"/>
        </w:rPr>
        <w:t>或司法机关调查处理。接受相应刑事纪律和行政处罚以及失信惩戒。</w:t>
      </w:r>
    </w:p>
    <w:p w14:paraId="2C03C67F">
      <w:pPr>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133D0A4B">
      <w:pPr>
        <w:snapToGrid w:val="0"/>
        <w:spacing w:line="240" w:lineRule="auto"/>
        <w:ind w:firstLine="420" w:firstLineChars="200"/>
        <w:rPr>
          <w:rFonts w:hint="eastAsia" w:ascii="方正仿宋_GB2312" w:hAnsi="方正仿宋_GB2312" w:eastAsia="方正仿宋_GB2312" w:cs="方正仿宋_GB2312"/>
          <w:color w:val="auto"/>
          <w:highlight w:val="none"/>
        </w:rPr>
      </w:pPr>
    </w:p>
    <w:p w14:paraId="0376A8CE">
      <w:pPr>
        <w:pStyle w:val="46"/>
        <w:adjustRightInd w:val="0"/>
        <w:snapToGrid w:val="0"/>
        <w:spacing w:after="200" w:line="24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投标人（牵头单位）：（电子签章）</w:t>
      </w:r>
    </w:p>
    <w:p w14:paraId="73DCB92B">
      <w:pPr>
        <w:pStyle w:val="46"/>
        <w:adjustRightInd w:val="0"/>
        <w:snapToGrid w:val="0"/>
        <w:spacing w:after="200" w:line="24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法定代表人（电子签章）：</w:t>
      </w:r>
    </w:p>
    <w:p w14:paraId="68F04839">
      <w:pPr>
        <w:pStyle w:val="44"/>
        <w:spacing w:after="200" w:line="240" w:lineRule="auto"/>
        <w:ind w:firstLine="3614" w:firstLineChars="1721"/>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年  月  日</w:t>
      </w:r>
    </w:p>
    <w:p w14:paraId="1AAF5B92">
      <w:pPr>
        <w:pStyle w:val="44"/>
        <w:spacing w:after="200" w:line="276" w:lineRule="auto"/>
        <w:ind w:firstLine="3614" w:firstLineChars="1721"/>
        <w:rPr>
          <w:rStyle w:val="64"/>
          <w:rFonts w:hint="eastAsia" w:ascii="方正仿宋_GB2312" w:hAnsi="方正仿宋_GB2312" w:eastAsia="方正仿宋_GB2312" w:cs="方正仿宋_GB2312"/>
          <w:color w:val="auto"/>
          <w:sz w:val="21"/>
          <w:szCs w:val="21"/>
          <w:highlight w:val="none"/>
        </w:rPr>
      </w:pPr>
    </w:p>
    <w:p w14:paraId="1F83812E">
      <w:pPr>
        <w:pStyle w:val="44"/>
        <w:spacing w:after="200" w:line="276" w:lineRule="auto"/>
        <w:ind w:firstLine="3614" w:firstLineChars="1721"/>
        <w:rPr>
          <w:rStyle w:val="64"/>
          <w:rFonts w:hint="eastAsia" w:ascii="方正仿宋_GB2312" w:hAnsi="方正仿宋_GB2312" w:eastAsia="方正仿宋_GB2312" w:cs="方正仿宋_GB2312"/>
          <w:color w:val="auto"/>
          <w:sz w:val="21"/>
          <w:szCs w:val="21"/>
          <w:highlight w:val="none"/>
        </w:rPr>
      </w:pPr>
    </w:p>
    <w:p w14:paraId="3AAD3A18">
      <w:pPr>
        <w:rPr>
          <w:rStyle w:val="64"/>
          <w:rFonts w:hint="eastAsia" w:ascii="方正仿宋_GB2312" w:hAnsi="方正仿宋_GB2312" w:eastAsia="方正仿宋_GB2312" w:cs="方正仿宋_GB2312"/>
          <w:b/>
          <w:bCs/>
          <w:color w:val="auto"/>
          <w:sz w:val="28"/>
          <w:szCs w:val="28"/>
          <w:highlight w:val="none"/>
        </w:rPr>
      </w:pPr>
      <w:r>
        <w:rPr>
          <w:rStyle w:val="64"/>
          <w:rFonts w:hint="eastAsia" w:ascii="方正仿宋_GB2312" w:hAnsi="方正仿宋_GB2312" w:eastAsia="方正仿宋_GB2312" w:cs="方正仿宋_GB2312"/>
          <w:b/>
          <w:bCs/>
          <w:color w:val="auto"/>
          <w:sz w:val="28"/>
          <w:szCs w:val="28"/>
          <w:highlight w:val="none"/>
        </w:rPr>
        <w:br w:type="page"/>
      </w:r>
    </w:p>
    <w:p w14:paraId="01962C9E">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t>4.4中标后不转包、违法分包承诺书</w:t>
      </w:r>
    </w:p>
    <w:p w14:paraId="41775BBD">
      <w:pPr>
        <w:pStyle w:val="44"/>
        <w:widowControl/>
        <w:spacing w:after="200" w:line="276" w:lineRule="auto"/>
        <w:jc w:val="both"/>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u w:val="single"/>
        </w:rPr>
        <w:t>（招标人名称）</w:t>
      </w:r>
      <w:r>
        <w:rPr>
          <w:rStyle w:val="64"/>
          <w:rFonts w:hint="eastAsia" w:ascii="方正仿宋_GB2312" w:hAnsi="方正仿宋_GB2312" w:eastAsia="方正仿宋_GB2312" w:cs="方正仿宋_GB2312"/>
          <w:color w:val="auto"/>
          <w:sz w:val="21"/>
          <w:szCs w:val="21"/>
          <w:highlight w:val="none"/>
        </w:rPr>
        <w:t>：</w:t>
      </w:r>
    </w:p>
    <w:p w14:paraId="07EEA5BA">
      <w:pPr>
        <w:pStyle w:val="44"/>
        <w:widowControl/>
        <w:spacing w:after="200" w:line="276" w:lineRule="auto"/>
        <w:ind w:firstLine="424" w:firstLineChars="202"/>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rPr>
        <w:t>我方参与了</w:t>
      </w:r>
      <w:r>
        <w:rPr>
          <w:rStyle w:val="64"/>
          <w:rFonts w:hint="eastAsia" w:ascii="方正仿宋_GB2312" w:hAnsi="方正仿宋_GB2312" w:eastAsia="方正仿宋_GB2312" w:cs="方正仿宋_GB2312"/>
          <w:color w:val="auto"/>
          <w:kern w:val="2"/>
          <w:sz w:val="21"/>
          <w:szCs w:val="21"/>
          <w:highlight w:val="none"/>
          <w:u w:val="single"/>
        </w:rPr>
        <w:t xml:space="preserve">（项目名称） </w:t>
      </w:r>
      <w:r>
        <w:rPr>
          <w:rStyle w:val="64"/>
          <w:rFonts w:hint="eastAsia" w:ascii="方正仿宋_GB2312" w:hAnsi="方正仿宋_GB2312" w:eastAsia="方正仿宋_GB2312" w:cs="方正仿宋_GB2312"/>
          <w:color w:val="auto"/>
          <w:kern w:val="2"/>
          <w:sz w:val="21"/>
          <w:szCs w:val="21"/>
          <w:highlight w:val="none"/>
        </w:rPr>
        <w:t>招标的投标活动，若我方有幸中标，我方郑重承诺：</w:t>
      </w:r>
    </w:p>
    <w:p w14:paraId="422900A4">
      <w:pPr>
        <w:pStyle w:val="44"/>
        <w:widowControl/>
        <w:spacing w:after="200" w:line="276" w:lineRule="auto"/>
        <w:ind w:firstLine="424" w:firstLineChars="202"/>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rPr>
        <w:t>在项目实施过程中严格按照国家、省、州、市相关法律法规要求，严格履行招标文件、投标文件及施工合同中约定的各项义务。保证不转包、不违法分包，并随时接受业主及相关行政单位的监督和检查。若出现转包或违法分包行为，我单位愿意接受处罚并赔偿业主相关损失。</w:t>
      </w:r>
    </w:p>
    <w:p w14:paraId="05C26368">
      <w:pPr>
        <w:pStyle w:val="44"/>
        <w:widowControl/>
        <w:spacing w:after="200" w:line="276" w:lineRule="auto"/>
        <w:ind w:firstLine="424" w:firstLineChars="202"/>
        <w:rPr>
          <w:rStyle w:val="64"/>
          <w:rFonts w:hint="eastAsia" w:ascii="方正仿宋_GB2312" w:hAnsi="方正仿宋_GB2312" w:eastAsia="方正仿宋_GB2312" w:cs="方正仿宋_GB2312"/>
          <w:color w:val="auto"/>
          <w:kern w:val="2"/>
          <w:sz w:val="21"/>
          <w:szCs w:val="21"/>
          <w:highlight w:val="none"/>
        </w:rPr>
      </w:pPr>
    </w:p>
    <w:p w14:paraId="2974AC60">
      <w:pPr>
        <w:pStyle w:val="44"/>
        <w:widowControl/>
        <w:spacing w:after="200" w:line="276" w:lineRule="auto"/>
        <w:ind w:firstLine="424" w:firstLineChars="202"/>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rPr>
        <w:t>特此承诺</w:t>
      </w:r>
    </w:p>
    <w:p w14:paraId="2656D53B">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投标人（牵头单位）：（电子签章）</w:t>
      </w:r>
    </w:p>
    <w:p w14:paraId="262C7E69">
      <w:pPr>
        <w:pStyle w:val="46"/>
        <w:adjustRightInd w:val="0"/>
        <w:snapToGrid w:val="0"/>
        <w:spacing w:after="200" w:line="360" w:lineRule="auto"/>
        <w:ind w:firstLine="3150" w:firstLineChars="15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法定代表人（电子签章）：</w:t>
      </w:r>
    </w:p>
    <w:p w14:paraId="0F964581">
      <w:pPr>
        <w:pStyle w:val="44"/>
        <w:spacing w:after="200" w:line="276" w:lineRule="auto"/>
        <w:ind w:firstLine="3614" w:firstLineChars="1721"/>
        <w:rPr>
          <w:rStyle w:val="64"/>
          <w:rFonts w:hint="eastAsia" w:ascii="方正仿宋_GB2312" w:hAnsi="方正仿宋_GB2312" w:eastAsia="方正仿宋_GB2312" w:cs="方正仿宋_GB2312"/>
          <w:color w:val="auto"/>
          <w:sz w:val="28"/>
          <w:szCs w:val="28"/>
          <w:highlight w:val="none"/>
        </w:rPr>
      </w:pPr>
      <w:r>
        <w:rPr>
          <w:rStyle w:val="64"/>
          <w:rFonts w:hint="eastAsia" w:ascii="方正仿宋_GB2312" w:hAnsi="方正仿宋_GB2312" w:eastAsia="方正仿宋_GB2312" w:cs="方正仿宋_GB2312"/>
          <w:color w:val="auto"/>
          <w:sz w:val="21"/>
          <w:szCs w:val="21"/>
          <w:highlight w:val="none"/>
        </w:rPr>
        <w:t>年  月   日</w:t>
      </w:r>
    </w:p>
    <w:p w14:paraId="7565EA67">
      <w:pPr>
        <w:pStyle w:val="44"/>
        <w:widowControl/>
        <w:spacing w:after="200" w:line="276" w:lineRule="auto"/>
        <w:ind w:firstLine="565" w:firstLineChars="202"/>
        <w:rPr>
          <w:rStyle w:val="64"/>
          <w:rFonts w:hint="eastAsia" w:ascii="方正仿宋_GB2312" w:hAnsi="方正仿宋_GB2312" w:eastAsia="方正仿宋_GB2312" w:cs="方正仿宋_GB2312"/>
          <w:color w:val="auto"/>
          <w:kern w:val="2"/>
          <w:sz w:val="28"/>
          <w:szCs w:val="28"/>
          <w:highlight w:val="none"/>
        </w:rPr>
      </w:pPr>
    </w:p>
    <w:p w14:paraId="77481AB0">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p>
    <w:p w14:paraId="157F9302">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p>
    <w:p w14:paraId="2928727C">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p>
    <w:p w14:paraId="16D8BE36">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p>
    <w:p w14:paraId="267F7ECE">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p>
    <w:p w14:paraId="5474C77E">
      <w:pPr>
        <w:pStyle w:val="44"/>
        <w:widowControl/>
        <w:spacing w:after="200" w:line="276" w:lineRule="auto"/>
        <w:jc w:val="both"/>
        <w:rPr>
          <w:rStyle w:val="64"/>
          <w:rFonts w:hint="eastAsia" w:ascii="方正仿宋_GB2312" w:hAnsi="方正仿宋_GB2312" w:eastAsia="方正仿宋_GB2312" w:cs="方正仿宋_GB2312"/>
          <w:b/>
          <w:bCs/>
          <w:color w:val="auto"/>
          <w:kern w:val="2"/>
          <w:sz w:val="28"/>
          <w:szCs w:val="28"/>
          <w:highlight w:val="none"/>
        </w:rPr>
      </w:pPr>
    </w:p>
    <w:p w14:paraId="6716C2A5">
      <w:pPr>
        <w:pStyle w:val="44"/>
        <w:widowControl/>
        <w:spacing w:after="200" w:line="276" w:lineRule="auto"/>
        <w:jc w:val="both"/>
        <w:rPr>
          <w:rStyle w:val="64"/>
          <w:rFonts w:hint="eastAsia" w:ascii="方正仿宋_GB2312" w:hAnsi="方正仿宋_GB2312" w:eastAsia="方正仿宋_GB2312" w:cs="方正仿宋_GB2312"/>
          <w:b/>
          <w:bCs/>
          <w:color w:val="auto"/>
          <w:kern w:val="2"/>
          <w:sz w:val="28"/>
          <w:szCs w:val="28"/>
          <w:highlight w:val="none"/>
        </w:rPr>
      </w:pPr>
    </w:p>
    <w:p w14:paraId="35C9D831">
      <w:pPr>
        <w:pStyle w:val="44"/>
        <w:widowControl/>
        <w:spacing w:after="200" w:line="276" w:lineRule="auto"/>
        <w:jc w:val="both"/>
        <w:rPr>
          <w:rStyle w:val="64"/>
          <w:rFonts w:hint="eastAsia" w:ascii="方正仿宋_GB2312" w:hAnsi="方正仿宋_GB2312" w:eastAsia="方正仿宋_GB2312" w:cs="方正仿宋_GB2312"/>
          <w:b/>
          <w:bCs/>
          <w:color w:val="auto"/>
          <w:kern w:val="2"/>
          <w:sz w:val="28"/>
          <w:szCs w:val="28"/>
          <w:highlight w:val="none"/>
        </w:rPr>
      </w:pPr>
    </w:p>
    <w:p w14:paraId="1B639C86">
      <w:pPr>
        <w:pStyle w:val="44"/>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r>
        <w:rPr>
          <w:rStyle w:val="64"/>
          <w:rFonts w:hint="eastAsia" w:ascii="方正仿宋_GB2312" w:hAnsi="方正仿宋_GB2312" w:eastAsia="方正仿宋_GB2312" w:cs="方正仿宋_GB2312"/>
          <w:b/>
          <w:bCs/>
          <w:color w:val="auto"/>
          <w:kern w:val="2"/>
          <w:sz w:val="28"/>
          <w:szCs w:val="28"/>
          <w:highlight w:val="none"/>
        </w:rPr>
        <w:t>4.5按时支付农</w:t>
      </w:r>
      <w:r>
        <w:rPr>
          <w:rStyle w:val="64"/>
          <w:rFonts w:hint="eastAsia" w:ascii="方正仿宋_GB2312" w:hAnsi="方正仿宋_GB2312" w:eastAsia="方正仿宋_GB2312" w:cs="方正仿宋_GB2312"/>
          <w:b/>
          <w:bCs/>
          <w:color w:val="auto"/>
          <w:kern w:val="2"/>
          <w:sz w:val="28"/>
          <w:szCs w:val="28"/>
          <w:highlight w:val="none"/>
          <w:lang w:val="en-US" w:eastAsia="zh-CN"/>
        </w:rPr>
        <w:t>民</w:t>
      </w:r>
      <w:r>
        <w:rPr>
          <w:rStyle w:val="64"/>
          <w:rFonts w:hint="eastAsia" w:ascii="方正仿宋_GB2312" w:hAnsi="方正仿宋_GB2312" w:eastAsia="方正仿宋_GB2312" w:cs="方正仿宋_GB2312"/>
          <w:b/>
          <w:bCs/>
          <w:color w:val="auto"/>
          <w:kern w:val="2"/>
          <w:sz w:val="28"/>
          <w:szCs w:val="28"/>
          <w:highlight w:val="none"/>
        </w:rPr>
        <w:t>工工资承诺书</w:t>
      </w:r>
    </w:p>
    <w:p w14:paraId="495C6B25">
      <w:pPr>
        <w:pStyle w:val="66"/>
        <w:adjustRightInd w:val="0"/>
        <w:snapToGrid w:val="0"/>
        <w:spacing w:after="200" w:line="360" w:lineRule="auto"/>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u w:val="single"/>
        </w:rPr>
        <w:t>（招标人名称）</w:t>
      </w:r>
      <w:r>
        <w:rPr>
          <w:rStyle w:val="64"/>
          <w:rFonts w:hint="eastAsia" w:ascii="方正仿宋_GB2312" w:hAnsi="方正仿宋_GB2312" w:eastAsia="方正仿宋_GB2312" w:cs="方正仿宋_GB2312"/>
          <w:color w:val="auto"/>
          <w:kern w:val="2"/>
          <w:sz w:val="21"/>
          <w:szCs w:val="21"/>
          <w:highlight w:val="none"/>
        </w:rPr>
        <w:t>：</w:t>
      </w:r>
    </w:p>
    <w:p w14:paraId="040F5D66">
      <w:pPr>
        <w:pStyle w:val="44"/>
        <w:widowControl/>
        <w:snapToGrid w:val="0"/>
        <w:spacing w:after="200" w:line="360" w:lineRule="auto"/>
        <w:ind w:firstLine="424" w:firstLineChars="202"/>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kern w:val="2"/>
          <w:sz w:val="21"/>
          <w:szCs w:val="21"/>
          <w:highlight w:val="none"/>
        </w:rPr>
        <w:t>我方参加贵方组织的</w:t>
      </w:r>
      <w:r>
        <w:rPr>
          <w:rStyle w:val="64"/>
          <w:rFonts w:hint="eastAsia" w:ascii="方正仿宋_GB2312" w:hAnsi="方正仿宋_GB2312" w:eastAsia="方正仿宋_GB2312" w:cs="方正仿宋_GB2312"/>
          <w:color w:val="auto"/>
          <w:kern w:val="2"/>
          <w:sz w:val="21"/>
          <w:szCs w:val="21"/>
          <w:highlight w:val="none"/>
          <w:u w:val="single"/>
        </w:rPr>
        <w:t>（项目名称）</w:t>
      </w:r>
      <w:r>
        <w:rPr>
          <w:rStyle w:val="64"/>
          <w:rFonts w:hint="eastAsia" w:ascii="方正仿宋_GB2312" w:hAnsi="方正仿宋_GB2312" w:eastAsia="方正仿宋_GB2312" w:cs="方正仿宋_GB2312"/>
          <w:color w:val="auto"/>
          <w:kern w:val="2"/>
          <w:sz w:val="21"/>
          <w:szCs w:val="21"/>
          <w:highlight w:val="none"/>
        </w:rPr>
        <w:t>招标</w:t>
      </w:r>
      <w:r>
        <w:rPr>
          <w:rFonts w:hint="eastAsia" w:ascii="方正仿宋_GB2312" w:hAnsi="方正仿宋_GB2312" w:eastAsia="方正仿宋_GB2312" w:cs="方正仿宋_GB2312"/>
          <w:color w:val="auto"/>
          <w:sz w:val="21"/>
          <w:szCs w:val="21"/>
          <w:highlight w:val="none"/>
        </w:rPr>
        <w:t>的投标活动</w:t>
      </w:r>
      <w:r>
        <w:rPr>
          <w:rStyle w:val="64"/>
          <w:rFonts w:hint="eastAsia" w:ascii="方正仿宋_GB2312" w:hAnsi="方正仿宋_GB2312" w:eastAsia="方正仿宋_GB2312" w:cs="方正仿宋_GB2312"/>
          <w:color w:val="auto"/>
          <w:kern w:val="2"/>
          <w:sz w:val="21"/>
          <w:szCs w:val="21"/>
          <w:highlight w:val="none"/>
        </w:rPr>
        <w:t>，若我方有幸中标，我方将严格</w:t>
      </w:r>
      <w:r>
        <w:rPr>
          <w:rStyle w:val="64"/>
          <w:rFonts w:hint="eastAsia" w:ascii="方正仿宋_GB2312" w:hAnsi="方正仿宋_GB2312" w:eastAsia="方正仿宋_GB2312" w:cs="方正仿宋_GB2312"/>
          <w:color w:val="auto"/>
          <w:sz w:val="21"/>
          <w:szCs w:val="21"/>
          <w:highlight w:val="none"/>
        </w:rPr>
        <w:t>执行《云南省工程建设项目农民工工资支付日常监督管理办法》（省10部门公告第8号）、《云南省工程建设项目农民工工资（劳务费）专用账户管理暂行办法》（省10部门公告第9号）及《楚雄市住建局关于对房屋建筑工程和市政基础设施工程建设项目劳务用工推行实名制管理的通知》（楚住建发</w:t>
      </w:r>
      <w:r>
        <w:rPr>
          <w:rStyle w:val="64"/>
          <w:rFonts w:hint="eastAsia" w:ascii="方正仿宋_GB2312" w:hAnsi="方正仿宋_GB2312" w:eastAsia="方正仿宋_GB2312" w:cs="方正仿宋_GB2312"/>
          <w:color w:val="auto"/>
          <w:sz w:val="21"/>
          <w:szCs w:val="21"/>
          <w:highlight w:val="none"/>
          <w:lang w:eastAsia="zh-CN"/>
        </w:rPr>
        <w:t>〔2015〕8号</w:t>
      </w:r>
      <w:r>
        <w:rPr>
          <w:rStyle w:val="64"/>
          <w:rFonts w:hint="eastAsia" w:ascii="方正仿宋_GB2312" w:hAnsi="方正仿宋_GB2312" w:eastAsia="方正仿宋_GB2312" w:cs="方正仿宋_GB2312"/>
          <w:color w:val="auto"/>
          <w:sz w:val="21"/>
          <w:szCs w:val="21"/>
          <w:highlight w:val="none"/>
        </w:rPr>
        <w:t>文件）的有关规定，严格进行本项目劳务用工的管理，并承诺：①按规定交存农民工工资保证金；②实行人工费用与其他工程款分账管理，在银行开设农民工工资（劳务费）专用账户，并按月按时足额通过银行支付农民工工资；③实行农民工实名管理，在施工现场设立维权信息告示牌和进行用工管理信息公示。</w:t>
      </w:r>
    </w:p>
    <w:p w14:paraId="434B11F9">
      <w:pPr>
        <w:pStyle w:val="44"/>
        <w:widowControl/>
        <w:snapToGrid w:val="0"/>
        <w:spacing w:after="200" w:line="360" w:lineRule="auto"/>
        <w:ind w:firstLine="424" w:firstLineChars="202"/>
        <w:rPr>
          <w:rStyle w:val="64"/>
          <w:rFonts w:hint="eastAsia" w:ascii="方正仿宋_GB2312" w:hAnsi="方正仿宋_GB2312" w:eastAsia="方正仿宋_GB2312" w:cs="方正仿宋_GB2312"/>
          <w:color w:val="auto"/>
          <w:sz w:val="21"/>
          <w:szCs w:val="21"/>
          <w:highlight w:val="none"/>
        </w:rPr>
      </w:pPr>
    </w:p>
    <w:p w14:paraId="6A2515E2">
      <w:pPr>
        <w:pStyle w:val="46"/>
        <w:adjustRightInd w:val="0"/>
        <w:snapToGrid w:val="0"/>
        <w:spacing w:after="200" w:line="360" w:lineRule="auto"/>
        <w:ind w:firstLine="420" w:firstLineChars="2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特此承诺</w:t>
      </w:r>
      <w:r>
        <w:rPr>
          <w:rStyle w:val="64"/>
          <w:rFonts w:hint="eastAsia" w:ascii="方正仿宋_GB2312" w:hAnsi="方正仿宋_GB2312" w:eastAsia="方正仿宋_GB2312" w:cs="方正仿宋_GB2312"/>
          <w:color w:val="auto"/>
          <w:sz w:val="21"/>
          <w:szCs w:val="21"/>
          <w:highlight w:val="none"/>
        </w:rPr>
        <w:tab/>
      </w:r>
    </w:p>
    <w:p w14:paraId="53B4FF87">
      <w:pPr>
        <w:pStyle w:val="46"/>
        <w:adjustRightInd w:val="0"/>
        <w:snapToGrid w:val="0"/>
        <w:spacing w:after="200" w:line="360" w:lineRule="auto"/>
        <w:ind w:firstLine="3150" w:firstLineChars="1500"/>
        <w:rPr>
          <w:rStyle w:val="64"/>
          <w:rFonts w:hint="eastAsia" w:ascii="方正仿宋_GB2312" w:hAnsi="方正仿宋_GB2312" w:eastAsia="方正仿宋_GB2312" w:cs="方正仿宋_GB2312"/>
          <w:color w:val="auto"/>
          <w:sz w:val="21"/>
          <w:szCs w:val="21"/>
          <w:highlight w:val="none"/>
        </w:rPr>
      </w:pPr>
    </w:p>
    <w:p w14:paraId="1849F15D">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投标人（牵头单位）：（电子签章）</w:t>
      </w:r>
    </w:p>
    <w:p w14:paraId="71470786">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法定代表人（电子签章）：</w:t>
      </w:r>
    </w:p>
    <w:p w14:paraId="4D8220CB">
      <w:pPr>
        <w:pStyle w:val="44"/>
        <w:spacing w:after="200" w:line="276" w:lineRule="auto"/>
        <w:ind w:firstLine="3614" w:firstLineChars="1721"/>
        <w:rPr>
          <w:rStyle w:val="64"/>
          <w:rFonts w:hint="eastAsia" w:ascii="方正仿宋_GB2312" w:hAnsi="方正仿宋_GB2312" w:eastAsia="方正仿宋_GB2312" w:cs="方正仿宋_GB2312"/>
          <w:color w:val="auto"/>
          <w:sz w:val="28"/>
          <w:szCs w:val="28"/>
          <w:highlight w:val="none"/>
        </w:rPr>
      </w:pPr>
      <w:r>
        <w:rPr>
          <w:rStyle w:val="64"/>
          <w:rFonts w:hint="eastAsia" w:ascii="方正仿宋_GB2312" w:hAnsi="方正仿宋_GB2312" w:eastAsia="方正仿宋_GB2312" w:cs="方正仿宋_GB2312"/>
          <w:color w:val="auto"/>
          <w:sz w:val="21"/>
          <w:szCs w:val="21"/>
          <w:highlight w:val="none"/>
        </w:rPr>
        <w:t>年   月   日</w:t>
      </w:r>
    </w:p>
    <w:p w14:paraId="48852368">
      <w:pPr>
        <w:pStyle w:val="68"/>
        <w:widowControl/>
        <w:spacing w:after="200" w:line="276" w:lineRule="auto"/>
        <w:jc w:val="center"/>
        <w:rPr>
          <w:rStyle w:val="64"/>
          <w:rFonts w:hint="eastAsia" w:ascii="方正仿宋_GB2312" w:hAnsi="方正仿宋_GB2312" w:eastAsia="方正仿宋_GB2312" w:cs="方正仿宋_GB2312"/>
          <w:b/>
          <w:bCs/>
          <w:color w:val="auto"/>
          <w:kern w:val="2"/>
          <w:sz w:val="28"/>
          <w:szCs w:val="28"/>
          <w:highlight w:val="none"/>
        </w:rPr>
      </w:pPr>
      <w:r>
        <w:rPr>
          <w:rFonts w:hint="eastAsia" w:ascii="方正仿宋_GB2312" w:hAnsi="方正仿宋_GB2312" w:eastAsia="方正仿宋_GB2312" w:cs="方正仿宋_GB2312"/>
          <w:b/>
          <w:bCs/>
          <w:color w:val="auto"/>
          <w:kern w:val="2"/>
          <w:sz w:val="32"/>
          <w:szCs w:val="32"/>
          <w:highlight w:val="none"/>
        </w:rPr>
        <w:br w:type="page"/>
      </w:r>
      <w:r>
        <w:rPr>
          <w:rStyle w:val="64"/>
          <w:rFonts w:hint="eastAsia" w:ascii="方正仿宋_GB2312" w:hAnsi="方正仿宋_GB2312" w:eastAsia="方正仿宋_GB2312" w:cs="方正仿宋_GB2312"/>
          <w:b/>
          <w:bCs/>
          <w:color w:val="auto"/>
          <w:kern w:val="2"/>
          <w:sz w:val="28"/>
          <w:szCs w:val="28"/>
          <w:highlight w:val="none"/>
        </w:rPr>
        <w:t>4.6不拖延工期承诺书</w:t>
      </w:r>
    </w:p>
    <w:p w14:paraId="6BEA53B1">
      <w:pPr>
        <w:pStyle w:val="66"/>
        <w:adjustRightInd w:val="0"/>
        <w:snapToGrid w:val="0"/>
        <w:spacing w:after="200" w:line="360" w:lineRule="auto"/>
        <w:jc w:val="both"/>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u w:val="single"/>
        </w:rPr>
        <w:t>（招标人名称）</w:t>
      </w:r>
      <w:r>
        <w:rPr>
          <w:rStyle w:val="64"/>
          <w:rFonts w:hint="eastAsia" w:ascii="方正仿宋_GB2312" w:hAnsi="方正仿宋_GB2312" w:eastAsia="方正仿宋_GB2312" w:cs="方正仿宋_GB2312"/>
          <w:color w:val="auto"/>
          <w:kern w:val="2"/>
          <w:sz w:val="21"/>
          <w:szCs w:val="21"/>
          <w:highlight w:val="none"/>
        </w:rPr>
        <w:t>：</w:t>
      </w:r>
    </w:p>
    <w:p w14:paraId="008D7022">
      <w:pPr>
        <w:pStyle w:val="68"/>
        <w:widowControl/>
        <w:adjustRightInd w:val="0"/>
        <w:snapToGrid w:val="0"/>
        <w:spacing w:after="200" w:line="360" w:lineRule="auto"/>
        <w:ind w:firstLine="420" w:firstLineChars="200"/>
        <w:jc w:val="both"/>
        <w:rPr>
          <w:rStyle w:val="64"/>
          <w:rFonts w:hint="eastAsia" w:ascii="方正仿宋_GB2312" w:hAnsi="方正仿宋_GB2312" w:eastAsia="方正仿宋_GB2312" w:cs="方正仿宋_GB2312"/>
          <w:color w:val="auto"/>
          <w:kern w:val="2"/>
          <w:sz w:val="21"/>
          <w:szCs w:val="21"/>
          <w:highlight w:val="none"/>
        </w:rPr>
      </w:pPr>
      <w:r>
        <w:rPr>
          <w:rStyle w:val="64"/>
          <w:rFonts w:hint="eastAsia" w:ascii="方正仿宋_GB2312" w:hAnsi="方正仿宋_GB2312" w:eastAsia="方正仿宋_GB2312" w:cs="方正仿宋_GB2312"/>
          <w:color w:val="auto"/>
          <w:kern w:val="2"/>
          <w:sz w:val="21"/>
          <w:szCs w:val="21"/>
          <w:highlight w:val="none"/>
        </w:rPr>
        <w:t>我方参加贵方组织的</w:t>
      </w:r>
      <w:r>
        <w:rPr>
          <w:rStyle w:val="64"/>
          <w:rFonts w:hint="eastAsia" w:ascii="方正仿宋_GB2312" w:hAnsi="方正仿宋_GB2312" w:eastAsia="方正仿宋_GB2312" w:cs="方正仿宋_GB2312"/>
          <w:color w:val="auto"/>
          <w:kern w:val="2"/>
          <w:sz w:val="21"/>
          <w:szCs w:val="21"/>
          <w:highlight w:val="none"/>
          <w:u w:val="single"/>
        </w:rPr>
        <w:t>（项目名称）</w:t>
      </w:r>
      <w:r>
        <w:rPr>
          <w:rStyle w:val="64"/>
          <w:rFonts w:hint="eastAsia" w:ascii="方正仿宋_GB2312" w:hAnsi="方正仿宋_GB2312" w:eastAsia="方正仿宋_GB2312" w:cs="方正仿宋_GB2312"/>
          <w:color w:val="auto"/>
          <w:kern w:val="2"/>
          <w:sz w:val="21"/>
          <w:szCs w:val="21"/>
          <w:highlight w:val="none"/>
        </w:rPr>
        <w:t>招标</w:t>
      </w:r>
      <w:r>
        <w:rPr>
          <w:rFonts w:hint="eastAsia" w:ascii="方正仿宋_GB2312" w:hAnsi="方正仿宋_GB2312" w:eastAsia="方正仿宋_GB2312" w:cs="方正仿宋_GB2312"/>
          <w:color w:val="auto"/>
          <w:sz w:val="21"/>
          <w:szCs w:val="21"/>
          <w:highlight w:val="none"/>
        </w:rPr>
        <w:t>的投标活动</w:t>
      </w:r>
      <w:r>
        <w:rPr>
          <w:rStyle w:val="64"/>
          <w:rFonts w:hint="eastAsia" w:ascii="方正仿宋_GB2312" w:hAnsi="方正仿宋_GB2312" w:eastAsia="方正仿宋_GB2312" w:cs="方正仿宋_GB2312"/>
          <w:color w:val="auto"/>
          <w:kern w:val="2"/>
          <w:sz w:val="21"/>
          <w:szCs w:val="21"/>
          <w:highlight w:val="none"/>
        </w:rPr>
        <w:t>，若我方中标，我方将严格按照约定工期完成设计、施工的全部工作内容，并承诺不因我方原因拖延工期并在规定工期内完工。因我方原因造成工期延误的，可以按中标后签订的合同条款中约定逾期竣工违约金的计算方法支付逾期竣工违约金，我方支付逾期竣工违约金后，不免除我方继续完成工程及修补缺陷的义务。</w:t>
      </w:r>
    </w:p>
    <w:p w14:paraId="51960513">
      <w:pPr>
        <w:pStyle w:val="68"/>
        <w:widowControl/>
        <w:spacing w:after="200" w:line="276" w:lineRule="auto"/>
        <w:jc w:val="both"/>
        <w:rPr>
          <w:rStyle w:val="64"/>
          <w:rFonts w:hint="eastAsia" w:ascii="方正仿宋_GB2312" w:hAnsi="方正仿宋_GB2312" w:eastAsia="方正仿宋_GB2312" w:cs="方正仿宋_GB2312"/>
          <w:b/>
          <w:bCs/>
          <w:color w:val="auto"/>
          <w:kern w:val="2"/>
          <w:sz w:val="21"/>
          <w:szCs w:val="21"/>
          <w:highlight w:val="none"/>
        </w:rPr>
      </w:pPr>
    </w:p>
    <w:p w14:paraId="12DA7AB8">
      <w:pPr>
        <w:pStyle w:val="46"/>
        <w:adjustRightInd w:val="0"/>
        <w:snapToGrid w:val="0"/>
        <w:spacing w:after="200" w:line="360" w:lineRule="auto"/>
        <w:ind w:firstLine="420" w:firstLineChars="2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特此承诺</w:t>
      </w:r>
    </w:p>
    <w:p w14:paraId="16FF07CE">
      <w:pPr>
        <w:pStyle w:val="46"/>
        <w:adjustRightInd w:val="0"/>
        <w:snapToGrid w:val="0"/>
        <w:spacing w:after="200" w:line="360" w:lineRule="auto"/>
        <w:ind w:firstLine="3150" w:firstLineChars="1500"/>
        <w:rPr>
          <w:rStyle w:val="64"/>
          <w:rFonts w:hint="eastAsia" w:ascii="方正仿宋_GB2312" w:hAnsi="方正仿宋_GB2312" w:eastAsia="方正仿宋_GB2312" w:cs="方正仿宋_GB2312"/>
          <w:color w:val="auto"/>
          <w:sz w:val="21"/>
          <w:szCs w:val="21"/>
          <w:highlight w:val="none"/>
        </w:rPr>
      </w:pPr>
    </w:p>
    <w:p w14:paraId="654E75BA">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投标人（牵头单位）：（电子签章）</w:t>
      </w:r>
    </w:p>
    <w:p w14:paraId="477AE38D">
      <w:pPr>
        <w:pStyle w:val="46"/>
        <w:adjustRightInd w:val="0"/>
        <w:snapToGrid w:val="0"/>
        <w:spacing w:after="200" w:line="360" w:lineRule="auto"/>
        <w:ind w:firstLine="2100" w:firstLineChars="1000"/>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法定代表人（电子签章）：</w:t>
      </w:r>
    </w:p>
    <w:p w14:paraId="0ADA8352">
      <w:pPr>
        <w:pStyle w:val="44"/>
        <w:spacing w:after="200" w:line="276" w:lineRule="auto"/>
        <w:ind w:firstLine="3614" w:firstLineChars="1721"/>
        <w:rPr>
          <w:rStyle w:val="64"/>
          <w:rFonts w:hint="eastAsia" w:ascii="方正仿宋_GB2312" w:hAnsi="方正仿宋_GB2312" w:eastAsia="方正仿宋_GB2312" w:cs="方正仿宋_GB2312"/>
          <w:color w:val="auto"/>
          <w:sz w:val="21"/>
          <w:szCs w:val="21"/>
          <w:highlight w:val="none"/>
        </w:rPr>
      </w:pPr>
      <w:r>
        <w:rPr>
          <w:rStyle w:val="64"/>
          <w:rFonts w:hint="eastAsia" w:ascii="方正仿宋_GB2312" w:hAnsi="方正仿宋_GB2312" w:eastAsia="方正仿宋_GB2312" w:cs="方正仿宋_GB2312"/>
          <w:color w:val="auto"/>
          <w:sz w:val="21"/>
          <w:szCs w:val="21"/>
          <w:highlight w:val="none"/>
        </w:rPr>
        <w:t xml:space="preserve">  年   月   日</w:t>
      </w:r>
    </w:p>
    <w:p w14:paraId="16A67642">
      <w:pPr>
        <w:pStyle w:val="68"/>
        <w:widowControl/>
        <w:spacing w:after="200" w:line="276" w:lineRule="auto"/>
        <w:jc w:val="both"/>
        <w:rPr>
          <w:rStyle w:val="64"/>
          <w:rFonts w:hint="eastAsia" w:ascii="方正仿宋_GB2312" w:hAnsi="方正仿宋_GB2312" w:eastAsia="方正仿宋_GB2312" w:cs="方正仿宋_GB2312"/>
          <w:b/>
          <w:bCs/>
          <w:color w:val="auto"/>
          <w:kern w:val="2"/>
          <w:sz w:val="32"/>
          <w:szCs w:val="32"/>
          <w:highlight w:val="none"/>
        </w:rPr>
      </w:pPr>
      <w:r>
        <w:rPr>
          <w:rFonts w:hint="eastAsia" w:ascii="方正仿宋_GB2312" w:hAnsi="方正仿宋_GB2312" w:eastAsia="方正仿宋_GB2312" w:cs="方正仿宋_GB2312"/>
          <w:b/>
          <w:bCs/>
          <w:color w:val="auto"/>
          <w:kern w:val="2"/>
          <w:sz w:val="32"/>
          <w:szCs w:val="32"/>
          <w:highlight w:val="none"/>
        </w:rPr>
        <w:br w:type="page"/>
      </w:r>
    </w:p>
    <w:p w14:paraId="6E55F2B1">
      <w:pPr>
        <w:pStyle w:val="4"/>
        <w:ind w:firstLine="0" w:firstLineChars="0"/>
        <w:jc w:val="center"/>
        <w:rPr>
          <w:rFonts w:hint="eastAsia" w:ascii="方正仿宋_GB2312" w:hAnsi="方正仿宋_GB2312" w:eastAsia="方正仿宋_GB2312" w:cs="方正仿宋_GB2312"/>
          <w:color w:val="auto"/>
          <w:sz w:val="32"/>
          <w:szCs w:val="32"/>
          <w:highlight w:val="none"/>
        </w:rPr>
      </w:pPr>
      <w:bookmarkStart w:id="1594" w:name="_Toc2946"/>
      <w:bookmarkStart w:id="1595" w:name="_Toc6468"/>
      <w:r>
        <w:rPr>
          <w:rFonts w:hint="eastAsia" w:ascii="方正仿宋_GB2312" w:hAnsi="方正仿宋_GB2312" w:eastAsia="方正仿宋_GB2312" w:cs="方正仿宋_GB2312"/>
          <w:color w:val="auto"/>
          <w:sz w:val="32"/>
          <w:szCs w:val="32"/>
          <w:highlight w:val="none"/>
        </w:rPr>
        <w:t>五、投标人认为需要补充的其他材料</w:t>
      </w:r>
      <w:bookmarkEnd w:id="1594"/>
      <w:bookmarkEnd w:id="1595"/>
    </w:p>
    <w:p w14:paraId="38424780">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756C006F">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5507851C">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6C223661">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073C09F0">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70668BF4">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0DE347F3">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0F8C0C24">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2F20E5E5">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5DF564A8">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355C369F">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059AEEEE">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29B2073F">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7EA6EEC3">
      <w:pPr>
        <w:pStyle w:val="62"/>
        <w:snapToGrid w:val="0"/>
        <w:spacing w:after="156" w:afterLines="50" w:line="360" w:lineRule="auto"/>
        <w:ind w:left="1" w:firstLine="0"/>
        <w:jc w:val="center"/>
        <w:rPr>
          <w:rFonts w:hint="eastAsia" w:ascii="方正仿宋_GB2312" w:hAnsi="方正仿宋_GB2312" w:eastAsia="方正仿宋_GB2312" w:cs="方正仿宋_GB2312"/>
          <w:b/>
          <w:bCs/>
          <w:color w:val="auto"/>
          <w:sz w:val="28"/>
          <w:szCs w:val="28"/>
          <w:highlight w:val="none"/>
        </w:rPr>
      </w:pPr>
    </w:p>
    <w:p w14:paraId="3C627302">
      <w:pPr>
        <w:rPr>
          <w:rFonts w:hint="eastAsia" w:ascii="方正仿宋_GB2312" w:hAnsi="方正仿宋_GB2312" w:eastAsia="方正仿宋_GB2312" w:cs="方正仿宋_GB2312"/>
          <w:color w:val="auto"/>
          <w:highlight w:val="none"/>
        </w:rPr>
      </w:pPr>
    </w:p>
    <w:p w14:paraId="42E4C96D">
      <w:pPr>
        <w:pStyle w:val="63"/>
        <w:snapToGrid w:val="0"/>
        <w:spacing w:before="156" w:beforeLines="50" w:after="312" w:afterLines="100" w:line="360" w:lineRule="auto"/>
        <w:ind w:left="0" w:firstLine="0"/>
        <w:jc w:val="center"/>
        <w:rPr>
          <w:rFonts w:hint="eastAsia" w:ascii="方正仿宋_GB2312" w:hAnsi="方正仿宋_GB2312" w:eastAsia="方正仿宋_GB2312" w:cs="方正仿宋_GB2312"/>
          <w:b/>
          <w:bCs/>
          <w:color w:val="auto"/>
          <w:sz w:val="28"/>
          <w:szCs w:val="28"/>
          <w:highlight w:val="none"/>
        </w:rPr>
      </w:pPr>
    </w:p>
    <w:p w14:paraId="36321D6D">
      <w:pPr>
        <w:rPr>
          <w:rFonts w:hint="eastAsia" w:ascii="方正仿宋_GB2312" w:hAnsi="方正仿宋_GB2312" w:eastAsia="方正仿宋_GB2312" w:cs="方正仿宋_GB2312"/>
          <w:b/>
          <w:bCs/>
          <w:color w:val="auto"/>
          <w:sz w:val="30"/>
          <w:szCs w:val="30"/>
          <w:highlight w:val="none"/>
        </w:rPr>
      </w:pPr>
      <w:bookmarkStart w:id="1596" w:name="_Toc27669"/>
      <w:bookmarkStart w:id="1597" w:name="_Toc16895"/>
      <w:r>
        <w:rPr>
          <w:rFonts w:hint="eastAsia" w:ascii="方正仿宋_GB2312" w:hAnsi="方正仿宋_GB2312" w:eastAsia="方正仿宋_GB2312" w:cs="方正仿宋_GB2312"/>
          <w:b/>
          <w:bCs/>
          <w:color w:val="auto"/>
          <w:sz w:val="30"/>
          <w:szCs w:val="30"/>
          <w:highlight w:val="none"/>
        </w:rPr>
        <w:br w:type="page"/>
      </w:r>
    </w:p>
    <w:p w14:paraId="044438DC">
      <w:pPr>
        <w:pStyle w:val="4"/>
        <w:pageBreakBefore w:val="0"/>
        <w:widowControl w:val="0"/>
        <w:kinsoku/>
        <w:wordWrap/>
        <w:overflowPunct/>
        <w:topLinePunct w:val="0"/>
        <w:autoSpaceDE/>
        <w:autoSpaceDN/>
        <w:bidi w:val="0"/>
        <w:adjustRightInd/>
        <w:snapToGrid w:val="0"/>
        <w:spacing w:after="0" w:line="240" w:lineRule="auto"/>
        <w:ind w:firstLine="148"/>
        <w:jc w:val="center"/>
        <w:textAlignment w:val="auto"/>
        <w:rPr>
          <w:rFonts w:hint="eastAsia" w:ascii="方正仿宋_GB2312" w:hAnsi="方正仿宋_GB2312" w:eastAsia="方正仿宋_GB2312" w:cs="方正仿宋_GB2312"/>
          <w:b/>
          <w:bCs/>
          <w:color w:val="auto"/>
          <w:sz w:val="30"/>
          <w:szCs w:val="30"/>
          <w:highlight w:val="none"/>
        </w:rPr>
      </w:pPr>
      <w:r>
        <w:rPr>
          <w:rFonts w:hint="eastAsia" w:ascii="方正仿宋_GB2312" w:hAnsi="方正仿宋_GB2312" w:eastAsia="方正仿宋_GB2312" w:cs="方正仿宋_GB2312"/>
          <w:b/>
          <w:bCs/>
          <w:color w:val="auto"/>
          <w:sz w:val="30"/>
          <w:szCs w:val="30"/>
          <w:highlight w:val="none"/>
        </w:rPr>
        <w:t>第三部分   商务部分</w:t>
      </w:r>
      <w:bookmarkEnd w:id="1596"/>
      <w:bookmarkEnd w:id="1597"/>
    </w:p>
    <w:p w14:paraId="7EE2CACF">
      <w:pPr>
        <w:pStyle w:val="63"/>
        <w:pageBreakBefore w:val="0"/>
        <w:widowControl w:val="0"/>
        <w:kinsoku/>
        <w:wordWrap/>
        <w:overflowPunct/>
        <w:topLinePunct w:val="0"/>
        <w:autoSpaceDE/>
        <w:autoSpaceDN/>
        <w:bidi w:val="0"/>
        <w:adjustRightInd/>
        <w:snapToGrid w:val="0"/>
        <w:spacing w:after="0" w:line="240" w:lineRule="auto"/>
        <w:ind w:left="0" w:firstLine="0"/>
        <w:jc w:val="center"/>
        <w:textAlignment w:val="auto"/>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t>投标报价一览表</w:t>
      </w:r>
    </w:p>
    <w:p w14:paraId="491D66DD">
      <w:pPr>
        <w:pageBreakBefore w:val="0"/>
        <w:kinsoku/>
        <w:wordWrap/>
        <w:overflowPunct/>
        <w:bidi w:val="0"/>
        <w:snapToGrid/>
        <w:spacing w:line="240" w:lineRule="auto"/>
        <w:jc w:val="left"/>
        <w:textAlignment w:val="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项目名称：</w:t>
      </w:r>
      <w:r>
        <w:rPr>
          <w:rFonts w:hint="eastAsia" w:ascii="方正仿宋_GB2312" w:hAnsi="方正仿宋_GB2312" w:eastAsia="方正仿宋_GB2312" w:cs="方正仿宋_GB2312"/>
          <w:color w:val="auto"/>
          <w:sz w:val="24"/>
          <w:highlight w:val="none"/>
          <w:lang w:val="en-US" w:eastAsia="zh-CN"/>
        </w:rPr>
        <w:t xml:space="preserve"> </w:t>
      </w:r>
    </w:p>
    <w:tbl>
      <w:tblPr>
        <w:tblStyle w:val="28"/>
        <w:tblW w:w="8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2324"/>
        <w:gridCol w:w="3217"/>
      </w:tblGrid>
      <w:tr w14:paraId="6AF94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trPr>
        <w:tc>
          <w:tcPr>
            <w:tcW w:w="3397" w:type="dxa"/>
            <w:vAlign w:val="center"/>
          </w:tcPr>
          <w:p w14:paraId="2A974C90">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投标报价内容</w:t>
            </w:r>
          </w:p>
        </w:tc>
        <w:tc>
          <w:tcPr>
            <w:tcW w:w="2324" w:type="dxa"/>
            <w:vAlign w:val="center"/>
          </w:tcPr>
          <w:p w14:paraId="276C463C">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投标报价</w:t>
            </w:r>
          </w:p>
        </w:tc>
        <w:tc>
          <w:tcPr>
            <w:tcW w:w="3217" w:type="dxa"/>
            <w:vAlign w:val="center"/>
          </w:tcPr>
          <w:p w14:paraId="32040092">
            <w:pPr>
              <w:keepNext w:val="0"/>
              <w:keepLines w:val="0"/>
              <w:pageBreakBefore w:val="0"/>
              <w:widowControl w:val="0"/>
              <w:kinsoku/>
              <w:wordWrap/>
              <w:overflowPunct/>
              <w:topLinePunct w:val="0"/>
              <w:autoSpaceDE/>
              <w:autoSpaceDN/>
              <w:bidi w:val="0"/>
              <w:adjustRightInd/>
              <w:snapToGrid w:val="0"/>
              <w:spacing w:after="0" w:line="240" w:lineRule="auto"/>
              <w:ind w:firstLine="630" w:firstLineChars="300"/>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备注</w:t>
            </w:r>
          </w:p>
        </w:tc>
      </w:tr>
      <w:tr w14:paraId="04FE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shd w:val="clear" w:color="auto" w:fill="auto"/>
            <w:vAlign w:val="center"/>
          </w:tcPr>
          <w:p w14:paraId="7BF9BFA7">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kern w:val="0"/>
                <w:sz w:val="21"/>
                <w:szCs w:val="21"/>
                <w:highlight w:val="none"/>
                <w:lang w:val="en-US" w:eastAsia="zh-CN" w:bidi="ar-SA"/>
              </w:rPr>
            </w:pPr>
            <w:r>
              <w:rPr>
                <w:rFonts w:hint="eastAsia" w:ascii="方正仿宋_GB2312" w:hAnsi="方正仿宋_GB2312" w:eastAsia="方正仿宋_GB2312" w:cs="方正仿宋_GB2312"/>
                <w:b w:val="0"/>
                <w:bCs/>
                <w:color w:val="auto"/>
                <w:sz w:val="21"/>
                <w:szCs w:val="21"/>
                <w:highlight w:val="none"/>
                <w:lang w:eastAsia="zh-CN"/>
              </w:rPr>
              <w:t>设计费</w:t>
            </w:r>
            <w:r>
              <w:rPr>
                <w:rFonts w:hint="eastAsia" w:ascii="方正仿宋_GB2312" w:hAnsi="方正仿宋_GB2312" w:eastAsia="方正仿宋_GB2312" w:cs="方正仿宋_GB2312"/>
                <w:b w:val="0"/>
                <w:bCs/>
                <w:color w:val="auto"/>
                <w:kern w:val="0"/>
                <w:sz w:val="21"/>
                <w:szCs w:val="21"/>
                <w:highlight w:val="none"/>
                <w:lang w:val="en-US" w:eastAsia="zh-CN"/>
              </w:rPr>
              <w:t>投标报价</w:t>
            </w:r>
          </w:p>
        </w:tc>
        <w:tc>
          <w:tcPr>
            <w:tcW w:w="2324" w:type="dxa"/>
            <w:shd w:val="clear" w:color="auto" w:fill="auto"/>
            <w:vAlign w:val="center"/>
          </w:tcPr>
          <w:p w14:paraId="52753105">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kern w:val="2"/>
                <w:sz w:val="21"/>
                <w:szCs w:val="21"/>
                <w:highlight w:val="none"/>
                <w:lang w:val="en-US" w:eastAsia="zh-CN" w:bidi="ar-SA"/>
              </w:rPr>
            </w:pPr>
            <w:r>
              <w:rPr>
                <w:rFonts w:hint="eastAsia" w:ascii="方正仿宋_GB2312" w:hAnsi="方正仿宋_GB2312" w:eastAsia="方正仿宋_GB2312" w:cs="方正仿宋_GB2312"/>
                <w:b w:val="0"/>
                <w:bCs/>
                <w:color w:val="auto"/>
                <w:sz w:val="21"/>
                <w:szCs w:val="21"/>
                <w:highlight w:val="none"/>
                <w:u w:val="single"/>
              </w:rPr>
              <w:t xml:space="preserve">     </w:t>
            </w:r>
            <w:r>
              <w:rPr>
                <w:rFonts w:hint="eastAsia" w:ascii="方正仿宋_GB2312" w:hAnsi="方正仿宋_GB2312" w:eastAsia="方正仿宋_GB2312" w:cs="方正仿宋_GB2312"/>
                <w:b w:val="0"/>
                <w:bCs/>
                <w:color w:val="auto"/>
                <w:sz w:val="21"/>
                <w:szCs w:val="21"/>
                <w:highlight w:val="none"/>
                <w:u w:val="none"/>
                <w:lang w:val="en-US" w:eastAsia="zh-CN"/>
              </w:rPr>
              <w:t>%</w:t>
            </w:r>
          </w:p>
        </w:tc>
        <w:tc>
          <w:tcPr>
            <w:tcW w:w="3217" w:type="dxa"/>
            <w:vAlign w:val="center"/>
          </w:tcPr>
          <w:p w14:paraId="7E40CB6E">
            <w:pPr>
              <w:keepNext w:val="0"/>
              <w:keepLines w:val="0"/>
              <w:pageBreakBefore w:val="0"/>
              <w:widowControl w:val="0"/>
              <w:kinsoku/>
              <w:wordWrap/>
              <w:overflowPunct/>
              <w:topLinePunct w:val="0"/>
              <w:autoSpaceDE/>
              <w:autoSpaceDN/>
              <w:bidi w:val="0"/>
              <w:adjustRightInd/>
              <w:snapToGrid w:val="0"/>
              <w:spacing w:after="0" w:line="240" w:lineRule="auto"/>
              <w:jc w:val="both"/>
              <w:textAlignment w:val="auto"/>
              <w:rPr>
                <w:rFonts w:hint="eastAsia" w:ascii="方正仿宋_GB2312" w:hAnsi="方正仿宋_GB2312" w:eastAsia="方正仿宋_GB2312" w:cs="方正仿宋_GB2312"/>
                <w:b w:val="0"/>
                <w:bCs/>
                <w:color w:val="auto"/>
                <w:sz w:val="21"/>
                <w:szCs w:val="21"/>
                <w:highlight w:val="none"/>
                <w:lang w:val="en-US" w:eastAsia="zh-CN"/>
              </w:rPr>
            </w:pPr>
          </w:p>
        </w:tc>
      </w:tr>
      <w:tr w14:paraId="041B5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5C4B41D3">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kern w:val="0"/>
                <w:sz w:val="21"/>
                <w:szCs w:val="21"/>
                <w:highlight w:val="none"/>
                <w:lang w:val="en-US" w:eastAsia="zh-CN"/>
              </w:rPr>
            </w:pPr>
            <w:r>
              <w:rPr>
                <w:rFonts w:hint="eastAsia" w:ascii="方正仿宋_GB2312" w:hAnsi="方正仿宋_GB2312" w:eastAsia="方正仿宋_GB2312" w:cs="方正仿宋_GB2312"/>
                <w:b w:val="0"/>
                <w:bCs/>
                <w:color w:val="auto"/>
                <w:kern w:val="0"/>
                <w:sz w:val="21"/>
                <w:szCs w:val="21"/>
                <w:highlight w:val="none"/>
                <w:lang w:val="en-US" w:eastAsia="zh-CN"/>
              </w:rPr>
              <w:t>工程施工费下浮率投标报价</w:t>
            </w:r>
          </w:p>
        </w:tc>
        <w:tc>
          <w:tcPr>
            <w:tcW w:w="2324" w:type="dxa"/>
            <w:vAlign w:val="center"/>
          </w:tcPr>
          <w:p w14:paraId="5CC592E5">
            <w:pPr>
              <w:keepNext w:val="0"/>
              <w:keepLines w:val="0"/>
              <w:pageBreakBefore w:val="0"/>
              <w:widowControl w:val="0"/>
              <w:kinsoku/>
              <w:wordWrap/>
              <w:overflowPunct/>
              <w:topLinePunct w:val="0"/>
              <w:autoSpaceDE/>
              <w:autoSpaceDN/>
              <w:bidi w:val="0"/>
              <w:adjustRightInd/>
              <w:snapToGrid w:val="0"/>
              <w:spacing w:after="0" w:line="240" w:lineRule="auto"/>
              <w:jc w:val="left"/>
              <w:textAlignment w:val="auto"/>
              <w:outlineLvl w:val="9"/>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u w:val="single"/>
              </w:rPr>
              <w:t xml:space="preserve">      </w:t>
            </w:r>
            <w:r>
              <w:rPr>
                <w:rFonts w:hint="eastAsia" w:ascii="方正仿宋_GB2312" w:hAnsi="方正仿宋_GB2312" w:eastAsia="方正仿宋_GB2312" w:cs="方正仿宋_GB2312"/>
                <w:b w:val="0"/>
                <w:bCs/>
                <w:color w:val="auto"/>
                <w:sz w:val="21"/>
                <w:szCs w:val="21"/>
                <w:highlight w:val="none"/>
                <w:u w:val="none"/>
                <w:lang w:val="en-US" w:eastAsia="zh-CN"/>
              </w:rPr>
              <w:t>%</w:t>
            </w:r>
          </w:p>
        </w:tc>
        <w:tc>
          <w:tcPr>
            <w:tcW w:w="3217" w:type="dxa"/>
            <w:vAlign w:val="center"/>
          </w:tcPr>
          <w:p w14:paraId="0A19B539">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u w:val="single"/>
              </w:rPr>
            </w:pPr>
          </w:p>
        </w:tc>
      </w:tr>
      <w:tr w14:paraId="18C7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3B7B629D">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kern w:val="0"/>
                <w:sz w:val="21"/>
                <w:szCs w:val="21"/>
                <w:highlight w:val="none"/>
                <w:lang w:val="en-US" w:eastAsia="zh-CN"/>
              </w:rPr>
              <w:t>总承包项目负责人</w:t>
            </w:r>
            <w:r>
              <w:rPr>
                <w:rFonts w:hint="eastAsia" w:ascii="方正仿宋_GB2312" w:hAnsi="方正仿宋_GB2312" w:eastAsia="方正仿宋_GB2312" w:cs="方正仿宋_GB2312"/>
                <w:b w:val="0"/>
                <w:bCs/>
                <w:color w:val="auto"/>
                <w:sz w:val="21"/>
                <w:szCs w:val="21"/>
                <w:highlight w:val="none"/>
              </w:rPr>
              <w:t>（姓名）</w:t>
            </w:r>
          </w:p>
        </w:tc>
        <w:tc>
          <w:tcPr>
            <w:tcW w:w="5541" w:type="dxa"/>
            <w:gridSpan w:val="2"/>
            <w:vAlign w:val="center"/>
          </w:tcPr>
          <w:p w14:paraId="58A3AE04">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u w:val="single"/>
              </w:rPr>
            </w:pPr>
          </w:p>
        </w:tc>
      </w:tr>
      <w:tr w14:paraId="54F39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5BD2EE43">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eastAsia="zh-CN"/>
              </w:rPr>
              <w:t>设计负责人</w:t>
            </w:r>
            <w:r>
              <w:rPr>
                <w:rFonts w:hint="eastAsia" w:ascii="方正仿宋_GB2312" w:hAnsi="方正仿宋_GB2312" w:eastAsia="方正仿宋_GB2312" w:cs="方正仿宋_GB2312"/>
                <w:b w:val="0"/>
                <w:bCs/>
                <w:color w:val="auto"/>
                <w:sz w:val="21"/>
                <w:szCs w:val="21"/>
                <w:highlight w:val="none"/>
              </w:rPr>
              <w:t>（姓名）</w:t>
            </w:r>
          </w:p>
        </w:tc>
        <w:tc>
          <w:tcPr>
            <w:tcW w:w="5541" w:type="dxa"/>
            <w:gridSpan w:val="2"/>
            <w:vAlign w:val="center"/>
          </w:tcPr>
          <w:p w14:paraId="035ADE9C">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u w:val="single"/>
              </w:rPr>
            </w:pPr>
          </w:p>
        </w:tc>
      </w:tr>
      <w:tr w14:paraId="0211A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00906A62">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eastAsia="zh-CN"/>
              </w:rPr>
              <w:t>施工负责人（项目经理）</w:t>
            </w:r>
            <w:r>
              <w:rPr>
                <w:rFonts w:hint="eastAsia" w:ascii="方正仿宋_GB2312" w:hAnsi="方正仿宋_GB2312" w:eastAsia="方正仿宋_GB2312" w:cs="方正仿宋_GB2312"/>
                <w:b w:val="0"/>
                <w:bCs/>
                <w:color w:val="auto"/>
                <w:sz w:val="21"/>
                <w:szCs w:val="21"/>
                <w:highlight w:val="none"/>
              </w:rPr>
              <w:t>（姓名）</w:t>
            </w:r>
          </w:p>
        </w:tc>
        <w:tc>
          <w:tcPr>
            <w:tcW w:w="5541" w:type="dxa"/>
            <w:gridSpan w:val="2"/>
            <w:vAlign w:val="center"/>
          </w:tcPr>
          <w:p w14:paraId="7780A6E0">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u w:val="single"/>
              </w:rPr>
            </w:pPr>
          </w:p>
        </w:tc>
      </w:tr>
      <w:tr w14:paraId="53420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366BEB2A">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eastAsia="zh-CN"/>
              </w:rPr>
              <w:t>计划工期</w:t>
            </w:r>
          </w:p>
        </w:tc>
        <w:tc>
          <w:tcPr>
            <w:tcW w:w="5541" w:type="dxa"/>
            <w:gridSpan w:val="2"/>
            <w:vAlign w:val="top"/>
          </w:tcPr>
          <w:p w14:paraId="1981CBE5">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rPr>
            </w:pPr>
          </w:p>
        </w:tc>
      </w:tr>
      <w:tr w14:paraId="0250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13A840A9">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质量标准</w:t>
            </w:r>
          </w:p>
        </w:tc>
        <w:tc>
          <w:tcPr>
            <w:tcW w:w="5541" w:type="dxa"/>
            <w:gridSpan w:val="2"/>
            <w:vAlign w:val="top"/>
          </w:tcPr>
          <w:p w14:paraId="1D3C967B">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rPr>
            </w:pPr>
          </w:p>
        </w:tc>
      </w:tr>
      <w:tr w14:paraId="13C26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362EED64">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投标保证金（元）</w:t>
            </w:r>
          </w:p>
        </w:tc>
        <w:tc>
          <w:tcPr>
            <w:tcW w:w="5541" w:type="dxa"/>
            <w:gridSpan w:val="2"/>
            <w:vAlign w:val="top"/>
          </w:tcPr>
          <w:p w14:paraId="130CCC99">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rPr>
            </w:pPr>
          </w:p>
        </w:tc>
      </w:tr>
      <w:tr w14:paraId="438D5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97" w:type="dxa"/>
            <w:vAlign w:val="center"/>
          </w:tcPr>
          <w:p w14:paraId="0D570ABE">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方正仿宋_GB2312" w:hAnsi="方正仿宋_GB2312" w:eastAsia="方正仿宋_GB2312" w:cs="方正仿宋_GB2312"/>
                <w:b w:val="0"/>
                <w:bCs/>
                <w:color w:val="auto"/>
                <w:sz w:val="21"/>
                <w:szCs w:val="21"/>
                <w:highlight w:val="none"/>
                <w:lang w:eastAsia="zh-CN"/>
              </w:rPr>
            </w:pPr>
            <w:r>
              <w:rPr>
                <w:rFonts w:hint="eastAsia" w:ascii="方正仿宋_GB2312" w:hAnsi="方正仿宋_GB2312" w:eastAsia="方正仿宋_GB2312" w:cs="方正仿宋_GB2312"/>
                <w:b w:val="0"/>
                <w:bCs/>
                <w:color w:val="auto"/>
                <w:sz w:val="21"/>
                <w:szCs w:val="21"/>
                <w:highlight w:val="none"/>
                <w:lang w:eastAsia="zh-CN"/>
              </w:rPr>
              <w:t>其他说明或备注</w:t>
            </w:r>
          </w:p>
        </w:tc>
        <w:tc>
          <w:tcPr>
            <w:tcW w:w="5541" w:type="dxa"/>
            <w:gridSpan w:val="2"/>
            <w:vAlign w:val="top"/>
          </w:tcPr>
          <w:p w14:paraId="234AB613">
            <w:pPr>
              <w:keepNext w:val="0"/>
              <w:keepLines w:val="0"/>
              <w:pageBreakBefore w:val="0"/>
              <w:widowControl w:val="0"/>
              <w:kinsoku/>
              <w:wordWrap/>
              <w:overflowPunct/>
              <w:topLinePunct w:val="0"/>
              <w:autoSpaceDE/>
              <w:autoSpaceDN/>
              <w:bidi w:val="0"/>
              <w:adjustRightInd/>
              <w:snapToGrid w:val="0"/>
              <w:spacing w:after="0" w:line="240" w:lineRule="auto"/>
              <w:textAlignment w:val="auto"/>
              <w:rPr>
                <w:rFonts w:hint="eastAsia" w:ascii="方正仿宋_GB2312" w:hAnsi="方正仿宋_GB2312" w:eastAsia="方正仿宋_GB2312" w:cs="方正仿宋_GB2312"/>
                <w:b w:val="0"/>
                <w:bCs/>
                <w:color w:val="auto"/>
                <w:sz w:val="21"/>
                <w:szCs w:val="21"/>
                <w:highlight w:val="none"/>
              </w:rPr>
            </w:pPr>
          </w:p>
        </w:tc>
      </w:tr>
      <w:tr w14:paraId="506C3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atLeast"/>
        </w:trPr>
        <w:tc>
          <w:tcPr>
            <w:tcW w:w="8938" w:type="dxa"/>
            <w:gridSpan w:val="3"/>
            <w:vAlign w:val="top"/>
          </w:tcPr>
          <w:p w14:paraId="03E8E4F9">
            <w:pPr>
              <w:spacing w:before="1" w:line="230" w:lineRule="auto"/>
              <w:jc w:val="both"/>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投标人（牵头人单位）：（电子签章）</w:t>
            </w:r>
          </w:p>
          <w:p w14:paraId="7F13DEF6">
            <w:pPr>
              <w:spacing w:before="1" w:line="230" w:lineRule="auto"/>
              <w:jc w:val="both"/>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法定代表人或其委托代理人：（电子签章）</w:t>
            </w:r>
          </w:p>
          <w:p w14:paraId="3CB832C2">
            <w:pPr>
              <w:spacing w:before="1" w:line="230" w:lineRule="auto"/>
              <w:jc w:val="both"/>
              <w:rPr>
                <w:rFonts w:hint="eastAsia" w:ascii="方正仿宋_GB2312" w:hAnsi="方正仿宋_GB2312" w:eastAsia="方正仿宋_GB2312" w:cs="方正仿宋_GB2312"/>
                <w:b w:val="0"/>
                <w:bCs/>
                <w:color w:val="auto"/>
                <w:sz w:val="21"/>
                <w:szCs w:val="21"/>
                <w:highlight w:val="none"/>
              </w:rPr>
            </w:pPr>
            <w:r>
              <w:rPr>
                <w:rFonts w:hint="eastAsia" w:ascii="方正仿宋_GB2312" w:hAnsi="方正仿宋_GB2312" w:eastAsia="方正仿宋_GB2312" w:cs="方正仿宋_GB2312"/>
                <w:b w:val="0"/>
                <w:bCs/>
                <w:color w:val="auto"/>
                <w:sz w:val="21"/>
                <w:szCs w:val="21"/>
                <w:highlight w:val="none"/>
              </w:rPr>
              <w:t>日期：</w:t>
            </w:r>
          </w:p>
        </w:tc>
      </w:tr>
    </w:tbl>
    <w:p w14:paraId="0DEB5997">
      <w:pPr>
        <w:ind w:left="418" w:hanging="417" w:hangingChars="199"/>
        <w:jc w:val="center"/>
        <w:rPr>
          <w:rFonts w:hint="eastAsia" w:ascii="方正仿宋_GB2312" w:hAnsi="方正仿宋_GB2312" w:eastAsia="方正仿宋_GB2312" w:cs="方正仿宋_GB2312"/>
          <w:color w:val="auto"/>
          <w:highlight w:val="none"/>
        </w:rPr>
      </w:pPr>
      <w:bookmarkStart w:id="1598" w:name="_Toc100498021"/>
      <w:bookmarkStart w:id="1599" w:name="_Toc384807816"/>
      <w:bookmarkStart w:id="1600" w:name="_Toc493496912"/>
      <w:bookmarkStart w:id="1601" w:name="_Toc462577150"/>
      <w:bookmarkStart w:id="1602" w:name="_Toc45897182"/>
      <w:r>
        <w:rPr>
          <w:rFonts w:hint="eastAsia" w:ascii="方正仿宋_GB2312" w:hAnsi="方正仿宋_GB2312" w:eastAsia="方正仿宋_GB2312" w:cs="方正仿宋_GB2312"/>
          <w:color w:val="auto"/>
          <w:highlight w:val="none"/>
        </w:rPr>
        <w:t>投标报价说明及填报须知</w:t>
      </w:r>
      <w:bookmarkEnd w:id="1598"/>
      <w:bookmarkEnd w:id="1599"/>
      <w:bookmarkEnd w:id="1600"/>
      <w:bookmarkEnd w:id="1601"/>
    </w:p>
    <w:p w14:paraId="628F0367">
      <w:pPr>
        <w:spacing w:line="36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1.</w:t>
      </w:r>
      <w:r>
        <w:rPr>
          <w:rFonts w:hint="eastAsia" w:ascii="方正仿宋_GB2312" w:hAnsi="方正仿宋_GB2312" w:eastAsia="方正仿宋_GB2312" w:cs="方正仿宋_GB2312"/>
          <w:color w:val="auto"/>
          <w:highlight w:val="none"/>
        </w:rPr>
        <w:t>报价依据本工程投标人须知和招标文件的有关条款进行编制。</w:t>
      </w:r>
    </w:p>
    <w:p w14:paraId="73AF5FE7">
      <w:pPr>
        <w:spacing w:line="360" w:lineRule="auto"/>
        <w:ind w:firstLine="420" w:firstLineChars="2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eastAsia="zh-CN"/>
        </w:rPr>
        <w:t>2.</w:t>
      </w:r>
      <w:r>
        <w:rPr>
          <w:rFonts w:hint="eastAsia" w:ascii="方正仿宋_GB2312" w:hAnsi="方正仿宋_GB2312" w:eastAsia="方正仿宋_GB2312" w:cs="方正仿宋_GB2312"/>
          <w:color w:val="auto"/>
          <w:highlight w:val="none"/>
        </w:rPr>
        <w:t>投标人应将投标报价需要说明的其他事项，用文字书写与投标报价表一并报送。</w:t>
      </w:r>
    </w:p>
    <w:bookmarkEnd w:id="1602"/>
    <w:p w14:paraId="70EF04A2">
      <w:pPr>
        <w:rPr>
          <w:rFonts w:hint="eastAsia" w:ascii="方正仿宋_GB2312" w:hAnsi="方正仿宋_GB2312" w:eastAsia="方正仿宋_GB2312" w:cs="方正仿宋_GB2312"/>
          <w:b/>
          <w:bCs/>
          <w:color w:val="auto"/>
          <w:highlight w:val="none"/>
        </w:rPr>
      </w:pPr>
      <w:bookmarkStart w:id="1603" w:name="_Toc17004"/>
      <w:r>
        <w:rPr>
          <w:rFonts w:hint="eastAsia" w:ascii="方正仿宋_GB2312" w:hAnsi="方正仿宋_GB2312" w:eastAsia="方正仿宋_GB2312" w:cs="方正仿宋_GB2312"/>
          <w:b/>
          <w:bCs/>
          <w:color w:val="auto"/>
          <w:highlight w:val="none"/>
        </w:rPr>
        <w:br w:type="page"/>
      </w:r>
    </w:p>
    <w:p w14:paraId="59925A30">
      <w:pPr>
        <w:pStyle w:val="4"/>
        <w:ind w:firstLine="148"/>
        <w:jc w:val="center"/>
        <w:rPr>
          <w:rFonts w:hint="eastAsia" w:ascii="方正仿宋_GB2312" w:hAnsi="方正仿宋_GB2312" w:eastAsia="方正仿宋_GB2312" w:cs="方正仿宋_GB2312"/>
          <w:b/>
          <w:bCs/>
          <w:color w:val="auto"/>
          <w:sz w:val="30"/>
          <w:szCs w:val="30"/>
          <w:highlight w:val="none"/>
        </w:rPr>
      </w:pPr>
      <w:bookmarkStart w:id="1604" w:name="_Toc19174"/>
      <w:r>
        <w:rPr>
          <w:rFonts w:hint="eastAsia" w:ascii="方正仿宋_GB2312" w:hAnsi="方正仿宋_GB2312" w:eastAsia="方正仿宋_GB2312" w:cs="方正仿宋_GB2312"/>
          <w:b/>
          <w:bCs/>
          <w:color w:val="auto"/>
          <w:sz w:val="30"/>
          <w:szCs w:val="30"/>
          <w:highlight w:val="none"/>
        </w:rPr>
        <w:t>第四部分  技术标部分</w:t>
      </w:r>
      <w:bookmarkEnd w:id="1603"/>
      <w:bookmarkEnd w:id="1604"/>
      <w:bookmarkStart w:id="1605" w:name="_Toc763_WPSOffice_Level1"/>
      <w:bookmarkStart w:id="1606" w:name="_Toc8424_WPSOffice_Level1"/>
      <w:bookmarkStart w:id="1607" w:name="_Toc14189"/>
    </w:p>
    <w:bookmarkEnd w:id="1605"/>
    <w:bookmarkEnd w:id="1606"/>
    <w:p w14:paraId="19E09FC3">
      <w:pPr>
        <w:spacing w:line="360" w:lineRule="auto"/>
        <w:rPr>
          <w:rFonts w:hint="eastAsia" w:ascii="方正仿宋_GB2312" w:hAnsi="方正仿宋_GB2312" w:eastAsia="方正仿宋_GB2312" w:cs="方正仿宋_GB2312"/>
          <w:b/>
          <w:bCs/>
          <w:color w:val="auto"/>
          <w:sz w:val="24"/>
          <w:szCs w:val="24"/>
          <w:highlight w:val="none"/>
          <w:lang w:eastAsia="zh-CN"/>
        </w:rPr>
      </w:pPr>
      <w:bookmarkStart w:id="1608" w:name="_Toc26615_WPSOffice_Level1"/>
      <w:bookmarkStart w:id="1609" w:name="_Toc13549_WPSOffice_Level1"/>
    </w:p>
    <w:p w14:paraId="3F6912CD">
      <w:pPr>
        <w:spacing w:line="360" w:lineRule="auto"/>
        <w:rPr>
          <w:rFonts w:hint="eastAsia" w:ascii="方正仿宋_GB2312" w:hAnsi="方正仿宋_GB2312" w:eastAsia="方正仿宋_GB2312" w:cs="方正仿宋_GB2312"/>
          <w:b/>
          <w:bCs/>
          <w:color w:val="auto"/>
          <w:sz w:val="24"/>
          <w:szCs w:val="24"/>
          <w:highlight w:val="none"/>
          <w:lang w:eastAsia="zh-CN"/>
        </w:rPr>
      </w:pPr>
      <w:r>
        <w:rPr>
          <w:rFonts w:hint="eastAsia" w:ascii="方正仿宋_GB2312" w:hAnsi="方正仿宋_GB2312" w:eastAsia="方正仿宋_GB2312" w:cs="方正仿宋_GB2312"/>
          <w:b/>
          <w:bCs/>
          <w:color w:val="auto"/>
          <w:sz w:val="24"/>
          <w:szCs w:val="24"/>
          <w:highlight w:val="none"/>
          <w:lang w:eastAsia="zh-CN"/>
        </w:rPr>
        <w:t>（格式自拟）</w:t>
      </w:r>
    </w:p>
    <w:bookmarkEnd w:id="1607"/>
    <w:bookmarkEnd w:id="1608"/>
    <w:bookmarkEnd w:id="1609"/>
    <w:p w14:paraId="34ACE093">
      <w:pPr>
        <w:keepNext w:val="0"/>
        <w:keepLines w:val="0"/>
        <w:pageBreakBefore w:val="0"/>
        <w:numPr>
          <w:ilvl w:val="0"/>
          <w:numId w:val="7"/>
        </w:numPr>
        <w:kinsoku/>
        <w:wordWrap/>
        <w:overflowPunct/>
        <w:topLinePunct w:val="0"/>
        <w:bidi w:val="0"/>
        <w:snapToGrid w:val="0"/>
        <w:spacing w:after="0" w:line="360" w:lineRule="auto"/>
        <w:jc w:val="both"/>
        <w:textAlignment w:val="auto"/>
        <w:outlineLvl w:val="9"/>
        <w:rPr>
          <w:rFonts w:hint="eastAsia" w:ascii="方正仿宋_GB2312" w:hAnsi="方正仿宋_GB2312" w:eastAsia="方正仿宋_GB2312" w:cs="方正仿宋_GB2312"/>
          <w:b/>
          <w:bCs/>
          <w:color w:val="auto"/>
          <w:kern w:val="2"/>
          <w:sz w:val="21"/>
          <w:szCs w:val="21"/>
          <w:highlight w:val="none"/>
          <w:lang w:val="en-US" w:eastAsia="zh-CN" w:bidi="ar-SA"/>
        </w:rPr>
      </w:pPr>
      <w:r>
        <w:rPr>
          <w:rFonts w:hint="eastAsia" w:ascii="方正仿宋_GB2312" w:hAnsi="方正仿宋_GB2312" w:eastAsia="方正仿宋_GB2312" w:cs="方正仿宋_GB2312"/>
          <w:b/>
          <w:bCs/>
          <w:color w:val="auto"/>
          <w:sz w:val="21"/>
          <w:szCs w:val="21"/>
          <w:highlight w:val="none"/>
        </w:rPr>
        <w:t>总承包方案</w:t>
      </w:r>
    </w:p>
    <w:p w14:paraId="57FDFB3D">
      <w:pPr>
        <w:keepNext w:val="0"/>
        <w:keepLines w:val="0"/>
        <w:pageBreakBefore w:val="0"/>
        <w:kinsoku/>
        <w:wordWrap/>
        <w:overflowPunct/>
        <w:topLinePunct w:val="0"/>
        <w:bidi w:val="0"/>
        <w:snapToGrid w:val="0"/>
        <w:spacing w:after="0" w:line="360" w:lineRule="auto"/>
        <w:jc w:val="both"/>
        <w:textAlignment w:val="auto"/>
        <w:outlineLvl w:val="9"/>
        <w:rPr>
          <w:rFonts w:hint="eastAsia" w:ascii="方正仿宋_GB2312" w:hAnsi="方正仿宋_GB2312" w:eastAsia="方正仿宋_GB2312" w:cs="方正仿宋_GB2312"/>
          <w:b/>
          <w:bCs/>
          <w:color w:val="auto"/>
          <w:sz w:val="21"/>
          <w:szCs w:val="21"/>
          <w:highlight w:val="none"/>
          <w:lang w:val="en-US" w:eastAsia="zh-CN"/>
        </w:rPr>
      </w:pPr>
    </w:p>
    <w:p w14:paraId="4D190ECD">
      <w:pPr>
        <w:keepNext w:val="0"/>
        <w:keepLines w:val="0"/>
        <w:pageBreakBefore w:val="0"/>
        <w:kinsoku/>
        <w:wordWrap/>
        <w:overflowPunct/>
        <w:topLinePunct w:val="0"/>
        <w:bidi w:val="0"/>
        <w:snapToGrid w:val="0"/>
        <w:spacing w:after="0" w:line="360" w:lineRule="auto"/>
        <w:jc w:val="both"/>
        <w:textAlignment w:val="auto"/>
        <w:outlineLvl w:val="9"/>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lang w:val="en-US" w:eastAsia="zh-CN"/>
        </w:rPr>
        <w:t>二</w:t>
      </w:r>
      <w:r>
        <w:rPr>
          <w:rFonts w:hint="eastAsia" w:ascii="方正仿宋_GB2312" w:hAnsi="方正仿宋_GB2312" w:eastAsia="方正仿宋_GB2312" w:cs="方正仿宋_GB2312"/>
          <w:b/>
          <w:bCs/>
          <w:color w:val="auto"/>
          <w:sz w:val="21"/>
          <w:szCs w:val="21"/>
          <w:highlight w:val="none"/>
          <w:lang w:val="en-US"/>
        </w:rPr>
        <w:t>、设计工作方案</w:t>
      </w:r>
    </w:p>
    <w:p w14:paraId="10186565">
      <w:pPr>
        <w:rPr>
          <w:rFonts w:hint="eastAsia" w:ascii="方正仿宋_GB2312" w:hAnsi="方正仿宋_GB2312" w:eastAsia="方正仿宋_GB2312" w:cs="方正仿宋_GB2312"/>
          <w:b/>
          <w:bCs/>
          <w:color w:val="auto"/>
          <w:sz w:val="21"/>
          <w:szCs w:val="21"/>
          <w:highlight w:val="none"/>
          <w:lang w:val="en-US" w:eastAsia="zh-CN"/>
        </w:rPr>
      </w:pPr>
    </w:p>
    <w:p w14:paraId="458B2239">
      <w:pPr>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 w:val="21"/>
          <w:szCs w:val="21"/>
          <w:highlight w:val="none"/>
          <w:lang w:val="en-US" w:eastAsia="zh-CN"/>
        </w:rPr>
        <w:t>三</w:t>
      </w:r>
      <w:r>
        <w:rPr>
          <w:rFonts w:hint="eastAsia" w:ascii="方正仿宋_GB2312" w:hAnsi="方正仿宋_GB2312" w:eastAsia="方正仿宋_GB2312" w:cs="方正仿宋_GB2312"/>
          <w:b/>
          <w:bCs/>
          <w:color w:val="auto"/>
          <w:sz w:val="32"/>
          <w:szCs w:val="32"/>
          <w:highlight w:val="none"/>
        </w:rPr>
        <w:t>、</w:t>
      </w:r>
      <w:r>
        <w:rPr>
          <w:rFonts w:hint="eastAsia" w:ascii="方正仿宋_GB2312" w:hAnsi="方正仿宋_GB2312" w:eastAsia="方正仿宋_GB2312" w:cs="方正仿宋_GB2312"/>
          <w:b/>
          <w:bCs/>
          <w:color w:val="auto"/>
          <w:sz w:val="21"/>
          <w:szCs w:val="21"/>
          <w:highlight w:val="none"/>
        </w:rPr>
        <w:t>施工方案</w:t>
      </w:r>
    </w:p>
    <w:p w14:paraId="39C2E9FF">
      <w:pPr>
        <w:rPr>
          <w:rFonts w:hint="eastAsia" w:ascii="方正仿宋_GB2312" w:hAnsi="方正仿宋_GB2312" w:eastAsia="方正仿宋_GB2312" w:cs="方正仿宋_GB2312"/>
          <w:b/>
          <w:bCs/>
          <w:color w:val="auto"/>
          <w:highlight w:val="none"/>
        </w:rPr>
      </w:pPr>
    </w:p>
    <w:p w14:paraId="5A45224E">
      <w:pPr>
        <w:rPr>
          <w:rFonts w:hint="eastAsia"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四、安全文明施工承诺及保证措施</w:t>
      </w:r>
    </w:p>
    <w:p w14:paraId="0414B603">
      <w:pPr>
        <w:rPr>
          <w:rFonts w:hint="eastAsia" w:ascii="方正仿宋_GB2312" w:hAnsi="方正仿宋_GB2312" w:eastAsia="方正仿宋_GB2312" w:cs="方正仿宋_GB2312"/>
          <w:b/>
          <w:bCs/>
          <w:color w:val="auto"/>
          <w:highlight w:val="none"/>
          <w:lang w:val="en-US" w:eastAsia="zh-CN"/>
        </w:rPr>
      </w:pPr>
    </w:p>
    <w:p w14:paraId="1226EE5B">
      <w:pPr>
        <w:numPr>
          <w:ilvl w:val="0"/>
          <w:numId w:val="0"/>
        </w:numPr>
        <w:rPr>
          <w:rFonts w:hint="eastAsia"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五、工期保证体系及保证措施</w:t>
      </w:r>
    </w:p>
    <w:p w14:paraId="5C9E8FBC">
      <w:pPr>
        <w:numPr>
          <w:ilvl w:val="0"/>
          <w:numId w:val="0"/>
        </w:numPr>
        <w:rPr>
          <w:rFonts w:hint="eastAsia" w:ascii="方正仿宋_GB2312" w:hAnsi="方正仿宋_GB2312" w:eastAsia="方正仿宋_GB2312" w:cs="方正仿宋_GB2312"/>
          <w:b/>
          <w:bCs/>
          <w:color w:val="auto"/>
          <w:highlight w:val="none"/>
          <w:lang w:val="en-US" w:eastAsia="zh-CN"/>
        </w:rPr>
      </w:pPr>
    </w:p>
    <w:p w14:paraId="4CAA272A">
      <w:pPr>
        <w:rPr>
          <w:rFonts w:hint="eastAsia"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六、项目风险预测与防范，事故应急预案</w:t>
      </w:r>
    </w:p>
    <w:p w14:paraId="2A0426FD">
      <w:pPr>
        <w:spacing w:line="360" w:lineRule="auto"/>
        <w:rPr>
          <w:rFonts w:hint="eastAsia" w:ascii="方正仿宋_GB2312" w:hAnsi="方正仿宋_GB2312" w:eastAsia="方正仿宋_GB2312" w:cs="方正仿宋_GB2312"/>
          <w:color w:val="auto"/>
          <w:sz w:val="28"/>
          <w:szCs w:val="28"/>
          <w:highlight w:val="none"/>
        </w:rPr>
      </w:pPr>
    </w:p>
    <w:p w14:paraId="6BAA46CA">
      <w:pPr>
        <w:rPr>
          <w:rFonts w:hint="eastAsia" w:ascii="方正仿宋_GB2312" w:hAnsi="方正仿宋_GB2312" w:eastAsia="方正仿宋_GB2312" w:cs="方正仿宋_GB2312"/>
          <w:color w:val="auto"/>
          <w:sz w:val="28"/>
          <w:szCs w:val="28"/>
          <w:highlight w:val="none"/>
        </w:rPr>
      </w:pPr>
    </w:p>
    <w:p w14:paraId="0EC41B56">
      <w:pPr>
        <w:rPr>
          <w:rFonts w:hint="eastAsia" w:ascii="方正仿宋_GB2312" w:hAnsi="方正仿宋_GB2312" w:eastAsia="方正仿宋_GB2312" w:cs="方正仿宋_GB2312"/>
          <w:color w:val="auto"/>
          <w:highlight w:val="none"/>
        </w:rPr>
      </w:pPr>
    </w:p>
    <w:p w14:paraId="05129EF2">
      <w:pPr>
        <w:rPr>
          <w:rFonts w:hint="eastAsia" w:ascii="方正仿宋_GB2312" w:hAnsi="方正仿宋_GB2312" w:eastAsia="方正仿宋_GB2312" w:cs="方正仿宋_GB2312"/>
          <w:color w:val="auto"/>
          <w:highlight w:val="none"/>
        </w:rPr>
      </w:pPr>
    </w:p>
    <w:p w14:paraId="5E462664">
      <w:pPr>
        <w:outlineLvl w:val="9"/>
        <w:rPr>
          <w:rFonts w:hint="eastAsia" w:ascii="方正仿宋_GB2312" w:hAnsi="方正仿宋_GB2312" w:eastAsia="方正仿宋_GB2312" w:cs="方正仿宋_GB2312"/>
          <w:color w:val="auto"/>
          <w:sz w:val="24"/>
          <w:szCs w:val="24"/>
          <w:highlight w:val="none"/>
        </w:rPr>
      </w:pPr>
    </w:p>
    <w:sectPr>
      <w:headerReference r:id="rId8" w:type="first"/>
      <w:footerReference r:id="rId10" w:type="first"/>
      <w:headerReference r:id="rId7" w:type="default"/>
      <w:footerReference r:id="rId9" w:type="default"/>
      <w:pgSz w:w="11906" w:h="16838"/>
      <w:pgMar w:top="1417" w:right="1417" w:bottom="1417" w:left="1531" w:header="851" w:footer="964" w:gutter="0"/>
      <w:pgBorders>
        <w:top w:val="none" w:sz="0" w:space="0"/>
        <w:left w:val="none" w:sz="0" w:space="0"/>
        <w:bottom w:val="none" w:sz="0" w:space="0"/>
        <w:right w:val="none" w:sz="0" w:space="0"/>
      </w:pgBorders>
      <w:pgNumType w:fmt="decimal"/>
      <w:cols w:space="708"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Calibri Light">
    <w:altName w:val="Calibri"/>
    <w:panose1 w:val="020F0302020204030204"/>
    <w:charset w:val="00"/>
    <w:family w:val="swiss"/>
    <w:pitch w:val="default"/>
    <w:sig w:usb0="00000000" w:usb1="00000000"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Arial Unicode MS">
    <w:altName w:val="宋体"/>
    <w:panose1 w:val="020B0604020202020204"/>
    <w:charset w:val="86"/>
    <w:family w:val="swiss"/>
    <w:pitch w:val="default"/>
    <w:sig w:usb0="00000000" w:usb1="00000000" w:usb2="0000003F" w:usb3="00000000" w:csb0="603F01FF" w:csb1="FFFF0000"/>
  </w:font>
  <w:font w:name="方正仿宋_GB18030">
    <w:panose1 w:val="02000000000000000000"/>
    <w:charset w:val="86"/>
    <w:family w:val="auto"/>
    <w:pitch w:val="default"/>
    <w:sig w:usb0="00000001" w:usb1="08000000" w:usb2="00000000" w:usb3="00000000" w:csb0="00040000" w:csb1="00000000"/>
    <w:embedRegular r:id="rId1" w:fontKey="{ED77D523-CDCD-428B-BC51-DAEAB87BC28F}"/>
  </w:font>
  <w:font w:name="仿宋">
    <w:panose1 w:val="02010609060101010101"/>
    <w:charset w:val="86"/>
    <w:family w:val="auto"/>
    <w:pitch w:val="default"/>
    <w:sig w:usb0="800002BF" w:usb1="38CF7CFA" w:usb2="00000016" w:usb3="00000000" w:csb0="00040001" w:csb1="00000000"/>
    <w:embedRegular r:id="rId2" w:fontKey="{4C3A9256-D629-436A-97DA-897626D2A96F}"/>
  </w:font>
  <w:font w:name="方正仿宋_GB2312">
    <w:panose1 w:val="02000000000000000000"/>
    <w:charset w:val="86"/>
    <w:family w:val="auto"/>
    <w:pitch w:val="default"/>
    <w:sig w:usb0="A00002BF" w:usb1="184F6CFA" w:usb2="00000012" w:usb3="00000000" w:csb0="00040001" w:csb1="00000000"/>
    <w:embedRegular r:id="rId3" w:fontKey="{A8F8EB5D-D3CC-417E-AF6E-E72D00CAEFB7}"/>
  </w:font>
  <w:font w:name="WPSEMBED2">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A81E1">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FB0D29">
                          <w:pPr>
                            <w:pStyle w:val="14"/>
                          </w:pPr>
                          <w:r>
                            <w:fldChar w:fldCharType="begin"/>
                          </w:r>
                          <w:r>
                            <w:instrText xml:space="preserve"> PAGE  \* MERGEFORMAT </w:instrText>
                          </w:r>
                          <w:r>
                            <w:fldChar w:fldCharType="separate"/>
                          </w:r>
                          <w:r>
                            <w:t>IV</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3EFB0D29">
                    <w:pPr>
                      <w:pStyle w:val="14"/>
                    </w:pPr>
                    <w:r>
                      <w:fldChar w:fldCharType="begin"/>
                    </w:r>
                    <w:r>
                      <w:instrText xml:space="preserve"> PAGE  \* MERGEFORMAT </w:instrText>
                    </w:r>
                    <w:r>
                      <w:fldChar w:fldCharType="separate"/>
                    </w:r>
                    <w:r>
                      <w:t>IV</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B1A97">
    <w:pPr>
      <w:pStyle w:val="1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41FDB6">
                          <w:pPr>
                            <w:pStyle w:val="14"/>
                          </w:pPr>
                          <w:r>
                            <w:fldChar w:fldCharType="begin"/>
                          </w:r>
                          <w:r>
                            <w:instrText xml:space="preserve"> PAGE  \* MERGEFORMAT </w:instrText>
                          </w:r>
                          <w:r>
                            <w:fldChar w:fldCharType="separate"/>
                          </w:r>
                          <w:r>
                            <w:t>L</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341FDB6">
                    <w:pPr>
                      <w:pStyle w:val="14"/>
                    </w:pPr>
                    <w:r>
                      <w:fldChar w:fldCharType="begin"/>
                    </w:r>
                    <w:r>
                      <w:instrText xml:space="preserve"> PAGE  \* MERGEFORMAT </w:instrText>
                    </w:r>
                    <w:r>
                      <w:fldChar w:fldCharType="separate"/>
                    </w:r>
                    <w:r>
                      <w:t>L</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6DD84">
    <w:pPr>
      <w:pStyle w:val="14"/>
      <w:jc w:val="center"/>
    </w:pPr>
    <w:r>
      <w:fldChar w:fldCharType="begin"/>
    </w:r>
    <w:r>
      <w:rPr>
        <w:rStyle w:val="32"/>
      </w:rPr>
      <w:instrText xml:space="preserve"> PAGE </w:instrText>
    </w:r>
    <w:r>
      <w:fldChar w:fldCharType="separate"/>
    </w:r>
    <w:r>
      <w:rPr>
        <w:rStyle w:val="32"/>
      </w:rPr>
      <w:t>115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A7102">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CC932">
    <w:pPr>
      <w:pStyle w:val="15"/>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0C8DC">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3241EB"/>
    <w:multiLevelType w:val="singleLevel"/>
    <w:tmpl w:val="B93241EB"/>
    <w:lvl w:ilvl="0" w:tentative="0">
      <w:start w:val="2"/>
      <w:numFmt w:val="chineseCounting"/>
      <w:suff w:val="nothing"/>
      <w:lvlText w:val="%1、"/>
      <w:lvlJc w:val="left"/>
      <w:rPr>
        <w:rFonts w:hint="eastAsia"/>
      </w:rPr>
    </w:lvl>
  </w:abstractNum>
  <w:abstractNum w:abstractNumId="1">
    <w:nsid w:val="00000001"/>
    <w:multiLevelType w:val="singleLevel"/>
    <w:tmpl w:val="00000001"/>
    <w:lvl w:ilvl="0" w:tentative="0">
      <w:start w:val="3"/>
      <w:numFmt w:val="chineseCounting"/>
      <w:suff w:val="space"/>
      <w:lvlText w:val="第%1章"/>
      <w:lvlJc w:val="left"/>
      <w:rPr>
        <w:rFonts w:hint="eastAsia"/>
      </w:rPr>
    </w:lvl>
  </w:abstractNum>
  <w:abstractNum w:abstractNumId="2">
    <w:nsid w:val="3AA800C6"/>
    <w:multiLevelType w:val="multilevel"/>
    <w:tmpl w:val="3AA800C6"/>
    <w:lvl w:ilvl="0" w:tentative="0">
      <w:start w:val="1"/>
      <w:numFmt w:val="decimal"/>
      <w:pStyle w:val="53"/>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3">
    <w:nsid w:val="47F0D2D9"/>
    <w:multiLevelType w:val="singleLevel"/>
    <w:tmpl w:val="47F0D2D9"/>
    <w:lvl w:ilvl="0" w:tentative="0">
      <w:start w:val="3"/>
      <w:numFmt w:val="chineseCounting"/>
      <w:suff w:val="space"/>
      <w:lvlText w:val="第%1部分"/>
      <w:lvlJc w:val="left"/>
      <w:rPr>
        <w:rFonts w:hint="eastAsia"/>
      </w:rPr>
    </w:lvl>
  </w:abstractNum>
  <w:abstractNum w:abstractNumId="4">
    <w:nsid w:val="6052A4C0"/>
    <w:multiLevelType w:val="singleLevel"/>
    <w:tmpl w:val="6052A4C0"/>
    <w:lvl w:ilvl="0" w:tentative="0">
      <w:start w:val="1"/>
      <w:numFmt w:val="chineseCounting"/>
      <w:suff w:val="nothing"/>
      <w:lvlText w:val="%1、"/>
      <w:lvlJc w:val="left"/>
      <w:rPr>
        <w:rFonts w:hint="eastAsia"/>
      </w:rPr>
    </w:lvl>
  </w:abstractNum>
  <w:abstractNum w:abstractNumId="5">
    <w:nsid w:val="62687BB6"/>
    <w:multiLevelType w:val="multilevel"/>
    <w:tmpl w:val="62687BB6"/>
    <w:lvl w:ilvl="0" w:tentative="0">
      <w:start w:val="1"/>
      <w:numFmt w:val="decimal"/>
      <w:pStyle w:val="61"/>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6">
    <w:nsid w:val="6E87019F"/>
    <w:multiLevelType w:val="multilevel"/>
    <w:tmpl w:val="6E87019F"/>
    <w:lvl w:ilvl="0" w:tentative="0">
      <w:start w:val="1"/>
      <w:numFmt w:val="chineseCountingThousand"/>
      <w:pStyle w:val="54"/>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2"/>
  </w:num>
  <w:num w:numId="2">
    <w:abstractNumId w:val="6"/>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TrueTypeFonts/>
  <w:saveSubsetFonts/>
  <w:bordersDoNotSurroundHeader w:val="0"/>
  <w:bordersDoNotSurroundFooter w:val="0"/>
  <w:hideSpellingErrors/>
  <w:attachedTemplate r:id="rId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xZmU2YTBlZTg5NzlhMWIzMjYyN2Q3YzdkMzA1Y2IifQ=="/>
  </w:docVars>
  <w:rsids>
    <w:rsidRoot w:val="00000000"/>
    <w:rsid w:val="000F5645"/>
    <w:rsid w:val="00135135"/>
    <w:rsid w:val="007754BF"/>
    <w:rsid w:val="00CB1B87"/>
    <w:rsid w:val="011B0745"/>
    <w:rsid w:val="019B53E2"/>
    <w:rsid w:val="01BB1A5D"/>
    <w:rsid w:val="01BD72DA"/>
    <w:rsid w:val="02522254"/>
    <w:rsid w:val="025A21BE"/>
    <w:rsid w:val="02743D1B"/>
    <w:rsid w:val="0291799E"/>
    <w:rsid w:val="02B726F0"/>
    <w:rsid w:val="02C866AB"/>
    <w:rsid w:val="031A53C7"/>
    <w:rsid w:val="03712B10"/>
    <w:rsid w:val="03C02858"/>
    <w:rsid w:val="03DA2A74"/>
    <w:rsid w:val="044E6864"/>
    <w:rsid w:val="048760F2"/>
    <w:rsid w:val="04B769D7"/>
    <w:rsid w:val="04FE4606"/>
    <w:rsid w:val="050C74A4"/>
    <w:rsid w:val="05186954"/>
    <w:rsid w:val="055C132D"/>
    <w:rsid w:val="05663F59"/>
    <w:rsid w:val="0576686F"/>
    <w:rsid w:val="05C10C2D"/>
    <w:rsid w:val="05D76C05"/>
    <w:rsid w:val="05DA64B7"/>
    <w:rsid w:val="05F3380B"/>
    <w:rsid w:val="05F73ED5"/>
    <w:rsid w:val="060F2843"/>
    <w:rsid w:val="06151769"/>
    <w:rsid w:val="066E27EA"/>
    <w:rsid w:val="067D155B"/>
    <w:rsid w:val="0683506E"/>
    <w:rsid w:val="06986394"/>
    <w:rsid w:val="06C434B5"/>
    <w:rsid w:val="07140111"/>
    <w:rsid w:val="077741FC"/>
    <w:rsid w:val="07A1571D"/>
    <w:rsid w:val="07C02047"/>
    <w:rsid w:val="07C40C20"/>
    <w:rsid w:val="07E61667"/>
    <w:rsid w:val="0802172A"/>
    <w:rsid w:val="08420FC8"/>
    <w:rsid w:val="084A5DB4"/>
    <w:rsid w:val="089530EA"/>
    <w:rsid w:val="08F63846"/>
    <w:rsid w:val="0953613B"/>
    <w:rsid w:val="095A5B83"/>
    <w:rsid w:val="09715FDE"/>
    <w:rsid w:val="09732882"/>
    <w:rsid w:val="09C82BE7"/>
    <w:rsid w:val="09D9119E"/>
    <w:rsid w:val="09F14834"/>
    <w:rsid w:val="09FE29B2"/>
    <w:rsid w:val="0A083831"/>
    <w:rsid w:val="0A546505"/>
    <w:rsid w:val="0A912C08"/>
    <w:rsid w:val="0AA24B74"/>
    <w:rsid w:val="0B0919D6"/>
    <w:rsid w:val="0B906F8A"/>
    <w:rsid w:val="0B935A2D"/>
    <w:rsid w:val="0BC32105"/>
    <w:rsid w:val="0BC633BD"/>
    <w:rsid w:val="0BF63D8A"/>
    <w:rsid w:val="0C0D4CFB"/>
    <w:rsid w:val="0C183542"/>
    <w:rsid w:val="0C62191E"/>
    <w:rsid w:val="0C654909"/>
    <w:rsid w:val="0C6A432F"/>
    <w:rsid w:val="0C6C454B"/>
    <w:rsid w:val="0C965124"/>
    <w:rsid w:val="0CC9374C"/>
    <w:rsid w:val="0CCE4709"/>
    <w:rsid w:val="0CD10124"/>
    <w:rsid w:val="0D522F09"/>
    <w:rsid w:val="0DD72D82"/>
    <w:rsid w:val="0DE308C8"/>
    <w:rsid w:val="0DEC0453"/>
    <w:rsid w:val="0DF7658B"/>
    <w:rsid w:val="0E5C54BA"/>
    <w:rsid w:val="0E8F2773"/>
    <w:rsid w:val="0E9D61F9"/>
    <w:rsid w:val="0EA65374"/>
    <w:rsid w:val="0ECE23DC"/>
    <w:rsid w:val="0EFD592E"/>
    <w:rsid w:val="0F1D7D7F"/>
    <w:rsid w:val="0F3F0E4B"/>
    <w:rsid w:val="0F464119"/>
    <w:rsid w:val="0F7F6343"/>
    <w:rsid w:val="0FB00BF3"/>
    <w:rsid w:val="0FC15091"/>
    <w:rsid w:val="0FDB43C0"/>
    <w:rsid w:val="0FF76414"/>
    <w:rsid w:val="0FFF466D"/>
    <w:rsid w:val="101B6CAF"/>
    <w:rsid w:val="10336D78"/>
    <w:rsid w:val="10863702"/>
    <w:rsid w:val="10DE52EC"/>
    <w:rsid w:val="111D0C91"/>
    <w:rsid w:val="11592BC4"/>
    <w:rsid w:val="116A3B73"/>
    <w:rsid w:val="11856FB6"/>
    <w:rsid w:val="119572F8"/>
    <w:rsid w:val="12320AD3"/>
    <w:rsid w:val="124D76F8"/>
    <w:rsid w:val="1254571A"/>
    <w:rsid w:val="126113E4"/>
    <w:rsid w:val="129C1BFF"/>
    <w:rsid w:val="12DA4107"/>
    <w:rsid w:val="132F0080"/>
    <w:rsid w:val="13421FCB"/>
    <w:rsid w:val="13522765"/>
    <w:rsid w:val="13824654"/>
    <w:rsid w:val="139A6807"/>
    <w:rsid w:val="13A5242B"/>
    <w:rsid w:val="13CE5AEB"/>
    <w:rsid w:val="142A207D"/>
    <w:rsid w:val="14726BF2"/>
    <w:rsid w:val="1480619E"/>
    <w:rsid w:val="14893199"/>
    <w:rsid w:val="14BF1D95"/>
    <w:rsid w:val="15973CBB"/>
    <w:rsid w:val="15AC3C0A"/>
    <w:rsid w:val="15E6711C"/>
    <w:rsid w:val="15ED7B1D"/>
    <w:rsid w:val="1614204B"/>
    <w:rsid w:val="1615201C"/>
    <w:rsid w:val="161836EA"/>
    <w:rsid w:val="164875C1"/>
    <w:rsid w:val="166C4BAD"/>
    <w:rsid w:val="16B44E36"/>
    <w:rsid w:val="16D36F75"/>
    <w:rsid w:val="1716650E"/>
    <w:rsid w:val="17710CEF"/>
    <w:rsid w:val="177469AA"/>
    <w:rsid w:val="17841080"/>
    <w:rsid w:val="178650AF"/>
    <w:rsid w:val="17BA0860"/>
    <w:rsid w:val="17E6781C"/>
    <w:rsid w:val="17E93F63"/>
    <w:rsid w:val="17EC0750"/>
    <w:rsid w:val="18020CF4"/>
    <w:rsid w:val="1804785A"/>
    <w:rsid w:val="18351992"/>
    <w:rsid w:val="184B14B9"/>
    <w:rsid w:val="186D7C5C"/>
    <w:rsid w:val="18B03A11"/>
    <w:rsid w:val="18B530E6"/>
    <w:rsid w:val="18D55D10"/>
    <w:rsid w:val="18F63021"/>
    <w:rsid w:val="19051769"/>
    <w:rsid w:val="190C3CBB"/>
    <w:rsid w:val="194143E6"/>
    <w:rsid w:val="194D300E"/>
    <w:rsid w:val="1956356F"/>
    <w:rsid w:val="195B31C8"/>
    <w:rsid w:val="198509FA"/>
    <w:rsid w:val="19967908"/>
    <w:rsid w:val="19AA29F6"/>
    <w:rsid w:val="1A064282"/>
    <w:rsid w:val="1A0B4A80"/>
    <w:rsid w:val="1AB16C91"/>
    <w:rsid w:val="1AB56EDD"/>
    <w:rsid w:val="1B4E7E6F"/>
    <w:rsid w:val="1B886580"/>
    <w:rsid w:val="1B8D1DE8"/>
    <w:rsid w:val="1BB03A48"/>
    <w:rsid w:val="1C986E0C"/>
    <w:rsid w:val="1CA134E9"/>
    <w:rsid w:val="1CAA6F04"/>
    <w:rsid w:val="1CBC46B4"/>
    <w:rsid w:val="1CD203FA"/>
    <w:rsid w:val="1D085BCA"/>
    <w:rsid w:val="1D31093B"/>
    <w:rsid w:val="1D547F1B"/>
    <w:rsid w:val="1D790876"/>
    <w:rsid w:val="1D7B2256"/>
    <w:rsid w:val="1D7C713F"/>
    <w:rsid w:val="1D916391"/>
    <w:rsid w:val="1DD70F48"/>
    <w:rsid w:val="1DE92160"/>
    <w:rsid w:val="1DEF15B7"/>
    <w:rsid w:val="1E0A7864"/>
    <w:rsid w:val="1E1332F5"/>
    <w:rsid w:val="1E7F010E"/>
    <w:rsid w:val="1E852282"/>
    <w:rsid w:val="1EA72C6A"/>
    <w:rsid w:val="1F737547"/>
    <w:rsid w:val="1FAA740D"/>
    <w:rsid w:val="1FB867EA"/>
    <w:rsid w:val="1FCB14C6"/>
    <w:rsid w:val="1FE50445"/>
    <w:rsid w:val="200A5223"/>
    <w:rsid w:val="202F348C"/>
    <w:rsid w:val="2032136D"/>
    <w:rsid w:val="2043101C"/>
    <w:rsid w:val="204C04C4"/>
    <w:rsid w:val="209B2E36"/>
    <w:rsid w:val="20C8629B"/>
    <w:rsid w:val="20E1715E"/>
    <w:rsid w:val="210125A8"/>
    <w:rsid w:val="211E2763"/>
    <w:rsid w:val="212A69C6"/>
    <w:rsid w:val="217455F3"/>
    <w:rsid w:val="21B20A39"/>
    <w:rsid w:val="21DF0EC4"/>
    <w:rsid w:val="222C235B"/>
    <w:rsid w:val="22927D16"/>
    <w:rsid w:val="22D25DB7"/>
    <w:rsid w:val="22D62EEB"/>
    <w:rsid w:val="22ED538B"/>
    <w:rsid w:val="22F82349"/>
    <w:rsid w:val="23050A61"/>
    <w:rsid w:val="23160EB3"/>
    <w:rsid w:val="231B6D2F"/>
    <w:rsid w:val="2352347D"/>
    <w:rsid w:val="23E629DD"/>
    <w:rsid w:val="23EA4A7C"/>
    <w:rsid w:val="2441528D"/>
    <w:rsid w:val="248D2E59"/>
    <w:rsid w:val="24AF098E"/>
    <w:rsid w:val="24B84076"/>
    <w:rsid w:val="24F85D12"/>
    <w:rsid w:val="2533755C"/>
    <w:rsid w:val="25461985"/>
    <w:rsid w:val="25AC5561"/>
    <w:rsid w:val="25AF3825"/>
    <w:rsid w:val="25C32FD6"/>
    <w:rsid w:val="262D044F"/>
    <w:rsid w:val="262F1590"/>
    <w:rsid w:val="26686301"/>
    <w:rsid w:val="268D66AC"/>
    <w:rsid w:val="26BF78FB"/>
    <w:rsid w:val="26E56F7C"/>
    <w:rsid w:val="26FE3B9A"/>
    <w:rsid w:val="272F546D"/>
    <w:rsid w:val="27391076"/>
    <w:rsid w:val="2767173F"/>
    <w:rsid w:val="276C5C99"/>
    <w:rsid w:val="2779677B"/>
    <w:rsid w:val="27946273"/>
    <w:rsid w:val="27A6495D"/>
    <w:rsid w:val="27B128E7"/>
    <w:rsid w:val="27B5694E"/>
    <w:rsid w:val="287F3CCF"/>
    <w:rsid w:val="28B464CA"/>
    <w:rsid w:val="28B80891"/>
    <w:rsid w:val="28E15521"/>
    <w:rsid w:val="28E9787B"/>
    <w:rsid w:val="292518B2"/>
    <w:rsid w:val="295C47A7"/>
    <w:rsid w:val="296E737B"/>
    <w:rsid w:val="2987256D"/>
    <w:rsid w:val="299C517D"/>
    <w:rsid w:val="29CA61F7"/>
    <w:rsid w:val="2A27165A"/>
    <w:rsid w:val="2A6E79EF"/>
    <w:rsid w:val="2A990A04"/>
    <w:rsid w:val="2A9F38E6"/>
    <w:rsid w:val="2AD604D9"/>
    <w:rsid w:val="2AED2F07"/>
    <w:rsid w:val="2B34568B"/>
    <w:rsid w:val="2B465143"/>
    <w:rsid w:val="2B5A6CDB"/>
    <w:rsid w:val="2B844FB6"/>
    <w:rsid w:val="2B8665D6"/>
    <w:rsid w:val="2BBE1D37"/>
    <w:rsid w:val="2BD1522F"/>
    <w:rsid w:val="2BE9306B"/>
    <w:rsid w:val="2BFB4B4C"/>
    <w:rsid w:val="2C0905E7"/>
    <w:rsid w:val="2C133CB3"/>
    <w:rsid w:val="2C615151"/>
    <w:rsid w:val="2C746CC8"/>
    <w:rsid w:val="2C9406A0"/>
    <w:rsid w:val="2CB35427"/>
    <w:rsid w:val="2CD55F55"/>
    <w:rsid w:val="2CEA1E47"/>
    <w:rsid w:val="2CEA2A0D"/>
    <w:rsid w:val="2CF8009E"/>
    <w:rsid w:val="2D145EC5"/>
    <w:rsid w:val="2D1C4D7A"/>
    <w:rsid w:val="2D3E73E6"/>
    <w:rsid w:val="2DBA1D63"/>
    <w:rsid w:val="2DBE000A"/>
    <w:rsid w:val="2DEF2105"/>
    <w:rsid w:val="2E616C44"/>
    <w:rsid w:val="2E755089"/>
    <w:rsid w:val="2EA27A1B"/>
    <w:rsid w:val="2EF57F78"/>
    <w:rsid w:val="2F150FAE"/>
    <w:rsid w:val="2F215A85"/>
    <w:rsid w:val="2F8D2529"/>
    <w:rsid w:val="2F9704F5"/>
    <w:rsid w:val="2FFA5CD4"/>
    <w:rsid w:val="301B3A0F"/>
    <w:rsid w:val="301E705B"/>
    <w:rsid w:val="305F5B53"/>
    <w:rsid w:val="30985E70"/>
    <w:rsid w:val="30F33908"/>
    <w:rsid w:val="31061D4C"/>
    <w:rsid w:val="31322DBE"/>
    <w:rsid w:val="318A46ED"/>
    <w:rsid w:val="31C67EDF"/>
    <w:rsid w:val="321506AE"/>
    <w:rsid w:val="326E40B9"/>
    <w:rsid w:val="32AF5BA2"/>
    <w:rsid w:val="32BB16A6"/>
    <w:rsid w:val="32BF2D77"/>
    <w:rsid w:val="32BF4B25"/>
    <w:rsid w:val="32C2562F"/>
    <w:rsid w:val="331E3982"/>
    <w:rsid w:val="33210D4B"/>
    <w:rsid w:val="33522F62"/>
    <w:rsid w:val="33541711"/>
    <w:rsid w:val="337D5608"/>
    <w:rsid w:val="33B757AE"/>
    <w:rsid w:val="33EB14A7"/>
    <w:rsid w:val="34131FA1"/>
    <w:rsid w:val="341D230A"/>
    <w:rsid w:val="345D7E10"/>
    <w:rsid w:val="34C226AB"/>
    <w:rsid w:val="34CC6788"/>
    <w:rsid w:val="35DE764D"/>
    <w:rsid w:val="35F94188"/>
    <w:rsid w:val="36321AB2"/>
    <w:rsid w:val="363C7E1E"/>
    <w:rsid w:val="36637EBD"/>
    <w:rsid w:val="36BD3E66"/>
    <w:rsid w:val="36FA3B3C"/>
    <w:rsid w:val="37011251"/>
    <w:rsid w:val="370874B8"/>
    <w:rsid w:val="371210AD"/>
    <w:rsid w:val="371B42F4"/>
    <w:rsid w:val="3727098E"/>
    <w:rsid w:val="37865C12"/>
    <w:rsid w:val="379A184B"/>
    <w:rsid w:val="37A51A7A"/>
    <w:rsid w:val="37CD3AE7"/>
    <w:rsid w:val="37FE1C4C"/>
    <w:rsid w:val="38464818"/>
    <w:rsid w:val="38635F53"/>
    <w:rsid w:val="38F65019"/>
    <w:rsid w:val="392B4FBE"/>
    <w:rsid w:val="394E6C03"/>
    <w:rsid w:val="39745F39"/>
    <w:rsid w:val="39B12CEE"/>
    <w:rsid w:val="39D567D1"/>
    <w:rsid w:val="39F0392B"/>
    <w:rsid w:val="39F059D1"/>
    <w:rsid w:val="3A045513"/>
    <w:rsid w:val="3A0557A4"/>
    <w:rsid w:val="3A0C48D4"/>
    <w:rsid w:val="3A2C5969"/>
    <w:rsid w:val="3A306FF8"/>
    <w:rsid w:val="3A402F69"/>
    <w:rsid w:val="3A5A6C7C"/>
    <w:rsid w:val="3A797CAF"/>
    <w:rsid w:val="3A8D375B"/>
    <w:rsid w:val="3AA27206"/>
    <w:rsid w:val="3ABD30B2"/>
    <w:rsid w:val="3B0470DE"/>
    <w:rsid w:val="3B0F4170"/>
    <w:rsid w:val="3B291FA3"/>
    <w:rsid w:val="3B2C6ED9"/>
    <w:rsid w:val="3B4A33FA"/>
    <w:rsid w:val="3B6B584A"/>
    <w:rsid w:val="3BD5701C"/>
    <w:rsid w:val="3BED123F"/>
    <w:rsid w:val="3BF22786"/>
    <w:rsid w:val="3BF368F0"/>
    <w:rsid w:val="3C6A11AE"/>
    <w:rsid w:val="3C7A386B"/>
    <w:rsid w:val="3C916221"/>
    <w:rsid w:val="3C9A378F"/>
    <w:rsid w:val="3CC82828"/>
    <w:rsid w:val="3D31661F"/>
    <w:rsid w:val="3D491BBB"/>
    <w:rsid w:val="3D49542E"/>
    <w:rsid w:val="3D4B1C84"/>
    <w:rsid w:val="3D5211D2"/>
    <w:rsid w:val="3D7E2411"/>
    <w:rsid w:val="3DA70690"/>
    <w:rsid w:val="3DBA4867"/>
    <w:rsid w:val="3DD75419"/>
    <w:rsid w:val="3E740001"/>
    <w:rsid w:val="3E8D3F69"/>
    <w:rsid w:val="3EA124AC"/>
    <w:rsid w:val="3EA40789"/>
    <w:rsid w:val="3EB412B6"/>
    <w:rsid w:val="3ECA0ADA"/>
    <w:rsid w:val="3EE95E5D"/>
    <w:rsid w:val="3F7F1111"/>
    <w:rsid w:val="3FE07E89"/>
    <w:rsid w:val="3FF322B2"/>
    <w:rsid w:val="40330482"/>
    <w:rsid w:val="40814127"/>
    <w:rsid w:val="408B4299"/>
    <w:rsid w:val="40A86631"/>
    <w:rsid w:val="40AB310A"/>
    <w:rsid w:val="40D234E7"/>
    <w:rsid w:val="40F72319"/>
    <w:rsid w:val="40FB7670"/>
    <w:rsid w:val="410D0D9A"/>
    <w:rsid w:val="41125D27"/>
    <w:rsid w:val="41540B2E"/>
    <w:rsid w:val="415645B4"/>
    <w:rsid w:val="418133D6"/>
    <w:rsid w:val="41856F3A"/>
    <w:rsid w:val="41C95363"/>
    <w:rsid w:val="41FB2A95"/>
    <w:rsid w:val="42486255"/>
    <w:rsid w:val="426623B7"/>
    <w:rsid w:val="426B47A5"/>
    <w:rsid w:val="42C5738F"/>
    <w:rsid w:val="42D9578F"/>
    <w:rsid w:val="430E5D85"/>
    <w:rsid w:val="43192030"/>
    <w:rsid w:val="431D221A"/>
    <w:rsid w:val="432F1853"/>
    <w:rsid w:val="437E00E5"/>
    <w:rsid w:val="4396542E"/>
    <w:rsid w:val="43BA2E6B"/>
    <w:rsid w:val="43C3792D"/>
    <w:rsid w:val="43D47D05"/>
    <w:rsid w:val="43D97731"/>
    <w:rsid w:val="44254A04"/>
    <w:rsid w:val="4464528A"/>
    <w:rsid w:val="446A1AB1"/>
    <w:rsid w:val="44782D86"/>
    <w:rsid w:val="447B737A"/>
    <w:rsid w:val="44C304A5"/>
    <w:rsid w:val="44D51F01"/>
    <w:rsid w:val="450F58B7"/>
    <w:rsid w:val="45446387"/>
    <w:rsid w:val="45910297"/>
    <w:rsid w:val="45DD5596"/>
    <w:rsid w:val="460E39A2"/>
    <w:rsid w:val="46302433"/>
    <w:rsid w:val="46690787"/>
    <w:rsid w:val="468E6891"/>
    <w:rsid w:val="469814BD"/>
    <w:rsid w:val="46D607A5"/>
    <w:rsid w:val="470919BF"/>
    <w:rsid w:val="470F34C6"/>
    <w:rsid w:val="471A4521"/>
    <w:rsid w:val="475523EA"/>
    <w:rsid w:val="478445BF"/>
    <w:rsid w:val="478B2DD0"/>
    <w:rsid w:val="47D227AD"/>
    <w:rsid w:val="48457258"/>
    <w:rsid w:val="488648CC"/>
    <w:rsid w:val="488C10AA"/>
    <w:rsid w:val="48A72775"/>
    <w:rsid w:val="48C4659A"/>
    <w:rsid w:val="48CA3822"/>
    <w:rsid w:val="48F03833"/>
    <w:rsid w:val="494B6CBB"/>
    <w:rsid w:val="497C0353"/>
    <w:rsid w:val="49944655"/>
    <w:rsid w:val="49A86D79"/>
    <w:rsid w:val="49B93C25"/>
    <w:rsid w:val="49E92356"/>
    <w:rsid w:val="49E924C6"/>
    <w:rsid w:val="4A3D50F0"/>
    <w:rsid w:val="4A82080B"/>
    <w:rsid w:val="4AF32919"/>
    <w:rsid w:val="4B0E7FA0"/>
    <w:rsid w:val="4B231F1B"/>
    <w:rsid w:val="4B35552D"/>
    <w:rsid w:val="4B524331"/>
    <w:rsid w:val="4BD9233E"/>
    <w:rsid w:val="4C0E1008"/>
    <w:rsid w:val="4C0E215E"/>
    <w:rsid w:val="4C173626"/>
    <w:rsid w:val="4C1C049B"/>
    <w:rsid w:val="4C8F24B9"/>
    <w:rsid w:val="4CA966C0"/>
    <w:rsid w:val="4CD35A84"/>
    <w:rsid w:val="4D135D42"/>
    <w:rsid w:val="4D201C96"/>
    <w:rsid w:val="4D4203D5"/>
    <w:rsid w:val="4D483127"/>
    <w:rsid w:val="4DB73E22"/>
    <w:rsid w:val="4DF75731"/>
    <w:rsid w:val="4E30647F"/>
    <w:rsid w:val="4E3A7B96"/>
    <w:rsid w:val="4EB93868"/>
    <w:rsid w:val="4EC13652"/>
    <w:rsid w:val="4EC44997"/>
    <w:rsid w:val="4ED7774A"/>
    <w:rsid w:val="4F0F2539"/>
    <w:rsid w:val="4F22226C"/>
    <w:rsid w:val="4F722868"/>
    <w:rsid w:val="4F950C90"/>
    <w:rsid w:val="4FBA3BB3"/>
    <w:rsid w:val="4FF77255"/>
    <w:rsid w:val="50016325"/>
    <w:rsid w:val="507B39D3"/>
    <w:rsid w:val="50A05B3E"/>
    <w:rsid w:val="50B24291"/>
    <w:rsid w:val="50D47596"/>
    <w:rsid w:val="50F254B2"/>
    <w:rsid w:val="50F479C7"/>
    <w:rsid w:val="5112286E"/>
    <w:rsid w:val="514A49B3"/>
    <w:rsid w:val="51847BEE"/>
    <w:rsid w:val="51A97BBB"/>
    <w:rsid w:val="51FC2A0D"/>
    <w:rsid w:val="520D7203"/>
    <w:rsid w:val="521C5786"/>
    <w:rsid w:val="52990A97"/>
    <w:rsid w:val="529E1C09"/>
    <w:rsid w:val="52D27B05"/>
    <w:rsid w:val="53283BC9"/>
    <w:rsid w:val="533802B0"/>
    <w:rsid w:val="538F3C48"/>
    <w:rsid w:val="53CC6C4A"/>
    <w:rsid w:val="53D60F25"/>
    <w:rsid w:val="53E67D0C"/>
    <w:rsid w:val="541248C1"/>
    <w:rsid w:val="544D1CE6"/>
    <w:rsid w:val="54596730"/>
    <w:rsid w:val="54AD082A"/>
    <w:rsid w:val="550C37A2"/>
    <w:rsid w:val="5520724E"/>
    <w:rsid w:val="556C08C1"/>
    <w:rsid w:val="563034C0"/>
    <w:rsid w:val="5632283D"/>
    <w:rsid w:val="5632548A"/>
    <w:rsid w:val="568423B2"/>
    <w:rsid w:val="56A22440"/>
    <w:rsid w:val="56AF374C"/>
    <w:rsid w:val="56E001D8"/>
    <w:rsid w:val="56E43BAF"/>
    <w:rsid w:val="57577760"/>
    <w:rsid w:val="576769F1"/>
    <w:rsid w:val="578F255B"/>
    <w:rsid w:val="578F4465"/>
    <w:rsid w:val="57B573FD"/>
    <w:rsid w:val="57B819BF"/>
    <w:rsid w:val="57DD7E5D"/>
    <w:rsid w:val="58240E03"/>
    <w:rsid w:val="58272CC8"/>
    <w:rsid w:val="583354EA"/>
    <w:rsid w:val="584957B8"/>
    <w:rsid w:val="58810003"/>
    <w:rsid w:val="58942138"/>
    <w:rsid w:val="58B87159"/>
    <w:rsid w:val="58FE1654"/>
    <w:rsid w:val="590E150B"/>
    <w:rsid w:val="59246BE1"/>
    <w:rsid w:val="59484FC5"/>
    <w:rsid w:val="59637CFF"/>
    <w:rsid w:val="59973856"/>
    <w:rsid w:val="59C45FE0"/>
    <w:rsid w:val="5A5F4374"/>
    <w:rsid w:val="5A902780"/>
    <w:rsid w:val="5AF70A51"/>
    <w:rsid w:val="5B3445D6"/>
    <w:rsid w:val="5B492FF8"/>
    <w:rsid w:val="5B5C4D58"/>
    <w:rsid w:val="5B765E19"/>
    <w:rsid w:val="5B8B6485"/>
    <w:rsid w:val="5BA80A85"/>
    <w:rsid w:val="5BE5798B"/>
    <w:rsid w:val="5BF1101F"/>
    <w:rsid w:val="5C0803CB"/>
    <w:rsid w:val="5C0D2598"/>
    <w:rsid w:val="5C1259E3"/>
    <w:rsid w:val="5C4C0928"/>
    <w:rsid w:val="5C761A59"/>
    <w:rsid w:val="5C765BCE"/>
    <w:rsid w:val="5CBD1826"/>
    <w:rsid w:val="5CD54DC2"/>
    <w:rsid w:val="5CD63C04"/>
    <w:rsid w:val="5D1061EB"/>
    <w:rsid w:val="5D5826B8"/>
    <w:rsid w:val="5D5F468B"/>
    <w:rsid w:val="5D9B4FE1"/>
    <w:rsid w:val="5E016048"/>
    <w:rsid w:val="5E4072F2"/>
    <w:rsid w:val="5E711233"/>
    <w:rsid w:val="5E927568"/>
    <w:rsid w:val="5EB23F6B"/>
    <w:rsid w:val="5EE72B8A"/>
    <w:rsid w:val="5EF17F94"/>
    <w:rsid w:val="5F307710"/>
    <w:rsid w:val="5F495B3F"/>
    <w:rsid w:val="5F4D6E91"/>
    <w:rsid w:val="5FB85519"/>
    <w:rsid w:val="5FD41AE1"/>
    <w:rsid w:val="60204E09"/>
    <w:rsid w:val="60786190"/>
    <w:rsid w:val="60A056E7"/>
    <w:rsid w:val="60D41948"/>
    <w:rsid w:val="60F13423"/>
    <w:rsid w:val="61461DEA"/>
    <w:rsid w:val="614D13CA"/>
    <w:rsid w:val="619F78E4"/>
    <w:rsid w:val="61B643B1"/>
    <w:rsid w:val="61DE64C6"/>
    <w:rsid w:val="620F1925"/>
    <w:rsid w:val="62703EA6"/>
    <w:rsid w:val="627051ED"/>
    <w:rsid w:val="627F25C3"/>
    <w:rsid w:val="62A500FF"/>
    <w:rsid w:val="62A52FDD"/>
    <w:rsid w:val="62AA63A9"/>
    <w:rsid w:val="62AF66A4"/>
    <w:rsid w:val="62B07C87"/>
    <w:rsid w:val="62C12BFD"/>
    <w:rsid w:val="62FB30A8"/>
    <w:rsid w:val="630F26B0"/>
    <w:rsid w:val="63251ED3"/>
    <w:rsid w:val="63382579"/>
    <w:rsid w:val="634E4ED4"/>
    <w:rsid w:val="636E1F8D"/>
    <w:rsid w:val="63754C08"/>
    <w:rsid w:val="63B7504B"/>
    <w:rsid w:val="63E663F3"/>
    <w:rsid w:val="63F55D49"/>
    <w:rsid w:val="64187EC6"/>
    <w:rsid w:val="641E0DFC"/>
    <w:rsid w:val="641F1729"/>
    <w:rsid w:val="646F71EC"/>
    <w:rsid w:val="64E41F0C"/>
    <w:rsid w:val="650049A6"/>
    <w:rsid w:val="656A633F"/>
    <w:rsid w:val="657D032E"/>
    <w:rsid w:val="65A94B44"/>
    <w:rsid w:val="661E0410"/>
    <w:rsid w:val="662E2907"/>
    <w:rsid w:val="668511ED"/>
    <w:rsid w:val="66E959F1"/>
    <w:rsid w:val="66EF0A82"/>
    <w:rsid w:val="6729172F"/>
    <w:rsid w:val="67410D33"/>
    <w:rsid w:val="67564D51"/>
    <w:rsid w:val="67693322"/>
    <w:rsid w:val="676C6322"/>
    <w:rsid w:val="677968CD"/>
    <w:rsid w:val="67CB129B"/>
    <w:rsid w:val="67D00F4F"/>
    <w:rsid w:val="67F0485E"/>
    <w:rsid w:val="684643E7"/>
    <w:rsid w:val="68CC085C"/>
    <w:rsid w:val="68D67EF7"/>
    <w:rsid w:val="68DB550E"/>
    <w:rsid w:val="68EB4523"/>
    <w:rsid w:val="693E6B31"/>
    <w:rsid w:val="6949445E"/>
    <w:rsid w:val="69B14E46"/>
    <w:rsid w:val="69BB60F3"/>
    <w:rsid w:val="69C50B4D"/>
    <w:rsid w:val="69DE15DA"/>
    <w:rsid w:val="69FF347E"/>
    <w:rsid w:val="6A10568B"/>
    <w:rsid w:val="6A110E0D"/>
    <w:rsid w:val="6A325609"/>
    <w:rsid w:val="6A45463B"/>
    <w:rsid w:val="6A510BDA"/>
    <w:rsid w:val="6A8E0DD9"/>
    <w:rsid w:val="6AE54988"/>
    <w:rsid w:val="6AED7156"/>
    <w:rsid w:val="6B0B7C00"/>
    <w:rsid w:val="6B80414A"/>
    <w:rsid w:val="6BA20565"/>
    <w:rsid w:val="6BDD159D"/>
    <w:rsid w:val="6BFD671A"/>
    <w:rsid w:val="6C090BEE"/>
    <w:rsid w:val="6C411B2C"/>
    <w:rsid w:val="6C4C227F"/>
    <w:rsid w:val="6C8D72A7"/>
    <w:rsid w:val="6CB8747A"/>
    <w:rsid w:val="6D0019E7"/>
    <w:rsid w:val="6D0417E8"/>
    <w:rsid w:val="6D235CED"/>
    <w:rsid w:val="6D32089B"/>
    <w:rsid w:val="6D45389E"/>
    <w:rsid w:val="6D6C617A"/>
    <w:rsid w:val="6D871CEC"/>
    <w:rsid w:val="6D9B1BB9"/>
    <w:rsid w:val="6D9F4605"/>
    <w:rsid w:val="6E0E1EE1"/>
    <w:rsid w:val="6E16373F"/>
    <w:rsid w:val="6E386F5E"/>
    <w:rsid w:val="6E3A2CD6"/>
    <w:rsid w:val="6E873A42"/>
    <w:rsid w:val="6E8D5E4E"/>
    <w:rsid w:val="6F234A00"/>
    <w:rsid w:val="6F2A4AF9"/>
    <w:rsid w:val="6FBA2014"/>
    <w:rsid w:val="6FCA670C"/>
    <w:rsid w:val="6FCF7F7D"/>
    <w:rsid w:val="6FD607DD"/>
    <w:rsid w:val="6FE10165"/>
    <w:rsid w:val="6FF9096F"/>
    <w:rsid w:val="700B24FC"/>
    <w:rsid w:val="702459EC"/>
    <w:rsid w:val="7027728A"/>
    <w:rsid w:val="702D7BE4"/>
    <w:rsid w:val="7123334C"/>
    <w:rsid w:val="71450956"/>
    <w:rsid w:val="71854AF2"/>
    <w:rsid w:val="7199330A"/>
    <w:rsid w:val="71AF12E6"/>
    <w:rsid w:val="71B7463E"/>
    <w:rsid w:val="71C0420A"/>
    <w:rsid w:val="71C1726B"/>
    <w:rsid w:val="72045D4C"/>
    <w:rsid w:val="72181581"/>
    <w:rsid w:val="724A1FA3"/>
    <w:rsid w:val="725077D9"/>
    <w:rsid w:val="728E1B60"/>
    <w:rsid w:val="72C932D6"/>
    <w:rsid w:val="72D231ED"/>
    <w:rsid w:val="731D215F"/>
    <w:rsid w:val="734A070C"/>
    <w:rsid w:val="736A39C7"/>
    <w:rsid w:val="73765E80"/>
    <w:rsid w:val="73DB0CF1"/>
    <w:rsid w:val="73F206B2"/>
    <w:rsid w:val="740E5C3D"/>
    <w:rsid w:val="7416389E"/>
    <w:rsid w:val="74AC3738"/>
    <w:rsid w:val="74BF520C"/>
    <w:rsid w:val="74C57072"/>
    <w:rsid w:val="75176AAE"/>
    <w:rsid w:val="751910FF"/>
    <w:rsid w:val="75393460"/>
    <w:rsid w:val="7541345F"/>
    <w:rsid w:val="7541670A"/>
    <w:rsid w:val="75943670"/>
    <w:rsid w:val="76337A8E"/>
    <w:rsid w:val="766834F7"/>
    <w:rsid w:val="76854D02"/>
    <w:rsid w:val="76E97419"/>
    <w:rsid w:val="76FF1C69"/>
    <w:rsid w:val="77242776"/>
    <w:rsid w:val="7736285C"/>
    <w:rsid w:val="773F28D2"/>
    <w:rsid w:val="77526121"/>
    <w:rsid w:val="7763329E"/>
    <w:rsid w:val="77676168"/>
    <w:rsid w:val="776F26C9"/>
    <w:rsid w:val="77E46E87"/>
    <w:rsid w:val="77F2285B"/>
    <w:rsid w:val="77F51BCE"/>
    <w:rsid w:val="78597FC3"/>
    <w:rsid w:val="78623556"/>
    <w:rsid w:val="786C5DB2"/>
    <w:rsid w:val="78916693"/>
    <w:rsid w:val="78A15A46"/>
    <w:rsid w:val="78A56E85"/>
    <w:rsid w:val="78AE26EB"/>
    <w:rsid w:val="78BD36C3"/>
    <w:rsid w:val="791E3531"/>
    <w:rsid w:val="799F4335"/>
    <w:rsid w:val="79AF595D"/>
    <w:rsid w:val="79DF4732"/>
    <w:rsid w:val="7A335518"/>
    <w:rsid w:val="7AAD4830"/>
    <w:rsid w:val="7B0B0B5A"/>
    <w:rsid w:val="7B181D61"/>
    <w:rsid w:val="7B2F38DA"/>
    <w:rsid w:val="7B352B5A"/>
    <w:rsid w:val="7B6C6499"/>
    <w:rsid w:val="7B974708"/>
    <w:rsid w:val="7BB57988"/>
    <w:rsid w:val="7BBD0AA3"/>
    <w:rsid w:val="7C013085"/>
    <w:rsid w:val="7C80044E"/>
    <w:rsid w:val="7D0C5C8F"/>
    <w:rsid w:val="7D3905FD"/>
    <w:rsid w:val="7D8E4206"/>
    <w:rsid w:val="7D8F1351"/>
    <w:rsid w:val="7D99109C"/>
    <w:rsid w:val="7E644E63"/>
    <w:rsid w:val="7E7B5350"/>
    <w:rsid w:val="7E8104AE"/>
    <w:rsid w:val="7EA30424"/>
    <w:rsid w:val="7EA66556"/>
    <w:rsid w:val="7EB84627"/>
    <w:rsid w:val="7EF14741"/>
    <w:rsid w:val="7F350E52"/>
    <w:rsid w:val="7F5D4D7F"/>
    <w:rsid w:val="7F7B314F"/>
    <w:rsid w:val="7F9E2999"/>
    <w:rsid w:val="7FB4368B"/>
    <w:rsid w:val="7FC54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99"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bCs/>
      <w:kern w:val="44"/>
      <w:sz w:val="44"/>
      <w:szCs w:val="44"/>
    </w:rPr>
  </w:style>
  <w:style w:type="paragraph" w:styleId="3">
    <w:name w:val="heading 2"/>
    <w:basedOn w:val="1"/>
    <w:next w:val="1"/>
    <w:link w:val="38"/>
    <w:qFormat/>
    <w:uiPriority w:val="0"/>
    <w:pPr>
      <w:keepNext/>
      <w:keepLines/>
      <w:spacing w:line="415" w:lineRule="auto"/>
      <w:outlineLvl w:val="1"/>
    </w:pPr>
    <w:rPr>
      <w:rFonts w:ascii="Arial" w:hAnsi="Arial" w:eastAsia="黑体"/>
      <w:b/>
      <w:bCs/>
      <w:sz w:val="32"/>
      <w:szCs w:val="32"/>
    </w:rPr>
  </w:style>
  <w:style w:type="paragraph" w:styleId="4">
    <w:name w:val="heading 3"/>
    <w:basedOn w:val="1"/>
    <w:next w:val="1"/>
    <w:qFormat/>
    <w:uiPriority w:val="0"/>
    <w:pPr>
      <w:keepNext/>
      <w:keepLines/>
      <w:spacing w:line="415" w:lineRule="auto"/>
      <w:ind w:firstLine="137" w:firstLineChars="49"/>
      <w:outlineLvl w:val="2"/>
    </w:pPr>
    <w:rPr>
      <w:rFonts w:ascii="黑体" w:hAnsi="宋体" w:eastAsia="黑体"/>
      <w:bCs/>
      <w:sz w:val="28"/>
      <w:szCs w:val="28"/>
    </w:rPr>
  </w:style>
  <w:style w:type="character" w:default="1" w:styleId="30">
    <w:name w:val="Default Paragraph Font"/>
    <w:qFormat/>
    <w:uiPriority w:val="1"/>
  </w:style>
  <w:style w:type="table" w:default="1" w:styleId="28">
    <w:name w:val="Normal Table"/>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annotation text"/>
    <w:basedOn w:val="1"/>
    <w:link w:val="48"/>
    <w:qFormat/>
    <w:uiPriority w:val="0"/>
    <w:pPr>
      <w:jc w:val="left"/>
    </w:pPr>
  </w:style>
  <w:style w:type="paragraph" w:styleId="7">
    <w:name w:val="Body Text"/>
    <w:basedOn w:val="1"/>
    <w:qFormat/>
    <w:uiPriority w:val="0"/>
  </w:style>
  <w:style w:type="paragraph" w:styleId="8">
    <w:name w:val="Body Text Indent"/>
    <w:basedOn w:val="1"/>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styleId="9">
    <w:name w:val="toc 5"/>
    <w:basedOn w:val="1"/>
    <w:next w:val="1"/>
    <w:qFormat/>
    <w:uiPriority w:val="0"/>
    <w:pPr>
      <w:ind w:left="1680" w:leftChars="800"/>
    </w:pPr>
  </w:style>
  <w:style w:type="paragraph" w:styleId="10">
    <w:name w:val="toc 3"/>
    <w:basedOn w:val="1"/>
    <w:next w:val="1"/>
    <w:qFormat/>
    <w:uiPriority w:val="0"/>
    <w:pPr>
      <w:ind w:left="840" w:leftChars="400"/>
    </w:pPr>
  </w:style>
  <w:style w:type="paragraph" w:styleId="11">
    <w:name w:val="Plain Text"/>
    <w:basedOn w:val="1"/>
    <w:next w:val="1"/>
    <w:qFormat/>
    <w:uiPriority w:val="0"/>
    <w:rPr>
      <w:rFonts w:ascii="Courier New" w:hAnsi="Courier New" w:eastAsia="宋体"/>
      <w:kern w:val="2"/>
      <w:sz w:val="21"/>
    </w:rPr>
  </w:style>
  <w:style w:type="paragraph" w:styleId="12">
    <w:name w:val="endnote text"/>
    <w:basedOn w:val="1"/>
    <w:next w:val="1"/>
    <w:qFormat/>
    <w:uiPriority w:val="0"/>
    <w:pPr>
      <w:widowControl/>
    </w:pPr>
    <w:rPr>
      <w:sz w:val="20"/>
    </w:rPr>
  </w:style>
  <w:style w:type="paragraph" w:styleId="13">
    <w:name w:val="Balloon Text"/>
    <w:basedOn w:val="1"/>
    <w:link w:val="43"/>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pPr>
      <w:jc w:val="left"/>
    </w:pPr>
    <w:rPr>
      <w:b/>
      <w:bCs/>
      <w:caps/>
      <w:sz w:val="20"/>
      <w:szCs w:val="20"/>
    </w:rPr>
  </w:style>
  <w:style w:type="paragraph" w:styleId="17">
    <w:name w:val="Subtitle"/>
    <w:basedOn w:val="1"/>
    <w:next w:val="1"/>
    <w:qFormat/>
    <w:uiPriority w:val="0"/>
    <w:pPr>
      <w:spacing w:before="240" w:after="60" w:line="312" w:lineRule="auto"/>
      <w:jc w:val="center"/>
      <w:outlineLvl w:val="1"/>
    </w:pPr>
    <w:rPr>
      <w:rFonts w:ascii="Arial" w:hAnsi="Arial"/>
      <w:b/>
      <w:bCs/>
      <w:kern w:val="28"/>
      <w:sz w:val="32"/>
      <w:szCs w:val="32"/>
    </w:rPr>
  </w:style>
  <w:style w:type="paragraph" w:styleId="18">
    <w:name w:val="List"/>
    <w:basedOn w:val="1"/>
    <w:qFormat/>
    <w:uiPriority w:val="99"/>
    <w:pPr>
      <w:ind w:left="200" w:hanging="200" w:hangingChars="200"/>
    </w:pPr>
  </w:style>
  <w:style w:type="paragraph" w:styleId="19">
    <w:name w:val="List 5"/>
    <w:basedOn w:val="1"/>
    <w:next w:val="20"/>
    <w:semiHidden/>
    <w:qFormat/>
    <w:uiPriority w:val="99"/>
    <w:pPr>
      <w:ind w:left="2100" w:hanging="420"/>
    </w:pPr>
  </w:style>
  <w:style w:type="paragraph" w:customStyle="1" w:styleId="20">
    <w:name w:val="目录 51"/>
    <w:basedOn w:val="1"/>
    <w:next w:val="1"/>
    <w:qFormat/>
    <w:uiPriority w:val="0"/>
    <w:pPr>
      <w:ind w:left="630"/>
    </w:pPr>
    <w:rPr>
      <w:sz w:val="20"/>
    </w:rPr>
  </w:style>
  <w:style w:type="paragraph" w:styleId="21">
    <w:name w:val="toc 2"/>
    <w:basedOn w:val="1"/>
    <w:next w:val="1"/>
    <w:qFormat/>
    <w:uiPriority w:val="0"/>
    <w:pPr>
      <w:ind w:left="420" w:leftChars="200"/>
    </w:pPr>
  </w:style>
  <w:style w:type="paragraph" w:styleId="22">
    <w:name w:val="Body Text 2"/>
    <w:basedOn w:val="1"/>
    <w:qFormat/>
    <w:uiPriority w:val="0"/>
    <w:pPr>
      <w:spacing w:after="120" w:afterLines="0" w:line="480" w:lineRule="auto"/>
    </w:pPr>
  </w:style>
  <w:style w:type="paragraph" w:styleId="23">
    <w:name w:val="Normal (Web)"/>
    <w:basedOn w:val="1"/>
    <w:qFormat/>
    <w:uiPriority w:val="0"/>
    <w:pPr>
      <w:widowControl/>
      <w:jc w:val="left"/>
    </w:pPr>
    <w:rPr>
      <w:rFonts w:ascii="宋体" w:hAnsi="宋体" w:cs="宋体"/>
      <w:kern w:val="0"/>
      <w:sz w:val="24"/>
    </w:rPr>
  </w:style>
  <w:style w:type="paragraph" w:styleId="24">
    <w:name w:val="Title"/>
    <w:basedOn w:val="1"/>
    <w:next w:val="1"/>
    <w:qFormat/>
    <w:uiPriority w:val="0"/>
    <w:pPr>
      <w:spacing w:before="240" w:after="60"/>
      <w:jc w:val="center"/>
      <w:outlineLvl w:val="0"/>
    </w:pPr>
    <w:rPr>
      <w:rFonts w:ascii="Calibri Light" w:hAnsi="Calibri Light" w:cs="Times New Roman"/>
      <w:b/>
      <w:bCs/>
      <w:sz w:val="32"/>
      <w:szCs w:val="32"/>
    </w:rPr>
  </w:style>
  <w:style w:type="paragraph" w:styleId="25">
    <w:name w:val="annotation subject"/>
    <w:basedOn w:val="6"/>
    <w:next w:val="6"/>
    <w:link w:val="49"/>
    <w:qFormat/>
    <w:uiPriority w:val="0"/>
    <w:rPr>
      <w:b/>
      <w:bCs/>
    </w:rPr>
  </w:style>
  <w:style w:type="paragraph" w:styleId="26">
    <w:name w:val="Body Text First Indent"/>
    <w:basedOn w:val="7"/>
    <w:next w:val="27"/>
    <w:qFormat/>
    <w:uiPriority w:val="0"/>
    <w:pPr>
      <w:autoSpaceDE w:val="0"/>
      <w:autoSpaceDN w:val="0"/>
      <w:adjustRightInd w:val="0"/>
      <w:ind w:firstLine="420"/>
    </w:pPr>
    <w:rPr>
      <w:rFonts w:ascii="宋体"/>
      <w:kern w:val="0"/>
    </w:rPr>
  </w:style>
  <w:style w:type="paragraph" w:styleId="27">
    <w:name w:val="Body Text First Indent 2"/>
    <w:basedOn w:val="1"/>
    <w:next w:val="1"/>
    <w:qFormat/>
    <w:uiPriority w:val="0"/>
    <w:pPr>
      <w:widowControl w:val="0"/>
      <w:overflowPunct/>
      <w:autoSpaceDE/>
      <w:autoSpaceDN/>
      <w:adjustRightInd/>
      <w:spacing w:after="120" w:line="240" w:lineRule="auto"/>
      <w:ind w:left="420" w:leftChars="200" w:firstLine="420" w:firstLineChars="200"/>
      <w:textAlignment w:val="auto"/>
    </w:pPr>
    <w:rPr>
      <w:rFonts w:ascii="Arial" w:hAnsi="Arial"/>
      <w:spacing w:val="0"/>
      <w:sz w:val="20"/>
      <w:szCs w:val="21"/>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color w:val="606266"/>
      <w:sz w:val="21"/>
      <w:szCs w:val="21"/>
    </w:rPr>
  </w:style>
  <w:style w:type="character" w:styleId="32">
    <w:name w:val="page number"/>
    <w:basedOn w:val="30"/>
    <w:qFormat/>
    <w:uiPriority w:val="0"/>
  </w:style>
  <w:style w:type="character" w:styleId="33">
    <w:name w:val="Hyperlink"/>
    <w:basedOn w:val="30"/>
    <w:qFormat/>
    <w:uiPriority w:val="0"/>
    <w:rPr>
      <w:color w:val="0088CC"/>
      <w:u w:val="none"/>
    </w:rPr>
  </w:style>
  <w:style w:type="character" w:styleId="34">
    <w:name w:val="annotation reference"/>
    <w:basedOn w:val="30"/>
    <w:qFormat/>
    <w:uiPriority w:val="0"/>
    <w:rPr>
      <w:sz w:val="21"/>
      <w:szCs w:val="21"/>
    </w:rPr>
  </w:style>
  <w:style w:type="paragraph" w:customStyle="1" w:styleId="35">
    <w:name w:val="正文（标准）"/>
    <w:basedOn w:val="1"/>
    <w:next w:val="1"/>
    <w:semiHidden/>
    <w:qFormat/>
    <w:uiPriority w:val="99"/>
    <w:pPr>
      <w:ind w:firstLine="525"/>
    </w:pPr>
    <w:rPr>
      <w:rFonts w:ascii="宋体" w:hAnsi="宋体" w:cs="宋体"/>
    </w:rPr>
  </w:style>
  <w:style w:type="paragraph" w:customStyle="1" w:styleId="36">
    <w:name w:val="Default"/>
    <w:qFormat/>
    <w:uiPriority w:val="0"/>
    <w:pPr>
      <w:widowControl w:val="0"/>
      <w:autoSpaceDE w:val="0"/>
      <w:autoSpaceDN w:val="0"/>
      <w:adjustRightInd w:val="0"/>
      <w:spacing w:after="200" w:line="276" w:lineRule="auto"/>
    </w:pPr>
    <w:rPr>
      <w:rFonts w:ascii="宋体" w:hAnsi="Times New Roman" w:eastAsia="宋体" w:cs="Times New Roman"/>
      <w:color w:val="000000"/>
      <w:sz w:val="24"/>
      <w:lang w:val="en-US" w:eastAsia="zh-CN" w:bidi="ar-SA"/>
    </w:rPr>
  </w:style>
  <w:style w:type="paragraph" w:customStyle="1" w:styleId="37">
    <w:name w:val="正文缩进1"/>
    <w:basedOn w:val="1"/>
    <w:next w:val="19"/>
    <w:qFormat/>
    <w:uiPriority w:val="99"/>
    <w:pPr>
      <w:ind w:firstLine="420"/>
    </w:pPr>
  </w:style>
  <w:style w:type="character" w:customStyle="1" w:styleId="38">
    <w:name w:val="标题 2 Char"/>
    <w:basedOn w:val="30"/>
    <w:link w:val="3"/>
    <w:qFormat/>
    <w:uiPriority w:val="0"/>
    <w:rPr>
      <w:rFonts w:ascii="Arial" w:hAnsi="Arial" w:eastAsia="黑体"/>
      <w:b/>
      <w:bCs/>
      <w:sz w:val="32"/>
      <w:szCs w:val="32"/>
    </w:rPr>
  </w:style>
  <w:style w:type="paragraph" w:customStyle="1" w:styleId="39">
    <w:name w:val="TOC2"/>
    <w:basedOn w:val="1"/>
    <w:next w:val="1"/>
    <w:qFormat/>
    <w:uiPriority w:val="99"/>
    <w:pPr>
      <w:ind w:left="200" w:leftChars="200"/>
      <w:textAlignment w:val="baseline"/>
    </w:pPr>
  </w:style>
  <w:style w:type="paragraph" w:customStyle="1" w:styleId="40">
    <w:name w:val="列出段落1"/>
    <w:basedOn w:val="1"/>
    <w:qFormat/>
    <w:uiPriority w:val="1"/>
    <w:pPr>
      <w:ind w:left="151"/>
    </w:pPr>
  </w:style>
  <w:style w:type="paragraph" w:customStyle="1" w:styleId="41">
    <w:name w:val="标题 21"/>
    <w:basedOn w:val="1"/>
    <w:qFormat/>
    <w:uiPriority w:val="1"/>
    <w:pPr>
      <w:spacing w:line="269" w:lineRule="exact"/>
      <w:ind w:left="628" w:hanging="477"/>
      <w:outlineLvl w:val="2"/>
    </w:pPr>
    <w:rPr>
      <w:b/>
      <w:bCs/>
      <w:szCs w:val="21"/>
    </w:rPr>
  </w:style>
  <w:style w:type="paragraph" w:customStyle="1" w:styleId="42">
    <w:name w:val="TOC 标题1"/>
    <w:basedOn w:val="2"/>
    <w:next w:val="1"/>
    <w:qFormat/>
    <w:uiPriority w:val="0"/>
    <w:pPr>
      <w:outlineLvl w:val="9"/>
    </w:pPr>
    <w:rPr>
      <w:rFonts w:ascii="Calibri" w:hAnsi="Calibri"/>
    </w:rPr>
  </w:style>
  <w:style w:type="character" w:customStyle="1" w:styleId="43">
    <w:name w:val="批注框文本 字符"/>
    <w:basedOn w:val="30"/>
    <w:link w:val="13"/>
    <w:qFormat/>
    <w:uiPriority w:val="0"/>
    <w:rPr>
      <w:rFonts w:ascii="Times New Roman" w:hAnsi="Times New Roman" w:eastAsia="宋体" w:cs="Times New Roman"/>
      <w:kern w:val="2"/>
      <w:sz w:val="18"/>
      <w:szCs w:val="18"/>
    </w:rPr>
  </w:style>
  <w:style w:type="paragraph" w:customStyle="1" w:styleId="44">
    <w:name w:val="Normal_0_0_0"/>
    <w:basedOn w:val="45"/>
    <w:qFormat/>
    <w:uiPriority w:val="0"/>
    <w:pPr>
      <w:widowControl w:val="0"/>
      <w:spacing w:after="200" w:line="276" w:lineRule="auto"/>
    </w:pPr>
    <w:rPr>
      <w:rFonts w:ascii="Calibri" w:hAnsi="Calibri" w:eastAsia="宋体" w:cs="Times New Roman"/>
      <w:lang w:val="en-US" w:eastAsia="zh-CN" w:bidi="ar-SA"/>
    </w:rPr>
  </w:style>
  <w:style w:type="paragraph" w:customStyle="1" w:styleId="45">
    <w:name w:val="Normal_4"/>
    <w:qFormat/>
    <w:uiPriority w:val="99"/>
    <w:pPr>
      <w:widowControl w:val="0"/>
      <w:jc w:val="both"/>
    </w:pPr>
    <w:rPr>
      <w:rFonts w:ascii="Times New Roman" w:hAnsi="Times New Roman" w:eastAsia="宋体" w:cs="Calibri"/>
      <w:lang w:val="en-US" w:eastAsia="zh-CN" w:bidi="ar-SA"/>
    </w:rPr>
  </w:style>
  <w:style w:type="paragraph" w:customStyle="1" w:styleId="46">
    <w:name w:val="Normal_0_1"/>
    <w:qFormat/>
    <w:uiPriority w:val="0"/>
    <w:pPr>
      <w:widowControl w:val="0"/>
      <w:spacing w:after="200" w:line="276" w:lineRule="auto"/>
    </w:pPr>
    <w:rPr>
      <w:rFonts w:ascii="Times New Roman" w:hAnsi="Times New Roman" w:eastAsia="宋体" w:cs="Times New Roman"/>
      <w:szCs w:val="24"/>
      <w:lang w:val="en-US" w:eastAsia="zh-CN" w:bidi="ar-SA"/>
    </w:rPr>
  </w:style>
  <w:style w:type="paragraph" w:customStyle="1" w:styleId="47">
    <w:name w:val="Normal_2_0"/>
    <w:qFormat/>
    <w:uiPriority w:val="0"/>
    <w:pPr>
      <w:widowControl w:val="0"/>
      <w:spacing w:after="200" w:line="276" w:lineRule="auto"/>
    </w:pPr>
    <w:rPr>
      <w:rFonts w:ascii="Times New Roman" w:hAnsi="Times New Roman" w:eastAsia="宋体" w:cs="Times New Roman"/>
      <w:szCs w:val="24"/>
      <w:lang w:val="en-US" w:eastAsia="zh-CN" w:bidi="ar-SA"/>
    </w:rPr>
  </w:style>
  <w:style w:type="character" w:customStyle="1" w:styleId="48">
    <w:name w:val="批注文字 字符"/>
    <w:basedOn w:val="30"/>
    <w:link w:val="6"/>
    <w:qFormat/>
    <w:uiPriority w:val="0"/>
    <w:rPr>
      <w:kern w:val="2"/>
      <w:sz w:val="21"/>
      <w:szCs w:val="24"/>
    </w:rPr>
  </w:style>
  <w:style w:type="character" w:customStyle="1" w:styleId="49">
    <w:name w:val="批注主题 字符"/>
    <w:basedOn w:val="48"/>
    <w:link w:val="25"/>
    <w:qFormat/>
    <w:uiPriority w:val="0"/>
    <w:rPr>
      <w:b/>
      <w:bCs/>
      <w:kern w:val="2"/>
      <w:sz w:val="21"/>
      <w:szCs w:val="24"/>
    </w:rPr>
  </w:style>
  <w:style w:type="paragraph" w:customStyle="1" w:styleId="50">
    <w:name w:val="表格样式2"/>
    <w:basedOn w:val="1"/>
    <w:qFormat/>
    <w:uiPriority w:val="99"/>
    <w:pPr>
      <w:widowControl/>
      <w:jc w:val="left"/>
    </w:pPr>
    <w:rPr>
      <w:rFonts w:ascii="仿宋_GB2312" w:hAnsi="宋体" w:eastAsia="仿宋_GB2312" w:cs="仿宋_GB2312"/>
      <w:kern w:val="0"/>
      <w:sz w:val="18"/>
      <w:szCs w:val="18"/>
      <w:lang w:val="zh-CN"/>
    </w:rPr>
  </w:style>
  <w:style w:type="table" w:customStyle="1" w:styleId="51">
    <w:name w:val="Table Normal_0"/>
    <w:unhideWhenUsed/>
    <w:qFormat/>
    <w:uiPriority w:val="0"/>
    <w:tblPr>
      <w:tblCellMar>
        <w:top w:w="0" w:type="dxa"/>
        <w:left w:w="0" w:type="dxa"/>
        <w:bottom w:w="0" w:type="dxa"/>
        <w:right w:w="0" w:type="dxa"/>
      </w:tblCellMar>
    </w:tblPr>
  </w:style>
  <w:style w:type="paragraph" w:customStyle="1" w:styleId="52">
    <w:name w:val="p2"/>
    <w:basedOn w:val="1"/>
    <w:qFormat/>
    <w:uiPriority w:val="99"/>
    <w:pPr>
      <w:widowControl/>
      <w:spacing w:line="480" w:lineRule="auto"/>
      <w:ind w:firstLine="420"/>
      <w:jc w:val="left"/>
    </w:pPr>
    <w:rPr>
      <w:rFonts w:ascii="宋体" w:hAnsi="宋体" w:cs="宋体"/>
      <w:kern w:val="0"/>
    </w:rPr>
  </w:style>
  <w:style w:type="paragraph" w:customStyle="1" w:styleId="53">
    <w:name w:val="通用标题2"/>
    <w:basedOn w:val="3"/>
    <w:next w:val="1"/>
    <w:qFormat/>
    <w:uiPriority w:val="0"/>
    <w:pPr>
      <w:keepNext w:val="0"/>
      <w:keepLines w:val="0"/>
      <w:numPr>
        <w:ilvl w:val="0"/>
        <w:numId w:val="1"/>
      </w:numPr>
      <w:tabs>
        <w:tab w:val="left" w:pos="993"/>
      </w:tabs>
      <w:spacing w:line="360" w:lineRule="auto"/>
    </w:pPr>
    <w:rPr>
      <w:rFonts w:ascii="黑体" w:hAnsi="黑体"/>
    </w:rPr>
  </w:style>
  <w:style w:type="paragraph" w:customStyle="1" w:styleId="54">
    <w:name w:val="协议书标题2"/>
    <w:basedOn w:val="3"/>
    <w:next w:val="1"/>
    <w:qFormat/>
    <w:uiPriority w:val="0"/>
    <w:pPr>
      <w:keepNext w:val="0"/>
      <w:keepLines w:val="0"/>
      <w:numPr>
        <w:ilvl w:val="0"/>
        <w:numId w:val="2"/>
      </w:numPr>
      <w:tabs>
        <w:tab w:val="left" w:pos="567"/>
      </w:tabs>
      <w:spacing w:line="360" w:lineRule="auto"/>
      <w:ind w:firstLine="0"/>
      <w:jc w:val="left"/>
    </w:pPr>
    <w:rPr>
      <w:rFonts w:ascii="宋体" w:hAnsi="宋体"/>
      <w:sz w:val="24"/>
    </w:rPr>
  </w:style>
  <w:style w:type="paragraph" w:customStyle="1" w:styleId="55">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56">
    <w:name w:val="通用标题3"/>
    <w:next w:val="1"/>
    <w:qFormat/>
    <w:uiPriority w:val="0"/>
    <w:pPr>
      <w:widowControl w:val="0"/>
      <w:tabs>
        <w:tab w:val="left" w:pos="851"/>
      </w:tabs>
      <w:adjustRightInd w:val="0"/>
      <w:snapToGrid w:val="0"/>
      <w:spacing w:afterLines="50" w:line="360" w:lineRule="auto"/>
      <w:ind w:left="1843"/>
      <w:jc w:val="both"/>
      <w:outlineLvl w:val="2"/>
    </w:pPr>
    <w:rPr>
      <w:rFonts w:ascii="黑体" w:hAnsi="黑体" w:eastAsia="黑体" w:cs="Times New Roman"/>
      <w:b/>
      <w:kern w:val="2"/>
      <w:sz w:val="24"/>
      <w:szCs w:val="24"/>
      <w:lang w:val="en-US" w:eastAsia="zh-CN" w:bidi="ar-SA"/>
    </w:rPr>
  </w:style>
  <w:style w:type="paragraph" w:customStyle="1" w:styleId="57">
    <w:name w:val="通用标题4"/>
    <w:next w:val="1"/>
    <w:qFormat/>
    <w:uiPriority w:val="0"/>
    <w:pPr>
      <w:tabs>
        <w:tab w:val="left" w:pos="851"/>
      </w:tabs>
      <w:adjustRightInd w:val="0"/>
      <w:snapToGrid w:val="0"/>
      <w:spacing w:afterLines="50" w:line="360" w:lineRule="auto"/>
      <w:ind w:left="2126"/>
      <w:jc w:val="both"/>
      <w:outlineLvl w:val="3"/>
    </w:pPr>
    <w:rPr>
      <w:rFonts w:ascii="宋体" w:hAnsi="宋体" w:eastAsia="宋体" w:cs="Times New Roman"/>
      <w:kern w:val="2"/>
      <w:sz w:val="24"/>
      <w:szCs w:val="21"/>
      <w:lang w:val="en-US" w:eastAsia="zh-CN" w:bidi="ar-SA"/>
    </w:rPr>
  </w:style>
  <w:style w:type="paragraph" w:customStyle="1" w:styleId="58">
    <w:name w:val="通用标题5"/>
    <w:qFormat/>
    <w:uiPriority w:val="0"/>
    <w:pPr>
      <w:widowControl w:val="0"/>
      <w:tabs>
        <w:tab w:val="left" w:pos="1134"/>
      </w:tabs>
      <w:autoSpaceDE w:val="0"/>
      <w:autoSpaceDN w:val="0"/>
      <w:adjustRightInd w:val="0"/>
      <w:snapToGrid w:val="0"/>
      <w:spacing w:afterLines="50" w:line="360" w:lineRule="auto"/>
      <w:ind w:left="710"/>
      <w:jc w:val="both"/>
    </w:pPr>
    <w:rPr>
      <w:rFonts w:ascii="宋体" w:hAnsi="宋体" w:eastAsia="宋体" w:cs="Times New Roman"/>
      <w:kern w:val="2"/>
      <w:sz w:val="24"/>
      <w:szCs w:val="21"/>
      <w:lang w:val="en-US" w:eastAsia="zh-CN" w:bidi="ar-SA"/>
    </w:rPr>
  </w:style>
  <w:style w:type="paragraph" w:customStyle="1" w:styleId="59">
    <w:name w:val="通用标题6"/>
    <w:basedOn w:val="1"/>
    <w:qFormat/>
    <w:uiPriority w:val="0"/>
    <w:pPr>
      <w:tabs>
        <w:tab w:val="left" w:pos="993"/>
      </w:tabs>
      <w:ind w:left="310"/>
    </w:pPr>
  </w:style>
  <w:style w:type="paragraph" w:customStyle="1" w:styleId="60">
    <w:name w:val="专用标题2"/>
    <w:basedOn w:val="3"/>
    <w:next w:val="1"/>
    <w:qFormat/>
    <w:uiPriority w:val="0"/>
    <w:pPr>
      <w:keepNext w:val="0"/>
      <w:keepLines w:val="0"/>
      <w:tabs>
        <w:tab w:val="left" w:pos="993"/>
      </w:tabs>
      <w:spacing w:line="360" w:lineRule="auto"/>
    </w:pPr>
    <w:rPr>
      <w:rFonts w:ascii="宋体" w:hAnsi="宋体" w:cs="Times"/>
    </w:rPr>
  </w:style>
  <w:style w:type="paragraph" w:customStyle="1" w:styleId="61">
    <w:name w:val="附件标题"/>
    <w:basedOn w:val="3"/>
    <w:next w:val="1"/>
    <w:qFormat/>
    <w:uiPriority w:val="0"/>
    <w:pPr>
      <w:numPr>
        <w:ilvl w:val="0"/>
        <w:numId w:val="3"/>
      </w:numPr>
      <w:tabs>
        <w:tab w:val="left" w:pos="1134"/>
      </w:tabs>
      <w:spacing w:line="360" w:lineRule="auto"/>
      <w:ind w:firstLine="0"/>
    </w:pPr>
    <w:rPr>
      <w:rFonts w:ascii="黑体" w:hAnsi="黑体"/>
      <w:sz w:val="30"/>
      <w:szCs w:val="30"/>
    </w:rPr>
  </w:style>
  <w:style w:type="paragraph" w:customStyle="1" w:styleId="62">
    <w:name w:val="副标题2"/>
    <w:basedOn w:val="1"/>
    <w:qFormat/>
    <w:uiPriority w:val="99"/>
    <w:pPr>
      <w:tabs>
        <w:tab w:val="left" w:pos="1620"/>
        <w:tab w:val="left" w:pos="2160"/>
      </w:tabs>
      <w:ind w:left="2552" w:hanging="360"/>
    </w:pPr>
  </w:style>
  <w:style w:type="paragraph" w:customStyle="1" w:styleId="63">
    <w:name w:val="副标题1"/>
    <w:basedOn w:val="1"/>
    <w:qFormat/>
    <w:uiPriority w:val="99"/>
    <w:pPr>
      <w:tabs>
        <w:tab w:val="left" w:pos="1440"/>
        <w:tab w:val="left" w:pos="1620"/>
      </w:tabs>
      <w:ind w:left="142" w:hanging="360"/>
    </w:pPr>
  </w:style>
  <w:style w:type="character" w:customStyle="1" w:styleId="64">
    <w:name w:val="10"/>
    <w:qFormat/>
    <w:uiPriority w:val="99"/>
    <w:rPr>
      <w:rFonts w:ascii="Calibri" w:hAnsi="Calibri" w:eastAsia="宋体" w:cs="Calibri"/>
    </w:rPr>
  </w:style>
  <w:style w:type="paragraph" w:customStyle="1" w:styleId="65">
    <w:name w:val="正文 A"/>
    <w:qFormat/>
    <w:uiPriority w:val="99"/>
    <w:pPr>
      <w:widowControl w:val="0"/>
      <w:jc w:val="both"/>
    </w:pPr>
    <w:rPr>
      <w:rFonts w:ascii="Times New Roman" w:hAnsi="Arial Unicode MS" w:eastAsia="Times New Roman" w:cs="Calibri"/>
      <w:color w:val="000000"/>
      <w:kern w:val="2"/>
      <w:sz w:val="21"/>
      <w:szCs w:val="21"/>
      <w:lang w:val="en-US" w:eastAsia="zh-CN" w:bidi="ar-SA"/>
    </w:rPr>
  </w:style>
  <w:style w:type="paragraph" w:customStyle="1" w:styleId="66">
    <w:name w:val="正文1_0"/>
    <w:basedOn w:val="45"/>
    <w:qFormat/>
    <w:uiPriority w:val="99"/>
    <w:pPr>
      <w:jc w:val="left"/>
    </w:pPr>
    <w:rPr>
      <w:sz w:val="24"/>
      <w:szCs w:val="24"/>
    </w:rPr>
  </w:style>
  <w:style w:type="paragraph" w:customStyle="1" w:styleId="67">
    <w:name w:val="Table Paragraph"/>
    <w:basedOn w:val="1"/>
    <w:qFormat/>
    <w:uiPriority w:val="99"/>
    <w:pPr>
      <w:autoSpaceDE w:val="0"/>
      <w:autoSpaceDN w:val="0"/>
      <w:adjustRightInd w:val="0"/>
      <w:spacing w:after="200" w:line="276" w:lineRule="auto"/>
      <w:jc w:val="left"/>
    </w:pPr>
    <w:rPr>
      <w:kern w:val="0"/>
      <w:sz w:val="24"/>
      <w:szCs w:val="24"/>
    </w:rPr>
  </w:style>
  <w:style w:type="paragraph" w:customStyle="1" w:styleId="68">
    <w:name w:val="Normal_2_1"/>
    <w:basedOn w:val="45"/>
    <w:qFormat/>
    <w:uiPriority w:val="99"/>
    <w:pPr>
      <w:jc w:val="left"/>
    </w:pPr>
    <w:rPr>
      <w:sz w:val="24"/>
      <w:szCs w:val="24"/>
    </w:rPr>
  </w:style>
  <w:style w:type="paragraph" w:customStyle="1" w:styleId="69">
    <w:name w:val="List Paragraph"/>
    <w:basedOn w:val="1"/>
    <w:qFormat/>
    <w:uiPriority w:val="34"/>
    <w:pPr>
      <w:ind w:firstLine="420" w:firstLineChars="200"/>
    </w:pPr>
  </w:style>
  <w:style w:type="paragraph" w:customStyle="1" w:styleId="70">
    <w:name w:val="表格文字"/>
    <w:basedOn w:val="1"/>
    <w:qFormat/>
    <w:uiPriority w:val="0"/>
    <w:pPr>
      <w:adjustRightInd w:val="0"/>
      <w:spacing w:line="420" w:lineRule="atLeast"/>
      <w:jc w:val="left"/>
      <w:textAlignment w:val="baseline"/>
    </w:pPr>
    <w:rPr>
      <w:kern w:val="0"/>
      <w:szCs w:val="20"/>
    </w:rPr>
  </w:style>
  <w:style w:type="paragraph" w:customStyle="1" w:styleId="71">
    <w:name w:val="正文首行缩进1"/>
    <w:basedOn w:val="7"/>
    <w:qFormat/>
    <w:uiPriority w:val="0"/>
    <w:pPr>
      <w:ind w:firstLine="420" w:firstLineChars="100"/>
    </w:pPr>
  </w:style>
  <w:style w:type="paragraph" w:customStyle="1" w:styleId="72">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4.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Tencent\WeChat\file:\C:\Users\admin\AppData\Roaming\Kingsoft\wps\addons\pool\win-i386\knewfileruby_1.0.0.10\template\wps\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ac76523a-6f0a-48f4-b541-238148f5c075</errorID>
      <errorWord>（</errorWord>
      <group>L1_Punc</group>
      <groupName>标点问题</groupName>
      <ability>L2_Punc</ability>
      <abilityName>标点符号检查</abilityName>
      <candidateList/>
      <explain>同一形式括号套用。</explain>
      <paraID>59A2658C</paraID>
      <start>54</start>
      <end>55</end>
      <status>ignored</status>
      <modifiedWord/>
      <trackRevisions>false</trackRevisions>
    </reviewItem>
    <reviewItem>
      <errorID>916d88f2-b8d5-4996-97e6-bca0082b0bac</errorID>
      <errorWord>）</errorWord>
      <group>L1_Punc</group>
      <groupName>标点问题</groupName>
      <ability>L2_Punc</ability>
      <abilityName>标点符号检查</abilityName>
      <candidateList/>
      <explain>同一形式括号套用。</explain>
      <paraID>59A2658C</paraID>
      <start>59</start>
      <end>60</end>
      <status>ignored</status>
      <modifiedWord/>
      <trackRevisions>false</trackRevisions>
    </reviewItem>
    <reviewItem>
      <errorID>99b7f29b-f0a4-44cd-95c2-5e268a544831</errorID>
      <errorWord>（/</errorWord>
      <group>L1_Punc</group>
      <groupName>标点问题</groupName>
      <ability>L2_Punc</ability>
      <abilityName>标点符号检查</abilityName>
      <candidateList>
        <item>（</item>
      </candidateList>
      <explain/>
      <paraID>2BF6CA9D</paraID>
      <start>48</start>
      <end>49</end>
      <status>modified</status>
      <modifiedWord>（</modifiedWord>
      <trackRevisions>false</trackRevisions>
    </reviewItem>
    <reviewItem>
      <errorID>1cd9d150-66f7-4762-bef8-0d5fd34e7c29</errorID>
      <errorWord>，</errorWord>
      <group>L1_Word</group>
      <groupName>字词问题</groupName>
      <ability>L2_Typo</ability>
      <abilityName>字词错误</abilityName>
      <candidateList>
        <item>，具</item>
      </candidateList>
      <explain/>
      <paraID>79F3E0AB</paraID>
      <start>28</start>
      <end>30</end>
      <status>modified</status>
      <modifiedWord>，具</modifiedWord>
      <trackRevisions>false</trackRevisions>
    </reviewItem>
    <reviewItem>
      <errorID>be8d1a5a-8241-479b-a1bc-381fc6f0d6f9</errorID>
      <errorWord>日</errorWord>
      <group>L1_Word</group>
      <groupName>字词问题</groupName>
      <ability>L2_Typo</ability>
      <abilityName>字词错误</abilityName>
      <candidateList>
        <item/>
      </candidateList>
      <explain/>
      <paraID>7BE4EDF4</paraID>
      <start>48</start>
      <end>48</end>
      <status>modified</status>
      <modifiedWord/>
      <trackRevisions>false</trackRevisions>
    </reviewItem>
    <reviewItem>
      <errorID>03146f65-d770-442d-9df9-e9e9d2cc14fc</errorID>
      <errorWord>，</errorWord>
      <group>L1_Word</group>
      <groupName>字词问题</groupName>
      <ability>L2_Typo</ability>
      <abilityName>字词错误</abilityName>
      <candidateList>
        <item>，在</item>
      </candidateList>
      <explain/>
      <paraID>54A59D98</paraID>
      <start>22</start>
      <end>24</end>
      <status>modified</status>
      <modifiedWord>，在</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3fb83c-80bd-4905-bac2-bc98c85c1269}">
  <ds:schemaRefs/>
</ds:datastoreItem>
</file>

<file path=customXml/itemProps3.xml><?xml version="1.0" encoding="utf-8"?>
<ds:datastoreItem xmlns:ds="http://schemas.openxmlformats.org/officeDocument/2006/customXml" ds:itemID="{6B460595-7924-40BE-9847-798580A9BA3A}">
  <ds:schemaRefs/>
</ds:datastoreItem>
</file>

<file path=customXml/itemProps4.xml><?xml version="1.0" encoding="utf-8"?>
<ds:datastoreItem xmlns:ds="http://schemas.openxmlformats.org/officeDocument/2006/customXml" ds:itemID="{a7933b94-ad3a-44f3-ac27-080012da4c34}">
  <ds:schemaRefs/>
</ds:datastoreItem>
</file>

<file path=docProps/app.xml><?xml version="1.0" encoding="utf-8"?>
<Properties xmlns="http://schemas.openxmlformats.org/officeDocument/2006/extended-properties" xmlns:vt="http://schemas.openxmlformats.org/officeDocument/2006/docPropsVTypes">
  <Template>0</Template>
  <Company>微软中国</Company>
  <Pages>189</Pages>
  <Words>24545</Words>
  <Characters>26685</Characters>
  <Lines>0</Lines>
  <Paragraphs>3790</Paragraphs>
  <TotalTime>0</TotalTime>
  <ScaleCrop>false</ScaleCrop>
  <LinksUpToDate>false</LinksUpToDate>
  <CharactersWithSpaces>27134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2019-12-31T08:57:00Z</dcterms:created>
  <dc:creator>1364525038</dc:creator>
  <cp:lastModifiedBy>2025-whj</cp:lastModifiedBy>
  <cp:lastPrinted>2025-11-24T15:01:00Z</cp:lastPrinted>
  <dcterms:modified xsi:type="dcterms:W3CDTF">2026-04-10T09:13:34Z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57B9616427DF42C1BE266314D5E29F6D_13</vt:lpwstr>
  </property>
  <property fmtid="{D5CDD505-2E9C-101B-9397-08002B2CF9AE}" pid="3" name="KSOProductBuildVer">
    <vt:lpwstr>2052-12.1.0.25225</vt:lpwstr>
  </property>
  <property fmtid="{D5CDD505-2E9C-101B-9397-08002B2CF9AE}" pid="4" name="KSOTemplateDocerSaveRecord">
    <vt:lpwstr>eyJoZGlkIjoiNTk0NTlkZDViN2IxNzBjYzM5MGZkMWI1ZWE5ZjY5YTkiLCJ1c2VySWQiOiI0OTU5NTIifQ==</vt:lpwstr>
  </property>
</Properties>
</file>