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s="宋体"/>
          <w:b/>
          <w:sz w:val="28"/>
          <w:szCs w:val="28"/>
          <w:highlight w:val="none"/>
        </w:rPr>
      </w:pPr>
      <w:bookmarkStart w:id="0" w:name="_Toc9204"/>
      <w:bookmarkStart w:id="1" w:name="_Toc2681"/>
      <w:bookmarkStart w:id="2" w:name="_Toc2308"/>
      <w:bookmarkStart w:id="3" w:name="_Toc18355"/>
      <w:bookmarkStart w:id="4" w:name="_Toc20748"/>
      <w:bookmarkStart w:id="5" w:name="_Toc22814"/>
      <w:r>
        <w:rPr>
          <w:rFonts w:hint="eastAsia" w:ascii="宋体" w:hAnsi="宋体" w:cs="宋体"/>
          <w:b/>
          <w:sz w:val="28"/>
          <w:szCs w:val="28"/>
          <w:highlight w:val="none"/>
        </w:rPr>
        <w:t>玉龙（雄古）至维西高速公路施工监理招标</w:t>
      </w:r>
    </w:p>
    <w:p>
      <w:pPr>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招标公告</w:t>
      </w:r>
      <w:bookmarkEnd w:id="0"/>
      <w:bookmarkEnd w:id="1"/>
      <w:bookmarkEnd w:id="2"/>
      <w:bookmarkEnd w:id="3"/>
      <w:bookmarkEnd w:id="4"/>
      <w:bookmarkEnd w:id="5"/>
    </w:p>
    <w:p>
      <w:pPr>
        <w:spacing w:line="360" w:lineRule="auto"/>
        <w:jc w:val="center"/>
        <w:rPr>
          <w:rFonts w:hint="default" w:ascii="宋体" w:hAnsi="宋体" w:eastAsia="宋体" w:cs="宋体"/>
          <w:b/>
          <w:sz w:val="24"/>
          <w:szCs w:val="24"/>
          <w:highlight w:val="none"/>
          <w:lang w:val="en-US" w:eastAsia="zh-CN"/>
        </w:rPr>
      </w:pPr>
      <w:r>
        <w:rPr>
          <w:rFonts w:hint="default" w:ascii="宋体" w:hAnsi="宋体" w:eastAsia="宋体" w:cs="宋体"/>
          <w:b/>
          <w:sz w:val="24"/>
          <w:szCs w:val="24"/>
          <w:highlight w:val="none"/>
          <w:lang w:val="en-US" w:eastAsia="zh-CN"/>
        </w:rPr>
        <w:t>招标编号：HCZB03202210002</w:t>
      </w:r>
    </w:p>
    <w:p>
      <w:pPr>
        <w:pStyle w:val="3"/>
        <w:keepNext w:val="0"/>
        <w:keepLines w:val="0"/>
        <w:adjustRightInd w:val="0"/>
        <w:snapToGrid w:val="0"/>
        <w:spacing w:before="0" w:after="0" w:line="360" w:lineRule="auto"/>
        <w:ind w:firstLine="442" w:firstLineChars="200"/>
        <w:textAlignment w:val="baseline"/>
        <w:rPr>
          <w:rFonts w:hint="eastAsia" w:ascii="宋体" w:hAnsi="宋体" w:eastAsia="宋体" w:cs="宋体"/>
          <w:b w:val="0"/>
          <w:bCs/>
          <w:sz w:val="22"/>
          <w:szCs w:val="22"/>
          <w:highlight w:val="none"/>
        </w:rPr>
      </w:pPr>
      <w:bookmarkStart w:id="6" w:name="_Toc102660712"/>
      <w:bookmarkStart w:id="7" w:name="_Toc9978"/>
      <w:bookmarkStart w:id="8" w:name="_Toc5654"/>
      <w:bookmarkStart w:id="9" w:name="_Toc28154"/>
      <w:bookmarkStart w:id="10" w:name="_Toc21082"/>
      <w:bookmarkStart w:id="11" w:name="_Toc23354"/>
      <w:bookmarkStart w:id="12" w:name="_Toc9909"/>
      <w:bookmarkStart w:id="13" w:name="_Toc102660870"/>
      <w:bookmarkStart w:id="14" w:name="_Toc26983"/>
      <w:bookmarkStart w:id="15" w:name="_Toc6383"/>
      <w:bookmarkStart w:id="16" w:name="_Toc17757"/>
      <w:bookmarkStart w:id="17" w:name="_Toc32147"/>
      <w:r>
        <w:rPr>
          <w:rFonts w:hint="eastAsia" w:ascii="宋体" w:hAnsi="宋体" w:eastAsia="宋体" w:cs="宋体"/>
          <w:bCs/>
          <w:sz w:val="22"/>
          <w:szCs w:val="22"/>
          <w:highlight w:val="none"/>
        </w:rPr>
        <w:t>1.招标条件</w:t>
      </w:r>
      <w:bookmarkEnd w:id="6"/>
      <w:bookmarkEnd w:id="7"/>
      <w:bookmarkEnd w:id="8"/>
      <w:bookmarkEnd w:id="9"/>
      <w:bookmarkEnd w:id="10"/>
      <w:bookmarkEnd w:id="11"/>
      <w:bookmarkEnd w:id="12"/>
      <w:bookmarkEnd w:id="13"/>
      <w:bookmarkEnd w:id="14"/>
      <w:bookmarkEnd w:id="15"/>
      <w:bookmarkEnd w:id="16"/>
      <w:bookmarkEnd w:id="17"/>
    </w:p>
    <w:p>
      <w:pPr>
        <w:spacing w:line="360" w:lineRule="auto"/>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本招标项目</w:t>
      </w:r>
      <w:r>
        <w:rPr>
          <w:rFonts w:hint="eastAsia" w:ascii="宋体" w:hAnsi="宋体" w:cs="宋体"/>
          <w:bCs/>
          <w:sz w:val="22"/>
          <w:szCs w:val="22"/>
          <w:highlight w:val="none"/>
          <w:u w:val="single"/>
        </w:rPr>
        <w:t>玉龙（雄古）至维西高速公路</w:t>
      </w:r>
      <w:r>
        <w:rPr>
          <w:rFonts w:hint="eastAsia" w:ascii="宋体" w:hAnsi="宋体" w:cs="宋体"/>
          <w:sz w:val="22"/>
          <w:szCs w:val="22"/>
          <w:highlight w:val="none"/>
        </w:rPr>
        <w:t>（以下简称“本项目”）可行性研究报告已由</w:t>
      </w:r>
      <w:r>
        <w:rPr>
          <w:rFonts w:hint="eastAsia" w:ascii="宋体" w:hAnsi="宋体" w:cs="宋体"/>
          <w:bCs/>
          <w:sz w:val="22"/>
          <w:szCs w:val="22"/>
          <w:highlight w:val="none"/>
          <w:u w:val="single"/>
        </w:rPr>
        <w:t>云南省发展和改革委员会</w:t>
      </w:r>
      <w:r>
        <w:rPr>
          <w:rFonts w:hint="eastAsia" w:ascii="宋体" w:hAnsi="宋体" w:cs="宋体"/>
          <w:sz w:val="22"/>
          <w:szCs w:val="22"/>
          <w:highlight w:val="none"/>
        </w:rPr>
        <w:t>以</w:t>
      </w:r>
      <w:r>
        <w:rPr>
          <w:rFonts w:hint="eastAsia" w:ascii="宋体" w:hAnsi="宋体" w:cs="宋体"/>
          <w:bCs/>
          <w:sz w:val="22"/>
          <w:szCs w:val="22"/>
          <w:highlight w:val="none"/>
          <w:u w:val="single"/>
        </w:rPr>
        <w:t>《云南省发展和改革委员会关于玉龙（雄古）至维西高速公路工程可行性研究报告的批复》（云发改基础〔2022〕52号）</w:t>
      </w:r>
      <w:r>
        <w:rPr>
          <w:rFonts w:hint="eastAsia" w:ascii="宋体" w:hAnsi="宋体" w:cs="宋体"/>
          <w:sz w:val="22"/>
          <w:szCs w:val="22"/>
          <w:highlight w:val="none"/>
        </w:rPr>
        <w:t>批准建设，初步设计已由</w:t>
      </w:r>
      <w:r>
        <w:rPr>
          <w:rFonts w:hint="eastAsia" w:ascii="宋体" w:hAnsi="宋体" w:cs="宋体"/>
          <w:bCs/>
          <w:sz w:val="22"/>
          <w:szCs w:val="22"/>
          <w:highlight w:val="none"/>
          <w:u w:val="single"/>
        </w:rPr>
        <w:t>云南省交通运输厅</w:t>
      </w:r>
      <w:r>
        <w:rPr>
          <w:rFonts w:hint="eastAsia" w:ascii="宋体" w:hAnsi="宋体" w:cs="宋体"/>
          <w:sz w:val="22"/>
          <w:szCs w:val="22"/>
          <w:highlight w:val="none"/>
        </w:rPr>
        <w:t>以</w:t>
      </w:r>
      <w:r>
        <w:rPr>
          <w:rFonts w:hint="eastAsia" w:ascii="宋体" w:hAnsi="宋体" w:cs="宋体"/>
          <w:sz w:val="22"/>
          <w:szCs w:val="22"/>
          <w:highlight w:val="none"/>
          <w:u w:val="single"/>
        </w:rPr>
        <w:t>《云南省交通运输厅关于玉龙（雄古）至维西高速公路初步设计的批复</w:t>
      </w:r>
      <w:r>
        <w:rPr>
          <w:rFonts w:hint="eastAsia" w:ascii="宋体" w:hAnsi="宋体" w:cs="宋体"/>
          <w:bCs/>
          <w:sz w:val="22"/>
          <w:szCs w:val="22"/>
          <w:highlight w:val="none"/>
          <w:u w:val="single"/>
        </w:rPr>
        <w:t>》云交审批〔2022〕34号</w:t>
      </w:r>
      <w:r>
        <w:rPr>
          <w:rFonts w:hint="eastAsia" w:ascii="宋体" w:hAnsi="宋体" w:cs="宋体"/>
          <w:sz w:val="22"/>
          <w:szCs w:val="22"/>
          <w:highlight w:val="none"/>
        </w:rPr>
        <w:t>批准。建设资金来源为</w:t>
      </w:r>
      <w:r>
        <w:rPr>
          <w:rFonts w:hint="eastAsia" w:ascii="宋体" w:hAnsi="宋体" w:cs="宋体"/>
          <w:bCs/>
          <w:sz w:val="22"/>
          <w:szCs w:val="22"/>
          <w:highlight w:val="none"/>
          <w:u w:val="single"/>
        </w:rPr>
        <w:t>政府出资、国内商业银行贷款及社会资本方投入</w:t>
      </w:r>
      <w:r>
        <w:rPr>
          <w:rFonts w:hint="eastAsia" w:ascii="宋体" w:hAnsi="宋体" w:cs="宋体"/>
          <w:sz w:val="22"/>
          <w:szCs w:val="22"/>
          <w:highlight w:val="none"/>
        </w:rPr>
        <w:t>。本次对该项目的</w:t>
      </w:r>
      <w:r>
        <w:rPr>
          <w:rFonts w:hint="eastAsia" w:ascii="宋体" w:hAnsi="宋体" w:cs="宋体"/>
          <w:bCs/>
          <w:sz w:val="22"/>
          <w:szCs w:val="22"/>
          <w:highlight w:val="none"/>
          <w:u w:val="single"/>
        </w:rPr>
        <w:t>施工监理</w:t>
      </w:r>
      <w:r>
        <w:rPr>
          <w:rFonts w:hint="eastAsia" w:ascii="宋体" w:hAnsi="宋体" w:cs="宋体"/>
          <w:sz w:val="22"/>
          <w:szCs w:val="22"/>
          <w:highlight w:val="none"/>
        </w:rPr>
        <w:t>进行公开招标，招标人为</w:t>
      </w:r>
      <w:r>
        <w:rPr>
          <w:rFonts w:hint="eastAsia" w:ascii="宋体" w:hAnsi="宋体" w:cs="宋体"/>
          <w:bCs/>
          <w:sz w:val="22"/>
          <w:szCs w:val="22"/>
          <w:highlight w:val="none"/>
          <w:u w:val="single"/>
          <w:lang w:eastAsia="zh-CN"/>
        </w:rPr>
        <w:t>玉维高速公路征地拆迁协调指挥部</w:t>
      </w:r>
      <w:r>
        <w:rPr>
          <w:rFonts w:hint="eastAsia" w:ascii="宋体" w:hAnsi="宋体" w:cs="宋体"/>
          <w:sz w:val="22"/>
          <w:szCs w:val="22"/>
          <w:highlight w:val="none"/>
        </w:rPr>
        <w:t>。项目已具备招标条件，诚邀具备相应资格条件的监理单位参与本项目的投标。该项目采用资格后审方式进行国内公开招标。</w:t>
      </w:r>
    </w:p>
    <w:p>
      <w:pPr>
        <w:pStyle w:val="3"/>
        <w:keepNext w:val="0"/>
        <w:keepLines w:val="0"/>
        <w:adjustRightInd w:val="0"/>
        <w:snapToGrid w:val="0"/>
        <w:spacing w:before="0" w:after="0" w:line="360" w:lineRule="auto"/>
        <w:ind w:firstLine="442" w:firstLineChars="200"/>
        <w:textAlignment w:val="baseline"/>
        <w:rPr>
          <w:rFonts w:hint="eastAsia" w:ascii="宋体" w:hAnsi="宋体" w:eastAsia="宋体" w:cs="宋体"/>
          <w:bCs/>
          <w:sz w:val="22"/>
          <w:szCs w:val="22"/>
          <w:highlight w:val="none"/>
        </w:rPr>
      </w:pPr>
      <w:bookmarkStart w:id="18" w:name="_Toc7437"/>
      <w:bookmarkStart w:id="19" w:name="_Toc10889"/>
      <w:bookmarkStart w:id="20" w:name="_Toc5127"/>
      <w:bookmarkStart w:id="21" w:name="_Toc17953"/>
      <w:bookmarkStart w:id="22" w:name="_Toc3584"/>
      <w:bookmarkStart w:id="23" w:name="_Toc514"/>
      <w:bookmarkStart w:id="24" w:name="_Toc2277"/>
      <w:bookmarkStart w:id="25" w:name="_Toc24674"/>
      <w:bookmarkStart w:id="26" w:name="_Toc27500"/>
      <w:bookmarkStart w:id="27" w:name="_Toc432170101"/>
      <w:bookmarkStart w:id="28" w:name="_Toc102660713"/>
      <w:bookmarkStart w:id="29" w:name="_Toc360"/>
      <w:bookmarkStart w:id="30" w:name="_Toc102660871"/>
      <w:r>
        <w:rPr>
          <w:rFonts w:hint="eastAsia" w:ascii="宋体" w:hAnsi="宋体" w:eastAsia="宋体" w:cs="宋体"/>
          <w:bCs/>
          <w:sz w:val="22"/>
          <w:szCs w:val="22"/>
          <w:highlight w:val="none"/>
        </w:rPr>
        <w:t>2.项目概况及招标范围</w:t>
      </w:r>
      <w:bookmarkEnd w:id="18"/>
      <w:bookmarkEnd w:id="19"/>
      <w:bookmarkEnd w:id="20"/>
      <w:bookmarkEnd w:id="21"/>
      <w:bookmarkEnd w:id="22"/>
      <w:bookmarkEnd w:id="23"/>
      <w:bookmarkEnd w:id="24"/>
      <w:bookmarkEnd w:id="25"/>
      <w:bookmarkEnd w:id="26"/>
      <w:bookmarkEnd w:id="27"/>
      <w:bookmarkEnd w:id="28"/>
      <w:bookmarkEnd w:id="29"/>
      <w:bookmarkEnd w:id="30"/>
    </w:p>
    <w:p>
      <w:pPr>
        <w:spacing w:line="360" w:lineRule="auto"/>
        <w:ind w:firstLine="442" w:firstLineChars="200"/>
        <w:rPr>
          <w:rFonts w:ascii="宋体" w:hAnsi="宋体"/>
          <w:b/>
          <w:sz w:val="22"/>
          <w:szCs w:val="22"/>
          <w:highlight w:val="none"/>
        </w:rPr>
      </w:pPr>
      <w:bookmarkStart w:id="31" w:name="_Toc6184"/>
      <w:bookmarkStart w:id="32" w:name="_Toc16816"/>
      <w:bookmarkStart w:id="33" w:name="_Toc3422"/>
      <w:bookmarkStart w:id="34" w:name="_Toc23546"/>
      <w:bookmarkStart w:id="35" w:name="_Toc9544"/>
      <w:bookmarkStart w:id="36" w:name="_Toc26686"/>
      <w:r>
        <w:rPr>
          <w:rFonts w:hint="eastAsia" w:ascii="宋体" w:hAnsi="宋体"/>
          <w:b/>
          <w:sz w:val="22"/>
          <w:szCs w:val="22"/>
          <w:highlight w:val="none"/>
        </w:rPr>
        <w:t>2.1建设地点</w:t>
      </w:r>
    </w:p>
    <w:p>
      <w:pPr>
        <w:spacing w:line="360" w:lineRule="auto"/>
        <w:ind w:firstLine="440" w:firstLineChars="200"/>
        <w:rPr>
          <w:rFonts w:hint="eastAsia" w:ascii="宋体" w:hAnsi="宋体"/>
          <w:sz w:val="22"/>
          <w:szCs w:val="22"/>
          <w:highlight w:val="none"/>
        </w:rPr>
      </w:pPr>
      <w:r>
        <w:rPr>
          <w:rFonts w:hint="eastAsia" w:ascii="宋体" w:hAnsi="宋体"/>
          <w:sz w:val="22"/>
          <w:szCs w:val="22"/>
          <w:highlight w:val="none"/>
        </w:rPr>
        <w:t>云南省丽江市、迪庆藏族自治州境内。</w:t>
      </w:r>
      <w:bookmarkEnd w:id="31"/>
      <w:bookmarkEnd w:id="32"/>
      <w:bookmarkEnd w:id="33"/>
      <w:bookmarkEnd w:id="34"/>
      <w:bookmarkEnd w:id="35"/>
      <w:bookmarkEnd w:id="36"/>
    </w:p>
    <w:p>
      <w:pPr>
        <w:spacing w:line="360" w:lineRule="auto"/>
        <w:ind w:firstLine="442" w:firstLineChars="200"/>
        <w:rPr>
          <w:rFonts w:hint="eastAsia" w:ascii="宋体" w:hAnsi="宋体"/>
          <w:b/>
          <w:sz w:val="22"/>
          <w:szCs w:val="22"/>
          <w:highlight w:val="none"/>
        </w:rPr>
      </w:pPr>
      <w:bookmarkStart w:id="37" w:name="_Toc2763"/>
      <w:bookmarkStart w:id="38" w:name="_Toc3571"/>
      <w:bookmarkStart w:id="39" w:name="_Toc393"/>
      <w:bookmarkStart w:id="40" w:name="_Toc20608"/>
      <w:bookmarkStart w:id="41" w:name="_Toc5915"/>
      <w:bookmarkStart w:id="42" w:name="_Toc21168"/>
      <w:r>
        <w:rPr>
          <w:rFonts w:hint="eastAsia" w:ascii="宋体" w:hAnsi="宋体"/>
          <w:b/>
          <w:sz w:val="22"/>
          <w:szCs w:val="22"/>
          <w:highlight w:val="none"/>
        </w:rPr>
        <w:t>2.2项目概况</w:t>
      </w:r>
      <w:bookmarkEnd w:id="37"/>
      <w:bookmarkEnd w:id="38"/>
      <w:bookmarkEnd w:id="39"/>
      <w:bookmarkEnd w:id="40"/>
      <w:bookmarkEnd w:id="41"/>
      <w:bookmarkEnd w:id="42"/>
    </w:p>
    <w:p>
      <w:pPr>
        <w:spacing w:line="360" w:lineRule="auto"/>
        <w:ind w:firstLine="440" w:firstLineChars="200"/>
        <w:rPr>
          <w:rFonts w:hint="eastAsia" w:ascii="宋体" w:hAnsi="宋体"/>
          <w:sz w:val="22"/>
          <w:szCs w:val="22"/>
          <w:highlight w:val="none"/>
        </w:rPr>
      </w:pPr>
      <w:r>
        <w:rPr>
          <w:rFonts w:hint="eastAsia" w:ascii="宋体" w:hAnsi="宋体"/>
          <w:sz w:val="22"/>
          <w:szCs w:val="22"/>
          <w:highlight w:val="none"/>
          <w:lang w:eastAsia="zh-CN"/>
        </w:rPr>
        <w:t>（</w:t>
      </w:r>
      <w:r>
        <w:rPr>
          <w:rFonts w:hint="eastAsia" w:ascii="宋体" w:hAnsi="宋体"/>
          <w:sz w:val="22"/>
          <w:szCs w:val="22"/>
          <w:highlight w:val="none"/>
          <w:lang w:val="en-US" w:eastAsia="zh-CN"/>
        </w:rPr>
        <w:t>1</w:t>
      </w:r>
      <w:r>
        <w:rPr>
          <w:rFonts w:hint="eastAsia" w:ascii="宋体" w:hAnsi="宋体"/>
          <w:sz w:val="22"/>
          <w:szCs w:val="22"/>
          <w:highlight w:val="none"/>
          <w:lang w:eastAsia="zh-CN"/>
        </w:rPr>
        <w:t>）</w:t>
      </w:r>
      <w:r>
        <w:rPr>
          <w:rFonts w:hint="eastAsia" w:ascii="宋体" w:hAnsi="宋体"/>
          <w:sz w:val="22"/>
          <w:szCs w:val="22"/>
          <w:highlight w:val="none"/>
        </w:rPr>
        <w:t>玉龙(雄古）至维西高速公路起于丽江市玉龙县九河乡白汉场，设白汉场枢纽立交接香丽高速，止于迪庆州维西县永春乡，接拟建维西至叶枝高速公路，路线全长 115.369公里(其中丽江市玉龙县境内105.37公里，迪庆州维西县境内9.999公里)</w:t>
      </w:r>
    </w:p>
    <w:p>
      <w:pPr>
        <w:spacing w:line="360" w:lineRule="auto"/>
        <w:ind w:firstLine="440" w:firstLineChars="200"/>
        <w:rPr>
          <w:rFonts w:hint="eastAsia" w:ascii="宋体" w:hAnsi="宋体"/>
          <w:sz w:val="22"/>
          <w:szCs w:val="22"/>
          <w:highlight w:val="none"/>
        </w:rPr>
      </w:pPr>
      <w:r>
        <w:rPr>
          <w:rFonts w:hint="eastAsia" w:ascii="宋体" w:hAnsi="宋体"/>
          <w:sz w:val="22"/>
          <w:szCs w:val="22"/>
          <w:highlight w:val="none"/>
        </w:rPr>
        <w:t>全线设置白汉场（枢纽)、石头、石鼓、四兴、金江、黎明、巨甸、鲁甸8处互通式立交。</w:t>
      </w:r>
    </w:p>
    <w:p>
      <w:pPr>
        <w:spacing w:line="360" w:lineRule="auto"/>
        <w:ind w:firstLine="440" w:firstLineChars="200"/>
        <w:rPr>
          <w:rFonts w:hint="eastAsia" w:ascii="宋体" w:hAnsi="宋体"/>
          <w:sz w:val="22"/>
          <w:szCs w:val="22"/>
          <w:highlight w:val="none"/>
        </w:rPr>
      </w:pPr>
      <w:r>
        <w:rPr>
          <w:rFonts w:hint="eastAsia" w:ascii="宋体" w:hAnsi="宋体"/>
          <w:sz w:val="22"/>
          <w:szCs w:val="22"/>
          <w:highlight w:val="none"/>
        </w:rPr>
        <w:t>同步建设6条互通连接线22.806公里。其中，石头互通连接线4.842公里，四兴互通连接线3.198公里，金江互通连接线3.325公里，黎明互通连接线4.9公里，巨甸互通连接线2.786公里，鲁甸互通连接线3.755公里。</w:t>
      </w:r>
    </w:p>
    <w:p>
      <w:pPr>
        <w:spacing w:line="360" w:lineRule="auto"/>
        <w:ind w:firstLine="440" w:firstLineChars="200"/>
        <w:rPr>
          <w:rFonts w:hint="eastAsia" w:ascii="宋体" w:hAnsi="宋体"/>
          <w:sz w:val="22"/>
          <w:szCs w:val="22"/>
          <w:highlight w:val="none"/>
        </w:rPr>
      </w:pPr>
      <w:r>
        <w:rPr>
          <w:rFonts w:hint="eastAsia" w:ascii="宋体" w:hAnsi="宋体"/>
          <w:sz w:val="22"/>
          <w:szCs w:val="22"/>
          <w:highlight w:val="none"/>
          <w:lang w:eastAsia="zh-CN"/>
        </w:rPr>
        <w:t>（</w:t>
      </w:r>
      <w:r>
        <w:rPr>
          <w:rFonts w:hint="eastAsia" w:ascii="宋体" w:hAnsi="宋体"/>
          <w:sz w:val="22"/>
          <w:szCs w:val="22"/>
          <w:highlight w:val="none"/>
          <w:lang w:val="en-US" w:eastAsia="zh-CN"/>
        </w:rPr>
        <w:t>2</w:t>
      </w:r>
      <w:r>
        <w:rPr>
          <w:rFonts w:hint="eastAsia" w:ascii="宋体" w:hAnsi="宋体"/>
          <w:sz w:val="22"/>
          <w:szCs w:val="22"/>
          <w:highlight w:val="none"/>
          <w:lang w:eastAsia="zh-CN"/>
        </w:rPr>
        <w:t>）</w:t>
      </w:r>
      <w:r>
        <w:rPr>
          <w:rFonts w:hint="eastAsia" w:ascii="宋体" w:hAnsi="宋体"/>
          <w:sz w:val="22"/>
          <w:szCs w:val="22"/>
          <w:highlight w:val="none"/>
        </w:rPr>
        <w:t>主线采用双向四车道高速公路标准建设，设计速度80公里/小时，路基宽度25.5米，桥涵设计汽车荷载等级为公路-Ⅰ级。其他技术指标按《公路工程技术标准》(JTG B01-2014)执行。</w:t>
      </w:r>
    </w:p>
    <w:p>
      <w:pPr>
        <w:spacing w:line="360" w:lineRule="auto"/>
        <w:ind w:firstLine="440" w:firstLineChars="200"/>
        <w:rPr>
          <w:rFonts w:hint="eastAsia" w:ascii="宋体" w:hAnsi="宋体"/>
          <w:sz w:val="22"/>
          <w:szCs w:val="22"/>
          <w:highlight w:val="none"/>
        </w:rPr>
      </w:pPr>
      <w:r>
        <w:rPr>
          <w:rFonts w:hint="eastAsia" w:ascii="宋体" w:hAnsi="宋体"/>
          <w:sz w:val="22"/>
          <w:szCs w:val="22"/>
          <w:highlight w:val="none"/>
        </w:rPr>
        <w:t>石头、四兴互通连接线采用三级公路标准建设，设计速度30公里/小时，路基宽度8.5米;金江、黎明、巨甸、鲁甸互通连接线采用二级公路标准建设，设计速度40公里/小时，路基宽度10米。</w:t>
      </w:r>
    </w:p>
    <w:p>
      <w:pPr>
        <w:spacing w:line="360" w:lineRule="auto"/>
        <w:ind w:firstLine="440" w:firstLineChars="200"/>
        <w:rPr>
          <w:rFonts w:ascii="宋体" w:hAnsi="宋体"/>
          <w:sz w:val="22"/>
          <w:szCs w:val="22"/>
          <w:highlight w:val="none"/>
        </w:rPr>
      </w:pPr>
      <w:r>
        <w:rPr>
          <w:rFonts w:hint="eastAsia" w:ascii="宋体" w:hAnsi="宋体"/>
          <w:sz w:val="22"/>
          <w:szCs w:val="22"/>
          <w:highlight w:val="none"/>
        </w:rPr>
        <w:t>玉龙（雄古）至维西高速公路初步设计概算核定为2801019.0053万元。项目实际投资应控制在批复概算内，最终工程造价以竣工决算为准。</w:t>
      </w:r>
    </w:p>
    <w:p>
      <w:pPr>
        <w:spacing w:line="360" w:lineRule="auto"/>
        <w:ind w:firstLine="442" w:firstLineChars="200"/>
        <w:rPr>
          <w:rFonts w:ascii="宋体" w:hAnsi="宋体"/>
          <w:b/>
          <w:sz w:val="22"/>
          <w:szCs w:val="22"/>
          <w:highlight w:val="none"/>
        </w:rPr>
      </w:pPr>
      <w:bookmarkStart w:id="43" w:name="_Toc6635"/>
      <w:bookmarkStart w:id="44" w:name="_Toc16070"/>
      <w:bookmarkStart w:id="45" w:name="_Toc30824"/>
      <w:bookmarkStart w:id="46" w:name="_Toc16761"/>
      <w:bookmarkStart w:id="47" w:name="_Toc13240"/>
      <w:bookmarkStart w:id="48" w:name="_Toc8601"/>
      <w:r>
        <w:rPr>
          <w:rFonts w:hint="eastAsia" w:ascii="宋体" w:hAnsi="宋体"/>
          <w:b/>
          <w:sz w:val="22"/>
          <w:szCs w:val="22"/>
          <w:highlight w:val="none"/>
        </w:rPr>
        <w:t>2.3计划监理服务期</w:t>
      </w:r>
      <w:bookmarkEnd w:id="43"/>
      <w:bookmarkEnd w:id="44"/>
      <w:bookmarkEnd w:id="45"/>
      <w:bookmarkEnd w:id="46"/>
      <w:bookmarkEnd w:id="47"/>
      <w:bookmarkEnd w:id="48"/>
    </w:p>
    <w:p>
      <w:pPr>
        <w:spacing w:line="360" w:lineRule="auto"/>
        <w:ind w:firstLine="440" w:firstLineChars="200"/>
        <w:rPr>
          <w:rFonts w:ascii="宋体" w:hAnsi="宋体" w:cs="宋体"/>
          <w:sz w:val="22"/>
          <w:szCs w:val="22"/>
          <w:highlight w:val="none"/>
        </w:rPr>
      </w:pPr>
      <w:bookmarkStart w:id="49" w:name="_Toc7405"/>
      <w:bookmarkStart w:id="50" w:name="_Toc24864"/>
      <w:bookmarkStart w:id="51" w:name="_Toc1515"/>
      <w:bookmarkStart w:id="52" w:name="_Toc1604"/>
      <w:bookmarkStart w:id="53" w:name="_Toc18730"/>
      <w:bookmarkStart w:id="54" w:name="_Toc15555"/>
      <w:r>
        <w:rPr>
          <w:rFonts w:hint="eastAsia" w:ascii="宋体" w:hAnsi="宋体" w:cs="宋体"/>
          <w:sz w:val="22"/>
          <w:szCs w:val="22"/>
          <w:highlight w:val="none"/>
        </w:rPr>
        <w:t>计划监理服务周期72个月，其中施工期48个月（具体开工时间以开工令签署之日起计算），缺陷责任期24个月（以实际交工之日起计算）。</w:t>
      </w:r>
    </w:p>
    <w:p>
      <w:pPr>
        <w:spacing w:line="360" w:lineRule="auto"/>
        <w:ind w:firstLine="442" w:firstLineChars="200"/>
        <w:rPr>
          <w:rFonts w:hint="eastAsia" w:ascii="宋体" w:hAnsi="宋体"/>
          <w:b/>
          <w:sz w:val="22"/>
          <w:szCs w:val="22"/>
          <w:highlight w:val="none"/>
        </w:rPr>
      </w:pPr>
      <w:r>
        <w:rPr>
          <w:rFonts w:hint="eastAsia" w:ascii="宋体" w:hAnsi="宋体"/>
          <w:b/>
          <w:sz w:val="22"/>
          <w:szCs w:val="22"/>
          <w:highlight w:val="none"/>
        </w:rPr>
        <w:t>2.4招标范围及</w:t>
      </w:r>
      <w:r>
        <w:rPr>
          <w:rFonts w:hint="eastAsia" w:ascii="宋体" w:hAnsi="宋体"/>
          <w:b/>
          <w:sz w:val="22"/>
          <w:szCs w:val="22"/>
          <w:highlight w:val="none"/>
          <w:lang w:eastAsia="zh-CN"/>
        </w:rPr>
        <w:t>合同包</w:t>
      </w:r>
      <w:r>
        <w:rPr>
          <w:rFonts w:hint="eastAsia" w:ascii="宋体" w:hAnsi="宋体"/>
          <w:b/>
          <w:sz w:val="22"/>
          <w:szCs w:val="22"/>
          <w:highlight w:val="none"/>
        </w:rPr>
        <w:t>划分</w:t>
      </w:r>
      <w:bookmarkEnd w:id="49"/>
      <w:bookmarkEnd w:id="50"/>
      <w:bookmarkEnd w:id="51"/>
      <w:bookmarkEnd w:id="52"/>
      <w:bookmarkEnd w:id="53"/>
      <w:bookmarkEnd w:id="54"/>
    </w:p>
    <w:p>
      <w:pPr>
        <w:spacing w:line="360" w:lineRule="auto"/>
        <w:ind w:firstLine="440" w:firstLineChars="200"/>
        <w:rPr>
          <w:rFonts w:hint="eastAsia" w:ascii="宋体" w:hAnsi="宋体" w:eastAsia="宋体" w:cs="宋体"/>
          <w:sz w:val="22"/>
          <w:szCs w:val="22"/>
          <w:highlight w:val="none"/>
        </w:rPr>
      </w:pPr>
      <w:bookmarkStart w:id="55" w:name="_Toc432170102"/>
      <w:r>
        <w:rPr>
          <w:rFonts w:hint="eastAsia" w:ascii="宋体" w:hAnsi="宋体" w:eastAsia="宋体" w:cs="宋体"/>
          <w:sz w:val="22"/>
          <w:szCs w:val="22"/>
          <w:highlight w:val="none"/>
          <w:lang w:val="en-US" w:eastAsia="zh-CN"/>
        </w:rPr>
        <w:t>2.4.1</w:t>
      </w:r>
      <w:r>
        <w:rPr>
          <w:rFonts w:hint="eastAsia" w:ascii="宋体" w:hAnsi="宋体" w:eastAsia="宋体" w:cs="宋体"/>
          <w:sz w:val="22"/>
          <w:szCs w:val="22"/>
          <w:highlight w:val="none"/>
        </w:rPr>
        <w:t>招标范围：</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2.4.1.1 </w:t>
      </w:r>
      <w:r>
        <w:rPr>
          <w:rFonts w:hint="eastAsia" w:ascii="宋体" w:hAnsi="宋体" w:eastAsia="宋体" w:cs="宋体"/>
          <w:sz w:val="22"/>
          <w:szCs w:val="22"/>
          <w:highlight w:val="none"/>
        </w:rPr>
        <w:t>TJJL-1、TJJL-2、TJJL-3招标范围</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合同包</w:t>
      </w:r>
      <w:r>
        <w:rPr>
          <w:rFonts w:hint="eastAsia" w:ascii="宋体" w:hAnsi="宋体" w:eastAsia="宋体" w:cs="宋体"/>
          <w:sz w:val="22"/>
          <w:szCs w:val="22"/>
          <w:highlight w:val="none"/>
        </w:rPr>
        <w:t>对应范围内的路基工程、路面工程、桥梁工程、隧道工程、交安工程、绿化工程、水保及环保工程、路线交叉工程、连接线工程、进场道路工程等</w:t>
      </w:r>
      <w:r>
        <w:rPr>
          <w:rFonts w:hint="eastAsia" w:ascii="宋体" w:hAnsi="宋体" w:eastAsia="宋体" w:cs="宋体"/>
          <w:sz w:val="22"/>
          <w:szCs w:val="22"/>
          <w:highlight w:val="none"/>
          <w:lang w:val="en-US" w:eastAsia="zh-CN"/>
        </w:rPr>
        <w:t>工程的</w:t>
      </w:r>
      <w:r>
        <w:rPr>
          <w:rFonts w:hint="eastAsia" w:ascii="宋体" w:hAnsi="宋体" w:eastAsia="宋体" w:cs="宋体"/>
          <w:sz w:val="22"/>
          <w:szCs w:val="22"/>
          <w:highlight w:val="none"/>
        </w:rPr>
        <w:t>施工准备阶段、施工阶段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缺陷责任阶段及上述工程可能发生的变更和因施工上述工程所必须完成的其他附带工作的监理服务。</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2.4.1.2 </w:t>
      </w:r>
      <w:r>
        <w:rPr>
          <w:rFonts w:hint="eastAsia" w:ascii="宋体" w:hAnsi="宋体" w:eastAsia="宋体" w:cs="宋体"/>
          <w:sz w:val="22"/>
          <w:szCs w:val="22"/>
          <w:highlight w:val="none"/>
          <w:lang w:eastAsia="zh-CN"/>
        </w:rPr>
        <w:t>FJJL-1</w:t>
      </w:r>
      <w:r>
        <w:rPr>
          <w:rFonts w:hint="eastAsia" w:ascii="宋体" w:hAnsi="宋体" w:eastAsia="宋体" w:cs="宋体"/>
          <w:sz w:val="22"/>
          <w:szCs w:val="22"/>
          <w:highlight w:val="none"/>
        </w:rPr>
        <w:t>招标范围</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玉维高速全线范围内的</w:t>
      </w:r>
      <w:r>
        <w:rPr>
          <w:rFonts w:hint="eastAsia" w:ascii="宋体" w:hAnsi="宋体" w:eastAsia="宋体" w:cs="宋体"/>
          <w:sz w:val="22"/>
          <w:szCs w:val="22"/>
          <w:highlight w:val="none"/>
          <w:lang w:eastAsia="zh-CN"/>
        </w:rPr>
        <w:t>沿线设施</w:t>
      </w:r>
      <w:r>
        <w:rPr>
          <w:rFonts w:hint="eastAsia" w:ascii="宋体" w:hAnsi="宋体" w:eastAsia="宋体" w:cs="宋体"/>
          <w:sz w:val="22"/>
          <w:szCs w:val="22"/>
          <w:highlight w:val="none"/>
        </w:rPr>
        <w:t>工程（</w:t>
      </w:r>
      <w:r>
        <w:rPr>
          <w:rFonts w:hint="eastAsia" w:ascii="宋体" w:hAnsi="宋体" w:eastAsia="宋体" w:cs="宋体"/>
          <w:sz w:val="22"/>
          <w:szCs w:val="22"/>
          <w:highlight w:val="none"/>
          <w:lang w:val="en-US" w:eastAsia="zh-CN"/>
        </w:rPr>
        <w:t>包含但不限于</w:t>
      </w:r>
      <w:r>
        <w:rPr>
          <w:rFonts w:hint="eastAsia" w:ascii="宋体" w:hAnsi="宋体" w:eastAsia="宋体" w:cs="宋体"/>
          <w:sz w:val="22"/>
          <w:szCs w:val="22"/>
          <w:highlight w:val="none"/>
        </w:rPr>
        <w:t>服务区、收费站、监控中心、路政执法用房、停车区、隧道管理所、隧道变电所、隧道消防泵房、综合管理用房、收费雨棚等的土建、水电、安装、内外装饰、消防、室外等工程）等工程的准备阶段、施工阶段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缺陷责任阶段及上述工程可能发生的变更和因施工上述工程所必须完成的其他工作的监理服务。</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2.4.1.3 </w:t>
      </w:r>
      <w:r>
        <w:rPr>
          <w:rFonts w:hint="eastAsia" w:ascii="宋体" w:hAnsi="宋体" w:eastAsia="宋体" w:cs="宋体"/>
          <w:sz w:val="22"/>
          <w:szCs w:val="22"/>
          <w:highlight w:val="none"/>
          <w:lang w:eastAsia="zh-CN"/>
        </w:rPr>
        <w:t>JDJL-1</w:t>
      </w:r>
      <w:r>
        <w:rPr>
          <w:rFonts w:hint="eastAsia" w:ascii="宋体" w:hAnsi="宋体" w:eastAsia="宋体" w:cs="宋体"/>
          <w:sz w:val="22"/>
          <w:szCs w:val="22"/>
          <w:highlight w:val="none"/>
        </w:rPr>
        <w:t>招标范围</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玉维高速全线范围内的机电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消防</w:t>
      </w:r>
      <w:r>
        <w:rPr>
          <w:rFonts w:hint="eastAsia" w:ascii="宋体" w:hAnsi="宋体" w:eastAsia="宋体" w:cs="宋体"/>
          <w:sz w:val="22"/>
          <w:szCs w:val="22"/>
          <w:highlight w:val="none"/>
        </w:rPr>
        <w:t>工程（</w:t>
      </w:r>
      <w:r>
        <w:rPr>
          <w:rFonts w:hint="eastAsia" w:ascii="宋体" w:hAnsi="宋体" w:eastAsia="宋体" w:cs="宋体"/>
          <w:sz w:val="22"/>
          <w:szCs w:val="22"/>
          <w:highlight w:val="none"/>
          <w:lang w:val="en-US" w:eastAsia="zh-CN"/>
        </w:rPr>
        <w:t>包含但不限于</w:t>
      </w:r>
      <w:r>
        <w:rPr>
          <w:rFonts w:hint="eastAsia" w:ascii="宋体" w:hAnsi="宋体" w:eastAsia="宋体" w:cs="宋体"/>
          <w:sz w:val="22"/>
          <w:szCs w:val="22"/>
          <w:highlight w:val="none"/>
        </w:rPr>
        <w:t>通信系统、监控系统、收费系统、隧道机电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消防工程）的施工准备阶段、施工阶段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缺陷责任阶段及上述工程可能发生的变更和因施工上述工程所必须完成的其他工作的监理服务。</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lang w:eastAsia="zh-CN"/>
        </w:rPr>
        <w:t>合同包</w:t>
      </w:r>
      <w:r>
        <w:rPr>
          <w:rFonts w:hint="eastAsia" w:ascii="宋体" w:hAnsi="宋体" w:cs="宋体"/>
          <w:sz w:val="22"/>
          <w:szCs w:val="22"/>
          <w:highlight w:val="none"/>
        </w:rPr>
        <w:t>划分：</w:t>
      </w:r>
      <w:bookmarkStart w:id="56" w:name="_Toc1838"/>
      <w:bookmarkStart w:id="57" w:name="_Toc19993"/>
      <w:r>
        <w:rPr>
          <w:rFonts w:hint="eastAsia" w:ascii="宋体" w:hAnsi="宋体" w:cs="宋体"/>
          <w:sz w:val="22"/>
          <w:szCs w:val="22"/>
          <w:highlight w:val="none"/>
        </w:rPr>
        <w:t>本项目由招标人设置总监理工程师办公室。本次仅对驻地监理工程师办公室进行招标，共划分为5个</w:t>
      </w:r>
      <w:r>
        <w:rPr>
          <w:rFonts w:hint="eastAsia" w:ascii="宋体" w:hAnsi="宋体" w:cs="宋体"/>
          <w:sz w:val="22"/>
          <w:szCs w:val="22"/>
          <w:highlight w:val="none"/>
          <w:lang w:eastAsia="zh-CN"/>
        </w:rPr>
        <w:t>合同包</w:t>
      </w:r>
      <w:r>
        <w:rPr>
          <w:rFonts w:hint="eastAsia" w:ascii="宋体" w:hAnsi="宋体" w:cs="宋体"/>
          <w:sz w:val="22"/>
          <w:szCs w:val="22"/>
          <w:highlight w:val="none"/>
        </w:rPr>
        <w:t>。本项目设置土建、路面、绿化、交安施工驻地监理工程师办公室（简称“驻地办”）3个，沿线设施施工驻地监理工程师办公室（简称“驻地办”）1个，机电施工驻地监理工程师办公室（简称“驻地办”）1个，本次对驻地办进行公开招标，中标人负责组建驻地监理工程师办公室（含驻地办工地试验室），各</w:t>
      </w:r>
      <w:r>
        <w:rPr>
          <w:rFonts w:hint="eastAsia" w:ascii="宋体" w:hAnsi="宋体" w:cs="宋体"/>
          <w:sz w:val="22"/>
          <w:szCs w:val="22"/>
          <w:highlight w:val="none"/>
          <w:lang w:eastAsia="zh-CN"/>
        </w:rPr>
        <w:t>合同包</w:t>
      </w:r>
      <w:r>
        <w:rPr>
          <w:rFonts w:hint="eastAsia" w:ascii="宋体" w:hAnsi="宋体" w:cs="宋体"/>
          <w:sz w:val="22"/>
          <w:szCs w:val="22"/>
          <w:highlight w:val="none"/>
        </w:rPr>
        <w:t>范围如下表：</w:t>
      </w:r>
    </w:p>
    <w:p>
      <w:pPr>
        <w:pStyle w:val="2"/>
      </w:pPr>
      <w:bookmarkStart w:id="139" w:name="_GoBack"/>
      <w:bookmarkEnd w:id="139"/>
    </w:p>
    <w:tbl>
      <w:tblPr>
        <w:tblStyle w:val="5"/>
        <w:tblW w:w="10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968"/>
        <w:gridCol w:w="982"/>
        <w:gridCol w:w="921"/>
        <w:gridCol w:w="753"/>
        <w:gridCol w:w="1014"/>
        <w:gridCol w:w="769"/>
        <w:gridCol w:w="833"/>
        <w:gridCol w:w="1178"/>
        <w:gridCol w:w="898"/>
        <w:gridCol w:w="1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4" w:type="dxa"/>
            <w:vMerge w:val="restart"/>
            <w:noWrap w:val="0"/>
            <w:vAlign w:val="center"/>
          </w:tcPr>
          <w:p>
            <w:pPr>
              <w:widowControl/>
              <w:jc w:val="center"/>
              <w:rPr>
                <w:rFonts w:hint="eastAsia" w:ascii="仿宋" w:hAnsi="仿宋" w:eastAsia="仿宋" w:cs="仿宋"/>
                <w:b/>
                <w:bCs/>
                <w:color w:val="000000"/>
                <w:kern w:val="0"/>
                <w:sz w:val="18"/>
                <w:szCs w:val="18"/>
                <w:highlight w:val="none"/>
                <w:lang w:eastAsia="zh-CN"/>
              </w:rPr>
            </w:pPr>
            <w:bookmarkStart w:id="58" w:name="_Toc3496"/>
            <w:bookmarkStart w:id="59" w:name="_Toc26703"/>
            <w:bookmarkStart w:id="60" w:name="_Toc102660714"/>
            <w:bookmarkStart w:id="61" w:name="_Toc102660872"/>
            <w:bookmarkStart w:id="62" w:name="_Toc14002"/>
            <w:bookmarkStart w:id="63" w:name="_Toc15522"/>
            <w:bookmarkStart w:id="64" w:name="_Toc4495"/>
            <w:bookmarkStart w:id="65" w:name="_Toc9608"/>
            <w:r>
              <w:rPr>
                <w:rFonts w:hint="eastAsia" w:ascii="仿宋" w:hAnsi="仿宋" w:eastAsia="仿宋" w:cs="仿宋"/>
                <w:b/>
                <w:bCs/>
                <w:color w:val="000000"/>
                <w:kern w:val="0"/>
                <w:sz w:val="18"/>
                <w:szCs w:val="18"/>
                <w:highlight w:val="none"/>
                <w:lang w:eastAsia="zh-CN"/>
              </w:rPr>
              <w:t>合同包</w:t>
            </w:r>
          </w:p>
        </w:tc>
        <w:tc>
          <w:tcPr>
            <w:tcW w:w="968" w:type="dxa"/>
            <w:vMerge w:val="restart"/>
            <w:noWrap w:val="0"/>
            <w:vAlign w:val="center"/>
          </w:tcPr>
          <w:p>
            <w:pPr>
              <w:widowControl/>
              <w:jc w:val="center"/>
              <w:rPr>
                <w:rFonts w:hint="eastAsia" w:ascii="仿宋" w:hAnsi="仿宋" w:eastAsia="仿宋" w:cs="仿宋"/>
                <w:b/>
                <w:bCs/>
                <w:color w:val="000000"/>
                <w:kern w:val="0"/>
                <w:sz w:val="18"/>
                <w:szCs w:val="18"/>
                <w:highlight w:val="none"/>
                <w:lang w:eastAsia="zh-CN"/>
              </w:rPr>
            </w:pPr>
            <w:r>
              <w:rPr>
                <w:rFonts w:hint="eastAsia" w:ascii="仿宋" w:hAnsi="仿宋" w:eastAsia="仿宋" w:cs="仿宋"/>
                <w:b/>
                <w:bCs/>
                <w:color w:val="000000"/>
                <w:kern w:val="0"/>
                <w:sz w:val="18"/>
                <w:szCs w:val="18"/>
                <w:highlight w:val="none"/>
              </w:rPr>
              <w:t>起讫</w:t>
            </w:r>
          </w:p>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桩号</w:t>
            </w:r>
          </w:p>
        </w:tc>
        <w:tc>
          <w:tcPr>
            <w:tcW w:w="982" w:type="dxa"/>
            <w:vMerge w:val="restart"/>
            <w:noWrap w:val="0"/>
            <w:vAlign w:val="center"/>
          </w:tcPr>
          <w:p>
            <w:pPr>
              <w:widowControl/>
              <w:jc w:val="center"/>
              <w:rPr>
                <w:rFonts w:hint="eastAsia" w:ascii="仿宋" w:hAnsi="仿宋" w:eastAsia="仿宋" w:cs="仿宋"/>
                <w:b/>
                <w:bCs/>
                <w:color w:val="000000"/>
                <w:kern w:val="0"/>
                <w:sz w:val="18"/>
                <w:szCs w:val="18"/>
                <w:highlight w:val="none"/>
                <w:lang w:eastAsia="zh-CN"/>
              </w:rPr>
            </w:pPr>
            <w:r>
              <w:rPr>
                <w:rFonts w:hint="eastAsia" w:ascii="仿宋" w:hAnsi="仿宋" w:eastAsia="仿宋" w:cs="仿宋"/>
                <w:b/>
                <w:bCs/>
                <w:color w:val="000000"/>
                <w:kern w:val="0"/>
                <w:sz w:val="18"/>
                <w:szCs w:val="18"/>
                <w:highlight w:val="none"/>
              </w:rPr>
              <w:t>对应</w:t>
            </w:r>
            <w:r>
              <w:rPr>
                <w:rFonts w:hint="eastAsia" w:ascii="仿宋" w:hAnsi="仿宋" w:eastAsia="仿宋" w:cs="仿宋"/>
                <w:b/>
                <w:bCs/>
                <w:color w:val="000000"/>
                <w:kern w:val="0"/>
                <w:sz w:val="18"/>
                <w:szCs w:val="18"/>
                <w:highlight w:val="none"/>
                <w:lang w:val="en-US" w:eastAsia="zh-CN"/>
              </w:rPr>
              <w:t>主体工程</w:t>
            </w:r>
            <w:r>
              <w:rPr>
                <w:rFonts w:hint="eastAsia" w:ascii="仿宋" w:hAnsi="仿宋" w:eastAsia="仿宋" w:cs="仿宋"/>
                <w:b/>
                <w:bCs/>
                <w:color w:val="000000"/>
                <w:kern w:val="0"/>
                <w:sz w:val="18"/>
                <w:szCs w:val="18"/>
                <w:highlight w:val="none"/>
              </w:rPr>
              <w:t>施工</w:t>
            </w:r>
            <w:r>
              <w:rPr>
                <w:rFonts w:hint="eastAsia" w:ascii="仿宋" w:hAnsi="仿宋" w:eastAsia="仿宋" w:cs="仿宋"/>
                <w:b/>
                <w:bCs/>
                <w:color w:val="000000"/>
                <w:kern w:val="0"/>
                <w:sz w:val="18"/>
                <w:szCs w:val="18"/>
                <w:highlight w:val="none"/>
                <w:lang w:eastAsia="zh-CN"/>
              </w:rPr>
              <w:t>合同包</w:t>
            </w:r>
          </w:p>
        </w:tc>
        <w:tc>
          <w:tcPr>
            <w:tcW w:w="921" w:type="dxa"/>
            <w:vMerge w:val="restart"/>
            <w:noWrap w:val="0"/>
            <w:vAlign w:val="center"/>
          </w:tcPr>
          <w:p>
            <w:pPr>
              <w:widowControl/>
              <w:jc w:val="center"/>
              <w:rPr>
                <w:rFonts w:hint="eastAsia" w:ascii="仿宋" w:hAnsi="仿宋" w:eastAsia="仿宋" w:cs="仿宋"/>
                <w:b/>
                <w:bCs/>
                <w:color w:val="000000"/>
                <w:kern w:val="0"/>
                <w:sz w:val="18"/>
                <w:szCs w:val="18"/>
                <w:highlight w:val="none"/>
                <w:lang w:eastAsia="zh-CN"/>
              </w:rPr>
            </w:pPr>
            <w:r>
              <w:rPr>
                <w:rFonts w:hint="eastAsia" w:ascii="仿宋" w:hAnsi="仿宋" w:eastAsia="仿宋" w:cs="仿宋"/>
                <w:b/>
                <w:bCs/>
                <w:color w:val="000000"/>
                <w:kern w:val="0"/>
                <w:sz w:val="18"/>
                <w:szCs w:val="18"/>
                <w:highlight w:val="none"/>
              </w:rPr>
              <w:t>线路</w:t>
            </w:r>
          </w:p>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长度</w:t>
            </w:r>
          </w:p>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w:t>
            </w:r>
            <w:r>
              <w:rPr>
                <w:rFonts w:hint="eastAsia" w:ascii="仿宋" w:hAnsi="仿宋" w:eastAsia="仿宋" w:cs="仿宋"/>
                <w:b/>
                <w:bCs/>
                <w:color w:val="000000"/>
                <w:kern w:val="0"/>
                <w:sz w:val="18"/>
                <w:szCs w:val="18"/>
                <w:highlight w:val="none"/>
                <w:lang w:val="en-US" w:eastAsia="zh-CN"/>
              </w:rPr>
              <w:t>公里</w:t>
            </w:r>
            <w:r>
              <w:rPr>
                <w:rFonts w:hint="eastAsia" w:ascii="仿宋" w:hAnsi="仿宋" w:eastAsia="仿宋" w:cs="仿宋"/>
                <w:b/>
                <w:bCs/>
                <w:color w:val="000000"/>
                <w:kern w:val="0"/>
                <w:sz w:val="18"/>
                <w:szCs w:val="18"/>
                <w:highlight w:val="none"/>
              </w:rPr>
              <w:t>）</w:t>
            </w:r>
          </w:p>
        </w:tc>
        <w:tc>
          <w:tcPr>
            <w:tcW w:w="1767" w:type="dxa"/>
            <w:gridSpan w:val="2"/>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桥梁</w:t>
            </w:r>
          </w:p>
        </w:tc>
        <w:tc>
          <w:tcPr>
            <w:tcW w:w="2780" w:type="dxa"/>
            <w:gridSpan w:val="3"/>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隧道</w:t>
            </w:r>
          </w:p>
        </w:tc>
        <w:tc>
          <w:tcPr>
            <w:tcW w:w="898" w:type="dxa"/>
            <w:vMerge w:val="restart"/>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桥隧比</w:t>
            </w:r>
          </w:p>
        </w:tc>
        <w:tc>
          <w:tcPr>
            <w:tcW w:w="1254" w:type="dxa"/>
            <w:vMerge w:val="restart"/>
            <w:noWrap w:val="0"/>
            <w:vAlign w:val="center"/>
          </w:tcPr>
          <w:p>
            <w:pPr>
              <w:widowControl/>
              <w:jc w:val="center"/>
              <w:rPr>
                <w:rFonts w:hint="eastAsia" w:ascii="仿宋" w:hAnsi="仿宋" w:eastAsia="仿宋" w:cs="仿宋"/>
                <w:b/>
                <w:bCs/>
                <w:color w:val="000000"/>
                <w:kern w:val="0"/>
                <w:sz w:val="18"/>
                <w:szCs w:val="18"/>
                <w:highlight w:val="none"/>
                <w:lang w:val="en-US" w:eastAsia="zh-CN"/>
              </w:rPr>
            </w:pPr>
            <w:r>
              <w:rPr>
                <w:rFonts w:hint="eastAsia" w:ascii="仿宋" w:hAnsi="仿宋" w:eastAsia="仿宋" w:cs="仿宋"/>
                <w:b/>
                <w:bCs/>
                <w:color w:val="000000"/>
                <w:kern w:val="0"/>
                <w:sz w:val="18"/>
                <w:szCs w:val="18"/>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844" w:type="dxa"/>
            <w:vMerge w:val="continue"/>
            <w:noWrap w:val="0"/>
            <w:vAlign w:val="center"/>
          </w:tcPr>
          <w:p>
            <w:pPr>
              <w:widowControl/>
              <w:jc w:val="left"/>
              <w:rPr>
                <w:rFonts w:hint="eastAsia" w:ascii="仿宋" w:hAnsi="仿宋" w:eastAsia="仿宋" w:cs="仿宋"/>
                <w:b/>
                <w:bCs/>
                <w:color w:val="000000"/>
                <w:kern w:val="0"/>
                <w:sz w:val="18"/>
                <w:szCs w:val="18"/>
                <w:highlight w:val="none"/>
              </w:rPr>
            </w:pPr>
          </w:p>
        </w:tc>
        <w:tc>
          <w:tcPr>
            <w:tcW w:w="968" w:type="dxa"/>
            <w:vMerge w:val="continue"/>
            <w:noWrap w:val="0"/>
            <w:vAlign w:val="center"/>
          </w:tcPr>
          <w:p>
            <w:pPr>
              <w:widowControl/>
              <w:jc w:val="left"/>
              <w:rPr>
                <w:rFonts w:hint="eastAsia" w:ascii="仿宋" w:hAnsi="仿宋" w:eastAsia="仿宋" w:cs="仿宋"/>
                <w:b/>
                <w:bCs/>
                <w:color w:val="000000"/>
                <w:kern w:val="0"/>
                <w:sz w:val="18"/>
                <w:szCs w:val="18"/>
                <w:highlight w:val="none"/>
              </w:rPr>
            </w:pPr>
          </w:p>
        </w:tc>
        <w:tc>
          <w:tcPr>
            <w:tcW w:w="982" w:type="dxa"/>
            <w:vMerge w:val="continue"/>
            <w:noWrap w:val="0"/>
            <w:vAlign w:val="center"/>
          </w:tcPr>
          <w:p>
            <w:pPr>
              <w:widowControl/>
              <w:jc w:val="left"/>
              <w:rPr>
                <w:rFonts w:hint="eastAsia" w:ascii="仿宋" w:hAnsi="仿宋" w:eastAsia="仿宋" w:cs="仿宋"/>
                <w:b/>
                <w:bCs/>
                <w:color w:val="000000"/>
                <w:kern w:val="0"/>
                <w:sz w:val="18"/>
                <w:szCs w:val="18"/>
                <w:highlight w:val="none"/>
              </w:rPr>
            </w:pPr>
          </w:p>
        </w:tc>
        <w:tc>
          <w:tcPr>
            <w:tcW w:w="921" w:type="dxa"/>
            <w:vMerge w:val="continue"/>
            <w:noWrap w:val="0"/>
            <w:vAlign w:val="center"/>
          </w:tcPr>
          <w:p>
            <w:pPr>
              <w:widowControl/>
              <w:jc w:val="left"/>
              <w:rPr>
                <w:rFonts w:hint="eastAsia" w:ascii="仿宋" w:hAnsi="仿宋" w:eastAsia="仿宋" w:cs="仿宋"/>
                <w:b/>
                <w:bCs/>
                <w:color w:val="000000"/>
                <w:kern w:val="0"/>
                <w:sz w:val="18"/>
                <w:szCs w:val="18"/>
                <w:highlight w:val="none"/>
              </w:rPr>
            </w:pPr>
          </w:p>
        </w:tc>
        <w:tc>
          <w:tcPr>
            <w:tcW w:w="753" w:type="dxa"/>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桥长（</w:t>
            </w:r>
            <w:r>
              <w:rPr>
                <w:rFonts w:hint="eastAsia" w:ascii="仿宋" w:hAnsi="仿宋" w:eastAsia="仿宋" w:cs="仿宋"/>
                <w:b/>
                <w:bCs/>
                <w:color w:val="000000"/>
                <w:kern w:val="0"/>
                <w:sz w:val="18"/>
                <w:szCs w:val="18"/>
                <w:highlight w:val="none"/>
                <w:lang w:val="en-US" w:eastAsia="zh-CN"/>
              </w:rPr>
              <w:t>米</w:t>
            </w:r>
            <w:r>
              <w:rPr>
                <w:rFonts w:hint="eastAsia" w:ascii="仿宋" w:hAnsi="仿宋" w:eastAsia="仿宋" w:cs="仿宋"/>
                <w:b/>
                <w:bCs/>
                <w:color w:val="000000"/>
                <w:kern w:val="0"/>
                <w:sz w:val="18"/>
                <w:szCs w:val="18"/>
                <w:highlight w:val="none"/>
              </w:rPr>
              <w:t>）</w:t>
            </w:r>
          </w:p>
        </w:tc>
        <w:tc>
          <w:tcPr>
            <w:tcW w:w="1014" w:type="dxa"/>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特大桥</w:t>
            </w:r>
          </w:p>
          <w:p>
            <w:pPr>
              <w:widowControl/>
              <w:jc w:val="center"/>
              <w:rPr>
                <w:rFonts w:hint="eastAsia" w:ascii="仿宋" w:hAnsi="仿宋" w:eastAsia="仿宋" w:cs="仿宋"/>
                <w:b/>
                <w:bCs/>
                <w:color w:val="000000"/>
                <w:kern w:val="0"/>
                <w:sz w:val="18"/>
                <w:szCs w:val="18"/>
                <w:highlight w:val="none"/>
                <w:lang w:val="en-US"/>
              </w:rPr>
            </w:pPr>
            <w:r>
              <w:rPr>
                <w:rFonts w:hint="eastAsia" w:ascii="仿宋" w:hAnsi="仿宋" w:eastAsia="仿宋" w:cs="仿宋"/>
                <w:b/>
                <w:bCs/>
                <w:color w:val="000000"/>
                <w:kern w:val="0"/>
                <w:sz w:val="18"/>
                <w:szCs w:val="18"/>
                <w:highlight w:val="none"/>
                <w:lang w:val="en-US" w:eastAsia="zh-CN"/>
              </w:rPr>
              <w:t>(</w:t>
            </w:r>
            <w:r>
              <w:rPr>
                <w:rFonts w:hint="eastAsia" w:ascii="仿宋" w:hAnsi="仿宋" w:eastAsia="仿宋" w:cs="仿宋"/>
                <w:b/>
                <w:bCs/>
                <w:color w:val="000000"/>
                <w:kern w:val="0"/>
                <w:sz w:val="18"/>
                <w:szCs w:val="18"/>
                <w:highlight w:val="none"/>
              </w:rPr>
              <w:t>座</w:t>
            </w:r>
            <w:r>
              <w:rPr>
                <w:rFonts w:hint="eastAsia" w:ascii="仿宋" w:hAnsi="仿宋" w:eastAsia="仿宋" w:cs="仿宋"/>
                <w:b/>
                <w:bCs/>
                <w:color w:val="000000"/>
                <w:kern w:val="0"/>
                <w:sz w:val="18"/>
                <w:szCs w:val="18"/>
                <w:highlight w:val="none"/>
                <w:lang w:val="en-US" w:eastAsia="zh-CN"/>
              </w:rPr>
              <w:t>/米)</w:t>
            </w:r>
          </w:p>
        </w:tc>
        <w:tc>
          <w:tcPr>
            <w:tcW w:w="769" w:type="dxa"/>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隧道（座）</w:t>
            </w:r>
          </w:p>
        </w:tc>
        <w:tc>
          <w:tcPr>
            <w:tcW w:w="833" w:type="dxa"/>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隧道（</w:t>
            </w:r>
            <w:r>
              <w:rPr>
                <w:rFonts w:hint="eastAsia" w:ascii="仿宋" w:hAnsi="仿宋" w:eastAsia="仿宋" w:cs="仿宋"/>
                <w:b/>
                <w:bCs/>
                <w:color w:val="000000"/>
                <w:kern w:val="0"/>
                <w:sz w:val="18"/>
                <w:szCs w:val="18"/>
                <w:highlight w:val="none"/>
                <w:lang w:val="en-US" w:eastAsia="zh-CN"/>
              </w:rPr>
              <w:t>米</w:t>
            </w:r>
            <w:r>
              <w:rPr>
                <w:rFonts w:hint="eastAsia" w:ascii="仿宋" w:hAnsi="仿宋" w:eastAsia="仿宋" w:cs="仿宋"/>
                <w:b/>
                <w:bCs/>
                <w:color w:val="000000"/>
                <w:kern w:val="0"/>
                <w:sz w:val="18"/>
                <w:szCs w:val="18"/>
                <w:highlight w:val="none"/>
              </w:rPr>
              <w:t>）</w:t>
            </w:r>
          </w:p>
        </w:tc>
        <w:tc>
          <w:tcPr>
            <w:tcW w:w="1178" w:type="dxa"/>
            <w:noWrap w:val="0"/>
            <w:vAlign w:val="center"/>
          </w:tcPr>
          <w:p>
            <w:pPr>
              <w:widowControl/>
              <w:jc w:val="center"/>
              <w:rPr>
                <w:rFonts w:hint="eastAsia" w:ascii="仿宋" w:hAnsi="仿宋" w:eastAsia="仿宋" w:cs="仿宋"/>
                <w:b/>
                <w:bCs/>
                <w:color w:val="000000"/>
                <w:kern w:val="0"/>
                <w:sz w:val="18"/>
                <w:szCs w:val="18"/>
                <w:highlight w:val="none"/>
              </w:rPr>
            </w:pPr>
            <w:r>
              <w:rPr>
                <w:rFonts w:hint="eastAsia" w:ascii="仿宋" w:hAnsi="仿宋" w:eastAsia="仿宋" w:cs="仿宋"/>
                <w:b/>
                <w:bCs/>
                <w:color w:val="000000"/>
                <w:kern w:val="0"/>
                <w:sz w:val="18"/>
                <w:szCs w:val="18"/>
                <w:highlight w:val="none"/>
              </w:rPr>
              <w:t>特长隧道</w:t>
            </w:r>
          </w:p>
          <w:p>
            <w:pPr>
              <w:widowControl/>
              <w:jc w:val="center"/>
              <w:rPr>
                <w:rFonts w:hint="eastAsia" w:ascii="仿宋" w:hAnsi="仿宋" w:eastAsia="仿宋" w:cs="仿宋"/>
                <w:b/>
                <w:bCs/>
                <w:color w:val="000000"/>
                <w:kern w:val="0"/>
                <w:sz w:val="18"/>
                <w:szCs w:val="18"/>
                <w:highlight w:val="none"/>
                <w:lang w:val="en-US"/>
              </w:rPr>
            </w:pPr>
            <w:r>
              <w:rPr>
                <w:rFonts w:hint="eastAsia" w:ascii="仿宋" w:hAnsi="仿宋" w:eastAsia="仿宋" w:cs="仿宋"/>
                <w:b/>
                <w:bCs/>
                <w:color w:val="000000"/>
                <w:kern w:val="0"/>
                <w:sz w:val="18"/>
                <w:szCs w:val="18"/>
                <w:highlight w:val="none"/>
                <w:lang w:val="en-US" w:eastAsia="zh-CN"/>
              </w:rPr>
              <w:t>(</w:t>
            </w:r>
            <w:r>
              <w:rPr>
                <w:rFonts w:hint="eastAsia" w:ascii="仿宋" w:hAnsi="仿宋" w:eastAsia="仿宋" w:cs="仿宋"/>
                <w:b/>
                <w:bCs/>
                <w:color w:val="000000"/>
                <w:kern w:val="0"/>
                <w:sz w:val="18"/>
                <w:szCs w:val="18"/>
                <w:highlight w:val="none"/>
              </w:rPr>
              <w:t>座</w:t>
            </w:r>
            <w:r>
              <w:rPr>
                <w:rFonts w:hint="eastAsia" w:ascii="仿宋" w:hAnsi="仿宋" w:eastAsia="仿宋" w:cs="仿宋"/>
                <w:b/>
                <w:bCs/>
                <w:color w:val="000000"/>
                <w:kern w:val="0"/>
                <w:sz w:val="18"/>
                <w:szCs w:val="18"/>
                <w:highlight w:val="none"/>
                <w:lang w:val="en-US" w:eastAsia="zh-CN"/>
              </w:rPr>
              <w:t>/米)</w:t>
            </w:r>
          </w:p>
        </w:tc>
        <w:tc>
          <w:tcPr>
            <w:tcW w:w="898" w:type="dxa"/>
            <w:vMerge w:val="continue"/>
            <w:noWrap w:val="0"/>
            <w:vAlign w:val="center"/>
          </w:tcPr>
          <w:p>
            <w:pPr>
              <w:widowControl/>
              <w:jc w:val="left"/>
              <w:rPr>
                <w:rFonts w:hint="eastAsia" w:ascii="仿宋" w:hAnsi="仿宋" w:eastAsia="仿宋" w:cs="仿宋"/>
                <w:b/>
                <w:bCs/>
                <w:color w:val="000000"/>
                <w:kern w:val="0"/>
                <w:sz w:val="18"/>
                <w:szCs w:val="18"/>
                <w:highlight w:val="none"/>
              </w:rPr>
            </w:pPr>
          </w:p>
        </w:tc>
        <w:tc>
          <w:tcPr>
            <w:tcW w:w="1254" w:type="dxa"/>
            <w:vMerge w:val="continue"/>
            <w:noWrap w:val="0"/>
            <w:vAlign w:val="center"/>
          </w:tcPr>
          <w:p>
            <w:pPr>
              <w:widowControl/>
              <w:jc w:val="left"/>
              <w:rPr>
                <w:rFonts w:hint="eastAsia" w:ascii="仿宋" w:hAnsi="仿宋" w:eastAsia="仿宋" w:cs="仿宋"/>
                <w:b/>
                <w:bCs/>
                <w:color w:val="000000"/>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844"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TJJL-1</w:t>
            </w:r>
          </w:p>
        </w:tc>
        <w:tc>
          <w:tcPr>
            <w:tcW w:w="96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K0+000</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p>
            <w:pPr>
              <w:widowControl/>
              <w:jc w:val="center"/>
              <w:rPr>
                <w:rFonts w:hint="default" w:ascii="仿宋" w:hAnsi="仿宋" w:eastAsia="仿宋" w:cs="仿宋"/>
                <w:color w:val="000000"/>
                <w:kern w:val="0"/>
                <w:sz w:val="18"/>
                <w:szCs w:val="18"/>
                <w:highlight w:val="none"/>
                <w:lang w:val="en-US"/>
              </w:rPr>
            </w:pPr>
            <w:r>
              <w:rPr>
                <w:rFonts w:hint="eastAsia" w:ascii="仿宋" w:hAnsi="仿宋" w:eastAsia="仿宋" w:cs="仿宋"/>
                <w:color w:val="000000"/>
                <w:kern w:val="0"/>
                <w:sz w:val="18"/>
                <w:szCs w:val="18"/>
                <w:highlight w:val="none"/>
                <w:lang w:val="en-US" w:eastAsia="zh-CN"/>
              </w:rPr>
              <w:t>K47+640.54</w:t>
            </w:r>
          </w:p>
        </w:tc>
        <w:tc>
          <w:tcPr>
            <w:tcW w:w="982" w:type="dxa"/>
            <w:noWrap w:val="0"/>
            <w:vAlign w:val="center"/>
          </w:tcPr>
          <w:p>
            <w:pPr>
              <w:widowControl/>
              <w:jc w:val="center"/>
              <w:rPr>
                <w:rFonts w:hint="eastAsia" w:ascii="仿宋" w:hAnsi="仿宋" w:eastAsia="仿宋" w:cs="仿宋"/>
                <w:color w:val="000000"/>
                <w:kern w:val="0"/>
                <w:sz w:val="18"/>
                <w:szCs w:val="18"/>
                <w:highlight w:val="none"/>
                <w:lang w:eastAsia="zh-CN"/>
              </w:rPr>
            </w:pPr>
            <w:r>
              <w:rPr>
                <w:rFonts w:hint="eastAsia" w:ascii="仿宋" w:hAnsi="仿宋" w:eastAsia="仿宋" w:cs="仿宋"/>
                <w:color w:val="000000"/>
                <w:kern w:val="0"/>
                <w:sz w:val="18"/>
                <w:szCs w:val="18"/>
                <w:highlight w:val="none"/>
              </w:rPr>
              <w:t>一标</w:t>
            </w:r>
          </w:p>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二标</w:t>
            </w:r>
          </w:p>
        </w:tc>
        <w:tc>
          <w:tcPr>
            <w:tcW w:w="921"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47.64</w:t>
            </w:r>
          </w:p>
        </w:tc>
        <w:tc>
          <w:tcPr>
            <w:tcW w:w="753"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10608.27</w:t>
            </w:r>
          </w:p>
        </w:tc>
        <w:tc>
          <w:tcPr>
            <w:tcW w:w="1014"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6/4791.91</w:t>
            </w:r>
          </w:p>
        </w:tc>
        <w:tc>
          <w:tcPr>
            <w:tcW w:w="769"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13</w:t>
            </w:r>
          </w:p>
        </w:tc>
        <w:tc>
          <w:tcPr>
            <w:tcW w:w="833"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27176.35</w:t>
            </w:r>
          </w:p>
        </w:tc>
        <w:tc>
          <w:tcPr>
            <w:tcW w:w="1178"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lang w:val="en-US" w:eastAsia="zh-CN"/>
              </w:rPr>
              <w:t>3/</w:t>
            </w:r>
            <w:r>
              <w:rPr>
                <w:rFonts w:hint="eastAsia" w:ascii="仿宋" w:hAnsi="仿宋" w:eastAsia="仿宋" w:cs="仿宋"/>
                <w:color w:val="000000"/>
                <w:kern w:val="0"/>
                <w:sz w:val="18"/>
                <w:szCs w:val="18"/>
                <w:highlight w:val="none"/>
              </w:rPr>
              <w:t>14265</w:t>
            </w:r>
          </w:p>
        </w:tc>
        <w:tc>
          <w:tcPr>
            <w:tcW w:w="898"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lang w:val="en-US" w:eastAsia="zh-CN"/>
              </w:rPr>
              <w:t>79.31</w:t>
            </w:r>
            <w:r>
              <w:rPr>
                <w:rFonts w:hint="eastAsia" w:ascii="仿宋" w:hAnsi="仿宋" w:eastAsia="仿宋" w:cs="仿宋"/>
                <w:color w:val="000000"/>
                <w:kern w:val="0"/>
                <w:sz w:val="18"/>
                <w:szCs w:val="18"/>
                <w:highlight w:val="none"/>
              </w:rPr>
              <w:t>%</w:t>
            </w:r>
          </w:p>
        </w:tc>
        <w:tc>
          <w:tcPr>
            <w:tcW w:w="1254"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844"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TJJL-2</w:t>
            </w:r>
          </w:p>
        </w:tc>
        <w:tc>
          <w:tcPr>
            <w:tcW w:w="96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K47+640.54</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p>
            <w:pPr>
              <w:widowControl/>
              <w:jc w:val="center"/>
              <w:rPr>
                <w:rFonts w:hint="default" w:ascii="仿宋" w:hAnsi="仿宋" w:eastAsia="仿宋" w:cs="仿宋"/>
                <w:color w:val="000000"/>
                <w:kern w:val="0"/>
                <w:sz w:val="18"/>
                <w:szCs w:val="18"/>
                <w:highlight w:val="none"/>
                <w:lang w:val="en-US"/>
              </w:rPr>
            </w:pPr>
            <w:r>
              <w:rPr>
                <w:rFonts w:hint="eastAsia" w:ascii="仿宋" w:hAnsi="仿宋" w:eastAsia="仿宋" w:cs="仿宋"/>
                <w:color w:val="000000"/>
                <w:kern w:val="0"/>
                <w:sz w:val="18"/>
                <w:szCs w:val="18"/>
                <w:highlight w:val="none"/>
                <w:lang w:val="en-US" w:eastAsia="zh-CN"/>
              </w:rPr>
              <w:t>K82+160</w:t>
            </w:r>
          </w:p>
        </w:tc>
        <w:tc>
          <w:tcPr>
            <w:tcW w:w="982"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三标</w:t>
            </w:r>
          </w:p>
        </w:tc>
        <w:tc>
          <w:tcPr>
            <w:tcW w:w="921"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34.52</w:t>
            </w:r>
          </w:p>
        </w:tc>
        <w:tc>
          <w:tcPr>
            <w:tcW w:w="753"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9606.03</w:t>
            </w:r>
          </w:p>
        </w:tc>
        <w:tc>
          <w:tcPr>
            <w:tcW w:w="1014"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4/4420.16</w:t>
            </w:r>
          </w:p>
        </w:tc>
        <w:tc>
          <w:tcPr>
            <w:tcW w:w="769"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10</w:t>
            </w:r>
          </w:p>
        </w:tc>
        <w:tc>
          <w:tcPr>
            <w:tcW w:w="833"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15371.69</w:t>
            </w:r>
          </w:p>
        </w:tc>
        <w:tc>
          <w:tcPr>
            <w:tcW w:w="1178"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3/1057.71</w:t>
            </w:r>
          </w:p>
        </w:tc>
        <w:tc>
          <w:tcPr>
            <w:tcW w:w="898"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lang w:val="en-US" w:eastAsia="zh-CN"/>
              </w:rPr>
              <w:t>72.36</w:t>
            </w:r>
            <w:r>
              <w:rPr>
                <w:rFonts w:hint="eastAsia" w:ascii="仿宋" w:hAnsi="仿宋" w:eastAsia="仿宋" w:cs="仿宋"/>
                <w:color w:val="000000"/>
                <w:kern w:val="0"/>
                <w:sz w:val="18"/>
                <w:szCs w:val="18"/>
                <w:highlight w:val="none"/>
              </w:rPr>
              <w:t>%</w:t>
            </w:r>
          </w:p>
        </w:tc>
        <w:tc>
          <w:tcPr>
            <w:tcW w:w="1254" w:type="dxa"/>
            <w:vMerge w:val="restart"/>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主体工程施工四标、五标</w:t>
            </w:r>
            <w:r>
              <w:rPr>
                <w:rFonts w:hint="eastAsia" w:ascii="仿宋" w:hAnsi="仿宋" w:eastAsia="仿宋" w:cs="仿宋"/>
                <w:color w:val="000000"/>
                <w:kern w:val="0"/>
                <w:sz w:val="18"/>
                <w:szCs w:val="18"/>
                <w:highlight w:val="none"/>
                <w:lang w:val="en-US" w:eastAsia="zh-CN"/>
              </w:rPr>
              <w:t>范围内的</w:t>
            </w:r>
            <w:r>
              <w:rPr>
                <w:rFonts w:hint="eastAsia" w:ascii="仿宋" w:hAnsi="仿宋" w:eastAsia="仿宋" w:cs="仿宋"/>
                <w:color w:val="000000"/>
                <w:kern w:val="0"/>
                <w:sz w:val="18"/>
                <w:szCs w:val="18"/>
                <w:highlight w:val="none"/>
              </w:rPr>
              <w:t>路面、绿化工程</w:t>
            </w:r>
            <w:r>
              <w:rPr>
                <w:rFonts w:hint="eastAsia" w:ascii="仿宋" w:hAnsi="仿宋" w:eastAsia="仿宋" w:cs="仿宋"/>
                <w:color w:val="000000"/>
                <w:kern w:val="0"/>
                <w:sz w:val="18"/>
                <w:szCs w:val="18"/>
                <w:highlight w:val="none"/>
                <w:lang w:val="en-US" w:eastAsia="zh-CN"/>
              </w:rPr>
              <w:t>监理服务工作由</w:t>
            </w:r>
            <w:r>
              <w:rPr>
                <w:rFonts w:hint="eastAsia" w:ascii="仿宋" w:hAnsi="仿宋" w:eastAsia="仿宋" w:cs="仿宋"/>
                <w:color w:val="000000"/>
                <w:kern w:val="0"/>
                <w:sz w:val="18"/>
                <w:szCs w:val="18"/>
                <w:highlight w:val="none"/>
              </w:rPr>
              <w:t>TJJL-2</w:t>
            </w:r>
            <w:r>
              <w:rPr>
                <w:rFonts w:hint="eastAsia" w:ascii="仿宋" w:hAnsi="仿宋" w:eastAsia="仿宋" w:cs="仿宋"/>
                <w:color w:val="000000"/>
                <w:kern w:val="0"/>
                <w:sz w:val="18"/>
                <w:szCs w:val="18"/>
                <w:highlight w:val="none"/>
                <w:lang w:val="en-US" w:eastAsia="zh-CN"/>
              </w:rPr>
              <w:t>承担</w:t>
            </w:r>
            <w:r>
              <w:rPr>
                <w:rFonts w:hint="eastAsia" w:ascii="仿宋" w:hAnsi="仿宋" w:eastAsia="仿宋" w:cs="仿宋"/>
                <w:color w:val="000000"/>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844"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TJJL-3</w:t>
            </w:r>
          </w:p>
        </w:tc>
        <w:tc>
          <w:tcPr>
            <w:tcW w:w="96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K82+160</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p>
            <w:pPr>
              <w:widowControl/>
              <w:jc w:val="center"/>
              <w:rPr>
                <w:rFonts w:hint="default" w:ascii="仿宋" w:hAnsi="仿宋" w:eastAsia="仿宋" w:cs="仿宋"/>
                <w:color w:val="000000"/>
                <w:kern w:val="0"/>
                <w:sz w:val="18"/>
                <w:szCs w:val="18"/>
                <w:highlight w:val="none"/>
                <w:lang w:val="en-US"/>
              </w:rPr>
            </w:pPr>
            <w:r>
              <w:rPr>
                <w:rFonts w:hint="eastAsia" w:ascii="仿宋" w:hAnsi="仿宋" w:eastAsia="仿宋" w:cs="仿宋"/>
                <w:color w:val="000000"/>
                <w:kern w:val="0"/>
                <w:sz w:val="18"/>
                <w:szCs w:val="18"/>
                <w:highlight w:val="none"/>
                <w:lang w:val="en-US" w:eastAsia="zh-CN"/>
              </w:rPr>
              <w:t>K115+252.071</w:t>
            </w:r>
          </w:p>
        </w:tc>
        <w:tc>
          <w:tcPr>
            <w:tcW w:w="982" w:type="dxa"/>
            <w:noWrap w:val="0"/>
            <w:vAlign w:val="center"/>
          </w:tcPr>
          <w:p>
            <w:pPr>
              <w:widowControl/>
              <w:jc w:val="center"/>
              <w:rPr>
                <w:rFonts w:hint="eastAsia" w:ascii="仿宋" w:hAnsi="仿宋" w:eastAsia="仿宋" w:cs="仿宋"/>
                <w:color w:val="000000"/>
                <w:kern w:val="0"/>
                <w:sz w:val="18"/>
                <w:szCs w:val="18"/>
                <w:highlight w:val="none"/>
                <w:lang w:eastAsia="zh-CN"/>
              </w:rPr>
            </w:pPr>
            <w:r>
              <w:rPr>
                <w:rFonts w:hint="eastAsia" w:ascii="仿宋" w:hAnsi="仿宋" w:eastAsia="仿宋" w:cs="仿宋"/>
                <w:color w:val="000000"/>
                <w:kern w:val="0"/>
                <w:sz w:val="18"/>
                <w:szCs w:val="18"/>
                <w:highlight w:val="none"/>
              </w:rPr>
              <w:t>四标</w:t>
            </w:r>
          </w:p>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rPr>
              <w:t>五标</w:t>
            </w:r>
          </w:p>
        </w:tc>
        <w:tc>
          <w:tcPr>
            <w:tcW w:w="921"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27.06</w:t>
            </w:r>
          </w:p>
        </w:tc>
        <w:tc>
          <w:tcPr>
            <w:tcW w:w="753"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4848.14</w:t>
            </w:r>
          </w:p>
        </w:tc>
        <w:tc>
          <w:tcPr>
            <w:tcW w:w="1014"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3/5541.24</w:t>
            </w:r>
          </w:p>
        </w:tc>
        <w:tc>
          <w:tcPr>
            <w:tcW w:w="769" w:type="dxa"/>
            <w:noWrap w:val="0"/>
            <w:vAlign w:val="center"/>
          </w:tcPr>
          <w:p>
            <w:pPr>
              <w:widowControl/>
              <w:jc w:val="center"/>
              <w:rPr>
                <w:rFonts w:hint="eastAsia" w:ascii="仿宋" w:hAnsi="仿宋" w:eastAsia="仿宋" w:cs="仿宋"/>
                <w:color w:val="000000"/>
                <w:kern w:val="0"/>
                <w:sz w:val="18"/>
                <w:szCs w:val="18"/>
                <w:highlight w:val="none"/>
                <w:lang w:eastAsia="zh-CN"/>
              </w:rPr>
            </w:pPr>
            <w:r>
              <w:rPr>
                <w:rFonts w:hint="eastAsia" w:ascii="仿宋" w:hAnsi="仿宋" w:eastAsia="仿宋" w:cs="仿宋"/>
                <w:color w:val="000000"/>
                <w:kern w:val="0"/>
                <w:sz w:val="18"/>
                <w:szCs w:val="18"/>
                <w:highlight w:val="none"/>
                <w:lang w:val="en-US" w:eastAsia="zh-CN"/>
              </w:rPr>
              <w:t>7</w:t>
            </w:r>
          </w:p>
        </w:tc>
        <w:tc>
          <w:tcPr>
            <w:tcW w:w="833"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17826.5</w:t>
            </w:r>
          </w:p>
        </w:tc>
        <w:tc>
          <w:tcPr>
            <w:tcW w:w="1178" w:type="dxa"/>
            <w:noWrap w:val="0"/>
            <w:vAlign w:val="center"/>
          </w:tcPr>
          <w:p>
            <w:pPr>
              <w:widowControl/>
              <w:jc w:val="center"/>
              <w:rPr>
                <w:rFonts w:hint="default"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3/13533</w:t>
            </w:r>
          </w:p>
        </w:tc>
        <w:tc>
          <w:tcPr>
            <w:tcW w:w="898"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lang w:val="en-US" w:eastAsia="zh-CN"/>
              </w:rPr>
              <w:t>80.19</w:t>
            </w:r>
            <w:r>
              <w:rPr>
                <w:rFonts w:hint="eastAsia" w:ascii="仿宋" w:hAnsi="仿宋" w:eastAsia="仿宋" w:cs="仿宋"/>
                <w:color w:val="000000"/>
                <w:kern w:val="0"/>
                <w:sz w:val="18"/>
                <w:szCs w:val="18"/>
                <w:highlight w:val="none"/>
              </w:rPr>
              <w:t>%</w:t>
            </w:r>
          </w:p>
        </w:tc>
        <w:tc>
          <w:tcPr>
            <w:tcW w:w="1254" w:type="dxa"/>
            <w:vMerge w:val="continue"/>
            <w:noWrap w:val="0"/>
            <w:vAlign w:val="center"/>
          </w:tcPr>
          <w:p>
            <w:pPr>
              <w:widowControl/>
              <w:jc w:val="center"/>
              <w:rPr>
                <w:rFonts w:hint="eastAsia" w:ascii="仿宋" w:hAnsi="仿宋" w:eastAsia="仿宋" w:cs="仿宋"/>
                <w:color w:val="000000"/>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844" w:type="dxa"/>
            <w:noWrap w:val="0"/>
            <w:vAlign w:val="center"/>
          </w:tcPr>
          <w:p>
            <w:pPr>
              <w:widowControl/>
              <w:jc w:val="center"/>
              <w:rPr>
                <w:rFonts w:hint="eastAsia" w:ascii="仿宋" w:hAnsi="仿宋" w:eastAsia="仿宋" w:cs="仿宋"/>
                <w:color w:val="000000"/>
                <w:kern w:val="0"/>
                <w:sz w:val="18"/>
                <w:szCs w:val="18"/>
                <w:highlight w:val="none"/>
                <w:lang w:eastAsia="zh-CN"/>
              </w:rPr>
            </w:pPr>
            <w:r>
              <w:rPr>
                <w:rFonts w:hint="eastAsia" w:ascii="仿宋" w:hAnsi="仿宋" w:eastAsia="仿宋" w:cs="仿宋"/>
                <w:color w:val="000000"/>
                <w:kern w:val="0"/>
                <w:sz w:val="18"/>
                <w:szCs w:val="18"/>
                <w:highlight w:val="none"/>
                <w:lang w:eastAsia="zh-CN"/>
              </w:rPr>
              <w:t>FJJL-1</w:t>
            </w:r>
          </w:p>
        </w:tc>
        <w:tc>
          <w:tcPr>
            <w:tcW w:w="96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K0+000</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K115+252.071</w:t>
            </w:r>
          </w:p>
        </w:tc>
        <w:tc>
          <w:tcPr>
            <w:tcW w:w="982"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一标</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二标</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三标</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四标</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五标</w:t>
            </w:r>
          </w:p>
        </w:tc>
        <w:tc>
          <w:tcPr>
            <w:tcW w:w="921"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753"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1014"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769"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833"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117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89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1254"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全线沿线设施工程施工监理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844" w:type="dxa"/>
            <w:noWrap w:val="0"/>
            <w:vAlign w:val="center"/>
          </w:tcPr>
          <w:p>
            <w:pPr>
              <w:widowControl/>
              <w:jc w:val="center"/>
              <w:rPr>
                <w:rFonts w:hint="eastAsia" w:ascii="仿宋" w:hAnsi="仿宋" w:eastAsia="仿宋" w:cs="仿宋"/>
                <w:color w:val="000000"/>
                <w:kern w:val="0"/>
                <w:sz w:val="18"/>
                <w:szCs w:val="18"/>
                <w:highlight w:val="none"/>
                <w:lang w:eastAsia="zh-CN"/>
              </w:rPr>
            </w:pPr>
            <w:r>
              <w:rPr>
                <w:rFonts w:hint="eastAsia" w:ascii="仿宋" w:hAnsi="仿宋" w:eastAsia="仿宋" w:cs="仿宋"/>
                <w:color w:val="000000"/>
                <w:kern w:val="0"/>
                <w:sz w:val="18"/>
                <w:szCs w:val="18"/>
                <w:highlight w:val="none"/>
                <w:lang w:eastAsia="zh-CN"/>
              </w:rPr>
              <w:t>JDJL-1</w:t>
            </w:r>
          </w:p>
        </w:tc>
        <w:tc>
          <w:tcPr>
            <w:tcW w:w="96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K0+000</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K115+252.071</w:t>
            </w:r>
          </w:p>
        </w:tc>
        <w:tc>
          <w:tcPr>
            <w:tcW w:w="982"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lang w:val="en-US" w:eastAsia="zh-CN"/>
              </w:rPr>
              <w:t>六标</w:t>
            </w:r>
          </w:p>
        </w:tc>
        <w:tc>
          <w:tcPr>
            <w:tcW w:w="921"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753"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1014"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769"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833"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117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898" w:type="dxa"/>
            <w:noWrap w:val="0"/>
            <w:vAlign w:val="center"/>
          </w:tcPr>
          <w:p>
            <w:pPr>
              <w:widowControl/>
              <w:jc w:val="center"/>
              <w:rPr>
                <w:rFonts w:hint="eastAsia" w:ascii="仿宋" w:hAnsi="仿宋" w:eastAsia="仿宋" w:cs="仿宋"/>
                <w:color w:val="000000"/>
                <w:kern w:val="0"/>
                <w:sz w:val="18"/>
                <w:szCs w:val="18"/>
                <w:highlight w:val="none"/>
                <w:lang w:val="en-US" w:eastAsia="zh-CN"/>
              </w:rPr>
            </w:pPr>
            <w:r>
              <w:rPr>
                <w:rFonts w:hint="eastAsia" w:ascii="仿宋" w:hAnsi="仿宋" w:eastAsia="仿宋" w:cs="仿宋"/>
                <w:color w:val="000000"/>
                <w:kern w:val="0"/>
                <w:sz w:val="18"/>
                <w:szCs w:val="18"/>
                <w:highlight w:val="none"/>
                <w:lang w:val="en-US" w:eastAsia="zh-CN"/>
              </w:rPr>
              <w:t>/</w:t>
            </w:r>
          </w:p>
        </w:tc>
        <w:tc>
          <w:tcPr>
            <w:tcW w:w="1254" w:type="dxa"/>
            <w:noWrap w:val="0"/>
            <w:vAlign w:val="center"/>
          </w:tcPr>
          <w:p>
            <w:pPr>
              <w:widowControl/>
              <w:jc w:val="center"/>
              <w:rPr>
                <w:rFonts w:hint="eastAsia" w:ascii="仿宋" w:hAnsi="仿宋" w:eastAsia="仿宋" w:cs="仿宋"/>
                <w:color w:val="000000"/>
                <w:kern w:val="0"/>
                <w:sz w:val="18"/>
                <w:szCs w:val="18"/>
                <w:highlight w:val="none"/>
              </w:rPr>
            </w:pPr>
            <w:r>
              <w:rPr>
                <w:rFonts w:hint="eastAsia" w:ascii="仿宋" w:hAnsi="仿宋" w:eastAsia="仿宋" w:cs="仿宋"/>
                <w:color w:val="000000"/>
                <w:kern w:val="0"/>
                <w:sz w:val="18"/>
                <w:szCs w:val="18"/>
                <w:highlight w:val="none"/>
                <w:lang w:val="en-US" w:eastAsia="zh-CN"/>
              </w:rPr>
              <w:t>全线机电工程、隧道消防施工监理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0414" w:type="dxa"/>
            <w:gridSpan w:val="11"/>
            <w:noWrap w:val="0"/>
            <w:vAlign w:val="center"/>
          </w:tcPr>
          <w:p>
            <w:pPr>
              <w:widowControl/>
              <w:jc w:val="left"/>
              <w:rPr>
                <w:rFonts w:hint="default" w:ascii="仿宋" w:hAnsi="仿宋" w:eastAsia="仿宋" w:cs="仿宋"/>
                <w:color w:val="000000"/>
                <w:kern w:val="0"/>
                <w:sz w:val="18"/>
                <w:szCs w:val="18"/>
                <w:highlight w:val="none"/>
                <w:lang w:val="en-US" w:eastAsia="zh-CN"/>
              </w:rPr>
            </w:pPr>
            <w:bookmarkStart w:id="66" w:name="_Toc18421"/>
            <w:r>
              <w:rPr>
                <w:rFonts w:hint="eastAsia" w:ascii="仿宋" w:hAnsi="仿宋" w:eastAsia="仿宋" w:cs="仿宋"/>
                <w:color w:val="000000"/>
                <w:kern w:val="0"/>
                <w:sz w:val="18"/>
                <w:szCs w:val="18"/>
                <w:highlight w:val="none"/>
                <w:lang w:val="en-US" w:eastAsia="zh-CN"/>
              </w:rPr>
              <w:t>注：各监理合同包起讫桩号最终以对应的对应主体工程施工合同包起讫桩号为准。</w:t>
            </w:r>
          </w:p>
        </w:tc>
      </w:tr>
    </w:tbl>
    <w:p>
      <w:pPr>
        <w:pStyle w:val="3"/>
        <w:keepNext w:val="0"/>
        <w:keepLines w:val="0"/>
        <w:adjustRightInd w:val="0"/>
        <w:snapToGrid w:val="0"/>
        <w:spacing w:before="0" w:after="0" w:line="360" w:lineRule="auto"/>
        <w:ind w:firstLine="442" w:firstLineChars="200"/>
        <w:textAlignment w:val="baseline"/>
        <w:rPr>
          <w:rFonts w:hint="eastAsia" w:ascii="宋体" w:hAnsi="宋体" w:eastAsia="宋体" w:cs="宋体"/>
          <w:bCs/>
          <w:sz w:val="22"/>
          <w:szCs w:val="22"/>
          <w:highlight w:val="none"/>
        </w:rPr>
      </w:pPr>
      <w:bookmarkStart w:id="67" w:name="_Toc6212"/>
      <w:r>
        <w:rPr>
          <w:rFonts w:hint="eastAsia" w:ascii="宋体" w:hAnsi="宋体" w:eastAsia="宋体" w:cs="宋体"/>
          <w:bCs/>
          <w:sz w:val="22"/>
          <w:szCs w:val="22"/>
          <w:highlight w:val="none"/>
        </w:rPr>
        <w:t>3.投标人资格要求</w:t>
      </w:r>
      <w:bookmarkEnd w:id="55"/>
      <w:bookmarkEnd w:id="56"/>
      <w:bookmarkEnd w:id="57"/>
      <w:bookmarkEnd w:id="58"/>
      <w:bookmarkEnd w:id="59"/>
      <w:bookmarkEnd w:id="60"/>
      <w:bookmarkEnd w:id="61"/>
      <w:bookmarkEnd w:id="62"/>
      <w:bookmarkEnd w:id="63"/>
      <w:bookmarkEnd w:id="64"/>
      <w:bookmarkEnd w:id="65"/>
      <w:bookmarkEnd w:id="66"/>
      <w:bookmarkEnd w:id="67"/>
    </w:p>
    <w:p>
      <w:pPr>
        <w:tabs>
          <w:tab w:val="left" w:pos="1035"/>
        </w:tabs>
        <w:spacing w:line="360" w:lineRule="auto"/>
        <w:ind w:firstLine="440" w:firstLineChars="200"/>
        <w:rPr>
          <w:rFonts w:hint="eastAsia" w:ascii="宋体" w:hAnsi="宋体" w:cs="宋体"/>
          <w:b/>
          <w:bCs/>
          <w:sz w:val="22"/>
          <w:szCs w:val="22"/>
          <w:highlight w:val="none"/>
        </w:rPr>
      </w:pPr>
      <w:r>
        <w:rPr>
          <w:rFonts w:hint="eastAsia" w:ascii="宋体" w:hAnsi="宋体" w:cs="宋体"/>
          <w:sz w:val="22"/>
          <w:szCs w:val="22"/>
          <w:highlight w:val="none"/>
        </w:rPr>
        <w:t>3.1资质要求：</w:t>
      </w:r>
    </w:p>
    <w:p>
      <w:pPr>
        <w:spacing w:line="360" w:lineRule="auto"/>
        <w:ind w:firstLine="440" w:firstLineChars="200"/>
        <w:rPr>
          <w:rFonts w:hint="eastAsia" w:ascii="宋体" w:hAnsi="宋体" w:cs="宋体"/>
          <w:bCs/>
          <w:sz w:val="22"/>
          <w:szCs w:val="22"/>
          <w:highlight w:val="none"/>
          <w:lang w:eastAsia="zh-CN"/>
        </w:rPr>
      </w:pPr>
      <w:r>
        <w:rPr>
          <w:rFonts w:hint="eastAsia" w:ascii="宋体" w:hAnsi="宋体" w:cs="宋体"/>
          <w:bCs/>
          <w:sz w:val="22"/>
          <w:szCs w:val="22"/>
          <w:highlight w:val="none"/>
          <w:lang w:val="en-US" w:eastAsia="zh-CN"/>
        </w:rPr>
        <w:t xml:space="preserve">3.1.1 </w:t>
      </w:r>
      <w:r>
        <w:rPr>
          <w:rFonts w:hint="eastAsia" w:ascii="宋体" w:hAnsi="宋体" w:cs="宋体"/>
          <w:bCs/>
          <w:sz w:val="22"/>
          <w:szCs w:val="22"/>
          <w:highlight w:val="none"/>
          <w:lang w:eastAsia="zh-CN"/>
        </w:rPr>
        <w:t>TJJL-1、TJJL-2、TJJL-3</w:t>
      </w:r>
      <w:r>
        <w:rPr>
          <w:rFonts w:hint="eastAsia" w:ascii="宋体" w:hAnsi="宋体" w:cs="宋体"/>
          <w:bCs/>
          <w:sz w:val="22"/>
          <w:szCs w:val="22"/>
          <w:highlight w:val="none"/>
        </w:rPr>
        <w:t>投标人资质要求</w:t>
      </w:r>
    </w:p>
    <w:p>
      <w:pPr>
        <w:spacing w:line="360" w:lineRule="auto"/>
        <w:ind w:firstLine="440" w:firstLineChars="200"/>
        <w:rPr>
          <w:rFonts w:hint="eastAsia" w:ascii="宋体" w:hAnsi="宋体" w:cs="宋体"/>
          <w:bCs/>
          <w:sz w:val="22"/>
          <w:szCs w:val="22"/>
          <w:highlight w:val="none"/>
          <w:lang w:val="en-US" w:eastAsia="zh-CN"/>
        </w:rPr>
      </w:pPr>
      <w:r>
        <w:rPr>
          <w:rFonts w:hint="eastAsia" w:ascii="宋体" w:hAnsi="宋体" w:cs="宋体"/>
          <w:bCs/>
          <w:sz w:val="22"/>
          <w:szCs w:val="22"/>
          <w:highlight w:val="none"/>
        </w:rPr>
        <w:t>具备独立承担民事责任的能力，持有有效的营业执照或事业单位法人证书，同时具备</w:t>
      </w:r>
      <w:r>
        <w:rPr>
          <w:rFonts w:hint="eastAsia" w:ascii="宋体" w:hAnsi="宋体" w:cs="宋体"/>
          <w:bCs/>
          <w:sz w:val="22"/>
          <w:szCs w:val="22"/>
          <w:highlight w:val="none"/>
          <w:lang w:val="en-US" w:eastAsia="zh-CN"/>
        </w:rPr>
        <w:t>以下资质：</w:t>
      </w:r>
    </w:p>
    <w:p>
      <w:pPr>
        <w:numPr>
          <w:ilvl w:val="0"/>
          <w:numId w:val="2"/>
        </w:numPr>
        <w:spacing w:line="360" w:lineRule="auto"/>
        <w:ind w:firstLine="440" w:firstLineChars="200"/>
        <w:rPr>
          <w:rFonts w:hint="eastAsia" w:ascii="宋体" w:hAnsi="宋体" w:cs="宋体"/>
          <w:bCs/>
          <w:sz w:val="22"/>
          <w:szCs w:val="22"/>
          <w:highlight w:val="none"/>
          <w:lang w:eastAsia="zh-CN"/>
        </w:rPr>
      </w:pPr>
      <w:r>
        <w:rPr>
          <w:rFonts w:hint="eastAsia" w:ascii="宋体" w:hAnsi="宋体" w:cs="宋体"/>
          <w:bCs/>
          <w:sz w:val="22"/>
          <w:szCs w:val="22"/>
          <w:highlight w:val="none"/>
        </w:rPr>
        <w:t>交通运输部颁发的公路工程专业甲级监理资质</w:t>
      </w:r>
      <w:r>
        <w:rPr>
          <w:rFonts w:hint="eastAsia" w:ascii="宋体" w:hAnsi="宋体" w:cs="宋体"/>
          <w:bCs/>
          <w:sz w:val="22"/>
          <w:szCs w:val="22"/>
          <w:highlight w:val="none"/>
          <w:lang w:eastAsia="zh-CN"/>
        </w:rPr>
        <w:t>。</w:t>
      </w:r>
    </w:p>
    <w:p>
      <w:pPr>
        <w:numPr>
          <w:ilvl w:val="0"/>
          <w:numId w:val="2"/>
        </w:numPr>
        <w:spacing w:line="360" w:lineRule="auto"/>
        <w:ind w:firstLine="440" w:firstLineChars="200"/>
        <w:rPr>
          <w:rFonts w:hint="eastAsia" w:ascii="宋体" w:hAnsi="宋体" w:cs="宋体"/>
          <w:bCs/>
          <w:sz w:val="22"/>
          <w:szCs w:val="22"/>
          <w:highlight w:val="none"/>
        </w:rPr>
      </w:pPr>
      <w:r>
        <w:rPr>
          <w:rFonts w:hint="eastAsia" w:ascii="宋体" w:hAnsi="宋体" w:cs="宋体"/>
          <w:bCs/>
          <w:sz w:val="22"/>
          <w:szCs w:val="22"/>
          <w:highlight w:val="none"/>
        </w:rPr>
        <w:t>国家或省（市、自治区）级交通运输主管部门认定的公路水运工程试验检测机构公路工程综合类乙级及以上资质证书或委托具有该项资质的单位组建试验室（提供委托书和被委托单位资质证书）。</w:t>
      </w:r>
    </w:p>
    <w:p>
      <w:pPr>
        <w:spacing w:line="360" w:lineRule="auto"/>
        <w:ind w:firstLine="440" w:firstLineChars="200"/>
        <w:rPr>
          <w:rFonts w:hint="eastAsia" w:ascii="宋体" w:hAnsi="宋体" w:cs="宋体"/>
          <w:bCs/>
          <w:sz w:val="22"/>
          <w:szCs w:val="22"/>
          <w:highlight w:val="none"/>
          <w:lang w:eastAsia="zh-CN"/>
        </w:rPr>
      </w:pPr>
      <w:r>
        <w:rPr>
          <w:rFonts w:hint="eastAsia" w:ascii="宋体" w:hAnsi="宋体" w:cs="宋体"/>
          <w:bCs/>
          <w:sz w:val="22"/>
          <w:szCs w:val="22"/>
          <w:highlight w:val="none"/>
          <w:lang w:val="en-US" w:eastAsia="zh-CN"/>
        </w:rPr>
        <w:t xml:space="preserve">3.1.2 </w:t>
      </w:r>
      <w:r>
        <w:rPr>
          <w:rFonts w:hint="eastAsia" w:ascii="宋体" w:hAnsi="宋体" w:cs="宋体"/>
          <w:bCs/>
          <w:sz w:val="22"/>
          <w:szCs w:val="22"/>
          <w:highlight w:val="none"/>
          <w:lang w:eastAsia="zh-CN"/>
        </w:rPr>
        <w:t>FJJL-1</w:t>
      </w:r>
      <w:r>
        <w:rPr>
          <w:rFonts w:hint="eastAsia" w:ascii="宋体" w:hAnsi="宋体" w:cs="宋体"/>
          <w:bCs/>
          <w:sz w:val="22"/>
          <w:szCs w:val="22"/>
          <w:highlight w:val="none"/>
        </w:rPr>
        <w:t>投标人资质要求</w:t>
      </w:r>
    </w:p>
    <w:p>
      <w:pPr>
        <w:spacing w:line="360" w:lineRule="auto"/>
        <w:ind w:firstLine="440" w:firstLineChars="200"/>
        <w:rPr>
          <w:rFonts w:hint="eastAsia" w:ascii="宋体" w:hAnsi="宋体" w:cs="宋体"/>
          <w:bCs/>
          <w:sz w:val="22"/>
          <w:szCs w:val="22"/>
          <w:highlight w:val="none"/>
        </w:rPr>
      </w:pPr>
      <w:r>
        <w:rPr>
          <w:rFonts w:hint="eastAsia" w:ascii="宋体" w:hAnsi="宋体" w:cs="宋体"/>
          <w:bCs/>
          <w:sz w:val="22"/>
          <w:szCs w:val="22"/>
          <w:highlight w:val="none"/>
        </w:rPr>
        <w:t>具备独立承担民事责任的能力，持有有效的营业执照或事业单位法人证书，同时具备建设行政主管部门颁发的工程监理企业综合资质或房屋建筑工程专业监理乙级以上（含乙级）资质。</w:t>
      </w:r>
    </w:p>
    <w:p>
      <w:pPr>
        <w:spacing w:line="360" w:lineRule="auto"/>
        <w:ind w:firstLine="440" w:firstLineChars="200"/>
        <w:rPr>
          <w:rFonts w:hint="eastAsia" w:ascii="宋体" w:hAnsi="宋体" w:cs="宋体"/>
          <w:bCs/>
          <w:sz w:val="22"/>
          <w:szCs w:val="22"/>
          <w:highlight w:val="none"/>
        </w:rPr>
      </w:pPr>
      <w:r>
        <w:rPr>
          <w:rFonts w:hint="eastAsia" w:ascii="宋体" w:hAnsi="宋体" w:cs="宋体"/>
          <w:bCs/>
          <w:sz w:val="22"/>
          <w:szCs w:val="22"/>
          <w:highlight w:val="none"/>
          <w:lang w:val="en-US" w:eastAsia="zh-CN"/>
        </w:rPr>
        <w:t xml:space="preserve">3.1.3 </w:t>
      </w:r>
      <w:r>
        <w:rPr>
          <w:rFonts w:hint="eastAsia" w:ascii="宋体" w:hAnsi="宋体" w:cs="宋体"/>
          <w:bCs/>
          <w:sz w:val="22"/>
          <w:szCs w:val="22"/>
          <w:highlight w:val="none"/>
          <w:lang w:eastAsia="zh-CN"/>
        </w:rPr>
        <w:t>JDJL-1</w:t>
      </w:r>
      <w:r>
        <w:rPr>
          <w:rFonts w:hint="eastAsia" w:ascii="宋体" w:hAnsi="宋体" w:cs="宋体"/>
          <w:bCs/>
          <w:sz w:val="22"/>
          <w:szCs w:val="22"/>
          <w:highlight w:val="none"/>
        </w:rPr>
        <w:t>投标人资质要求</w:t>
      </w:r>
    </w:p>
    <w:p>
      <w:pPr>
        <w:spacing w:line="360" w:lineRule="auto"/>
        <w:ind w:firstLine="440" w:firstLineChars="200"/>
        <w:rPr>
          <w:rFonts w:ascii="宋体" w:hAnsi="宋体" w:cs="宋体"/>
          <w:bCs/>
          <w:sz w:val="22"/>
          <w:szCs w:val="22"/>
          <w:highlight w:val="none"/>
        </w:rPr>
      </w:pPr>
      <w:r>
        <w:rPr>
          <w:rFonts w:hint="eastAsia" w:ascii="宋体" w:hAnsi="宋体" w:cs="宋体"/>
          <w:bCs/>
          <w:sz w:val="22"/>
          <w:szCs w:val="22"/>
          <w:highlight w:val="none"/>
        </w:rPr>
        <w:t>具备独立承担民事责任的能力，持有有效的营业执照或事业单位法人证书，同时具备交通运输部颁发的公路机电工程专项监理资质。</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3.</w:t>
      </w:r>
      <w:r>
        <w:rPr>
          <w:rFonts w:hint="eastAsia" w:ascii="宋体" w:hAnsi="宋体" w:cs="宋体"/>
          <w:sz w:val="22"/>
          <w:szCs w:val="22"/>
          <w:highlight w:val="none"/>
          <w:lang w:val="en-US" w:eastAsia="zh-CN"/>
        </w:rPr>
        <w:t>2</w:t>
      </w:r>
      <w:r>
        <w:rPr>
          <w:rFonts w:hint="eastAsia" w:ascii="宋体" w:hAnsi="宋体" w:cs="宋体"/>
          <w:sz w:val="22"/>
          <w:szCs w:val="22"/>
          <w:highlight w:val="none"/>
        </w:rPr>
        <w:t>财务要求：</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（1）投标人在近3年年平均营业额不小于2000万元人民币；</w:t>
      </w:r>
    </w:p>
    <w:p>
      <w:pPr>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（2）投标人上一年流动资产与流动负债的比率不小于1。</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3.</w:t>
      </w:r>
      <w:r>
        <w:rPr>
          <w:rFonts w:hint="eastAsia" w:ascii="宋体" w:hAnsi="宋体" w:cs="宋体"/>
          <w:sz w:val="22"/>
          <w:szCs w:val="22"/>
          <w:highlight w:val="none"/>
          <w:lang w:val="en-US" w:eastAsia="zh-CN"/>
        </w:rPr>
        <w:t>3</w:t>
      </w:r>
      <w:r>
        <w:rPr>
          <w:rFonts w:hint="eastAsia" w:ascii="宋体" w:hAnsi="宋体" w:cs="宋体"/>
          <w:sz w:val="22"/>
          <w:szCs w:val="22"/>
          <w:highlight w:val="none"/>
        </w:rPr>
        <w:t>本工程</w:t>
      </w:r>
      <w:r>
        <w:rPr>
          <w:rFonts w:hint="eastAsia" w:ascii="宋体" w:hAnsi="宋体" w:eastAsia="宋体" w:cs="宋体"/>
          <w:sz w:val="22"/>
          <w:szCs w:val="22"/>
          <w:highlight w:val="none"/>
        </w:rPr>
        <w:t>TJJL-1、TJJL-2、TJJL-3</w:t>
      </w:r>
      <w:r>
        <w:rPr>
          <w:rFonts w:hint="eastAsia" w:ascii="宋体" w:hAnsi="宋体" w:cs="宋体"/>
          <w:sz w:val="22"/>
          <w:szCs w:val="22"/>
          <w:highlight w:val="none"/>
          <w:lang w:val="en-US" w:eastAsia="zh-CN"/>
        </w:rPr>
        <w:t>合同包</w:t>
      </w:r>
      <w:r>
        <w:rPr>
          <w:rFonts w:hint="eastAsia" w:ascii="宋体" w:hAnsi="宋体" w:cs="宋体"/>
          <w:b/>
          <w:bCs/>
          <w:sz w:val="22"/>
          <w:szCs w:val="22"/>
          <w:highlight w:val="none"/>
          <w:u w:val="single"/>
        </w:rPr>
        <w:t>接受</w:t>
      </w:r>
      <w:r>
        <w:rPr>
          <w:rFonts w:hint="eastAsia" w:ascii="宋体" w:hAnsi="宋体" w:cs="宋体"/>
          <w:sz w:val="22"/>
          <w:szCs w:val="22"/>
          <w:highlight w:val="none"/>
        </w:rPr>
        <w:t>联合体投标，FJJL-1</w:t>
      </w:r>
      <w:r>
        <w:rPr>
          <w:rFonts w:hint="eastAsia" w:ascii="宋体" w:hAnsi="宋体" w:cs="宋体"/>
          <w:sz w:val="22"/>
          <w:szCs w:val="22"/>
          <w:highlight w:val="none"/>
          <w:lang w:eastAsia="zh-CN"/>
        </w:rPr>
        <w:t>、</w:t>
      </w:r>
      <w:r>
        <w:rPr>
          <w:rFonts w:hint="eastAsia" w:ascii="宋体" w:hAnsi="宋体" w:cs="宋体"/>
          <w:sz w:val="22"/>
          <w:szCs w:val="22"/>
          <w:highlight w:val="none"/>
        </w:rPr>
        <w:t>JDJL-1</w:t>
      </w:r>
      <w:r>
        <w:rPr>
          <w:rFonts w:hint="eastAsia" w:ascii="宋体" w:hAnsi="宋体" w:cs="宋体"/>
          <w:sz w:val="22"/>
          <w:szCs w:val="22"/>
          <w:highlight w:val="none"/>
          <w:lang w:val="en-US" w:eastAsia="zh-CN"/>
        </w:rPr>
        <w:t>合同包</w:t>
      </w:r>
      <w:r>
        <w:rPr>
          <w:rFonts w:hint="eastAsia" w:ascii="宋体" w:hAnsi="宋体" w:cs="宋体"/>
          <w:b/>
          <w:bCs/>
          <w:sz w:val="22"/>
          <w:szCs w:val="22"/>
          <w:highlight w:val="none"/>
          <w:u w:val="single"/>
          <w:lang w:val="en-US" w:eastAsia="zh-CN"/>
        </w:rPr>
        <w:t>不</w:t>
      </w:r>
      <w:r>
        <w:rPr>
          <w:rFonts w:hint="eastAsia" w:ascii="宋体" w:hAnsi="宋体" w:cs="宋体"/>
          <w:b/>
          <w:bCs/>
          <w:sz w:val="22"/>
          <w:szCs w:val="22"/>
          <w:highlight w:val="none"/>
          <w:u w:val="single"/>
        </w:rPr>
        <w:t>接受</w:t>
      </w:r>
      <w:r>
        <w:rPr>
          <w:rFonts w:hint="eastAsia" w:ascii="宋体" w:hAnsi="宋体" w:cs="宋体"/>
          <w:sz w:val="22"/>
          <w:szCs w:val="22"/>
          <w:highlight w:val="none"/>
        </w:rPr>
        <w:t>联合体投标</w:t>
      </w:r>
      <w:r>
        <w:rPr>
          <w:rFonts w:hint="eastAsia" w:ascii="宋体" w:hAnsi="宋体" w:cs="宋体"/>
          <w:sz w:val="22"/>
          <w:szCs w:val="22"/>
          <w:highlight w:val="none"/>
          <w:lang w:eastAsia="zh-CN"/>
        </w:rPr>
        <w:t>，</w:t>
      </w:r>
      <w:r>
        <w:rPr>
          <w:rFonts w:hint="eastAsia" w:ascii="宋体" w:hAnsi="宋体" w:cs="宋体"/>
          <w:sz w:val="22"/>
          <w:szCs w:val="22"/>
          <w:highlight w:val="none"/>
        </w:rPr>
        <w:t>且中标后不得分包或转包。</w:t>
      </w:r>
    </w:p>
    <w:p>
      <w:pPr>
        <w:spacing w:line="360" w:lineRule="auto"/>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联合体投标的，应满足下列要求：</w:t>
      </w:r>
    </w:p>
    <w:p>
      <w:pPr>
        <w:spacing w:line="360" w:lineRule="auto"/>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（1）联合体各方均应当</w:t>
      </w:r>
      <w:r>
        <w:rPr>
          <w:rFonts w:hint="eastAsia" w:ascii="宋体" w:hAnsi="宋体" w:eastAsia="宋体" w:cs="宋体"/>
          <w:sz w:val="22"/>
          <w:szCs w:val="22"/>
          <w:highlight w:val="none"/>
          <w:lang w:val="en-US" w:eastAsia="zh-CN"/>
        </w:rPr>
        <w:t>满足拟投合同包资质要求</w:t>
      </w:r>
      <w:r>
        <w:rPr>
          <w:rFonts w:hint="eastAsia" w:ascii="宋体" w:hAnsi="宋体" w:eastAsia="宋体" w:cs="宋体"/>
          <w:sz w:val="22"/>
          <w:szCs w:val="22"/>
          <w:highlight w:val="none"/>
        </w:rPr>
        <w:t>。由同一专业的单位组成的联合体，按照资质等级较低的单位确定资质等级。</w:t>
      </w:r>
    </w:p>
    <w:p>
      <w:pPr>
        <w:spacing w:line="360" w:lineRule="auto"/>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（2）联合体数量不得超过两家；</w:t>
      </w:r>
    </w:p>
    <w:p>
      <w:pPr>
        <w:spacing w:line="360" w:lineRule="auto"/>
        <w:ind w:firstLine="440" w:firstLineChars="200"/>
        <w:jc w:val="lef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联合体各方应签订联合体协议书；</w:t>
      </w:r>
    </w:p>
    <w:p>
      <w:pPr>
        <w:spacing w:line="360" w:lineRule="auto"/>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w:t>
      </w:r>
      <w:r>
        <w:rPr>
          <w:rFonts w:hint="eastAsia" w:ascii="宋体" w:hAnsi="宋体" w:eastAsia="宋体" w:cs="宋体"/>
          <w:sz w:val="22"/>
          <w:szCs w:val="22"/>
          <w:highlight w:val="none"/>
          <w:lang w:eastAsia="zh-CN"/>
        </w:rPr>
        <w:t>驻地监理工程师</w:t>
      </w:r>
      <w:r>
        <w:rPr>
          <w:rFonts w:hint="eastAsia" w:ascii="宋体" w:hAnsi="宋体" w:eastAsia="宋体" w:cs="宋体"/>
          <w:sz w:val="22"/>
          <w:szCs w:val="22"/>
          <w:highlight w:val="none"/>
          <w:lang w:val="en-US" w:eastAsia="zh-CN"/>
        </w:rPr>
        <w:t>须由联合体牵头人指派；</w:t>
      </w:r>
    </w:p>
    <w:p>
      <w:pPr>
        <w:spacing w:line="360" w:lineRule="auto"/>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）由联合体牵头人办理招标文件获取等事宜；</w:t>
      </w:r>
    </w:p>
    <w:p>
      <w:pPr>
        <w:spacing w:line="360" w:lineRule="auto"/>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6</w:t>
      </w:r>
      <w:r>
        <w:rPr>
          <w:rFonts w:hint="eastAsia" w:ascii="宋体" w:hAnsi="宋体" w:eastAsia="宋体" w:cs="宋体"/>
          <w:sz w:val="22"/>
          <w:szCs w:val="22"/>
          <w:highlight w:val="none"/>
        </w:rPr>
        <w:t>）</w:t>
      </w:r>
      <w:r>
        <w:rPr>
          <w:rFonts w:hint="eastAsia" w:ascii="宋体" w:hAnsi="宋体" w:eastAsia="宋体" w:cs="宋体"/>
          <w:sz w:val="22"/>
          <w:szCs w:val="22"/>
          <w:highlight w:val="none"/>
          <w:lang w:eastAsia="zh-CN"/>
        </w:rPr>
        <w:t>联合体各方均不得再以自己名义单独或参加其他联合体在同一项目的投标</w:t>
      </w:r>
      <w:r>
        <w:rPr>
          <w:rFonts w:hint="eastAsia" w:ascii="宋体" w:hAnsi="宋体" w:eastAsia="宋体" w:cs="宋体"/>
          <w:sz w:val="22"/>
          <w:szCs w:val="22"/>
          <w:highlight w:val="none"/>
        </w:rPr>
        <w:t>。</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3.</w:t>
      </w:r>
      <w:r>
        <w:rPr>
          <w:rFonts w:hint="eastAsia" w:ascii="宋体" w:hAnsi="宋体" w:cs="宋体"/>
          <w:sz w:val="22"/>
          <w:szCs w:val="22"/>
          <w:highlight w:val="none"/>
          <w:lang w:val="en-US" w:eastAsia="zh-CN"/>
        </w:rPr>
        <w:t>4</w:t>
      </w:r>
      <w:r>
        <w:rPr>
          <w:rFonts w:hint="eastAsia" w:ascii="宋体" w:hAnsi="宋体" w:cs="宋体"/>
          <w:sz w:val="22"/>
          <w:szCs w:val="22"/>
          <w:highlight w:val="none"/>
        </w:rPr>
        <w:t>与招标人存在利害关系可能影响招标公正性的单位，不得参加投标。单位负责人为同一人或存在控股、管理关系的不同单位，不得参加同一</w:t>
      </w:r>
      <w:r>
        <w:rPr>
          <w:rFonts w:hint="eastAsia" w:ascii="宋体" w:hAnsi="宋体" w:cs="宋体"/>
          <w:sz w:val="22"/>
          <w:szCs w:val="22"/>
          <w:highlight w:val="none"/>
          <w:lang w:eastAsia="zh-CN"/>
        </w:rPr>
        <w:t>合同包</w:t>
      </w:r>
      <w:r>
        <w:rPr>
          <w:rFonts w:hint="eastAsia" w:ascii="宋体" w:hAnsi="宋体" w:cs="宋体"/>
          <w:sz w:val="22"/>
          <w:szCs w:val="22"/>
          <w:highlight w:val="none"/>
        </w:rPr>
        <w:t>投标，否则，相关投标均无效。</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3.</w:t>
      </w:r>
      <w:r>
        <w:rPr>
          <w:rFonts w:hint="eastAsia" w:ascii="宋体" w:hAnsi="宋体" w:cs="宋体"/>
          <w:sz w:val="22"/>
          <w:szCs w:val="22"/>
          <w:highlight w:val="none"/>
          <w:lang w:val="en-US" w:eastAsia="zh-CN"/>
        </w:rPr>
        <w:t>5每个投标人最多能参加5个合同包的投标，最多允许中标1个合同包。参加多个合同包投标的投标人必须对每个合同包分别递交投标文件。</w:t>
      </w:r>
    </w:p>
    <w:p>
      <w:pPr>
        <w:spacing w:line="360" w:lineRule="auto"/>
        <w:ind w:firstLine="440" w:firstLineChars="200"/>
        <w:rPr>
          <w:rFonts w:hint="eastAsia" w:ascii="宋体" w:hAnsi="宋体"/>
          <w:sz w:val="22"/>
          <w:szCs w:val="22"/>
          <w:highlight w:val="none"/>
        </w:rPr>
      </w:pPr>
      <w:r>
        <w:rPr>
          <w:rFonts w:hint="eastAsia" w:ascii="宋体" w:hAnsi="宋体"/>
          <w:sz w:val="22"/>
          <w:szCs w:val="22"/>
          <w:highlight w:val="none"/>
        </w:rPr>
        <w:t>3.</w:t>
      </w:r>
      <w:r>
        <w:rPr>
          <w:rFonts w:hint="eastAsia" w:ascii="宋体" w:hAnsi="宋体"/>
          <w:sz w:val="22"/>
          <w:szCs w:val="22"/>
          <w:highlight w:val="none"/>
          <w:lang w:val="en-US" w:eastAsia="zh-CN"/>
        </w:rPr>
        <w:t>6</w:t>
      </w:r>
      <w:r>
        <w:rPr>
          <w:rFonts w:hint="eastAsia" w:ascii="宋体" w:hAnsi="宋体"/>
          <w:sz w:val="22"/>
          <w:szCs w:val="22"/>
          <w:highlight w:val="none"/>
        </w:rPr>
        <w:t>在“</w:t>
      </w:r>
      <w:r>
        <w:rPr>
          <w:rFonts w:hint="eastAsia" w:ascii="宋体" w:hAnsi="宋体"/>
          <w:sz w:val="22"/>
          <w:szCs w:val="22"/>
          <w:highlight w:val="none"/>
          <w:lang w:eastAsia="zh-CN"/>
        </w:rPr>
        <w:t>中国执行信息公开网</w:t>
      </w:r>
      <w:r>
        <w:rPr>
          <w:rFonts w:hint="eastAsia" w:ascii="宋体" w:hAnsi="宋体"/>
          <w:sz w:val="22"/>
          <w:szCs w:val="22"/>
          <w:highlight w:val="none"/>
        </w:rPr>
        <w:t>”网站（</w:t>
      </w:r>
      <w:r>
        <w:rPr>
          <w:rFonts w:hint="eastAsia" w:ascii="宋体" w:hAnsi="宋体"/>
          <w:sz w:val="22"/>
          <w:szCs w:val="22"/>
          <w:highlight w:val="none"/>
          <w:lang w:eastAsia="zh-CN"/>
        </w:rPr>
        <w:t>http://zxgk.court.gov.cn</w:t>
      </w:r>
      <w:r>
        <w:rPr>
          <w:rFonts w:hint="eastAsia" w:ascii="宋体" w:hAnsi="宋体"/>
          <w:sz w:val="22"/>
          <w:szCs w:val="22"/>
          <w:highlight w:val="none"/>
        </w:rPr>
        <w:t>）中被列入失信被执行人名单的投标人,不得参加投标。</w:t>
      </w:r>
    </w:p>
    <w:p>
      <w:pPr>
        <w:spacing w:line="360" w:lineRule="auto"/>
        <w:ind w:firstLine="440" w:firstLineChars="200"/>
        <w:rPr>
          <w:rFonts w:hint="eastAsia" w:ascii="宋体" w:hAnsi="宋体"/>
          <w:b/>
          <w:bCs/>
          <w:sz w:val="22"/>
          <w:szCs w:val="22"/>
          <w:highlight w:val="none"/>
        </w:rPr>
      </w:pPr>
      <w:r>
        <w:rPr>
          <w:rFonts w:hint="eastAsia" w:ascii="宋体" w:hAnsi="宋体"/>
          <w:sz w:val="22"/>
          <w:szCs w:val="22"/>
          <w:highlight w:val="none"/>
        </w:rPr>
        <w:t>3.</w:t>
      </w:r>
      <w:r>
        <w:rPr>
          <w:rFonts w:hint="eastAsia" w:ascii="宋体" w:hAnsi="宋体"/>
          <w:sz w:val="22"/>
          <w:szCs w:val="22"/>
          <w:highlight w:val="none"/>
          <w:lang w:val="en-US" w:eastAsia="zh-CN"/>
        </w:rPr>
        <w:t>7</w:t>
      </w:r>
      <w:r>
        <w:rPr>
          <w:rFonts w:hint="eastAsia" w:ascii="宋体" w:hAnsi="宋体" w:cs="宋体"/>
          <w:bCs/>
          <w:sz w:val="22"/>
          <w:szCs w:val="22"/>
          <w:highlight w:val="none"/>
        </w:rPr>
        <w:t>在交通运输部或省级交通运输主管部门上一年度的</w:t>
      </w:r>
      <w:r>
        <w:rPr>
          <w:rFonts w:hint="eastAsia" w:ascii="宋体" w:hAnsi="宋体" w:cs="宋体"/>
          <w:bCs/>
          <w:sz w:val="22"/>
          <w:szCs w:val="22"/>
          <w:highlight w:val="none"/>
          <w:lang w:val="en-US" w:eastAsia="zh-CN"/>
        </w:rPr>
        <w:t>监理</w:t>
      </w:r>
      <w:r>
        <w:rPr>
          <w:rFonts w:hint="eastAsia" w:ascii="宋体" w:hAnsi="宋体" w:cs="宋体"/>
          <w:bCs/>
          <w:sz w:val="22"/>
          <w:szCs w:val="22"/>
          <w:highlight w:val="none"/>
        </w:rPr>
        <w:t>企业信用评价中，信用等级评价为D级的投标人，不得参加投标。</w:t>
      </w:r>
    </w:p>
    <w:p>
      <w:pPr>
        <w:pStyle w:val="3"/>
        <w:keepNext w:val="0"/>
        <w:keepLines w:val="0"/>
        <w:adjustRightInd w:val="0"/>
        <w:snapToGrid w:val="0"/>
        <w:spacing w:before="0" w:after="0" w:line="360" w:lineRule="auto"/>
        <w:ind w:firstLine="442" w:firstLineChars="200"/>
        <w:textAlignment w:val="baseline"/>
        <w:rPr>
          <w:rFonts w:hint="eastAsia" w:ascii="宋体" w:hAnsi="宋体" w:eastAsia="宋体" w:cs="宋体"/>
          <w:bCs/>
          <w:sz w:val="22"/>
          <w:szCs w:val="22"/>
          <w:highlight w:val="none"/>
        </w:rPr>
      </w:pPr>
      <w:bookmarkStart w:id="68" w:name="_Toc102660715"/>
      <w:bookmarkStart w:id="69" w:name="_Toc3136"/>
      <w:bookmarkStart w:id="70" w:name="_Toc491416153"/>
      <w:bookmarkStart w:id="71" w:name="_Toc102660873"/>
      <w:bookmarkStart w:id="72" w:name="_Toc16667"/>
      <w:bookmarkStart w:id="73" w:name="_Toc16463"/>
      <w:bookmarkStart w:id="74" w:name="_Toc30586"/>
      <w:bookmarkStart w:id="75" w:name="_Toc11099"/>
      <w:bookmarkStart w:id="76" w:name="_Toc8682"/>
      <w:bookmarkStart w:id="77" w:name="_Toc4365"/>
      <w:bookmarkStart w:id="78" w:name="_Toc26885"/>
      <w:bookmarkStart w:id="79" w:name="_Toc5621"/>
      <w:bookmarkStart w:id="80" w:name="_Toc6156"/>
      <w:bookmarkStart w:id="81" w:name="_Toc501046504"/>
      <w:r>
        <w:rPr>
          <w:rFonts w:hint="eastAsia" w:ascii="宋体" w:hAnsi="宋体" w:eastAsia="宋体" w:cs="宋体"/>
          <w:bCs/>
          <w:sz w:val="22"/>
          <w:szCs w:val="22"/>
          <w:highlight w:val="none"/>
        </w:rPr>
        <w:t>4.评标办法</w:t>
      </w:r>
      <w:bookmarkEnd w:id="68"/>
      <w:bookmarkEnd w:id="69"/>
      <w:bookmarkEnd w:id="70"/>
      <w:bookmarkEnd w:id="71"/>
      <w:bookmarkEnd w:id="72"/>
      <w:bookmarkEnd w:id="73"/>
      <w:bookmarkEnd w:id="74"/>
      <w:bookmarkEnd w:id="75"/>
      <w:bookmarkEnd w:id="76"/>
      <w:bookmarkEnd w:id="77"/>
      <w:bookmarkEnd w:id="78"/>
      <w:bookmarkEnd w:id="79"/>
      <w:bookmarkEnd w:id="80"/>
      <w:bookmarkEnd w:id="81"/>
    </w:p>
    <w:p>
      <w:pPr>
        <w:adjustRightInd w:val="0"/>
        <w:snapToGrid w:val="0"/>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本次评标采用综合评估法（双信封评审）。</w:t>
      </w:r>
    </w:p>
    <w:p>
      <w:pPr>
        <w:pStyle w:val="3"/>
        <w:keepNext w:val="0"/>
        <w:keepLines w:val="0"/>
        <w:adjustRightInd w:val="0"/>
        <w:snapToGrid w:val="0"/>
        <w:spacing w:before="0" w:after="0" w:line="360" w:lineRule="auto"/>
        <w:ind w:firstLine="442" w:firstLineChars="200"/>
        <w:textAlignment w:val="baseline"/>
        <w:rPr>
          <w:rFonts w:hint="eastAsia" w:ascii="宋体" w:hAnsi="宋体" w:eastAsia="宋体" w:cs="宋体"/>
          <w:bCs/>
          <w:sz w:val="22"/>
          <w:szCs w:val="22"/>
          <w:highlight w:val="none"/>
        </w:rPr>
      </w:pPr>
      <w:bookmarkStart w:id="82" w:name="_Toc21281"/>
      <w:bookmarkStart w:id="83" w:name="_Toc102660874"/>
      <w:bookmarkStart w:id="84" w:name="_Toc28728"/>
      <w:bookmarkStart w:id="85" w:name="_Toc432170103"/>
      <w:bookmarkStart w:id="86" w:name="_Toc10158"/>
      <w:bookmarkStart w:id="87" w:name="_Toc7910"/>
      <w:bookmarkStart w:id="88" w:name="_Toc3272"/>
      <w:bookmarkStart w:id="89" w:name="_Toc21778"/>
      <w:bookmarkStart w:id="90" w:name="_Toc17928"/>
      <w:bookmarkStart w:id="91" w:name="_Toc8281"/>
      <w:bookmarkStart w:id="92" w:name="_Toc5375"/>
      <w:bookmarkStart w:id="93" w:name="_Toc14410"/>
      <w:bookmarkStart w:id="94" w:name="_Toc102660716"/>
      <w:r>
        <w:rPr>
          <w:rFonts w:hint="eastAsia" w:ascii="宋体" w:hAnsi="宋体" w:eastAsia="宋体" w:cs="宋体"/>
          <w:bCs/>
          <w:sz w:val="22"/>
          <w:szCs w:val="22"/>
          <w:highlight w:val="none"/>
        </w:rPr>
        <w:t>5.招标文件的获取</w:t>
      </w:r>
      <w:bookmarkEnd w:id="82"/>
      <w:bookmarkEnd w:id="83"/>
      <w:bookmarkEnd w:id="84"/>
      <w:bookmarkEnd w:id="85"/>
      <w:bookmarkEnd w:id="86"/>
      <w:bookmarkEnd w:id="87"/>
      <w:bookmarkEnd w:id="88"/>
      <w:bookmarkEnd w:id="89"/>
      <w:bookmarkEnd w:id="90"/>
      <w:bookmarkEnd w:id="91"/>
      <w:bookmarkEnd w:id="92"/>
      <w:bookmarkEnd w:id="93"/>
      <w:bookmarkEnd w:id="94"/>
    </w:p>
    <w:p>
      <w:pPr>
        <w:adjustRightInd w:val="0"/>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rPr>
        <w:t>凡有意参加投标者，请于202</w:t>
      </w:r>
      <w:r>
        <w:rPr>
          <w:rFonts w:hint="eastAsia" w:ascii="宋体" w:hAnsi="宋体"/>
          <w:sz w:val="22"/>
          <w:szCs w:val="22"/>
          <w:highlight w:val="none"/>
          <w:lang w:val="en-US" w:eastAsia="zh-CN"/>
        </w:rPr>
        <w:t>3</w:t>
      </w:r>
      <w:r>
        <w:rPr>
          <w:rFonts w:hint="eastAsia" w:ascii="宋体" w:hAnsi="宋体"/>
          <w:sz w:val="22"/>
          <w:szCs w:val="22"/>
          <w:highlight w:val="none"/>
        </w:rPr>
        <w:t>年</w:t>
      </w:r>
      <w:r>
        <w:rPr>
          <w:rFonts w:hint="eastAsia" w:ascii="宋体" w:hAnsi="宋体"/>
          <w:sz w:val="22"/>
          <w:szCs w:val="22"/>
          <w:highlight w:val="none"/>
          <w:lang w:val="en-US" w:eastAsia="zh-CN"/>
        </w:rPr>
        <w:t>02</w:t>
      </w:r>
      <w:r>
        <w:rPr>
          <w:rFonts w:hint="eastAsia" w:ascii="宋体" w:hAnsi="宋体"/>
          <w:sz w:val="22"/>
          <w:szCs w:val="22"/>
          <w:highlight w:val="none"/>
        </w:rPr>
        <w:t>月</w:t>
      </w:r>
      <w:r>
        <w:rPr>
          <w:rFonts w:hint="eastAsia" w:ascii="宋体" w:hAnsi="宋体"/>
          <w:sz w:val="22"/>
          <w:szCs w:val="22"/>
          <w:highlight w:val="none"/>
          <w:lang w:val="en-US" w:eastAsia="zh-CN"/>
        </w:rPr>
        <w:t>16</w:t>
      </w:r>
      <w:r>
        <w:rPr>
          <w:rFonts w:hint="eastAsia" w:ascii="宋体" w:hAnsi="宋体"/>
          <w:sz w:val="22"/>
          <w:szCs w:val="22"/>
          <w:highlight w:val="none"/>
        </w:rPr>
        <w:t>日09时00分至202</w:t>
      </w:r>
      <w:r>
        <w:rPr>
          <w:rFonts w:hint="eastAsia" w:ascii="宋体" w:hAnsi="宋体"/>
          <w:sz w:val="22"/>
          <w:szCs w:val="22"/>
          <w:highlight w:val="none"/>
          <w:lang w:val="en-US" w:eastAsia="zh-CN"/>
        </w:rPr>
        <w:t>3</w:t>
      </w:r>
      <w:r>
        <w:rPr>
          <w:rFonts w:hint="eastAsia" w:ascii="宋体" w:hAnsi="宋体"/>
          <w:sz w:val="22"/>
          <w:szCs w:val="22"/>
          <w:highlight w:val="none"/>
        </w:rPr>
        <w:t>年</w:t>
      </w:r>
      <w:r>
        <w:rPr>
          <w:rFonts w:hint="eastAsia" w:ascii="宋体" w:hAnsi="宋体"/>
          <w:sz w:val="22"/>
          <w:szCs w:val="22"/>
          <w:highlight w:val="none"/>
          <w:lang w:val="en-US" w:eastAsia="zh-CN"/>
        </w:rPr>
        <w:t>02</w:t>
      </w:r>
      <w:r>
        <w:rPr>
          <w:rFonts w:hint="eastAsia" w:ascii="宋体" w:hAnsi="宋体"/>
          <w:sz w:val="22"/>
          <w:szCs w:val="22"/>
          <w:highlight w:val="none"/>
        </w:rPr>
        <w:t>月</w:t>
      </w:r>
      <w:r>
        <w:rPr>
          <w:rFonts w:hint="eastAsia" w:ascii="宋体" w:hAnsi="宋体"/>
          <w:sz w:val="22"/>
          <w:szCs w:val="22"/>
          <w:highlight w:val="none"/>
          <w:lang w:val="en-US" w:eastAsia="zh-CN"/>
        </w:rPr>
        <w:t>22</w:t>
      </w:r>
      <w:r>
        <w:rPr>
          <w:rFonts w:hint="eastAsia" w:ascii="宋体" w:hAnsi="宋体"/>
          <w:sz w:val="22"/>
          <w:szCs w:val="22"/>
          <w:highlight w:val="none"/>
        </w:rPr>
        <w:t>日23时59分，登录</w:t>
      </w:r>
      <w:r>
        <w:rPr>
          <w:rFonts w:hint="eastAsia" w:ascii="宋体" w:hAnsi="宋体"/>
          <w:sz w:val="22"/>
          <w:szCs w:val="22"/>
          <w:highlight w:val="none"/>
          <w:lang w:eastAsia="zh-CN"/>
        </w:rPr>
        <w:t>丽江市公共资源交易电子服务系统</w:t>
      </w:r>
      <w:r>
        <w:rPr>
          <w:rFonts w:hint="eastAsia" w:ascii="宋体" w:hAnsi="宋体"/>
          <w:sz w:val="22"/>
          <w:szCs w:val="22"/>
          <w:highlight w:val="none"/>
        </w:rPr>
        <w:t>（网址：</w:t>
      </w:r>
      <w:r>
        <w:rPr>
          <w:rFonts w:hint="eastAsia" w:ascii="宋体" w:hAnsi="宋体"/>
          <w:sz w:val="22"/>
          <w:szCs w:val="22"/>
          <w:highlight w:val="none"/>
          <w:lang w:eastAsia="zh-CN"/>
        </w:rPr>
        <w:t>https://ggzy.yn.gov.cn/ynggfwpt-home-web/#/homePage</w:t>
      </w:r>
      <w:r>
        <w:rPr>
          <w:rFonts w:hint="eastAsia" w:ascii="宋体" w:hAnsi="宋体"/>
          <w:sz w:val="22"/>
          <w:szCs w:val="22"/>
          <w:highlight w:val="none"/>
        </w:rPr>
        <w:t>），凭企业数字证书（CA）在网上获取招标文件及其它招标资料。未办理企业数字证书（CA）的企业需要按照云南省公共资源交易电子认证的要求，办理企业数字证书（CA），并在云南省公共资源交易中心网完成注册通过后，便可获取招标文件（电子招标文件，格式为*.BZBJ），此为获取招标文件的唯一途径。</w:t>
      </w:r>
    </w:p>
    <w:p>
      <w:pPr>
        <w:spacing w:line="360" w:lineRule="auto"/>
        <w:ind w:firstLine="442" w:firstLineChars="200"/>
        <w:outlineLvl w:val="1"/>
        <w:rPr>
          <w:rFonts w:hint="eastAsia" w:ascii="宋体" w:hAnsi="宋体" w:cs="宋体"/>
          <w:b/>
          <w:bCs/>
          <w:snapToGrid/>
          <w:kern w:val="44"/>
          <w:sz w:val="22"/>
          <w:szCs w:val="22"/>
          <w:highlight w:val="none"/>
        </w:rPr>
      </w:pPr>
      <w:bookmarkStart w:id="95" w:name="_Toc8618"/>
      <w:bookmarkStart w:id="96" w:name="_Toc422"/>
      <w:bookmarkStart w:id="97" w:name="_Toc5233"/>
      <w:bookmarkStart w:id="98" w:name="_Toc422745610"/>
      <w:bookmarkStart w:id="99" w:name="_Toc5113"/>
      <w:bookmarkStart w:id="100" w:name="_Toc7322"/>
      <w:bookmarkStart w:id="101" w:name="_Toc102660717"/>
      <w:bookmarkStart w:id="102" w:name="_Toc14348"/>
      <w:bookmarkStart w:id="103" w:name="_Toc21312"/>
      <w:bookmarkStart w:id="104" w:name="_Toc7147"/>
      <w:bookmarkStart w:id="105" w:name="_Toc515006469"/>
      <w:bookmarkStart w:id="106" w:name="_Toc6510"/>
      <w:bookmarkStart w:id="107" w:name="_Toc31675"/>
      <w:bookmarkStart w:id="108" w:name="_Toc102660875"/>
      <w:bookmarkStart w:id="109" w:name="_Toc3360"/>
      <w:bookmarkStart w:id="110" w:name="_Toc16561"/>
      <w:bookmarkStart w:id="111" w:name="_Toc28254"/>
      <w:bookmarkStart w:id="112" w:name="_Toc27564"/>
      <w:r>
        <w:rPr>
          <w:rFonts w:hint="eastAsia" w:ascii="宋体" w:hAnsi="宋体" w:cs="宋体"/>
          <w:b/>
          <w:bCs/>
          <w:snapToGrid/>
          <w:kern w:val="44"/>
          <w:sz w:val="22"/>
          <w:szCs w:val="22"/>
          <w:highlight w:val="none"/>
        </w:rPr>
        <w:t>6.投标文件的递交</w:t>
      </w:r>
      <w:bookmarkEnd w:id="95"/>
      <w:bookmarkEnd w:id="96"/>
      <w:bookmarkEnd w:id="97"/>
      <w:bookmarkEnd w:id="98"/>
      <w:bookmarkEnd w:id="99"/>
      <w:r>
        <w:rPr>
          <w:rFonts w:hint="eastAsia" w:ascii="宋体" w:hAnsi="宋体" w:cs="宋体"/>
          <w:b/>
          <w:bCs/>
          <w:snapToGrid/>
          <w:kern w:val="44"/>
          <w:sz w:val="22"/>
          <w:szCs w:val="22"/>
          <w:highlight w:val="none"/>
        </w:rPr>
        <w:t>及相关事宜</w:t>
      </w:r>
      <w:bookmarkEnd w:id="100"/>
      <w:bookmarkEnd w:id="101"/>
      <w:bookmarkEnd w:id="102"/>
      <w:bookmarkEnd w:id="103"/>
      <w:bookmarkEnd w:id="104"/>
      <w:bookmarkEnd w:id="105"/>
      <w:bookmarkEnd w:id="106"/>
      <w:bookmarkEnd w:id="107"/>
      <w:bookmarkEnd w:id="108"/>
      <w:bookmarkEnd w:id="109"/>
      <w:bookmarkEnd w:id="110"/>
      <w:bookmarkEnd w:id="111"/>
      <w:bookmarkEnd w:id="112"/>
    </w:p>
    <w:p>
      <w:pPr>
        <w:adjustRightInd w:val="0"/>
        <w:snapToGrid w:val="0"/>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6.1招标人不组织现场考察和投标预备会。</w:t>
      </w:r>
    </w:p>
    <w:p>
      <w:pPr>
        <w:adjustRightInd w:val="0"/>
        <w:snapToGrid w:val="0"/>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6.2</w:t>
      </w:r>
      <w:r>
        <w:rPr>
          <w:rFonts w:hint="eastAsia" w:ascii="宋体" w:hAnsi="宋体" w:cs="宋体"/>
          <w:bCs/>
          <w:sz w:val="22"/>
          <w:szCs w:val="22"/>
          <w:highlight w:val="none"/>
        </w:rPr>
        <w:t>投标文件递交截止时间（投标截止时间，下同）为</w:t>
      </w:r>
      <w:r>
        <w:rPr>
          <w:rFonts w:hint="eastAsia" w:ascii="宋体" w:hAnsi="宋体" w:cs="宋体"/>
          <w:b/>
          <w:bCs/>
          <w:sz w:val="22"/>
          <w:szCs w:val="22"/>
          <w:highlight w:val="none"/>
          <w:u w:val="single"/>
        </w:rPr>
        <w:t>202</w:t>
      </w:r>
      <w:r>
        <w:rPr>
          <w:rFonts w:hint="eastAsia" w:ascii="宋体" w:hAnsi="宋体" w:cs="宋体"/>
          <w:b/>
          <w:bCs/>
          <w:sz w:val="22"/>
          <w:szCs w:val="22"/>
          <w:highlight w:val="none"/>
          <w:u w:val="single"/>
          <w:lang w:val="en-US" w:eastAsia="zh-CN"/>
        </w:rPr>
        <w:t>3</w:t>
      </w:r>
      <w:r>
        <w:rPr>
          <w:rFonts w:hint="eastAsia" w:ascii="宋体" w:hAnsi="宋体" w:cs="宋体"/>
          <w:b/>
          <w:bCs/>
          <w:sz w:val="22"/>
          <w:szCs w:val="22"/>
          <w:highlight w:val="none"/>
          <w:u w:val="single"/>
        </w:rPr>
        <w:t>年</w:t>
      </w:r>
      <w:r>
        <w:rPr>
          <w:rFonts w:hint="eastAsia" w:ascii="宋体" w:hAnsi="宋体" w:cs="宋体"/>
          <w:b/>
          <w:bCs/>
          <w:sz w:val="22"/>
          <w:szCs w:val="22"/>
          <w:highlight w:val="none"/>
          <w:u w:val="single"/>
          <w:lang w:val="en-US" w:eastAsia="zh-CN"/>
        </w:rPr>
        <w:t>03</w:t>
      </w:r>
      <w:r>
        <w:rPr>
          <w:rFonts w:hint="eastAsia" w:ascii="宋体" w:hAnsi="宋体" w:cs="宋体"/>
          <w:b/>
          <w:bCs/>
          <w:sz w:val="22"/>
          <w:szCs w:val="22"/>
          <w:highlight w:val="none"/>
          <w:u w:val="single"/>
        </w:rPr>
        <w:t>月</w:t>
      </w:r>
      <w:r>
        <w:rPr>
          <w:rFonts w:hint="eastAsia" w:ascii="宋体" w:hAnsi="宋体" w:cs="宋体"/>
          <w:b/>
          <w:bCs/>
          <w:sz w:val="22"/>
          <w:szCs w:val="22"/>
          <w:highlight w:val="none"/>
          <w:u w:val="single"/>
          <w:lang w:val="en-US" w:eastAsia="zh-CN"/>
        </w:rPr>
        <w:t>13</w:t>
      </w:r>
      <w:r>
        <w:rPr>
          <w:rFonts w:hint="eastAsia" w:ascii="宋体" w:hAnsi="宋体" w:cs="宋体"/>
          <w:b/>
          <w:bCs/>
          <w:sz w:val="22"/>
          <w:szCs w:val="22"/>
          <w:highlight w:val="none"/>
          <w:u w:val="single"/>
        </w:rPr>
        <w:t>日</w:t>
      </w:r>
      <w:r>
        <w:rPr>
          <w:rFonts w:hint="eastAsia" w:ascii="宋体" w:hAnsi="宋体" w:cs="宋体"/>
          <w:b/>
          <w:bCs/>
          <w:sz w:val="22"/>
          <w:szCs w:val="22"/>
          <w:highlight w:val="none"/>
          <w:u w:val="single"/>
          <w:lang w:val="en-US" w:eastAsia="zh-CN"/>
        </w:rPr>
        <w:t>0</w:t>
      </w:r>
      <w:r>
        <w:rPr>
          <w:rFonts w:hint="eastAsia" w:ascii="宋体" w:hAnsi="宋体" w:cs="宋体"/>
          <w:b/>
          <w:bCs/>
          <w:sz w:val="22"/>
          <w:szCs w:val="22"/>
          <w:highlight w:val="none"/>
          <w:u w:val="single"/>
        </w:rPr>
        <w:t>9时00分</w:t>
      </w:r>
      <w:r>
        <w:rPr>
          <w:rFonts w:hint="eastAsia" w:ascii="宋体" w:hAnsi="宋体" w:cs="宋体"/>
          <w:sz w:val="22"/>
          <w:szCs w:val="22"/>
          <w:highlight w:val="none"/>
        </w:rPr>
        <w:t>。</w:t>
      </w:r>
    </w:p>
    <w:p>
      <w:pPr>
        <w:adjustRightInd w:val="0"/>
        <w:snapToGrid w:val="0"/>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6.3投标文件的递交：</w:t>
      </w:r>
    </w:p>
    <w:p>
      <w:pPr>
        <w:adjustRightInd w:val="0"/>
        <w:snapToGrid w:val="0"/>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递交方式：采用“网上递交”的方式，递交网址为：</w:t>
      </w:r>
      <w:r>
        <w:rPr>
          <w:rFonts w:hint="eastAsia" w:ascii="宋体" w:hAnsi="宋体" w:cs="宋体"/>
          <w:sz w:val="22"/>
          <w:szCs w:val="22"/>
          <w:highlight w:val="none"/>
          <w:lang w:eastAsia="zh-CN"/>
        </w:rPr>
        <w:t>丽江市公共资源交易电子服务系统</w:t>
      </w:r>
      <w:r>
        <w:rPr>
          <w:rFonts w:hint="eastAsia" w:ascii="宋体" w:hAnsi="宋体" w:cs="宋体"/>
          <w:sz w:val="22"/>
          <w:szCs w:val="22"/>
          <w:highlight w:val="none"/>
        </w:rPr>
        <w:t>（网址：</w:t>
      </w:r>
      <w:r>
        <w:rPr>
          <w:rFonts w:hint="eastAsia" w:ascii="宋体" w:hAnsi="宋体" w:cs="宋体"/>
          <w:sz w:val="22"/>
          <w:szCs w:val="22"/>
          <w:highlight w:val="none"/>
          <w:lang w:eastAsia="zh-CN"/>
        </w:rPr>
        <w:t>https://ggzy.yn.gov.cn/ynggfwpt-home-web/#/homePage</w:t>
      </w:r>
      <w:r>
        <w:rPr>
          <w:rFonts w:hint="eastAsia" w:ascii="宋体" w:hAnsi="宋体" w:cs="宋体"/>
          <w:sz w:val="22"/>
          <w:szCs w:val="22"/>
          <w:highlight w:val="none"/>
        </w:rPr>
        <w:t>），投标人须在投标截止时间前完成所有投标文件的上传，网上确认电子签名，并打印“上传投标文件回执”，投标截止时间前未完成投标文件传输的，视为撤回投标文件。同时，投标人应自行下载已上传成功的投标文件，并进行查看、解密和核验投标文件，以确保上传投标文件的正确性。</w:t>
      </w:r>
    </w:p>
    <w:p>
      <w:pPr>
        <w:adjustRightInd w:val="0"/>
        <w:snapToGrid w:val="0"/>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6.4开标方式：根据《云南省发展和改革委员会关于贯彻落实积极应对疫情创新做好招投标工作保障经济平稳运行有关要求的通知》（云发改办招投标〔2020〕108号）、《丽江市公共资源交易中心关于启用远程网上开标的通知》的相关要求，充分利用信息网络推行不见面办事）正式启用远程网上开标（不见面开标）系统。本项目采用“智能开标”的方式，开标网址为：</w:t>
      </w:r>
      <w:r>
        <w:rPr>
          <w:rFonts w:hint="eastAsia" w:ascii="宋体" w:hAnsi="宋体" w:cs="宋体"/>
          <w:sz w:val="22"/>
          <w:szCs w:val="22"/>
          <w:highlight w:val="none"/>
          <w:lang w:eastAsia="zh-CN"/>
        </w:rPr>
        <w:t>丽江市公共资源交易电子服务系统</w:t>
      </w:r>
      <w:r>
        <w:rPr>
          <w:rFonts w:hint="eastAsia" w:ascii="宋体" w:hAnsi="宋体" w:cs="宋体"/>
          <w:sz w:val="22"/>
          <w:szCs w:val="22"/>
          <w:highlight w:val="none"/>
        </w:rPr>
        <w:t>（网址：</w:t>
      </w:r>
      <w:r>
        <w:rPr>
          <w:rFonts w:hint="eastAsia" w:ascii="宋体" w:hAnsi="宋体" w:cs="宋体"/>
          <w:sz w:val="22"/>
          <w:szCs w:val="22"/>
          <w:highlight w:val="none"/>
          <w:lang w:eastAsia="zh-CN"/>
        </w:rPr>
        <w:t>https://ggzy.yn.gov.cn/ynggfwpt-home-web/#/homePage</w:t>
      </w:r>
      <w:r>
        <w:rPr>
          <w:rFonts w:hint="eastAsia" w:ascii="宋体" w:hAnsi="宋体" w:cs="宋体"/>
          <w:sz w:val="22"/>
          <w:szCs w:val="22"/>
          <w:highlight w:val="none"/>
        </w:rPr>
        <w:t>）。</w:t>
      </w:r>
    </w:p>
    <w:p>
      <w:pPr>
        <w:adjustRightInd w:val="0"/>
        <w:snapToGrid w:val="0"/>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①智能开标的操作流程详见《云南省公共资源交易电子化平台智能开标系统操作手册》。</w:t>
      </w:r>
    </w:p>
    <w:p>
      <w:pPr>
        <w:adjustRightInd w:val="0"/>
        <w:snapToGrid w:val="0"/>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②投标人应提前熟悉智能开标的相关操作。</w:t>
      </w:r>
    </w:p>
    <w:p>
      <w:pPr>
        <w:adjustRightInd w:val="0"/>
        <w:snapToGrid w:val="0"/>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③投标人须在招标文件规定的投标截止时间前登录“网上开标室”，根据网上远程解密、开标的要求，在规定的时间完成在线签到、解密、开标一览表确认等操作。</w:t>
      </w:r>
      <w:r>
        <w:rPr>
          <w:rFonts w:hint="eastAsia" w:ascii="宋体" w:hAnsi="宋体" w:cs="宋体"/>
          <w:bCs/>
          <w:sz w:val="22"/>
          <w:szCs w:val="22"/>
          <w:highlight w:val="none"/>
        </w:rPr>
        <w:t>本项目解密时间为</w:t>
      </w:r>
      <w:r>
        <w:rPr>
          <w:rFonts w:hint="eastAsia" w:ascii="宋体" w:hAnsi="宋体" w:cs="宋体"/>
          <w:b/>
          <w:sz w:val="22"/>
          <w:szCs w:val="22"/>
          <w:highlight w:val="none"/>
          <w:u w:val="single"/>
        </w:rPr>
        <w:t>第一个信封60分钟，第二个信封30分钟</w:t>
      </w:r>
      <w:r>
        <w:rPr>
          <w:rFonts w:hint="eastAsia" w:ascii="宋体" w:hAnsi="宋体" w:cs="宋体"/>
          <w:bCs/>
          <w:sz w:val="22"/>
          <w:szCs w:val="22"/>
          <w:highlight w:val="none"/>
        </w:rPr>
        <w:t>。</w:t>
      </w:r>
      <w:r>
        <w:rPr>
          <w:rFonts w:hint="eastAsia" w:ascii="宋体" w:hAnsi="宋体" w:cs="宋体"/>
          <w:sz w:val="22"/>
          <w:szCs w:val="22"/>
          <w:highlight w:val="none"/>
        </w:rPr>
        <w:t>若投标人未在规定时间完成相关操作，则视为撤销其投标文件，不再进入评标阶段。</w:t>
      </w:r>
    </w:p>
    <w:p>
      <w:pPr>
        <w:adjustRightInd w:val="0"/>
        <w:snapToGrid w:val="0"/>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④因开标系统、开标现场网络、设备及其他特殊原因，导致不能正常解密投标文件的，经核实和上报相关部门同意后，可再次下达网上解密指令来延长解密时间。</w:t>
      </w:r>
    </w:p>
    <w:p>
      <w:pPr>
        <w:adjustRightInd w:val="0"/>
        <w:snapToGrid w:val="0"/>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⑤开标过程中如有问题，可以在线提出异议，由代理机构给予回复。在规定的异议询问时间内未提出异议的，则视为对开标结果无异议。</w:t>
      </w:r>
    </w:p>
    <w:p>
      <w:pPr>
        <w:adjustRightInd w:val="0"/>
        <w:snapToGrid w:val="0"/>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⑥投标人无需到现场参加开标会议。</w:t>
      </w:r>
    </w:p>
    <w:p>
      <w:pPr>
        <w:adjustRightInd w:val="0"/>
        <w:snapToGrid w:val="0"/>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技术操作咨询：北京筑龙信息技术有限责任公司，服务热线：010-86483801。</w:t>
      </w:r>
    </w:p>
    <w:p>
      <w:pPr>
        <w:pStyle w:val="3"/>
        <w:keepNext w:val="0"/>
        <w:keepLines w:val="0"/>
        <w:adjustRightInd w:val="0"/>
        <w:snapToGrid w:val="0"/>
        <w:spacing w:before="0" w:after="0" w:line="360" w:lineRule="auto"/>
        <w:ind w:firstLine="442" w:firstLineChars="200"/>
        <w:textAlignment w:val="baseline"/>
        <w:rPr>
          <w:rFonts w:hint="eastAsia" w:ascii="宋体" w:hAnsi="宋体" w:eastAsia="宋体" w:cs="宋体"/>
          <w:bCs/>
          <w:sz w:val="22"/>
          <w:szCs w:val="22"/>
          <w:highlight w:val="none"/>
        </w:rPr>
      </w:pPr>
      <w:bookmarkStart w:id="113" w:name="_Toc19833"/>
      <w:bookmarkStart w:id="114" w:name="_Toc102660876"/>
      <w:bookmarkStart w:id="115" w:name="_Toc3546"/>
      <w:bookmarkStart w:id="116" w:name="_Toc25001"/>
      <w:bookmarkStart w:id="117" w:name="_Toc25419"/>
      <w:bookmarkStart w:id="118" w:name="_Toc26290"/>
      <w:bookmarkStart w:id="119" w:name="_Toc22209"/>
      <w:bookmarkStart w:id="120" w:name="_Toc28323"/>
      <w:bookmarkStart w:id="121" w:name="_Toc21259"/>
      <w:bookmarkStart w:id="122" w:name="_Toc102660718"/>
      <w:bookmarkStart w:id="123" w:name="_Toc3888"/>
      <w:bookmarkStart w:id="124" w:name="_Toc12034"/>
      <w:bookmarkStart w:id="125" w:name="_Toc6344"/>
      <w:r>
        <w:rPr>
          <w:rFonts w:hint="eastAsia" w:ascii="宋体" w:hAnsi="宋体" w:eastAsia="宋体" w:cs="宋体"/>
          <w:bCs/>
          <w:sz w:val="22"/>
          <w:szCs w:val="22"/>
          <w:highlight w:val="none"/>
        </w:rPr>
        <w:t>7.发布公告的媒介</w:t>
      </w:r>
      <w:bookmarkEnd w:id="113"/>
      <w:bookmarkEnd w:id="114"/>
      <w:bookmarkEnd w:id="115"/>
      <w:bookmarkEnd w:id="116"/>
      <w:bookmarkEnd w:id="117"/>
      <w:bookmarkEnd w:id="118"/>
      <w:bookmarkEnd w:id="119"/>
      <w:bookmarkEnd w:id="120"/>
      <w:bookmarkEnd w:id="121"/>
      <w:bookmarkEnd w:id="122"/>
      <w:bookmarkEnd w:id="123"/>
      <w:bookmarkEnd w:id="124"/>
      <w:bookmarkEnd w:id="125"/>
    </w:p>
    <w:p>
      <w:pPr>
        <w:adjustRightInd w:val="0"/>
        <w:snapToGrid w:val="0"/>
        <w:spacing w:line="360" w:lineRule="auto"/>
        <w:ind w:firstLine="440" w:firstLineChars="200"/>
        <w:rPr>
          <w:rFonts w:hint="eastAsia" w:ascii="宋体" w:hAnsi="宋体" w:cs="宋体"/>
          <w:sz w:val="22"/>
          <w:szCs w:val="22"/>
          <w:highlight w:val="none"/>
        </w:rPr>
      </w:pPr>
      <w:r>
        <w:rPr>
          <w:rFonts w:hint="eastAsia" w:ascii="宋体" w:hAnsi="宋体" w:cs="宋体"/>
          <w:bCs/>
          <w:sz w:val="22"/>
          <w:szCs w:val="22"/>
          <w:highlight w:val="none"/>
        </w:rPr>
        <w:t>本次招标公告同时在</w:t>
      </w:r>
      <w:r>
        <w:rPr>
          <w:rFonts w:hint="eastAsia" w:ascii="宋体" w:hAnsi="宋体" w:cs="宋体"/>
          <w:bCs/>
          <w:sz w:val="22"/>
          <w:szCs w:val="22"/>
          <w:highlight w:val="none"/>
          <w:lang w:eastAsia="zh-CN"/>
        </w:rPr>
        <w:t>丽江市公共资源交易电子服务系统</w:t>
      </w:r>
      <w:r>
        <w:rPr>
          <w:rFonts w:hint="eastAsia" w:ascii="宋体" w:hAnsi="宋体" w:cs="宋体"/>
          <w:bCs/>
          <w:sz w:val="22"/>
          <w:szCs w:val="22"/>
          <w:highlight w:val="none"/>
        </w:rPr>
        <w:t>（网址：</w:t>
      </w:r>
      <w:r>
        <w:rPr>
          <w:rFonts w:hint="eastAsia" w:ascii="宋体" w:hAnsi="宋体" w:cs="宋体"/>
          <w:bCs/>
          <w:sz w:val="22"/>
          <w:szCs w:val="22"/>
          <w:highlight w:val="none"/>
          <w:lang w:eastAsia="zh-CN"/>
        </w:rPr>
        <w:t>https://ggzy.yn.gov.cn/ynggfwpt-home-web/#/homePage</w:t>
      </w:r>
      <w:r>
        <w:rPr>
          <w:rFonts w:hint="eastAsia" w:ascii="宋体" w:hAnsi="宋体" w:cs="宋体"/>
          <w:bCs/>
          <w:sz w:val="22"/>
          <w:szCs w:val="22"/>
          <w:highlight w:val="none"/>
        </w:rPr>
        <w:t>）</w:t>
      </w:r>
      <w:r>
        <w:rPr>
          <w:rFonts w:hint="eastAsia" w:ascii="宋体" w:hAnsi="宋体" w:cs="宋体"/>
          <w:sz w:val="22"/>
          <w:szCs w:val="22"/>
          <w:highlight w:val="none"/>
        </w:rPr>
        <w:t>、</w:t>
      </w:r>
      <w:r>
        <w:rPr>
          <w:rFonts w:hint="eastAsia" w:ascii="宋体" w:hAnsi="宋体" w:cs="宋体"/>
          <w:bCs/>
          <w:sz w:val="22"/>
          <w:szCs w:val="22"/>
          <w:highlight w:val="none"/>
        </w:rPr>
        <w:t>中国招标投标公共服务平台（http://bulletin.cebpubservice.com/）上发布，对在其他网站或媒体转载的公告及公告内容招标人及招标代理不承担任何责任。</w:t>
      </w:r>
    </w:p>
    <w:p>
      <w:pPr>
        <w:pStyle w:val="3"/>
        <w:keepNext w:val="0"/>
        <w:keepLines w:val="0"/>
        <w:adjustRightInd w:val="0"/>
        <w:snapToGrid w:val="0"/>
        <w:spacing w:before="0" w:after="0" w:line="360" w:lineRule="auto"/>
        <w:ind w:firstLine="442" w:firstLineChars="200"/>
        <w:textAlignment w:val="baseline"/>
        <w:rPr>
          <w:rFonts w:hint="eastAsia" w:ascii="宋体" w:hAnsi="宋体" w:eastAsia="宋体" w:cs="宋体"/>
          <w:bCs/>
          <w:sz w:val="22"/>
          <w:szCs w:val="22"/>
          <w:highlight w:val="none"/>
        </w:rPr>
      </w:pPr>
      <w:bookmarkStart w:id="126" w:name="_Toc3071"/>
      <w:bookmarkStart w:id="127" w:name="_Toc17081"/>
      <w:bookmarkStart w:id="128" w:name="_Toc1534"/>
      <w:bookmarkStart w:id="129" w:name="_Toc20061"/>
      <w:bookmarkStart w:id="130" w:name="_Toc6939"/>
      <w:bookmarkStart w:id="131" w:name="_Toc102660877"/>
      <w:bookmarkStart w:id="132" w:name="_Toc102660719"/>
      <w:bookmarkStart w:id="133" w:name="_Toc19479"/>
      <w:bookmarkStart w:id="134" w:name="_Toc14512"/>
      <w:bookmarkStart w:id="135" w:name="_Toc7355"/>
      <w:bookmarkStart w:id="136" w:name="_Toc31816"/>
      <w:bookmarkStart w:id="137" w:name="_Toc26108"/>
      <w:bookmarkStart w:id="138" w:name="_Toc432170106"/>
      <w:r>
        <w:rPr>
          <w:rFonts w:hint="eastAsia" w:ascii="宋体" w:hAnsi="宋体" w:eastAsia="宋体" w:cs="宋体"/>
          <w:bCs/>
          <w:sz w:val="22"/>
          <w:szCs w:val="22"/>
          <w:highlight w:val="none"/>
        </w:rPr>
        <w:t>8.联系方式</w:t>
      </w:r>
      <w:bookmarkEnd w:id="126"/>
      <w:bookmarkEnd w:id="127"/>
      <w:bookmarkEnd w:id="128"/>
      <w:bookmarkEnd w:id="129"/>
      <w:bookmarkEnd w:id="130"/>
      <w:bookmarkEnd w:id="131"/>
      <w:bookmarkEnd w:id="132"/>
      <w:bookmarkEnd w:id="133"/>
      <w:bookmarkEnd w:id="134"/>
      <w:bookmarkEnd w:id="135"/>
      <w:bookmarkEnd w:id="136"/>
      <w:bookmarkEnd w:id="137"/>
      <w:bookmarkEnd w:id="138"/>
    </w:p>
    <w:p>
      <w:pPr>
        <w:spacing w:line="360" w:lineRule="auto"/>
        <w:ind w:firstLine="440" w:firstLineChars="200"/>
        <w:rPr>
          <w:rFonts w:hint="eastAsia" w:ascii="宋体" w:hAnsi="宋体" w:eastAsia="宋体" w:cs="宋体"/>
          <w:sz w:val="22"/>
          <w:szCs w:val="22"/>
          <w:highlight w:val="none"/>
          <w:lang w:eastAsia="zh-CN"/>
        </w:rPr>
      </w:pPr>
      <w:r>
        <w:rPr>
          <w:rFonts w:hint="eastAsia" w:ascii="宋体" w:hAnsi="宋体" w:cs="宋体"/>
          <w:sz w:val="22"/>
          <w:szCs w:val="22"/>
          <w:highlight w:val="none"/>
        </w:rPr>
        <w:t>招 标 人：</w:t>
      </w:r>
      <w:r>
        <w:rPr>
          <w:rFonts w:hint="eastAsia" w:ascii="宋体" w:hAnsi="宋体" w:cs="宋体"/>
          <w:sz w:val="22"/>
          <w:szCs w:val="22"/>
          <w:highlight w:val="none"/>
          <w:lang w:eastAsia="zh-CN"/>
        </w:rPr>
        <w:t>玉维高速公路征地拆迁协调指挥部</w:t>
      </w:r>
    </w:p>
    <w:p>
      <w:pPr>
        <w:spacing w:line="360" w:lineRule="auto"/>
        <w:ind w:firstLine="440" w:firstLineChars="200"/>
        <w:rPr>
          <w:rFonts w:hint="default" w:ascii="宋体" w:hAnsi="宋体" w:eastAsia="宋体" w:cs="宋体"/>
          <w:sz w:val="22"/>
          <w:szCs w:val="22"/>
          <w:highlight w:val="none"/>
          <w:lang w:val="en-US" w:eastAsia="zh-CN"/>
        </w:rPr>
      </w:pPr>
      <w:r>
        <w:rPr>
          <w:rFonts w:hint="eastAsia" w:ascii="宋体" w:hAnsi="宋体" w:cs="宋体"/>
          <w:sz w:val="22"/>
          <w:szCs w:val="22"/>
          <w:highlight w:val="none"/>
        </w:rPr>
        <w:t>地    址：云南省丽江市玉龙纳西族自治县黄山镇丽水路114号</w:t>
      </w:r>
    </w:p>
    <w:p>
      <w:pPr>
        <w:spacing w:line="360" w:lineRule="auto"/>
        <w:ind w:firstLine="440" w:firstLineChars="200"/>
        <w:rPr>
          <w:rFonts w:hint="default" w:ascii="宋体" w:hAnsi="宋体" w:eastAsia="宋体" w:cs="宋体"/>
          <w:sz w:val="22"/>
          <w:szCs w:val="22"/>
          <w:highlight w:val="none"/>
          <w:lang w:val="en-US" w:eastAsia="zh-CN"/>
        </w:rPr>
      </w:pPr>
      <w:r>
        <w:rPr>
          <w:rFonts w:hint="eastAsia" w:ascii="宋体" w:hAnsi="宋体" w:cs="宋体"/>
          <w:sz w:val="22"/>
          <w:szCs w:val="22"/>
          <w:highlight w:val="none"/>
        </w:rPr>
        <w:t>邮政编码：674100</w:t>
      </w:r>
    </w:p>
    <w:p>
      <w:pPr>
        <w:spacing w:line="360" w:lineRule="auto"/>
        <w:ind w:firstLine="440" w:firstLineChars="200"/>
        <w:rPr>
          <w:rFonts w:hint="default" w:ascii="宋体" w:hAnsi="宋体" w:eastAsia="宋体" w:cs="宋体"/>
          <w:sz w:val="22"/>
          <w:szCs w:val="22"/>
          <w:highlight w:val="none"/>
          <w:lang w:val="en-US" w:eastAsia="zh-CN"/>
        </w:rPr>
      </w:pPr>
      <w:r>
        <w:rPr>
          <w:rFonts w:hint="eastAsia" w:ascii="宋体" w:hAnsi="宋体" w:cs="宋体"/>
          <w:sz w:val="22"/>
          <w:szCs w:val="22"/>
          <w:highlight w:val="none"/>
        </w:rPr>
        <w:t>联 系 人：</w:t>
      </w:r>
      <w:r>
        <w:rPr>
          <w:rFonts w:hint="eastAsia" w:ascii="宋体" w:hAnsi="宋体" w:cs="宋体"/>
          <w:sz w:val="22"/>
          <w:szCs w:val="22"/>
          <w:highlight w:val="none"/>
          <w:lang w:val="en-US" w:eastAsia="zh-CN"/>
        </w:rPr>
        <w:t>杨迎春</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电    话：13988817687</w:t>
      </w:r>
    </w:p>
    <w:p>
      <w:pPr>
        <w:spacing w:line="360" w:lineRule="auto"/>
        <w:ind w:firstLine="440" w:firstLineChars="200"/>
        <w:rPr>
          <w:rFonts w:hint="eastAsia" w:ascii="宋体" w:hAnsi="宋体" w:cs="宋体"/>
          <w:sz w:val="22"/>
          <w:szCs w:val="22"/>
          <w:highlight w:val="none"/>
        </w:rPr>
      </w:pP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招标代理：昆明华辰招标代理有限公司</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地    址：昆明市盘龙区北京路900号颐高数码中心A座15楼</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邮政编码：650224</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联 系 人：陈晓旭、徐国正、杨永婧</w:t>
      </w:r>
    </w:p>
    <w:p>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电    话：</w:t>
      </w:r>
      <w:r>
        <w:rPr>
          <w:rFonts w:ascii="宋体" w:hAnsi="宋体" w:cs="宋体"/>
          <w:sz w:val="22"/>
          <w:szCs w:val="22"/>
          <w:highlight w:val="none"/>
        </w:rPr>
        <w:t>13529369201</w:t>
      </w:r>
      <w:r>
        <w:rPr>
          <w:rFonts w:hint="eastAsia" w:ascii="宋体" w:hAnsi="宋体" w:cs="宋体"/>
          <w:sz w:val="22"/>
          <w:szCs w:val="22"/>
          <w:highlight w:val="none"/>
        </w:rPr>
        <w:t>、1</w:t>
      </w:r>
      <w:r>
        <w:rPr>
          <w:rFonts w:ascii="宋体" w:hAnsi="宋体" w:cs="宋体"/>
          <w:sz w:val="22"/>
          <w:szCs w:val="22"/>
          <w:highlight w:val="none"/>
        </w:rPr>
        <w:t>4787849289</w:t>
      </w:r>
    </w:p>
    <w:p>
      <w:pPr>
        <w:pStyle w:val="2"/>
        <w:spacing w:before="0" w:line="360" w:lineRule="auto"/>
        <w:ind w:firstLine="440" w:firstLineChars="200"/>
        <w:rPr>
          <w:rFonts w:hint="eastAsia" w:ascii="宋体" w:hAnsi="宋体" w:cs="宋体"/>
          <w:sz w:val="22"/>
          <w:szCs w:val="22"/>
          <w:highlight w:val="none"/>
        </w:rPr>
      </w:pPr>
    </w:p>
    <w:p>
      <w:pPr>
        <w:spacing w:line="360" w:lineRule="auto"/>
        <w:ind w:firstLine="440" w:firstLineChars="200"/>
        <w:rPr>
          <w:rFonts w:hint="default" w:ascii="宋体" w:hAnsi="宋体" w:eastAsia="宋体" w:cs="宋体"/>
          <w:sz w:val="22"/>
          <w:szCs w:val="22"/>
          <w:highlight w:val="none"/>
          <w:lang w:val="en-US" w:eastAsia="zh-CN"/>
        </w:rPr>
      </w:pPr>
      <w:r>
        <w:rPr>
          <w:rFonts w:hint="eastAsia" w:ascii="宋体" w:hAnsi="宋体" w:cs="宋体"/>
          <w:sz w:val="22"/>
          <w:szCs w:val="22"/>
          <w:highlight w:val="none"/>
        </w:rPr>
        <w:t>监督部门：</w:t>
      </w:r>
      <w:r>
        <w:rPr>
          <w:rFonts w:hint="eastAsia" w:ascii="宋体" w:hAnsi="宋体" w:cs="宋体"/>
          <w:sz w:val="22"/>
          <w:szCs w:val="22"/>
          <w:highlight w:val="none"/>
          <w:lang w:val="en-US" w:eastAsia="zh-CN"/>
        </w:rPr>
        <w:t>丽江市交通运输局</w:t>
      </w:r>
    </w:p>
    <w:p>
      <w:pPr>
        <w:spacing w:line="360" w:lineRule="auto"/>
        <w:ind w:firstLine="440" w:firstLineChars="200"/>
        <w:rPr>
          <w:rFonts w:ascii="宋体" w:hAnsi="宋体" w:cs="宋体"/>
          <w:sz w:val="22"/>
          <w:szCs w:val="22"/>
          <w:highlight w:val="none"/>
        </w:rPr>
      </w:pPr>
      <w:r>
        <w:rPr>
          <w:rFonts w:hint="eastAsia" w:ascii="宋体" w:hAnsi="宋体" w:cs="宋体"/>
          <w:sz w:val="22"/>
          <w:szCs w:val="22"/>
          <w:highlight w:val="none"/>
        </w:rPr>
        <w:t xml:space="preserve">地  </w:t>
      </w:r>
      <w:r>
        <w:rPr>
          <w:rFonts w:ascii="宋体" w:hAnsi="宋体" w:cs="宋体"/>
          <w:sz w:val="22"/>
          <w:szCs w:val="22"/>
          <w:highlight w:val="none"/>
        </w:rPr>
        <w:t xml:space="preserve">  </w:t>
      </w:r>
      <w:r>
        <w:rPr>
          <w:rFonts w:hint="eastAsia" w:ascii="宋体" w:hAnsi="宋体" w:cs="宋体"/>
          <w:sz w:val="22"/>
          <w:szCs w:val="22"/>
          <w:highlight w:val="none"/>
        </w:rPr>
        <w:t>址：云南省丽江市玉龙纳西族自治县黄山镇丽水路114号</w:t>
      </w:r>
    </w:p>
    <w:p>
      <w:pPr>
        <w:spacing w:line="360" w:lineRule="auto"/>
        <w:ind w:firstLine="440" w:firstLineChars="200"/>
        <w:rPr>
          <w:rFonts w:hint="eastAsia" w:ascii="宋体" w:hAnsi="宋体" w:cs="宋体"/>
          <w:sz w:val="22"/>
          <w:szCs w:val="22"/>
          <w:highlight w:val="none"/>
          <w:lang w:val="en-US" w:eastAsia="zh-CN"/>
        </w:rPr>
      </w:pPr>
      <w:r>
        <w:rPr>
          <w:rFonts w:hint="eastAsia" w:ascii="宋体" w:hAnsi="宋体" w:cs="宋体"/>
          <w:sz w:val="22"/>
          <w:szCs w:val="22"/>
          <w:highlight w:val="none"/>
        </w:rPr>
        <w:t>监督电话：</w:t>
      </w:r>
      <w:r>
        <w:rPr>
          <w:rFonts w:hint="eastAsia" w:ascii="宋体" w:hAnsi="宋体" w:cs="宋体"/>
          <w:sz w:val="22"/>
          <w:szCs w:val="22"/>
          <w:highlight w:val="none"/>
          <w:lang w:val="en-US" w:eastAsia="zh-CN"/>
        </w:rPr>
        <w:t>0888-5122655</w:t>
      </w:r>
    </w:p>
    <w:p>
      <w:pPr>
        <w:spacing w:line="360" w:lineRule="auto"/>
        <w:ind w:firstLine="440" w:firstLineChars="200"/>
        <w:rPr>
          <w:rFonts w:hint="eastAsia" w:ascii="宋体" w:hAnsi="宋体" w:cs="宋体"/>
          <w:sz w:val="22"/>
          <w:szCs w:val="22"/>
          <w:highlight w:val="none"/>
          <w:lang w:val="en-US" w:eastAsia="zh-CN"/>
        </w:rPr>
      </w:pPr>
    </w:p>
    <w:p>
      <w:pPr>
        <w:spacing w:line="360" w:lineRule="auto"/>
        <w:ind w:firstLine="440" w:firstLineChars="200"/>
      </w:pPr>
      <w:r>
        <w:rPr>
          <w:rFonts w:hint="eastAsia" w:ascii="宋体" w:hAnsi="宋体" w:cs="宋体"/>
          <w:sz w:val="22"/>
          <w:szCs w:val="22"/>
          <w:highlight w:val="none"/>
        </w:rPr>
        <w:t xml:space="preserve">日 </w:t>
      </w:r>
      <w:r>
        <w:rPr>
          <w:rFonts w:ascii="宋体" w:hAnsi="宋体" w:cs="宋体"/>
          <w:sz w:val="22"/>
          <w:szCs w:val="22"/>
          <w:highlight w:val="none"/>
        </w:rPr>
        <w:t xml:space="preserve">   </w:t>
      </w:r>
      <w:r>
        <w:rPr>
          <w:rFonts w:hint="eastAsia" w:ascii="宋体" w:hAnsi="宋体" w:cs="宋体"/>
          <w:sz w:val="22"/>
          <w:szCs w:val="22"/>
          <w:highlight w:val="none"/>
        </w:rPr>
        <w:t>期：202</w:t>
      </w:r>
      <w:r>
        <w:rPr>
          <w:rFonts w:hint="eastAsia" w:ascii="宋体" w:hAnsi="宋体" w:cs="宋体"/>
          <w:sz w:val="22"/>
          <w:szCs w:val="22"/>
          <w:highlight w:val="none"/>
          <w:lang w:val="en-US" w:eastAsia="zh-CN"/>
        </w:rPr>
        <w:t>3</w:t>
      </w:r>
      <w:r>
        <w:rPr>
          <w:rFonts w:hint="eastAsia" w:ascii="宋体" w:hAnsi="宋体" w:cs="宋体"/>
          <w:sz w:val="22"/>
          <w:szCs w:val="22"/>
          <w:highlight w:val="none"/>
        </w:rPr>
        <w:t>年</w:t>
      </w:r>
      <w:r>
        <w:rPr>
          <w:rFonts w:hint="eastAsia" w:ascii="宋体" w:hAnsi="宋体" w:cs="宋体"/>
          <w:sz w:val="22"/>
          <w:szCs w:val="22"/>
          <w:highlight w:val="none"/>
          <w:lang w:val="en-US" w:eastAsia="zh-CN"/>
        </w:rPr>
        <w:t>02</w:t>
      </w:r>
      <w:r>
        <w:rPr>
          <w:rFonts w:hint="eastAsia" w:ascii="宋体" w:hAnsi="宋体" w:cs="宋体"/>
          <w:sz w:val="22"/>
          <w:szCs w:val="22"/>
          <w:highlight w:val="none"/>
        </w:rPr>
        <w:t>月</w:t>
      </w:r>
      <w:r>
        <w:rPr>
          <w:rFonts w:hint="eastAsia" w:ascii="宋体" w:hAnsi="宋体" w:cs="宋体"/>
          <w:sz w:val="22"/>
          <w:szCs w:val="22"/>
          <w:highlight w:val="none"/>
          <w:lang w:val="en-US" w:eastAsia="zh-CN"/>
        </w:rPr>
        <w:t>15</w:t>
      </w:r>
      <w:r>
        <w:rPr>
          <w:rFonts w:hint="eastAsia" w:ascii="宋体" w:hAnsi="宋体" w:cs="宋体"/>
          <w:sz w:val="22"/>
          <w:szCs w:val="22"/>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57A7AA"/>
    <w:multiLevelType w:val="singleLevel"/>
    <w:tmpl w:val="9157A7AA"/>
    <w:lvl w:ilvl="0" w:tentative="0">
      <w:start w:val="1"/>
      <w:numFmt w:val="decimal"/>
      <w:suff w:val="nothing"/>
      <w:lvlText w:val="（%1）"/>
      <w:lvlJc w:val="left"/>
    </w:lvl>
  </w:abstractNum>
  <w:abstractNum w:abstractNumId="1">
    <w:nsid w:val="43798965"/>
    <w:multiLevelType w:val="multilevel"/>
    <w:tmpl w:val="43798965"/>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000000"/>
    <w:rsid w:val="06F83AF2"/>
    <w:rsid w:val="15F70AFA"/>
    <w:rsid w:val="1F2D7B8C"/>
    <w:rsid w:val="37532574"/>
    <w:rsid w:val="46EC3AEA"/>
    <w:rsid w:val="665E6CEF"/>
    <w:rsid w:val="71465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napToGrid w:val="0"/>
      <w:lang w:val="en-US" w:eastAsia="zh-CN" w:bidi="ar-SA"/>
    </w:rPr>
  </w:style>
  <w:style w:type="paragraph" w:styleId="3">
    <w:name w:val="heading 2"/>
    <w:basedOn w:val="1"/>
    <w:next w:val="1"/>
    <w:qFormat/>
    <w:uiPriority w:val="99"/>
    <w:pPr>
      <w:keepNext/>
      <w:keepLines/>
      <w:spacing w:before="260" w:after="260" w:line="415" w:lineRule="auto"/>
      <w:outlineLvl w:val="1"/>
    </w:pPr>
    <w:rPr>
      <w:rFonts w:ascii="Arial" w:hAnsi="Arial" w:eastAsia="黑体"/>
      <w:b/>
      <w:snapToGrid/>
      <w:kern w:val="2"/>
      <w:sz w:val="32"/>
    </w:rPr>
  </w:style>
  <w:style w:type="paragraph" w:styleId="4">
    <w:name w:val="heading 3"/>
    <w:basedOn w:val="1"/>
    <w:next w:val="1"/>
    <w:link w:val="7"/>
    <w:semiHidden/>
    <w:unhideWhenUsed/>
    <w:qFormat/>
    <w:uiPriority w:val="0"/>
    <w:pPr>
      <w:keepNext/>
      <w:keepLines/>
      <w:widowControl/>
      <w:numPr>
        <w:ilvl w:val="2"/>
        <w:numId w:val="1"/>
      </w:numPr>
      <w:spacing w:before="120" w:after="120" w:line="360" w:lineRule="auto"/>
      <w:ind w:left="0" w:firstLine="0"/>
      <w:jc w:val="center"/>
      <w:outlineLvl w:val="2"/>
    </w:pPr>
    <w:rPr>
      <w:rFonts w:ascii="Times New Roman" w:hAnsi="Times New Roman" w:eastAsia="宋体" w:cs="Times New Roman"/>
      <w:b/>
      <w:kern w:val="0"/>
      <w:sz w:val="28"/>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widowControl w:val="0"/>
      <w:adjustRightInd w:val="0"/>
      <w:spacing w:before="120" w:line="420" w:lineRule="atLeast"/>
      <w:ind w:firstLine="454"/>
      <w:jc w:val="both"/>
      <w:textAlignment w:val="baseline"/>
    </w:pPr>
    <w:rPr>
      <w:rFonts w:ascii="Cambria" w:hAnsi="Cambria" w:eastAsia="宋体" w:cs="Times New Roman"/>
      <w:sz w:val="24"/>
      <w:szCs w:val="24"/>
      <w:lang w:val="en-US" w:eastAsia="zh-CN" w:bidi="ar-SA"/>
    </w:rPr>
  </w:style>
  <w:style w:type="character" w:customStyle="1" w:styleId="7">
    <w:name w:val="标题 3 Char"/>
    <w:basedOn w:val="6"/>
    <w:link w:val="4"/>
    <w:qFormat/>
    <w:uiPriority w:val="9"/>
    <w:rPr>
      <w:rFonts w:ascii="Times New Roman" w:hAnsi="Times New Roman" w:eastAsia="宋体" w:cs="Times New Roman"/>
      <w:b/>
      <w:bCs/>
      <w:sz w:val="30"/>
      <w:szCs w:val="28"/>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2022-11-12T07:06:00Z</dcterms:created>
  <dc:creator>cxx</dc:creator>
  <cp:lastModifiedBy>雨吁</cp:lastModifiedBy>
  <dcterms:modified xsi:type="dcterms:W3CDTF">2023-02-15T02:54:21Z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60F90DE6D4774AAEB21CFF19D967FEF9</vt:lpwstr>
  </property>
</Properties>
</file>