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175FB7">
      <w:pPr>
        <w:spacing w:after="0" w:line="360" w:lineRule="auto"/>
        <w:jc w:val="center"/>
        <w:rPr>
          <w:rFonts w:ascii="宋体" w:hAnsi="宋体"/>
          <w:b/>
          <w:bCs/>
          <w:color w:val="auto"/>
          <w:sz w:val="28"/>
          <w:szCs w:val="28"/>
          <w:highlight w:val="none"/>
        </w:rPr>
      </w:pPr>
      <w:bookmarkStart w:id="1167" w:name="_GoBack"/>
      <w:bookmarkEnd w:id="1167"/>
    </w:p>
    <w:p w14:paraId="4D8DE073">
      <w:pPr>
        <w:spacing w:after="0" w:line="360" w:lineRule="auto"/>
        <w:rPr>
          <w:rFonts w:hint="eastAsia" w:ascii="宋体" w:hAnsi="宋体"/>
          <w:color w:val="auto"/>
          <w:sz w:val="52"/>
          <w:szCs w:val="52"/>
          <w:highlight w:val="none"/>
        </w:rPr>
      </w:pPr>
      <w:r>
        <w:rPr>
          <w:rFonts w:ascii="宋体" w:hAnsi="宋体"/>
          <w:b w:val="0"/>
          <w:bCs w:val="0"/>
          <w:color w:val="auto"/>
          <w:sz w:val="21"/>
          <w:szCs w:val="21"/>
          <w:highlight w:val="none"/>
        </w:rPr>
        <w:drawing>
          <wp:inline distT="0" distB="0" distL="114300" distR="114300">
            <wp:extent cx="5758180" cy="8138795"/>
            <wp:effectExtent l="0" t="0" r="7620" b="1905"/>
            <wp:docPr id="7" name="图片 7" descr="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封面_01"/>
                    <pic:cNvPicPr>
                      <a:picLocks noChangeAspect="1"/>
                    </pic:cNvPicPr>
                  </pic:nvPicPr>
                  <pic:blipFill>
                    <a:blip r:embed="rId14"/>
                    <a:stretch>
                      <a:fillRect/>
                    </a:stretch>
                  </pic:blipFill>
                  <pic:spPr>
                    <a:xfrm>
                      <a:off x="0" y="0"/>
                      <a:ext cx="5758180" cy="8138795"/>
                    </a:xfrm>
                    <a:prstGeom prst="rect">
                      <a:avLst/>
                    </a:prstGeom>
                  </pic:spPr>
                </pic:pic>
              </a:graphicData>
            </a:graphic>
          </wp:inline>
        </w:drawing>
      </w:r>
      <w:r>
        <w:rPr>
          <w:rFonts w:ascii="宋体" w:hAnsi="宋体"/>
          <w:b w:val="0"/>
          <w:bCs w:val="0"/>
          <w:color w:val="auto"/>
          <w:sz w:val="21"/>
          <w:szCs w:val="21"/>
          <w:highlight w:val="none"/>
        </w:rPr>
        <w:br w:type="page"/>
      </w:r>
    </w:p>
    <w:sdt>
      <w:sdtPr>
        <w:rPr>
          <w:rFonts w:ascii="宋体" w:hAnsi="宋体" w:eastAsia="宋体" w:cs="Times New Roman"/>
          <w:kern w:val="2"/>
          <w:sz w:val="52"/>
          <w:szCs w:val="52"/>
          <w:lang w:val="en-US" w:eastAsia="zh-CN" w:bidi="ar-SA"/>
        </w:rPr>
        <w:id w:val="147458829"/>
        <w15:color w:val="DBDBDB"/>
        <w:docPartObj>
          <w:docPartGallery w:val="Table of Contents"/>
          <w:docPartUnique/>
        </w:docPartObj>
      </w:sdtPr>
      <w:sdtEndPr>
        <w:rPr>
          <w:rFonts w:hint="eastAsia" w:ascii="Times New Roman" w:hAnsi="Times New Roman" w:eastAsia="宋体" w:cs="Times New Roman"/>
          <w:kern w:val="2"/>
          <w:sz w:val="20"/>
          <w:szCs w:val="24"/>
          <w:lang w:val="zh-CN" w:eastAsia="zh-CN" w:bidi="ar-SA"/>
        </w:rPr>
      </w:sdtEndPr>
      <w:sdtContent>
        <w:p w14:paraId="6A400BB6">
          <w:pPr>
            <w:spacing w:before="0" w:beforeLines="0" w:after="0" w:afterLines="0" w:line="240" w:lineRule="auto"/>
            <w:ind w:left="0" w:leftChars="0" w:right="0" w:rightChars="0" w:firstLine="0" w:firstLineChars="0"/>
            <w:jc w:val="center"/>
            <w:rPr>
              <w:sz w:val="52"/>
              <w:szCs w:val="52"/>
            </w:rPr>
          </w:pPr>
          <w:r>
            <w:rPr>
              <w:rFonts w:ascii="宋体" w:hAnsi="宋体" w:eastAsia="宋体"/>
              <w:sz w:val="52"/>
              <w:szCs w:val="52"/>
            </w:rPr>
            <w:t>目录</w:t>
          </w:r>
        </w:p>
        <w:p w14:paraId="04593340">
          <w:pPr>
            <w:pStyle w:val="37"/>
            <w:tabs>
              <w:tab w:val="right" w:leader="dot" w:pos="9071"/>
              <w:tab w:val="clear" w:pos="9060"/>
            </w:tabs>
          </w:pPr>
          <w:r>
            <w:rPr>
              <w:rFonts w:hint="eastAsia" w:ascii="Times New Roman" w:hAnsi="Times New Roman" w:eastAsia="宋体" w:cs="Times New Roman"/>
              <w:kern w:val="2"/>
              <w:sz w:val="20"/>
              <w:szCs w:val="24"/>
              <w:lang w:val="zh-CN" w:eastAsia="zh-CN" w:bidi="ar-SA"/>
            </w:rPr>
            <w:fldChar w:fldCharType="begin"/>
          </w:r>
          <w:r>
            <w:rPr>
              <w:rFonts w:hint="eastAsia" w:ascii="Times New Roman" w:hAnsi="Times New Roman" w:eastAsia="宋体" w:cs="Times New Roman"/>
              <w:kern w:val="2"/>
              <w:sz w:val="20"/>
              <w:szCs w:val="24"/>
              <w:lang w:val="zh-CN" w:eastAsia="zh-CN" w:bidi="ar-SA"/>
            </w:rPr>
            <w:instrText xml:space="preserve">TOC \o "1-2" \h \u </w:instrText>
          </w:r>
          <w:r>
            <w:rPr>
              <w:rFonts w:hint="eastAsia" w:ascii="Times New Roman" w:hAnsi="Times New Roman" w:eastAsia="宋体" w:cs="Times New Roman"/>
              <w:kern w:val="2"/>
              <w:sz w:val="20"/>
              <w:szCs w:val="24"/>
              <w:lang w:val="zh-CN" w:eastAsia="zh-CN" w:bidi="ar-SA"/>
            </w:rPr>
            <w:fldChar w:fldCharType="separate"/>
          </w:r>
        </w:p>
        <w:p w14:paraId="222ECD98">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_Toc22521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一 卷</w:t>
          </w:r>
          <w:r>
            <w:tab/>
          </w:r>
          <w:r>
            <w:fldChar w:fldCharType="begin"/>
          </w:r>
          <w:r>
            <w:instrText xml:space="preserve"> PAGEREF _Toc22521 \h </w:instrText>
          </w:r>
          <w:r>
            <w:fldChar w:fldCharType="separate"/>
          </w:r>
          <w:r>
            <w:t>5</w:t>
          </w:r>
          <w:r>
            <w:fldChar w:fldCharType="end"/>
          </w:r>
          <w:r>
            <w:rPr>
              <w:rFonts w:hint="eastAsia" w:ascii="Times New Roman" w:hAnsi="Times New Roman" w:eastAsia="宋体" w:cs="Times New Roman"/>
              <w:kern w:val="2"/>
              <w:szCs w:val="24"/>
              <w:lang w:val="zh-CN" w:eastAsia="zh-CN" w:bidi="ar-SA"/>
            </w:rPr>
            <w:fldChar w:fldCharType="end"/>
          </w:r>
        </w:p>
        <w:p w14:paraId="3117F109">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_Toc9678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0"/>
              <w:highlight w:val="none"/>
            </w:rPr>
            <w:t>第一章 招标公告</w:t>
          </w:r>
          <w:r>
            <w:tab/>
          </w:r>
          <w:r>
            <w:fldChar w:fldCharType="begin"/>
          </w:r>
          <w:r>
            <w:instrText xml:space="preserve"> PAGEREF _Toc9678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57492FD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_Toc12419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32"/>
              <w:highlight w:val="none"/>
              <w:lang w:eastAsia="zh-CN"/>
            </w:rPr>
            <w:t>姚安县2026年高标准农田建设项目</w:t>
          </w:r>
          <w:r>
            <w:tab/>
          </w:r>
          <w:r>
            <w:fldChar w:fldCharType="begin"/>
          </w:r>
          <w:r>
            <w:instrText xml:space="preserve"> PAGEREF _Toc12419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4F5C7132">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_Toc11700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rPr>
            <w:t>一、招标条件</w:t>
          </w:r>
          <w:r>
            <w:tab/>
          </w:r>
          <w:r>
            <w:fldChar w:fldCharType="begin"/>
          </w:r>
          <w:r>
            <w:instrText xml:space="preserve"> PAGEREF _Toc11700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781B41A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_Toc12388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szCs w:val="21"/>
              <w:highlight w:val="none"/>
              <w:lang w:val="en-US" w:eastAsia="zh-CN"/>
            </w:rPr>
            <w:t>二、项目概况与招标范围</w:t>
          </w:r>
          <w:r>
            <w:tab/>
          </w:r>
          <w:r>
            <w:fldChar w:fldCharType="begin"/>
          </w:r>
          <w:r>
            <w:instrText xml:space="preserve"> PAGEREF _Toc12388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3C1BA80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_Toc761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rPr>
            <w:t>三、投标人资格要求</w:t>
          </w:r>
          <w:r>
            <w:tab/>
          </w:r>
          <w:r>
            <w:fldChar w:fldCharType="begin"/>
          </w:r>
          <w:r>
            <w:instrText xml:space="preserve"> PAGEREF _Toc761 \h </w:instrText>
          </w:r>
          <w:r>
            <w:fldChar w:fldCharType="separate"/>
          </w:r>
          <w:r>
            <w:t>8</w:t>
          </w:r>
          <w:r>
            <w:fldChar w:fldCharType="end"/>
          </w:r>
          <w:r>
            <w:rPr>
              <w:rFonts w:hint="eastAsia" w:ascii="Times New Roman" w:hAnsi="Times New Roman" w:eastAsia="宋体" w:cs="Times New Roman"/>
              <w:kern w:val="2"/>
              <w:szCs w:val="24"/>
              <w:lang w:val="zh-CN" w:eastAsia="zh-CN" w:bidi="ar-SA"/>
            </w:rPr>
            <w:fldChar w:fldCharType="end"/>
          </w:r>
        </w:p>
        <w:p w14:paraId="79F37345">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_Toc24316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bCs/>
              <w:szCs w:val="21"/>
              <w:highlight w:val="none"/>
              <w:lang w:eastAsia="zh-CN"/>
            </w:rPr>
            <w:t>四、</w:t>
          </w:r>
          <w:r>
            <w:rPr>
              <w:rFonts w:hint="eastAsia" w:ascii="宋体" w:hAnsi="宋体" w:eastAsia="宋体"/>
              <w:bCs/>
              <w:szCs w:val="21"/>
              <w:highlight w:val="none"/>
            </w:rPr>
            <w:t>招标文件获取</w:t>
          </w:r>
          <w:r>
            <w:tab/>
          </w:r>
          <w:r>
            <w:fldChar w:fldCharType="begin"/>
          </w:r>
          <w:r>
            <w:instrText xml:space="preserve"> PAGEREF _Toc24316 \h </w:instrText>
          </w:r>
          <w:r>
            <w:fldChar w:fldCharType="separate"/>
          </w:r>
          <w:r>
            <w:t>10</w:t>
          </w:r>
          <w:r>
            <w:fldChar w:fldCharType="end"/>
          </w:r>
          <w:r>
            <w:rPr>
              <w:rFonts w:hint="eastAsia" w:ascii="Times New Roman" w:hAnsi="Times New Roman" w:eastAsia="宋体" w:cs="Times New Roman"/>
              <w:kern w:val="2"/>
              <w:szCs w:val="24"/>
              <w:lang w:val="zh-CN" w:eastAsia="zh-CN" w:bidi="ar-SA"/>
            </w:rPr>
            <w:fldChar w:fldCharType="end"/>
          </w:r>
        </w:p>
        <w:p w14:paraId="107D360E">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_Toc25762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lang w:eastAsia="zh-CN"/>
            </w:rPr>
            <w:t>五</w:t>
          </w:r>
          <w:r>
            <w:rPr>
              <w:rFonts w:hint="eastAsia" w:ascii="宋体" w:hAnsi="宋体" w:eastAsia="宋体"/>
              <w:szCs w:val="21"/>
              <w:highlight w:val="none"/>
            </w:rPr>
            <w:t>、投标文件的递交</w:t>
          </w:r>
          <w:r>
            <w:tab/>
          </w:r>
          <w:r>
            <w:fldChar w:fldCharType="begin"/>
          </w:r>
          <w:r>
            <w:instrText xml:space="preserve"> PAGEREF _Toc25762 \h </w:instrText>
          </w:r>
          <w:r>
            <w:fldChar w:fldCharType="separate"/>
          </w:r>
          <w:r>
            <w:t>10</w:t>
          </w:r>
          <w:r>
            <w:fldChar w:fldCharType="end"/>
          </w:r>
          <w:r>
            <w:rPr>
              <w:rFonts w:hint="eastAsia" w:ascii="Times New Roman" w:hAnsi="Times New Roman" w:eastAsia="宋体" w:cs="Times New Roman"/>
              <w:kern w:val="2"/>
              <w:szCs w:val="24"/>
              <w:lang w:val="zh-CN" w:eastAsia="zh-CN" w:bidi="ar-SA"/>
            </w:rPr>
            <w:fldChar w:fldCharType="end"/>
          </w:r>
        </w:p>
        <w:p w14:paraId="77B180C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_Toc2003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bCs/>
              <w:szCs w:val="21"/>
              <w:highlight w:val="none"/>
              <w:lang w:eastAsia="zh-CN"/>
            </w:rPr>
            <w:t>六、异议（质疑）</w:t>
          </w:r>
          <w:r>
            <w:rPr>
              <w:rFonts w:hint="eastAsia" w:ascii="宋体" w:hAnsi="宋体" w:cs="Times New Roman"/>
              <w:bCs/>
              <w:szCs w:val="21"/>
              <w:highlight w:val="none"/>
              <w:lang w:val="en-US" w:eastAsia="zh-CN"/>
            </w:rPr>
            <w:t>渠道</w:t>
          </w:r>
          <w:r>
            <w:tab/>
          </w:r>
          <w:r>
            <w:fldChar w:fldCharType="begin"/>
          </w:r>
          <w:r>
            <w:instrText xml:space="preserve"> PAGEREF _Toc2003 \h </w:instrText>
          </w:r>
          <w:r>
            <w:fldChar w:fldCharType="separate"/>
          </w:r>
          <w:r>
            <w:t>11</w:t>
          </w:r>
          <w:r>
            <w:fldChar w:fldCharType="end"/>
          </w:r>
          <w:r>
            <w:rPr>
              <w:rFonts w:hint="eastAsia" w:ascii="Times New Roman" w:hAnsi="Times New Roman" w:eastAsia="宋体" w:cs="Times New Roman"/>
              <w:kern w:val="2"/>
              <w:szCs w:val="24"/>
              <w:lang w:val="zh-CN" w:eastAsia="zh-CN" w:bidi="ar-SA"/>
            </w:rPr>
            <w:fldChar w:fldCharType="end"/>
          </w:r>
        </w:p>
        <w:p w14:paraId="428BA93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_Toc15940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bCs/>
              <w:szCs w:val="21"/>
              <w:highlight w:val="none"/>
              <w:lang w:eastAsia="zh-CN"/>
            </w:rPr>
            <w:t>七、</w:t>
          </w:r>
          <w:r>
            <w:rPr>
              <w:rFonts w:hint="eastAsia" w:ascii="宋体" w:hAnsi="宋体" w:eastAsia="宋体"/>
              <w:bCs/>
              <w:szCs w:val="21"/>
              <w:highlight w:val="none"/>
            </w:rPr>
            <w:t>发布公告的媒介</w:t>
          </w:r>
          <w:r>
            <w:tab/>
          </w:r>
          <w:r>
            <w:fldChar w:fldCharType="begin"/>
          </w:r>
          <w:r>
            <w:instrText xml:space="preserve"> PAGEREF _Toc15940 \h </w:instrText>
          </w:r>
          <w:r>
            <w:fldChar w:fldCharType="separate"/>
          </w:r>
          <w:r>
            <w:t>12</w:t>
          </w:r>
          <w:r>
            <w:fldChar w:fldCharType="end"/>
          </w:r>
          <w:r>
            <w:rPr>
              <w:rFonts w:hint="eastAsia" w:ascii="Times New Roman" w:hAnsi="Times New Roman" w:eastAsia="宋体" w:cs="Times New Roman"/>
              <w:kern w:val="2"/>
              <w:szCs w:val="24"/>
              <w:lang w:val="zh-CN" w:eastAsia="zh-CN" w:bidi="ar-SA"/>
            </w:rPr>
            <w:fldChar w:fldCharType="end"/>
          </w:r>
        </w:p>
        <w:p w14:paraId="44DE822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_Toc17815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lang w:eastAsia="zh-CN"/>
            </w:rPr>
            <w:t>八</w:t>
          </w:r>
          <w:r>
            <w:rPr>
              <w:rFonts w:hint="eastAsia" w:ascii="宋体" w:hAnsi="宋体" w:eastAsia="宋体"/>
              <w:szCs w:val="21"/>
              <w:highlight w:val="none"/>
            </w:rPr>
            <w:t>、联系方式</w:t>
          </w:r>
          <w:r>
            <w:tab/>
          </w:r>
          <w:r>
            <w:fldChar w:fldCharType="begin"/>
          </w:r>
          <w:r>
            <w:instrText xml:space="preserve"> PAGEREF _Toc17815 \h </w:instrText>
          </w:r>
          <w:r>
            <w:fldChar w:fldCharType="separate"/>
          </w:r>
          <w:r>
            <w:t>12</w:t>
          </w:r>
          <w:r>
            <w:fldChar w:fldCharType="end"/>
          </w:r>
          <w:r>
            <w:rPr>
              <w:rFonts w:hint="eastAsia" w:ascii="Times New Roman" w:hAnsi="Times New Roman" w:eastAsia="宋体" w:cs="Times New Roman"/>
              <w:kern w:val="2"/>
              <w:szCs w:val="24"/>
              <w:lang w:val="zh-CN" w:eastAsia="zh-CN" w:bidi="ar-SA"/>
            </w:rPr>
            <w:fldChar w:fldCharType="end"/>
          </w:r>
        </w:p>
        <w:p w14:paraId="4ADCBF88">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_Toc20378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szCs w:val="40"/>
              <w:highlight w:val="none"/>
            </w:rPr>
            <w:t>第二章 投标人须知</w:t>
          </w:r>
          <w:r>
            <w:tab/>
          </w:r>
          <w:r>
            <w:fldChar w:fldCharType="begin"/>
          </w:r>
          <w:r>
            <w:instrText xml:space="preserve"> PAGEREF _Toc20378 \h </w:instrText>
          </w:r>
          <w:r>
            <w:fldChar w:fldCharType="separate"/>
          </w:r>
          <w:r>
            <w:t>13</w:t>
          </w:r>
          <w:r>
            <w:fldChar w:fldCharType="end"/>
          </w:r>
          <w:r>
            <w:rPr>
              <w:rFonts w:hint="eastAsia" w:ascii="Times New Roman" w:hAnsi="Times New Roman" w:eastAsia="宋体" w:cs="Times New Roman"/>
              <w:kern w:val="2"/>
              <w:szCs w:val="24"/>
              <w:lang w:val="zh-CN" w:eastAsia="zh-CN" w:bidi="ar-SA"/>
            </w:rPr>
            <w:fldChar w:fldCharType="end"/>
          </w:r>
        </w:p>
        <w:p w14:paraId="42F4C23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_Toc12753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投标人须知前附表</w:t>
          </w:r>
          <w:r>
            <w:tab/>
          </w:r>
          <w:r>
            <w:fldChar w:fldCharType="begin"/>
          </w:r>
          <w:r>
            <w:instrText xml:space="preserve"> PAGEREF _Toc12753 \h </w:instrText>
          </w:r>
          <w:r>
            <w:fldChar w:fldCharType="separate"/>
          </w:r>
          <w:r>
            <w:t>13</w:t>
          </w:r>
          <w:r>
            <w:fldChar w:fldCharType="end"/>
          </w:r>
          <w:r>
            <w:rPr>
              <w:rFonts w:hint="eastAsia" w:ascii="Times New Roman" w:hAnsi="Times New Roman" w:eastAsia="宋体" w:cs="Times New Roman"/>
              <w:kern w:val="2"/>
              <w:szCs w:val="24"/>
              <w:lang w:val="zh-CN" w:eastAsia="zh-CN" w:bidi="ar-SA"/>
            </w:rPr>
            <w:fldChar w:fldCharType="end"/>
          </w:r>
        </w:p>
        <w:p w14:paraId="1DA8D92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_Toc10714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1. 总则</w:t>
          </w:r>
          <w:r>
            <w:tab/>
          </w:r>
          <w:r>
            <w:fldChar w:fldCharType="begin"/>
          </w:r>
          <w:r>
            <w:instrText xml:space="preserve"> PAGEREF _Toc10714 \h </w:instrText>
          </w:r>
          <w:r>
            <w:fldChar w:fldCharType="separate"/>
          </w:r>
          <w:r>
            <w:t>19</w:t>
          </w:r>
          <w:r>
            <w:fldChar w:fldCharType="end"/>
          </w:r>
          <w:r>
            <w:rPr>
              <w:rFonts w:hint="eastAsia" w:ascii="Times New Roman" w:hAnsi="Times New Roman" w:eastAsia="宋体" w:cs="Times New Roman"/>
              <w:kern w:val="2"/>
              <w:szCs w:val="24"/>
              <w:lang w:val="zh-CN" w:eastAsia="zh-CN" w:bidi="ar-SA"/>
            </w:rPr>
            <w:fldChar w:fldCharType="end"/>
          </w:r>
        </w:p>
        <w:p w14:paraId="43731A1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_Toc18280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2. 招标文件</w:t>
          </w:r>
          <w:r>
            <w:tab/>
          </w:r>
          <w:r>
            <w:fldChar w:fldCharType="begin"/>
          </w:r>
          <w:r>
            <w:instrText xml:space="preserve"> PAGEREF _Toc18280 \h </w:instrText>
          </w:r>
          <w:r>
            <w:fldChar w:fldCharType="separate"/>
          </w:r>
          <w:r>
            <w:t>21</w:t>
          </w:r>
          <w:r>
            <w:fldChar w:fldCharType="end"/>
          </w:r>
          <w:r>
            <w:rPr>
              <w:rFonts w:hint="eastAsia" w:ascii="Times New Roman" w:hAnsi="Times New Roman" w:eastAsia="宋体" w:cs="Times New Roman"/>
              <w:kern w:val="2"/>
              <w:szCs w:val="24"/>
              <w:lang w:val="zh-CN" w:eastAsia="zh-CN" w:bidi="ar-SA"/>
            </w:rPr>
            <w:fldChar w:fldCharType="end"/>
          </w:r>
        </w:p>
        <w:p w14:paraId="5B3D903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_Toc30894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3. 投标文件</w:t>
          </w:r>
          <w:r>
            <w:tab/>
          </w:r>
          <w:r>
            <w:fldChar w:fldCharType="begin"/>
          </w:r>
          <w:r>
            <w:instrText xml:space="preserve"> PAGEREF _Toc30894 \h </w:instrText>
          </w:r>
          <w:r>
            <w:fldChar w:fldCharType="separate"/>
          </w:r>
          <w:r>
            <w:t>22</w:t>
          </w:r>
          <w:r>
            <w:fldChar w:fldCharType="end"/>
          </w:r>
          <w:r>
            <w:rPr>
              <w:rFonts w:hint="eastAsia" w:ascii="Times New Roman" w:hAnsi="Times New Roman" w:eastAsia="宋体" w:cs="Times New Roman"/>
              <w:kern w:val="2"/>
              <w:szCs w:val="24"/>
              <w:lang w:val="zh-CN" w:eastAsia="zh-CN" w:bidi="ar-SA"/>
            </w:rPr>
            <w:fldChar w:fldCharType="end"/>
          </w:r>
        </w:p>
        <w:p w14:paraId="78189E15">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_Toc13879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4. 投标</w:t>
          </w:r>
          <w:r>
            <w:tab/>
          </w:r>
          <w:r>
            <w:fldChar w:fldCharType="begin"/>
          </w:r>
          <w:r>
            <w:instrText xml:space="preserve"> PAGEREF _Toc13879 \h </w:instrText>
          </w:r>
          <w:r>
            <w:fldChar w:fldCharType="separate"/>
          </w:r>
          <w:r>
            <w:t>25</w:t>
          </w:r>
          <w:r>
            <w:fldChar w:fldCharType="end"/>
          </w:r>
          <w:r>
            <w:rPr>
              <w:rFonts w:hint="eastAsia" w:ascii="Times New Roman" w:hAnsi="Times New Roman" w:eastAsia="宋体" w:cs="Times New Roman"/>
              <w:kern w:val="2"/>
              <w:szCs w:val="24"/>
              <w:lang w:val="zh-CN" w:eastAsia="zh-CN" w:bidi="ar-SA"/>
            </w:rPr>
            <w:fldChar w:fldCharType="end"/>
          </w:r>
        </w:p>
        <w:p w14:paraId="650F70ED">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_Toc31741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5. 开标</w:t>
          </w:r>
          <w:r>
            <w:tab/>
          </w:r>
          <w:r>
            <w:fldChar w:fldCharType="begin"/>
          </w:r>
          <w:r>
            <w:instrText xml:space="preserve"> PAGEREF _Toc31741 \h </w:instrText>
          </w:r>
          <w:r>
            <w:fldChar w:fldCharType="separate"/>
          </w:r>
          <w:r>
            <w:t>25</w:t>
          </w:r>
          <w:r>
            <w:fldChar w:fldCharType="end"/>
          </w:r>
          <w:r>
            <w:rPr>
              <w:rFonts w:hint="eastAsia" w:ascii="Times New Roman" w:hAnsi="Times New Roman" w:eastAsia="宋体" w:cs="Times New Roman"/>
              <w:kern w:val="2"/>
              <w:szCs w:val="24"/>
              <w:lang w:val="zh-CN" w:eastAsia="zh-CN" w:bidi="ar-SA"/>
            </w:rPr>
            <w:fldChar w:fldCharType="end"/>
          </w:r>
        </w:p>
        <w:p w14:paraId="6DBA07ED">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_Toc6196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6. 评标</w:t>
          </w:r>
          <w:r>
            <w:tab/>
          </w:r>
          <w:r>
            <w:fldChar w:fldCharType="begin"/>
          </w:r>
          <w:r>
            <w:instrText xml:space="preserve"> PAGEREF _Toc6196 \h </w:instrText>
          </w:r>
          <w:r>
            <w:fldChar w:fldCharType="separate"/>
          </w:r>
          <w:r>
            <w:t>25</w:t>
          </w:r>
          <w:r>
            <w:fldChar w:fldCharType="end"/>
          </w:r>
          <w:r>
            <w:rPr>
              <w:rFonts w:hint="eastAsia" w:ascii="Times New Roman" w:hAnsi="Times New Roman" w:eastAsia="宋体" w:cs="Times New Roman"/>
              <w:kern w:val="2"/>
              <w:szCs w:val="24"/>
              <w:lang w:val="zh-CN" w:eastAsia="zh-CN" w:bidi="ar-SA"/>
            </w:rPr>
            <w:fldChar w:fldCharType="end"/>
          </w:r>
        </w:p>
        <w:p w14:paraId="46EF7F3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_Toc229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7. 合同授予</w:t>
          </w:r>
          <w:r>
            <w:tab/>
          </w:r>
          <w:r>
            <w:fldChar w:fldCharType="begin"/>
          </w:r>
          <w:r>
            <w:instrText xml:space="preserve"> PAGEREF _Toc229 \h </w:instrText>
          </w:r>
          <w:r>
            <w:fldChar w:fldCharType="separate"/>
          </w:r>
          <w:r>
            <w:t>26</w:t>
          </w:r>
          <w:r>
            <w:fldChar w:fldCharType="end"/>
          </w:r>
          <w:r>
            <w:rPr>
              <w:rFonts w:hint="eastAsia" w:ascii="Times New Roman" w:hAnsi="Times New Roman" w:eastAsia="宋体" w:cs="Times New Roman"/>
              <w:kern w:val="2"/>
              <w:szCs w:val="24"/>
              <w:lang w:val="zh-CN" w:eastAsia="zh-CN" w:bidi="ar-SA"/>
            </w:rPr>
            <w:fldChar w:fldCharType="end"/>
          </w:r>
        </w:p>
        <w:p w14:paraId="4760E3F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_Toc15617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8. 重新招标或经批准不招标</w:t>
          </w:r>
          <w:r>
            <w:tab/>
          </w:r>
          <w:r>
            <w:fldChar w:fldCharType="begin"/>
          </w:r>
          <w:r>
            <w:instrText xml:space="preserve"> PAGEREF _Toc15617 \h </w:instrText>
          </w:r>
          <w:r>
            <w:fldChar w:fldCharType="separate"/>
          </w:r>
          <w:r>
            <w:t>26</w:t>
          </w:r>
          <w:r>
            <w:fldChar w:fldCharType="end"/>
          </w:r>
          <w:r>
            <w:rPr>
              <w:rFonts w:hint="eastAsia" w:ascii="Times New Roman" w:hAnsi="Times New Roman" w:eastAsia="宋体" w:cs="Times New Roman"/>
              <w:kern w:val="2"/>
              <w:szCs w:val="24"/>
              <w:lang w:val="zh-CN" w:eastAsia="zh-CN" w:bidi="ar-SA"/>
            </w:rPr>
            <w:fldChar w:fldCharType="end"/>
          </w:r>
        </w:p>
        <w:p w14:paraId="78F8473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_Toc23443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9. 纪律和监督</w:t>
          </w:r>
          <w:r>
            <w:tab/>
          </w:r>
          <w:r>
            <w:fldChar w:fldCharType="begin"/>
          </w:r>
          <w:r>
            <w:instrText xml:space="preserve"> PAGEREF _Toc23443 \h </w:instrText>
          </w:r>
          <w:r>
            <w:fldChar w:fldCharType="separate"/>
          </w:r>
          <w:r>
            <w:t>27</w:t>
          </w:r>
          <w:r>
            <w:fldChar w:fldCharType="end"/>
          </w:r>
          <w:r>
            <w:rPr>
              <w:rFonts w:hint="eastAsia" w:ascii="Times New Roman" w:hAnsi="Times New Roman" w:eastAsia="宋体" w:cs="Times New Roman"/>
              <w:kern w:val="2"/>
              <w:szCs w:val="24"/>
              <w:lang w:val="zh-CN" w:eastAsia="zh-CN" w:bidi="ar-SA"/>
            </w:rPr>
            <w:fldChar w:fldCharType="end"/>
          </w:r>
        </w:p>
        <w:p w14:paraId="0BDB71A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_Toc9951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10. 需要补充的其他内容</w:t>
          </w:r>
          <w:r>
            <w:tab/>
          </w:r>
          <w:r>
            <w:fldChar w:fldCharType="begin"/>
          </w:r>
          <w:r>
            <w:instrText xml:space="preserve"> PAGEREF _Toc9951 \h </w:instrText>
          </w:r>
          <w:r>
            <w:fldChar w:fldCharType="separate"/>
          </w:r>
          <w:r>
            <w:t>29</w:t>
          </w:r>
          <w:r>
            <w:fldChar w:fldCharType="end"/>
          </w:r>
          <w:r>
            <w:rPr>
              <w:rFonts w:hint="eastAsia" w:ascii="Times New Roman" w:hAnsi="Times New Roman" w:eastAsia="宋体" w:cs="Times New Roman"/>
              <w:kern w:val="2"/>
              <w:szCs w:val="24"/>
              <w:lang w:val="zh-CN" w:eastAsia="zh-CN" w:bidi="ar-SA"/>
            </w:rPr>
            <w:fldChar w:fldCharType="end"/>
          </w:r>
        </w:p>
        <w:p w14:paraId="6CEFB9A6">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_Toc12513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附录1 其他资格条件（其他主要管理人员和技术人员要求）</w:t>
          </w:r>
          <w:r>
            <w:tab/>
          </w:r>
          <w:r>
            <w:fldChar w:fldCharType="begin"/>
          </w:r>
          <w:r>
            <w:instrText xml:space="preserve"> PAGEREF _Toc12513 \h </w:instrText>
          </w:r>
          <w:r>
            <w:fldChar w:fldCharType="separate"/>
          </w:r>
          <w:r>
            <w:t>30</w:t>
          </w:r>
          <w:r>
            <w:fldChar w:fldCharType="end"/>
          </w:r>
          <w:r>
            <w:rPr>
              <w:rFonts w:hint="eastAsia" w:ascii="Times New Roman" w:hAnsi="Times New Roman" w:eastAsia="宋体" w:cs="Times New Roman"/>
              <w:kern w:val="2"/>
              <w:szCs w:val="24"/>
              <w:lang w:val="zh-CN" w:eastAsia="zh-CN" w:bidi="ar-SA"/>
            </w:rPr>
            <w:fldChar w:fldCharType="end"/>
          </w:r>
        </w:p>
        <w:p w14:paraId="48177F2C">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_Toc27738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bCs/>
              <w:highlight w:val="none"/>
            </w:rPr>
            <w:t>附录</w:t>
          </w:r>
          <w:r>
            <w:rPr>
              <w:rFonts w:hint="eastAsia" w:ascii="宋体" w:hAnsi="宋体" w:eastAsia="宋体" w:cs="Times New Roman"/>
              <w:bCs/>
              <w:highlight w:val="none"/>
              <w:lang w:val="en-US" w:eastAsia="zh-CN"/>
            </w:rPr>
            <w:t>2</w:t>
          </w:r>
          <w:r>
            <w:rPr>
              <w:rFonts w:hint="eastAsia" w:ascii="宋体" w:hAnsi="宋体" w:eastAsia="宋体" w:cs="Times New Roman"/>
              <w:bCs/>
              <w:highlight w:val="none"/>
            </w:rPr>
            <w:t xml:space="preserve">  </w:t>
          </w:r>
          <w:r>
            <w:rPr>
              <w:rFonts w:hint="eastAsia" w:ascii="宋体" w:hAnsi="宋体" w:eastAsia="宋体"/>
              <w:highlight w:val="none"/>
            </w:rPr>
            <w:t>其他资格条件</w:t>
          </w:r>
          <w:r>
            <w:rPr>
              <w:rFonts w:hint="eastAsia" w:ascii="宋体" w:hAnsi="宋体" w:eastAsia="宋体" w:cs="Times New Roman"/>
              <w:bCs/>
              <w:highlight w:val="none"/>
            </w:rPr>
            <w:t>（主要机械、设备最低要求）</w:t>
          </w:r>
          <w:r>
            <w:tab/>
          </w:r>
          <w:r>
            <w:fldChar w:fldCharType="begin"/>
          </w:r>
          <w:r>
            <w:instrText xml:space="preserve"> PAGEREF _Toc27738 \h </w:instrText>
          </w:r>
          <w:r>
            <w:fldChar w:fldCharType="separate"/>
          </w:r>
          <w:r>
            <w:t>31</w:t>
          </w:r>
          <w:r>
            <w:fldChar w:fldCharType="end"/>
          </w:r>
          <w:r>
            <w:rPr>
              <w:rFonts w:hint="eastAsia" w:ascii="Times New Roman" w:hAnsi="Times New Roman" w:eastAsia="宋体" w:cs="Times New Roman"/>
              <w:kern w:val="2"/>
              <w:szCs w:val="24"/>
              <w:lang w:val="zh-CN" w:eastAsia="zh-CN" w:bidi="ar-SA"/>
            </w:rPr>
            <w:fldChar w:fldCharType="end"/>
          </w:r>
        </w:p>
        <w:p w14:paraId="4883ADF4">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_Toc5602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第三章 评标办法（综合评估法）</w:t>
          </w:r>
          <w:r>
            <w:tab/>
          </w:r>
          <w:r>
            <w:fldChar w:fldCharType="begin"/>
          </w:r>
          <w:r>
            <w:instrText xml:space="preserve"> PAGEREF _Toc5602 \h </w:instrText>
          </w:r>
          <w:r>
            <w:fldChar w:fldCharType="separate"/>
          </w:r>
          <w:r>
            <w:t>37</w:t>
          </w:r>
          <w:r>
            <w:fldChar w:fldCharType="end"/>
          </w:r>
          <w:r>
            <w:rPr>
              <w:rFonts w:hint="eastAsia" w:ascii="Times New Roman" w:hAnsi="Times New Roman" w:eastAsia="宋体" w:cs="Times New Roman"/>
              <w:kern w:val="2"/>
              <w:szCs w:val="24"/>
              <w:lang w:val="zh-CN" w:eastAsia="zh-CN" w:bidi="ar-SA"/>
            </w:rPr>
            <w:fldChar w:fldCharType="end"/>
          </w:r>
        </w:p>
        <w:p w14:paraId="158D135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_Toc3108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8"/>
            </w:rPr>
            <w:t>评标办法前附表</w:t>
          </w:r>
          <w:r>
            <w:tab/>
          </w:r>
          <w:r>
            <w:fldChar w:fldCharType="begin"/>
          </w:r>
          <w:r>
            <w:instrText xml:space="preserve"> PAGEREF _Toc3108 \h </w:instrText>
          </w:r>
          <w:r>
            <w:fldChar w:fldCharType="separate"/>
          </w:r>
          <w:r>
            <w:t>37</w:t>
          </w:r>
          <w:r>
            <w:fldChar w:fldCharType="end"/>
          </w:r>
          <w:r>
            <w:rPr>
              <w:rFonts w:hint="eastAsia" w:ascii="Times New Roman" w:hAnsi="Times New Roman" w:eastAsia="宋体" w:cs="Times New Roman"/>
              <w:kern w:val="2"/>
              <w:szCs w:val="24"/>
              <w:lang w:val="zh-CN" w:eastAsia="zh-CN" w:bidi="ar-SA"/>
            </w:rPr>
            <w:fldChar w:fldCharType="end"/>
          </w:r>
        </w:p>
        <w:p w14:paraId="6A7F87F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_Toc31935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bCs/>
              <w:kern w:val="0"/>
              <w:szCs w:val="32"/>
              <w:lang w:val="zh-CN"/>
            </w:rPr>
            <w:t>1.评标方法</w:t>
          </w:r>
          <w:r>
            <w:tab/>
          </w:r>
          <w:r>
            <w:fldChar w:fldCharType="begin"/>
          </w:r>
          <w:r>
            <w:instrText xml:space="preserve"> PAGEREF _Toc31935 \h </w:instrText>
          </w:r>
          <w:r>
            <w:fldChar w:fldCharType="separate"/>
          </w:r>
          <w:r>
            <w:t>41</w:t>
          </w:r>
          <w:r>
            <w:fldChar w:fldCharType="end"/>
          </w:r>
          <w:r>
            <w:rPr>
              <w:rFonts w:hint="eastAsia" w:ascii="Times New Roman" w:hAnsi="Times New Roman" w:eastAsia="宋体" w:cs="Times New Roman"/>
              <w:kern w:val="2"/>
              <w:szCs w:val="24"/>
              <w:lang w:val="zh-CN" w:eastAsia="zh-CN" w:bidi="ar-SA"/>
            </w:rPr>
            <w:fldChar w:fldCharType="end"/>
          </w:r>
        </w:p>
        <w:p w14:paraId="214F7DA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_Toc27897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rPr>
            <w:t>2.评审标准</w:t>
          </w:r>
          <w:r>
            <w:tab/>
          </w:r>
          <w:r>
            <w:fldChar w:fldCharType="begin"/>
          </w:r>
          <w:r>
            <w:instrText xml:space="preserve"> PAGEREF _Toc27897 \h </w:instrText>
          </w:r>
          <w:r>
            <w:fldChar w:fldCharType="separate"/>
          </w:r>
          <w:r>
            <w:t>41</w:t>
          </w:r>
          <w:r>
            <w:fldChar w:fldCharType="end"/>
          </w:r>
          <w:r>
            <w:rPr>
              <w:rFonts w:hint="eastAsia" w:ascii="Times New Roman" w:hAnsi="Times New Roman" w:eastAsia="宋体" w:cs="Times New Roman"/>
              <w:kern w:val="2"/>
              <w:szCs w:val="24"/>
              <w:lang w:val="zh-CN" w:eastAsia="zh-CN" w:bidi="ar-SA"/>
            </w:rPr>
            <w:fldChar w:fldCharType="end"/>
          </w:r>
        </w:p>
        <w:p w14:paraId="33A1A1D7">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_Toc24984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rPr>
            <w:t>3.评标程序</w:t>
          </w:r>
          <w:r>
            <w:tab/>
          </w:r>
          <w:r>
            <w:fldChar w:fldCharType="begin"/>
          </w:r>
          <w:r>
            <w:instrText xml:space="preserve"> PAGEREF _Toc24984 \h </w:instrText>
          </w:r>
          <w:r>
            <w:fldChar w:fldCharType="separate"/>
          </w:r>
          <w:r>
            <w:t>41</w:t>
          </w:r>
          <w:r>
            <w:fldChar w:fldCharType="end"/>
          </w:r>
          <w:r>
            <w:rPr>
              <w:rFonts w:hint="eastAsia" w:ascii="Times New Roman" w:hAnsi="Times New Roman" w:eastAsia="宋体" w:cs="Times New Roman"/>
              <w:kern w:val="2"/>
              <w:szCs w:val="24"/>
              <w:lang w:val="zh-CN" w:eastAsia="zh-CN" w:bidi="ar-SA"/>
            </w:rPr>
            <w:fldChar w:fldCharType="end"/>
          </w:r>
        </w:p>
        <w:p w14:paraId="0EE9B8E8">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_Toc20873 </w:instrText>
          </w:r>
          <w:r>
            <w:rPr>
              <w:rFonts w:hint="eastAsia" w:ascii="Times New Roman" w:hAnsi="Times New Roman" w:eastAsia="宋体" w:cs="Times New Roman"/>
              <w:kern w:val="2"/>
              <w:szCs w:val="24"/>
              <w:lang w:val="zh-CN" w:eastAsia="zh-CN" w:bidi="ar-SA"/>
            </w:rPr>
            <w:fldChar w:fldCharType="separate"/>
          </w:r>
          <w:r>
            <w:rPr>
              <w:rFonts w:hint="eastAsia" w:ascii="黑体" w:eastAsia="黑体"/>
              <w:kern w:val="0"/>
              <w:highlight w:val="none"/>
            </w:rPr>
            <w:t>附件B：否决投标条款</w:t>
          </w:r>
          <w:r>
            <w:tab/>
          </w:r>
          <w:r>
            <w:fldChar w:fldCharType="begin"/>
          </w:r>
          <w:r>
            <w:instrText xml:space="preserve"> PAGEREF _Toc20873 \h </w:instrText>
          </w:r>
          <w:r>
            <w:fldChar w:fldCharType="separate"/>
          </w:r>
          <w:r>
            <w:t>- 48 -</w:t>
          </w:r>
          <w:r>
            <w:fldChar w:fldCharType="end"/>
          </w:r>
          <w:r>
            <w:rPr>
              <w:rFonts w:hint="eastAsia" w:ascii="Times New Roman" w:hAnsi="Times New Roman" w:eastAsia="宋体" w:cs="Times New Roman"/>
              <w:kern w:val="2"/>
              <w:szCs w:val="24"/>
              <w:lang w:val="zh-CN" w:eastAsia="zh-CN" w:bidi="ar-SA"/>
            </w:rPr>
            <w:fldChar w:fldCharType="end"/>
          </w:r>
        </w:p>
        <w:p w14:paraId="74B14D8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_Toc2224 </w:instrText>
          </w:r>
          <w:r>
            <w:rPr>
              <w:rFonts w:hint="eastAsia" w:ascii="Times New Roman" w:hAnsi="Times New Roman" w:eastAsia="宋体" w:cs="Times New Roman"/>
              <w:kern w:val="2"/>
              <w:szCs w:val="24"/>
              <w:lang w:val="zh-CN" w:eastAsia="zh-CN" w:bidi="ar-SA"/>
            </w:rPr>
            <w:fldChar w:fldCharType="separate"/>
          </w:r>
          <w:r>
            <w:rPr>
              <w:rFonts w:hint="eastAsia" w:ascii="黑体" w:hAnsi="Times New Roman" w:eastAsia="黑体" w:cs="Times New Roman"/>
              <w:bCs w:val="0"/>
              <w:kern w:val="0"/>
              <w:szCs w:val="24"/>
              <w:highlight w:val="none"/>
              <w:lang w:val="en-US" w:eastAsia="zh-CN" w:bidi="ar-SA"/>
            </w:rPr>
            <w:t>B1.否决投标条款</w:t>
          </w:r>
          <w:r>
            <w:tab/>
          </w:r>
          <w:r>
            <w:fldChar w:fldCharType="begin"/>
          </w:r>
          <w:r>
            <w:instrText xml:space="preserve"> PAGEREF _Toc2224 \h </w:instrText>
          </w:r>
          <w:r>
            <w:fldChar w:fldCharType="separate"/>
          </w:r>
          <w:r>
            <w:t>- 48 -</w:t>
          </w:r>
          <w:r>
            <w:fldChar w:fldCharType="end"/>
          </w:r>
          <w:r>
            <w:rPr>
              <w:rFonts w:hint="eastAsia" w:ascii="Times New Roman" w:hAnsi="Times New Roman" w:eastAsia="宋体" w:cs="Times New Roman"/>
              <w:kern w:val="2"/>
              <w:szCs w:val="24"/>
              <w:lang w:val="zh-CN" w:eastAsia="zh-CN" w:bidi="ar-SA"/>
            </w:rPr>
            <w:fldChar w:fldCharType="end"/>
          </w:r>
        </w:p>
        <w:p w14:paraId="574D093B">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_Toc12325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第四章 合同条款及格式</w:t>
          </w:r>
          <w:r>
            <w:tab/>
          </w:r>
          <w:r>
            <w:fldChar w:fldCharType="begin"/>
          </w:r>
          <w:r>
            <w:instrText xml:space="preserve"> PAGEREF _Toc12325 \h </w:instrText>
          </w:r>
          <w:r>
            <w:fldChar w:fldCharType="separate"/>
          </w:r>
          <w:r>
            <w:t>- 50 -</w:t>
          </w:r>
          <w:r>
            <w:fldChar w:fldCharType="end"/>
          </w:r>
          <w:r>
            <w:rPr>
              <w:rFonts w:hint="eastAsia" w:ascii="Times New Roman" w:hAnsi="Times New Roman" w:eastAsia="宋体" w:cs="Times New Roman"/>
              <w:kern w:val="2"/>
              <w:szCs w:val="24"/>
              <w:lang w:val="zh-CN" w:eastAsia="zh-CN" w:bidi="ar-SA"/>
            </w:rPr>
            <w:fldChar w:fldCharType="end"/>
          </w:r>
        </w:p>
        <w:p w14:paraId="76366BD3">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_Toc5954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highlight w:val="none"/>
            </w:rPr>
            <w:t>第一部分 合同协议书</w:t>
          </w:r>
          <w:r>
            <w:tab/>
          </w:r>
          <w:r>
            <w:fldChar w:fldCharType="begin"/>
          </w:r>
          <w:r>
            <w:instrText xml:space="preserve"> PAGEREF _Toc5954 \h </w:instrText>
          </w:r>
          <w:r>
            <w:fldChar w:fldCharType="separate"/>
          </w:r>
          <w:r>
            <w:t>- 50 -</w:t>
          </w:r>
          <w:r>
            <w:fldChar w:fldCharType="end"/>
          </w:r>
          <w:r>
            <w:rPr>
              <w:rFonts w:hint="eastAsia" w:ascii="Times New Roman" w:hAnsi="Times New Roman" w:eastAsia="宋体" w:cs="Times New Roman"/>
              <w:kern w:val="2"/>
              <w:szCs w:val="24"/>
              <w:lang w:val="zh-CN" w:eastAsia="zh-CN" w:bidi="ar-SA"/>
            </w:rPr>
            <w:fldChar w:fldCharType="end"/>
          </w:r>
        </w:p>
        <w:p w14:paraId="5240A7E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_Toc26061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highlight w:val="none"/>
            </w:rPr>
            <w:t>第二部分 通用合同条款</w:t>
          </w:r>
          <w:r>
            <w:tab/>
          </w:r>
          <w:r>
            <w:fldChar w:fldCharType="begin"/>
          </w:r>
          <w:r>
            <w:instrText xml:space="preserve"> PAGEREF _Toc26061 \h </w:instrText>
          </w:r>
          <w:r>
            <w:fldChar w:fldCharType="separate"/>
          </w:r>
          <w:r>
            <w:t>- 54 -</w:t>
          </w:r>
          <w:r>
            <w:fldChar w:fldCharType="end"/>
          </w:r>
          <w:r>
            <w:rPr>
              <w:rFonts w:hint="eastAsia" w:ascii="Times New Roman" w:hAnsi="Times New Roman" w:eastAsia="宋体" w:cs="Times New Roman"/>
              <w:kern w:val="2"/>
              <w:szCs w:val="24"/>
              <w:lang w:val="zh-CN" w:eastAsia="zh-CN" w:bidi="ar-SA"/>
            </w:rPr>
            <w:fldChar w:fldCharType="end"/>
          </w:r>
        </w:p>
        <w:p w14:paraId="279729E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_Toc18995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highlight w:val="none"/>
            </w:rPr>
            <w:t>第三部分 专用合同条款</w:t>
          </w:r>
          <w:r>
            <w:tab/>
          </w:r>
          <w:r>
            <w:fldChar w:fldCharType="begin"/>
          </w:r>
          <w:r>
            <w:instrText xml:space="preserve"> PAGEREF _Toc18995 \h </w:instrText>
          </w:r>
          <w:r>
            <w:fldChar w:fldCharType="separate"/>
          </w:r>
          <w:r>
            <w:t>- 114 -</w:t>
          </w:r>
          <w:r>
            <w:fldChar w:fldCharType="end"/>
          </w:r>
          <w:r>
            <w:rPr>
              <w:rFonts w:hint="eastAsia" w:ascii="Times New Roman" w:hAnsi="Times New Roman" w:eastAsia="宋体" w:cs="Times New Roman"/>
              <w:kern w:val="2"/>
              <w:szCs w:val="24"/>
              <w:lang w:val="zh-CN" w:eastAsia="zh-CN" w:bidi="ar-SA"/>
            </w:rPr>
            <w:fldChar w:fldCharType="end"/>
          </w:r>
        </w:p>
        <w:p w14:paraId="0585AFD2">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_Toc23007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第五章  工程量清单</w:t>
          </w:r>
          <w:r>
            <w:tab/>
          </w:r>
          <w:r>
            <w:fldChar w:fldCharType="begin"/>
          </w:r>
          <w:r>
            <w:instrText xml:space="preserve"> PAGEREF _Toc23007 \h </w:instrText>
          </w:r>
          <w:r>
            <w:fldChar w:fldCharType="separate"/>
          </w:r>
          <w:r>
            <w:t>154</w:t>
          </w:r>
          <w:r>
            <w:fldChar w:fldCharType="end"/>
          </w:r>
          <w:r>
            <w:rPr>
              <w:rFonts w:hint="eastAsia" w:ascii="Times New Roman" w:hAnsi="Times New Roman" w:eastAsia="宋体" w:cs="Times New Roman"/>
              <w:kern w:val="2"/>
              <w:szCs w:val="24"/>
              <w:lang w:val="zh-CN" w:eastAsia="zh-CN" w:bidi="ar-SA"/>
            </w:rPr>
            <w:fldChar w:fldCharType="end"/>
          </w:r>
        </w:p>
        <w:p w14:paraId="0FF46F94">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_Toc11638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二 卷</w:t>
          </w:r>
          <w:r>
            <w:tab/>
          </w:r>
          <w:r>
            <w:fldChar w:fldCharType="begin"/>
          </w:r>
          <w:r>
            <w:instrText xml:space="preserve"> PAGEREF _Toc11638 \h </w:instrText>
          </w:r>
          <w:r>
            <w:fldChar w:fldCharType="separate"/>
          </w:r>
          <w:r>
            <w:t>155</w:t>
          </w:r>
          <w:r>
            <w:fldChar w:fldCharType="end"/>
          </w:r>
          <w:r>
            <w:rPr>
              <w:rFonts w:hint="eastAsia" w:ascii="Times New Roman" w:hAnsi="Times New Roman" w:eastAsia="宋体" w:cs="Times New Roman"/>
              <w:kern w:val="2"/>
              <w:szCs w:val="24"/>
              <w:lang w:val="zh-CN" w:eastAsia="zh-CN" w:bidi="ar-SA"/>
            </w:rPr>
            <w:fldChar w:fldCharType="end"/>
          </w:r>
        </w:p>
        <w:p w14:paraId="20CD61B7">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_Toc16210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 xml:space="preserve">第六章 </w:t>
          </w:r>
          <w:r>
            <w:rPr>
              <w:rFonts w:ascii="宋体" w:hAnsi="宋体" w:eastAsia="宋体"/>
              <w:szCs w:val="44"/>
              <w:highlight w:val="none"/>
            </w:rPr>
            <w:t xml:space="preserve"> </w:t>
          </w:r>
          <w:r>
            <w:rPr>
              <w:rFonts w:hint="eastAsia" w:ascii="宋体" w:hAnsi="宋体" w:eastAsia="宋体"/>
              <w:szCs w:val="44"/>
              <w:highlight w:val="none"/>
            </w:rPr>
            <w:t>技术条款（详见设计图纸资料）</w:t>
          </w:r>
          <w:r>
            <w:tab/>
          </w:r>
          <w:r>
            <w:fldChar w:fldCharType="begin"/>
          </w:r>
          <w:r>
            <w:instrText xml:space="preserve"> PAGEREF _Toc16210 \h </w:instrText>
          </w:r>
          <w:r>
            <w:fldChar w:fldCharType="separate"/>
          </w:r>
          <w:r>
            <w:t>156</w:t>
          </w:r>
          <w:r>
            <w:fldChar w:fldCharType="end"/>
          </w:r>
          <w:r>
            <w:rPr>
              <w:rFonts w:hint="eastAsia" w:ascii="Times New Roman" w:hAnsi="Times New Roman" w:eastAsia="宋体" w:cs="Times New Roman"/>
              <w:kern w:val="2"/>
              <w:szCs w:val="24"/>
              <w:lang w:val="zh-CN" w:eastAsia="zh-CN" w:bidi="ar-SA"/>
            </w:rPr>
            <w:fldChar w:fldCharType="end"/>
          </w:r>
        </w:p>
        <w:p w14:paraId="2DDD8157">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_Toc4711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三 卷</w:t>
          </w:r>
          <w:r>
            <w:tab/>
          </w:r>
          <w:r>
            <w:fldChar w:fldCharType="begin"/>
          </w:r>
          <w:r>
            <w:instrText xml:space="preserve"> PAGEREF _Toc4711 \h </w:instrText>
          </w:r>
          <w:r>
            <w:fldChar w:fldCharType="separate"/>
          </w:r>
          <w:r>
            <w:t>157</w:t>
          </w:r>
          <w:r>
            <w:fldChar w:fldCharType="end"/>
          </w:r>
          <w:r>
            <w:rPr>
              <w:rFonts w:hint="eastAsia" w:ascii="Times New Roman" w:hAnsi="Times New Roman" w:eastAsia="宋体" w:cs="Times New Roman"/>
              <w:kern w:val="2"/>
              <w:szCs w:val="24"/>
              <w:lang w:val="zh-CN" w:eastAsia="zh-CN" w:bidi="ar-SA"/>
            </w:rPr>
            <w:fldChar w:fldCharType="end"/>
          </w:r>
        </w:p>
        <w:p w14:paraId="7B57C314">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_Toc17001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第七章 技术标准和要求（合同技术条款）</w:t>
          </w:r>
          <w:r>
            <w:tab/>
          </w:r>
          <w:r>
            <w:fldChar w:fldCharType="begin"/>
          </w:r>
          <w:r>
            <w:instrText xml:space="preserve"> PAGEREF _Toc17001 \h </w:instrText>
          </w:r>
          <w:r>
            <w:fldChar w:fldCharType="separate"/>
          </w:r>
          <w:r>
            <w:t>158</w:t>
          </w:r>
          <w:r>
            <w:fldChar w:fldCharType="end"/>
          </w:r>
          <w:r>
            <w:rPr>
              <w:rFonts w:hint="eastAsia" w:ascii="Times New Roman" w:hAnsi="Times New Roman" w:eastAsia="宋体" w:cs="Times New Roman"/>
              <w:kern w:val="2"/>
              <w:szCs w:val="24"/>
              <w:lang w:val="zh-CN" w:eastAsia="zh-CN" w:bidi="ar-SA"/>
            </w:rPr>
            <w:fldChar w:fldCharType="end"/>
          </w:r>
        </w:p>
        <w:p w14:paraId="3B79CE9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_Toc3854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四 卷</w:t>
          </w:r>
          <w:r>
            <w:tab/>
          </w:r>
          <w:r>
            <w:fldChar w:fldCharType="begin"/>
          </w:r>
          <w:r>
            <w:instrText xml:space="preserve"> PAGEREF _Toc3854 \h </w:instrText>
          </w:r>
          <w:r>
            <w:fldChar w:fldCharType="separate"/>
          </w:r>
          <w:r>
            <w:t>159</w:t>
          </w:r>
          <w:r>
            <w:fldChar w:fldCharType="end"/>
          </w:r>
          <w:r>
            <w:rPr>
              <w:rFonts w:hint="eastAsia" w:ascii="Times New Roman" w:hAnsi="Times New Roman" w:eastAsia="宋体" w:cs="Times New Roman"/>
              <w:kern w:val="2"/>
              <w:szCs w:val="24"/>
              <w:lang w:val="zh-CN" w:eastAsia="zh-CN" w:bidi="ar-SA"/>
            </w:rPr>
            <w:fldChar w:fldCharType="end"/>
          </w:r>
        </w:p>
        <w:p w14:paraId="4D58A536">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_Toc27856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第八章  投标文件格式</w:t>
          </w:r>
          <w:r>
            <w:tab/>
          </w:r>
          <w:r>
            <w:fldChar w:fldCharType="begin"/>
          </w:r>
          <w:r>
            <w:instrText xml:space="preserve"> PAGEREF _Toc27856 \h </w:instrText>
          </w:r>
          <w:r>
            <w:fldChar w:fldCharType="separate"/>
          </w:r>
          <w:r>
            <w:t>160</w:t>
          </w:r>
          <w:r>
            <w:fldChar w:fldCharType="end"/>
          </w:r>
          <w:r>
            <w:rPr>
              <w:rFonts w:hint="eastAsia" w:ascii="Times New Roman" w:hAnsi="Times New Roman" w:eastAsia="宋体" w:cs="Times New Roman"/>
              <w:kern w:val="2"/>
              <w:szCs w:val="24"/>
              <w:lang w:val="zh-CN" w:eastAsia="zh-CN" w:bidi="ar-SA"/>
            </w:rPr>
            <w:fldChar w:fldCharType="end"/>
          </w:r>
        </w:p>
        <w:p w14:paraId="23CB529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_Toc16168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投标（开标）一览表</w:t>
          </w:r>
          <w:r>
            <w:tab/>
          </w:r>
          <w:r>
            <w:fldChar w:fldCharType="begin"/>
          </w:r>
          <w:r>
            <w:instrText xml:space="preserve"> PAGEREF _Toc16168 \h </w:instrText>
          </w:r>
          <w:r>
            <w:fldChar w:fldCharType="separate"/>
          </w:r>
          <w:r>
            <w:t>161</w:t>
          </w:r>
          <w:r>
            <w:fldChar w:fldCharType="end"/>
          </w:r>
          <w:r>
            <w:rPr>
              <w:rFonts w:hint="eastAsia" w:ascii="Times New Roman" w:hAnsi="Times New Roman" w:eastAsia="宋体" w:cs="Times New Roman"/>
              <w:kern w:val="2"/>
              <w:szCs w:val="24"/>
              <w:lang w:val="zh-CN" w:eastAsia="zh-CN" w:bidi="ar-SA"/>
            </w:rPr>
            <w:fldChar w:fldCharType="end"/>
          </w:r>
        </w:p>
        <w:p w14:paraId="2760A34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_Toc12209 </w:instrText>
          </w:r>
          <w:r>
            <w:rPr>
              <w:rFonts w:hint="eastAsia" w:ascii="Times New Roman" w:hAnsi="Times New Roman" w:eastAsia="宋体" w:cs="Times New Roman"/>
              <w:kern w:val="2"/>
              <w:szCs w:val="24"/>
              <w:lang w:val="zh-CN" w:eastAsia="zh-CN" w:bidi="ar-SA"/>
            </w:rPr>
            <w:fldChar w:fldCharType="separate"/>
          </w:r>
          <w:r>
            <w:rPr>
              <w:rFonts w:ascii="宋体" w:hAnsi="宋体" w:eastAsia="宋体"/>
              <w:highlight w:val="none"/>
            </w:rPr>
            <w:t>一、投标函及投标函附录</w:t>
          </w:r>
          <w:r>
            <w:tab/>
          </w:r>
          <w:r>
            <w:fldChar w:fldCharType="begin"/>
          </w:r>
          <w:r>
            <w:instrText xml:space="preserve"> PAGEREF _Toc12209 \h </w:instrText>
          </w:r>
          <w:r>
            <w:fldChar w:fldCharType="separate"/>
          </w:r>
          <w:r>
            <w:t>163</w:t>
          </w:r>
          <w:r>
            <w:fldChar w:fldCharType="end"/>
          </w:r>
          <w:r>
            <w:rPr>
              <w:rFonts w:hint="eastAsia" w:ascii="Times New Roman" w:hAnsi="Times New Roman" w:eastAsia="宋体" w:cs="Times New Roman"/>
              <w:kern w:val="2"/>
              <w:szCs w:val="24"/>
              <w:lang w:val="zh-CN" w:eastAsia="zh-CN" w:bidi="ar-SA"/>
            </w:rPr>
            <w:fldChar w:fldCharType="end"/>
          </w:r>
        </w:p>
        <w:p w14:paraId="0604526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_Toc19884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二</w:t>
          </w:r>
          <w:r>
            <w:rPr>
              <w:rFonts w:ascii="宋体" w:hAnsi="宋体" w:eastAsia="宋体"/>
              <w:highlight w:val="none"/>
            </w:rPr>
            <w:t>、法定代表人身份证明</w:t>
          </w:r>
          <w:r>
            <w:tab/>
          </w:r>
          <w:r>
            <w:fldChar w:fldCharType="begin"/>
          </w:r>
          <w:r>
            <w:instrText xml:space="preserve"> PAGEREF _Toc19884 \h </w:instrText>
          </w:r>
          <w:r>
            <w:fldChar w:fldCharType="separate"/>
          </w:r>
          <w:r>
            <w:t>165</w:t>
          </w:r>
          <w:r>
            <w:fldChar w:fldCharType="end"/>
          </w:r>
          <w:r>
            <w:rPr>
              <w:rFonts w:hint="eastAsia" w:ascii="Times New Roman" w:hAnsi="Times New Roman" w:eastAsia="宋体" w:cs="Times New Roman"/>
              <w:kern w:val="2"/>
              <w:szCs w:val="24"/>
              <w:lang w:val="zh-CN" w:eastAsia="zh-CN" w:bidi="ar-SA"/>
            </w:rPr>
            <w:fldChar w:fldCharType="end"/>
          </w:r>
        </w:p>
        <w:p w14:paraId="4D42BA2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_Toc11390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三、授权委托书</w:t>
          </w:r>
          <w:r>
            <w:tab/>
          </w:r>
          <w:r>
            <w:fldChar w:fldCharType="begin"/>
          </w:r>
          <w:r>
            <w:instrText xml:space="preserve"> PAGEREF _Toc11390 \h </w:instrText>
          </w:r>
          <w:r>
            <w:fldChar w:fldCharType="separate"/>
          </w:r>
          <w:r>
            <w:t>166</w:t>
          </w:r>
          <w:r>
            <w:fldChar w:fldCharType="end"/>
          </w:r>
          <w:r>
            <w:rPr>
              <w:rFonts w:hint="eastAsia" w:ascii="Times New Roman" w:hAnsi="Times New Roman" w:eastAsia="宋体" w:cs="Times New Roman"/>
              <w:kern w:val="2"/>
              <w:szCs w:val="24"/>
              <w:lang w:val="zh-CN" w:eastAsia="zh-CN" w:bidi="ar-SA"/>
            </w:rPr>
            <w:fldChar w:fldCharType="end"/>
          </w:r>
        </w:p>
        <w:p w14:paraId="186C1A02">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_Toc28072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四、投标保证金</w:t>
          </w:r>
          <w:r>
            <w:tab/>
          </w:r>
          <w:r>
            <w:fldChar w:fldCharType="begin"/>
          </w:r>
          <w:r>
            <w:instrText xml:space="preserve"> PAGEREF _Toc28072 \h </w:instrText>
          </w:r>
          <w:r>
            <w:fldChar w:fldCharType="separate"/>
          </w:r>
          <w:r>
            <w:t>167</w:t>
          </w:r>
          <w:r>
            <w:fldChar w:fldCharType="end"/>
          </w:r>
          <w:r>
            <w:rPr>
              <w:rFonts w:hint="eastAsia" w:ascii="Times New Roman" w:hAnsi="Times New Roman" w:eastAsia="宋体" w:cs="Times New Roman"/>
              <w:kern w:val="2"/>
              <w:szCs w:val="24"/>
              <w:lang w:val="zh-CN" w:eastAsia="zh-CN" w:bidi="ar-SA"/>
            </w:rPr>
            <w:fldChar w:fldCharType="end"/>
          </w:r>
        </w:p>
        <w:p w14:paraId="7757124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_Toc10484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highlight w:val="none"/>
            </w:rPr>
            <w:t>五、资 格 审 查 资 料</w:t>
          </w:r>
          <w:r>
            <w:tab/>
          </w:r>
          <w:r>
            <w:fldChar w:fldCharType="begin"/>
          </w:r>
          <w:r>
            <w:instrText xml:space="preserve"> PAGEREF _Toc10484 \h </w:instrText>
          </w:r>
          <w:r>
            <w:fldChar w:fldCharType="separate"/>
          </w:r>
          <w:r>
            <w:t>168</w:t>
          </w:r>
          <w:r>
            <w:fldChar w:fldCharType="end"/>
          </w:r>
          <w:r>
            <w:rPr>
              <w:rFonts w:hint="eastAsia" w:ascii="Times New Roman" w:hAnsi="Times New Roman" w:eastAsia="宋体" w:cs="Times New Roman"/>
              <w:kern w:val="2"/>
              <w:szCs w:val="24"/>
              <w:lang w:val="zh-CN" w:eastAsia="zh-CN" w:bidi="ar-SA"/>
            </w:rPr>
            <w:fldChar w:fldCharType="end"/>
          </w:r>
        </w:p>
        <w:p w14:paraId="59815D03">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_Toc29604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（一）投标人基本情况表</w:t>
          </w:r>
          <w:r>
            <w:tab/>
          </w:r>
          <w:r>
            <w:fldChar w:fldCharType="begin"/>
          </w:r>
          <w:r>
            <w:instrText xml:space="preserve"> PAGEREF _Toc29604 \h </w:instrText>
          </w:r>
          <w:r>
            <w:fldChar w:fldCharType="separate"/>
          </w:r>
          <w:r>
            <w:t>168</w:t>
          </w:r>
          <w:r>
            <w:fldChar w:fldCharType="end"/>
          </w:r>
          <w:r>
            <w:rPr>
              <w:rFonts w:hint="eastAsia" w:ascii="Times New Roman" w:hAnsi="Times New Roman" w:eastAsia="宋体" w:cs="Times New Roman"/>
              <w:kern w:val="2"/>
              <w:szCs w:val="24"/>
              <w:lang w:val="zh-CN" w:eastAsia="zh-CN" w:bidi="ar-SA"/>
            </w:rPr>
            <w:fldChar w:fldCharType="end"/>
          </w:r>
        </w:p>
        <w:p w14:paraId="37A156D6">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_Toc29451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（二）</w:t>
          </w:r>
          <w:r>
            <w:rPr>
              <w:rFonts w:hint="eastAsia" w:ascii="宋体" w:hAnsi="宋体" w:eastAsia="宋体"/>
              <w:highlight w:val="none"/>
              <w:lang w:val="en-US" w:eastAsia="zh-CN"/>
            </w:rPr>
            <w:t>财务要求</w:t>
          </w:r>
          <w:r>
            <w:tab/>
          </w:r>
          <w:r>
            <w:fldChar w:fldCharType="begin"/>
          </w:r>
          <w:r>
            <w:instrText xml:space="preserve"> PAGEREF _Toc29451 \h </w:instrText>
          </w:r>
          <w:r>
            <w:fldChar w:fldCharType="separate"/>
          </w:r>
          <w:r>
            <w:t>169</w:t>
          </w:r>
          <w:r>
            <w:fldChar w:fldCharType="end"/>
          </w:r>
          <w:r>
            <w:rPr>
              <w:rFonts w:hint="eastAsia" w:ascii="Times New Roman" w:hAnsi="Times New Roman" w:eastAsia="宋体" w:cs="Times New Roman"/>
              <w:kern w:val="2"/>
              <w:szCs w:val="24"/>
              <w:lang w:val="zh-CN" w:eastAsia="zh-CN" w:bidi="ar-SA"/>
            </w:rPr>
            <w:fldChar w:fldCharType="end"/>
          </w:r>
        </w:p>
        <w:p w14:paraId="52429A3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_Toc5860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（三）拟投入本项目标段项目部人员基本情况表</w:t>
          </w:r>
          <w:r>
            <w:tab/>
          </w:r>
          <w:r>
            <w:fldChar w:fldCharType="begin"/>
          </w:r>
          <w:r>
            <w:instrText xml:space="preserve"> PAGEREF _Toc5860 \h </w:instrText>
          </w:r>
          <w:r>
            <w:fldChar w:fldCharType="separate"/>
          </w:r>
          <w:r>
            <w:t>170</w:t>
          </w:r>
          <w:r>
            <w:fldChar w:fldCharType="end"/>
          </w:r>
          <w:r>
            <w:rPr>
              <w:rFonts w:hint="eastAsia" w:ascii="Times New Roman" w:hAnsi="Times New Roman" w:eastAsia="宋体" w:cs="Times New Roman"/>
              <w:kern w:val="2"/>
              <w:szCs w:val="24"/>
              <w:lang w:val="zh-CN" w:eastAsia="zh-CN" w:bidi="ar-SA"/>
            </w:rPr>
            <w:fldChar w:fldCharType="end"/>
          </w:r>
        </w:p>
        <w:p w14:paraId="07280C34">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_Toc17369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（四）主要人员简历表</w:t>
          </w:r>
          <w:r>
            <w:tab/>
          </w:r>
          <w:r>
            <w:fldChar w:fldCharType="begin"/>
          </w:r>
          <w:r>
            <w:instrText xml:space="preserve"> PAGEREF _Toc17369 \h </w:instrText>
          </w:r>
          <w:r>
            <w:fldChar w:fldCharType="separate"/>
          </w:r>
          <w:r>
            <w:t>171</w:t>
          </w:r>
          <w:r>
            <w:fldChar w:fldCharType="end"/>
          </w:r>
          <w:r>
            <w:rPr>
              <w:rFonts w:hint="eastAsia" w:ascii="Times New Roman" w:hAnsi="Times New Roman" w:eastAsia="宋体" w:cs="Times New Roman"/>
              <w:kern w:val="2"/>
              <w:szCs w:val="24"/>
              <w:lang w:val="zh-CN" w:eastAsia="zh-CN" w:bidi="ar-SA"/>
            </w:rPr>
            <w:fldChar w:fldCharType="end"/>
          </w:r>
        </w:p>
        <w:p w14:paraId="3C832AF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_Toc14187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（五）主要机械设备投入表</w:t>
          </w:r>
          <w:r>
            <w:tab/>
          </w:r>
          <w:r>
            <w:fldChar w:fldCharType="begin"/>
          </w:r>
          <w:r>
            <w:instrText xml:space="preserve"> PAGEREF _Toc14187 \h </w:instrText>
          </w:r>
          <w:r>
            <w:fldChar w:fldCharType="separate"/>
          </w:r>
          <w:r>
            <w:t>172</w:t>
          </w:r>
          <w:r>
            <w:fldChar w:fldCharType="end"/>
          </w:r>
          <w:r>
            <w:rPr>
              <w:rFonts w:hint="eastAsia" w:ascii="Times New Roman" w:hAnsi="Times New Roman" w:eastAsia="宋体" w:cs="Times New Roman"/>
              <w:kern w:val="2"/>
              <w:szCs w:val="24"/>
              <w:lang w:val="zh-CN" w:eastAsia="zh-CN" w:bidi="ar-SA"/>
            </w:rPr>
            <w:fldChar w:fldCharType="end"/>
          </w:r>
        </w:p>
        <w:p w14:paraId="35A0141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_Toc24982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（六）近年完成的类似工程情况表</w:t>
          </w:r>
          <w:r>
            <w:tab/>
          </w:r>
          <w:r>
            <w:fldChar w:fldCharType="begin"/>
          </w:r>
          <w:r>
            <w:instrText xml:space="preserve"> PAGEREF _Toc24982 \h </w:instrText>
          </w:r>
          <w:r>
            <w:fldChar w:fldCharType="separate"/>
          </w:r>
          <w:r>
            <w:t>173</w:t>
          </w:r>
          <w:r>
            <w:fldChar w:fldCharType="end"/>
          </w:r>
          <w:r>
            <w:rPr>
              <w:rFonts w:hint="eastAsia" w:ascii="Times New Roman" w:hAnsi="Times New Roman" w:eastAsia="宋体" w:cs="Times New Roman"/>
              <w:kern w:val="2"/>
              <w:szCs w:val="24"/>
              <w:lang w:val="zh-CN" w:eastAsia="zh-CN" w:bidi="ar-SA"/>
            </w:rPr>
            <w:fldChar w:fldCharType="end"/>
          </w:r>
        </w:p>
        <w:p w14:paraId="18D27B27">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_Toc14302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（七）投标人信誉</w:t>
          </w:r>
          <w:r>
            <w:rPr>
              <w:rFonts w:hint="eastAsia" w:ascii="宋体" w:hAnsi="宋体" w:eastAsia="宋体"/>
              <w:highlight w:val="none"/>
              <w:lang w:eastAsia="zh-CN"/>
            </w:rPr>
            <w:t>情况</w:t>
          </w:r>
          <w:r>
            <w:tab/>
          </w:r>
          <w:r>
            <w:fldChar w:fldCharType="begin"/>
          </w:r>
          <w:r>
            <w:instrText xml:space="preserve"> PAGEREF _Toc14302 \h </w:instrText>
          </w:r>
          <w:r>
            <w:fldChar w:fldCharType="separate"/>
          </w:r>
          <w:r>
            <w:t>174</w:t>
          </w:r>
          <w:r>
            <w:fldChar w:fldCharType="end"/>
          </w:r>
          <w:r>
            <w:rPr>
              <w:rFonts w:hint="eastAsia" w:ascii="Times New Roman" w:hAnsi="Times New Roman" w:eastAsia="宋体" w:cs="Times New Roman"/>
              <w:kern w:val="2"/>
              <w:szCs w:val="24"/>
              <w:lang w:val="zh-CN" w:eastAsia="zh-CN" w:bidi="ar-SA"/>
            </w:rPr>
            <w:fldChar w:fldCharType="end"/>
          </w:r>
        </w:p>
        <w:p w14:paraId="1E9EE1A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_Toc19547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bCs/>
              <w:szCs w:val="21"/>
              <w:highlight w:val="none"/>
            </w:rPr>
            <w:t>诚信承诺书</w:t>
          </w:r>
          <w:r>
            <w:tab/>
          </w:r>
          <w:r>
            <w:fldChar w:fldCharType="begin"/>
          </w:r>
          <w:r>
            <w:instrText xml:space="preserve"> PAGEREF _Toc19547 \h </w:instrText>
          </w:r>
          <w:r>
            <w:fldChar w:fldCharType="separate"/>
          </w:r>
          <w:r>
            <w:t>175</w:t>
          </w:r>
          <w:r>
            <w:fldChar w:fldCharType="end"/>
          </w:r>
          <w:r>
            <w:rPr>
              <w:rFonts w:hint="eastAsia" w:ascii="Times New Roman" w:hAnsi="Times New Roman" w:eastAsia="宋体" w:cs="Times New Roman"/>
              <w:kern w:val="2"/>
              <w:szCs w:val="24"/>
              <w:lang w:val="zh-CN" w:eastAsia="zh-CN" w:bidi="ar-SA"/>
            </w:rPr>
            <w:fldChar w:fldCharType="end"/>
          </w:r>
        </w:p>
        <w:p w14:paraId="5B8E4BC6">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_Toc18395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21"/>
              <w:highlight w:val="none"/>
            </w:rPr>
            <w:t>一、参与项目投标所提供的一切材料都真实、合法、有效。</w:t>
          </w:r>
          <w:r>
            <w:tab/>
          </w:r>
          <w:r>
            <w:fldChar w:fldCharType="begin"/>
          </w:r>
          <w:r>
            <w:instrText xml:space="preserve"> PAGEREF _Toc18395 \h </w:instrText>
          </w:r>
          <w:r>
            <w:fldChar w:fldCharType="separate"/>
          </w:r>
          <w:r>
            <w:t>175</w:t>
          </w:r>
          <w:r>
            <w:fldChar w:fldCharType="end"/>
          </w:r>
          <w:r>
            <w:rPr>
              <w:rFonts w:hint="eastAsia" w:ascii="Times New Roman" w:hAnsi="Times New Roman" w:eastAsia="宋体" w:cs="Times New Roman"/>
              <w:kern w:val="2"/>
              <w:szCs w:val="24"/>
              <w:lang w:val="zh-CN" w:eastAsia="zh-CN" w:bidi="ar-SA"/>
            </w:rPr>
            <w:fldChar w:fldCharType="end"/>
          </w:r>
        </w:p>
        <w:p w14:paraId="64B8C2CA">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_Toc28069 </w:instrText>
          </w:r>
          <w:r>
            <w:rPr>
              <w:rFonts w:hint="eastAsia" w:ascii="Times New Roman" w:hAnsi="Times New Roman" w:eastAsia="宋体" w:cs="Times New Roman"/>
              <w:kern w:val="2"/>
              <w:szCs w:val="24"/>
              <w:lang w:val="zh-CN" w:eastAsia="zh-CN" w:bidi="ar-SA"/>
            </w:rPr>
            <w:fldChar w:fldCharType="separate"/>
          </w:r>
          <w:r>
            <w:rPr>
              <w:rFonts w:hint="eastAsia" w:cs="宋体"/>
              <w:bCs w:val="0"/>
              <w:kern w:val="2"/>
              <w:szCs w:val="28"/>
              <w:highlight w:val="none"/>
              <w:lang w:val="en-US" w:eastAsia="zh-CN" w:bidi="ar-SA"/>
            </w:rPr>
            <w:t>（格式自拟）</w:t>
          </w:r>
          <w:r>
            <w:tab/>
          </w:r>
          <w:r>
            <w:fldChar w:fldCharType="begin"/>
          </w:r>
          <w:r>
            <w:instrText xml:space="preserve"> PAGEREF _Toc28069 \h </w:instrText>
          </w:r>
          <w:r>
            <w:fldChar w:fldCharType="separate"/>
          </w:r>
          <w:r>
            <w:t>181</w:t>
          </w:r>
          <w:r>
            <w:fldChar w:fldCharType="end"/>
          </w:r>
          <w:r>
            <w:rPr>
              <w:rFonts w:hint="eastAsia" w:ascii="Times New Roman" w:hAnsi="Times New Roman" w:eastAsia="宋体" w:cs="Times New Roman"/>
              <w:kern w:val="2"/>
              <w:szCs w:val="24"/>
              <w:lang w:val="zh-CN" w:eastAsia="zh-CN" w:bidi="ar-SA"/>
            </w:rPr>
            <w:fldChar w:fldCharType="end"/>
          </w:r>
        </w:p>
        <w:p w14:paraId="07DFA31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_Toc10712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六、</w:t>
          </w:r>
          <w:r>
            <w:rPr>
              <w:rFonts w:ascii="宋体" w:hAnsi="宋体" w:eastAsia="宋体"/>
              <w:highlight w:val="none"/>
            </w:rPr>
            <w:t>已标价工程量清单</w:t>
          </w:r>
          <w:r>
            <w:tab/>
          </w:r>
          <w:r>
            <w:fldChar w:fldCharType="begin"/>
          </w:r>
          <w:r>
            <w:instrText xml:space="preserve"> PAGEREF _Toc10712 \h </w:instrText>
          </w:r>
          <w:r>
            <w:fldChar w:fldCharType="separate"/>
          </w:r>
          <w:r>
            <w:t>182</w:t>
          </w:r>
          <w:r>
            <w:fldChar w:fldCharType="end"/>
          </w:r>
          <w:r>
            <w:rPr>
              <w:rFonts w:hint="eastAsia" w:ascii="Times New Roman" w:hAnsi="Times New Roman" w:eastAsia="宋体" w:cs="Times New Roman"/>
              <w:kern w:val="2"/>
              <w:szCs w:val="24"/>
              <w:lang w:val="zh-CN" w:eastAsia="zh-CN" w:bidi="ar-SA"/>
            </w:rPr>
            <w:fldChar w:fldCharType="end"/>
          </w:r>
        </w:p>
        <w:p w14:paraId="02FA9C5E">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_Toc18752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七、</w:t>
          </w:r>
          <w:r>
            <w:rPr>
              <w:rFonts w:ascii="宋体" w:hAnsi="宋体" w:eastAsia="宋体"/>
              <w:highlight w:val="none"/>
            </w:rPr>
            <w:t>施工组织设计</w:t>
          </w:r>
          <w:r>
            <w:tab/>
          </w:r>
          <w:r>
            <w:fldChar w:fldCharType="begin"/>
          </w:r>
          <w:r>
            <w:instrText xml:space="preserve"> PAGEREF _Toc18752 \h </w:instrText>
          </w:r>
          <w:r>
            <w:fldChar w:fldCharType="separate"/>
          </w:r>
          <w:r>
            <w:t>183</w:t>
          </w:r>
          <w:r>
            <w:fldChar w:fldCharType="end"/>
          </w:r>
          <w:r>
            <w:rPr>
              <w:rFonts w:hint="eastAsia" w:ascii="Times New Roman" w:hAnsi="Times New Roman" w:eastAsia="宋体" w:cs="Times New Roman"/>
              <w:kern w:val="2"/>
              <w:szCs w:val="24"/>
              <w:lang w:val="zh-CN" w:eastAsia="zh-CN" w:bidi="ar-SA"/>
            </w:rPr>
            <w:fldChar w:fldCharType="end"/>
          </w:r>
        </w:p>
        <w:p w14:paraId="039ED5B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_Toc6387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八、其他材料</w:t>
          </w:r>
          <w:r>
            <w:tab/>
          </w:r>
          <w:r>
            <w:fldChar w:fldCharType="begin"/>
          </w:r>
          <w:r>
            <w:instrText xml:space="preserve"> PAGEREF _Toc6387 \h </w:instrText>
          </w:r>
          <w:r>
            <w:fldChar w:fldCharType="separate"/>
          </w:r>
          <w:r>
            <w:t>188</w:t>
          </w:r>
          <w:r>
            <w:fldChar w:fldCharType="end"/>
          </w:r>
          <w:r>
            <w:rPr>
              <w:rFonts w:hint="eastAsia" w:ascii="Times New Roman" w:hAnsi="Times New Roman" w:eastAsia="宋体" w:cs="Times New Roman"/>
              <w:kern w:val="2"/>
              <w:szCs w:val="24"/>
              <w:lang w:val="zh-CN" w:eastAsia="zh-CN" w:bidi="ar-SA"/>
            </w:rPr>
            <w:fldChar w:fldCharType="end"/>
          </w:r>
        </w:p>
        <w:p w14:paraId="02BF4506">
          <w:pPr>
            <w:pStyle w:val="7"/>
            <w:rPr>
              <w:rFonts w:hint="eastAsia" w:ascii="Times New Roman" w:hAnsi="Times New Roman" w:eastAsia="宋体" w:cs="Times New Roman"/>
              <w:kern w:val="2"/>
              <w:sz w:val="20"/>
              <w:szCs w:val="24"/>
              <w:lang w:val="zh-CN" w:eastAsia="zh-CN" w:bidi="ar-SA"/>
            </w:rPr>
          </w:pPr>
          <w:r>
            <w:rPr>
              <w:rFonts w:hint="eastAsia" w:ascii="Times New Roman" w:hAnsi="Times New Roman" w:eastAsia="宋体" w:cs="Times New Roman"/>
              <w:kern w:val="2"/>
              <w:szCs w:val="24"/>
              <w:lang w:val="zh-CN" w:eastAsia="zh-CN" w:bidi="ar-SA"/>
            </w:rPr>
            <w:fldChar w:fldCharType="end"/>
          </w:r>
        </w:p>
      </w:sdtContent>
    </w:sdt>
    <w:p w14:paraId="06C8E7AE">
      <w:pPr>
        <w:pStyle w:val="7"/>
        <w:rPr>
          <w:rFonts w:hint="eastAsia" w:ascii="Times New Roman" w:hAnsi="Times New Roman" w:eastAsia="宋体" w:cs="Times New Roman"/>
          <w:kern w:val="2"/>
          <w:sz w:val="20"/>
          <w:szCs w:val="24"/>
          <w:lang w:val="zh-CN" w:eastAsia="zh-CN" w:bidi="ar-SA"/>
        </w:rPr>
      </w:pPr>
    </w:p>
    <w:p w14:paraId="092C641A">
      <w:pPr>
        <w:rPr>
          <w:rFonts w:hint="eastAsia" w:ascii="宋体" w:hAnsi="宋体"/>
          <w:color w:val="auto"/>
          <w:sz w:val="52"/>
          <w:szCs w:val="52"/>
          <w:highlight w:val="none"/>
        </w:rPr>
      </w:pPr>
      <w:bookmarkStart w:id="0" w:name="_Toc20877"/>
      <w:r>
        <w:rPr>
          <w:rFonts w:hint="eastAsia" w:ascii="宋体" w:hAnsi="宋体"/>
          <w:color w:val="auto"/>
          <w:sz w:val="52"/>
          <w:szCs w:val="52"/>
          <w:highlight w:val="none"/>
        </w:rPr>
        <w:br w:type="page"/>
      </w:r>
    </w:p>
    <w:p w14:paraId="06009C3B">
      <w:pPr>
        <w:pStyle w:val="4"/>
        <w:spacing w:before="0" w:after="0" w:line="360" w:lineRule="auto"/>
        <w:jc w:val="center"/>
        <w:rPr>
          <w:rFonts w:ascii="宋体" w:hAnsi="宋体"/>
          <w:color w:val="auto"/>
          <w:sz w:val="52"/>
          <w:szCs w:val="52"/>
          <w:highlight w:val="none"/>
        </w:rPr>
      </w:pPr>
      <w:bookmarkStart w:id="1" w:name="_Toc22521"/>
      <w:r>
        <w:rPr>
          <w:rFonts w:hint="eastAsia" w:ascii="宋体" w:hAnsi="宋体"/>
          <w:color w:val="auto"/>
          <w:sz w:val="52"/>
          <w:szCs w:val="52"/>
          <w:highlight w:val="none"/>
        </w:rPr>
        <w:t>第 一 卷</w:t>
      </w:r>
      <w:bookmarkEnd w:id="0"/>
      <w:bookmarkEnd w:id="1"/>
    </w:p>
    <w:p w14:paraId="51AA459C">
      <w:pPr>
        <w:rPr>
          <w:color w:val="auto"/>
          <w:highlight w:val="none"/>
          <w:lang w:val="zh-CN"/>
        </w:rPr>
      </w:pPr>
    </w:p>
    <w:p w14:paraId="3A5FF47C">
      <w:pPr>
        <w:rPr>
          <w:color w:val="auto"/>
          <w:highlight w:val="none"/>
          <w:lang w:val="zh-CN"/>
        </w:rPr>
      </w:pPr>
    </w:p>
    <w:p w14:paraId="417B7F75">
      <w:pPr>
        <w:spacing w:after="0" w:line="360" w:lineRule="auto"/>
        <w:jc w:val="both"/>
        <w:rPr>
          <w:rFonts w:ascii="宋体" w:hAnsi="宋体"/>
          <w:color w:val="auto"/>
          <w:highlight w:val="none"/>
          <w:lang w:val="zh-CN"/>
        </w:rPr>
      </w:pPr>
    </w:p>
    <w:p w14:paraId="63290AC5">
      <w:pPr>
        <w:pStyle w:val="7"/>
        <w:rPr>
          <w:rFonts w:ascii="宋体" w:hAnsi="宋体"/>
          <w:color w:val="auto"/>
          <w:highlight w:val="none"/>
          <w:lang w:val="zh-CN"/>
        </w:rPr>
      </w:pPr>
    </w:p>
    <w:p w14:paraId="17CDBFE2">
      <w:pPr>
        <w:pStyle w:val="7"/>
        <w:rPr>
          <w:rFonts w:ascii="宋体" w:hAnsi="宋体"/>
          <w:color w:val="auto"/>
          <w:highlight w:val="none"/>
          <w:lang w:val="zh-CN"/>
        </w:rPr>
      </w:pPr>
    </w:p>
    <w:p w14:paraId="6C6C0EBC">
      <w:pPr>
        <w:pStyle w:val="7"/>
        <w:rPr>
          <w:rFonts w:ascii="宋体" w:hAnsi="宋体"/>
          <w:color w:val="auto"/>
          <w:highlight w:val="none"/>
          <w:lang w:val="zh-CN"/>
        </w:rPr>
      </w:pPr>
    </w:p>
    <w:p w14:paraId="593F61EC">
      <w:pPr>
        <w:pStyle w:val="7"/>
        <w:rPr>
          <w:rFonts w:ascii="宋体" w:hAnsi="宋体"/>
          <w:color w:val="auto"/>
          <w:highlight w:val="none"/>
          <w:lang w:val="zh-CN"/>
        </w:rPr>
      </w:pPr>
    </w:p>
    <w:p w14:paraId="7F8588A7">
      <w:pPr>
        <w:pStyle w:val="7"/>
        <w:rPr>
          <w:rFonts w:ascii="宋体" w:hAnsi="宋体"/>
          <w:color w:val="auto"/>
          <w:highlight w:val="none"/>
          <w:lang w:val="zh-CN"/>
        </w:rPr>
      </w:pPr>
    </w:p>
    <w:p w14:paraId="3D010EB7">
      <w:pPr>
        <w:pStyle w:val="7"/>
        <w:rPr>
          <w:rFonts w:ascii="宋体" w:hAnsi="宋体"/>
          <w:color w:val="auto"/>
          <w:highlight w:val="none"/>
          <w:lang w:val="zh-CN"/>
        </w:rPr>
      </w:pPr>
    </w:p>
    <w:p w14:paraId="39D88A81">
      <w:pPr>
        <w:pStyle w:val="7"/>
        <w:rPr>
          <w:rFonts w:ascii="宋体" w:hAnsi="宋体"/>
          <w:color w:val="auto"/>
          <w:highlight w:val="none"/>
          <w:lang w:val="zh-CN"/>
        </w:rPr>
      </w:pPr>
    </w:p>
    <w:p w14:paraId="5AD99738">
      <w:pPr>
        <w:pStyle w:val="7"/>
        <w:rPr>
          <w:rFonts w:ascii="宋体" w:hAnsi="宋体"/>
          <w:color w:val="auto"/>
          <w:highlight w:val="none"/>
          <w:lang w:val="zh-CN"/>
        </w:rPr>
      </w:pPr>
    </w:p>
    <w:p w14:paraId="4E497D33">
      <w:pPr>
        <w:pStyle w:val="7"/>
        <w:rPr>
          <w:rFonts w:ascii="宋体" w:hAnsi="宋体"/>
          <w:color w:val="auto"/>
          <w:highlight w:val="none"/>
          <w:lang w:val="zh-CN"/>
        </w:rPr>
      </w:pPr>
    </w:p>
    <w:p w14:paraId="359F0CD4">
      <w:pPr>
        <w:pStyle w:val="7"/>
        <w:rPr>
          <w:rFonts w:ascii="宋体" w:hAnsi="宋体"/>
          <w:color w:val="auto"/>
          <w:highlight w:val="none"/>
          <w:lang w:val="zh-CN"/>
        </w:rPr>
      </w:pPr>
    </w:p>
    <w:p w14:paraId="76627685">
      <w:pPr>
        <w:pStyle w:val="7"/>
        <w:rPr>
          <w:rFonts w:ascii="宋体" w:hAnsi="宋体"/>
          <w:color w:val="auto"/>
          <w:highlight w:val="none"/>
          <w:lang w:val="zh-CN"/>
        </w:rPr>
      </w:pPr>
    </w:p>
    <w:p w14:paraId="4C046C15">
      <w:pPr>
        <w:pStyle w:val="7"/>
        <w:rPr>
          <w:rFonts w:ascii="宋体" w:hAnsi="宋体"/>
          <w:color w:val="auto"/>
          <w:highlight w:val="none"/>
          <w:lang w:val="zh-CN"/>
        </w:rPr>
      </w:pPr>
    </w:p>
    <w:p w14:paraId="316AB46A">
      <w:pPr>
        <w:pStyle w:val="7"/>
        <w:rPr>
          <w:rFonts w:ascii="宋体" w:hAnsi="宋体"/>
          <w:color w:val="auto"/>
          <w:highlight w:val="none"/>
          <w:lang w:val="zh-CN"/>
        </w:rPr>
      </w:pPr>
    </w:p>
    <w:p w14:paraId="5C03EEF4">
      <w:pPr>
        <w:pStyle w:val="7"/>
        <w:rPr>
          <w:rFonts w:ascii="宋体" w:hAnsi="宋体"/>
          <w:color w:val="auto"/>
          <w:highlight w:val="none"/>
          <w:lang w:val="zh-CN"/>
        </w:rPr>
      </w:pPr>
    </w:p>
    <w:p w14:paraId="337AC6BF">
      <w:pPr>
        <w:pStyle w:val="7"/>
        <w:rPr>
          <w:rFonts w:ascii="宋体" w:hAnsi="宋体"/>
          <w:color w:val="auto"/>
          <w:highlight w:val="none"/>
          <w:lang w:val="zh-CN"/>
        </w:rPr>
      </w:pPr>
    </w:p>
    <w:p w14:paraId="26CD9A91">
      <w:pPr>
        <w:pStyle w:val="7"/>
        <w:rPr>
          <w:rFonts w:ascii="宋体" w:hAnsi="宋体"/>
          <w:color w:val="auto"/>
          <w:highlight w:val="none"/>
          <w:lang w:val="zh-CN"/>
        </w:rPr>
      </w:pPr>
    </w:p>
    <w:p w14:paraId="22E94709">
      <w:pPr>
        <w:pStyle w:val="7"/>
        <w:rPr>
          <w:rFonts w:ascii="宋体" w:hAnsi="宋体"/>
          <w:color w:val="auto"/>
          <w:highlight w:val="none"/>
          <w:lang w:val="zh-CN"/>
        </w:rPr>
      </w:pPr>
    </w:p>
    <w:p w14:paraId="206E056C">
      <w:pPr>
        <w:pStyle w:val="7"/>
        <w:rPr>
          <w:rFonts w:ascii="宋体" w:hAnsi="宋体"/>
          <w:color w:val="auto"/>
          <w:highlight w:val="none"/>
          <w:lang w:val="zh-CN"/>
        </w:rPr>
      </w:pPr>
    </w:p>
    <w:p w14:paraId="083BF8BF">
      <w:pPr>
        <w:pStyle w:val="7"/>
        <w:rPr>
          <w:rFonts w:ascii="宋体" w:hAnsi="宋体"/>
          <w:color w:val="auto"/>
          <w:highlight w:val="none"/>
          <w:lang w:val="zh-CN"/>
        </w:rPr>
      </w:pPr>
    </w:p>
    <w:p w14:paraId="0B5A185E">
      <w:pPr>
        <w:rPr>
          <w:rFonts w:hint="eastAsia" w:ascii="宋体" w:hAnsi="宋体" w:eastAsia="宋体"/>
          <w:color w:val="auto"/>
          <w:sz w:val="40"/>
          <w:szCs w:val="40"/>
          <w:highlight w:val="none"/>
        </w:rPr>
      </w:pPr>
      <w:bookmarkStart w:id="2" w:name="_Toc95257472"/>
      <w:bookmarkStart w:id="3" w:name="_Toc25692"/>
      <w:r>
        <w:rPr>
          <w:rFonts w:hint="eastAsia" w:ascii="宋体" w:hAnsi="宋体" w:eastAsia="宋体"/>
          <w:color w:val="auto"/>
          <w:sz w:val="40"/>
          <w:szCs w:val="40"/>
          <w:highlight w:val="none"/>
        </w:rPr>
        <w:br w:type="page"/>
      </w:r>
    </w:p>
    <w:p w14:paraId="2D5BA734">
      <w:pPr>
        <w:pStyle w:val="5"/>
        <w:spacing w:before="0" w:after="0" w:line="360" w:lineRule="auto"/>
        <w:jc w:val="center"/>
        <w:outlineLvl w:val="0"/>
        <w:rPr>
          <w:rFonts w:ascii="宋体" w:hAnsi="宋体" w:eastAsia="宋体"/>
          <w:color w:val="auto"/>
          <w:sz w:val="40"/>
          <w:szCs w:val="40"/>
          <w:highlight w:val="none"/>
        </w:rPr>
      </w:pPr>
      <w:bookmarkStart w:id="4" w:name="_Toc18759"/>
      <w:bookmarkStart w:id="5" w:name="_Toc9678"/>
      <w:r>
        <w:rPr>
          <w:rFonts w:hint="eastAsia" w:ascii="宋体" w:hAnsi="宋体" w:eastAsia="宋体"/>
          <w:color w:val="auto"/>
          <w:sz w:val="40"/>
          <w:szCs w:val="40"/>
          <w:highlight w:val="none"/>
        </w:rPr>
        <w:t>第一章 招标公告</w:t>
      </w:r>
      <w:bookmarkEnd w:id="2"/>
      <w:bookmarkEnd w:id="3"/>
      <w:bookmarkEnd w:id="4"/>
      <w:bookmarkEnd w:id="5"/>
      <w:bookmarkStart w:id="6" w:name="_Toc222033832"/>
      <w:bookmarkStart w:id="7" w:name="_Toc168476045"/>
      <w:bookmarkStart w:id="8" w:name="_Toc222029481"/>
      <w:bookmarkStart w:id="9" w:name="_Toc168475642"/>
      <w:bookmarkStart w:id="10" w:name="_Toc229305341"/>
      <w:bookmarkStart w:id="11" w:name="_Toc221950007"/>
      <w:bookmarkStart w:id="12" w:name="_Toc144974495"/>
      <w:bookmarkStart w:id="13" w:name="_Toc222032650"/>
      <w:bookmarkStart w:id="14" w:name="_Toc222030983"/>
    </w:p>
    <w:p w14:paraId="26555A4D">
      <w:pPr>
        <w:pStyle w:val="463"/>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outlineLvl w:val="1"/>
        <w:rPr>
          <w:rFonts w:hint="eastAsia" w:ascii="宋体" w:hAnsi="宋体"/>
          <w:b/>
          <w:color w:val="auto"/>
          <w:sz w:val="32"/>
          <w:szCs w:val="32"/>
          <w:highlight w:val="none"/>
          <w:lang w:eastAsia="zh-CN"/>
        </w:rPr>
      </w:pPr>
      <w:bookmarkStart w:id="15" w:name="_Toc12419"/>
      <w:bookmarkStart w:id="16" w:name="_Toc31827"/>
      <w:bookmarkStart w:id="17" w:name="_Toc31557"/>
      <w:bookmarkStart w:id="18" w:name="_Toc20547"/>
      <w:bookmarkStart w:id="19" w:name="_Toc15399"/>
      <w:bookmarkStart w:id="20" w:name="_Toc21050_WPSOffice_Level2"/>
      <w:r>
        <w:rPr>
          <w:rFonts w:hint="eastAsia" w:ascii="宋体" w:hAnsi="宋体"/>
          <w:b/>
          <w:color w:val="auto"/>
          <w:sz w:val="32"/>
          <w:szCs w:val="32"/>
          <w:highlight w:val="none"/>
          <w:lang w:eastAsia="zh-CN"/>
        </w:rPr>
        <w:t>姚安县2026年高标准农田建设项目</w:t>
      </w:r>
      <w:bookmarkEnd w:id="15"/>
      <w:bookmarkEnd w:id="16"/>
    </w:p>
    <w:p w14:paraId="4DD26DBC">
      <w:pPr>
        <w:pStyle w:val="463"/>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ascii="宋体" w:hAnsi="宋体"/>
          <w:b/>
          <w:color w:val="auto"/>
          <w:sz w:val="22"/>
          <w:szCs w:val="22"/>
          <w:highlight w:val="none"/>
        </w:rPr>
      </w:pPr>
      <w:r>
        <w:rPr>
          <w:rFonts w:hint="eastAsia" w:ascii="宋体" w:hAnsi="宋体"/>
          <w:b/>
          <w:color w:val="auto"/>
          <w:sz w:val="32"/>
          <w:szCs w:val="32"/>
          <w:highlight w:val="none"/>
          <w:lang w:eastAsia="zh-CN"/>
        </w:rPr>
        <w:t>施工招标公告</w:t>
      </w:r>
      <w:bookmarkEnd w:id="17"/>
      <w:bookmarkEnd w:id="18"/>
      <w:bookmarkEnd w:id="19"/>
      <w:bookmarkEnd w:id="20"/>
      <w:bookmarkStart w:id="21" w:name="_Toc17236"/>
      <w:bookmarkStart w:id="22" w:name="_Toc8171"/>
      <w:bookmarkStart w:id="23" w:name="_Toc505944253"/>
    </w:p>
    <w:bookmarkEnd w:id="21"/>
    <w:bookmarkEnd w:id="22"/>
    <w:bookmarkEnd w:id="23"/>
    <w:p w14:paraId="39AF25E7">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olor w:val="auto"/>
          <w:sz w:val="21"/>
          <w:szCs w:val="21"/>
          <w:highlight w:val="none"/>
        </w:rPr>
      </w:pPr>
      <w:bookmarkStart w:id="24" w:name="_Toc743"/>
      <w:bookmarkStart w:id="25" w:name="_Toc11700"/>
      <w:bookmarkStart w:id="26" w:name="_Toc31437"/>
      <w:bookmarkStart w:id="27" w:name="_Toc11800"/>
      <w:bookmarkStart w:id="28" w:name="_Toc95257473"/>
      <w:bookmarkStart w:id="29" w:name="_Toc13851"/>
      <w:bookmarkStart w:id="30" w:name="_Toc95257480"/>
      <w:r>
        <w:rPr>
          <w:rFonts w:hint="eastAsia" w:ascii="宋体" w:hAnsi="宋体" w:eastAsia="宋体"/>
          <w:color w:val="auto"/>
          <w:sz w:val="21"/>
          <w:szCs w:val="21"/>
          <w:highlight w:val="none"/>
        </w:rPr>
        <w:t>一、招标条件</w:t>
      </w:r>
      <w:bookmarkEnd w:id="24"/>
      <w:bookmarkEnd w:id="25"/>
      <w:bookmarkEnd w:id="26"/>
      <w:bookmarkEnd w:id="27"/>
      <w:bookmarkEnd w:id="28"/>
      <w:bookmarkEnd w:id="29"/>
    </w:p>
    <w:p w14:paraId="5C97E900">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eastAsia="宋体" w:cs="宋体"/>
          <w:color w:val="auto"/>
          <w:kern w:val="0"/>
          <w:highlight w:val="none"/>
          <w:lang w:val="en-US" w:eastAsia="zh-CN"/>
        </w:rPr>
      </w:pPr>
      <w:bookmarkStart w:id="31" w:name="_Toc19448"/>
      <w:bookmarkStart w:id="32" w:name="_Toc7429"/>
      <w:bookmarkStart w:id="33" w:name="_Toc4251"/>
      <w:bookmarkStart w:id="34" w:name="_Toc351127929"/>
      <w:bookmarkStart w:id="35" w:name="_Toc288122583"/>
      <w:bookmarkStart w:id="36" w:name="_Toc505944254"/>
      <w:bookmarkStart w:id="37" w:name="_Toc95257474"/>
      <w:bookmarkStart w:id="38" w:name="_Toc18723"/>
      <w:bookmarkStart w:id="39" w:name="_Toc6617"/>
      <w:r>
        <w:rPr>
          <w:rFonts w:hint="eastAsia" w:ascii="宋体" w:hAnsi="宋体" w:eastAsia="宋体" w:cs="宋体"/>
          <w:color w:val="auto"/>
          <w:kern w:val="0"/>
          <w:highlight w:val="none"/>
          <w:lang w:val="en-US" w:eastAsia="zh-CN"/>
        </w:rPr>
        <w:t>姚安县2026年高标准农田建设项目已由楚雄州农业农村局《楚雄州农业农村局关于姚安县2026年高标准农田建设项目初步设计报告的批复》（楚农复〔2026〕5号）文批准建设，建设资金为中央资金及省级财政配套资金，项目出资比例为100%，招标人为姚安县农业农村局，招标代理机构为云南通力工程项目管理有限责任公司，项目已具备招标条件，现对该项目进行公开招标。</w:t>
      </w:r>
    </w:p>
    <w:p w14:paraId="4FDF42A9">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s="Times New Roman"/>
          <w:color w:val="auto"/>
          <w:sz w:val="21"/>
          <w:szCs w:val="21"/>
          <w:highlight w:val="none"/>
          <w:lang w:val="en-US" w:eastAsia="zh-CN"/>
        </w:rPr>
      </w:pPr>
      <w:bookmarkStart w:id="40" w:name="_Toc5374"/>
      <w:bookmarkStart w:id="41" w:name="_Toc12388"/>
      <w:r>
        <w:rPr>
          <w:rFonts w:hint="eastAsia" w:ascii="宋体" w:hAnsi="宋体" w:eastAsia="宋体" w:cs="Times New Roman"/>
          <w:color w:val="auto"/>
          <w:sz w:val="21"/>
          <w:szCs w:val="21"/>
          <w:highlight w:val="none"/>
          <w:lang w:val="en-US" w:eastAsia="zh-CN"/>
        </w:rPr>
        <w:t>二、项目概况与招标范围</w:t>
      </w:r>
      <w:bookmarkEnd w:id="31"/>
      <w:bookmarkEnd w:id="32"/>
      <w:bookmarkEnd w:id="33"/>
      <w:bookmarkEnd w:id="34"/>
      <w:bookmarkEnd w:id="35"/>
      <w:bookmarkEnd w:id="36"/>
      <w:bookmarkEnd w:id="37"/>
      <w:bookmarkEnd w:id="38"/>
      <w:bookmarkEnd w:id="39"/>
      <w:bookmarkEnd w:id="40"/>
      <w:bookmarkEnd w:id="41"/>
    </w:p>
    <w:p w14:paraId="1C86D2F5">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2.1标段划分：本项目共划分为四个标段。</w:t>
      </w:r>
    </w:p>
    <w:p w14:paraId="629B0221">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2.2建设地点：栋川镇大龙口村委会、郭家凹村委会，官屯镇连厂村委会，</w:t>
      </w: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弥兴镇官庄村委会</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w:t>
      </w:r>
    </w:p>
    <w:p w14:paraId="67C49DC5">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2.3施工总工期：270日历天（每标段）。</w:t>
      </w:r>
    </w:p>
    <w:p w14:paraId="0EF7FD96">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color w:val="FF0000"/>
          <w:highlight w:val="none"/>
          <w:lang w:val="en-US"/>
        </w:rPr>
      </w:pPr>
      <w:r>
        <w:rPr>
          <w:rFonts w:hint="eastAsia" w:asciiTheme="minorEastAsia" w:hAnsiTheme="minorEastAsia" w:eastAsiaTheme="minorEastAsia" w:cstheme="minorEastAsia"/>
          <w:b w:val="0"/>
          <w:bCs w:val="0"/>
          <w:color w:val="auto"/>
          <w:sz w:val="21"/>
          <w:szCs w:val="21"/>
          <w:highlight w:val="none"/>
          <w:lang w:val="en-US" w:eastAsia="zh-CN"/>
        </w:rPr>
        <w:t>2.4建设内容及规模</w:t>
      </w:r>
      <w:r>
        <w:rPr>
          <w:rFonts w:hint="eastAsia" w:asciiTheme="minorEastAsia" w:hAnsiTheme="minorEastAsia" w:eastAsiaTheme="minorEastAsia" w:cstheme="minorEastAsia"/>
          <w:color w:val="auto"/>
          <w:kern w:val="0"/>
          <w:highlight w:val="none"/>
        </w:rPr>
        <w:t>：</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高标准农田改造提升建设面积7800亩，其中：（1）栋川镇大龙口村委会、郭家凹村委会改造提升面积4900亩，建设田间道路19条，总长9386米，沟渠12条，总长4009米，田块整治83亩。（2）官屯镇连厂村委会改造提升面积2900亩，建设田间道路10条，总长5639米，沟渠8条，总长3113米，田块整治100亩。（3）配套附属工程、农田地力提升工程等，项目总投资2145.00万元，本次招标规模为：1850.84万元</w:t>
      </w:r>
      <w:r>
        <w:rPr>
          <w:rFonts w:hint="eastAsia" w:asciiTheme="minorEastAsia" w:hAnsiTheme="minorEastAsia" w:eastAsiaTheme="minorEastAsia" w:cstheme="minorEastAsia"/>
          <w:b w:val="0"/>
          <w:bCs w:val="0"/>
          <w:color w:val="auto"/>
          <w:sz w:val="21"/>
          <w:szCs w:val="21"/>
          <w:highlight w:val="none"/>
          <w:lang w:val="en-US" w:eastAsia="zh-CN"/>
        </w:rPr>
        <w:t>，具体详见工程量清单。</w:t>
      </w:r>
    </w:p>
    <w:p w14:paraId="1FAC7C76">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szCs w:val="21"/>
          <w:highlight w:val="none"/>
        </w:rPr>
        <w:t>2.5</w:t>
      </w:r>
      <w:r>
        <w:rPr>
          <w:rFonts w:hint="eastAsia" w:asciiTheme="minorEastAsia" w:hAnsiTheme="minorEastAsia" w:eastAsiaTheme="minorEastAsia" w:cstheme="minorEastAsia"/>
          <w:color w:val="auto"/>
          <w:highlight w:val="none"/>
        </w:rPr>
        <w:t>施工标段</w:t>
      </w:r>
      <w:r>
        <w:rPr>
          <w:rFonts w:hint="eastAsia" w:asciiTheme="minorEastAsia" w:hAnsiTheme="minorEastAsia" w:eastAsiaTheme="minorEastAsia" w:cstheme="minorEastAsia"/>
          <w:color w:val="auto"/>
          <w:kern w:val="0"/>
          <w:highlight w:val="none"/>
        </w:rPr>
        <w:t>招标范围：</w:t>
      </w:r>
    </w:p>
    <w:tbl>
      <w:tblPr>
        <w:tblStyle w:val="58"/>
        <w:tblW w:w="92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94"/>
        <w:gridCol w:w="915"/>
        <w:gridCol w:w="5748"/>
        <w:gridCol w:w="1441"/>
      </w:tblGrid>
      <w:tr w14:paraId="7603B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194" w:type="dxa"/>
            <w:noWrap w:val="0"/>
            <w:vAlign w:val="center"/>
          </w:tcPr>
          <w:p w14:paraId="7DF0959D">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42" w:name="_Toc9043"/>
            <w:bookmarkStart w:id="43" w:name="_Toc21704"/>
            <w:bookmarkStart w:id="44" w:name="_Toc1399"/>
            <w:bookmarkStart w:id="45" w:name="_Toc6190"/>
            <w:bookmarkStart w:id="46" w:name="_Toc95257475"/>
            <w:bookmarkStart w:id="47" w:name="_Toc2415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项目名称</w:t>
            </w:r>
          </w:p>
        </w:tc>
        <w:tc>
          <w:tcPr>
            <w:tcW w:w="915" w:type="dxa"/>
            <w:tcBorders>
              <w:right w:val="single" w:color="auto" w:sz="4" w:space="0"/>
            </w:tcBorders>
            <w:noWrap w:val="0"/>
            <w:vAlign w:val="center"/>
          </w:tcPr>
          <w:p w14:paraId="4B8E61C9">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标段</w:t>
            </w:r>
          </w:p>
        </w:tc>
        <w:tc>
          <w:tcPr>
            <w:tcW w:w="5748" w:type="dxa"/>
            <w:tcBorders>
              <w:left w:val="single" w:color="auto" w:sz="4" w:space="0"/>
            </w:tcBorders>
            <w:noWrap w:val="0"/>
            <w:vAlign w:val="center"/>
          </w:tcPr>
          <w:p w14:paraId="6A726AFB">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建设内容</w:t>
            </w:r>
          </w:p>
        </w:tc>
        <w:tc>
          <w:tcPr>
            <w:tcW w:w="1441" w:type="dxa"/>
            <w:noWrap w:val="0"/>
            <w:vAlign w:val="center"/>
          </w:tcPr>
          <w:p w14:paraId="78F04677">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工程地点</w:t>
            </w:r>
          </w:p>
        </w:tc>
      </w:tr>
      <w:tr w14:paraId="5C4FA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194" w:type="dxa"/>
            <w:vMerge w:val="restart"/>
            <w:noWrap w:val="0"/>
            <w:vAlign w:val="center"/>
          </w:tcPr>
          <w:p w14:paraId="067D2A04">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姚安县202</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年高标准农田建设项目</w:t>
            </w:r>
          </w:p>
        </w:tc>
        <w:tc>
          <w:tcPr>
            <w:tcW w:w="915" w:type="dxa"/>
            <w:tcBorders>
              <w:right w:val="single" w:color="auto" w:sz="4" w:space="0"/>
            </w:tcBorders>
            <w:noWrap w:val="0"/>
            <w:vAlign w:val="center"/>
          </w:tcPr>
          <w:p w14:paraId="652E3570">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一标段</w:t>
            </w:r>
          </w:p>
        </w:tc>
        <w:tc>
          <w:tcPr>
            <w:tcW w:w="5748" w:type="dxa"/>
            <w:tcBorders>
              <w:left w:val="single" w:color="auto" w:sz="4" w:space="0"/>
            </w:tcBorders>
            <w:noWrap w:val="0"/>
            <w:vAlign w:val="center"/>
          </w:tcPr>
          <w:p w14:paraId="2B35EE8B">
            <w:pPr>
              <w:numPr>
                <w:ilvl w:val="0"/>
                <w:numId w:val="1"/>
              </w:numP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栋川镇大龙口村委会</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灌溉与排水工程：大龙口沟渠。</w:t>
            </w:r>
          </w:p>
          <w:p w14:paraId="07B66651">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2.栋川镇大龙口村委会</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田间道路工程-生产路：1#生产路、2#生产路、3#生产路、6#生产路、9#生产路、10#生产路。</w:t>
            </w:r>
          </w:p>
          <w:p w14:paraId="4FBD27AB">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3.栋川镇大龙口村委会-田间道路工程-机耕路：4#机耕路、5#机耕路、7#机耕路、8#机耕路。</w:t>
            </w:r>
          </w:p>
          <w:p w14:paraId="638F5B83">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4.栋川镇郭家凹村委会-灌溉与排水工程：1#干渠、3#干渠、4#干渠.</w:t>
            </w:r>
          </w:p>
          <w:p w14:paraId="5F08C9F3">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5.栋川镇郭家凹村委会-排水工程-排洪沟：2#干渠、7#干渠。</w:t>
            </w:r>
          </w:p>
          <w:p w14:paraId="00E01839">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6.栋川镇郭家凹村委会-田间道路工程-机耕路：1#机耕路。</w:t>
            </w:r>
          </w:p>
          <w:p w14:paraId="61AE1C80">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7.其他工程：栋川镇郭家凹村小龙口组挡墙（加高）。</w:t>
            </w:r>
          </w:p>
          <w:p w14:paraId="770FFCDA">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栋川镇大龙口村、郭家凹村耕地质量提升与保护措施。商品有机肥1029吨（包含采购、运输、装卸车、搬运、检测等全部费用）农田地力提升增施商品有机肥投标人投标报价应详细调查市场信息；商品有机肥应符合《有机肥料NY/T525-2021》要求，需满足国家相关的产品质量、安全技术规格、物理特性等要求；供货时须提供厂家的产品质量检测合格报告；商品有机肥运输到项目区后须由县市场监管部门同场进行现场取样送相关具备资质的检测机构检测合格。</w:t>
            </w:r>
          </w:p>
          <w:p w14:paraId="1341D1C4">
            <w:pPr>
              <w:keepNext w:val="0"/>
              <w:keepLines w:val="0"/>
              <w:pageBreakBefore w:val="0"/>
              <w:widowControl/>
              <w:kinsoku w:val="0"/>
              <w:wordWrap/>
              <w:overflowPunct/>
              <w:topLinePunct w:val="0"/>
              <w:autoSpaceDE w:val="0"/>
              <w:autoSpaceDN w:val="0"/>
              <w:bidi w:val="0"/>
              <w:adjustRightInd w:val="0"/>
              <w:snapToGrid w:val="0"/>
              <w:spacing w:after="0" w:line="440" w:lineRule="exact"/>
              <w:jc w:val="left"/>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sz w:val="21"/>
                <w:szCs w:val="21"/>
                <w:lang w:val="en-US" w:eastAsia="zh-CN"/>
              </w:rPr>
              <w:t>9.其他附属工程。</w:t>
            </w:r>
          </w:p>
        </w:tc>
        <w:tc>
          <w:tcPr>
            <w:tcW w:w="1441" w:type="dxa"/>
            <w:noWrap w:val="0"/>
            <w:vAlign w:val="center"/>
          </w:tcPr>
          <w:p w14:paraId="2A872289">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栋川镇大龙口村委会、</w:t>
            </w:r>
            <w:r>
              <w:rPr>
                <w:rFonts w:hint="eastAsia" w:asciiTheme="minorEastAsia" w:hAnsiTheme="minorEastAsia" w:eastAsiaTheme="minorEastAsia" w:cstheme="minorEastAsia"/>
                <w:sz w:val="21"/>
                <w:szCs w:val="21"/>
                <w:lang w:val="en-US" w:eastAsia="zh-CN"/>
              </w:rPr>
              <w:t>郭家凹村委会</w:t>
            </w:r>
          </w:p>
        </w:tc>
      </w:tr>
      <w:tr w14:paraId="7883D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3" w:hRule="atLeast"/>
        </w:trPr>
        <w:tc>
          <w:tcPr>
            <w:tcW w:w="1194" w:type="dxa"/>
            <w:vMerge w:val="continue"/>
            <w:noWrap w:val="0"/>
            <w:vAlign w:val="center"/>
          </w:tcPr>
          <w:p w14:paraId="4CD3FC05">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p>
        </w:tc>
        <w:tc>
          <w:tcPr>
            <w:tcW w:w="915" w:type="dxa"/>
            <w:tcBorders>
              <w:top w:val="single" w:color="auto" w:sz="4" w:space="0"/>
              <w:bottom w:val="single" w:color="auto" w:sz="4" w:space="0"/>
              <w:right w:val="single" w:color="auto" w:sz="4" w:space="0"/>
            </w:tcBorders>
            <w:noWrap w:val="0"/>
            <w:vAlign w:val="center"/>
          </w:tcPr>
          <w:p w14:paraId="337C87C7">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标段</w:t>
            </w:r>
          </w:p>
        </w:tc>
        <w:tc>
          <w:tcPr>
            <w:tcW w:w="5748" w:type="dxa"/>
            <w:tcBorders>
              <w:top w:val="single" w:color="auto" w:sz="4" w:space="0"/>
              <w:left w:val="single" w:color="auto" w:sz="4" w:space="0"/>
              <w:bottom w:val="single" w:color="auto" w:sz="4" w:space="0"/>
            </w:tcBorders>
            <w:noWrap w:val="0"/>
            <w:vAlign w:val="top"/>
          </w:tcPr>
          <w:p w14:paraId="0BB79840">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栋川镇郭家凹村委会-田块整治工程：耕作田块修筑工程83亩，土地翻耕83亩。</w:t>
            </w:r>
          </w:p>
          <w:p w14:paraId="7B41C154">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栋川镇郭家凹村委会-灌溉与排水工程：5#干渠、8#干渠、9#干渠。</w:t>
            </w:r>
          </w:p>
          <w:p w14:paraId="049C805E">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栋川镇郭家凹村委会-排水工程-排洪沟：6#干渠、10#干渠、11#干渠。</w:t>
            </w:r>
          </w:p>
          <w:p w14:paraId="76474E9E">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栋川镇郭家凹村委会-田间道路工程-机耕路：5#机耕路、7#机耕路、9#机耕路。</w:t>
            </w:r>
          </w:p>
          <w:p w14:paraId="3EC4A6CC">
            <w:pPr>
              <w:pStyle w:val="7"/>
              <w:numPr>
                <w:ilvl w:val="0"/>
                <w:numId w:val="2"/>
              </w:numPr>
              <w:ind w:left="0" w:leftChars="0"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栋川镇郭家凹村委会-田间道路工程-生产路：2#生产路、3#生产路、4#生产路、8#生</w:t>
            </w:r>
            <w:r>
              <w:rPr>
                <w:rFonts w:hint="eastAsia" w:asciiTheme="minorEastAsia" w:hAnsiTheme="minorEastAsia" w:eastAsiaTheme="minorEastAsia" w:cstheme="minorEastAsia"/>
                <w:color w:val="auto"/>
                <w:sz w:val="21"/>
                <w:szCs w:val="21"/>
                <w:highlight w:val="none"/>
                <w:lang w:val="en-US" w:eastAsia="zh-CN"/>
              </w:rPr>
              <w:t>产路。</w:t>
            </w:r>
          </w:p>
          <w:p w14:paraId="120E6B48">
            <w:pPr>
              <w:pStyle w:val="7"/>
              <w:numPr>
                <w:ilvl w:val="0"/>
                <w:numId w:val="2"/>
              </w:numPr>
              <w:ind w:left="0" w:leftChars="0"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其他工程：郭家凹村汤家小组挡土墙。</w:t>
            </w:r>
          </w:p>
          <w:p w14:paraId="18630AC9">
            <w:pPr>
              <w:pStyle w:val="7"/>
              <w:numPr>
                <w:ilvl w:val="0"/>
                <w:numId w:val="2"/>
              </w:numPr>
              <w:ind w:left="0" w:leftChars="0"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郭家凹村田块整治（土地平整）区灌排渠道工程（依据项目开工后田块整治工程布局确定）。</w:t>
            </w:r>
          </w:p>
          <w:p w14:paraId="2FA43B0A">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其他附属工程。</w:t>
            </w:r>
          </w:p>
        </w:tc>
        <w:tc>
          <w:tcPr>
            <w:tcW w:w="1441" w:type="dxa"/>
            <w:tcBorders>
              <w:top w:val="single" w:color="auto" w:sz="4" w:space="0"/>
              <w:bottom w:val="single" w:color="auto" w:sz="4" w:space="0"/>
            </w:tcBorders>
            <w:noWrap w:val="0"/>
            <w:vAlign w:val="center"/>
          </w:tcPr>
          <w:p w14:paraId="29C0ACA5">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w:t>
            </w:r>
          </w:p>
        </w:tc>
      </w:tr>
      <w:tr w14:paraId="280BD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6" w:hRule="atLeast"/>
        </w:trPr>
        <w:tc>
          <w:tcPr>
            <w:tcW w:w="1194" w:type="dxa"/>
            <w:vMerge w:val="continue"/>
            <w:noWrap w:val="0"/>
            <w:vAlign w:val="center"/>
          </w:tcPr>
          <w:p w14:paraId="5FAFA656">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p>
        </w:tc>
        <w:tc>
          <w:tcPr>
            <w:tcW w:w="915" w:type="dxa"/>
            <w:tcBorders>
              <w:top w:val="single" w:color="auto" w:sz="4" w:space="0"/>
              <w:bottom w:val="single" w:color="auto" w:sz="4" w:space="0"/>
              <w:right w:val="single" w:color="auto" w:sz="4" w:space="0"/>
            </w:tcBorders>
            <w:noWrap w:val="0"/>
            <w:vAlign w:val="center"/>
          </w:tcPr>
          <w:p w14:paraId="565B6AEA">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段</w:t>
            </w:r>
          </w:p>
        </w:tc>
        <w:tc>
          <w:tcPr>
            <w:tcW w:w="5748" w:type="dxa"/>
            <w:tcBorders>
              <w:top w:val="single" w:color="auto" w:sz="4" w:space="0"/>
              <w:left w:val="single" w:color="auto" w:sz="4" w:space="0"/>
              <w:bottom w:val="single" w:color="auto" w:sz="4" w:space="0"/>
            </w:tcBorders>
            <w:noWrap w:val="0"/>
            <w:vAlign w:val="top"/>
          </w:tcPr>
          <w:p w14:paraId="14BC0268">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栋川镇郭家凹村委会-田间道路工程-机耕路：6#机耕路。</w:t>
            </w:r>
          </w:p>
          <w:p w14:paraId="1E7577A2">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官屯镇连厂村委会-耕作田块修筑工程100亩。</w:t>
            </w:r>
          </w:p>
          <w:p w14:paraId="47DA1017">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官屯镇连厂村委会-灌溉与排水工程：陈家支渠、陈家斗渠、大梨树斗渠。</w:t>
            </w:r>
          </w:p>
          <w:p w14:paraId="64F2F0F8">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官屯镇连厂村委会-田间道路工程-机耕路：杨家机耕路、陈家机耕路、小陈家生产路、陈家生产路。</w:t>
            </w:r>
          </w:p>
          <w:p w14:paraId="5C715413">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官屯镇连厂村田块整治（土地平整）区灌排渠道工程</w:t>
            </w:r>
            <w:r>
              <w:rPr>
                <w:rFonts w:hint="eastAsia" w:asciiTheme="minorEastAsia" w:hAnsiTheme="minorEastAsia" w:eastAsiaTheme="minorEastAsia" w:cstheme="minorEastAsia"/>
                <w:color w:val="auto"/>
                <w:sz w:val="21"/>
                <w:szCs w:val="21"/>
                <w:highlight w:val="none"/>
                <w:lang w:val="en-US" w:eastAsia="zh-CN"/>
              </w:rPr>
              <w:t>（依据项目开工后田块整治工程布局确定）</w:t>
            </w: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w:t>
            </w:r>
          </w:p>
          <w:p w14:paraId="18CFD3F8">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其他附属工程。</w:t>
            </w:r>
          </w:p>
        </w:tc>
        <w:tc>
          <w:tcPr>
            <w:tcW w:w="1441" w:type="dxa"/>
            <w:tcBorders>
              <w:top w:val="single" w:color="auto" w:sz="4" w:space="0"/>
              <w:bottom w:val="single" w:color="auto" w:sz="4" w:space="0"/>
            </w:tcBorders>
            <w:noWrap w:val="0"/>
            <w:vAlign w:val="center"/>
          </w:tcPr>
          <w:p w14:paraId="2F07B5BE">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栋川镇郭家凹村委会、官屯镇连厂村委会</w:t>
            </w:r>
          </w:p>
        </w:tc>
      </w:tr>
      <w:tr w14:paraId="55866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6" w:hRule="atLeast"/>
        </w:trPr>
        <w:tc>
          <w:tcPr>
            <w:tcW w:w="1194" w:type="dxa"/>
            <w:vMerge w:val="continue"/>
            <w:noWrap w:val="0"/>
            <w:vAlign w:val="center"/>
          </w:tcPr>
          <w:p w14:paraId="0E163C71">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p>
        </w:tc>
        <w:tc>
          <w:tcPr>
            <w:tcW w:w="915" w:type="dxa"/>
            <w:tcBorders>
              <w:top w:val="single" w:color="auto" w:sz="4" w:space="0"/>
              <w:bottom w:val="single" w:color="auto" w:sz="4" w:space="0"/>
              <w:right w:val="single" w:color="auto" w:sz="4" w:space="0"/>
            </w:tcBorders>
            <w:noWrap w:val="0"/>
            <w:vAlign w:val="center"/>
          </w:tcPr>
          <w:p w14:paraId="3B4E12B1">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四标段</w:t>
            </w:r>
          </w:p>
        </w:tc>
        <w:tc>
          <w:tcPr>
            <w:tcW w:w="5748" w:type="dxa"/>
            <w:tcBorders>
              <w:top w:val="single" w:color="auto" w:sz="4" w:space="0"/>
              <w:left w:val="single" w:color="auto" w:sz="4" w:space="0"/>
              <w:bottom w:val="single" w:color="auto" w:sz="4" w:space="0"/>
            </w:tcBorders>
            <w:noWrap w:val="0"/>
            <w:vAlign w:val="top"/>
          </w:tcPr>
          <w:p w14:paraId="51E60732">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1.官屯镇连厂村委会-灌溉与排水工程：观音箐斗渠、哨上农渠、蔡家农渠、哨上1#排洪沟、哨上2#排洪沟。</w:t>
            </w:r>
          </w:p>
          <w:p w14:paraId="5F647CC1">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2.官屯镇连厂村委会-田间道路工程-机耕路：连厂机耕路、观音箐机耕路。</w:t>
            </w:r>
          </w:p>
          <w:p w14:paraId="0B044BD2">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3.官屯镇连厂村委会-田间道路工程-生产路：韩家生产路、大箐生产路、平摊生产路、滑坡生产路。</w:t>
            </w:r>
          </w:p>
          <w:p w14:paraId="11D21390">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4.官屯镇连厂村委会耕地质量提升与保护措施商品有机肥609吨（包含采购、运输、装卸车、搬运、检测等全部费用）农田地力提升增施商品有机肥投标人投标报价应详细调查市场信息；商品有机肥应符合《有机肥料NY/T525-2021》要求，需满足国家相关的产品质量、安全技术规格、物理特性等要求；供货时须提供厂家的产品质量检测合格报告；商品有机肥运输到项目区后须由县市场监管部门同场进行现场取样送相关具备资质的检测机构检测合格。</w:t>
            </w:r>
          </w:p>
          <w:p w14:paraId="46BF21CF">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5.弥兴镇官庄村委会朱家组沟渠工程。</w:t>
            </w:r>
          </w:p>
          <w:p w14:paraId="4AC7CDDC">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6.其他附属工程。</w:t>
            </w:r>
          </w:p>
        </w:tc>
        <w:tc>
          <w:tcPr>
            <w:tcW w:w="1441" w:type="dxa"/>
            <w:tcBorders>
              <w:top w:val="single" w:color="auto" w:sz="4" w:space="0"/>
              <w:bottom w:val="single" w:color="auto" w:sz="4" w:space="0"/>
            </w:tcBorders>
            <w:noWrap w:val="0"/>
            <w:vAlign w:val="center"/>
          </w:tcPr>
          <w:p w14:paraId="1836870B">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官屯镇连厂村委会、弥兴镇官庄村委会</w:t>
            </w:r>
          </w:p>
        </w:tc>
      </w:tr>
    </w:tbl>
    <w:p w14:paraId="63C35582">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color w:val="auto"/>
          <w:sz w:val="21"/>
          <w:szCs w:val="21"/>
          <w:highlight w:val="none"/>
        </w:rPr>
      </w:pPr>
    </w:p>
    <w:p w14:paraId="776522BE">
      <w:pPr>
        <w:pageBreakBefore w:val="0"/>
        <w:widowControl w:val="0"/>
        <w:kinsoku/>
        <w:wordWrap/>
        <w:overflowPunct/>
        <w:topLinePunct w:val="0"/>
        <w:autoSpaceDE/>
        <w:autoSpaceDN/>
        <w:bidi w:val="0"/>
        <w:adjustRightInd/>
        <w:snapToGrid/>
        <w:spacing w:after="0" w:line="360" w:lineRule="auto"/>
        <w:ind w:firstLine="420"/>
        <w:textAlignment w:val="auto"/>
        <w:rPr>
          <w:rFonts w:hint="default"/>
          <w:highlight w:val="yellow"/>
          <w:lang w:val="en-US" w:eastAsia="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b w:val="0"/>
          <w:bCs w:val="0"/>
          <w:color w:val="auto"/>
          <w:sz w:val="21"/>
          <w:szCs w:val="21"/>
          <w:highlight w:val="none"/>
          <w:lang w:val="en-US" w:eastAsia="zh-CN"/>
        </w:rPr>
        <w:t>招标控制价：1850.84万元。其中第一标段478.00万元，第二标段465.42万元，第三标段      447.74万元，第四标段459.68万元。</w:t>
      </w:r>
    </w:p>
    <w:p w14:paraId="45BCB0A2">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olor w:val="auto"/>
          <w:sz w:val="21"/>
          <w:szCs w:val="21"/>
          <w:highlight w:val="none"/>
        </w:rPr>
      </w:pPr>
      <w:bookmarkStart w:id="48" w:name="_Toc761"/>
      <w:bookmarkStart w:id="49" w:name="_Toc28697"/>
      <w:r>
        <w:rPr>
          <w:rFonts w:hint="eastAsia" w:ascii="宋体" w:hAnsi="宋体" w:eastAsia="宋体"/>
          <w:color w:val="auto"/>
          <w:sz w:val="21"/>
          <w:szCs w:val="21"/>
          <w:highlight w:val="none"/>
        </w:rPr>
        <w:t>三、投标人资格要求</w:t>
      </w:r>
      <w:bookmarkEnd w:id="42"/>
      <w:bookmarkEnd w:id="43"/>
      <w:bookmarkEnd w:id="44"/>
      <w:bookmarkEnd w:id="45"/>
      <w:bookmarkEnd w:id="46"/>
      <w:bookmarkEnd w:id="47"/>
      <w:bookmarkEnd w:id="48"/>
      <w:bookmarkEnd w:id="49"/>
    </w:p>
    <w:p w14:paraId="6CACFB7B">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color w:val="auto"/>
        </w:rPr>
      </w:pPr>
      <w:bookmarkStart w:id="50" w:name="_Toc32643_WPSOffice_Level2"/>
      <w:r>
        <w:rPr>
          <w:rFonts w:hint="eastAsia" w:ascii="宋体" w:hAnsi="宋体" w:cs="宋体"/>
          <w:b w:val="0"/>
          <w:bCs w:val="0"/>
          <w:color w:val="auto"/>
          <w:szCs w:val="21"/>
          <w:highlight w:val="none"/>
          <w:lang w:val="en-US" w:eastAsia="zh-CN"/>
        </w:rPr>
        <w:t>3.1</w:t>
      </w:r>
      <w:r>
        <w:rPr>
          <w:rFonts w:hint="eastAsia" w:ascii="宋体" w:hAnsi="宋体" w:cs="宋体"/>
          <w:b w:val="0"/>
          <w:bCs w:val="0"/>
          <w:color w:val="auto"/>
          <w:szCs w:val="21"/>
          <w:highlight w:val="none"/>
        </w:rPr>
        <w:t>资质条件：</w:t>
      </w:r>
      <w:r>
        <w:rPr>
          <w:rFonts w:hint="eastAsia" w:ascii="宋体" w:hAnsi="宋体" w:cs="宋体"/>
          <w:color w:val="auto"/>
          <w:kern w:val="0"/>
          <w:highlight w:val="none"/>
          <w:lang w:val="en-US" w:eastAsia="zh-CN"/>
        </w:rPr>
        <w:t>投标人须具备建筑工程施工总承包叁级（含叁级）以上或水利水电工程施工总承包叁级（含叁级）以上或公路工程施工总承包叁级（含叁级）以上资质，具有有效的企业安全生产许可证，在人员、机械设备等方面具有相应的施工组织能力。</w:t>
      </w:r>
    </w:p>
    <w:p w14:paraId="56483218">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olor w:val="auto"/>
          <w:highlight w:val="none"/>
          <w:lang w:val="en-US" w:eastAsia="zh-CN"/>
        </w:rPr>
        <w:t>3.1.1</w:t>
      </w:r>
      <w:r>
        <w:rPr>
          <w:rFonts w:hint="eastAsia" w:ascii="宋体" w:hAnsi="宋体"/>
          <w:color w:val="auto"/>
          <w:highlight w:val="none"/>
          <w:lang w:val="zh-CN"/>
        </w:rPr>
        <w:t>拟参与该项目投标的</w:t>
      </w:r>
      <w:r>
        <w:rPr>
          <w:rFonts w:hint="eastAsia" w:ascii="宋体" w:hAnsi="宋体" w:cs="Times New Roman"/>
          <w:color w:val="auto"/>
          <w:highlight w:val="none"/>
          <w:lang w:val="zh-CN" w:eastAsia="zh-CN"/>
        </w:rPr>
        <w:t>省外企业</w:t>
      </w:r>
      <w:r>
        <w:rPr>
          <w:rFonts w:hint="eastAsia" w:ascii="宋体" w:hAnsi="宋体" w:cs="Times New Roman"/>
          <w:color w:val="auto"/>
          <w:highlight w:val="none"/>
          <w:lang w:val="zh-CN"/>
        </w:rPr>
        <w:t>按照</w:t>
      </w:r>
      <w:r>
        <w:rPr>
          <w:rFonts w:hint="eastAsia" w:ascii="宋体" w:hAnsi="宋体"/>
          <w:color w:val="auto"/>
          <w:highlight w:val="none"/>
          <w:lang w:val="zh-CN"/>
        </w:rPr>
        <w:t>《云南省住房和城乡建设厅关于暂停实施工程项目报建备案、合同登记和省外建筑企业信息登记等4个事项的通知》(云建建[2020]140号文件)的规定执行。</w:t>
      </w:r>
    </w:p>
    <w:p w14:paraId="59011ED3">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eastAsia="宋体"/>
          <w:color w:val="auto"/>
          <w:lang w:eastAsia="zh-CN"/>
        </w:rPr>
      </w:pPr>
      <w:r>
        <w:rPr>
          <w:rFonts w:hint="eastAsia" w:ascii="宋体" w:hAnsi="宋体" w:cs="宋体"/>
          <w:b w:val="0"/>
          <w:bCs w:val="0"/>
          <w:color w:val="auto"/>
          <w:szCs w:val="21"/>
          <w:highlight w:val="none"/>
          <w:lang w:val="en-US" w:eastAsia="zh-CN"/>
        </w:rPr>
        <w:t>3.2</w:t>
      </w:r>
      <w:r>
        <w:rPr>
          <w:rFonts w:hint="eastAsia" w:ascii="宋体" w:hAnsi="宋体" w:cs="宋体"/>
          <w:b w:val="0"/>
          <w:bCs w:val="0"/>
          <w:color w:val="auto"/>
          <w:szCs w:val="21"/>
          <w:highlight w:val="none"/>
        </w:rPr>
        <w:t>财务要求：</w:t>
      </w:r>
      <w:r>
        <w:rPr>
          <w:rFonts w:hint="eastAsia" w:ascii="宋体" w:hAnsi="宋体"/>
          <w:bCs/>
          <w:color w:val="auto"/>
          <w:highlight w:val="none"/>
        </w:rPr>
        <w:t>投标时</w:t>
      </w:r>
      <w:r>
        <w:rPr>
          <w:rFonts w:hint="eastAsia" w:ascii="宋体" w:hAnsi="宋体"/>
          <w:color w:val="auto"/>
          <w:highlight w:val="none"/>
        </w:rPr>
        <w:t>没有处于财产被接管、冻结、破产或其他不良状态。投标人财务状况良好，</w:t>
      </w:r>
      <w:r>
        <w:rPr>
          <w:rFonts w:hint="eastAsia" w:ascii="宋体" w:hAnsi="宋体"/>
          <w:color w:val="auto"/>
          <w:highlight w:val="none"/>
          <w:lang w:eastAsia="zh-CN"/>
        </w:rPr>
        <w:t>提供2022年-2024年经第三方审计的会计财务报表（包括利润表、现金流量表、资产负债表）及审计报告。</w:t>
      </w:r>
      <w:r>
        <w:rPr>
          <w:rFonts w:hint="eastAsia" w:ascii="宋体" w:hAnsi="宋体"/>
          <w:color w:val="auto"/>
          <w:highlight w:val="none"/>
        </w:rPr>
        <w:t>在要求的年份内</w:t>
      </w:r>
      <w:r>
        <w:rPr>
          <w:rFonts w:hint="eastAsia" w:ascii="宋体" w:hAnsi="宋体"/>
          <w:color w:val="auto"/>
          <w:highlight w:val="none"/>
          <w:lang w:eastAsia="zh-CN"/>
        </w:rPr>
        <w:t>才</w:t>
      </w:r>
      <w:r>
        <w:rPr>
          <w:rFonts w:hint="eastAsia" w:ascii="宋体" w:hAnsi="宋体"/>
          <w:color w:val="auto"/>
          <w:highlight w:val="none"/>
        </w:rPr>
        <w:t>成立的</w:t>
      </w:r>
      <w:r>
        <w:rPr>
          <w:rFonts w:hint="eastAsia" w:ascii="宋体" w:hAnsi="宋体"/>
          <w:color w:val="auto"/>
          <w:highlight w:val="none"/>
          <w:lang w:eastAsia="zh-CN"/>
        </w:rPr>
        <w:t>公司</w:t>
      </w:r>
      <w:r>
        <w:rPr>
          <w:rFonts w:hint="eastAsia" w:ascii="宋体" w:hAnsi="宋体"/>
          <w:color w:val="auto"/>
          <w:highlight w:val="none"/>
        </w:rPr>
        <w:t>，</w:t>
      </w:r>
      <w:r>
        <w:rPr>
          <w:rFonts w:hint="eastAsia" w:ascii="宋体" w:hAnsi="宋体"/>
          <w:color w:val="auto"/>
          <w:highlight w:val="none"/>
          <w:lang w:eastAsia="zh-CN"/>
        </w:rPr>
        <w:t>只</w:t>
      </w:r>
      <w:r>
        <w:rPr>
          <w:rFonts w:hint="eastAsia" w:ascii="宋体" w:hAnsi="宋体"/>
          <w:color w:val="auto"/>
          <w:highlight w:val="none"/>
        </w:rPr>
        <w:t>需</w:t>
      </w:r>
      <w:r>
        <w:rPr>
          <w:rFonts w:hint="eastAsia" w:ascii="宋体" w:hAnsi="宋体"/>
          <w:color w:val="auto"/>
          <w:highlight w:val="none"/>
          <w:lang w:eastAsia="zh-CN"/>
        </w:rPr>
        <w:t>要</w:t>
      </w:r>
      <w:r>
        <w:rPr>
          <w:rFonts w:hint="eastAsia" w:ascii="宋体" w:hAnsi="宋体"/>
          <w:color w:val="auto"/>
          <w:highlight w:val="none"/>
        </w:rPr>
        <w:t>提供成立后的经审计的财务报表（利润表、现金流量表、资产负债表）及审计报告</w:t>
      </w:r>
      <w:r>
        <w:rPr>
          <w:rFonts w:hint="eastAsia" w:ascii="宋体" w:hAnsi="宋体"/>
          <w:color w:val="auto"/>
          <w:highlight w:val="none"/>
          <w:lang w:eastAsia="zh-CN"/>
        </w:rPr>
        <w:t>即可</w:t>
      </w:r>
      <w:r>
        <w:rPr>
          <w:rFonts w:hint="eastAsia" w:ascii="宋体" w:hAnsi="宋体"/>
          <w:color w:val="auto"/>
          <w:highlight w:val="none"/>
        </w:rPr>
        <w:t>，202</w:t>
      </w:r>
      <w:r>
        <w:rPr>
          <w:rFonts w:hint="eastAsia" w:ascii="宋体" w:hAnsi="宋体"/>
          <w:color w:val="auto"/>
          <w:highlight w:val="none"/>
          <w:lang w:val="en-US" w:eastAsia="zh-CN"/>
        </w:rPr>
        <w:t>4</w:t>
      </w:r>
      <w:r>
        <w:rPr>
          <w:rFonts w:hint="eastAsia" w:ascii="宋体" w:hAnsi="宋体"/>
          <w:color w:val="auto"/>
          <w:highlight w:val="none"/>
        </w:rPr>
        <w:t>年后新成立的企业提供</w:t>
      </w:r>
      <w:r>
        <w:rPr>
          <w:rFonts w:hint="eastAsia" w:ascii="宋体" w:hAnsi="宋体"/>
          <w:color w:val="auto"/>
          <w:highlight w:val="none"/>
          <w:lang w:eastAsia="zh-CN"/>
        </w:rPr>
        <w:t>财务报表</w:t>
      </w:r>
      <w:r>
        <w:rPr>
          <w:rFonts w:hint="eastAsia" w:ascii="宋体" w:hAnsi="宋体"/>
          <w:color w:val="auto"/>
          <w:highlight w:val="none"/>
        </w:rPr>
        <w:t>及相关说明。</w:t>
      </w:r>
    </w:p>
    <w:p w14:paraId="2487AED5">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3.3</w:t>
      </w:r>
      <w:r>
        <w:rPr>
          <w:rFonts w:hint="eastAsia" w:ascii="宋体" w:hAnsi="宋体" w:cs="宋体"/>
          <w:b w:val="0"/>
          <w:bCs w:val="0"/>
          <w:color w:val="auto"/>
          <w:szCs w:val="21"/>
          <w:highlight w:val="none"/>
        </w:rPr>
        <w:t>信誉要求：</w:t>
      </w:r>
    </w:p>
    <w:p w14:paraId="6D14A625">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.1投标企业</w:t>
      </w:r>
      <w:r>
        <w:rPr>
          <w:rFonts w:hint="eastAsia" w:ascii="宋体" w:hAnsi="宋体" w:eastAsia="宋体" w:cs="宋体"/>
          <w:color w:val="auto"/>
          <w:kern w:val="2"/>
          <w:sz w:val="21"/>
          <w:szCs w:val="21"/>
          <w:highlight w:val="none"/>
          <w:lang w:val="en-US" w:eastAsia="zh-CN" w:bidi="ar-SA"/>
        </w:rPr>
        <w:t>当前</w:t>
      </w:r>
      <w:r>
        <w:rPr>
          <w:rFonts w:hint="default" w:ascii="宋体" w:hAnsi="宋体" w:eastAsia="宋体" w:cs="宋体"/>
          <w:color w:val="auto"/>
          <w:kern w:val="2"/>
          <w:sz w:val="21"/>
          <w:szCs w:val="21"/>
          <w:highlight w:val="none"/>
          <w:lang w:val="en-US" w:eastAsia="zh-CN" w:bidi="ar-SA"/>
        </w:rPr>
        <w:t>没有处于被责令停产、资质被取消、财产被接管、冻结、破产等状况，</w:t>
      </w:r>
      <w:r>
        <w:rPr>
          <w:rFonts w:hint="eastAsia" w:ascii="宋体" w:hAnsi="宋体" w:eastAsia="宋体" w:cs="宋体"/>
          <w:color w:val="auto"/>
          <w:kern w:val="2"/>
          <w:sz w:val="21"/>
          <w:szCs w:val="21"/>
          <w:highlight w:val="none"/>
          <w:lang w:val="en-US" w:eastAsia="zh-CN" w:bidi="ar-SA"/>
        </w:rPr>
        <w:t>当前</w:t>
      </w:r>
      <w:r>
        <w:rPr>
          <w:rFonts w:hint="default" w:ascii="宋体" w:hAnsi="宋体" w:eastAsia="宋体" w:cs="宋体"/>
          <w:color w:val="auto"/>
          <w:kern w:val="2"/>
          <w:sz w:val="21"/>
          <w:szCs w:val="21"/>
          <w:highlight w:val="none"/>
          <w:lang w:val="en-US" w:eastAsia="zh-CN" w:bidi="ar-SA"/>
        </w:rPr>
        <w:t>未曾骗取中标和严重违约及发生重大工程质量、安全事故，且没有被建设行政主管部门列入黑名单，如未出现上述情况，投标人</w:t>
      </w:r>
      <w:r>
        <w:rPr>
          <w:rFonts w:hint="eastAsia" w:eastAsia="宋体" w:cs="宋体"/>
          <w:color w:val="auto"/>
          <w:kern w:val="2"/>
          <w:sz w:val="21"/>
          <w:szCs w:val="21"/>
          <w:highlight w:val="none"/>
          <w:lang w:val="en-US" w:eastAsia="zh-CN" w:bidi="ar-SA"/>
        </w:rPr>
        <w:t>必</w:t>
      </w:r>
      <w:r>
        <w:rPr>
          <w:rFonts w:hint="default" w:ascii="宋体" w:hAnsi="宋体" w:eastAsia="宋体" w:cs="宋体"/>
          <w:color w:val="auto"/>
          <w:kern w:val="2"/>
          <w:sz w:val="21"/>
          <w:szCs w:val="21"/>
          <w:highlight w:val="none"/>
          <w:lang w:val="en-US" w:eastAsia="zh-CN" w:bidi="ar-SA"/>
        </w:rPr>
        <w:t>须做出书面承诺，并对其真实性负责。</w:t>
      </w:r>
    </w:p>
    <w:p w14:paraId="7CB6B94A">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2</w:t>
      </w:r>
      <w:r>
        <w:rPr>
          <w:rFonts w:hint="eastAsia" w:eastAsia="宋体" w:cs="宋体"/>
          <w:color w:val="auto"/>
          <w:kern w:val="2"/>
          <w:sz w:val="21"/>
          <w:szCs w:val="21"/>
          <w:highlight w:val="none"/>
          <w:lang w:val="en-US" w:eastAsia="zh-CN" w:bidi="ar-SA"/>
        </w:rPr>
        <w:t>近三年投标人企业、法定代表人及拟派项目负责人无失信被执行记录，投标人自行在信用中国（网址：https://www.creditchina.gov.cn/）查询，提供查询结果截图扫描件，截图查询时间须为本项目发布公告之日起至投标截止时间止。</w:t>
      </w:r>
    </w:p>
    <w:p w14:paraId="737AC9B3">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3近三年</w:t>
      </w:r>
      <w:r>
        <w:rPr>
          <w:rFonts w:hint="default" w:ascii="宋体" w:hAnsi="宋体" w:eastAsia="宋体" w:cs="宋体"/>
          <w:color w:val="auto"/>
          <w:kern w:val="2"/>
          <w:sz w:val="21"/>
          <w:szCs w:val="21"/>
          <w:highlight w:val="none"/>
          <w:lang w:val="en-US" w:eastAsia="zh-CN" w:bidi="ar-SA"/>
        </w:rPr>
        <w:t>投标人企业、法定代表人及拟派项目负责人无行贿受贿犯罪档案记录</w:t>
      </w:r>
      <w:r>
        <w:rPr>
          <w:rFonts w:hint="eastAsia"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投标人自行在中国裁判文书网</w:t>
      </w:r>
      <w:r>
        <w:rPr>
          <w:rFonts w:hint="eastAsia" w:ascii="宋体" w:hAnsi="宋体" w:eastAsia="宋体" w:cs="宋体"/>
          <w:color w:val="auto"/>
          <w:kern w:val="2"/>
          <w:sz w:val="21"/>
          <w:szCs w:val="21"/>
          <w:highlight w:val="none"/>
          <w:lang w:val="en-US" w:eastAsia="zh-CN" w:bidi="ar-SA"/>
        </w:rPr>
        <w:t>（网址：https://wenshu.court.gov.cn/）</w:t>
      </w:r>
      <w:r>
        <w:rPr>
          <w:rFonts w:hint="default" w:ascii="宋体" w:hAnsi="宋体" w:eastAsia="宋体" w:cs="宋体"/>
          <w:color w:val="auto"/>
          <w:kern w:val="2"/>
          <w:sz w:val="21"/>
          <w:szCs w:val="21"/>
          <w:highlight w:val="none"/>
          <w:lang w:val="en-US" w:eastAsia="zh-CN" w:bidi="ar-SA"/>
        </w:rPr>
        <w:t>查询，并提供查询结果截图扫描件</w:t>
      </w:r>
      <w:r>
        <w:rPr>
          <w:rFonts w:hint="eastAsia" w:ascii="宋体" w:hAnsi="宋体" w:eastAsia="宋体" w:cs="宋体"/>
          <w:color w:val="auto"/>
          <w:kern w:val="2"/>
          <w:sz w:val="21"/>
          <w:szCs w:val="21"/>
          <w:highlight w:val="none"/>
          <w:lang w:val="en-US" w:eastAsia="zh-CN" w:bidi="ar-SA"/>
        </w:rPr>
        <w:t>，截图查询时间</w:t>
      </w:r>
      <w:r>
        <w:rPr>
          <w:rFonts w:hint="eastAsia" w:eastAsia="宋体" w:cs="宋体"/>
          <w:color w:val="auto"/>
          <w:kern w:val="2"/>
          <w:sz w:val="21"/>
          <w:szCs w:val="21"/>
          <w:highlight w:val="none"/>
          <w:lang w:val="en-US" w:eastAsia="zh-CN" w:bidi="ar-SA"/>
        </w:rPr>
        <w:t>必</w:t>
      </w:r>
      <w:r>
        <w:rPr>
          <w:rFonts w:hint="eastAsia" w:ascii="宋体" w:hAnsi="宋体" w:eastAsia="宋体" w:cs="宋体"/>
          <w:color w:val="auto"/>
          <w:kern w:val="2"/>
          <w:sz w:val="21"/>
          <w:szCs w:val="21"/>
          <w:highlight w:val="none"/>
          <w:lang w:val="en-US" w:eastAsia="zh-CN" w:bidi="ar-SA"/>
        </w:rPr>
        <w:t>须为本项目发布公告之日起至投标截止时间止。</w:t>
      </w:r>
    </w:p>
    <w:p w14:paraId="26928C06">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.4投标人近三年企业工资支付信用记录（省外企业</w:t>
      </w:r>
      <w:r>
        <w:rPr>
          <w:rFonts w:hint="eastAsia" w:eastAsia="宋体" w:cs="宋体"/>
          <w:color w:val="auto"/>
          <w:kern w:val="2"/>
          <w:sz w:val="21"/>
          <w:szCs w:val="21"/>
          <w:highlight w:val="none"/>
          <w:lang w:val="en-US" w:eastAsia="zh-CN" w:bidi="ar-SA"/>
        </w:rPr>
        <w:t>必</w:t>
      </w:r>
      <w:r>
        <w:rPr>
          <w:rFonts w:hint="default" w:ascii="宋体" w:hAnsi="宋体" w:eastAsia="宋体" w:cs="宋体"/>
          <w:color w:val="auto"/>
          <w:kern w:val="2"/>
          <w:sz w:val="21"/>
          <w:szCs w:val="21"/>
          <w:highlight w:val="none"/>
          <w:lang w:val="en-US" w:eastAsia="zh-CN" w:bidi="ar-SA"/>
        </w:rPr>
        <w:t>须提供工商注册地人力资源和社会保障部门劳动监察机构出具的无拖欠农民工工资记录证明或未出现拖欠农民工工资情况承诺，省内企业提供工商注册地人力资源和社会保障部门进行查询“农民工工资支付信用记录”并提供查询结果原件扫描件或工商注册地人力资源和社会保障部门劳动监察机构出具的无拖欠农民工工资记录证明</w:t>
      </w:r>
      <w:r>
        <w:rPr>
          <w:rFonts w:hint="eastAsia" w:ascii="宋体" w:hAnsi="宋体" w:eastAsia="宋体" w:cs="宋体"/>
          <w:color w:val="auto"/>
          <w:kern w:val="2"/>
          <w:sz w:val="21"/>
          <w:szCs w:val="21"/>
          <w:highlight w:val="none"/>
          <w:lang w:val="en-US" w:eastAsia="zh-CN" w:bidi="ar-SA"/>
        </w:rPr>
        <w:t>。</w:t>
      </w:r>
    </w:p>
    <w:p w14:paraId="534D7159">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eastAsia="宋体" w:cs="宋体"/>
          <w:color w:val="auto"/>
          <w:kern w:val="2"/>
          <w:sz w:val="21"/>
          <w:szCs w:val="21"/>
          <w:highlight w:val="none"/>
          <w:lang w:val="en-US" w:eastAsia="zh-CN" w:bidi="ar-SA"/>
        </w:rPr>
        <w:t>5</w:t>
      </w:r>
      <w:r>
        <w:rPr>
          <w:rFonts w:hint="default" w:ascii="宋体" w:hAnsi="宋体" w:eastAsia="宋体" w:cs="宋体"/>
          <w:color w:val="auto"/>
          <w:kern w:val="2"/>
          <w:sz w:val="21"/>
          <w:szCs w:val="21"/>
          <w:highlight w:val="none"/>
          <w:lang w:val="en-US" w:eastAsia="zh-CN" w:bidi="ar-SA"/>
        </w:rPr>
        <w:t>提供按时支付农民工工资承诺书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质量承诺书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不转包不违法分包承诺书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不拖延工期承诺书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项目经理不更换及</w:t>
      </w:r>
      <w:r>
        <w:rPr>
          <w:rFonts w:hint="eastAsia" w:ascii="宋体" w:hAnsi="宋体" w:eastAsia="宋体" w:cs="宋体"/>
          <w:color w:val="auto"/>
          <w:kern w:val="2"/>
          <w:sz w:val="21"/>
          <w:szCs w:val="21"/>
          <w:highlight w:val="none"/>
          <w:lang w:val="en-US" w:eastAsia="zh-CN" w:bidi="ar-SA"/>
        </w:rPr>
        <w:t>常</w:t>
      </w:r>
      <w:r>
        <w:rPr>
          <w:rFonts w:hint="default" w:ascii="宋体" w:hAnsi="宋体" w:eastAsia="宋体" w:cs="宋体"/>
          <w:color w:val="auto"/>
          <w:kern w:val="2"/>
          <w:sz w:val="21"/>
          <w:szCs w:val="21"/>
          <w:highlight w:val="none"/>
          <w:lang w:val="en-US" w:eastAsia="zh-CN" w:bidi="ar-SA"/>
        </w:rPr>
        <w:t>驻现场承诺书。</w:t>
      </w:r>
    </w:p>
    <w:p w14:paraId="33066B17">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eastAsia="宋体" w:cs="宋体"/>
          <w:color w:val="auto"/>
          <w:kern w:val="2"/>
          <w:sz w:val="21"/>
          <w:szCs w:val="21"/>
          <w:highlight w:val="none"/>
          <w:lang w:val="en-US" w:eastAsia="zh-CN" w:bidi="ar-SA"/>
        </w:rPr>
        <w:t>6</w:t>
      </w:r>
      <w:r>
        <w:rPr>
          <w:rFonts w:hint="default" w:ascii="宋体" w:hAnsi="宋体" w:eastAsia="宋体" w:cs="宋体"/>
          <w:color w:val="auto"/>
          <w:kern w:val="2"/>
          <w:sz w:val="21"/>
          <w:szCs w:val="21"/>
          <w:highlight w:val="none"/>
          <w:lang w:val="en-US" w:eastAsia="zh-CN" w:bidi="ar-SA"/>
        </w:rPr>
        <w:t>投标单位对以上提供的证明材料、承诺及说明必须真实、有效，招标人或行政监管单位保留复核查询的权利。若招标人发现投标单位提供虚假资料骗取投标资格或中标的，一经查实取消投标资格或中标资格，骗取投标资格或中标的，将按照相关法律法规进行严肃处罚。投标人的资格审查和诚信承诺贯穿招投标工作和施工全过程，在招投标和施工全过程任何一个环节若发现投标人不符合投标资格条件和提供虚假材料的，不论是评标过程中还是结果公示中，或者已签订合同并执行完毕，招标人、监管单位均可追究由其造成的一切后果（包括但不限于刑事及民事责任）。各投标人应诚信投标，并签署《投标人承诺书》（格式详见投标文件格式要求）确保电子投标文件提交的所有材料真实、准确、有效和完整，投标人的诚信承诺贯穿招投标过程、施工全过程，在招投标活动、施工各环节，若发现投标人提供虚假材料、虚假承诺的一经查实取消投标或中标资格，并依据相关法律、法规进行处罚。</w:t>
      </w:r>
    </w:p>
    <w:p w14:paraId="1D6408A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cs="宋体"/>
          <w:b/>
          <w:color w:val="auto"/>
          <w:szCs w:val="21"/>
          <w:highlight w:val="none"/>
        </w:rPr>
      </w:pPr>
      <w:r>
        <w:rPr>
          <w:rFonts w:hint="eastAsia" w:ascii="宋体" w:hAnsi="宋体" w:cs="宋体"/>
          <w:b w:val="0"/>
          <w:bCs w:val="0"/>
          <w:color w:val="auto"/>
          <w:szCs w:val="21"/>
          <w:highlight w:val="none"/>
        </w:rPr>
        <w:t>3.</w:t>
      </w:r>
      <w:r>
        <w:rPr>
          <w:rFonts w:hint="eastAsia" w:ascii="宋体" w:hAnsi="宋体" w:cs="宋体"/>
          <w:b w:val="0"/>
          <w:bCs w:val="0"/>
          <w:color w:val="auto"/>
          <w:szCs w:val="21"/>
          <w:highlight w:val="none"/>
          <w:lang w:val="en-US" w:eastAsia="zh-CN"/>
        </w:rPr>
        <w:t>4</w:t>
      </w:r>
      <w:r>
        <w:rPr>
          <w:rFonts w:hint="eastAsia" w:ascii="宋体" w:hAnsi="宋体" w:cs="宋体"/>
          <w:b w:val="0"/>
          <w:bCs w:val="0"/>
          <w:color w:val="auto"/>
          <w:szCs w:val="21"/>
          <w:highlight w:val="none"/>
        </w:rPr>
        <w:t>项目经理资格：</w:t>
      </w:r>
      <w:r>
        <w:rPr>
          <w:rFonts w:hint="eastAsia" w:ascii="宋体" w:hAnsi="宋体"/>
          <w:b w:val="0"/>
          <w:bCs w:val="0"/>
          <w:color w:val="auto"/>
          <w:highlight w:val="none"/>
          <w:lang w:eastAsia="zh-CN"/>
        </w:rPr>
        <w:t>拟投入本项目的项目负责人应具备建筑工程</w:t>
      </w:r>
      <w:r>
        <w:rPr>
          <w:rFonts w:hint="eastAsia" w:ascii="宋体" w:hAnsi="宋体"/>
          <w:b w:val="0"/>
          <w:bCs w:val="0"/>
          <w:color w:val="auto"/>
          <w:highlight w:val="none"/>
          <w:lang w:val="en-US" w:eastAsia="zh-CN"/>
        </w:rPr>
        <w:t>或</w:t>
      </w:r>
      <w:r>
        <w:rPr>
          <w:rFonts w:hint="eastAsia" w:ascii="宋体" w:hAnsi="宋体"/>
          <w:b w:val="0"/>
          <w:bCs w:val="0"/>
          <w:color w:val="auto"/>
          <w:highlight w:val="none"/>
          <w:lang w:eastAsia="zh-CN"/>
        </w:rPr>
        <w:t>水利水电</w:t>
      </w:r>
      <w:r>
        <w:rPr>
          <w:rFonts w:hint="eastAsia" w:ascii="宋体" w:hAnsi="宋体"/>
          <w:b w:val="0"/>
          <w:bCs w:val="0"/>
          <w:color w:val="auto"/>
          <w:highlight w:val="none"/>
          <w:lang w:val="en-US" w:eastAsia="zh-CN"/>
        </w:rPr>
        <w:t>工程</w:t>
      </w:r>
      <w:r>
        <w:rPr>
          <w:rFonts w:hint="eastAsia" w:ascii="宋体" w:hAnsi="宋体"/>
          <w:b w:val="0"/>
          <w:bCs w:val="0"/>
          <w:color w:val="auto"/>
          <w:highlight w:val="none"/>
          <w:lang w:eastAsia="zh-CN"/>
        </w:rPr>
        <w:t>或公路工程专业二级（含二级）及以上注册建造师资格及行业主管部门颁发的有效的安全生产考核合格证（B证）</w:t>
      </w:r>
      <w:r>
        <w:rPr>
          <w:rFonts w:hint="eastAsia" w:ascii="宋体" w:hAnsi="宋体"/>
          <w:color w:val="auto"/>
          <w:highlight w:val="none"/>
          <w:lang w:eastAsia="zh-CN"/>
        </w:rPr>
        <w:t>，</w:t>
      </w:r>
      <w:r>
        <w:rPr>
          <w:rFonts w:hint="eastAsia" w:ascii="宋体" w:hAnsi="宋体"/>
          <w:color w:val="auto"/>
          <w:highlight w:val="none"/>
        </w:rPr>
        <w:t>且拟派项目经理不得担任其他在建项目的项目经理或项目负责人</w:t>
      </w:r>
      <w:r>
        <w:rPr>
          <w:rFonts w:hint="eastAsia" w:ascii="宋体" w:hAnsi="宋体"/>
          <w:color w:val="auto"/>
          <w:highlight w:val="none"/>
          <w:lang w:eastAsia="zh-CN"/>
        </w:rPr>
        <w:t>，</w:t>
      </w:r>
      <w:r>
        <w:rPr>
          <w:rFonts w:hint="eastAsia" w:ascii="宋体" w:hAnsi="宋体" w:cs="宋体"/>
          <w:color w:val="auto"/>
          <w:highlight w:val="none"/>
          <w:lang w:val="zh-CN"/>
        </w:rPr>
        <w:t>并提供承诺书</w:t>
      </w:r>
      <w:r>
        <w:rPr>
          <w:rFonts w:hint="eastAsia" w:ascii="宋体" w:hAnsi="宋体"/>
          <w:color w:val="auto"/>
          <w:highlight w:val="none"/>
        </w:rPr>
        <w:t>。</w:t>
      </w:r>
      <w:r>
        <w:rPr>
          <w:rFonts w:hint="eastAsia" w:ascii="宋体" w:hAnsi="宋体" w:eastAsia="宋体" w:cs="宋体"/>
          <w:color w:val="auto"/>
          <w:kern w:val="0"/>
          <w:highlight w:val="none"/>
          <w:lang w:val="en-US" w:eastAsia="zh-CN"/>
        </w:rPr>
        <w:t>中标后如发现有在建项目，取消中标资格并承担相应的法律责任。</w:t>
      </w:r>
    </w:p>
    <w:p w14:paraId="03057193">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cs="宋体"/>
          <w:b/>
          <w:color w:val="auto"/>
          <w:szCs w:val="21"/>
          <w:highlight w:val="none"/>
        </w:rPr>
      </w:pPr>
      <w:r>
        <w:rPr>
          <w:rFonts w:hint="eastAsia" w:ascii="宋体" w:hAnsi="宋体" w:cs="宋体"/>
          <w:b w:val="0"/>
          <w:bCs w:val="0"/>
          <w:color w:val="auto"/>
          <w:szCs w:val="21"/>
          <w:highlight w:val="none"/>
        </w:rPr>
        <w:t>3.</w:t>
      </w:r>
      <w:r>
        <w:rPr>
          <w:rFonts w:hint="eastAsia" w:ascii="宋体" w:hAnsi="宋体" w:cs="宋体"/>
          <w:b w:val="0"/>
          <w:bCs w:val="0"/>
          <w:color w:val="auto"/>
          <w:szCs w:val="21"/>
          <w:highlight w:val="none"/>
          <w:lang w:val="en-US" w:eastAsia="zh-CN"/>
        </w:rPr>
        <w:t>5</w:t>
      </w:r>
      <w:r>
        <w:rPr>
          <w:rFonts w:hint="eastAsia" w:ascii="宋体" w:hAnsi="宋体" w:cs="宋体"/>
          <w:b w:val="0"/>
          <w:bCs w:val="0"/>
          <w:color w:val="auto"/>
          <w:szCs w:val="21"/>
          <w:highlight w:val="none"/>
        </w:rPr>
        <w:t>技术负责人资格：</w:t>
      </w:r>
      <w:r>
        <w:rPr>
          <w:rFonts w:hint="eastAsia" w:ascii="宋体" w:hAnsi="宋体"/>
          <w:b w:val="0"/>
          <w:bCs w:val="0"/>
          <w:color w:val="auto"/>
          <w:highlight w:val="none"/>
          <w:lang w:eastAsia="zh-CN"/>
        </w:rPr>
        <w:t>拟投入本项目的技术负责人应具备建筑工程</w:t>
      </w:r>
      <w:r>
        <w:rPr>
          <w:rFonts w:hint="eastAsia" w:ascii="宋体" w:hAnsi="宋体"/>
          <w:b w:val="0"/>
          <w:bCs w:val="0"/>
          <w:color w:val="auto"/>
          <w:highlight w:val="none"/>
          <w:lang w:val="en-US" w:eastAsia="zh-CN"/>
        </w:rPr>
        <w:t>或</w:t>
      </w:r>
      <w:r>
        <w:rPr>
          <w:rFonts w:hint="eastAsia" w:ascii="宋体" w:hAnsi="宋体"/>
          <w:b w:val="0"/>
          <w:bCs w:val="0"/>
          <w:color w:val="auto"/>
          <w:highlight w:val="none"/>
          <w:lang w:eastAsia="zh-CN"/>
        </w:rPr>
        <w:t>水利水电</w:t>
      </w:r>
      <w:r>
        <w:rPr>
          <w:rFonts w:hint="eastAsia" w:ascii="宋体" w:hAnsi="宋体"/>
          <w:b w:val="0"/>
          <w:bCs w:val="0"/>
          <w:color w:val="auto"/>
          <w:highlight w:val="none"/>
          <w:lang w:val="en-US" w:eastAsia="zh-CN"/>
        </w:rPr>
        <w:t>工程</w:t>
      </w:r>
      <w:r>
        <w:rPr>
          <w:rFonts w:hint="eastAsia" w:ascii="宋体" w:hAnsi="宋体"/>
          <w:b w:val="0"/>
          <w:bCs w:val="0"/>
          <w:color w:val="auto"/>
          <w:highlight w:val="none"/>
          <w:lang w:eastAsia="zh-CN"/>
        </w:rPr>
        <w:t>或公路工程相关专业工程师（含工程师）及以上职称，</w:t>
      </w:r>
      <w:r>
        <w:rPr>
          <w:rFonts w:hint="eastAsia" w:ascii="宋体" w:hAnsi="宋体"/>
          <w:color w:val="auto"/>
          <w:highlight w:val="none"/>
        </w:rPr>
        <w:t>且拟派技术负责人不得担任其他在建项目的技术负责人，技术负责人与项目负责人不能为同一人。</w:t>
      </w:r>
    </w:p>
    <w:p w14:paraId="0E2A0B89">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s="宋体"/>
          <w:b w:val="0"/>
          <w:bCs w:val="0"/>
          <w:color w:val="auto"/>
          <w:szCs w:val="21"/>
          <w:highlight w:val="none"/>
        </w:rPr>
        <w:t>3.</w:t>
      </w:r>
      <w:r>
        <w:rPr>
          <w:rFonts w:hint="eastAsia" w:ascii="宋体" w:hAnsi="宋体" w:cs="宋体"/>
          <w:b w:val="0"/>
          <w:bCs w:val="0"/>
          <w:color w:val="auto"/>
          <w:szCs w:val="21"/>
          <w:highlight w:val="none"/>
          <w:lang w:val="en-US" w:eastAsia="zh-CN"/>
        </w:rPr>
        <w:t>6</w:t>
      </w:r>
      <w:r>
        <w:rPr>
          <w:rFonts w:hint="eastAsia" w:ascii="宋体" w:hAnsi="宋体" w:cs="宋体"/>
          <w:b w:val="0"/>
          <w:bCs w:val="0"/>
          <w:color w:val="auto"/>
          <w:szCs w:val="21"/>
          <w:highlight w:val="none"/>
        </w:rPr>
        <w:t>拟投入本项目主要人员要求：</w:t>
      </w:r>
      <w:r>
        <w:rPr>
          <w:rFonts w:hint="eastAsia" w:ascii="宋体" w:hAnsi="宋体"/>
          <w:b w:val="0"/>
          <w:bCs w:val="0"/>
          <w:color w:val="auto"/>
          <w:highlight w:val="none"/>
        </w:rPr>
        <w:t>项</w:t>
      </w:r>
      <w:r>
        <w:rPr>
          <w:rFonts w:hint="eastAsia" w:ascii="宋体" w:hAnsi="宋体"/>
          <w:color w:val="auto"/>
          <w:highlight w:val="none"/>
        </w:rPr>
        <w:t>目负责人、技术负责人、安全管理人员（即C证人员）、施工员、质量管理人员</w:t>
      </w:r>
      <w:r>
        <w:rPr>
          <w:rFonts w:hint="eastAsia" w:ascii="宋体" w:hAnsi="宋体"/>
          <w:color w:val="auto"/>
          <w:highlight w:val="none"/>
          <w:lang w:eastAsia="zh-CN"/>
        </w:rPr>
        <w:t>必</w:t>
      </w:r>
      <w:r>
        <w:rPr>
          <w:rFonts w:hint="eastAsia" w:ascii="宋体" w:hAnsi="宋体"/>
          <w:color w:val="auto"/>
          <w:highlight w:val="none"/>
        </w:rPr>
        <w:t>须具备相应资格（岗位）证书，以上人员必须为本单位在职在册人员，并提供以上人员投标文件递交截止之日前</w:t>
      </w:r>
      <w:r>
        <w:rPr>
          <w:rFonts w:hint="eastAsia" w:ascii="宋体" w:hAnsi="宋体"/>
          <w:color w:val="auto"/>
          <w:highlight w:val="none"/>
          <w:lang w:val="en-US" w:eastAsia="zh-CN"/>
        </w:rPr>
        <w:t>连续</w:t>
      </w:r>
      <w:r>
        <w:rPr>
          <w:rFonts w:hint="eastAsia" w:ascii="宋体" w:hAnsi="宋体"/>
          <w:color w:val="auto"/>
          <w:highlight w:val="none"/>
        </w:rPr>
        <w:t>三个月社保缴纳证明材料。</w:t>
      </w:r>
    </w:p>
    <w:p w14:paraId="569BFC85">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olor w:val="auto"/>
          <w:highlight w:val="none"/>
        </w:rPr>
      </w:pPr>
      <w:r>
        <w:rPr>
          <w:rFonts w:hint="eastAsia" w:ascii="宋体" w:hAnsi="宋体"/>
          <w:color w:val="000000" w:themeColor="text1"/>
          <w:highlight w:val="none"/>
          <w:lang w:val="en-US" w:eastAsia="zh-CN"/>
          <w14:textFill>
            <w14:solidFill>
              <w14:schemeClr w14:val="tx1"/>
            </w14:solidFill>
          </w14:textFill>
        </w:rPr>
        <w:t>3.7</w:t>
      </w:r>
      <w:r>
        <w:rPr>
          <w:rFonts w:hint="eastAsia" w:ascii="宋体" w:hAnsi="宋体"/>
          <w:color w:val="000000" w:themeColor="text1"/>
          <w:highlight w:val="none"/>
          <w14:textFill>
            <w14:solidFill>
              <w14:schemeClr w14:val="tx1"/>
            </w14:solidFill>
          </w14:textFill>
        </w:rPr>
        <w:t>业绩要求：</w:t>
      </w:r>
      <w:r>
        <w:rPr>
          <w:rFonts w:ascii="宋体" w:hAnsi="宋体" w:cs="宋体"/>
          <w:color w:val="000000" w:themeColor="text1"/>
          <w:highlight w:val="none"/>
          <w14:textFill>
            <w14:solidFill>
              <w14:schemeClr w14:val="tx1"/>
            </w14:solidFill>
          </w14:textFill>
        </w:rPr>
        <w:t>投标人</w:t>
      </w:r>
      <w:r>
        <w:rPr>
          <w:rFonts w:hint="eastAsia" w:ascii="宋体" w:hAnsi="宋体" w:cs="宋体"/>
          <w:color w:val="000000" w:themeColor="text1"/>
          <w:highlight w:val="none"/>
          <w:lang w:val="en-US" w:eastAsia="zh-CN"/>
          <w14:textFill>
            <w14:solidFill>
              <w14:schemeClr w14:val="tx1"/>
            </w14:solidFill>
          </w14:textFill>
        </w:rPr>
        <w:t>2023年1月1日至今</w:t>
      </w:r>
      <w:r>
        <w:rPr>
          <w:rFonts w:hint="eastAsia" w:ascii="宋体" w:hAnsi="宋体" w:cs="宋体"/>
          <w:color w:val="000000" w:themeColor="text1"/>
          <w:highlight w:val="none"/>
          <w:lang w:val="zh-CN"/>
          <w14:textFill>
            <w14:solidFill>
              <w14:schemeClr w14:val="tx1"/>
            </w14:solidFill>
          </w14:textFill>
        </w:rPr>
        <w:t>至少承担过</w:t>
      </w:r>
      <w:r>
        <w:rPr>
          <w:rFonts w:hint="eastAsia" w:ascii="宋体" w:hAnsi="宋体" w:cs="宋体"/>
          <w:color w:val="000000" w:themeColor="text1"/>
          <w:highlight w:val="none"/>
          <w:lang w:val="en-US" w:eastAsia="zh-CN"/>
          <w14:textFill>
            <w14:solidFill>
              <w14:schemeClr w14:val="tx1"/>
            </w14:solidFill>
          </w14:textFill>
        </w:rPr>
        <w:t>1项</w:t>
      </w:r>
      <w:r>
        <w:rPr>
          <w:rFonts w:hint="eastAsia" w:ascii="宋体" w:hAnsi="宋体" w:cs="宋体"/>
          <w:color w:val="000000" w:themeColor="text1"/>
          <w:highlight w:val="none"/>
          <w:lang w:val="zh-CN"/>
          <w14:textFill>
            <w14:solidFill>
              <w14:schemeClr w14:val="tx1"/>
            </w14:solidFill>
          </w14:textFill>
        </w:rPr>
        <w:t>农田水利工程</w:t>
      </w:r>
      <w:r>
        <w:rPr>
          <w:rFonts w:hint="eastAsia" w:ascii="宋体" w:hAnsi="宋体" w:cs="宋体"/>
          <w:color w:val="000000" w:themeColor="text1"/>
          <w:highlight w:val="none"/>
          <w:lang w:val="en-US" w:eastAsia="zh-CN"/>
          <w14:textFill>
            <w14:solidFill>
              <w14:schemeClr w14:val="tx1"/>
            </w14:solidFill>
          </w14:textFill>
        </w:rPr>
        <w:t>或</w:t>
      </w:r>
      <w:r>
        <w:rPr>
          <w:rFonts w:hint="eastAsia" w:ascii="宋体" w:hAnsi="宋体" w:cs="宋体"/>
          <w:color w:val="000000" w:themeColor="text1"/>
          <w:highlight w:val="none"/>
          <w:lang w:val="zh-CN"/>
          <w14:textFill>
            <w14:solidFill>
              <w14:schemeClr w14:val="tx1"/>
            </w14:solidFill>
          </w14:textFill>
        </w:rPr>
        <w:t>高标准农田建设项目</w:t>
      </w:r>
      <w:r>
        <w:rPr>
          <w:rFonts w:hint="eastAsia" w:ascii="宋体" w:hAnsi="宋体" w:cs="宋体"/>
          <w:color w:val="000000" w:themeColor="text1"/>
          <w:highlight w:val="none"/>
          <w:lang w:val="en-US" w:eastAsia="zh-CN"/>
          <w14:textFill>
            <w14:solidFill>
              <w14:schemeClr w14:val="tx1"/>
            </w14:solidFill>
          </w14:textFill>
        </w:rPr>
        <w:t>或</w:t>
      </w:r>
      <w:r>
        <w:rPr>
          <w:rFonts w:hint="eastAsia" w:ascii="宋体" w:hAnsi="宋体" w:cs="宋体"/>
          <w:color w:val="000000" w:themeColor="text1"/>
          <w:highlight w:val="none"/>
          <w:lang w:val="zh-CN"/>
          <w14:textFill>
            <w14:solidFill>
              <w14:schemeClr w14:val="tx1"/>
            </w14:solidFill>
          </w14:textFill>
        </w:rPr>
        <w:t>土地整治项目施工业绩。本项目公告发布之日前</w:t>
      </w:r>
      <w:r>
        <w:rPr>
          <w:rFonts w:hint="eastAsia" w:ascii="宋体" w:hAnsi="宋体" w:cs="宋体"/>
          <w:color w:val="000000" w:themeColor="text1"/>
          <w:highlight w:val="none"/>
          <w:lang w:val="en-US" w:eastAsia="zh-CN"/>
          <w14:textFill>
            <w14:solidFill>
              <w14:schemeClr w14:val="tx1"/>
            </w14:solidFill>
          </w14:textFill>
        </w:rPr>
        <w:t>一年期间内首次</w:t>
      </w:r>
      <w:r>
        <w:rPr>
          <w:rFonts w:hint="eastAsia" w:ascii="宋体" w:hAnsi="宋体" w:cs="宋体"/>
          <w:color w:val="000000" w:themeColor="text1"/>
          <w:highlight w:val="none"/>
          <w:lang w:val="zh-CN"/>
          <w14:textFill>
            <w14:solidFill>
              <w14:schemeClr w14:val="tx1"/>
            </w14:solidFill>
          </w14:textFill>
        </w:rPr>
        <w:t>取得建筑企业资质证书的企业（以安全</w:t>
      </w:r>
      <w:r>
        <w:rPr>
          <w:rFonts w:hint="eastAsia" w:ascii="宋体" w:hAnsi="宋体" w:cs="宋体"/>
          <w:color w:val="000000" w:themeColor="text1"/>
          <w:highlight w:val="none"/>
          <w:lang w:val="en-US" w:eastAsia="zh-CN"/>
          <w14:textFill>
            <w14:solidFill>
              <w14:schemeClr w14:val="tx1"/>
            </w14:solidFill>
          </w14:textFill>
        </w:rPr>
        <w:t>生产</w:t>
      </w:r>
      <w:r>
        <w:rPr>
          <w:rFonts w:hint="eastAsia" w:ascii="宋体" w:hAnsi="宋体" w:cs="宋体"/>
          <w:color w:val="000000" w:themeColor="text1"/>
          <w:highlight w:val="none"/>
          <w:lang w:val="zh-CN"/>
          <w14:textFill>
            <w14:solidFill>
              <w14:schemeClr w14:val="tx1"/>
            </w14:solidFill>
          </w14:textFill>
        </w:rPr>
        <w:t>许可证发证日期为准），此项不考核</w:t>
      </w:r>
      <w:r>
        <w:rPr>
          <w:rFonts w:hint="eastAsia" w:ascii="宋体" w:hAnsi="宋体" w:cs="宋体"/>
          <w:color w:val="auto"/>
          <w:highlight w:val="none"/>
          <w:lang w:val="zh-CN"/>
        </w:rPr>
        <w:t>（业绩证明材料：中标通知书</w:t>
      </w:r>
      <w:r>
        <w:rPr>
          <w:rFonts w:hint="eastAsia" w:ascii="宋体" w:hAnsi="宋体" w:cs="宋体"/>
          <w:color w:val="auto"/>
          <w:highlight w:val="none"/>
          <w:lang w:val="en-US" w:eastAsia="zh-CN"/>
        </w:rPr>
        <w:t>或</w:t>
      </w:r>
      <w:r>
        <w:rPr>
          <w:rFonts w:hint="eastAsia" w:ascii="宋体" w:hAnsi="宋体" w:cs="宋体"/>
          <w:color w:val="auto"/>
          <w:highlight w:val="none"/>
          <w:lang w:val="zh-CN"/>
        </w:rPr>
        <w:t>合同协议书</w:t>
      </w:r>
      <w:r>
        <w:rPr>
          <w:rFonts w:hint="eastAsia" w:ascii="宋体" w:hAnsi="宋体" w:cs="宋体"/>
          <w:color w:val="auto"/>
          <w:highlight w:val="none"/>
          <w:lang w:val="en-US" w:eastAsia="zh-CN"/>
        </w:rPr>
        <w:t>或</w:t>
      </w:r>
      <w:r>
        <w:rPr>
          <w:rFonts w:hint="eastAsia" w:ascii="宋体" w:hAnsi="宋体" w:cs="宋体"/>
          <w:color w:val="auto"/>
          <w:highlight w:val="none"/>
          <w:lang w:val="zh-CN"/>
        </w:rPr>
        <w:t>完工证明材料）</w:t>
      </w:r>
      <w:r>
        <w:rPr>
          <w:rFonts w:hint="eastAsia" w:ascii="宋体" w:hAnsi="宋体" w:cs="宋体"/>
          <w:color w:val="000000" w:themeColor="text1"/>
          <w:highlight w:val="none"/>
          <w:lang w:val="zh-CN"/>
          <w14:textFill>
            <w14:solidFill>
              <w14:schemeClr w14:val="tx1"/>
            </w14:solidFill>
          </w14:textFill>
        </w:rPr>
        <w:t>。</w:t>
      </w:r>
    </w:p>
    <w:p w14:paraId="34E5CCC2">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其他要求</w:t>
      </w:r>
    </w:p>
    <w:p w14:paraId="4AB3AEB6">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.1本项目招标不接受联合体投标。</w:t>
      </w:r>
    </w:p>
    <w:p w14:paraId="1E606367">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.2本项目资格审查方式为资格后审。</w:t>
      </w:r>
    </w:p>
    <w:p w14:paraId="5DB16308">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.3</w:t>
      </w:r>
      <w:r>
        <w:rPr>
          <w:rFonts w:hint="eastAsia" w:ascii="宋体" w:hAnsi="宋体"/>
          <w:color w:val="000000" w:themeColor="text1"/>
          <w:highlight w:val="none"/>
          <w:lang w:val="zh-CN"/>
          <w14:textFill>
            <w14:solidFill>
              <w14:schemeClr w14:val="tx1"/>
            </w14:solidFill>
          </w14:textFill>
        </w:rPr>
        <w:t>与招标人存在利害关系可能影响招标公正性的单位,不得参加投标。</w:t>
      </w:r>
      <w:r>
        <w:rPr>
          <w:rFonts w:hint="eastAsia" w:ascii="宋体" w:hAnsi="宋体"/>
          <w:color w:val="auto"/>
          <w:highlight w:val="none"/>
        </w:rPr>
        <w:t>具有投资参股关系的关联企业，或具有直接管理和被管理关系的母子公司，或同一母公司的子公司，或法定代表人为同一人的两个及两个以上法人不得同时对同一标段提出资格申请。为本招标项目的设计人、招标人或者提供招标代理服务的、同为一个法定代表人的、相互控股或者参股的，不得参与本项目投标，否则其投标文件无效。严禁同一资质单位或法定代表人相同的不同施工单位，参与同一工程的施工投标。</w:t>
      </w:r>
    </w:p>
    <w:p w14:paraId="21C3F302">
      <w:pPr>
        <w:pStyle w:val="7"/>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cs="Times New Roman"/>
          <w:color w:val="auto"/>
          <w:kern w:val="2"/>
          <w:sz w:val="21"/>
          <w:szCs w:val="24"/>
          <w:highlight w:val="none"/>
          <w:lang w:val="zh-CN" w:eastAsia="zh-CN" w:bidi="ar-SA"/>
        </w:rPr>
        <w:t>3.</w:t>
      </w:r>
      <w:r>
        <w:rPr>
          <w:rFonts w:hint="eastAsia" w:ascii="宋体" w:hAnsi="宋体" w:cs="Times New Roman"/>
          <w:color w:val="auto"/>
          <w:kern w:val="2"/>
          <w:sz w:val="21"/>
          <w:szCs w:val="24"/>
          <w:highlight w:val="none"/>
          <w:lang w:val="en-US" w:eastAsia="zh-CN" w:bidi="ar-SA"/>
        </w:rPr>
        <w:t>7</w:t>
      </w:r>
      <w:r>
        <w:rPr>
          <w:rFonts w:hint="eastAsia" w:ascii="宋体" w:hAnsi="宋体" w:eastAsia="宋体" w:cs="Times New Roman"/>
          <w:color w:val="auto"/>
          <w:kern w:val="2"/>
          <w:sz w:val="21"/>
          <w:szCs w:val="24"/>
          <w:highlight w:val="none"/>
          <w:lang w:val="zh-CN" w:eastAsia="zh-CN" w:bidi="ar-SA"/>
        </w:rPr>
        <w:t>.4同一个潜在投标人如对不同标段同时提出投标申请的，应分别拟派项目经理及技术负责人及安全员，严禁法定代表人相同的不同施工单位，参与同一标段的施工投标。</w:t>
      </w:r>
    </w:p>
    <w:p w14:paraId="2AA876B2">
      <w:pPr>
        <w:pStyle w:val="7"/>
        <w:keepNext w:val="0"/>
        <w:keepLines w:val="0"/>
        <w:pageBreakBefore w:val="0"/>
        <w:widowControl w:val="0"/>
        <w:kinsoku/>
        <w:wordWrap/>
        <w:overflowPunct/>
        <w:topLinePunct w:val="0"/>
        <w:autoSpaceDE/>
        <w:autoSpaceDN/>
        <w:bidi w:val="0"/>
        <w:adjustRightInd/>
        <w:snapToGrid/>
        <w:spacing w:after="0" w:line="360" w:lineRule="auto"/>
        <w:textAlignment w:val="auto"/>
        <w:outlineLvl w:val="1"/>
        <w:rPr>
          <w:rFonts w:ascii="宋体" w:hAnsi="宋体" w:eastAsia="宋体"/>
          <w:color w:val="auto"/>
          <w:sz w:val="21"/>
          <w:szCs w:val="21"/>
          <w:highlight w:val="none"/>
        </w:rPr>
      </w:pPr>
      <w:bookmarkStart w:id="51" w:name="_Toc24316"/>
      <w:bookmarkStart w:id="52" w:name="_Toc25104"/>
      <w:r>
        <w:rPr>
          <w:rFonts w:hint="eastAsia" w:ascii="宋体" w:hAnsi="宋体" w:cs="宋体"/>
          <w:b/>
          <w:bCs/>
          <w:color w:val="auto"/>
          <w:szCs w:val="21"/>
          <w:highlight w:val="none"/>
          <w:lang w:eastAsia="zh-CN"/>
        </w:rPr>
        <w:t>四、</w:t>
      </w:r>
      <w:bookmarkEnd w:id="50"/>
      <w:bookmarkStart w:id="53" w:name="_Toc16348"/>
      <w:bookmarkStart w:id="54" w:name="_Toc30791"/>
      <w:bookmarkStart w:id="55" w:name="_Toc15869"/>
      <w:bookmarkStart w:id="56" w:name="_Toc95257476"/>
      <w:bookmarkStart w:id="57" w:name="_Toc7984"/>
      <w:bookmarkStart w:id="58" w:name="_Toc288122584"/>
      <w:bookmarkStart w:id="59" w:name="_Toc351127930"/>
      <w:r>
        <w:rPr>
          <w:rFonts w:hint="eastAsia" w:ascii="宋体" w:hAnsi="宋体" w:eastAsia="宋体"/>
          <w:b/>
          <w:bCs/>
          <w:color w:val="auto"/>
          <w:sz w:val="21"/>
          <w:szCs w:val="21"/>
          <w:highlight w:val="none"/>
        </w:rPr>
        <w:t>招标文件获取</w:t>
      </w:r>
      <w:bookmarkEnd w:id="51"/>
      <w:bookmarkEnd w:id="52"/>
      <w:bookmarkEnd w:id="53"/>
      <w:bookmarkEnd w:id="54"/>
      <w:bookmarkEnd w:id="55"/>
      <w:bookmarkEnd w:id="56"/>
      <w:bookmarkEnd w:id="57"/>
    </w:p>
    <w:bookmarkEnd w:id="58"/>
    <w:bookmarkEnd w:id="59"/>
    <w:p w14:paraId="6C36A8AA">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b w:val="0"/>
          <w:bCs/>
          <w:color w:val="auto"/>
          <w:sz w:val="21"/>
          <w:szCs w:val="24"/>
          <w:highlight w:val="none"/>
          <w:lang w:val="zh-CN"/>
        </w:rPr>
        <w:t>凡有意参加投标者，请于</w:t>
      </w:r>
      <w:r>
        <w:rPr>
          <w:rFonts w:hint="eastAsia" w:ascii="宋体" w:hAnsi="宋体"/>
          <w:b w:val="0"/>
          <w:bCs/>
          <w:color w:val="auto"/>
          <w:sz w:val="21"/>
          <w:szCs w:val="24"/>
          <w:highlight w:val="none"/>
          <w:lang w:val="en-US" w:eastAsia="zh-CN"/>
        </w:rPr>
        <w:t>2026</w:t>
      </w:r>
      <w:r>
        <w:rPr>
          <w:rFonts w:hint="eastAsia" w:ascii="宋体" w:hAnsi="宋体" w:eastAsia="宋体"/>
          <w:b w:val="0"/>
          <w:bCs/>
          <w:color w:val="auto"/>
          <w:sz w:val="21"/>
          <w:szCs w:val="24"/>
          <w:highlight w:val="none"/>
          <w:lang w:val="zh-CN"/>
        </w:rPr>
        <w:t>年</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月</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日</w:t>
      </w:r>
      <w:r>
        <w:rPr>
          <w:rFonts w:hint="eastAsia" w:ascii="宋体" w:hAnsi="宋体" w:eastAsia="宋体"/>
          <w:b w:val="0"/>
          <w:bCs/>
          <w:color w:val="auto"/>
          <w:sz w:val="21"/>
          <w:szCs w:val="24"/>
          <w:highlight w:val="none"/>
          <w:lang w:val="en-US" w:eastAsia="zh-CN"/>
        </w:rPr>
        <w:t>00时00分</w:t>
      </w:r>
      <w:r>
        <w:rPr>
          <w:rFonts w:hint="eastAsia" w:ascii="宋体" w:hAnsi="宋体" w:eastAsia="宋体"/>
          <w:b w:val="0"/>
          <w:bCs/>
          <w:color w:val="auto"/>
          <w:sz w:val="21"/>
          <w:szCs w:val="24"/>
          <w:highlight w:val="none"/>
          <w:lang w:val="zh-CN"/>
        </w:rPr>
        <w:t>至</w:t>
      </w:r>
      <w:r>
        <w:rPr>
          <w:rFonts w:hint="eastAsia" w:ascii="宋体" w:hAnsi="宋体"/>
          <w:b w:val="0"/>
          <w:bCs/>
          <w:color w:val="auto"/>
          <w:sz w:val="21"/>
          <w:szCs w:val="24"/>
          <w:highlight w:val="none"/>
          <w:lang w:val="en-US" w:eastAsia="zh-CN"/>
        </w:rPr>
        <w:t>2026</w:t>
      </w:r>
      <w:r>
        <w:rPr>
          <w:rFonts w:hint="eastAsia" w:ascii="宋体" w:hAnsi="宋体" w:eastAsia="宋体"/>
          <w:b w:val="0"/>
          <w:bCs/>
          <w:color w:val="auto"/>
          <w:sz w:val="21"/>
          <w:szCs w:val="24"/>
          <w:highlight w:val="none"/>
          <w:lang w:val="zh-CN"/>
        </w:rPr>
        <w:t>年</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月</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日</w:t>
      </w:r>
      <w:r>
        <w:rPr>
          <w:rFonts w:hint="eastAsia" w:ascii="宋体" w:hAnsi="宋体" w:eastAsia="宋体"/>
          <w:b w:val="0"/>
          <w:bCs/>
          <w:color w:val="auto"/>
          <w:sz w:val="21"/>
          <w:szCs w:val="24"/>
          <w:highlight w:val="none"/>
          <w:lang w:val="en-US" w:eastAsia="zh-CN"/>
        </w:rPr>
        <w:t>23时59分</w:t>
      </w:r>
      <w:r>
        <w:rPr>
          <w:rFonts w:hint="eastAsia" w:ascii="宋体" w:hAnsi="宋体" w:eastAsia="宋体"/>
          <w:b w:val="0"/>
          <w:bCs/>
          <w:color w:val="auto"/>
          <w:sz w:val="21"/>
          <w:szCs w:val="24"/>
          <w:highlight w:val="none"/>
          <w:lang w:val="zh-CN"/>
        </w:rPr>
        <w:t>登录全国公共资源交易平台（云南省）云南省公共资源交易信息网（网址：https://ggzy.yn.gov.cn/#/homePage），凭企业数字证书（CA）在网上获取电子招标文件（格式为</w:t>
      </w:r>
      <w:r>
        <w:rPr>
          <w:rFonts w:hint="eastAsia" w:ascii="宋体" w:hAnsi="宋体"/>
          <w:b w:val="0"/>
          <w:bCs/>
          <w:color w:val="auto"/>
          <w:sz w:val="21"/>
          <w:szCs w:val="24"/>
          <w:highlight w:val="none"/>
          <w:lang w:val="zh-CN"/>
        </w:rPr>
        <w:t>×</w:t>
      </w:r>
      <w:r>
        <w:rPr>
          <w:rFonts w:hint="eastAsia" w:ascii="宋体" w:hAnsi="宋体" w:eastAsia="宋体"/>
          <w:b w:val="0"/>
          <w:bCs/>
          <w:color w:val="auto"/>
          <w:sz w:val="21"/>
          <w:szCs w:val="24"/>
          <w:highlight w:val="none"/>
          <w:lang w:val="zh-CN"/>
        </w:rPr>
        <w:t>.BZBJ）。未办理企业数字证书（CA）的企业需要按照全国公共资源交易平台（云南省）云南省公共资源交易信息网电子认证的要求，办理企业数字证书（CA），并在全国公共资源交易平台（云南省）云南省公共资源交易信息网完成注册通过后，便可获取电子招标文件，此为获取招标文件的唯一途径。交易平台技术支持服务电话：010-86483801；在线服务QQ：4009618998。</w:t>
      </w:r>
    </w:p>
    <w:p w14:paraId="410F73A2">
      <w:pPr>
        <w:pStyle w:val="5"/>
        <w:pageBreakBefore w:val="0"/>
        <w:widowControl w:val="0"/>
        <w:kinsoku/>
        <w:wordWrap/>
        <w:overflowPunct/>
        <w:topLinePunct w:val="0"/>
        <w:autoSpaceDE/>
        <w:autoSpaceDN/>
        <w:bidi w:val="0"/>
        <w:adjustRightInd/>
        <w:snapToGrid/>
        <w:spacing w:before="0" w:after="0" w:line="360" w:lineRule="auto"/>
        <w:ind w:firstLine="422" w:firstLineChars="200"/>
        <w:jc w:val="left"/>
        <w:textAlignment w:val="auto"/>
        <w:rPr>
          <w:rFonts w:ascii="宋体" w:hAnsi="宋体" w:eastAsia="宋体"/>
          <w:color w:val="auto"/>
          <w:sz w:val="21"/>
          <w:szCs w:val="21"/>
          <w:highlight w:val="none"/>
        </w:rPr>
      </w:pPr>
      <w:bookmarkStart w:id="60" w:name="_Toc25762"/>
      <w:bookmarkStart w:id="61" w:name="_Toc10563"/>
      <w:bookmarkStart w:id="62" w:name="_Toc22162"/>
      <w:bookmarkStart w:id="63" w:name="_Toc10816"/>
      <w:bookmarkStart w:id="64" w:name="_Toc95257477"/>
      <w:bookmarkStart w:id="65" w:name="_Toc14809"/>
      <w:bookmarkStart w:id="66" w:name="_Toc1750"/>
      <w:r>
        <w:rPr>
          <w:rFonts w:hint="eastAsia" w:ascii="宋体" w:hAnsi="宋体" w:eastAsia="宋体"/>
          <w:color w:val="auto"/>
          <w:sz w:val="21"/>
          <w:szCs w:val="21"/>
          <w:highlight w:val="none"/>
          <w:lang w:eastAsia="zh-CN"/>
        </w:rPr>
        <w:t>五</w:t>
      </w:r>
      <w:r>
        <w:rPr>
          <w:rFonts w:hint="eastAsia" w:ascii="宋体" w:hAnsi="宋体" w:eastAsia="宋体"/>
          <w:color w:val="auto"/>
          <w:sz w:val="21"/>
          <w:szCs w:val="21"/>
          <w:highlight w:val="none"/>
        </w:rPr>
        <w:t>、投标文件的递交</w:t>
      </w:r>
      <w:bookmarkEnd w:id="60"/>
      <w:bookmarkEnd w:id="61"/>
      <w:bookmarkEnd w:id="62"/>
      <w:bookmarkEnd w:id="63"/>
      <w:bookmarkEnd w:id="64"/>
      <w:bookmarkEnd w:id="65"/>
      <w:bookmarkEnd w:id="66"/>
    </w:p>
    <w:p w14:paraId="7E818C55">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宋体" w:hAnsi="宋体" w:cs="宋体"/>
          <w:b w:val="0"/>
          <w:bCs w:val="0"/>
          <w:color w:val="000000" w:themeColor="text1"/>
          <w:sz w:val="21"/>
          <w:szCs w:val="21"/>
          <w:highlight w:val="none"/>
          <w14:textFill>
            <w14:solidFill>
              <w14:schemeClr w14:val="tx1"/>
            </w14:solidFill>
          </w14:textFill>
        </w:rPr>
      </w:pPr>
      <w:bookmarkStart w:id="67" w:name="_Toc20754"/>
      <w:bookmarkStart w:id="68" w:name="_Toc95257478"/>
      <w:bookmarkStart w:id="69" w:name="_Toc4557"/>
      <w:bookmarkStart w:id="70" w:name="_Toc8535"/>
      <w:r>
        <w:rPr>
          <w:rFonts w:hint="eastAsia" w:ascii="宋体" w:hAnsi="宋体" w:eastAsia="宋体" w:cs="Times New Roman"/>
          <w:color w:val="auto"/>
          <w:kern w:val="2"/>
          <w:sz w:val="21"/>
          <w:szCs w:val="24"/>
          <w:highlight w:val="none"/>
          <w:lang w:val="zh-CN" w:eastAsia="zh-CN" w:bidi="ar-SA"/>
        </w:rPr>
        <w:t>5.1 开标时间：</w:t>
      </w: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（一标段）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623A34AE">
      <w:pPr>
        <w:pStyle w:val="7"/>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（二标段）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7A3192F4">
      <w:pPr>
        <w:pStyle w:val="7"/>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（三标段）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7BB9EFD7">
      <w:pPr>
        <w:pStyle w:val="7"/>
        <w:rPr>
          <w:rFonts w:hint="eastAsia" w:ascii="宋体" w:hAnsi="宋体" w:cs="宋体"/>
          <w:b w:val="0"/>
          <w:bCs w:val="0"/>
          <w:color w:val="000000" w:themeColor="text1"/>
          <w:sz w:val="21"/>
          <w:szCs w:val="21"/>
          <w:highlight w:val="none"/>
          <w:lang w:val="zh-CN"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（四标段）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5FEAD7A8">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cs="Times New Roman"/>
          <w:color w:val="auto"/>
          <w:kern w:val="2"/>
          <w:sz w:val="21"/>
          <w:szCs w:val="24"/>
          <w:highlight w:val="none"/>
          <w:lang w:val="zh-CN" w:eastAsia="zh-CN" w:bidi="ar-SA"/>
        </w:rPr>
        <w:t>5.2 开标地点：</w:t>
      </w:r>
      <w:r>
        <w:rPr>
          <w:rFonts w:hint="eastAsia" w:ascii="宋体" w:hAnsi="宋体" w:cs="Times New Roman"/>
          <w:color w:val="auto"/>
          <w:kern w:val="2"/>
          <w:sz w:val="21"/>
          <w:szCs w:val="24"/>
          <w:highlight w:val="none"/>
          <w:lang w:val="zh-CN" w:eastAsia="zh-CN" w:bidi="ar-SA"/>
        </w:rPr>
        <w:t>姚安县公共资源交易中心</w:t>
      </w:r>
      <w:r>
        <w:rPr>
          <w:rFonts w:hint="eastAsia" w:ascii="宋体" w:hAnsi="宋体" w:eastAsia="宋体" w:cs="Times New Roman"/>
          <w:color w:val="auto"/>
          <w:kern w:val="2"/>
          <w:sz w:val="21"/>
          <w:szCs w:val="24"/>
          <w:highlight w:val="none"/>
          <w:lang w:val="zh-CN" w:eastAsia="zh-CN" w:bidi="ar-SA"/>
        </w:rPr>
        <w:t xml:space="preserve">。 </w:t>
      </w:r>
    </w:p>
    <w:p w14:paraId="7CBC7BAA">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cs="Times New Roman"/>
          <w:color w:val="auto"/>
          <w:kern w:val="2"/>
          <w:sz w:val="21"/>
          <w:szCs w:val="24"/>
          <w:highlight w:val="none"/>
          <w:lang w:val="zh-CN" w:eastAsia="zh-CN" w:bidi="ar-SA"/>
        </w:rPr>
        <w:t xml:space="preserve">5.3 本项目采用网上开标远程解密方式。 </w:t>
      </w:r>
    </w:p>
    <w:p w14:paraId="7A3D0240">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.1</w:t>
      </w:r>
      <w:r>
        <w:rPr>
          <w:rFonts w:hint="eastAsia" w:ascii="宋体" w:hAnsi="宋体" w:cs="Calibri"/>
          <w:b w:val="0"/>
          <w:bCs/>
          <w:color w:val="auto"/>
          <w:sz w:val="21"/>
          <w:szCs w:val="24"/>
          <w:highlight w:val="none"/>
          <w:lang w:val="en-US" w:eastAsia="zh-CN"/>
        </w:rPr>
        <w:t>开标程序：</w:t>
      </w:r>
      <w:r>
        <w:rPr>
          <w:rFonts w:hint="eastAsia" w:ascii="宋体" w:hAnsi="宋体" w:eastAsia="宋体" w:cs="Calibri"/>
          <w:b w:val="0"/>
          <w:bCs/>
          <w:color w:val="auto"/>
          <w:sz w:val="21"/>
          <w:szCs w:val="24"/>
          <w:highlight w:val="none"/>
          <w:lang w:val="en-US" w:eastAsia="zh-CN"/>
        </w:rPr>
        <w:t>开标时投标单位无需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全国公共资源交易平台（云南省）暨云南省公共资源交易信息网（点击切换至“楚雄州”）（网址：https://ggzy.yn.gov.cn/#/homePage），点击【智能开标系统】，进入网上开标大厅，至投标截止时间后方能找到对应项目，点击项目后方的【进入】按钮进入开标室页面，进行系统自动签到（温馨提示：登录及电子签名时需要用企业CA锁，解密时需要用投标文件加密的CA锁，为了不频繁更换CA锁影响解密及签名确认，故建议投标文件加密时采用企业CA锁进行加密）。</w:t>
      </w:r>
    </w:p>
    <w:p w14:paraId="13455326">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.2开标系统下达网上解密指令后，投标单位点击上方【网上解密】进入网上解密界面，各投标单位必须在系统下达的时间内完成解密工作。</w:t>
      </w:r>
    </w:p>
    <w:p w14:paraId="788D190E">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3开标过程中，待全部投标单位解密成功唱标后投标单位如有问题，可以在线发起异议，点击右上角的【提出异议】按钮，填写异议详细内容之后进行提交，由招标人（招标代理机构）给予对应的回复，时间截止后即开标结束。</w:t>
      </w:r>
    </w:p>
    <w:p w14:paraId="6648E728">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4各投标人应当提前熟悉和掌握网上开标远程解密详细操作，操作步骤可登录全国公共资源交易平台（云南省）暨云南省公共资源交易信息网（点击切换至“楚雄州”）（https://ggzy.yn.gov.cn/#/homePage），选择交易指引，自行学习《云南省公共资源交易电子化平台智能开标系统培训教材》。</w:t>
      </w:r>
    </w:p>
    <w:p w14:paraId="16E4EA41">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5开标当天投标人无法正常登录系统、无法正常解密的，应及时联系筑龙客服说明问题并请求远程协助检查确认问题，同时联系招标人（招标代理机构）说明情况，不及时联系筑龙客服检查问题或不及时联系招标人说明情况的，超过解密时长的视为无效投标，一切责任由投标人自行承担。</w:t>
      </w:r>
    </w:p>
    <w:p w14:paraId="102D4DA7">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.6有关电子化远程解密网上开标未尽事宜，登录全国公共资源交易平台（云南省）暨云南省公共资源交易信息网（点击切换至“楚雄州”）（网址：https://ggzy.yn.gov.cn/#/homePage）</w:t>
      </w:r>
      <w:r>
        <w:rPr>
          <w:rFonts w:hint="eastAsia" w:ascii="宋体" w:hAnsi="宋体" w:eastAsia="宋体" w:cs="Calibri"/>
          <w:b w:val="0"/>
          <w:bCs/>
          <w:color w:val="auto"/>
          <w:sz w:val="21"/>
          <w:szCs w:val="24"/>
          <w:highlight w:val="none"/>
          <w:lang w:val="en-US" w:eastAsia="zh-CN"/>
        </w:rPr>
        <w:fldChar w:fldCharType="begin"/>
      </w:r>
      <w:r>
        <w:rPr>
          <w:rFonts w:hint="eastAsia" w:ascii="宋体" w:hAnsi="宋体" w:eastAsia="宋体" w:cs="Calibri"/>
          <w:b w:val="0"/>
          <w:bCs/>
          <w:color w:val="auto"/>
          <w:sz w:val="21"/>
          <w:szCs w:val="24"/>
          <w:highlight w:val="none"/>
          <w:lang w:val="en-US" w:eastAsia="zh-CN"/>
        </w:rPr>
        <w:instrText xml:space="preserve"> HYPERLINK "http://www.cxggzy.cn/jyzk/zcfgDetail?guid=18a1cf70-ca96-4262-bfe4-aefd35aaa3e6)执行。" </w:instrText>
      </w:r>
      <w:r>
        <w:rPr>
          <w:rFonts w:hint="eastAsia" w:ascii="宋体" w:hAnsi="宋体" w:eastAsia="宋体" w:cs="Calibri"/>
          <w:b w:val="0"/>
          <w:bCs/>
          <w:color w:val="auto"/>
          <w:sz w:val="21"/>
          <w:szCs w:val="24"/>
          <w:highlight w:val="none"/>
          <w:lang w:val="en-US" w:eastAsia="zh-CN"/>
        </w:rPr>
        <w:fldChar w:fldCharType="separate"/>
      </w:r>
      <w:r>
        <w:rPr>
          <w:rFonts w:hint="eastAsia" w:ascii="宋体" w:hAnsi="宋体" w:eastAsia="宋体" w:cs="Calibri"/>
          <w:b w:val="0"/>
          <w:bCs/>
          <w:color w:val="auto"/>
          <w:sz w:val="21"/>
          <w:szCs w:val="24"/>
          <w:highlight w:val="none"/>
          <w:lang w:val="en-US" w:eastAsia="zh-CN"/>
        </w:rPr>
        <w:t>在首页交易指引自行学习交易规则、交易流程、操作指南等相关内容。</w:t>
      </w:r>
      <w:r>
        <w:rPr>
          <w:rFonts w:hint="eastAsia" w:ascii="宋体" w:hAnsi="宋体" w:eastAsia="宋体" w:cs="Calibri"/>
          <w:b w:val="0"/>
          <w:bCs/>
          <w:color w:val="auto"/>
          <w:sz w:val="21"/>
          <w:szCs w:val="24"/>
          <w:highlight w:val="none"/>
          <w:lang w:val="en-US" w:eastAsia="zh-CN"/>
        </w:rPr>
        <w:fldChar w:fldCharType="end"/>
      </w:r>
    </w:p>
    <w:p w14:paraId="24C55BA3">
      <w:pPr>
        <w:pageBreakBefore w:val="0"/>
        <w:widowControl w:val="0"/>
        <w:numPr>
          <w:ilvl w:val="0"/>
          <w:numId w:val="0"/>
        </w:numPr>
        <w:kinsoku/>
        <w:wordWrap/>
        <w:overflowPunct/>
        <w:topLinePunct w:val="0"/>
        <w:autoSpaceDE/>
        <w:autoSpaceDN/>
        <w:bidi w:val="0"/>
        <w:adjustRightInd/>
        <w:snapToGrid/>
        <w:spacing w:after="0" w:line="360" w:lineRule="auto"/>
        <w:ind w:right="-197" w:rightChars="-94"/>
        <w:jc w:val="left"/>
        <w:textAlignment w:val="auto"/>
        <w:outlineLvl w:val="1"/>
        <w:rPr>
          <w:rFonts w:hint="default" w:ascii="宋体" w:hAnsi="宋体" w:eastAsia="宋体" w:cs="Times New Roman"/>
          <w:b/>
          <w:bCs/>
          <w:color w:val="auto"/>
          <w:sz w:val="21"/>
          <w:szCs w:val="21"/>
          <w:highlight w:val="none"/>
          <w:lang w:val="en-US" w:eastAsia="zh-CN"/>
        </w:rPr>
      </w:pPr>
      <w:bookmarkStart w:id="71" w:name="_Toc16293"/>
      <w:bookmarkStart w:id="72" w:name="_Toc2003"/>
      <w:r>
        <w:rPr>
          <w:rFonts w:hint="eastAsia" w:ascii="宋体" w:hAnsi="宋体" w:eastAsia="宋体" w:cs="Times New Roman"/>
          <w:b/>
          <w:bCs/>
          <w:color w:val="auto"/>
          <w:sz w:val="21"/>
          <w:szCs w:val="21"/>
          <w:highlight w:val="none"/>
          <w:lang w:eastAsia="zh-CN"/>
        </w:rPr>
        <w:t>六、异议（质疑）</w:t>
      </w:r>
      <w:bookmarkEnd w:id="71"/>
      <w:bookmarkEnd w:id="72"/>
      <w:r>
        <w:rPr>
          <w:rFonts w:hint="eastAsia" w:ascii="宋体" w:hAnsi="宋体" w:cs="Times New Roman"/>
          <w:b/>
          <w:bCs/>
          <w:color w:val="auto"/>
          <w:sz w:val="21"/>
          <w:szCs w:val="21"/>
          <w:highlight w:val="none"/>
          <w:lang w:val="en-US" w:eastAsia="zh-CN"/>
        </w:rPr>
        <w:t>渠道</w:t>
      </w:r>
    </w:p>
    <w:p w14:paraId="7D0124BA">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bCs/>
          <w:kern w:val="0"/>
          <w:sz w:val="21"/>
          <w:szCs w:val="21"/>
          <w:lang w:bidi="ar"/>
        </w:rPr>
      </w:pPr>
      <w:bookmarkStart w:id="73" w:name="_Toc29641"/>
      <w:r>
        <w:rPr>
          <w:rFonts w:hint="eastAsia" w:asciiTheme="minorEastAsia" w:hAnsiTheme="minorEastAsia" w:eastAsiaTheme="minorEastAsia" w:cstheme="minorEastAsia"/>
          <w:bCs/>
          <w:kern w:val="0"/>
          <w:sz w:val="21"/>
          <w:szCs w:val="21"/>
          <w:lang w:bidi="ar"/>
        </w:rPr>
        <w:t>根据《中华人民共和国招标投标法》及相关法律、法规的规定，现将该项目公告予以公示，接受社会监督。如有异议请通过云南省公共资源交易信息网线上向</w:t>
      </w:r>
      <w:r>
        <w:rPr>
          <w:rFonts w:hint="eastAsia" w:asciiTheme="minorEastAsia" w:hAnsiTheme="minorEastAsia" w:eastAsiaTheme="minorEastAsia" w:cstheme="minorEastAsia"/>
          <w:bCs/>
          <w:kern w:val="0"/>
          <w:sz w:val="21"/>
          <w:szCs w:val="21"/>
          <w:lang w:val="en-US" w:eastAsia="zh-CN" w:bidi="ar"/>
        </w:rPr>
        <w:t>姚安县农业农村局</w:t>
      </w:r>
      <w:r>
        <w:rPr>
          <w:rFonts w:hint="eastAsia" w:asciiTheme="minorEastAsia" w:hAnsiTheme="minorEastAsia" w:eastAsiaTheme="minorEastAsia" w:cstheme="minorEastAsia"/>
          <w:bCs/>
          <w:kern w:val="0"/>
          <w:sz w:val="21"/>
          <w:szCs w:val="21"/>
          <w:lang w:bidi="ar"/>
        </w:rPr>
        <w:t>（招标人）提出。</w:t>
      </w:r>
      <w:bookmarkEnd w:id="73"/>
    </w:p>
    <w:p w14:paraId="3432755D">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bCs/>
          <w:kern w:val="0"/>
          <w:sz w:val="21"/>
          <w:szCs w:val="21"/>
          <w:lang w:bidi="ar"/>
        </w:rPr>
      </w:pPr>
      <w:r>
        <w:rPr>
          <w:rFonts w:hint="eastAsia" w:asciiTheme="minorEastAsia" w:hAnsiTheme="minorEastAsia" w:eastAsiaTheme="minorEastAsia" w:cstheme="minorEastAsia"/>
          <w:bCs/>
          <w:kern w:val="0"/>
          <w:sz w:val="21"/>
          <w:szCs w:val="21"/>
          <w:lang w:bidi="ar"/>
        </w:rPr>
        <w:t>联系人：倪中海</w:t>
      </w:r>
    </w:p>
    <w:p w14:paraId="37EFD9C9">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Cs/>
          <w:kern w:val="0"/>
          <w:sz w:val="21"/>
          <w:szCs w:val="21"/>
          <w:lang w:bidi="ar"/>
        </w:rPr>
        <w:t>联系电话：13648781120</w:t>
      </w:r>
      <w:r>
        <w:rPr>
          <w:rFonts w:hint="eastAsia" w:asciiTheme="minorEastAsia" w:hAnsiTheme="minorEastAsia" w:eastAsiaTheme="minorEastAsia" w:cstheme="minorEastAsia"/>
          <w:bCs/>
          <w:kern w:val="0"/>
          <w:sz w:val="21"/>
          <w:szCs w:val="21"/>
          <w:lang w:val="en-US" w:eastAsia="zh-CN" w:bidi="ar"/>
        </w:rPr>
        <w:t xml:space="preserve">   </w:t>
      </w:r>
      <w:r>
        <w:rPr>
          <w:rFonts w:hint="eastAsia" w:asciiTheme="minorEastAsia" w:hAnsiTheme="minorEastAsia" w:eastAsiaTheme="minorEastAsia" w:cstheme="minorEastAsia"/>
          <w:bCs/>
          <w:kern w:val="0"/>
          <w:sz w:val="21"/>
          <w:szCs w:val="21"/>
          <w:lang w:val="zh-CN" w:eastAsia="zh-CN" w:bidi="ar"/>
        </w:rPr>
        <w:t>0878-6082502</w:t>
      </w:r>
    </w:p>
    <w:p w14:paraId="3A2678CD">
      <w:pPr>
        <w:pageBreakBefore w:val="0"/>
        <w:widowControl w:val="0"/>
        <w:numPr>
          <w:ilvl w:val="0"/>
          <w:numId w:val="0"/>
        </w:numPr>
        <w:kinsoku/>
        <w:wordWrap/>
        <w:overflowPunct/>
        <w:topLinePunct w:val="0"/>
        <w:autoSpaceDE/>
        <w:autoSpaceDN/>
        <w:bidi w:val="0"/>
        <w:adjustRightInd/>
        <w:snapToGrid/>
        <w:spacing w:after="0" w:line="360" w:lineRule="auto"/>
        <w:ind w:right="-197" w:rightChars="-94"/>
        <w:jc w:val="left"/>
        <w:textAlignment w:val="auto"/>
        <w:outlineLvl w:val="1"/>
        <w:rPr>
          <w:rFonts w:hint="eastAsia" w:asciiTheme="minorEastAsia" w:hAnsiTheme="minorEastAsia" w:eastAsiaTheme="minorEastAsia" w:cstheme="minorEastAsia"/>
          <w:b/>
          <w:bCs/>
          <w:color w:val="auto"/>
          <w:sz w:val="21"/>
          <w:szCs w:val="21"/>
          <w:highlight w:val="none"/>
        </w:rPr>
      </w:pPr>
      <w:bookmarkStart w:id="74" w:name="_Toc15940"/>
      <w:bookmarkStart w:id="75" w:name="_Toc7436"/>
      <w:r>
        <w:rPr>
          <w:rFonts w:hint="eastAsia" w:asciiTheme="minorEastAsia" w:hAnsiTheme="minorEastAsia" w:eastAsiaTheme="minorEastAsia" w:cstheme="minorEastAsia"/>
          <w:b/>
          <w:bCs/>
          <w:color w:val="auto"/>
          <w:sz w:val="21"/>
          <w:szCs w:val="21"/>
          <w:highlight w:val="none"/>
          <w:lang w:eastAsia="zh-CN"/>
        </w:rPr>
        <w:t>七、</w:t>
      </w:r>
      <w:r>
        <w:rPr>
          <w:rFonts w:hint="eastAsia" w:asciiTheme="minorEastAsia" w:hAnsiTheme="minorEastAsia" w:eastAsiaTheme="minorEastAsia" w:cstheme="minorEastAsia"/>
          <w:b/>
          <w:bCs/>
          <w:color w:val="auto"/>
          <w:sz w:val="21"/>
          <w:szCs w:val="21"/>
          <w:highlight w:val="none"/>
        </w:rPr>
        <w:t>发布公告的媒介</w:t>
      </w:r>
      <w:bookmarkEnd w:id="67"/>
      <w:bookmarkEnd w:id="68"/>
      <w:bookmarkEnd w:id="69"/>
      <w:bookmarkEnd w:id="70"/>
      <w:bookmarkEnd w:id="74"/>
      <w:bookmarkEnd w:id="75"/>
      <w:bookmarkStart w:id="76" w:name="_Toc505944255"/>
      <w:bookmarkStart w:id="77" w:name="_Toc288122588"/>
      <w:bookmarkStart w:id="78" w:name="_Toc351127934"/>
    </w:p>
    <w:bookmarkEnd w:id="76"/>
    <w:bookmarkEnd w:id="77"/>
    <w:bookmarkEnd w:id="78"/>
    <w:p w14:paraId="687ACB54">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val="0"/>
          <w:bCs/>
          <w:color w:val="auto"/>
          <w:sz w:val="21"/>
          <w:szCs w:val="21"/>
          <w:highlight w:val="none"/>
          <w:lang w:val="en-US" w:eastAsia="zh-CN"/>
        </w:rPr>
        <w:t>本次招标公告同时在全国公共资源交易平台(云南省）云南省公共资源交易信息网（地址：https://ggzy.yn.gov.cn/ynggfwpt-home-web/#/homePage?page=cx）和中国招标投标公共服务平台（网址：http://www.cebpubservice.com/）上公开发布，招标人及招标代理机构对其他网站或媒体转载的公告及公告内容不承担任何责任。</w:t>
      </w:r>
    </w:p>
    <w:p w14:paraId="33428981">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Theme="minorEastAsia" w:hAnsiTheme="minorEastAsia" w:eastAsiaTheme="minorEastAsia" w:cstheme="minorEastAsia"/>
          <w:color w:val="auto"/>
          <w:sz w:val="21"/>
          <w:szCs w:val="21"/>
          <w:highlight w:val="none"/>
        </w:rPr>
      </w:pPr>
      <w:bookmarkStart w:id="79" w:name="_Toc17815"/>
      <w:bookmarkStart w:id="80" w:name="_Toc13763"/>
      <w:r>
        <w:rPr>
          <w:rFonts w:hint="eastAsia" w:asciiTheme="minorEastAsia" w:hAnsiTheme="minorEastAsia" w:eastAsiaTheme="minorEastAsia" w:cstheme="minorEastAsia"/>
          <w:color w:val="auto"/>
          <w:sz w:val="21"/>
          <w:szCs w:val="21"/>
          <w:highlight w:val="none"/>
          <w:lang w:eastAsia="zh-CN"/>
        </w:rPr>
        <w:t>八</w:t>
      </w:r>
      <w:r>
        <w:rPr>
          <w:rFonts w:hint="eastAsia" w:asciiTheme="minorEastAsia" w:hAnsiTheme="minorEastAsia" w:eastAsiaTheme="minorEastAsia" w:cstheme="minorEastAsia"/>
          <w:color w:val="auto"/>
          <w:sz w:val="21"/>
          <w:szCs w:val="21"/>
          <w:highlight w:val="none"/>
        </w:rPr>
        <w:t>、联系方式</w:t>
      </w:r>
      <w:bookmarkEnd w:id="79"/>
      <w:bookmarkEnd w:id="80"/>
    </w:p>
    <w:p w14:paraId="469CC0B4">
      <w:pPr>
        <w:keepNext w:val="0"/>
        <w:keepLines w:val="0"/>
        <w:pageBreakBefore w:val="0"/>
        <w:widowControl w:val="0"/>
        <w:kinsoku/>
        <w:wordWrap/>
        <w:overflowPunct/>
        <w:topLinePunct w:val="0"/>
        <w:bidi w:val="0"/>
        <w:spacing w:after="0" w:line="420" w:lineRule="exact"/>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招标人信息</w:t>
      </w:r>
    </w:p>
    <w:p w14:paraId="17E852EB">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名  称：姚安县农业农村局</w:t>
      </w:r>
    </w:p>
    <w:p w14:paraId="35204A63">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地  址：姚安县</w:t>
      </w:r>
      <w:r>
        <w:rPr>
          <w:rFonts w:hint="eastAsia" w:asciiTheme="minorEastAsia" w:hAnsiTheme="minorEastAsia" w:eastAsiaTheme="minorEastAsia" w:cstheme="minorEastAsia"/>
          <w:color w:val="000000" w:themeColor="text1"/>
          <w:sz w:val="21"/>
          <w:szCs w:val="21"/>
          <w:highlight w:val="none"/>
          <w:lang w:val="zh-CN" w:eastAsia="zh-CN"/>
          <w14:textFill>
            <w14:solidFill>
              <w14:schemeClr w14:val="tx1"/>
            </w14:solidFill>
          </w14:textFill>
        </w:rPr>
        <w:t>栋川镇宝城路24号</w:t>
      </w:r>
    </w:p>
    <w:p w14:paraId="5A7169C7">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联系人：倪中海</w:t>
      </w:r>
    </w:p>
    <w:p w14:paraId="421D4976">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联系电话：13648781120</w:t>
      </w:r>
    </w:p>
    <w:p w14:paraId="1CF2E160">
      <w:pPr>
        <w:keepNext w:val="0"/>
        <w:keepLines w:val="0"/>
        <w:pageBreakBefore w:val="0"/>
        <w:widowControl w:val="0"/>
        <w:kinsoku/>
        <w:wordWrap/>
        <w:overflowPunct/>
        <w:topLinePunct w:val="0"/>
        <w:bidi w:val="0"/>
        <w:spacing w:after="0" w:line="420" w:lineRule="exact"/>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招标代理机构信息</w:t>
      </w:r>
    </w:p>
    <w:p w14:paraId="4F96BA42">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名  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AUTOTEXT  input84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云南通力工程项目管理有限责任公司</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p>
    <w:p w14:paraId="7910B503">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地  址: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AUTOTEXT  input104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云南省楚雄彝族自治州姚安县栋川镇春晖小区S1-7号</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p>
    <w:p w14:paraId="2972AD61">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联系人: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熊自林</w:t>
      </w:r>
    </w:p>
    <w:p w14:paraId="7CDFD0C9">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联系电话: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15825153510</w:t>
      </w:r>
    </w:p>
    <w:p w14:paraId="5EABA914">
      <w:pPr>
        <w:keepNext w:val="0"/>
        <w:keepLines w:val="0"/>
        <w:pageBreakBefore w:val="0"/>
        <w:widowControl w:val="0"/>
        <w:kinsoku/>
        <w:wordWrap/>
        <w:overflowPunct/>
        <w:topLinePunct w:val="0"/>
        <w:bidi w:val="0"/>
        <w:spacing w:after="0" w:line="420" w:lineRule="exac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p w14:paraId="2813A21F">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行政监督单位：姚安县农业农村局   </w:t>
      </w:r>
    </w:p>
    <w:p w14:paraId="4B5D4175">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b w:val="0"/>
          <w:bCs w:val="0"/>
          <w:color w:val="000000" w:themeColor="text1"/>
          <w:kern w:val="2"/>
          <w:sz w:val="21"/>
          <w:szCs w:val="21"/>
          <w:highlight w:val="none"/>
          <w:lang w:val="zh-CN"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联系电话：</w:t>
      </w:r>
      <w:r>
        <w:rPr>
          <w:rFonts w:hint="eastAsia" w:asciiTheme="minorEastAsia" w:hAnsiTheme="minorEastAsia" w:eastAsiaTheme="minorEastAsia" w:cstheme="minorEastAsia"/>
          <w:b w:val="0"/>
          <w:bCs w:val="0"/>
          <w:color w:val="000000" w:themeColor="text1"/>
          <w:kern w:val="2"/>
          <w:sz w:val="21"/>
          <w:szCs w:val="21"/>
          <w:highlight w:val="none"/>
          <w:lang w:val="zh-CN" w:eastAsia="zh-CN" w:bidi="ar-SA"/>
          <w14:textFill>
            <w14:solidFill>
              <w14:schemeClr w14:val="tx1"/>
            </w14:solidFill>
          </w14:textFill>
        </w:rPr>
        <w:t>0878-6082502</w:t>
      </w:r>
    </w:p>
    <w:p w14:paraId="03FF0B03">
      <w:pPr>
        <w:pStyle w:val="5"/>
        <w:spacing w:before="0" w:after="0" w:line="360" w:lineRule="auto"/>
        <w:jc w:val="center"/>
        <w:outlineLvl w:val="0"/>
        <w:rPr>
          <w:rFonts w:ascii="宋体" w:hAnsi="宋体" w:eastAsia="宋体"/>
          <w:color w:val="auto"/>
          <w:szCs w:val="44"/>
          <w:highlight w:val="none"/>
        </w:rPr>
      </w:pPr>
      <w:r>
        <w:rPr>
          <w:rFonts w:hint="eastAsia" w:ascii="宋体" w:hAnsi="宋体" w:eastAsia="宋体"/>
          <w:color w:val="auto"/>
          <w:szCs w:val="44"/>
          <w:highlight w:val="none"/>
        </w:rPr>
        <w:br w:type="page"/>
      </w:r>
      <w:bookmarkStart w:id="81" w:name="_Toc600"/>
      <w:bookmarkStart w:id="82" w:name="_Toc31690"/>
      <w:bookmarkStart w:id="83" w:name="_Toc20378"/>
      <w:r>
        <w:rPr>
          <w:rFonts w:hint="eastAsia" w:ascii="宋体" w:hAnsi="宋体" w:eastAsia="宋体" w:cs="Times New Roman"/>
          <w:color w:val="auto"/>
          <w:sz w:val="40"/>
          <w:szCs w:val="40"/>
          <w:highlight w:val="none"/>
        </w:rPr>
        <w:t>第二章 投标人须知</w:t>
      </w:r>
      <w:bookmarkEnd w:id="6"/>
      <w:bookmarkEnd w:id="7"/>
      <w:bookmarkEnd w:id="8"/>
      <w:bookmarkEnd w:id="9"/>
      <w:bookmarkEnd w:id="10"/>
      <w:bookmarkEnd w:id="11"/>
      <w:bookmarkEnd w:id="12"/>
      <w:bookmarkEnd w:id="13"/>
      <w:bookmarkEnd w:id="14"/>
      <w:bookmarkEnd w:id="30"/>
      <w:bookmarkEnd w:id="81"/>
      <w:bookmarkEnd w:id="82"/>
      <w:bookmarkEnd w:id="83"/>
    </w:p>
    <w:p w14:paraId="117B12D6">
      <w:pPr>
        <w:pStyle w:val="5"/>
        <w:spacing w:before="0" w:after="0" w:line="360" w:lineRule="auto"/>
        <w:jc w:val="center"/>
        <w:rPr>
          <w:rFonts w:ascii="宋体" w:hAnsi="宋体" w:eastAsia="宋体"/>
          <w:color w:val="auto"/>
          <w:highlight w:val="none"/>
        </w:rPr>
      </w:pPr>
      <w:bookmarkStart w:id="84" w:name="_Toc12753"/>
      <w:bookmarkStart w:id="85" w:name="_Toc221950008"/>
      <w:bookmarkStart w:id="86" w:name="_Toc95257481"/>
      <w:bookmarkStart w:id="87" w:name="_Toc20578"/>
      <w:r>
        <w:rPr>
          <w:rFonts w:hint="eastAsia" w:ascii="宋体" w:hAnsi="宋体" w:eastAsia="宋体"/>
          <w:color w:val="auto"/>
          <w:highlight w:val="none"/>
        </w:rPr>
        <w:t>投标人须知前附表</w:t>
      </w:r>
      <w:bookmarkEnd w:id="84"/>
      <w:bookmarkEnd w:id="85"/>
      <w:bookmarkEnd w:id="86"/>
      <w:bookmarkEnd w:id="87"/>
    </w:p>
    <w:tbl>
      <w:tblPr>
        <w:tblStyle w:val="58"/>
        <w:tblW w:w="101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9"/>
        <w:gridCol w:w="1973"/>
        <w:gridCol w:w="283"/>
        <w:gridCol w:w="7008"/>
      </w:tblGrid>
      <w:tr w14:paraId="1974D5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29" w:type="dxa"/>
            <w:noWrap w:val="0"/>
            <w:vAlign w:val="center"/>
          </w:tcPr>
          <w:p w14:paraId="4A3CFFB7">
            <w:pPr>
              <w:spacing w:after="0" w:line="360" w:lineRule="auto"/>
              <w:rPr>
                <w:rFonts w:ascii="宋体" w:hAnsi="宋体"/>
                <w:b/>
                <w:color w:val="auto"/>
                <w:szCs w:val="21"/>
                <w:highlight w:val="none"/>
              </w:rPr>
            </w:pPr>
            <w:bookmarkStart w:id="88" w:name="_Toc221950009"/>
            <w:r>
              <w:rPr>
                <w:rFonts w:ascii="宋体" w:hAnsi="宋体"/>
                <w:b/>
                <w:color w:val="auto"/>
                <w:szCs w:val="21"/>
                <w:highlight w:val="none"/>
              </w:rPr>
              <w:t>条款号</w:t>
            </w:r>
            <w:bookmarkEnd w:id="88"/>
          </w:p>
        </w:tc>
        <w:tc>
          <w:tcPr>
            <w:tcW w:w="1973" w:type="dxa"/>
            <w:noWrap w:val="0"/>
            <w:vAlign w:val="center"/>
          </w:tcPr>
          <w:p w14:paraId="3A7E6095">
            <w:pPr>
              <w:spacing w:after="0" w:line="360" w:lineRule="auto"/>
              <w:rPr>
                <w:rFonts w:ascii="宋体" w:hAnsi="宋体"/>
                <w:b/>
                <w:color w:val="auto"/>
                <w:szCs w:val="21"/>
                <w:highlight w:val="none"/>
              </w:rPr>
            </w:pPr>
            <w:bookmarkStart w:id="89" w:name="_Toc221950010"/>
            <w:r>
              <w:rPr>
                <w:rFonts w:ascii="宋体" w:hAnsi="宋体"/>
                <w:b/>
                <w:color w:val="auto"/>
                <w:szCs w:val="21"/>
                <w:highlight w:val="none"/>
              </w:rPr>
              <w:t>条  款  名  称</w:t>
            </w:r>
            <w:bookmarkEnd w:id="89"/>
          </w:p>
        </w:tc>
        <w:tc>
          <w:tcPr>
            <w:tcW w:w="7291" w:type="dxa"/>
            <w:gridSpan w:val="2"/>
            <w:noWrap w:val="0"/>
            <w:vAlign w:val="center"/>
          </w:tcPr>
          <w:p w14:paraId="3370CCF1">
            <w:pPr>
              <w:spacing w:after="0" w:line="360" w:lineRule="auto"/>
              <w:rPr>
                <w:rFonts w:ascii="宋体" w:hAnsi="宋体"/>
                <w:b/>
                <w:color w:val="auto"/>
                <w:szCs w:val="21"/>
                <w:highlight w:val="none"/>
              </w:rPr>
            </w:pPr>
            <w:bookmarkStart w:id="90" w:name="_Toc221950011"/>
            <w:r>
              <w:rPr>
                <w:rFonts w:ascii="宋体" w:hAnsi="宋体"/>
                <w:b/>
                <w:color w:val="auto"/>
                <w:szCs w:val="21"/>
                <w:highlight w:val="none"/>
              </w:rPr>
              <w:t>编  列  内  容</w:t>
            </w:r>
            <w:bookmarkEnd w:id="90"/>
          </w:p>
        </w:tc>
      </w:tr>
      <w:tr w14:paraId="3EC6F0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29" w:type="dxa"/>
            <w:noWrap w:val="0"/>
            <w:vAlign w:val="center"/>
          </w:tcPr>
          <w:p w14:paraId="33044ACB">
            <w:pPr>
              <w:spacing w:after="0" w:line="360" w:lineRule="auto"/>
              <w:rPr>
                <w:rFonts w:ascii="宋体" w:hAnsi="宋体"/>
                <w:color w:val="auto"/>
                <w:szCs w:val="21"/>
                <w:highlight w:val="none"/>
              </w:rPr>
            </w:pPr>
            <w:bookmarkStart w:id="91" w:name="_Toc221950012"/>
            <w:r>
              <w:rPr>
                <w:rFonts w:ascii="宋体" w:hAnsi="宋体"/>
                <w:color w:val="auto"/>
                <w:szCs w:val="21"/>
                <w:highlight w:val="none"/>
              </w:rPr>
              <w:t>1.1.2</w:t>
            </w:r>
            <w:bookmarkEnd w:id="91"/>
          </w:p>
        </w:tc>
        <w:tc>
          <w:tcPr>
            <w:tcW w:w="1973" w:type="dxa"/>
            <w:noWrap w:val="0"/>
            <w:vAlign w:val="center"/>
          </w:tcPr>
          <w:p w14:paraId="73137B52">
            <w:pPr>
              <w:spacing w:after="0" w:line="360" w:lineRule="auto"/>
              <w:rPr>
                <w:rFonts w:ascii="宋体" w:hAnsi="宋体"/>
                <w:color w:val="auto"/>
                <w:szCs w:val="21"/>
                <w:highlight w:val="none"/>
              </w:rPr>
            </w:pPr>
            <w:bookmarkStart w:id="92" w:name="_Toc221950013"/>
            <w:r>
              <w:rPr>
                <w:rFonts w:ascii="宋体" w:hAnsi="宋体"/>
                <w:color w:val="auto"/>
                <w:szCs w:val="21"/>
                <w:highlight w:val="none"/>
              </w:rPr>
              <w:t>招标人</w:t>
            </w:r>
            <w:bookmarkEnd w:id="92"/>
          </w:p>
        </w:tc>
        <w:tc>
          <w:tcPr>
            <w:tcW w:w="7291" w:type="dxa"/>
            <w:gridSpan w:val="2"/>
            <w:noWrap w:val="0"/>
            <w:vAlign w:val="center"/>
          </w:tcPr>
          <w:p w14:paraId="048BF6A4">
            <w:pPr>
              <w:pStyle w:val="23"/>
              <w:topLinePunct/>
              <w:spacing w:after="0" w:line="360" w:lineRule="auto"/>
              <w:jc w:val="left"/>
              <w:rPr>
                <w:rFonts w:hint="eastAsia" w:hAnsi="宋体" w:eastAsia="宋体"/>
                <w:bCs/>
                <w:color w:val="auto"/>
                <w:kern w:val="3"/>
                <w:sz w:val="21"/>
                <w:szCs w:val="21"/>
                <w:highlight w:val="none"/>
                <w:lang w:val="en-US" w:eastAsia="zh-CN"/>
              </w:rPr>
            </w:pPr>
            <w:r>
              <w:rPr>
                <w:rFonts w:hint="eastAsia" w:hAnsi="宋体" w:cs="Times New Roman"/>
                <w:bCs/>
                <w:color w:val="auto"/>
                <w:kern w:val="3"/>
                <w:sz w:val="21"/>
                <w:szCs w:val="21"/>
                <w:highlight w:val="none"/>
                <w:lang w:val="en-US" w:eastAsia="zh-CN"/>
              </w:rPr>
              <w:t>姚安县农业农村局</w:t>
            </w:r>
          </w:p>
        </w:tc>
      </w:tr>
      <w:tr w14:paraId="56EB5F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9" w:type="dxa"/>
            <w:noWrap w:val="0"/>
            <w:vAlign w:val="center"/>
          </w:tcPr>
          <w:p w14:paraId="7C2030BA">
            <w:pPr>
              <w:spacing w:after="0" w:line="360" w:lineRule="auto"/>
              <w:rPr>
                <w:rFonts w:ascii="宋体" w:hAnsi="宋体"/>
                <w:color w:val="auto"/>
                <w:szCs w:val="21"/>
                <w:highlight w:val="none"/>
              </w:rPr>
            </w:pPr>
            <w:bookmarkStart w:id="93" w:name="_Toc221950014"/>
            <w:r>
              <w:rPr>
                <w:rFonts w:ascii="宋体" w:hAnsi="宋体"/>
                <w:color w:val="auto"/>
                <w:szCs w:val="21"/>
                <w:highlight w:val="none"/>
              </w:rPr>
              <w:t>1.1.3</w:t>
            </w:r>
            <w:bookmarkEnd w:id="93"/>
          </w:p>
        </w:tc>
        <w:tc>
          <w:tcPr>
            <w:tcW w:w="1973" w:type="dxa"/>
            <w:noWrap w:val="0"/>
            <w:vAlign w:val="center"/>
          </w:tcPr>
          <w:p w14:paraId="1B186154">
            <w:pPr>
              <w:spacing w:after="0" w:line="360" w:lineRule="auto"/>
              <w:rPr>
                <w:rFonts w:ascii="宋体" w:hAnsi="宋体"/>
                <w:color w:val="auto"/>
                <w:szCs w:val="21"/>
                <w:highlight w:val="none"/>
              </w:rPr>
            </w:pPr>
            <w:bookmarkStart w:id="94" w:name="_Toc221950015"/>
            <w:r>
              <w:rPr>
                <w:rFonts w:ascii="宋体" w:hAnsi="宋体"/>
                <w:color w:val="auto"/>
                <w:szCs w:val="21"/>
                <w:highlight w:val="none"/>
              </w:rPr>
              <w:t>招标代理机构</w:t>
            </w:r>
            <w:bookmarkEnd w:id="94"/>
          </w:p>
        </w:tc>
        <w:tc>
          <w:tcPr>
            <w:tcW w:w="7291" w:type="dxa"/>
            <w:gridSpan w:val="2"/>
            <w:noWrap w:val="0"/>
            <w:vAlign w:val="center"/>
          </w:tcPr>
          <w:p w14:paraId="2AB522F9">
            <w:pPr>
              <w:pStyle w:val="23"/>
              <w:topLinePunct/>
              <w:spacing w:after="0" w:line="360" w:lineRule="auto"/>
              <w:jc w:val="left"/>
              <w:rPr>
                <w:rFonts w:hint="default" w:hAnsi="宋体" w:eastAsia="宋体"/>
                <w:bCs/>
                <w:color w:val="auto"/>
                <w:kern w:val="3"/>
                <w:sz w:val="21"/>
                <w:szCs w:val="21"/>
                <w:highlight w:val="none"/>
                <w:lang w:val="en-US" w:eastAsia="zh-CN"/>
              </w:rPr>
            </w:pPr>
            <w:r>
              <w:rPr>
                <w:rFonts w:hint="eastAsia" w:hAnsi="宋体"/>
                <w:bCs/>
                <w:color w:val="auto"/>
                <w:kern w:val="3"/>
                <w:sz w:val="21"/>
                <w:szCs w:val="21"/>
                <w:highlight w:val="none"/>
                <w:lang w:val="en-US" w:eastAsia="zh-CN"/>
              </w:rPr>
              <w:t>云南通力工程项目管理有限责任公司</w:t>
            </w:r>
          </w:p>
        </w:tc>
      </w:tr>
      <w:tr w14:paraId="7FFBA4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29" w:type="dxa"/>
            <w:noWrap w:val="0"/>
            <w:vAlign w:val="center"/>
          </w:tcPr>
          <w:p w14:paraId="1A39ABCB">
            <w:pPr>
              <w:spacing w:after="0" w:line="360" w:lineRule="auto"/>
              <w:rPr>
                <w:rFonts w:ascii="宋体" w:hAnsi="宋体"/>
                <w:color w:val="auto"/>
                <w:szCs w:val="21"/>
                <w:highlight w:val="none"/>
              </w:rPr>
            </w:pPr>
            <w:bookmarkStart w:id="95" w:name="_Toc221950016"/>
            <w:r>
              <w:rPr>
                <w:rFonts w:ascii="宋体" w:hAnsi="宋体"/>
                <w:color w:val="auto"/>
                <w:szCs w:val="21"/>
                <w:highlight w:val="none"/>
              </w:rPr>
              <w:t>1.1.4</w:t>
            </w:r>
            <w:bookmarkEnd w:id="95"/>
          </w:p>
        </w:tc>
        <w:tc>
          <w:tcPr>
            <w:tcW w:w="1973" w:type="dxa"/>
            <w:noWrap w:val="0"/>
            <w:vAlign w:val="center"/>
          </w:tcPr>
          <w:p w14:paraId="11357FC2">
            <w:pPr>
              <w:spacing w:after="0" w:line="360" w:lineRule="auto"/>
              <w:rPr>
                <w:rFonts w:ascii="宋体" w:hAnsi="宋体"/>
                <w:color w:val="auto"/>
                <w:szCs w:val="21"/>
                <w:highlight w:val="none"/>
              </w:rPr>
            </w:pPr>
            <w:bookmarkStart w:id="96" w:name="_Toc221950017"/>
            <w:r>
              <w:rPr>
                <w:rFonts w:hint="eastAsia" w:ascii="宋体" w:hAnsi="宋体"/>
                <w:color w:val="auto"/>
                <w:szCs w:val="21"/>
                <w:highlight w:val="none"/>
              </w:rPr>
              <w:t>项目</w:t>
            </w:r>
            <w:r>
              <w:rPr>
                <w:rFonts w:ascii="宋体" w:hAnsi="宋体"/>
                <w:color w:val="auto"/>
                <w:szCs w:val="21"/>
                <w:highlight w:val="none"/>
              </w:rPr>
              <w:t>名称</w:t>
            </w:r>
            <w:bookmarkEnd w:id="96"/>
          </w:p>
        </w:tc>
        <w:tc>
          <w:tcPr>
            <w:tcW w:w="7291" w:type="dxa"/>
            <w:gridSpan w:val="2"/>
            <w:noWrap w:val="0"/>
            <w:vAlign w:val="center"/>
          </w:tcPr>
          <w:p w14:paraId="21065FCC">
            <w:pPr>
              <w:pStyle w:val="23"/>
              <w:topLinePunct/>
              <w:spacing w:after="0" w:line="360" w:lineRule="auto"/>
              <w:jc w:val="left"/>
              <w:rPr>
                <w:rFonts w:hint="eastAsia" w:hAnsi="宋体" w:eastAsia="宋体"/>
                <w:color w:val="auto"/>
                <w:kern w:val="2"/>
                <w:sz w:val="21"/>
                <w:szCs w:val="21"/>
                <w:highlight w:val="none"/>
                <w:lang w:val="en-US" w:eastAsia="zh-CN"/>
              </w:rPr>
            </w:pPr>
            <w:r>
              <w:rPr>
                <w:rFonts w:hint="eastAsia" w:hAnsi="宋体"/>
                <w:color w:val="auto"/>
                <w:kern w:val="2"/>
                <w:sz w:val="21"/>
                <w:szCs w:val="21"/>
                <w:highlight w:val="none"/>
                <w:lang w:val="en-US" w:eastAsia="zh-CN"/>
              </w:rPr>
              <w:t>姚安县2026年高标准农田建设项目</w:t>
            </w:r>
          </w:p>
        </w:tc>
      </w:tr>
      <w:tr w14:paraId="32EA83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29" w:type="dxa"/>
            <w:noWrap w:val="0"/>
            <w:vAlign w:val="center"/>
          </w:tcPr>
          <w:p w14:paraId="246DF48E">
            <w:pPr>
              <w:spacing w:after="0" w:line="360" w:lineRule="auto"/>
              <w:rPr>
                <w:rFonts w:ascii="宋体" w:hAnsi="宋体"/>
                <w:color w:val="auto"/>
                <w:szCs w:val="21"/>
                <w:highlight w:val="none"/>
              </w:rPr>
            </w:pPr>
            <w:bookmarkStart w:id="97" w:name="_Toc221950018"/>
            <w:r>
              <w:rPr>
                <w:rFonts w:ascii="宋体" w:hAnsi="宋体"/>
                <w:color w:val="auto"/>
                <w:szCs w:val="21"/>
                <w:highlight w:val="none"/>
              </w:rPr>
              <w:t>1.1.5</w:t>
            </w:r>
            <w:bookmarkEnd w:id="97"/>
          </w:p>
        </w:tc>
        <w:tc>
          <w:tcPr>
            <w:tcW w:w="1973" w:type="dxa"/>
            <w:noWrap w:val="0"/>
            <w:vAlign w:val="center"/>
          </w:tcPr>
          <w:p w14:paraId="55083128">
            <w:pPr>
              <w:spacing w:after="0" w:line="360" w:lineRule="auto"/>
              <w:rPr>
                <w:rFonts w:ascii="宋体" w:hAnsi="宋体" w:cs="宋体"/>
                <w:color w:val="auto"/>
                <w:szCs w:val="21"/>
                <w:highlight w:val="none"/>
              </w:rPr>
            </w:pPr>
            <w:bookmarkStart w:id="98" w:name="_Toc221950019"/>
            <w:r>
              <w:rPr>
                <w:rFonts w:hint="eastAsia" w:ascii="宋体" w:hAnsi="宋体" w:cs="宋体"/>
                <w:color w:val="auto"/>
                <w:szCs w:val="21"/>
                <w:highlight w:val="none"/>
              </w:rPr>
              <w:t>建设地点</w:t>
            </w:r>
            <w:bookmarkEnd w:id="98"/>
          </w:p>
        </w:tc>
        <w:tc>
          <w:tcPr>
            <w:tcW w:w="7291" w:type="dxa"/>
            <w:gridSpan w:val="2"/>
            <w:noWrap w:val="0"/>
            <w:vAlign w:val="center"/>
          </w:tcPr>
          <w:p w14:paraId="7939E4EB">
            <w:pPr>
              <w:spacing w:after="0" w:line="360" w:lineRule="auto"/>
              <w:jc w:val="left"/>
              <w:rPr>
                <w:rFonts w:ascii="宋体" w:hAnsi="宋体" w:cs="宋体"/>
                <w:color w:val="auto"/>
                <w:szCs w:val="21"/>
                <w:highlight w:val="none"/>
              </w:rPr>
            </w:pPr>
            <w:r>
              <w:rPr>
                <w:rFonts w:hint="eastAsia"/>
                <w:b w:val="0"/>
                <w:bCs w:val="0"/>
                <w:color w:val="000000" w:themeColor="text1"/>
                <w:sz w:val="21"/>
                <w:szCs w:val="21"/>
                <w:highlight w:val="none"/>
                <w:lang w:val="en-US" w:eastAsia="zh-CN"/>
                <w14:textFill>
                  <w14:solidFill>
                    <w14:schemeClr w14:val="tx1"/>
                  </w14:solidFill>
                </w14:textFill>
              </w:rPr>
              <w:t>栋川镇大龙口村委会、郭家凹村委会，官屯镇连厂村委会，</w:t>
            </w:r>
            <w:r>
              <w:rPr>
                <w:rFonts w:hint="default" w:cs="Times New Roman"/>
                <w:b w:val="0"/>
                <w:bCs w:val="0"/>
                <w:color w:val="000000" w:themeColor="text1"/>
                <w:kern w:val="2"/>
                <w:sz w:val="21"/>
                <w:szCs w:val="21"/>
                <w:highlight w:val="none"/>
                <w:lang w:val="en-US" w:eastAsia="zh-CN" w:bidi="ar-SA"/>
                <w14:textFill>
                  <w14:solidFill>
                    <w14:schemeClr w14:val="tx1"/>
                  </w14:solidFill>
                </w14:textFill>
              </w:rPr>
              <w:t>弥兴镇官庄村委会</w:t>
            </w:r>
            <w:r>
              <w:rPr>
                <w:rFonts w:hint="eastAsia" w:ascii="宋体" w:hAnsi="宋体" w:cs="宋体"/>
                <w:b w:val="0"/>
                <w:bCs w:val="0"/>
                <w:color w:val="000000" w:themeColor="text1"/>
                <w:kern w:val="0"/>
                <w:sz w:val="21"/>
                <w:szCs w:val="21"/>
                <w:highlight w:val="none"/>
                <w14:textFill>
                  <w14:solidFill>
                    <w14:schemeClr w14:val="tx1"/>
                  </w14:solidFill>
                </w14:textFill>
              </w:rPr>
              <w:t>。</w:t>
            </w:r>
          </w:p>
        </w:tc>
      </w:tr>
      <w:tr w14:paraId="116752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01E5768A">
            <w:pPr>
              <w:spacing w:after="0" w:line="360" w:lineRule="auto"/>
              <w:rPr>
                <w:rFonts w:ascii="宋体" w:hAnsi="宋体"/>
                <w:color w:val="auto"/>
                <w:szCs w:val="21"/>
                <w:highlight w:val="none"/>
              </w:rPr>
            </w:pPr>
            <w:bookmarkStart w:id="99" w:name="_Toc221950030"/>
            <w:r>
              <w:rPr>
                <w:rFonts w:ascii="宋体" w:hAnsi="宋体"/>
                <w:color w:val="auto"/>
                <w:szCs w:val="21"/>
                <w:highlight w:val="none"/>
              </w:rPr>
              <w:t>1.2.1</w:t>
            </w:r>
            <w:bookmarkEnd w:id="99"/>
          </w:p>
        </w:tc>
        <w:tc>
          <w:tcPr>
            <w:tcW w:w="1973" w:type="dxa"/>
            <w:noWrap w:val="0"/>
            <w:vAlign w:val="center"/>
          </w:tcPr>
          <w:p w14:paraId="35567A9B">
            <w:pPr>
              <w:spacing w:after="0" w:line="360" w:lineRule="auto"/>
              <w:rPr>
                <w:rFonts w:ascii="宋体" w:hAnsi="宋体"/>
                <w:color w:val="auto"/>
                <w:szCs w:val="21"/>
                <w:highlight w:val="none"/>
              </w:rPr>
            </w:pPr>
            <w:bookmarkStart w:id="100" w:name="_Toc221950031"/>
            <w:r>
              <w:rPr>
                <w:rFonts w:ascii="宋体" w:hAnsi="宋体"/>
                <w:color w:val="auto"/>
                <w:szCs w:val="21"/>
                <w:highlight w:val="none"/>
              </w:rPr>
              <w:t>资金来源</w:t>
            </w:r>
            <w:bookmarkEnd w:id="100"/>
          </w:p>
        </w:tc>
        <w:tc>
          <w:tcPr>
            <w:tcW w:w="7291" w:type="dxa"/>
            <w:gridSpan w:val="2"/>
            <w:noWrap w:val="0"/>
            <w:vAlign w:val="center"/>
          </w:tcPr>
          <w:p w14:paraId="6A30DCD3">
            <w:pPr>
              <w:spacing w:after="0" w:line="360" w:lineRule="auto"/>
              <w:jc w:val="left"/>
              <w:rPr>
                <w:rFonts w:ascii="宋体" w:hAnsi="宋体"/>
                <w:color w:val="auto"/>
                <w:szCs w:val="21"/>
                <w:highlight w:val="none"/>
              </w:rPr>
            </w:pPr>
            <w:r>
              <w:rPr>
                <w:rFonts w:hint="eastAsia"/>
                <w:color w:val="000000" w:themeColor="text1"/>
                <w:highlight w:val="none"/>
                <w:u w:val="none"/>
                <w:lang w:val="en-US" w:eastAsia="zh-CN"/>
                <w14:textFill>
                  <w14:solidFill>
                    <w14:schemeClr w14:val="tx1"/>
                  </w14:solidFill>
                </w14:textFill>
              </w:rPr>
              <w:t>中央资金及省级财政配套资金</w:t>
            </w:r>
          </w:p>
        </w:tc>
      </w:tr>
      <w:tr w14:paraId="601EB6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29" w:type="dxa"/>
            <w:noWrap w:val="0"/>
            <w:vAlign w:val="center"/>
          </w:tcPr>
          <w:p w14:paraId="57EE2282">
            <w:pPr>
              <w:spacing w:after="0" w:line="360" w:lineRule="auto"/>
              <w:rPr>
                <w:rFonts w:ascii="宋体" w:hAnsi="宋体"/>
                <w:color w:val="auto"/>
                <w:szCs w:val="21"/>
                <w:highlight w:val="none"/>
              </w:rPr>
            </w:pPr>
            <w:bookmarkStart w:id="101" w:name="_Toc221950032"/>
            <w:r>
              <w:rPr>
                <w:rFonts w:ascii="宋体" w:hAnsi="宋体"/>
                <w:color w:val="auto"/>
                <w:szCs w:val="21"/>
                <w:highlight w:val="none"/>
              </w:rPr>
              <w:t>1.2.2</w:t>
            </w:r>
            <w:bookmarkEnd w:id="101"/>
          </w:p>
        </w:tc>
        <w:tc>
          <w:tcPr>
            <w:tcW w:w="1973" w:type="dxa"/>
            <w:noWrap w:val="0"/>
            <w:vAlign w:val="center"/>
          </w:tcPr>
          <w:p w14:paraId="2410401F">
            <w:pPr>
              <w:spacing w:after="0" w:line="360" w:lineRule="auto"/>
              <w:rPr>
                <w:rFonts w:ascii="宋体" w:hAnsi="宋体"/>
                <w:color w:val="auto"/>
                <w:szCs w:val="21"/>
                <w:highlight w:val="none"/>
              </w:rPr>
            </w:pPr>
            <w:bookmarkStart w:id="102" w:name="_Toc221950033"/>
            <w:r>
              <w:rPr>
                <w:rFonts w:ascii="宋体" w:hAnsi="宋体"/>
                <w:color w:val="auto"/>
                <w:szCs w:val="21"/>
                <w:highlight w:val="none"/>
              </w:rPr>
              <w:t>出资比例</w:t>
            </w:r>
            <w:bookmarkEnd w:id="102"/>
          </w:p>
        </w:tc>
        <w:tc>
          <w:tcPr>
            <w:tcW w:w="7291" w:type="dxa"/>
            <w:gridSpan w:val="2"/>
            <w:noWrap w:val="0"/>
            <w:vAlign w:val="center"/>
          </w:tcPr>
          <w:p w14:paraId="550DCE04">
            <w:pPr>
              <w:spacing w:after="0" w:line="360" w:lineRule="auto"/>
              <w:jc w:val="left"/>
              <w:rPr>
                <w:rFonts w:ascii="宋体" w:hAnsi="宋体"/>
                <w:color w:val="auto"/>
                <w:szCs w:val="21"/>
                <w:highlight w:val="none"/>
              </w:rPr>
            </w:pPr>
            <w:r>
              <w:rPr>
                <w:rFonts w:hint="eastAsia" w:ascii="宋体" w:hAnsi="宋体"/>
                <w:color w:val="auto"/>
                <w:szCs w:val="21"/>
                <w:highlight w:val="none"/>
              </w:rPr>
              <w:t>100%</w:t>
            </w:r>
          </w:p>
        </w:tc>
      </w:tr>
      <w:tr w14:paraId="130916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929" w:type="dxa"/>
            <w:noWrap w:val="0"/>
            <w:vAlign w:val="center"/>
          </w:tcPr>
          <w:p w14:paraId="75ABBA5F">
            <w:pPr>
              <w:spacing w:after="0" w:line="360" w:lineRule="auto"/>
              <w:rPr>
                <w:rFonts w:ascii="宋体" w:hAnsi="宋体"/>
                <w:color w:val="auto"/>
                <w:szCs w:val="21"/>
                <w:highlight w:val="none"/>
              </w:rPr>
            </w:pPr>
            <w:bookmarkStart w:id="103" w:name="_Toc221950034"/>
            <w:r>
              <w:rPr>
                <w:rFonts w:ascii="宋体" w:hAnsi="宋体"/>
                <w:color w:val="auto"/>
                <w:szCs w:val="21"/>
                <w:highlight w:val="none"/>
              </w:rPr>
              <w:t>1.2.3</w:t>
            </w:r>
            <w:bookmarkEnd w:id="103"/>
          </w:p>
        </w:tc>
        <w:tc>
          <w:tcPr>
            <w:tcW w:w="1973" w:type="dxa"/>
            <w:noWrap w:val="0"/>
            <w:vAlign w:val="center"/>
          </w:tcPr>
          <w:p w14:paraId="7E3861F1">
            <w:pPr>
              <w:spacing w:after="0" w:line="360" w:lineRule="auto"/>
              <w:rPr>
                <w:rFonts w:ascii="宋体" w:hAnsi="宋体"/>
                <w:color w:val="auto"/>
                <w:szCs w:val="21"/>
                <w:highlight w:val="none"/>
              </w:rPr>
            </w:pPr>
            <w:bookmarkStart w:id="104" w:name="_Toc221950035"/>
            <w:r>
              <w:rPr>
                <w:rFonts w:hint="eastAsia" w:ascii="宋体" w:hAnsi="宋体"/>
                <w:color w:val="auto"/>
                <w:szCs w:val="21"/>
                <w:highlight w:val="none"/>
              </w:rPr>
              <w:t>资金</w:t>
            </w:r>
            <w:r>
              <w:rPr>
                <w:rFonts w:ascii="宋体" w:hAnsi="宋体"/>
                <w:color w:val="auto"/>
                <w:szCs w:val="21"/>
                <w:highlight w:val="none"/>
              </w:rPr>
              <w:t>落实情况</w:t>
            </w:r>
            <w:bookmarkEnd w:id="104"/>
          </w:p>
        </w:tc>
        <w:tc>
          <w:tcPr>
            <w:tcW w:w="7291" w:type="dxa"/>
            <w:gridSpan w:val="2"/>
            <w:noWrap w:val="0"/>
            <w:vAlign w:val="center"/>
          </w:tcPr>
          <w:p w14:paraId="3C6A1850">
            <w:pPr>
              <w:spacing w:after="0" w:line="360" w:lineRule="auto"/>
              <w:jc w:val="left"/>
              <w:rPr>
                <w:rFonts w:ascii="宋体" w:hAnsi="宋体"/>
                <w:color w:val="auto"/>
                <w:szCs w:val="21"/>
                <w:highlight w:val="none"/>
              </w:rPr>
            </w:pPr>
            <w:r>
              <w:rPr>
                <w:rFonts w:hint="eastAsia" w:ascii="宋体" w:hAnsi="宋体"/>
                <w:color w:val="auto"/>
                <w:szCs w:val="21"/>
                <w:highlight w:val="none"/>
              </w:rPr>
              <w:t>已</w:t>
            </w:r>
            <w:r>
              <w:rPr>
                <w:rFonts w:ascii="宋体" w:hAnsi="宋体"/>
                <w:color w:val="auto"/>
                <w:szCs w:val="21"/>
                <w:highlight w:val="none"/>
              </w:rPr>
              <w:t>落实</w:t>
            </w:r>
          </w:p>
        </w:tc>
      </w:tr>
      <w:tr w14:paraId="445479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29" w:type="dxa"/>
            <w:noWrap w:val="0"/>
            <w:vAlign w:val="center"/>
          </w:tcPr>
          <w:p w14:paraId="69744A7F">
            <w:pPr>
              <w:spacing w:after="0" w:line="360" w:lineRule="auto"/>
              <w:rPr>
                <w:rFonts w:ascii="宋体" w:hAnsi="宋体"/>
                <w:color w:val="auto"/>
                <w:szCs w:val="21"/>
                <w:highlight w:val="none"/>
              </w:rPr>
            </w:pPr>
            <w:bookmarkStart w:id="105" w:name="_Toc221950036"/>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bookmarkEnd w:id="105"/>
          </w:p>
        </w:tc>
        <w:tc>
          <w:tcPr>
            <w:tcW w:w="1973" w:type="dxa"/>
            <w:noWrap w:val="0"/>
            <w:vAlign w:val="center"/>
          </w:tcPr>
          <w:p w14:paraId="085AEAF4">
            <w:pPr>
              <w:spacing w:after="0" w:line="360" w:lineRule="auto"/>
              <w:rPr>
                <w:rFonts w:ascii="宋体" w:hAnsi="宋体"/>
                <w:bCs/>
                <w:color w:val="auto"/>
                <w:szCs w:val="21"/>
                <w:highlight w:val="none"/>
              </w:rPr>
            </w:pPr>
            <w:bookmarkStart w:id="106" w:name="_Toc221950037"/>
            <w:r>
              <w:rPr>
                <w:rFonts w:hint="eastAsia" w:ascii="宋体" w:hAnsi="宋体"/>
                <w:bCs/>
                <w:color w:val="auto"/>
                <w:szCs w:val="21"/>
                <w:highlight w:val="none"/>
              </w:rPr>
              <w:t>招标范围</w:t>
            </w:r>
            <w:bookmarkEnd w:id="106"/>
          </w:p>
        </w:tc>
        <w:tc>
          <w:tcPr>
            <w:tcW w:w="7291" w:type="dxa"/>
            <w:gridSpan w:val="2"/>
            <w:noWrap w:val="0"/>
            <w:vAlign w:val="center"/>
          </w:tcPr>
          <w:p w14:paraId="3ADABF43">
            <w:pPr>
              <w:snapToGrid w:val="0"/>
              <w:spacing w:after="0" w:line="360" w:lineRule="auto"/>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详见招标公告。</w:t>
            </w:r>
          </w:p>
        </w:tc>
      </w:tr>
      <w:tr w14:paraId="371AE2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124F8B3E">
            <w:pPr>
              <w:spacing w:after="0" w:line="360" w:lineRule="auto"/>
              <w:rPr>
                <w:rFonts w:ascii="宋体" w:hAnsi="宋体"/>
                <w:color w:val="auto"/>
                <w:szCs w:val="21"/>
                <w:highlight w:val="none"/>
              </w:rPr>
            </w:pPr>
            <w:bookmarkStart w:id="107" w:name="_Toc221950038"/>
            <w:r>
              <w:rPr>
                <w:rFonts w:ascii="宋体" w:hAnsi="宋体"/>
                <w:color w:val="auto"/>
                <w:szCs w:val="21"/>
                <w:highlight w:val="none"/>
              </w:rPr>
              <w:t>1.3.2</w:t>
            </w:r>
            <w:bookmarkEnd w:id="107"/>
          </w:p>
        </w:tc>
        <w:tc>
          <w:tcPr>
            <w:tcW w:w="1973" w:type="dxa"/>
            <w:noWrap w:val="0"/>
            <w:vAlign w:val="center"/>
          </w:tcPr>
          <w:p w14:paraId="2FF912D5">
            <w:pPr>
              <w:spacing w:after="0" w:line="360" w:lineRule="auto"/>
              <w:rPr>
                <w:rFonts w:ascii="宋体" w:hAnsi="宋体"/>
                <w:color w:val="auto"/>
                <w:szCs w:val="21"/>
                <w:highlight w:val="none"/>
              </w:rPr>
            </w:pPr>
            <w:bookmarkStart w:id="108" w:name="_Toc221950039"/>
            <w:r>
              <w:rPr>
                <w:rFonts w:ascii="宋体" w:hAnsi="宋体"/>
                <w:color w:val="auto"/>
                <w:szCs w:val="21"/>
                <w:highlight w:val="none"/>
              </w:rPr>
              <w:t>计划工期</w:t>
            </w:r>
            <w:bookmarkEnd w:id="108"/>
          </w:p>
        </w:tc>
        <w:tc>
          <w:tcPr>
            <w:tcW w:w="7291" w:type="dxa"/>
            <w:gridSpan w:val="2"/>
            <w:noWrap w:val="0"/>
            <w:vAlign w:val="center"/>
          </w:tcPr>
          <w:p w14:paraId="73BB7A47">
            <w:pPr>
              <w:spacing w:after="0" w:line="360" w:lineRule="auto"/>
              <w:rPr>
                <w:rFonts w:ascii="宋体" w:hAnsi="宋体"/>
                <w:color w:val="auto"/>
                <w:szCs w:val="21"/>
                <w:highlight w:val="none"/>
              </w:rPr>
            </w:pPr>
            <w:r>
              <w:rPr>
                <w:rFonts w:hint="eastAsia" w:ascii="宋体" w:hAnsi="宋体"/>
                <w:color w:val="auto"/>
                <w:szCs w:val="21"/>
                <w:highlight w:val="none"/>
              </w:rPr>
              <w:t>施工总工期</w:t>
            </w:r>
            <w:r>
              <w:rPr>
                <w:rFonts w:hint="eastAsia" w:ascii="宋体" w:hAnsi="宋体" w:eastAsia="宋体" w:cs="Times New Roman"/>
                <w:color w:val="auto"/>
                <w:szCs w:val="21"/>
                <w:highlight w:val="none"/>
              </w:rPr>
              <w:t>：</w:t>
            </w:r>
            <w:r>
              <w:rPr>
                <w:rFonts w:hint="eastAsia" w:ascii="宋体" w:hAnsi="宋体" w:cs="Times New Roman"/>
                <w:color w:val="auto"/>
                <w:szCs w:val="21"/>
                <w:highlight w:val="none"/>
                <w:lang w:val="en-US" w:eastAsia="zh-CN"/>
              </w:rPr>
              <w:t>27</w:t>
            </w:r>
            <w:r>
              <w:rPr>
                <w:rFonts w:hint="eastAsia" w:ascii="宋体" w:hAnsi="宋体" w:eastAsia="宋体" w:cs="Times New Roman"/>
                <w:color w:val="auto"/>
                <w:szCs w:val="21"/>
                <w:highlight w:val="none"/>
                <w:lang w:eastAsia="zh-CN"/>
              </w:rPr>
              <w:t>0日历天（每标段）</w:t>
            </w:r>
            <w:r>
              <w:rPr>
                <w:rFonts w:hint="eastAsia" w:ascii="宋体" w:hAnsi="宋体" w:eastAsia="宋体" w:cs="Times New Roman"/>
                <w:color w:val="auto"/>
                <w:szCs w:val="21"/>
                <w:highlight w:val="none"/>
              </w:rPr>
              <w:t>。</w:t>
            </w:r>
          </w:p>
        </w:tc>
      </w:tr>
      <w:tr w14:paraId="129B9D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29" w:type="dxa"/>
            <w:noWrap w:val="0"/>
            <w:vAlign w:val="center"/>
          </w:tcPr>
          <w:p w14:paraId="2B9B5E0D">
            <w:pPr>
              <w:spacing w:after="0" w:line="360" w:lineRule="auto"/>
              <w:rPr>
                <w:rFonts w:ascii="宋体" w:hAnsi="宋体"/>
                <w:color w:val="auto"/>
                <w:szCs w:val="21"/>
                <w:highlight w:val="none"/>
              </w:rPr>
            </w:pPr>
            <w:bookmarkStart w:id="109" w:name="_Toc221950043"/>
            <w:r>
              <w:rPr>
                <w:rFonts w:ascii="宋体" w:hAnsi="宋体"/>
                <w:color w:val="auto"/>
                <w:szCs w:val="21"/>
                <w:highlight w:val="none"/>
              </w:rPr>
              <w:t>1.3.3</w:t>
            </w:r>
            <w:bookmarkEnd w:id="109"/>
          </w:p>
        </w:tc>
        <w:tc>
          <w:tcPr>
            <w:tcW w:w="1973" w:type="dxa"/>
            <w:noWrap w:val="0"/>
            <w:vAlign w:val="center"/>
          </w:tcPr>
          <w:p w14:paraId="09D51162">
            <w:pPr>
              <w:spacing w:after="0" w:line="360" w:lineRule="auto"/>
              <w:rPr>
                <w:rFonts w:ascii="宋体" w:hAnsi="宋体"/>
                <w:color w:val="auto"/>
                <w:szCs w:val="21"/>
                <w:highlight w:val="none"/>
              </w:rPr>
            </w:pPr>
            <w:bookmarkStart w:id="110" w:name="_Toc221950044"/>
            <w:r>
              <w:rPr>
                <w:rFonts w:ascii="宋体" w:hAnsi="宋体"/>
                <w:color w:val="auto"/>
                <w:szCs w:val="21"/>
                <w:highlight w:val="none"/>
              </w:rPr>
              <w:t>质量要求</w:t>
            </w:r>
            <w:bookmarkEnd w:id="110"/>
          </w:p>
        </w:tc>
        <w:tc>
          <w:tcPr>
            <w:tcW w:w="7291" w:type="dxa"/>
            <w:gridSpan w:val="2"/>
            <w:noWrap w:val="0"/>
            <w:vAlign w:val="center"/>
          </w:tcPr>
          <w:p w14:paraId="4B8041C7">
            <w:pPr>
              <w:pStyle w:val="23"/>
              <w:topLinePunct/>
              <w:spacing w:after="0" w:line="360" w:lineRule="auto"/>
              <w:rPr>
                <w:rFonts w:hAnsi="宋体"/>
                <w:color w:val="auto"/>
                <w:kern w:val="2"/>
                <w:sz w:val="21"/>
                <w:szCs w:val="21"/>
                <w:highlight w:val="none"/>
                <w:lang w:val="en-US"/>
              </w:rPr>
            </w:pPr>
            <w:r>
              <w:rPr>
                <w:rFonts w:hint="eastAsia" w:hAnsi="宋体"/>
                <w:bCs/>
                <w:color w:val="auto"/>
                <w:kern w:val="2"/>
                <w:sz w:val="21"/>
                <w:szCs w:val="21"/>
                <w:highlight w:val="none"/>
                <w:lang w:val="en-US"/>
              </w:rPr>
              <w:t>符合国家及相关行业验收标准及规范，一次性验收合格。</w:t>
            </w:r>
          </w:p>
        </w:tc>
      </w:tr>
      <w:tr w14:paraId="07380E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929" w:type="dxa"/>
            <w:noWrap w:val="0"/>
            <w:vAlign w:val="center"/>
          </w:tcPr>
          <w:p w14:paraId="3DD71F32">
            <w:pPr>
              <w:spacing w:after="0" w:line="360" w:lineRule="auto"/>
              <w:rPr>
                <w:rFonts w:ascii="宋体" w:hAnsi="宋体"/>
                <w:color w:val="auto"/>
                <w:szCs w:val="21"/>
                <w:highlight w:val="none"/>
              </w:rPr>
            </w:pPr>
            <w:bookmarkStart w:id="111" w:name="_Toc221950045"/>
            <w:r>
              <w:rPr>
                <w:rFonts w:hint="eastAsia" w:ascii="宋体" w:hAnsi="宋体"/>
                <w:color w:val="auto"/>
                <w:szCs w:val="21"/>
                <w:highlight w:val="none"/>
              </w:rPr>
              <w:t>1.4.1</w:t>
            </w:r>
            <w:bookmarkEnd w:id="111"/>
          </w:p>
        </w:tc>
        <w:tc>
          <w:tcPr>
            <w:tcW w:w="1973" w:type="dxa"/>
            <w:noWrap w:val="0"/>
            <w:vAlign w:val="center"/>
          </w:tcPr>
          <w:p w14:paraId="0586F652">
            <w:pPr>
              <w:spacing w:after="0" w:line="360" w:lineRule="auto"/>
              <w:rPr>
                <w:rFonts w:ascii="宋体" w:hAnsi="宋体"/>
                <w:color w:val="auto"/>
                <w:szCs w:val="21"/>
                <w:highlight w:val="none"/>
              </w:rPr>
            </w:pPr>
            <w:bookmarkStart w:id="112" w:name="_Toc221950046"/>
            <w:r>
              <w:rPr>
                <w:rFonts w:hint="eastAsia" w:ascii="宋体" w:hAnsi="宋体"/>
                <w:color w:val="auto"/>
                <w:szCs w:val="21"/>
                <w:highlight w:val="none"/>
              </w:rPr>
              <w:t>投标人资质条件、能力、信誉</w:t>
            </w:r>
            <w:bookmarkEnd w:id="112"/>
          </w:p>
        </w:tc>
        <w:tc>
          <w:tcPr>
            <w:tcW w:w="7291" w:type="dxa"/>
            <w:gridSpan w:val="2"/>
            <w:noWrap w:val="0"/>
            <w:vAlign w:val="center"/>
          </w:tcPr>
          <w:p w14:paraId="02F1E699">
            <w:pPr>
              <w:snapToGrid w:val="0"/>
              <w:spacing w:after="0" w:line="360" w:lineRule="auto"/>
              <w:rPr>
                <w:rFonts w:hint="default" w:ascii="宋体" w:hAnsi="宋体" w:eastAsia="宋体"/>
                <w:b/>
                <w:color w:val="auto"/>
                <w:szCs w:val="21"/>
                <w:highlight w:val="none"/>
                <w:lang w:val="en-US" w:eastAsia="zh-CN"/>
              </w:rPr>
            </w:pPr>
            <w:r>
              <w:rPr>
                <w:rFonts w:hint="eastAsia" w:ascii="宋体" w:hAnsi="宋体"/>
                <w:b w:val="0"/>
                <w:bCs/>
                <w:color w:val="auto"/>
                <w:szCs w:val="21"/>
                <w:highlight w:val="none"/>
                <w:lang w:val="en-US" w:eastAsia="zh-CN"/>
              </w:rPr>
              <w:t>详见招标公告</w:t>
            </w:r>
          </w:p>
        </w:tc>
      </w:tr>
      <w:tr w14:paraId="416C77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929" w:type="dxa"/>
            <w:noWrap w:val="0"/>
            <w:vAlign w:val="center"/>
          </w:tcPr>
          <w:p w14:paraId="1E76C879">
            <w:pPr>
              <w:spacing w:after="0" w:line="360" w:lineRule="auto"/>
              <w:rPr>
                <w:rFonts w:ascii="宋体" w:hAnsi="宋体"/>
                <w:color w:val="auto"/>
                <w:szCs w:val="21"/>
                <w:highlight w:val="none"/>
              </w:rPr>
            </w:pPr>
            <w:r>
              <w:rPr>
                <w:rFonts w:hint="eastAsia" w:ascii="宋体" w:hAnsi="宋体"/>
                <w:color w:val="auto"/>
                <w:szCs w:val="21"/>
                <w:highlight w:val="none"/>
              </w:rPr>
              <w:t>1.4.2</w:t>
            </w:r>
          </w:p>
        </w:tc>
        <w:tc>
          <w:tcPr>
            <w:tcW w:w="1973" w:type="dxa"/>
            <w:noWrap w:val="0"/>
            <w:vAlign w:val="center"/>
          </w:tcPr>
          <w:p w14:paraId="6EB6FAFD">
            <w:pPr>
              <w:spacing w:after="0" w:line="360" w:lineRule="auto"/>
              <w:rPr>
                <w:rFonts w:ascii="宋体" w:hAnsi="宋体"/>
                <w:color w:val="auto"/>
                <w:szCs w:val="21"/>
                <w:highlight w:val="none"/>
              </w:rPr>
            </w:pPr>
            <w:r>
              <w:rPr>
                <w:rFonts w:hint="eastAsia" w:ascii="宋体" w:hAnsi="宋体"/>
                <w:color w:val="auto"/>
                <w:szCs w:val="21"/>
                <w:highlight w:val="none"/>
              </w:rPr>
              <w:t>是否接受联合体投标</w:t>
            </w:r>
          </w:p>
        </w:tc>
        <w:tc>
          <w:tcPr>
            <w:tcW w:w="7291" w:type="dxa"/>
            <w:gridSpan w:val="2"/>
            <w:noWrap w:val="0"/>
            <w:vAlign w:val="center"/>
          </w:tcPr>
          <w:p w14:paraId="7085A4E9">
            <w:pPr>
              <w:spacing w:after="0" w:line="360" w:lineRule="auto"/>
              <w:rPr>
                <w:rFonts w:ascii="宋体" w:hAnsi="宋体"/>
                <w:color w:val="auto"/>
                <w:szCs w:val="21"/>
                <w:highlight w:val="none"/>
              </w:rPr>
            </w:pPr>
            <w:r>
              <w:rPr>
                <w:rFonts w:hint="eastAsia" w:ascii="宋体" w:hAnsi="宋体" w:cs="MingLiU"/>
                <w:color w:val="auto"/>
                <w:kern w:val="0"/>
                <w:szCs w:val="21"/>
                <w:highlight w:val="none"/>
              </w:rPr>
              <w:t>不接受联合体投标</w:t>
            </w:r>
          </w:p>
        </w:tc>
      </w:tr>
      <w:tr w14:paraId="7B4250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929" w:type="dxa"/>
            <w:noWrap w:val="0"/>
            <w:vAlign w:val="center"/>
          </w:tcPr>
          <w:p w14:paraId="1F0CA694">
            <w:pPr>
              <w:spacing w:after="0" w:line="360" w:lineRule="auto"/>
              <w:rPr>
                <w:rFonts w:ascii="宋体" w:hAnsi="宋体"/>
                <w:color w:val="auto"/>
                <w:szCs w:val="21"/>
                <w:highlight w:val="none"/>
              </w:rPr>
            </w:pPr>
            <w:r>
              <w:rPr>
                <w:rFonts w:hint="eastAsia" w:ascii="宋体" w:hAnsi="宋体"/>
                <w:color w:val="auto"/>
                <w:szCs w:val="21"/>
                <w:highlight w:val="none"/>
              </w:rPr>
              <w:t>1.9</w:t>
            </w:r>
          </w:p>
        </w:tc>
        <w:tc>
          <w:tcPr>
            <w:tcW w:w="1973" w:type="dxa"/>
            <w:noWrap w:val="0"/>
            <w:vAlign w:val="center"/>
          </w:tcPr>
          <w:p w14:paraId="4011458E">
            <w:pPr>
              <w:spacing w:after="0" w:line="360" w:lineRule="auto"/>
              <w:rPr>
                <w:rFonts w:ascii="宋体" w:hAnsi="宋体"/>
                <w:color w:val="auto"/>
                <w:szCs w:val="21"/>
                <w:highlight w:val="none"/>
              </w:rPr>
            </w:pPr>
            <w:r>
              <w:rPr>
                <w:rFonts w:hint="eastAsia" w:ascii="宋体" w:hAnsi="宋体"/>
                <w:color w:val="auto"/>
                <w:szCs w:val="21"/>
                <w:highlight w:val="none"/>
              </w:rPr>
              <w:t>踏勘现场</w:t>
            </w:r>
          </w:p>
        </w:tc>
        <w:tc>
          <w:tcPr>
            <w:tcW w:w="7291" w:type="dxa"/>
            <w:gridSpan w:val="2"/>
            <w:noWrap w:val="0"/>
            <w:vAlign w:val="center"/>
          </w:tcPr>
          <w:p w14:paraId="33D512ED">
            <w:pPr>
              <w:spacing w:line="264" w:lineRule="auto"/>
              <w:rPr>
                <w:rFonts w:cs="Times New Roman"/>
                <w:color w:val="auto"/>
                <w:highlight w:val="none"/>
              </w:rPr>
            </w:pPr>
            <w:r>
              <w:rPr>
                <w:rFonts w:hint="eastAsia" w:cs="宋体"/>
                <w:color w:val="auto"/>
                <w:highlight w:val="none"/>
              </w:rPr>
              <w:t>□组织</w:t>
            </w:r>
          </w:p>
          <w:p w14:paraId="22AE8436">
            <w:pPr>
              <w:spacing w:after="0" w:line="360" w:lineRule="auto"/>
              <w:rPr>
                <w:rFonts w:ascii="宋体" w:hAnsi="宋体" w:cs="宋体"/>
                <w:bCs/>
                <w:color w:val="auto"/>
                <w:szCs w:val="21"/>
                <w:highlight w:val="none"/>
              </w:rPr>
            </w:pPr>
            <w:r>
              <w:rPr>
                <w:rFonts w:hint="eastAsia" w:ascii="宋体" w:cs="宋体"/>
                <w:color w:val="auto"/>
                <w:highlight w:val="none"/>
              </w:rPr>
              <w:t>■</w:t>
            </w:r>
            <w:r>
              <w:rPr>
                <w:rFonts w:hint="eastAsia" w:cs="宋体"/>
                <w:color w:val="auto"/>
                <w:highlight w:val="none"/>
              </w:rPr>
              <w:t>不组织</w:t>
            </w:r>
            <w:r>
              <w:rPr>
                <w:rFonts w:hint="eastAsia" w:cs="宋体"/>
                <w:color w:val="auto"/>
                <w:highlight w:val="none"/>
                <w:lang w:eastAsia="zh-CN"/>
              </w:rPr>
              <w:t>。</w:t>
            </w:r>
            <w:r>
              <w:rPr>
                <w:rFonts w:hint="eastAsia" w:ascii="宋体" w:hAnsi="宋体" w:cs="宋体"/>
                <w:bCs/>
                <w:color w:val="auto"/>
                <w:szCs w:val="21"/>
                <w:highlight w:val="none"/>
              </w:rPr>
              <w:t>1.投标人应自行踏勘；2.投标人踏勘现场发生的费用自理；3.投标人自行负责在踏勘现场中所发生的人员伤亡和财产损失。</w:t>
            </w:r>
          </w:p>
        </w:tc>
      </w:tr>
      <w:tr w14:paraId="754A08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929" w:type="dxa"/>
            <w:noWrap w:val="0"/>
            <w:vAlign w:val="center"/>
          </w:tcPr>
          <w:p w14:paraId="0797B97B">
            <w:pPr>
              <w:spacing w:after="0" w:line="360" w:lineRule="auto"/>
              <w:rPr>
                <w:rFonts w:ascii="宋体" w:hAnsi="宋体"/>
                <w:color w:val="auto"/>
                <w:szCs w:val="21"/>
                <w:highlight w:val="none"/>
              </w:rPr>
            </w:pPr>
            <w:r>
              <w:rPr>
                <w:rFonts w:hint="eastAsia" w:ascii="宋体" w:hAnsi="宋体"/>
                <w:color w:val="auto"/>
                <w:szCs w:val="21"/>
                <w:highlight w:val="none"/>
              </w:rPr>
              <w:t>1.10</w:t>
            </w:r>
          </w:p>
        </w:tc>
        <w:tc>
          <w:tcPr>
            <w:tcW w:w="1973" w:type="dxa"/>
            <w:noWrap w:val="0"/>
            <w:vAlign w:val="center"/>
          </w:tcPr>
          <w:p w14:paraId="2B314C37">
            <w:pPr>
              <w:spacing w:after="0" w:line="360" w:lineRule="auto"/>
              <w:rPr>
                <w:rFonts w:ascii="宋体" w:hAnsi="宋体"/>
                <w:color w:val="auto"/>
                <w:szCs w:val="21"/>
                <w:highlight w:val="none"/>
              </w:rPr>
            </w:pPr>
            <w:r>
              <w:rPr>
                <w:rFonts w:hint="eastAsia" w:ascii="宋体" w:hAnsi="宋体"/>
                <w:color w:val="auto"/>
                <w:szCs w:val="21"/>
                <w:highlight w:val="none"/>
              </w:rPr>
              <w:t>招标预备会</w:t>
            </w:r>
          </w:p>
        </w:tc>
        <w:tc>
          <w:tcPr>
            <w:tcW w:w="7291" w:type="dxa"/>
            <w:gridSpan w:val="2"/>
            <w:noWrap w:val="0"/>
            <w:vAlign w:val="center"/>
          </w:tcPr>
          <w:p w14:paraId="326BD169">
            <w:pPr>
              <w:spacing w:after="0" w:line="360" w:lineRule="auto"/>
              <w:rPr>
                <w:rFonts w:ascii="宋体" w:hAnsi="宋体"/>
                <w:color w:val="auto"/>
                <w:szCs w:val="21"/>
                <w:highlight w:val="none"/>
              </w:rPr>
            </w:pPr>
            <w:r>
              <w:rPr>
                <w:rFonts w:hint="eastAsia" w:ascii="宋体" w:hAnsi="宋体"/>
                <w:color w:val="auto"/>
                <w:szCs w:val="21"/>
                <w:highlight w:val="none"/>
              </w:rPr>
              <w:t>不召开</w:t>
            </w:r>
          </w:p>
        </w:tc>
      </w:tr>
      <w:tr w14:paraId="7A149B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29" w:type="dxa"/>
            <w:noWrap w:val="0"/>
            <w:vAlign w:val="center"/>
          </w:tcPr>
          <w:p w14:paraId="78E207F5">
            <w:pPr>
              <w:spacing w:after="0" w:line="360" w:lineRule="auto"/>
              <w:rPr>
                <w:rFonts w:ascii="宋体" w:hAnsi="宋体"/>
                <w:color w:val="auto"/>
                <w:szCs w:val="21"/>
                <w:highlight w:val="none"/>
              </w:rPr>
            </w:pPr>
            <w:bookmarkStart w:id="113" w:name="_Toc221950053"/>
            <w:r>
              <w:rPr>
                <w:rFonts w:ascii="宋体" w:hAnsi="宋体"/>
                <w:color w:val="auto"/>
                <w:szCs w:val="21"/>
                <w:highlight w:val="none"/>
              </w:rPr>
              <w:t>1.1</w:t>
            </w:r>
            <w:r>
              <w:rPr>
                <w:rFonts w:hint="eastAsia" w:ascii="宋体" w:hAnsi="宋体"/>
                <w:color w:val="auto"/>
                <w:szCs w:val="21"/>
                <w:highlight w:val="none"/>
              </w:rPr>
              <w:t>1</w:t>
            </w:r>
            <w:bookmarkEnd w:id="113"/>
          </w:p>
        </w:tc>
        <w:tc>
          <w:tcPr>
            <w:tcW w:w="1973" w:type="dxa"/>
            <w:noWrap w:val="0"/>
            <w:vAlign w:val="center"/>
          </w:tcPr>
          <w:p w14:paraId="54D1435C">
            <w:pPr>
              <w:spacing w:after="0" w:line="360" w:lineRule="auto"/>
              <w:rPr>
                <w:rFonts w:ascii="宋体" w:hAnsi="宋体"/>
                <w:color w:val="auto"/>
                <w:szCs w:val="21"/>
                <w:highlight w:val="none"/>
              </w:rPr>
            </w:pPr>
            <w:bookmarkStart w:id="114" w:name="_Toc221950054"/>
            <w:r>
              <w:rPr>
                <w:rFonts w:ascii="宋体" w:hAnsi="宋体"/>
                <w:color w:val="auto"/>
                <w:szCs w:val="21"/>
                <w:highlight w:val="none"/>
              </w:rPr>
              <w:t>分包</w:t>
            </w:r>
            <w:bookmarkEnd w:id="114"/>
          </w:p>
        </w:tc>
        <w:tc>
          <w:tcPr>
            <w:tcW w:w="7291" w:type="dxa"/>
            <w:gridSpan w:val="2"/>
            <w:noWrap w:val="0"/>
            <w:vAlign w:val="center"/>
          </w:tcPr>
          <w:p w14:paraId="4BDE6008">
            <w:pPr>
              <w:spacing w:after="0" w:line="360" w:lineRule="auto"/>
              <w:rPr>
                <w:rFonts w:ascii="宋体" w:hAnsi="宋体"/>
                <w:color w:val="auto"/>
                <w:szCs w:val="21"/>
                <w:highlight w:val="none"/>
              </w:rPr>
            </w:pPr>
            <w:r>
              <w:rPr>
                <w:rFonts w:hint="eastAsia" w:ascii="宋体" w:hAnsi="宋体"/>
                <w:color w:val="auto"/>
                <w:szCs w:val="21"/>
                <w:highlight w:val="none"/>
              </w:rPr>
              <w:t>不允许</w:t>
            </w:r>
          </w:p>
        </w:tc>
      </w:tr>
      <w:tr w14:paraId="6952A9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929" w:type="dxa"/>
            <w:noWrap w:val="0"/>
            <w:vAlign w:val="center"/>
          </w:tcPr>
          <w:p w14:paraId="726FCF47">
            <w:pPr>
              <w:spacing w:after="0" w:line="360" w:lineRule="auto"/>
              <w:rPr>
                <w:rFonts w:ascii="宋体" w:hAnsi="宋体"/>
                <w:color w:val="auto"/>
                <w:szCs w:val="21"/>
                <w:highlight w:val="none"/>
              </w:rPr>
            </w:pPr>
            <w:r>
              <w:rPr>
                <w:rFonts w:hint="eastAsia" w:ascii="宋体" w:hAnsi="宋体"/>
                <w:color w:val="auto"/>
                <w:szCs w:val="21"/>
                <w:highlight w:val="none"/>
              </w:rPr>
              <w:t>1.12</w:t>
            </w:r>
          </w:p>
        </w:tc>
        <w:tc>
          <w:tcPr>
            <w:tcW w:w="1973" w:type="dxa"/>
            <w:noWrap w:val="0"/>
            <w:vAlign w:val="center"/>
          </w:tcPr>
          <w:p w14:paraId="79A8EA7A">
            <w:pPr>
              <w:spacing w:after="0" w:line="360" w:lineRule="auto"/>
              <w:rPr>
                <w:rFonts w:ascii="宋体" w:hAnsi="宋体"/>
                <w:color w:val="auto"/>
                <w:szCs w:val="21"/>
                <w:highlight w:val="none"/>
              </w:rPr>
            </w:pPr>
            <w:r>
              <w:rPr>
                <w:rFonts w:hint="eastAsia" w:ascii="宋体" w:hAnsi="宋体"/>
                <w:color w:val="auto"/>
                <w:szCs w:val="21"/>
                <w:highlight w:val="none"/>
              </w:rPr>
              <w:t>偏离</w:t>
            </w:r>
          </w:p>
        </w:tc>
        <w:tc>
          <w:tcPr>
            <w:tcW w:w="7291" w:type="dxa"/>
            <w:gridSpan w:val="2"/>
            <w:noWrap w:val="0"/>
            <w:vAlign w:val="center"/>
          </w:tcPr>
          <w:p w14:paraId="3DA40758">
            <w:pPr>
              <w:topLinePunct/>
              <w:spacing w:line="264" w:lineRule="auto"/>
              <w:rPr>
                <w:rFonts w:hint="default" w:eastAsia="宋体" w:cs="Times New Roman"/>
                <w:color w:val="auto"/>
                <w:highlight w:val="none"/>
                <w:lang w:val="en-US" w:eastAsia="zh-CN"/>
              </w:rPr>
            </w:pPr>
            <w:r>
              <w:rPr>
                <w:rFonts w:ascii="宋体"/>
                <w:color w:val="auto"/>
                <w:sz w:val="32"/>
                <w:szCs w:val="32"/>
                <w:highlight w:val="none"/>
              </w:rPr>
              <w:t>□</w:t>
            </w:r>
            <w:r>
              <w:rPr>
                <w:rFonts w:hint="eastAsia" w:cs="宋体"/>
                <w:color w:val="auto"/>
                <w:highlight w:val="none"/>
              </w:rPr>
              <w:t>不允许</w:t>
            </w:r>
            <w:r>
              <w:rPr>
                <w:rFonts w:hint="eastAsia" w:cs="宋体"/>
                <w:color w:val="auto"/>
                <w:highlight w:val="none"/>
                <w:lang w:val="en-US" w:eastAsia="zh-CN"/>
              </w:rPr>
              <w:t xml:space="preserve">     </w:t>
            </w:r>
          </w:p>
          <w:p w14:paraId="7457B2B2">
            <w:pPr>
              <w:spacing w:after="0" w:line="360" w:lineRule="auto"/>
              <w:rPr>
                <w:rFonts w:ascii="宋体" w:hAnsi="宋体"/>
                <w:color w:val="auto"/>
                <w:szCs w:val="21"/>
                <w:highlight w:val="none"/>
              </w:rPr>
            </w:pPr>
            <w:r>
              <w:rPr>
                <w:rFonts w:hint="eastAsia" w:cs="宋体"/>
                <w:color w:val="auto"/>
                <w:highlight w:val="none"/>
              </w:rPr>
              <w:t>■</w:t>
            </w:r>
            <w:r>
              <w:rPr>
                <w:rFonts w:hint="eastAsia" w:ascii="宋体" w:cs="宋体"/>
                <w:color w:val="auto"/>
                <w:highlight w:val="none"/>
              </w:rPr>
              <w:t>投标人可在招标文件要求的条件上作出正偏离的承诺（如工期提前、质量标准提高、处罚额度增大等）。</w:t>
            </w:r>
          </w:p>
        </w:tc>
      </w:tr>
      <w:tr w14:paraId="410789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29" w:type="dxa"/>
            <w:noWrap w:val="0"/>
            <w:vAlign w:val="center"/>
          </w:tcPr>
          <w:p w14:paraId="610C8FF6">
            <w:pPr>
              <w:spacing w:after="0" w:line="360" w:lineRule="auto"/>
              <w:rPr>
                <w:rFonts w:ascii="宋体" w:hAnsi="宋体"/>
                <w:color w:val="auto"/>
                <w:szCs w:val="21"/>
                <w:highlight w:val="none"/>
              </w:rPr>
            </w:pPr>
            <w:r>
              <w:rPr>
                <w:rFonts w:hint="eastAsia" w:ascii="宋体" w:hAnsi="宋体"/>
                <w:color w:val="auto"/>
                <w:szCs w:val="21"/>
                <w:highlight w:val="none"/>
              </w:rPr>
              <w:t>2.1</w:t>
            </w:r>
          </w:p>
        </w:tc>
        <w:tc>
          <w:tcPr>
            <w:tcW w:w="1973" w:type="dxa"/>
            <w:noWrap w:val="0"/>
            <w:vAlign w:val="center"/>
          </w:tcPr>
          <w:p w14:paraId="00BF0676">
            <w:pPr>
              <w:spacing w:after="0" w:line="360" w:lineRule="auto"/>
              <w:rPr>
                <w:rFonts w:ascii="宋体" w:hAnsi="宋体"/>
                <w:color w:val="auto"/>
                <w:szCs w:val="21"/>
                <w:highlight w:val="none"/>
              </w:rPr>
            </w:pPr>
            <w:r>
              <w:rPr>
                <w:rFonts w:hint="eastAsia" w:ascii="宋体" w:hAnsi="宋体"/>
                <w:color w:val="auto"/>
                <w:szCs w:val="21"/>
                <w:highlight w:val="none"/>
              </w:rPr>
              <w:t>构成招标文件的其他材料</w:t>
            </w:r>
          </w:p>
        </w:tc>
        <w:tc>
          <w:tcPr>
            <w:tcW w:w="7291" w:type="dxa"/>
            <w:gridSpan w:val="2"/>
            <w:noWrap w:val="0"/>
            <w:vAlign w:val="center"/>
          </w:tcPr>
          <w:p w14:paraId="7C5E4C80">
            <w:pPr>
              <w:spacing w:after="0" w:line="360" w:lineRule="auto"/>
              <w:rPr>
                <w:rFonts w:ascii="宋体" w:hAnsi="宋体"/>
                <w:color w:val="auto"/>
                <w:szCs w:val="21"/>
                <w:highlight w:val="none"/>
              </w:rPr>
            </w:pPr>
            <w:r>
              <w:rPr>
                <w:rFonts w:hint="eastAsia" w:ascii="宋体" w:hAnsi="宋体" w:cs="HiddenHorzOCR"/>
                <w:color w:val="auto"/>
                <w:kern w:val="0"/>
                <w:szCs w:val="21"/>
                <w:highlight w:val="none"/>
              </w:rPr>
              <w:t>招标文件澄清或修改通知</w:t>
            </w:r>
          </w:p>
        </w:tc>
      </w:tr>
      <w:tr w14:paraId="416C76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noWrap w:val="0"/>
            <w:vAlign w:val="center"/>
          </w:tcPr>
          <w:p w14:paraId="67630D22">
            <w:pPr>
              <w:spacing w:after="0" w:line="360" w:lineRule="auto"/>
              <w:rPr>
                <w:rFonts w:ascii="宋体" w:hAnsi="宋体"/>
                <w:color w:val="auto"/>
                <w:szCs w:val="21"/>
                <w:highlight w:val="none"/>
              </w:rPr>
            </w:pPr>
            <w:r>
              <w:rPr>
                <w:rFonts w:hint="eastAsia" w:ascii="宋体" w:hAnsi="宋体"/>
                <w:color w:val="auto"/>
                <w:szCs w:val="21"/>
                <w:highlight w:val="none"/>
              </w:rPr>
              <w:t>2.2.1</w:t>
            </w:r>
          </w:p>
        </w:tc>
        <w:tc>
          <w:tcPr>
            <w:tcW w:w="1973" w:type="dxa"/>
            <w:noWrap w:val="0"/>
            <w:vAlign w:val="center"/>
          </w:tcPr>
          <w:p w14:paraId="5E670D29">
            <w:pPr>
              <w:spacing w:after="0" w:line="360" w:lineRule="auto"/>
              <w:rPr>
                <w:rFonts w:ascii="宋体" w:hAnsi="宋体"/>
                <w:color w:val="auto"/>
                <w:szCs w:val="21"/>
                <w:highlight w:val="none"/>
              </w:rPr>
            </w:pPr>
            <w:r>
              <w:rPr>
                <w:rFonts w:hint="eastAsia" w:ascii="宋体" w:hAnsi="宋体"/>
                <w:color w:val="auto"/>
                <w:szCs w:val="21"/>
                <w:highlight w:val="none"/>
              </w:rPr>
              <w:t>投标人要求澄清招标文件的截止时间</w:t>
            </w:r>
          </w:p>
        </w:tc>
        <w:tc>
          <w:tcPr>
            <w:tcW w:w="7291" w:type="dxa"/>
            <w:gridSpan w:val="2"/>
            <w:noWrap w:val="0"/>
            <w:vAlign w:val="center"/>
          </w:tcPr>
          <w:p w14:paraId="1FDCBB82">
            <w:pPr>
              <w:spacing w:after="0" w:line="360" w:lineRule="auto"/>
              <w:rPr>
                <w:rFonts w:ascii="宋体" w:hAnsi="宋体"/>
                <w:color w:val="auto"/>
                <w:szCs w:val="21"/>
                <w:highlight w:val="none"/>
              </w:rPr>
            </w:pPr>
            <w:r>
              <w:rPr>
                <w:rFonts w:hint="eastAsia" w:ascii="宋体" w:hAnsi="宋体" w:cs="HiddenHorzOCR"/>
                <w:color w:val="auto"/>
                <w:kern w:val="0"/>
                <w:szCs w:val="21"/>
                <w:highlight w:val="none"/>
              </w:rPr>
              <w:t>投标截止时间10日前，所有获取了招标文件的潜在投标人凭企业数字证书（CA）登录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s="HiddenHorzOCR"/>
                <w:color w:val="auto"/>
                <w:kern w:val="0"/>
                <w:szCs w:val="21"/>
                <w:highlight w:val="none"/>
              </w:rPr>
              <w:t>，</w:t>
            </w:r>
            <w:r>
              <w:rPr>
                <w:rFonts w:hint="eastAsia" w:ascii="宋体" w:hAnsi="宋体" w:cs="宋体"/>
                <w:color w:val="auto"/>
                <w:kern w:val="0"/>
                <w:highlight w:val="none"/>
              </w:rPr>
              <w:t>通过网络在线方式向招标人或招标代理进行提问。</w:t>
            </w:r>
          </w:p>
        </w:tc>
      </w:tr>
      <w:tr w14:paraId="0AE392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29" w:type="dxa"/>
            <w:noWrap w:val="0"/>
            <w:vAlign w:val="center"/>
          </w:tcPr>
          <w:p w14:paraId="5CE0E470">
            <w:pPr>
              <w:spacing w:after="0" w:line="360" w:lineRule="auto"/>
              <w:rPr>
                <w:rFonts w:ascii="宋体" w:hAnsi="宋体"/>
                <w:color w:val="auto"/>
                <w:szCs w:val="21"/>
                <w:highlight w:val="none"/>
              </w:rPr>
            </w:pPr>
            <w:r>
              <w:rPr>
                <w:rFonts w:hint="eastAsia" w:ascii="宋体" w:hAnsi="宋体"/>
                <w:color w:val="auto"/>
                <w:szCs w:val="21"/>
                <w:highlight w:val="none"/>
              </w:rPr>
              <w:t>2.2.2</w:t>
            </w:r>
          </w:p>
        </w:tc>
        <w:tc>
          <w:tcPr>
            <w:tcW w:w="1973" w:type="dxa"/>
            <w:noWrap w:val="0"/>
            <w:vAlign w:val="center"/>
          </w:tcPr>
          <w:p w14:paraId="7FE0F358">
            <w:pPr>
              <w:spacing w:after="0" w:line="360" w:lineRule="auto"/>
              <w:rPr>
                <w:rFonts w:ascii="宋体" w:hAnsi="宋体"/>
                <w:color w:val="auto"/>
                <w:szCs w:val="21"/>
                <w:highlight w:val="none"/>
              </w:rPr>
            </w:pPr>
            <w:r>
              <w:rPr>
                <w:rFonts w:hint="eastAsia" w:ascii="宋体" w:hAnsi="宋体"/>
                <w:color w:val="auto"/>
                <w:szCs w:val="21"/>
                <w:highlight w:val="none"/>
              </w:rPr>
              <w:t>招标人书面澄清的截止时间</w:t>
            </w:r>
          </w:p>
        </w:tc>
        <w:tc>
          <w:tcPr>
            <w:tcW w:w="7291" w:type="dxa"/>
            <w:gridSpan w:val="2"/>
            <w:noWrap w:val="0"/>
            <w:vAlign w:val="center"/>
          </w:tcPr>
          <w:p w14:paraId="17157DE7">
            <w:pPr>
              <w:spacing w:after="0" w:line="360" w:lineRule="auto"/>
              <w:rPr>
                <w:rFonts w:ascii="宋体" w:hAnsi="宋体"/>
                <w:color w:val="auto"/>
                <w:szCs w:val="21"/>
                <w:highlight w:val="none"/>
              </w:rPr>
            </w:pPr>
            <w:r>
              <w:rPr>
                <w:rFonts w:hint="eastAsia" w:ascii="宋体" w:hAnsi="宋体"/>
                <w:color w:val="auto"/>
                <w:szCs w:val="21"/>
                <w:highlight w:val="none"/>
              </w:rPr>
              <w:t>投标截止时间15日前，由招标人以补遗书方式按程序报有关主管部门备案后，提交</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w:t>
            </w:r>
            <w:r>
              <w:rPr>
                <w:rFonts w:hint="eastAsia" w:ascii="宋体" w:hAnsi="宋体"/>
                <w:color w:val="auto"/>
                <w:szCs w:val="21"/>
                <w:highlight w:val="none"/>
              </w:rPr>
              <w:t>统一通过网络向潜在投标人发布，且投标人不须回函确认，所有获取了招标文件的潜在投标人登录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凭企业身份认证数字证书（CA）查看澄清内容。</w:t>
            </w:r>
            <w:r>
              <w:rPr>
                <w:rFonts w:hint="eastAsia" w:ascii="宋体" w:hAnsi="宋体"/>
                <w:color w:val="000000" w:themeColor="text1"/>
                <w:kern w:val="0"/>
                <w:highlight w:val="none"/>
                <w:u w:val="none"/>
                <w14:textFill>
                  <w14:solidFill>
                    <w14:schemeClr w14:val="tx1"/>
                  </w14:solidFill>
                </w14:textFill>
              </w:rPr>
              <w:t>如果澄清发出的时间距投标人须知前附表规定的投标截止时间不足15天，并且澄清内容影响投标文件编制的，应相应延长投标截止时间。</w:t>
            </w:r>
          </w:p>
        </w:tc>
      </w:tr>
      <w:tr w14:paraId="2EF3DB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noWrap w:val="0"/>
            <w:vAlign w:val="center"/>
          </w:tcPr>
          <w:p w14:paraId="0D299BD0">
            <w:pPr>
              <w:spacing w:after="0" w:line="360" w:lineRule="auto"/>
              <w:rPr>
                <w:rFonts w:ascii="宋体" w:hAnsi="宋体"/>
                <w:color w:val="auto"/>
                <w:szCs w:val="21"/>
                <w:highlight w:val="none"/>
              </w:rPr>
            </w:pPr>
            <w:r>
              <w:rPr>
                <w:rFonts w:hint="eastAsia" w:ascii="宋体" w:hAnsi="宋体"/>
                <w:color w:val="auto"/>
                <w:szCs w:val="21"/>
                <w:highlight w:val="none"/>
              </w:rPr>
              <w:t>2.2.3</w:t>
            </w:r>
          </w:p>
        </w:tc>
        <w:tc>
          <w:tcPr>
            <w:tcW w:w="1973" w:type="dxa"/>
            <w:noWrap w:val="0"/>
            <w:vAlign w:val="center"/>
          </w:tcPr>
          <w:p w14:paraId="183C1381">
            <w:pPr>
              <w:spacing w:after="0" w:line="360" w:lineRule="auto"/>
              <w:rPr>
                <w:rFonts w:ascii="宋体" w:hAnsi="宋体"/>
                <w:color w:val="auto"/>
                <w:szCs w:val="21"/>
                <w:highlight w:val="none"/>
              </w:rPr>
            </w:pPr>
            <w:r>
              <w:rPr>
                <w:rFonts w:hint="eastAsia" w:ascii="宋体" w:hAnsi="宋体"/>
                <w:color w:val="auto"/>
                <w:szCs w:val="21"/>
                <w:highlight w:val="none"/>
              </w:rPr>
              <w:t>投标人确认收到招标文件澄清的时间</w:t>
            </w:r>
          </w:p>
        </w:tc>
        <w:tc>
          <w:tcPr>
            <w:tcW w:w="7291" w:type="dxa"/>
            <w:gridSpan w:val="2"/>
            <w:noWrap w:val="0"/>
            <w:vAlign w:val="center"/>
          </w:tcPr>
          <w:p w14:paraId="484D99CD">
            <w:pPr>
              <w:spacing w:after="0" w:line="360" w:lineRule="auto"/>
              <w:rPr>
                <w:rFonts w:ascii="宋体" w:hAnsi="宋体"/>
                <w:color w:val="auto"/>
                <w:szCs w:val="21"/>
                <w:highlight w:val="none"/>
              </w:rPr>
            </w:pPr>
            <w:r>
              <w:rPr>
                <w:rFonts w:hint="eastAsia" w:ascii="宋体" w:hAnsi="宋体" w:cs="宋体"/>
                <w:color w:val="auto"/>
                <w:kern w:val="0"/>
                <w:highlight w:val="none"/>
              </w:rPr>
              <w:t>投标人自行登录</w:t>
            </w:r>
            <w:r>
              <w:rPr>
                <w:rFonts w:hint="eastAsia" w:ascii="宋体" w:hAnsi="宋体" w:eastAsia="宋体" w:cs="宋体"/>
                <w:color w:val="auto"/>
                <w:highlight w:val="none"/>
                <w:lang w:eastAsia="en-US"/>
              </w:rPr>
              <w:t>全国公共资源交易平台(云南省</w:t>
            </w:r>
            <w:r>
              <w:rPr>
                <w:rFonts w:hint="eastAsia" w:ascii="宋体" w:hAnsi="宋体" w:cs="宋体"/>
                <w:color w:val="auto"/>
                <w:highlight w:val="none"/>
                <w:lang w:eastAsia="zh-CN"/>
              </w:rPr>
              <w:t>）</w:t>
            </w:r>
            <w:r>
              <w:rPr>
                <w:rFonts w:hint="eastAsia" w:ascii="宋体" w:hAnsi="宋体" w:eastAsia="宋体" w:cs="宋体"/>
                <w:color w:val="auto"/>
                <w:highlight w:val="none"/>
                <w:lang w:eastAsia="en-US"/>
              </w:rPr>
              <w:t>云南省公共资源交易信息网选择“楚雄州”楚雄州公共资源交易电子服务系统</w:t>
            </w:r>
            <w:r>
              <w:rPr>
                <w:rFonts w:hint="eastAsia" w:ascii="宋体" w:hAnsi="宋体" w:cs="宋体"/>
                <w:color w:val="auto"/>
                <w:kern w:val="0"/>
                <w:highlight w:val="none"/>
              </w:rPr>
              <w:t>获取澄清，无须回复确认已收到该澄清。</w:t>
            </w:r>
          </w:p>
        </w:tc>
      </w:tr>
      <w:tr w14:paraId="0C399C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noWrap w:val="0"/>
            <w:vAlign w:val="center"/>
          </w:tcPr>
          <w:p w14:paraId="23604133">
            <w:pPr>
              <w:spacing w:after="0" w:line="360" w:lineRule="auto"/>
              <w:rPr>
                <w:rFonts w:ascii="宋体" w:hAnsi="宋体"/>
                <w:color w:val="auto"/>
                <w:szCs w:val="21"/>
                <w:highlight w:val="none"/>
              </w:rPr>
            </w:pPr>
            <w:r>
              <w:rPr>
                <w:rFonts w:hint="eastAsia" w:ascii="宋体" w:hAnsi="宋体"/>
                <w:color w:val="auto"/>
                <w:szCs w:val="21"/>
                <w:highlight w:val="none"/>
              </w:rPr>
              <w:t>2.3.2</w:t>
            </w:r>
          </w:p>
        </w:tc>
        <w:tc>
          <w:tcPr>
            <w:tcW w:w="1973" w:type="dxa"/>
            <w:noWrap w:val="0"/>
            <w:vAlign w:val="center"/>
          </w:tcPr>
          <w:p w14:paraId="7BBC0182">
            <w:pPr>
              <w:spacing w:after="0" w:line="360" w:lineRule="auto"/>
              <w:rPr>
                <w:rFonts w:ascii="宋体" w:hAnsi="宋体"/>
                <w:color w:val="auto"/>
                <w:szCs w:val="21"/>
                <w:highlight w:val="none"/>
              </w:rPr>
            </w:pPr>
            <w:r>
              <w:rPr>
                <w:rFonts w:hint="eastAsia" w:ascii="宋体" w:hAnsi="宋体"/>
                <w:color w:val="auto"/>
                <w:szCs w:val="21"/>
                <w:highlight w:val="none"/>
              </w:rPr>
              <w:t>投标人确认收到招标文件修改的时间</w:t>
            </w:r>
          </w:p>
        </w:tc>
        <w:tc>
          <w:tcPr>
            <w:tcW w:w="7291" w:type="dxa"/>
            <w:gridSpan w:val="2"/>
            <w:noWrap w:val="0"/>
            <w:vAlign w:val="center"/>
          </w:tcPr>
          <w:p w14:paraId="4BEC6A19">
            <w:pPr>
              <w:spacing w:after="0" w:line="360" w:lineRule="auto"/>
              <w:rPr>
                <w:rFonts w:ascii="宋体" w:hAnsi="宋体"/>
                <w:color w:val="auto"/>
                <w:szCs w:val="21"/>
                <w:highlight w:val="none"/>
              </w:rPr>
            </w:pPr>
            <w:r>
              <w:rPr>
                <w:rFonts w:hint="eastAsia" w:ascii="宋体" w:hAnsi="宋体" w:cs="宋体"/>
                <w:color w:val="auto"/>
                <w:kern w:val="0"/>
                <w:highlight w:val="none"/>
              </w:rPr>
              <w:t>投标人自行登录</w:t>
            </w:r>
            <w:r>
              <w:rPr>
                <w:rFonts w:hint="eastAsia" w:ascii="宋体" w:hAnsi="宋体" w:eastAsia="宋体" w:cs="宋体"/>
                <w:color w:val="auto"/>
                <w:highlight w:val="none"/>
                <w:lang w:eastAsia="en-US"/>
              </w:rPr>
              <w:t>全国公共资源交易平台(云南省</w:t>
            </w:r>
            <w:r>
              <w:rPr>
                <w:rFonts w:hint="eastAsia" w:ascii="宋体" w:hAnsi="宋体" w:cs="宋体"/>
                <w:color w:val="auto"/>
                <w:highlight w:val="none"/>
                <w:lang w:eastAsia="zh-CN"/>
              </w:rPr>
              <w:t>）</w:t>
            </w:r>
            <w:r>
              <w:rPr>
                <w:rFonts w:hint="eastAsia" w:ascii="宋体" w:hAnsi="宋体" w:eastAsia="宋体" w:cs="宋体"/>
                <w:color w:val="auto"/>
                <w:highlight w:val="none"/>
                <w:lang w:eastAsia="en-US"/>
              </w:rPr>
              <w:t>云南省公共资源交易信息网选择“楚雄州”楚雄州公共资源交易电子服务系统</w:t>
            </w:r>
            <w:r>
              <w:rPr>
                <w:rFonts w:hint="eastAsia" w:ascii="宋体" w:hAnsi="宋体" w:cs="宋体"/>
                <w:color w:val="auto"/>
                <w:kern w:val="0"/>
                <w:highlight w:val="none"/>
              </w:rPr>
              <w:t>获取澄清，无须回复确认已收到该澄清。</w:t>
            </w:r>
          </w:p>
        </w:tc>
      </w:tr>
      <w:tr w14:paraId="32BF9A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29" w:type="dxa"/>
            <w:noWrap w:val="0"/>
            <w:vAlign w:val="center"/>
          </w:tcPr>
          <w:p w14:paraId="2D5D0F87">
            <w:pPr>
              <w:spacing w:after="0" w:line="360" w:lineRule="auto"/>
              <w:rPr>
                <w:rFonts w:ascii="宋体" w:hAnsi="宋体"/>
                <w:color w:val="auto"/>
                <w:szCs w:val="21"/>
                <w:highlight w:val="none"/>
              </w:rPr>
            </w:pPr>
            <w:bookmarkStart w:id="115" w:name="_Toc221950062"/>
            <w:r>
              <w:rPr>
                <w:rFonts w:ascii="宋体" w:hAnsi="宋体"/>
                <w:color w:val="auto"/>
                <w:szCs w:val="21"/>
                <w:highlight w:val="none"/>
              </w:rPr>
              <w:t>3.3</w:t>
            </w:r>
            <w:r>
              <w:rPr>
                <w:rFonts w:hint="eastAsia" w:ascii="宋体" w:hAnsi="宋体"/>
                <w:color w:val="auto"/>
                <w:szCs w:val="21"/>
                <w:highlight w:val="none"/>
              </w:rPr>
              <w:t>.1</w:t>
            </w:r>
            <w:bookmarkEnd w:id="115"/>
          </w:p>
        </w:tc>
        <w:tc>
          <w:tcPr>
            <w:tcW w:w="1973" w:type="dxa"/>
            <w:noWrap w:val="0"/>
            <w:vAlign w:val="center"/>
          </w:tcPr>
          <w:p w14:paraId="520E0E65">
            <w:pPr>
              <w:spacing w:after="0" w:line="360" w:lineRule="auto"/>
              <w:rPr>
                <w:rFonts w:ascii="宋体" w:hAnsi="宋体"/>
                <w:color w:val="auto"/>
                <w:szCs w:val="21"/>
                <w:highlight w:val="none"/>
              </w:rPr>
            </w:pPr>
            <w:bookmarkStart w:id="116" w:name="_Toc221950063"/>
            <w:r>
              <w:rPr>
                <w:rFonts w:ascii="宋体" w:hAnsi="宋体"/>
                <w:color w:val="auto"/>
                <w:szCs w:val="21"/>
                <w:highlight w:val="none"/>
              </w:rPr>
              <w:t>投标有效期</w:t>
            </w:r>
            <w:bookmarkEnd w:id="116"/>
          </w:p>
        </w:tc>
        <w:tc>
          <w:tcPr>
            <w:tcW w:w="7291" w:type="dxa"/>
            <w:gridSpan w:val="2"/>
            <w:noWrap w:val="0"/>
            <w:vAlign w:val="center"/>
          </w:tcPr>
          <w:p w14:paraId="0A35DE8C">
            <w:pPr>
              <w:spacing w:after="0" w:line="360" w:lineRule="auto"/>
              <w:rPr>
                <w:rFonts w:ascii="宋体" w:hAnsi="宋体"/>
                <w:color w:val="auto"/>
                <w:szCs w:val="21"/>
                <w:highlight w:val="none"/>
              </w:rPr>
            </w:pPr>
            <w:r>
              <w:rPr>
                <w:rFonts w:hint="eastAsia" w:ascii="宋体" w:hAnsi="宋体"/>
                <w:color w:val="000000" w:themeColor="text1"/>
                <w:kern w:val="0"/>
                <w:sz w:val="21"/>
                <w:szCs w:val="21"/>
                <w:highlight w:val="none"/>
                <w14:textFill>
                  <w14:solidFill>
                    <w14:schemeClr w14:val="tx1"/>
                  </w14:solidFill>
                </w14:textFill>
              </w:rPr>
              <w:t>投标截止之日起</w:t>
            </w:r>
            <w:r>
              <w:rPr>
                <w:rFonts w:hint="eastAsia" w:ascii="宋体" w:hAnsi="宋体" w:cs="宋体"/>
                <w:color w:val="000000" w:themeColor="text1"/>
                <w:kern w:val="0"/>
                <w:sz w:val="21"/>
                <w:szCs w:val="21"/>
                <w:highlight w:val="none"/>
                <w:lang w:val="zh-CN" w:eastAsia="zh-CN"/>
                <w14:textFill>
                  <w14:solidFill>
                    <w14:schemeClr w14:val="tx1"/>
                  </w14:solidFill>
                </w14:textFill>
              </w:rPr>
              <w:fldChar w:fldCharType="begin"/>
            </w:r>
            <w:r>
              <w:rPr>
                <w:rFonts w:hint="eastAsia" w:ascii="宋体" w:hAnsi="宋体" w:cs="宋体"/>
                <w:color w:val="000000" w:themeColor="text1"/>
                <w:kern w:val="0"/>
                <w:sz w:val="21"/>
                <w:szCs w:val="21"/>
                <w:highlight w:val="none"/>
                <w:lang w:val="zh-CN" w:eastAsia="zh-CN"/>
                <w14:textFill>
                  <w14:solidFill>
                    <w14:schemeClr w14:val="tx1"/>
                  </w14:solidFill>
                </w14:textFill>
              </w:rPr>
              <w:instrText xml:space="preserve"> AUTOTEXT  input170 \* MERGEFORMAT </w:instrText>
            </w:r>
            <w:r>
              <w:rPr>
                <w:rFonts w:hint="eastAsia" w:ascii="宋体" w:hAnsi="宋体" w:cs="宋体"/>
                <w:color w:val="000000" w:themeColor="text1"/>
                <w:kern w:val="0"/>
                <w:sz w:val="21"/>
                <w:szCs w:val="21"/>
                <w:highlight w:val="none"/>
                <w:lang w:val="zh-CN" w:eastAsia="zh-CN"/>
                <w14:textFill>
                  <w14:solidFill>
                    <w14:schemeClr w14:val="tx1"/>
                  </w14:solidFill>
                </w14:textFill>
              </w:rPr>
              <w:fldChar w:fldCharType="separate"/>
            </w:r>
            <w:r>
              <w:rPr>
                <w:rFonts w:hint="eastAsia" w:ascii="宋体" w:hAnsi="宋体" w:cs="宋体"/>
                <w:color w:val="000000" w:themeColor="text1"/>
                <w:kern w:val="0"/>
                <w:sz w:val="21"/>
                <w:szCs w:val="21"/>
                <w:highlight w:val="none"/>
                <w:lang w:val="zh-CN" w:eastAsia="zh-CN"/>
                <w14:textFill>
                  <w14:solidFill>
                    <w14:schemeClr w14:val="tx1"/>
                  </w14:solidFill>
                </w14:textFill>
              </w:rPr>
              <w:t>90</w:t>
            </w:r>
            <w:r>
              <w:rPr>
                <w:rFonts w:hint="eastAsia" w:ascii="宋体" w:hAnsi="宋体" w:cs="宋体"/>
                <w:color w:val="000000" w:themeColor="text1"/>
                <w:kern w:val="0"/>
                <w:sz w:val="21"/>
                <w:szCs w:val="21"/>
                <w:highlight w:val="none"/>
                <w:lang w:val="zh-CN" w:eastAsia="zh-CN"/>
                <w14:textFill>
                  <w14:solidFill>
                    <w14:schemeClr w14:val="tx1"/>
                  </w14:solidFill>
                </w14:textFill>
              </w:rPr>
              <w:fldChar w:fldCharType="end"/>
            </w:r>
            <w:r>
              <w:rPr>
                <w:rFonts w:hint="eastAsia" w:ascii="宋体" w:hAnsi="宋体" w:cs="宋体"/>
                <w:color w:val="000000" w:themeColor="text1"/>
                <w:kern w:val="0"/>
                <w:sz w:val="21"/>
                <w:szCs w:val="21"/>
                <w:highlight w:val="none"/>
                <w14:textFill>
                  <w14:solidFill>
                    <w14:schemeClr w14:val="tx1"/>
                  </w14:solidFill>
                </w14:textFill>
              </w:rPr>
              <w:t>日历天</w:t>
            </w:r>
          </w:p>
        </w:tc>
      </w:tr>
      <w:tr w14:paraId="05AB2F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29" w:type="dxa"/>
            <w:noWrap w:val="0"/>
            <w:vAlign w:val="center"/>
          </w:tcPr>
          <w:p w14:paraId="7F0E0534">
            <w:pPr>
              <w:spacing w:after="0" w:line="360" w:lineRule="auto"/>
              <w:rPr>
                <w:rFonts w:ascii="宋体" w:hAnsi="宋体"/>
                <w:color w:val="auto"/>
                <w:szCs w:val="21"/>
                <w:highlight w:val="none"/>
              </w:rPr>
            </w:pPr>
            <w:bookmarkStart w:id="117" w:name="_Toc221950064"/>
            <w:r>
              <w:rPr>
                <w:rFonts w:ascii="宋体" w:hAnsi="宋体"/>
                <w:color w:val="auto"/>
                <w:szCs w:val="21"/>
                <w:highlight w:val="none"/>
              </w:rPr>
              <w:t>3.4.1</w:t>
            </w:r>
            <w:bookmarkEnd w:id="117"/>
          </w:p>
        </w:tc>
        <w:tc>
          <w:tcPr>
            <w:tcW w:w="1973" w:type="dxa"/>
            <w:noWrap w:val="0"/>
            <w:vAlign w:val="center"/>
          </w:tcPr>
          <w:p w14:paraId="3F0A0409">
            <w:pPr>
              <w:spacing w:after="0" w:line="360" w:lineRule="auto"/>
              <w:rPr>
                <w:rFonts w:ascii="宋体" w:hAnsi="宋体"/>
                <w:color w:val="auto"/>
                <w:szCs w:val="21"/>
                <w:highlight w:val="none"/>
              </w:rPr>
            </w:pPr>
            <w:bookmarkStart w:id="118" w:name="_Toc221950065"/>
            <w:r>
              <w:rPr>
                <w:rFonts w:ascii="宋体" w:hAnsi="宋体"/>
                <w:color w:val="auto"/>
                <w:szCs w:val="21"/>
                <w:highlight w:val="none"/>
              </w:rPr>
              <w:t>投标保证金</w:t>
            </w:r>
            <w:bookmarkEnd w:id="118"/>
          </w:p>
        </w:tc>
        <w:tc>
          <w:tcPr>
            <w:tcW w:w="7291" w:type="dxa"/>
            <w:gridSpan w:val="2"/>
            <w:noWrap w:val="0"/>
            <w:vAlign w:val="center"/>
          </w:tcPr>
          <w:p w14:paraId="1595CC86">
            <w:pPr>
              <w:topLinePunct/>
              <w:adjustRightInd w:val="0"/>
              <w:snapToGrid w:val="0"/>
              <w:spacing w:after="0" w:line="360" w:lineRule="auto"/>
              <w:rPr>
                <w:rFonts w:ascii="宋体" w:hAnsi="宋体"/>
                <w:color w:val="auto"/>
                <w:kern w:val="0"/>
                <w:szCs w:val="21"/>
                <w:highlight w:val="none"/>
              </w:rPr>
            </w:pPr>
            <w:r>
              <w:rPr>
                <w:color w:val="auto"/>
                <w:highlight w:val="none"/>
              </w:rPr>
              <w:fldChar w:fldCharType="begin"/>
            </w:r>
            <w:r>
              <w:rPr>
                <w:color w:val="auto"/>
                <w:highlight w:val="none"/>
              </w:rPr>
              <w:instrText xml:space="preserve"> AUTOTEXT  input142 \* MERGEFORMAT </w:instrText>
            </w:r>
            <w:r>
              <w:rPr>
                <w:color w:val="auto"/>
                <w:highlight w:val="none"/>
              </w:rPr>
              <w:fldChar w:fldCharType="separate"/>
            </w:r>
            <w:r>
              <w:rPr>
                <w:rFonts w:hint="eastAsia" w:ascii="宋体" w:hAnsi="宋体"/>
                <w:color w:val="auto"/>
                <w:kern w:val="0"/>
                <w:szCs w:val="21"/>
                <w:highlight w:val="none"/>
              </w:rPr>
              <w:t>□</w:t>
            </w:r>
            <w:r>
              <w:rPr>
                <w:rFonts w:ascii="宋体" w:hAnsi="宋体"/>
                <w:color w:val="auto"/>
                <w:kern w:val="0"/>
                <w:szCs w:val="21"/>
                <w:highlight w:val="none"/>
              </w:rPr>
              <w:fldChar w:fldCharType="end"/>
            </w:r>
            <w:r>
              <w:rPr>
                <w:rFonts w:hint="eastAsia" w:ascii="宋体" w:hAnsi="宋体"/>
                <w:color w:val="auto"/>
                <w:kern w:val="0"/>
                <w:szCs w:val="21"/>
                <w:highlight w:val="none"/>
              </w:rPr>
              <w:t>不要求递交投标保证金</w:t>
            </w:r>
          </w:p>
          <w:p w14:paraId="6E98B988">
            <w:pPr>
              <w:adjustRightInd w:val="0"/>
              <w:snapToGrid w:val="0"/>
              <w:spacing w:after="0" w:line="360" w:lineRule="auto"/>
              <w:rPr>
                <w:rFonts w:ascii="宋体" w:hAnsi="宋体"/>
                <w:color w:val="auto"/>
                <w:kern w:val="0"/>
                <w:szCs w:val="21"/>
                <w:highlight w:val="none"/>
              </w:rPr>
            </w:pPr>
            <w:r>
              <w:rPr>
                <w:color w:val="auto"/>
                <w:highlight w:val="none"/>
              </w:rPr>
              <w:fldChar w:fldCharType="begin"/>
            </w:r>
            <w:r>
              <w:rPr>
                <w:color w:val="auto"/>
                <w:highlight w:val="none"/>
              </w:rPr>
              <w:instrText xml:space="preserve"> AUTOTEXT  input142 \* MERGEFORMAT </w:instrText>
            </w:r>
            <w:r>
              <w:rPr>
                <w:color w:val="auto"/>
                <w:highlight w:val="none"/>
              </w:rPr>
              <w:fldChar w:fldCharType="separate"/>
            </w:r>
            <w:r>
              <w:rPr>
                <w:rFonts w:ascii="Arial Unicode MS" w:hAnsi="Arial Unicode MS" w:cs="Arial Unicode MS"/>
                <w:color w:val="auto"/>
                <w:kern w:val="0"/>
                <w:szCs w:val="21"/>
                <w:highlight w:val="none"/>
              </w:rPr>
              <w:t>☑</w:t>
            </w:r>
            <w:r>
              <w:rPr>
                <w:rFonts w:ascii="Arial Unicode MS" w:hAnsi="Arial Unicode MS" w:cs="Arial Unicode MS"/>
                <w:color w:val="auto"/>
                <w:kern w:val="0"/>
                <w:szCs w:val="21"/>
                <w:highlight w:val="none"/>
              </w:rPr>
              <w:fldChar w:fldCharType="end"/>
            </w:r>
            <w:r>
              <w:rPr>
                <w:rFonts w:hint="eastAsia" w:ascii="宋体" w:hAnsi="宋体"/>
                <w:color w:val="auto"/>
                <w:kern w:val="0"/>
                <w:szCs w:val="21"/>
                <w:highlight w:val="none"/>
              </w:rPr>
              <w:t>要求递交投标保证金</w:t>
            </w:r>
          </w:p>
          <w:p w14:paraId="098478DE">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本项目为政府投资项目，招标金额</w:t>
            </w:r>
            <w:r>
              <w:rPr>
                <w:rFonts w:hint="eastAsia" w:asciiTheme="minorEastAsia" w:hAnsiTheme="minorEastAsia" w:eastAsiaTheme="minorEastAsia" w:cstheme="minorEastAsia"/>
                <w:b w:val="0"/>
                <w:bCs w:val="0"/>
                <w:color w:val="auto"/>
                <w:sz w:val="21"/>
                <w:szCs w:val="21"/>
                <w:highlight w:val="none"/>
                <w:lang w:val="en-US" w:eastAsia="zh-CN"/>
              </w:rPr>
              <w:t>第一标段478.00万元，第二标段465.42万元，第三标段447.74万元，第四标段459.68万元</w:t>
            </w:r>
            <w:r>
              <w:rPr>
                <w:rFonts w:hint="eastAsia" w:ascii="宋体" w:hAnsi="宋体" w:eastAsia="宋体" w:cs="宋体"/>
                <w:color w:val="auto"/>
                <w:kern w:val="0"/>
                <w:highlight w:val="none"/>
                <w:lang w:val="en-US" w:eastAsia="zh-CN"/>
              </w:rPr>
              <w:t>。根据投标保证金减免相关规定，对本项目投标保证金给予减免。投标人根据自身情况自行选择确定享受免于收取、降低收取数额等政策。选择享受降低收取数额政策的，投标人可采用保险保函、银行转账任一形式缴纳投标保证金。</w:t>
            </w:r>
          </w:p>
          <w:p w14:paraId="304D3B7D">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（一）</w:t>
            </w:r>
            <w:r>
              <w:rPr>
                <w:rFonts w:hint="eastAsia" w:ascii="宋体" w:hAnsi="宋体" w:eastAsia="宋体" w:cs="宋体"/>
                <w:color w:val="auto"/>
                <w:kern w:val="0"/>
                <w:highlight w:val="none"/>
              </w:rPr>
              <w:t>降低收取金额。按照投标保证金不得超过招标项目估算价的2%的规定，现落实减免投标保证金降幅不得低于现收取金额的50%的政策要求，</w:t>
            </w:r>
          </w:p>
          <w:p w14:paraId="16AF8ECD">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（一标段）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9.56</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68</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71B78047">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（二标段）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9.30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67</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0003EFAD">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（三标段）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8.95</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66</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6B54A608">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（四标段）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9.19</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67</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3A70722A">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en-US" w:eastAsia="zh-CN"/>
              </w:rPr>
              <w:t>（二）</w:t>
            </w:r>
            <w:r>
              <w:rPr>
                <w:rFonts w:hint="eastAsia" w:ascii="宋体" w:hAnsi="宋体" w:eastAsia="宋体" w:cs="宋体"/>
                <w:color w:val="auto"/>
                <w:kern w:val="0"/>
                <w:highlight w:val="none"/>
              </w:rPr>
              <w:t>免于收取情况。</w:t>
            </w:r>
            <w:r>
              <w:rPr>
                <w:rFonts w:hint="eastAsia" w:ascii="宋体" w:hAnsi="宋体" w:eastAsia="宋体" w:cs="宋体"/>
                <w:color w:val="auto"/>
                <w:kern w:val="0"/>
                <w:highlight w:val="none"/>
                <w:lang w:val="en-US" w:eastAsia="zh-CN"/>
              </w:rPr>
              <w:t>本项目</w:t>
            </w:r>
            <w:r>
              <w:rPr>
                <w:rFonts w:hint="eastAsia" w:ascii="宋体" w:hAnsi="宋体" w:eastAsia="宋体" w:cs="宋体"/>
                <w:color w:val="auto"/>
                <w:kern w:val="0"/>
                <w:highlight w:val="none"/>
              </w:rPr>
              <w:t>免于收取无失信记录企业投标保证金。无失信记录的投标人需登录信用中国等网站，对照招标文件要求自行下载相关信用信息并按要求上传至系统。开标后，将组织对投标人提交的无失信记录信息进行核验。如发现上传信息错误、存在失信记录等情况的，将不予受理通过，相关后果将由投标人自行承担。</w:t>
            </w:r>
          </w:p>
          <w:p w14:paraId="45AECFA6">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lang w:val="en-US" w:eastAsia="zh-CN"/>
              </w:rPr>
              <w:t>三</w:t>
            </w:r>
            <w:r>
              <w:rPr>
                <w:rFonts w:hint="eastAsia" w:ascii="宋体" w:hAnsi="宋体" w:eastAsia="宋体" w:cs="宋体"/>
                <w:color w:val="auto"/>
                <w:kern w:val="0"/>
                <w:highlight w:val="none"/>
                <w:lang w:val="zh-CN"/>
              </w:rPr>
              <w:t>）银行转账。投标人使用注册企业数字证书 (CA)时提供的基本账户，向本项目交易保证金账户转账，收款银行及(动态)账号如下。</w:t>
            </w:r>
            <w:r>
              <w:rPr>
                <w:rFonts w:hint="eastAsia" w:ascii="宋体" w:hAnsi="宋体" w:eastAsia="宋体" w:cs="宋体"/>
                <w:color w:val="auto"/>
                <w:kern w:val="0"/>
                <w:highlight w:val="none"/>
                <w:lang w:val="en-US" w:eastAsia="zh-CN"/>
              </w:rPr>
              <w:t xml:space="preserve">  </w:t>
            </w:r>
          </w:p>
          <w:p w14:paraId="5FE400CF">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（一标段）</w:t>
            </w:r>
          </w:p>
          <w:p w14:paraId="68EB4AFB">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59443BFB">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6E63B984">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账号：</w:t>
            </w:r>
          </w:p>
          <w:p w14:paraId="05EBD04F">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（二标段）</w:t>
            </w:r>
          </w:p>
          <w:p w14:paraId="7778EB36">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7A14C954">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2C4BF349">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eastAsia="zh-CN"/>
              </w:rPr>
              <w:t>账号：</w:t>
            </w:r>
          </w:p>
          <w:p w14:paraId="1F5141F4">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（三标段）</w:t>
            </w:r>
          </w:p>
          <w:p w14:paraId="232A01EB">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52C208AC">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36F983BC">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eastAsia="zh-CN"/>
              </w:rPr>
              <w:t>账号：</w:t>
            </w:r>
          </w:p>
          <w:p w14:paraId="3E15E177">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（四标段）</w:t>
            </w:r>
          </w:p>
          <w:p w14:paraId="5F78B139">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15C19418">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1C4AAE62">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账号：</w:t>
            </w:r>
          </w:p>
          <w:p w14:paraId="240D2F86">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rPr>
              <w:t>转账成功后，登录交易服务系统，进入“我的项目—选择我确认投标的项目—缴纳保证金—确认投标保证金—保证金”，按系统指引确认绑定。绑定后打印保证金缴纳回执，将保证金缴纳回执、银行付款回单附于投标文件中。</w:t>
            </w:r>
          </w:p>
          <w:p w14:paraId="3BAEB783">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四）保险保函。登录交易服务系统，进入“我的项目—选择我确认投标的项目—缴纳保证金—确认投标保证金—电子保险保函—购买保险保函”，按系统指引从云南省公共资源交易电子保函服务系统购买电子保险保函。购买成功后下载保单并附于投标文件中。</w:t>
            </w:r>
          </w:p>
          <w:p w14:paraId="0F394E7A">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若投标人线下购买保函（保证保险），开标时开标一览表中会显示保证金未缴纳，需由招标人或其委托的招标代理机构现场通知投标人，在异议菜单栏上传纸质保函（保证保险）扫描件等相关证明材料。经招标人或其委托的招标代理机构现场确认后修改开标一览表中保证金缴纳状态。</w:t>
            </w:r>
          </w:p>
          <w:p w14:paraId="059D9126">
            <w:pPr>
              <w:pStyle w:val="2"/>
              <w:numPr>
                <w:ilvl w:val="0"/>
                <w:numId w:val="4"/>
              </w:numPr>
              <w:rPr>
                <w:rFonts w:hint="eastAsia"/>
              </w:rPr>
            </w:pPr>
            <w:r>
              <w:rPr>
                <w:rFonts w:hint="eastAsia" w:ascii="宋体" w:hAnsi="宋体" w:cs="宋体"/>
                <w:color w:val="auto"/>
                <w:kern w:val="0"/>
                <w:sz w:val="21"/>
                <w:szCs w:val="24"/>
                <w:highlight w:val="none"/>
                <w:lang w:val="en-US" w:eastAsia="zh-CN" w:bidi="ar-SA"/>
              </w:rPr>
              <w:t>投标</w:t>
            </w:r>
            <w:r>
              <w:rPr>
                <w:rFonts w:hint="eastAsia" w:ascii="宋体" w:hAnsi="宋体" w:eastAsia="宋体" w:cs="宋体"/>
                <w:color w:val="auto"/>
                <w:kern w:val="0"/>
                <w:sz w:val="21"/>
                <w:szCs w:val="24"/>
                <w:highlight w:val="none"/>
                <w:lang w:val="en-US" w:eastAsia="zh-CN" w:bidi="ar-SA"/>
              </w:rPr>
              <w:t>保证金退还</w:t>
            </w:r>
            <w:r>
              <w:rPr>
                <w:rFonts w:hint="eastAsia" w:ascii="宋体" w:hAnsi="宋体" w:cs="宋体"/>
                <w:color w:val="auto"/>
                <w:kern w:val="0"/>
                <w:sz w:val="21"/>
                <w:szCs w:val="24"/>
                <w:highlight w:val="none"/>
                <w:lang w:val="en-US" w:eastAsia="zh-CN" w:bidi="ar-SA"/>
              </w:rPr>
              <w:t>：</w:t>
            </w:r>
            <w:r>
              <w:rPr>
                <w:rFonts w:hint="eastAsia" w:ascii="宋体" w:hAnsi="宋体" w:eastAsia="宋体" w:cs="宋体"/>
                <w:color w:val="auto"/>
                <w:kern w:val="0"/>
                <w:sz w:val="21"/>
                <w:szCs w:val="24"/>
                <w:highlight w:val="none"/>
                <w:lang w:val="en-US" w:eastAsia="zh-CN" w:bidi="ar-SA"/>
              </w:rPr>
              <w:t>投标保证金退还到投标人的基本账户(仅限于转账或电汇的情形)未中标人投标保证金的退还时间为在中标通知书发出后5日内，一次性退还未中标人投标保证金及同期银行存款利息。中标人投标保证金退还时间为合同签订后5日内，一次性退还中标人投标保证金及同期银行存款利息。</w:t>
            </w:r>
          </w:p>
        </w:tc>
      </w:tr>
      <w:tr w14:paraId="3B005B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929" w:type="dxa"/>
            <w:noWrap w:val="0"/>
            <w:vAlign w:val="center"/>
          </w:tcPr>
          <w:p w14:paraId="404C15A5">
            <w:pPr>
              <w:spacing w:after="0" w:line="360" w:lineRule="auto"/>
              <w:rPr>
                <w:rFonts w:ascii="宋体" w:hAnsi="宋体"/>
                <w:color w:val="auto"/>
                <w:szCs w:val="21"/>
                <w:highlight w:val="none"/>
              </w:rPr>
            </w:pPr>
            <w:r>
              <w:rPr>
                <w:rFonts w:hint="eastAsia" w:ascii="宋体" w:hAnsi="宋体"/>
                <w:color w:val="auto"/>
                <w:szCs w:val="21"/>
                <w:highlight w:val="none"/>
              </w:rPr>
              <w:t>3.6</w:t>
            </w:r>
          </w:p>
        </w:tc>
        <w:tc>
          <w:tcPr>
            <w:tcW w:w="1973" w:type="dxa"/>
            <w:noWrap w:val="0"/>
            <w:vAlign w:val="center"/>
          </w:tcPr>
          <w:p w14:paraId="4DC5E9BA">
            <w:pPr>
              <w:spacing w:after="0" w:line="360" w:lineRule="auto"/>
              <w:rPr>
                <w:rFonts w:ascii="宋体" w:hAnsi="宋体"/>
                <w:color w:val="auto"/>
                <w:szCs w:val="21"/>
                <w:highlight w:val="none"/>
              </w:rPr>
            </w:pPr>
            <w:r>
              <w:rPr>
                <w:rFonts w:hint="eastAsia" w:ascii="宋体" w:hAnsi="宋体"/>
                <w:color w:val="auto"/>
                <w:szCs w:val="21"/>
                <w:highlight w:val="none"/>
              </w:rPr>
              <w:t>是否允许递交备选投标方案</w:t>
            </w:r>
          </w:p>
        </w:tc>
        <w:tc>
          <w:tcPr>
            <w:tcW w:w="7291" w:type="dxa"/>
            <w:gridSpan w:val="2"/>
            <w:noWrap w:val="0"/>
            <w:vAlign w:val="center"/>
          </w:tcPr>
          <w:p w14:paraId="4390091C">
            <w:pPr>
              <w:spacing w:after="0" w:line="360" w:lineRule="auto"/>
              <w:rPr>
                <w:rFonts w:hint="eastAsia"/>
                <w:color w:val="auto"/>
                <w:highlight w:val="none"/>
              </w:rPr>
            </w:pPr>
            <w:r>
              <w:rPr>
                <w:rFonts w:hint="eastAsia" w:ascii="宋体" w:hAnsi="宋体"/>
                <w:color w:val="auto"/>
                <w:szCs w:val="21"/>
                <w:highlight w:val="none"/>
              </w:rPr>
              <w:t>不允许</w:t>
            </w:r>
          </w:p>
        </w:tc>
      </w:tr>
      <w:tr w14:paraId="46D067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599AB3F1">
            <w:pPr>
              <w:spacing w:after="0" w:line="360" w:lineRule="auto"/>
              <w:rPr>
                <w:rFonts w:ascii="宋体" w:hAnsi="宋体"/>
                <w:color w:val="auto"/>
                <w:szCs w:val="21"/>
                <w:highlight w:val="none"/>
              </w:rPr>
            </w:pPr>
            <w:r>
              <w:rPr>
                <w:rFonts w:hint="eastAsia" w:ascii="宋体" w:hAnsi="宋体"/>
                <w:color w:val="auto"/>
                <w:szCs w:val="21"/>
                <w:highlight w:val="none"/>
              </w:rPr>
              <w:t>3.7.3</w:t>
            </w:r>
          </w:p>
        </w:tc>
        <w:tc>
          <w:tcPr>
            <w:tcW w:w="1973" w:type="dxa"/>
            <w:noWrap w:val="0"/>
            <w:vAlign w:val="center"/>
          </w:tcPr>
          <w:p w14:paraId="2064C227">
            <w:pPr>
              <w:spacing w:after="0" w:line="360" w:lineRule="auto"/>
              <w:contextualSpacing/>
              <w:rPr>
                <w:rFonts w:ascii="宋体" w:hAnsi="宋体"/>
                <w:color w:val="auto"/>
                <w:szCs w:val="21"/>
                <w:highlight w:val="none"/>
              </w:rPr>
            </w:pPr>
            <w:r>
              <w:rPr>
                <w:rFonts w:hint="eastAsia" w:ascii="宋体" w:hAnsi="宋体"/>
                <w:color w:val="auto"/>
                <w:kern w:val="0"/>
                <w:szCs w:val="21"/>
                <w:highlight w:val="none"/>
              </w:rPr>
              <w:t>投标文件电子签章及电子签名</w:t>
            </w:r>
            <w:r>
              <w:rPr>
                <w:rFonts w:ascii="宋体" w:hAnsi="宋体"/>
                <w:color w:val="auto"/>
                <w:kern w:val="0"/>
                <w:szCs w:val="21"/>
                <w:highlight w:val="none"/>
              </w:rPr>
              <w:t>要求</w:t>
            </w:r>
          </w:p>
        </w:tc>
        <w:tc>
          <w:tcPr>
            <w:tcW w:w="7291" w:type="dxa"/>
            <w:gridSpan w:val="2"/>
            <w:noWrap w:val="0"/>
            <w:vAlign w:val="center"/>
          </w:tcPr>
          <w:p w14:paraId="6AA7A5F0">
            <w:pPr>
              <w:spacing w:after="0" w:line="360" w:lineRule="auto"/>
              <w:contextualSpacing/>
              <w:rPr>
                <w:rFonts w:ascii="宋体" w:hAnsi="宋体"/>
                <w:snapToGrid w:val="0"/>
                <w:color w:val="auto"/>
                <w:kern w:val="0"/>
                <w:szCs w:val="21"/>
                <w:highlight w:val="none"/>
              </w:rPr>
            </w:pPr>
            <w:r>
              <w:rPr>
                <w:rFonts w:hint="eastAsia" w:ascii="宋体" w:hAnsi="宋体"/>
                <w:bCs/>
                <w:color w:val="auto"/>
                <w:szCs w:val="21"/>
                <w:highlight w:val="none"/>
              </w:rPr>
              <w:t>按照</w:t>
            </w:r>
            <w:r>
              <w:rPr>
                <w:rFonts w:hint="eastAsia" w:ascii="宋体" w:hAnsi="宋体"/>
                <w:bCs/>
                <w:color w:val="auto"/>
                <w:szCs w:val="21"/>
                <w:highlight w:val="none"/>
                <w:lang w:eastAsia="zh-CN"/>
              </w:rPr>
              <w:t>招</w:t>
            </w:r>
            <w:r>
              <w:rPr>
                <w:rFonts w:hint="eastAsia" w:ascii="宋体" w:hAnsi="宋体"/>
                <w:bCs/>
                <w:color w:val="auto"/>
                <w:szCs w:val="21"/>
                <w:highlight w:val="none"/>
              </w:rPr>
              <w:t>标文件格式</w:t>
            </w:r>
            <w:r>
              <w:rPr>
                <w:rFonts w:hint="eastAsia" w:ascii="宋体" w:hAnsi="宋体"/>
                <w:bCs/>
                <w:color w:val="auto"/>
                <w:szCs w:val="21"/>
                <w:highlight w:val="none"/>
                <w:lang w:eastAsia="zh-CN"/>
              </w:rPr>
              <w:t>要求</w:t>
            </w:r>
            <w:r>
              <w:rPr>
                <w:rFonts w:hint="eastAsia" w:ascii="宋体" w:hAnsi="宋体"/>
                <w:bCs/>
                <w:color w:val="auto"/>
                <w:szCs w:val="21"/>
                <w:highlight w:val="none"/>
              </w:rPr>
              <w:t>签章及签名。</w:t>
            </w:r>
          </w:p>
        </w:tc>
      </w:tr>
      <w:tr w14:paraId="12B48D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29" w:type="dxa"/>
            <w:noWrap w:val="0"/>
            <w:vAlign w:val="center"/>
          </w:tcPr>
          <w:p w14:paraId="35697794">
            <w:pPr>
              <w:spacing w:after="0" w:line="360" w:lineRule="auto"/>
              <w:rPr>
                <w:rFonts w:ascii="宋体" w:hAnsi="宋体"/>
                <w:color w:val="auto"/>
                <w:szCs w:val="21"/>
                <w:highlight w:val="none"/>
              </w:rPr>
            </w:pPr>
            <w:r>
              <w:rPr>
                <w:rFonts w:hint="eastAsia" w:ascii="宋体" w:hAnsi="宋体"/>
                <w:color w:val="auto"/>
                <w:szCs w:val="21"/>
                <w:highlight w:val="none"/>
              </w:rPr>
              <w:t>3.7.4</w:t>
            </w:r>
          </w:p>
        </w:tc>
        <w:tc>
          <w:tcPr>
            <w:tcW w:w="1973" w:type="dxa"/>
            <w:noWrap w:val="0"/>
            <w:vAlign w:val="center"/>
          </w:tcPr>
          <w:p w14:paraId="1D47786D">
            <w:pPr>
              <w:spacing w:after="0" w:line="360" w:lineRule="auto"/>
              <w:rPr>
                <w:rFonts w:ascii="宋体" w:hAnsi="宋体"/>
                <w:color w:val="auto"/>
                <w:szCs w:val="21"/>
                <w:highlight w:val="none"/>
              </w:rPr>
            </w:pPr>
            <w:r>
              <w:rPr>
                <w:rFonts w:hint="eastAsia" w:ascii="宋体" w:hAnsi="宋体"/>
                <w:color w:val="auto"/>
                <w:szCs w:val="21"/>
                <w:highlight w:val="none"/>
              </w:rPr>
              <w:t>投标文件</w:t>
            </w:r>
            <w:r>
              <w:rPr>
                <w:rFonts w:hint="eastAsia" w:ascii="宋体" w:hAnsi="宋体"/>
                <w:bCs/>
                <w:color w:val="auto"/>
                <w:szCs w:val="21"/>
                <w:highlight w:val="none"/>
              </w:rPr>
              <w:t>递交及有关内容</w:t>
            </w:r>
          </w:p>
        </w:tc>
        <w:tc>
          <w:tcPr>
            <w:tcW w:w="7291" w:type="dxa"/>
            <w:gridSpan w:val="2"/>
            <w:noWrap w:val="0"/>
            <w:vAlign w:val="center"/>
          </w:tcPr>
          <w:p w14:paraId="3EE78E9A">
            <w:pPr>
              <w:pStyle w:val="105"/>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textAlignment w:val="auto"/>
              <w:outlineLvl w:val="9"/>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网上递交：网上递交网址为全国公共资源交易平台(云南省）云南省公共资源交易信息网选择“楚雄州”楚雄州公共资源交易电子服务系统，投标人须在投标截止时间前完成所有投标文件的上传，网上确认电子签名，并打印“上传投标文件回执”，投标截止时间前未完成投标文件传输的，视为撤回投标文件。</w:t>
            </w:r>
          </w:p>
          <w:p w14:paraId="286526A6">
            <w:pPr>
              <w:pStyle w:val="105"/>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textAlignment w:val="auto"/>
              <w:outlineLvl w:val="9"/>
              <w:rPr>
                <w:rFonts w:ascii="宋体" w:hAnsi="宋体"/>
                <w:snapToGrid w:val="0"/>
                <w:color w:val="auto"/>
                <w:kern w:val="0"/>
                <w:szCs w:val="21"/>
                <w:highlight w:val="none"/>
              </w:rPr>
            </w:pPr>
            <w:r>
              <w:rPr>
                <w:rFonts w:hint="eastAsia" w:ascii="宋体" w:hAnsi="宋体" w:eastAsia="宋体" w:cs="Times New Roman"/>
                <w:color w:val="auto"/>
                <w:kern w:val="2"/>
                <w:sz w:val="21"/>
                <w:szCs w:val="21"/>
                <w:highlight w:val="none"/>
                <w:lang w:val="en-US" w:eastAsia="zh-CN" w:bidi="ar-SA"/>
              </w:rPr>
              <w:t>2.纸质文件递交：投标人中标后须提交2份与网上上传的电子投标文件完全一致的纸质标书给招标人。</w:t>
            </w:r>
          </w:p>
        </w:tc>
      </w:tr>
      <w:tr w14:paraId="349E9C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noWrap w:val="0"/>
            <w:vAlign w:val="center"/>
          </w:tcPr>
          <w:p w14:paraId="7981A24D">
            <w:pPr>
              <w:spacing w:after="0" w:line="360" w:lineRule="auto"/>
              <w:rPr>
                <w:rFonts w:ascii="宋体" w:hAnsi="宋体"/>
                <w:color w:val="auto"/>
                <w:szCs w:val="21"/>
                <w:highlight w:val="none"/>
              </w:rPr>
            </w:pPr>
            <w:r>
              <w:rPr>
                <w:rFonts w:hint="eastAsia" w:ascii="宋体" w:hAnsi="宋体"/>
                <w:color w:val="auto"/>
                <w:szCs w:val="21"/>
                <w:highlight w:val="none"/>
              </w:rPr>
              <w:t>4.2.2</w:t>
            </w:r>
          </w:p>
        </w:tc>
        <w:tc>
          <w:tcPr>
            <w:tcW w:w="1973" w:type="dxa"/>
            <w:noWrap w:val="0"/>
            <w:vAlign w:val="center"/>
          </w:tcPr>
          <w:p w14:paraId="75341E0E">
            <w:pPr>
              <w:spacing w:after="0" w:line="360" w:lineRule="auto"/>
              <w:rPr>
                <w:rFonts w:ascii="宋体" w:hAnsi="宋体"/>
                <w:color w:val="auto"/>
                <w:szCs w:val="21"/>
                <w:highlight w:val="none"/>
              </w:rPr>
            </w:pPr>
            <w:r>
              <w:rPr>
                <w:rFonts w:hint="eastAsia" w:ascii="宋体" w:hAnsi="宋体"/>
                <w:color w:val="auto"/>
                <w:szCs w:val="21"/>
                <w:highlight w:val="none"/>
              </w:rPr>
              <w:t>递交投标文件地点</w:t>
            </w:r>
          </w:p>
        </w:tc>
        <w:tc>
          <w:tcPr>
            <w:tcW w:w="7291" w:type="dxa"/>
            <w:gridSpan w:val="2"/>
            <w:noWrap w:val="0"/>
            <w:vAlign w:val="center"/>
          </w:tcPr>
          <w:p w14:paraId="287A819A">
            <w:pPr>
              <w:pStyle w:val="23"/>
              <w:topLinePunct/>
              <w:spacing w:after="0" w:line="360" w:lineRule="auto"/>
              <w:rPr>
                <w:rFonts w:hAnsi="宋体"/>
                <w:b/>
                <w:color w:val="auto"/>
                <w:kern w:val="2"/>
                <w:sz w:val="21"/>
                <w:szCs w:val="21"/>
                <w:highlight w:val="none"/>
                <w:lang w:val="en-US"/>
              </w:rPr>
            </w:pPr>
            <w:r>
              <w:rPr>
                <w:rFonts w:hint="eastAsia" w:hAnsi="宋体"/>
                <w:b/>
                <w:color w:val="auto"/>
                <w:kern w:val="2"/>
                <w:sz w:val="21"/>
                <w:szCs w:val="21"/>
                <w:highlight w:val="none"/>
                <w:lang w:val="en-US"/>
              </w:rPr>
              <w:t>本项目采用网上开标远程解密方式。</w:t>
            </w:r>
          </w:p>
        </w:tc>
      </w:tr>
      <w:tr w14:paraId="5E2563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29" w:type="dxa"/>
            <w:noWrap w:val="0"/>
            <w:vAlign w:val="center"/>
          </w:tcPr>
          <w:p w14:paraId="068C97BC">
            <w:pPr>
              <w:spacing w:after="0" w:line="360" w:lineRule="auto"/>
              <w:rPr>
                <w:rFonts w:ascii="宋体" w:hAnsi="宋体"/>
                <w:color w:val="auto"/>
                <w:szCs w:val="21"/>
                <w:highlight w:val="none"/>
              </w:rPr>
            </w:pPr>
            <w:r>
              <w:rPr>
                <w:rFonts w:hint="eastAsia" w:ascii="宋体" w:hAnsi="宋体"/>
                <w:color w:val="auto"/>
                <w:szCs w:val="21"/>
                <w:highlight w:val="none"/>
              </w:rPr>
              <w:t>4.2.3</w:t>
            </w:r>
          </w:p>
        </w:tc>
        <w:tc>
          <w:tcPr>
            <w:tcW w:w="1973" w:type="dxa"/>
            <w:noWrap w:val="0"/>
            <w:vAlign w:val="center"/>
          </w:tcPr>
          <w:p w14:paraId="29790365">
            <w:pPr>
              <w:spacing w:after="0" w:line="360" w:lineRule="auto"/>
              <w:rPr>
                <w:rFonts w:ascii="宋体" w:hAnsi="宋体"/>
                <w:color w:val="auto"/>
                <w:szCs w:val="21"/>
                <w:highlight w:val="none"/>
              </w:rPr>
            </w:pPr>
            <w:r>
              <w:rPr>
                <w:rFonts w:hint="eastAsia" w:ascii="宋体" w:hAnsi="宋体"/>
                <w:color w:val="auto"/>
                <w:szCs w:val="21"/>
                <w:highlight w:val="none"/>
              </w:rPr>
              <w:t>是否退还投标文件</w:t>
            </w:r>
          </w:p>
        </w:tc>
        <w:tc>
          <w:tcPr>
            <w:tcW w:w="7291" w:type="dxa"/>
            <w:gridSpan w:val="2"/>
            <w:noWrap w:val="0"/>
            <w:vAlign w:val="center"/>
          </w:tcPr>
          <w:p w14:paraId="05A6652B">
            <w:pPr>
              <w:spacing w:after="0" w:line="360" w:lineRule="auto"/>
              <w:rPr>
                <w:rFonts w:ascii="宋体" w:hAnsi="宋体"/>
                <w:color w:val="auto"/>
                <w:szCs w:val="21"/>
                <w:highlight w:val="none"/>
              </w:rPr>
            </w:pPr>
            <w:r>
              <w:rPr>
                <w:rFonts w:hint="eastAsia" w:ascii="宋体" w:hAnsi="宋体"/>
                <w:color w:val="auto"/>
                <w:szCs w:val="21"/>
                <w:highlight w:val="none"/>
              </w:rPr>
              <w:t>否</w:t>
            </w:r>
          </w:p>
        </w:tc>
      </w:tr>
      <w:tr w14:paraId="1E5EDD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464ACAF8">
            <w:pPr>
              <w:spacing w:after="0" w:line="360" w:lineRule="auto"/>
              <w:rPr>
                <w:rFonts w:ascii="宋体" w:hAnsi="宋体"/>
                <w:color w:val="auto"/>
                <w:szCs w:val="21"/>
                <w:highlight w:val="none"/>
              </w:rPr>
            </w:pPr>
            <w:bookmarkStart w:id="119" w:name="_Toc221950071"/>
            <w:r>
              <w:rPr>
                <w:rFonts w:ascii="宋体" w:hAnsi="宋体"/>
                <w:color w:val="auto"/>
                <w:szCs w:val="21"/>
                <w:highlight w:val="none"/>
              </w:rPr>
              <w:t>5.1</w:t>
            </w:r>
            <w:bookmarkEnd w:id="119"/>
          </w:p>
        </w:tc>
        <w:tc>
          <w:tcPr>
            <w:tcW w:w="1973" w:type="dxa"/>
            <w:noWrap w:val="0"/>
            <w:vAlign w:val="center"/>
          </w:tcPr>
          <w:p w14:paraId="72F083CF">
            <w:pPr>
              <w:spacing w:after="0" w:line="360" w:lineRule="auto"/>
              <w:rPr>
                <w:rFonts w:ascii="宋体" w:hAnsi="宋体"/>
                <w:color w:val="auto"/>
                <w:szCs w:val="21"/>
                <w:highlight w:val="none"/>
              </w:rPr>
            </w:pPr>
            <w:bookmarkStart w:id="120" w:name="_Toc221950072"/>
            <w:r>
              <w:rPr>
                <w:rFonts w:hint="eastAsia" w:ascii="宋体" w:hAnsi="宋体"/>
                <w:color w:val="auto"/>
                <w:szCs w:val="21"/>
                <w:highlight w:val="none"/>
              </w:rPr>
              <w:t>解密时间</w:t>
            </w:r>
            <w:bookmarkEnd w:id="120"/>
          </w:p>
        </w:tc>
        <w:tc>
          <w:tcPr>
            <w:tcW w:w="7291" w:type="dxa"/>
            <w:gridSpan w:val="2"/>
            <w:noWrap w:val="0"/>
            <w:vAlign w:val="center"/>
          </w:tcPr>
          <w:p w14:paraId="06B048F4">
            <w:pPr>
              <w:spacing w:after="0" w:line="360" w:lineRule="auto"/>
              <w:rPr>
                <w:rFonts w:ascii="宋体" w:hAnsi="宋体"/>
                <w:b/>
                <w:color w:val="auto"/>
                <w:szCs w:val="21"/>
                <w:highlight w:val="none"/>
              </w:rPr>
            </w:pPr>
            <w:r>
              <w:rPr>
                <w:rFonts w:hint="eastAsia" w:ascii="宋体" w:hAnsi="宋体"/>
                <w:color w:val="auto"/>
                <w:szCs w:val="21"/>
                <w:highlight w:val="none"/>
              </w:rPr>
              <w:t>详见招标公告</w:t>
            </w:r>
          </w:p>
        </w:tc>
      </w:tr>
      <w:tr w14:paraId="463D73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0E80F5F2">
            <w:pPr>
              <w:spacing w:after="0" w:line="360" w:lineRule="auto"/>
              <w:rPr>
                <w:rFonts w:ascii="宋体" w:hAnsi="宋体"/>
                <w:color w:val="auto"/>
                <w:szCs w:val="21"/>
                <w:highlight w:val="none"/>
              </w:rPr>
            </w:pPr>
            <w:r>
              <w:rPr>
                <w:rFonts w:hint="eastAsia" w:ascii="宋体" w:hAnsi="宋体"/>
                <w:color w:val="auto"/>
                <w:szCs w:val="21"/>
                <w:highlight w:val="none"/>
              </w:rPr>
              <w:t>5.2</w:t>
            </w:r>
          </w:p>
        </w:tc>
        <w:tc>
          <w:tcPr>
            <w:tcW w:w="1973" w:type="dxa"/>
            <w:noWrap w:val="0"/>
            <w:vAlign w:val="center"/>
          </w:tcPr>
          <w:p w14:paraId="522BBB55">
            <w:pPr>
              <w:spacing w:after="0" w:line="360" w:lineRule="auto"/>
              <w:rPr>
                <w:rFonts w:ascii="宋体" w:hAnsi="宋体"/>
                <w:color w:val="auto"/>
                <w:szCs w:val="21"/>
                <w:highlight w:val="none"/>
              </w:rPr>
            </w:pPr>
            <w:r>
              <w:rPr>
                <w:rFonts w:hint="eastAsia" w:ascii="宋体" w:hAnsi="宋体"/>
                <w:color w:val="auto"/>
                <w:szCs w:val="21"/>
                <w:highlight w:val="none"/>
              </w:rPr>
              <w:t>开标程序</w:t>
            </w:r>
          </w:p>
        </w:tc>
        <w:tc>
          <w:tcPr>
            <w:tcW w:w="7291" w:type="dxa"/>
            <w:gridSpan w:val="2"/>
            <w:noWrap w:val="0"/>
            <w:vAlign w:val="center"/>
          </w:tcPr>
          <w:p w14:paraId="2521BAFD">
            <w:pPr>
              <w:spacing w:after="0" w:line="360" w:lineRule="auto"/>
              <w:rPr>
                <w:rFonts w:ascii="宋体" w:hAnsi="宋体"/>
                <w:color w:val="auto"/>
                <w:szCs w:val="21"/>
                <w:highlight w:val="none"/>
              </w:rPr>
            </w:pPr>
            <w:r>
              <w:rPr>
                <w:rFonts w:hint="eastAsia" w:ascii="宋体" w:hAnsi="宋体"/>
                <w:color w:val="auto"/>
                <w:szCs w:val="21"/>
                <w:highlight w:val="none"/>
              </w:rPr>
              <w:t>详见招标公告</w:t>
            </w:r>
          </w:p>
        </w:tc>
      </w:tr>
      <w:tr w14:paraId="71D57F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929" w:type="dxa"/>
            <w:noWrap w:val="0"/>
            <w:vAlign w:val="center"/>
          </w:tcPr>
          <w:p w14:paraId="5F50EB6D">
            <w:pPr>
              <w:spacing w:after="0" w:line="360" w:lineRule="auto"/>
              <w:rPr>
                <w:rFonts w:ascii="宋体" w:hAnsi="宋体"/>
                <w:color w:val="auto"/>
                <w:szCs w:val="21"/>
                <w:highlight w:val="none"/>
              </w:rPr>
            </w:pPr>
            <w:bookmarkStart w:id="121" w:name="_Toc221950075"/>
            <w:r>
              <w:rPr>
                <w:rFonts w:ascii="宋体" w:hAnsi="宋体"/>
                <w:color w:val="auto"/>
                <w:szCs w:val="21"/>
                <w:highlight w:val="none"/>
              </w:rPr>
              <w:t>6.1.1</w:t>
            </w:r>
            <w:bookmarkEnd w:id="121"/>
          </w:p>
        </w:tc>
        <w:tc>
          <w:tcPr>
            <w:tcW w:w="1973" w:type="dxa"/>
            <w:noWrap w:val="0"/>
            <w:vAlign w:val="center"/>
          </w:tcPr>
          <w:p w14:paraId="273AED20">
            <w:pPr>
              <w:spacing w:after="0" w:line="360" w:lineRule="auto"/>
              <w:rPr>
                <w:rFonts w:ascii="宋体" w:hAnsi="宋体"/>
                <w:color w:val="auto"/>
                <w:szCs w:val="21"/>
                <w:highlight w:val="none"/>
              </w:rPr>
            </w:pPr>
            <w:bookmarkStart w:id="122" w:name="_Toc221950076"/>
            <w:r>
              <w:rPr>
                <w:rFonts w:hint="eastAsia" w:ascii="宋体" w:hAnsi="宋体"/>
                <w:color w:val="auto"/>
                <w:szCs w:val="21"/>
                <w:highlight w:val="none"/>
              </w:rPr>
              <w:t>评标委员会的组建</w:t>
            </w:r>
            <w:bookmarkEnd w:id="122"/>
          </w:p>
        </w:tc>
        <w:tc>
          <w:tcPr>
            <w:tcW w:w="7291" w:type="dxa"/>
            <w:gridSpan w:val="2"/>
            <w:noWrap w:val="0"/>
            <w:vAlign w:val="center"/>
          </w:tcPr>
          <w:p w14:paraId="6A0EE2A0">
            <w:pPr>
              <w:spacing w:after="0" w:line="360" w:lineRule="auto"/>
              <w:rPr>
                <w:rFonts w:hint="eastAsia" w:ascii="宋体" w:hAnsi="宋体"/>
                <w:color w:val="auto"/>
                <w:szCs w:val="21"/>
                <w:highlight w:val="none"/>
              </w:rPr>
            </w:pPr>
            <w:r>
              <w:rPr>
                <w:rFonts w:hint="eastAsia" w:ascii="宋体" w:hAnsi="宋体"/>
                <w:color w:val="auto"/>
                <w:szCs w:val="21"/>
                <w:highlight w:val="none"/>
              </w:rPr>
              <w:t>评标委员会由有关技术、经济等方面的专家组成，成员人数为五人以上单数，其中技术、经济等方面的专家不得少于成员总数的三分之二。</w:t>
            </w:r>
          </w:p>
          <w:p w14:paraId="001992C5">
            <w:pPr>
              <w:spacing w:after="0" w:line="360" w:lineRule="auto"/>
              <w:rPr>
                <w:rFonts w:hint="eastAsia" w:ascii="宋体" w:hAnsi="宋体" w:eastAsia="宋体"/>
                <w:color w:val="auto"/>
                <w:szCs w:val="21"/>
                <w:highlight w:val="none"/>
                <w:lang w:val="en-US" w:eastAsia="zh-CN"/>
              </w:rPr>
            </w:pPr>
            <w:r>
              <w:rPr>
                <w:rFonts w:ascii="宋体" w:hAnsi="宋体"/>
                <w:color w:val="auto"/>
                <w:kern w:val="0"/>
                <w:szCs w:val="21"/>
                <w:highlight w:val="none"/>
              </w:rPr>
              <w:t>评标专家确定方式</w:t>
            </w:r>
            <w:r>
              <w:rPr>
                <w:rFonts w:hint="eastAsia" w:ascii="宋体" w:hAnsi="宋体"/>
                <w:color w:val="auto"/>
                <w:kern w:val="0"/>
                <w:szCs w:val="21"/>
                <w:highlight w:val="none"/>
              </w:rPr>
              <w:t>：</w:t>
            </w:r>
            <w:r>
              <w:rPr>
                <w:color w:val="auto"/>
                <w:highlight w:val="none"/>
              </w:rPr>
              <w:fldChar w:fldCharType="begin"/>
            </w:r>
            <w:r>
              <w:rPr>
                <w:color w:val="auto"/>
                <w:highlight w:val="none"/>
              </w:rPr>
              <w:instrText xml:space="preserve"> AUTOTEXT  input160 \* MERGEFORMAT </w:instrText>
            </w:r>
            <w:r>
              <w:rPr>
                <w:color w:val="auto"/>
                <w:highlight w:val="none"/>
              </w:rPr>
              <w:fldChar w:fldCharType="separate"/>
            </w:r>
            <w:r>
              <w:rPr>
                <w:rFonts w:ascii="宋体" w:hAnsi="宋体"/>
                <w:color w:val="auto"/>
                <w:kern w:val="0"/>
                <w:szCs w:val="21"/>
                <w:highlight w:val="none"/>
                <w:u w:val="none"/>
              </w:rPr>
              <w:t>从</w:t>
            </w:r>
            <w:r>
              <w:rPr>
                <w:rFonts w:hint="eastAsia" w:ascii="宋体" w:hAnsi="宋体"/>
                <w:color w:val="auto"/>
                <w:szCs w:val="21"/>
                <w:highlight w:val="none"/>
              </w:rPr>
              <w:t>《云南省综合评标专家库》中随机抽取</w:t>
            </w:r>
            <w:r>
              <w:rPr>
                <w:rFonts w:ascii="宋体" w:hAnsi="宋体"/>
                <w:color w:val="auto"/>
                <w:kern w:val="0"/>
                <w:szCs w:val="21"/>
                <w:highlight w:val="none"/>
              </w:rPr>
              <w:fldChar w:fldCharType="end"/>
            </w:r>
            <w:r>
              <w:rPr>
                <w:rFonts w:hint="eastAsia" w:ascii="宋体" w:hAnsi="宋体"/>
                <w:color w:val="auto"/>
                <w:szCs w:val="21"/>
                <w:highlight w:val="none"/>
                <w:lang w:val="en-US" w:eastAsia="zh-CN"/>
              </w:rPr>
              <w:t>五</w:t>
            </w:r>
            <w:r>
              <w:rPr>
                <w:rFonts w:hint="eastAsia" w:ascii="宋体" w:hAnsi="宋体"/>
                <w:color w:val="auto"/>
                <w:szCs w:val="21"/>
                <w:highlight w:val="none"/>
              </w:rPr>
              <w:t>人以上单数</w:t>
            </w:r>
            <w:r>
              <w:rPr>
                <w:rFonts w:hint="eastAsia" w:ascii="宋体" w:hAnsi="宋体"/>
                <w:color w:val="auto"/>
                <w:szCs w:val="21"/>
                <w:highlight w:val="none"/>
                <w:lang w:val="en-US" w:eastAsia="zh-CN"/>
              </w:rPr>
              <w:t>组成。</w:t>
            </w:r>
          </w:p>
        </w:tc>
      </w:tr>
      <w:tr w14:paraId="76CB5F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929" w:type="dxa"/>
            <w:noWrap w:val="0"/>
            <w:vAlign w:val="center"/>
          </w:tcPr>
          <w:p w14:paraId="7B8D0A83">
            <w:pPr>
              <w:spacing w:after="0" w:line="360" w:lineRule="auto"/>
              <w:rPr>
                <w:rFonts w:hint="default" w:ascii="宋体" w:hAnsi="宋体" w:eastAsia="宋体"/>
                <w:color w:val="auto"/>
                <w:szCs w:val="21"/>
                <w:highlight w:val="none"/>
                <w:lang w:val="en-US" w:eastAsia="zh-CN"/>
              </w:rPr>
            </w:pPr>
            <w:bookmarkStart w:id="123" w:name="_Toc221950079"/>
            <w:r>
              <w:rPr>
                <w:rFonts w:hint="eastAsia" w:ascii="宋体" w:hAnsi="宋体"/>
                <w:color w:val="auto"/>
                <w:szCs w:val="21"/>
                <w:highlight w:val="none"/>
                <w:lang w:val="en-US" w:eastAsia="zh-CN"/>
              </w:rPr>
              <w:t>6.1.2</w:t>
            </w:r>
          </w:p>
        </w:tc>
        <w:tc>
          <w:tcPr>
            <w:tcW w:w="1973" w:type="dxa"/>
            <w:noWrap w:val="0"/>
            <w:vAlign w:val="center"/>
          </w:tcPr>
          <w:p w14:paraId="40EA1F07">
            <w:pPr>
              <w:spacing w:line="320" w:lineRule="exact"/>
              <w:jc w:val="center"/>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highlight w:val="none"/>
                <w:lang w:eastAsia="zh-CN"/>
              </w:rPr>
              <w:t>中标通知书的发放与合同签订</w:t>
            </w:r>
          </w:p>
        </w:tc>
        <w:tc>
          <w:tcPr>
            <w:tcW w:w="7291" w:type="dxa"/>
            <w:gridSpan w:val="2"/>
            <w:noWrap w:val="0"/>
            <w:vAlign w:val="center"/>
          </w:tcPr>
          <w:p w14:paraId="5A3002DE">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0" w:firstLineChars="0"/>
              <w:textAlignment w:val="auto"/>
              <w:rPr>
                <w:rFonts w:hint="default" w:ascii="宋体" w:hAnsi="宋体" w:cs="宋体"/>
                <w:color w:val="auto"/>
                <w:kern w:val="0"/>
                <w:sz w:val="21"/>
                <w:szCs w:val="24"/>
                <w:highlight w:val="none"/>
                <w:lang w:val="en-US" w:eastAsia="zh-CN" w:bidi="ar-SA"/>
              </w:rPr>
            </w:pPr>
            <w:r>
              <w:rPr>
                <w:rFonts w:hint="eastAsia" w:ascii="宋体" w:hAnsi="宋体" w:cs="宋体"/>
                <w:color w:val="auto"/>
                <w:highlight w:val="none"/>
                <w:lang w:eastAsia="zh-CN"/>
              </w:rPr>
              <w:t>通过云南省公共资源交易信息网在线方式发放(布)发出中标通知书和合同签订，实施全流程电子化交易。</w:t>
            </w:r>
          </w:p>
        </w:tc>
      </w:tr>
      <w:tr w14:paraId="10D0E9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929" w:type="dxa"/>
            <w:noWrap w:val="0"/>
            <w:vAlign w:val="center"/>
          </w:tcPr>
          <w:p w14:paraId="499E0232">
            <w:pPr>
              <w:spacing w:line="360" w:lineRule="auto"/>
              <w:jc w:val="both"/>
              <w:rPr>
                <w:rFonts w:hint="eastAsia" w:ascii="宋体" w:hAnsi="宋体"/>
                <w:color w:val="auto"/>
                <w:szCs w:val="21"/>
                <w:highlight w:val="none"/>
                <w:lang w:val="en-US" w:eastAsia="zh-CN"/>
              </w:rPr>
            </w:pPr>
            <w:r>
              <w:rPr>
                <w:rFonts w:hint="eastAsia" w:ascii="宋体" w:hAnsi="宋体"/>
                <w:color w:val="auto"/>
                <w:szCs w:val="21"/>
                <w:highlight w:val="none"/>
              </w:rPr>
              <w:t>7.1</w:t>
            </w:r>
          </w:p>
        </w:tc>
        <w:tc>
          <w:tcPr>
            <w:tcW w:w="1973" w:type="dxa"/>
            <w:noWrap w:val="0"/>
            <w:vAlign w:val="center"/>
          </w:tcPr>
          <w:p w14:paraId="113EE5CC">
            <w:pPr>
              <w:spacing w:line="360" w:lineRule="auto"/>
              <w:jc w:val="center"/>
              <w:rPr>
                <w:rFonts w:hint="eastAsia" w:ascii="宋体" w:hAnsi="宋体" w:cs="宋体"/>
                <w:color w:val="auto"/>
                <w:highlight w:val="none"/>
                <w:lang w:eastAsia="zh-CN"/>
              </w:rPr>
            </w:pPr>
            <w:r>
              <w:rPr>
                <w:rFonts w:hint="eastAsia" w:ascii="宋体" w:hAnsi="宋体"/>
                <w:color w:val="auto"/>
                <w:szCs w:val="21"/>
                <w:highlight w:val="none"/>
              </w:rPr>
              <w:t>是否授权评标委员会确定中标人</w:t>
            </w:r>
          </w:p>
        </w:tc>
        <w:tc>
          <w:tcPr>
            <w:tcW w:w="7291" w:type="dxa"/>
            <w:gridSpan w:val="2"/>
            <w:noWrap w:val="0"/>
            <w:vAlign w:val="center"/>
          </w:tcPr>
          <w:p w14:paraId="544595BD">
            <w:pPr>
              <w:spacing w:line="360" w:lineRule="auto"/>
              <w:rPr>
                <w:rFonts w:ascii="宋体" w:hAnsi="宋体"/>
                <w:color w:val="auto"/>
                <w:szCs w:val="21"/>
                <w:highlight w:val="none"/>
              </w:rPr>
            </w:pPr>
            <w:r>
              <w:rPr>
                <w:rFonts w:hint="eastAsia" w:ascii="宋体" w:hAnsi="宋体"/>
                <w:color w:val="auto"/>
                <w:szCs w:val="21"/>
                <w:highlight w:val="none"/>
              </w:rPr>
              <w:t>否</w:t>
            </w:r>
          </w:p>
          <w:p w14:paraId="5AB4312F">
            <w:pPr>
              <w:spacing w:line="360" w:lineRule="auto"/>
              <w:rPr>
                <w:rFonts w:hint="eastAsia" w:ascii="宋体" w:hAnsi="宋体" w:cs="宋体"/>
                <w:color w:val="auto"/>
                <w:highlight w:val="none"/>
                <w:lang w:val="en-US" w:eastAsia="zh-CN"/>
              </w:rPr>
            </w:pPr>
            <w:r>
              <w:rPr>
                <w:rFonts w:hint="eastAsia" w:ascii="宋体" w:hAnsi="宋体"/>
                <w:color w:val="auto"/>
                <w:szCs w:val="21"/>
                <w:highlight w:val="none"/>
              </w:rPr>
              <w:t>由评标委员会根据“第三章 评标办法”的相关规定推荐1～3名中标候选人。</w:t>
            </w:r>
          </w:p>
        </w:tc>
      </w:tr>
      <w:tr w14:paraId="520D70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929" w:type="dxa"/>
            <w:noWrap w:val="0"/>
            <w:vAlign w:val="center"/>
          </w:tcPr>
          <w:p w14:paraId="4C7C06DC">
            <w:pPr>
              <w:spacing w:after="0" w:line="360" w:lineRule="auto"/>
              <w:rPr>
                <w:rFonts w:ascii="宋体" w:hAnsi="宋体"/>
                <w:color w:val="auto"/>
                <w:szCs w:val="21"/>
                <w:highlight w:val="none"/>
              </w:rPr>
            </w:pPr>
            <w:r>
              <w:rPr>
                <w:rFonts w:ascii="宋体" w:hAnsi="宋体"/>
                <w:color w:val="auto"/>
                <w:szCs w:val="21"/>
                <w:highlight w:val="none"/>
              </w:rPr>
              <w:t>7.3.1</w:t>
            </w:r>
            <w:bookmarkEnd w:id="123"/>
          </w:p>
        </w:tc>
        <w:tc>
          <w:tcPr>
            <w:tcW w:w="1973" w:type="dxa"/>
            <w:noWrap w:val="0"/>
            <w:vAlign w:val="center"/>
          </w:tcPr>
          <w:p w14:paraId="37BFE401">
            <w:pPr>
              <w:spacing w:after="0" w:line="360" w:lineRule="auto"/>
              <w:rPr>
                <w:rFonts w:ascii="宋体" w:hAnsi="宋体"/>
                <w:color w:val="auto"/>
                <w:szCs w:val="21"/>
                <w:highlight w:val="none"/>
              </w:rPr>
            </w:pPr>
            <w:bookmarkStart w:id="124" w:name="_Toc221950080"/>
            <w:r>
              <w:rPr>
                <w:rFonts w:ascii="宋体" w:hAnsi="宋体"/>
                <w:color w:val="auto"/>
                <w:szCs w:val="21"/>
                <w:highlight w:val="none"/>
              </w:rPr>
              <w:t>履约担保</w:t>
            </w:r>
            <w:bookmarkEnd w:id="124"/>
          </w:p>
        </w:tc>
        <w:tc>
          <w:tcPr>
            <w:tcW w:w="7291" w:type="dxa"/>
            <w:gridSpan w:val="2"/>
            <w:noWrap w:val="0"/>
            <w:vAlign w:val="center"/>
          </w:tcPr>
          <w:p w14:paraId="42194FEF">
            <w:pPr>
              <w:numPr>
                <w:ilvl w:val="0"/>
                <w:numId w:val="5"/>
              </w:numPr>
              <w:spacing w:after="0" w:line="360" w:lineRule="auto"/>
              <w:rPr>
                <w:rFonts w:ascii="宋体" w:hAnsi="宋体"/>
                <w:color w:val="auto"/>
                <w:szCs w:val="21"/>
                <w:highlight w:val="none"/>
              </w:rPr>
            </w:pPr>
            <w:r>
              <w:rPr>
                <w:rFonts w:hint="eastAsia" w:ascii="宋体" w:hAnsi="宋体"/>
                <w:color w:val="auto"/>
                <w:szCs w:val="21"/>
                <w:highlight w:val="none"/>
              </w:rPr>
              <w:t>缴纳中标总金额</w:t>
            </w:r>
            <w:r>
              <w:rPr>
                <w:rFonts w:ascii="宋体" w:hAnsi="宋体"/>
                <w:color w:val="auto"/>
                <w:szCs w:val="21"/>
                <w:highlight w:val="none"/>
              </w:rPr>
              <w:t>5</w:t>
            </w:r>
            <w:r>
              <w:rPr>
                <w:rFonts w:hint="eastAsia" w:ascii="宋体" w:hAnsi="宋体"/>
                <w:color w:val="auto"/>
                <w:szCs w:val="21"/>
                <w:highlight w:val="none"/>
              </w:rPr>
              <w:t>%的履约保证金。</w:t>
            </w:r>
          </w:p>
          <w:p w14:paraId="0A7C32D4">
            <w:pPr>
              <w:numPr>
                <w:ilvl w:val="0"/>
                <w:numId w:val="0"/>
              </w:numPr>
              <w:spacing w:after="0" w:line="360" w:lineRule="auto"/>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w:t>
            </w:r>
            <w:r>
              <w:rPr>
                <w:rFonts w:hint="eastAsia" w:ascii="宋体" w:hAnsi="宋体"/>
                <w:color w:val="auto"/>
                <w:szCs w:val="21"/>
                <w:highlight w:val="none"/>
              </w:rPr>
              <w:t>履约保证金的提交方式：银行转账、银行保函、保证保险。</w:t>
            </w:r>
          </w:p>
        </w:tc>
      </w:tr>
      <w:tr w14:paraId="2C0E93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29" w:type="dxa"/>
            <w:noWrap w:val="0"/>
            <w:vAlign w:val="center"/>
          </w:tcPr>
          <w:p w14:paraId="78EC44E2">
            <w:pPr>
              <w:spacing w:after="0" w:line="360" w:lineRule="auto"/>
              <w:rPr>
                <w:rFonts w:ascii="宋体" w:hAnsi="宋体"/>
                <w:b/>
                <w:color w:val="auto"/>
                <w:szCs w:val="21"/>
                <w:highlight w:val="none"/>
              </w:rPr>
            </w:pPr>
            <w:r>
              <w:rPr>
                <w:rFonts w:hint="eastAsia" w:ascii="宋体" w:hAnsi="宋体"/>
                <w:b/>
                <w:color w:val="auto"/>
                <w:szCs w:val="21"/>
                <w:highlight w:val="none"/>
              </w:rPr>
              <w:t>10</w:t>
            </w:r>
          </w:p>
        </w:tc>
        <w:tc>
          <w:tcPr>
            <w:tcW w:w="9264" w:type="dxa"/>
            <w:gridSpan w:val="3"/>
            <w:noWrap w:val="0"/>
            <w:vAlign w:val="center"/>
          </w:tcPr>
          <w:p w14:paraId="62B25D46">
            <w:pPr>
              <w:spacing w:after="0" w:line="360" w:lineRule="auto"/>
              <w:rPr>
                <w:rFonts w:ascii="宋体" w:hAnsi="宋体"/>
                <w:b/>
                <w:color w:val="auto"/>
                <w:szCs w:val="21"/>
                <w:highlight w:val="none"/>
              </w:rPr>
            </w:pPr>
            <w:r>
              <w:rPr>
                <w:rFonts w:hint="eastAsia" w:ascii="宋体" w:hAnsi="宋体"/>
                <w:b/>
                <w:color w:val="auto"/>
                <w:szCs w:val="21"/>
                <w:highlight w:val="none"/>
              </w:rPr>
              <w:t>需要补充的其他内容</w:t>
            </w:r>
          </w:p>
        </w:tc>
      </w:tr>
      <w:tr w14:paraId="64BF38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35C7FFC5">
            <w:pPr>
              <w:spacing w:after="0" w:line="360" w:lineRule="auto"/>
              <w:rPr>
                <w:rFonts w:ascii="宋体" w:hAnsi="宋体"/>
                <w:color w:val="auto"/>
                <w:szCs w:val="21"/>
                <w:highlight w:val="none"/>
              </w:rPr>
            </w:pPr>
            <w:r>
              <w:rPr>
                <w:rFonts w:hint="eastAsia" w:ascii="宋体" w:hAnsi="宋体"/>
                <w:color w:val="auto"/>
                <w:szCs w:val="21"/>
                <w:highlight w:val="none"/>
              </w:rPr>
              <w:t>10.1</w:t>
            </w:r>
          </w:p>
        </w:tc>
        <w:tc>
          <w:tcPr>
            <w:tcW w:w="2256" w:type="dxa"/>
            <w:gridSpan w:val="2"/>
            <w:noWrap w:val="0"/>
            <w:vAlign w:val="center"/>
          </w:tcPr>
          <w:p w14:paraId="0A2D62F3">
            <w:pPr>
              <w:spacing w:after="0" w:line="360" w:lineRule="auto"/>
              <w:rPr>
                <w:rFonts w:ascii="宋体" w:hAnsi="宋体"/>
                <w:color w:val="auto"/>
                <w:szCs w:val="21"/>
                <w:highlight w:val="none"/>
              </w:rPr>
            </w:pPr>
            <w:r>
              <w:rPr>
                <w:rFonts w:hint="eastAsia" w:ascii="宋体" w:hAnsi="宋体" w:cs="宋体"/>
                <w:color w:val="auto"/>
                <w:kern w:val="0"/>
                <w:szCs w:val="21"/>
                <w:highlight w:val="none"/>
              </w:rPr>
              <w:t>招标控制价</w:t>
            </w:r>
          </w:p>
        </w:tc>
        <w:tc>
          <w:tcPr>
            <w:tcW w:w="7008" w:type="dxa"/>
            <w:noWrap w:val="0"/>
            <w:vAlign w:val="center"/>
          </w:tcPr>
          <w:p w14:paraId="48C73356">
            <w:pPr>
              <w:keepNext w:val="0"/>
              <w:keepLines w:val="0"/>
              <w:pageBreakBefore w:val="0"/>
              <w:widowControl/>
              <w:kinsoku/>
              <w:wordWrap/>
              <w:overflowPunct/>
              <w:bidi w:val="0"/>
              <w:spacing w:after="0" w:line="240" w:lineRule="auto"/>
              <w:jc w:val="left"/>
              <w:textAlignment w:val="auto"/>
              <w:rPr>
                <w:color w:val="auto"/>
                <w:sz w:val="21"/>
                <w:szCs w:val="21"/>
                <w:highlight w:val="none"/>
              </w:rPr>
            </w:pPr>
            <w:r>
              <w:rPr>
                <w:rFonts w:hint="eastAsia"/>
                <w:color w:val="000000" w:themeColor="text1"/>
                <w:sz w:val="21"/>
                <w:szCs w:val="21"/>
                <w:highlight w:val="none"/>
                <w14:textFill>
                  <w14:solidFill>
                    <w14:schemeClr w14:val="tx1"/>
                  </w14:solidFill>
                </w14:textFill>
              </w:rPr>
              <w:t>招标控</w:t>
            </w:r>
            <w:r>
              <w:rPr>
                <w:rFonts w:hint="eastAsia"/>
                <w:color w:val="auto"/>
                <w:sz w:val="21"/>
                <w:szCs w:val="21"/>
                <w:highlight w:val="none"/>
              </w:rPr>
              <w:t xml:space="preserve">制价： </w:t>
            </w:r>
          </w:p>
          <w:p w14:paraId="4F15E81A">
            <w:pPr>
              <w:keepNext w:val="0"/>
              <w:keepLines w:val="0"/>
              <w:pageBreakBefore w:val="0"/>
              <w:widowControl/>
              <w:kinsoku/>
              <w:wordWrap/>
              <w:overflowPunct/>
              <w:bidi w:val="0"/>
              <w:spacing w:after="0" w:line="240" w:lineRule="auto"/>
              <w:jc w:val="left"/>
              <w:textAlignment w:val="auto"/>
              <w:rPr>
                <w:rFonts w:hint="eastAsia"/>
                <w:color w:val="auto"/>
                <w:sz w:val="21"/>
                <w:szCs w:val="21"/>
                <w:highlight w:val="none"/>
              </w:rPr>
            </w:pPr>
            <w:r>
              <w:rPr>
                <w:rFonts w:hint="eastAsia" w:cs="Times New Roman"/>
                <w:b/>
                <w:bCs/>
                <w:color w:val="auto"/>
                <w:kern w:val="2"/>
                <w:sz w:val="21"/>
                <w:szCs w:val="21"/>
                <w:highlight w:val="none"/>
                <w:lang w:val="en-US" w:eastAsia="zh-CN" w:bidi="ar-SA"/>
              </w:rPr>
              <w:t>一标段</w:t>
            </w:r>
            <w:r>
              <w:rPr>
                <w:rFonts w:hint="eastAsia"/>
                <w:color w:val="auto"/>
                <w:sz w:val="21"/>
                <w:szCs w:val="21"/>
                <w:highlight w:val="none"/>
              </w:rPr>
              <w:t>：</w:t>
            </w:r>
            <w:r>
              <w:rPr>
                <w:rFonts w:hint="eastAsia"/>
                <w:b/>
                <w:color w:val="auto"/>
                <w:sz w:val="21"/>
                <w:szCs w:val="21"/>
                <w:highlight w:val="none"/>
                <w:lang w:val="en-US" w:eastAsia="zh-CN"/>
              </w:rPr>
              <w:t>478.00万</w:t>
            </w:r>
            <w:r>
              <w:rPr>
                <w:rFonts w:hint="eastAsia"/>
                <w:b/>
                <w:color w:val="auto"/>
                <w:sz w:val="21"/>
                <w:szCs w:val="21"/>
                <w:highlight w:val="none"/>
              </w:rPr>
              <w:t>元</w:t>
            </w:r>
            <w:r>
              <w:rPr>
                <w:rFonts w:hint="eastAsia"/>
                <w:color w:val="auto"/>
                <w:sz w:val="21"/>
                <w:szCs w:val="21"/>
                <w:highlight w:val="none"/>
              </w:rPr>
              <w:t xml:space="preserve"> </w:t>
            </w:r>
          </w:p>
          <w:p w14:paraId="47F287F3">
            <w:pPr>
              <w:keepNext w:val="0"/>
              <w:keepLines w:val="0"/>
              <w:pageBreakBefore w:val="0"/>
              <w:widowControl/>
              <w:kinsoku/>
              <w:wordWrap/>
              <w:overflowPunct/>
              <w:bidi w:val="0"/>
              <w:spacing w:after="0" w:line="240" w:lineRule="auto"/>
              <w:jc w:val="left"/>
              <w:textAlignment w:val="auto"/>
              <w:rPr>
                <w:rFonts w:hint="eastAsia"/>
                <w:color w:val="auto"/>
                <w:sz w:val="21"/>
                <w:szCs w:val="21"/>
                <w:highlight w:val="none"/>
              </w:rPr>
            </w:pPr>
            <w:r>
              <w:rPr>
                <w:rFonts w:hint="eastAsia" w:cs="Times New Roman"/>
                <w:b/>
                <w:bCs/>
                <w:color w:val="auto"/>
                <w:kern w:val="2"/>
                <w:sz w:val="21"/>
                <w:szCs w:val="21"/>
                <w:highlight w:val="none"/>
                <w:lang w:val="en-US" w:eastAsia="zh-CN" w:bidi="ar-SA"/>
              </w:rPr>
              <w:t>二标段</w:t>
            </w:r>
            <w:r>
              <w:rPr>
                <w:rFonts w:hint="eastAsia"/>
                <w:color w:val="auto"/>
                <w:sz w:val="21"/>
                <w:szCs w:val="21"/>
                <w:highlight w:val="none"/>
              </w:rPr>
              <w:t>：</w:t>
            </w:r>
            <w:r>
              <w:rPr>
                <w:rFonts w:hint="eastAsia"/>
                <w:b/>
                <w:color w:val="auto"/>
                <w:sz w:val="21"/>
                <w:szCs w:val="21"/>
                <w:highlight w:val="none"/>
                <w:lang w:val="en-US" w:eastAsia="zh-CN"/>
              </w:rPr>
              <w:t>465.42万</w:t>
            </w:r>
            <w:r>
              <w:rPr>
                <w:rFonts w:hint="eastAsia"/>
                <w:b/>
                <w:color w:val="auto"/>
                <w:sz w:val="21"/>
                <w:szCs w:val="21"/>
                <w:highlight w:val="none"/>
              </w:rPr>
              <w:t>元</w:t>
            </w:r>
          </w:p>
          <w:p w14:paraId="36DAAD7D">
            <w:pPr>
              <w:keepNext w:val="0"/>
              <w:keepLines w:val="0"/>
              <w:pageBreakBefore w:val="0"/>
              <w:widowControl/>
              <w:kinsoku/>
              <w:wordWrap/>
              <w:overflowPunct/>
              <w:bidi w:val="0"/>
              <w:spacing w:after="0" w:line="240" w:lineRule="auto"/>
              <w:jc w:val="left"/>
              <w:textAlignment w:val="auto"/>
              <w:rPr>
                <w:rFonts w:hint="eastAsia"/>
                <w:b/>
                <w:color w:val="auto"/>
                <w:sz w:val="21"/>
                <w:szCs w:val="21"/>
                <w:highlight w:val="none"/>
              </w:rPr>
            </w:pPr>
            <w:r>
              <w:rPr>
                <w:rFonts w:hint="eastAsia" w:cs="Times New Roman"/>
                <w:b/>
                <w:bCs/>
                <w:color w:val="auto"/>
                <w:kern w:val="2"/>
                <w:sz w:val="21"/>
                <w:szCs w:val="21"/>
                <w:highlight w:val="none"/>
                <w:lang w:val="en-US" w:eastAsia="zh-CN" w:bidi="ar-SA"/>
              </w:rPr>
              <w:t>三标段</w:t>
            </w:r>
            <w:r>
              <w:rPr>
                <w:color w:val="auto"/>
                <w:sz w:val="21"/>
                <w:szCs w:val="21"/>
                <w:highlight w:val="none"/>
              </w:rPr>
              <w:t>：</w:t>
            </w:r>
            <w:r>
              <w:rPr>
                <w:rFonts w:hint="eastAsia"/>
                <w:b/>
                <w:color w:val="auto"/>
                <w:sz w:val="21"/>
                <w:szCs w:val="21"/>
                <w:highlight w:val="none"/>
                <w:lang w:val="en-US" w:eastAsia="zh-CN"/>
              </w:rPr>
              <w:t>447.74万</w:t>
            </w:r>
            <w:r>
              <w:rPr>
                <w:rFonts w:hint="eastAsia"/>
                <w:b/>
                <w:color w:val="auto"/>
                <w:sz w:val="21"/>
                <w:szCs w:val="21"/>
                <w:highlight w:val="none"/>
              </w:rPr>
              <w:t xml:space="preserve">元 </w:t>
            </w:r>
          </w:p>
          <w:p w14:paraId="40053593">
            <w:pPr>
              <w:keepNext w:val="0"/>
              <w:keepLines w:val="0"/>
              <w:pageBreakBefore w:val="0"/>
              <w:widowControl/>
              <w:kinsoku/>
              <w:wordWrap/>
              <w:overflowPunct/>
              <w:bidi w:val="0"/>
              <w:spacing w:after="0" w:line="240" w:lineRule="auto"/>
              <w:jc w:val="left"/>
              <w:textAlignment w:val="auto"/>
              <w:rPr>
                <w:rFonts w:hint="default" w:eastAsia="宋体"/>
                <w:b/>
                <w:color w:val="auto"/>
                <w:sz w:val="21"/>
                <w:szCs w:val="21"/>
                <w:highlight w:val="none"/>
                <w:lang w:val="en-US" w:eastAsia="zh-CN"/>
              </w:rPr>
            </w:pPr>
            <w:r>
              <w:rPr>
                <w:rFonts w:hint="eastAsia"/>
                <w:b/>
                <w:color w:val="auto"/>
                <w:sz w:val="21"/>
                <w:szCs w:val="21"/>
                <w:highlight w:val="none"/>
                <w:lang w:val="en-US" w:eastAsia="zh-CN"/>
              </w:rPr>
              <w:t>四标段：459.68万元</w:t>
            </w:r>
          </w:p>
          <w:p w14:paraId="4115D85F">
            <w:pPr>
              <w:pStyle w:val="23"/>
              <w:topLinePunct/>
              <w:spacing w:after="0" w:line="360" w:lineRule="auto"/>
              <w:rPr>
                <w:rFonts w:hint="eastAsia" w:hAnsi="宋体"/>
                <w:b/>
                <w:bCs w:val="0"/>
                <w:color w:val="auto"/>
                <w:kern w:val="2"/>
                <w:sz w:val="21"/>
                <w:szCs w:val="21"/>
                <w:highlight w:val="none"/>
                <w:lang w:val="en-US" w:eastAsia="zh-CN"/>
              </w:rPr>
            </w:pPr>
            <w:r>
              <w:rPr>
                <w:rFonts w:hint="eastAsia" w:hAnsi="宋体"/>
                <w:bCs/>
                <w:color w:val="000000" w:themeColor="text1"/>
                <w:kern w:val="2"/>
                <w:sz w:val="21"/>
                <w:szCs w:val="21"/>
                <w:highlight w:val="none"/>
                <w:lang w:val="en-US"/>
                <w14:textFill>
                  <w14:solidFill>
                    <w14:schemeClr w14:val="tx1"/>
                  </w14:solidFill>
                </w14:textFill>
              </w:rPr>
              <w:t>投标总价</w:t>
            </w:r>
            <w:r>
              <w:rPr>
                <w:rFonts w:hint="eastAsia" w:hAnsi="宋体"/>
                <w:bCs/>
                <w:color w:val="000000" w:themeColor="text1"/>
                <w:kern w:val="2"/>
                <w:sz w:val="21"/>
                <w:szCs w:val="21"/>
                <w:highlight w:val="none"/>
                <w:lang w:val="en-US" w:eastAsia="zh-CN"/>
                <w14:textFill>
                  <w14:solidFill>
                    <w14:schemeClr w14:val="tx1"/>
                  </w14:solidFill>
                </w14:textFill>
              </w:rPr>
              <w:t>超过</w:t>
            </w:r>
            <w:r>
              <w:rPr>
                <w:rFonts w:hint="eastAsia" w:hAnsi="宋体"/>
                <w:bCs/>
                <w:color w:val="000000" w:themeColor="text1"/>
                <w:kern w:val="2"/>
                <w:sz w:val="21"/>
                <w:szCs w:val="21"/>
                <w:highlight w:val="none"/>
                <w:lang w:val="en-US"/>
                <w14:textFill>
                  <w14:solidFill>
                    <w14:schemeClr w14:val="tx1"/>
                  </w14:solidFill>
                </w14:textFill>
              </w:rPr>
              <w:t>招标控制价的作否决投标处理。</w:t>
            </w:r>
          </w:p>
        </w:tc>
      </w:tr>
      <w:tr w14:paraId="4194B2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929" w:type="dxa"/>
            <w:noWrap w:val="0"/>
            <w:vAlign w:val="center"/>
          </w:tcPr>
          <w:p w14:paraId="5D58167E">
            <w:pPr>
              <w:spacing w:after="0" w:line="360" w:lineRule="auto"/>
              <w:rPr>
                <w:rFonts w:ascii="宋体" w:hAnsi="宋体"/>
                <w:color w:val="auto"/>
                <w:szCs w:val="21"/>
                <w:highlight w:val="none"/>
              </w:rPr>
            </w:pPr>
            <w:r>
              <w:rPr>
                <w:rFonts w:hint="eastAsia" w:ascii="宋体" w:hAnsi="宋体"/>
                <w:color w:val="auto"/>
                <w:szCs w:val="21"/>
                <w:highlight w:val="none"/>
              </w:rPr>
              <w:t>10.2</w:t>
            </w:r>
          </w:p>
        </w:tc>
        <w:tc>
          <w:tcPr>
            <w:tcW w:w="2256" w:type="dxa"/>
            <w:gridSpan w:val="2"/>
            <w:noWrap w:val="0"/>
            <w:vAlign w:val="center"/>
          </w:tcPr>
          <w:p w14:paraId="790AB642">
            <w:pPr>
              <w:spacing w:after="0" w:line="360" w:lineRule="auto"/>
              <w:rPr>
                <w:rFonts w:ascii="宋体" w:hAnsi="宋体"/>
                <w:color w:val="auto"/>
                <w:szCs w:val="21"/>
                <w:highlight w:val="none"/>
              </w:rPr>
            </w:pPr>
            <w:r>
              <w:rPr>
                <w:rFonts w:hint="eastAsia" w:ascii="宋体" w:hAnsi="宋体"/>
                <w:color w:val="auto"/>
                <w:szCs w:val="21"/>
                <w:highlight w:val="none"/>
              </w:rPr>
              <w:t>有关费用承担</w:t>
            </w:r>
          </w:p>
        </w:tc>
        <w:tc>
          <w:tcPr>
            <w:tcW w:w="7008" w:type="dxa"/>
            <w:noWrap w:val="0"/>
            <w:vAlign w:val="center"/>
          </w:tcPr>
          <w:p w14:paraId="66FEA936">
            <w:pPr>
              <w:spacing w:after="0" w:line="360" w:lineRule="auto"/>
              <w:rPr>
                <w:rFonts w:ascii="宋体" w:hAnsi="宋体"/>
                <w:b/>
                <w:color w:val="auto"/>
                <w:szCs w:val="21"/>
                <w:highlight w:val="none"/>
              </w:rPr>
            </w:pPr>
            <w:r>
              <w:rPr>
                <w:rFonts w:hint="eastAsia" w:ascii="宋体" w:hAnsi="宋体"/>
                <w:color w:val="auto"/>
                <w:szCs w:val="21"/>
                <w:highlight w:val="none"/>
              </w:rPr>
              <w:t>投标人在招投标期间产生的相关费用由投标人自行承担</w:t>
            </w:r>
            <w:r>
              <w:rPr>
                <w:rFonts w:hint="eastAsia" w:ascii="宋体" w:hAnsi="宋体"/>
                <w:b/>
                <w:color w:val="auto"/>
                <w:szCs w:val="21"/>
                <w:highlight w:val="none"/>
              </w:rPr>
              <w:t>。</w:t>
            </w:r>
          </w:p>
        </w:tc>
      </w:tr>
      <w:tr w14:paraId="16E0B9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9" w:type="dxa"/>
            <w:noWrap w:val="0"/>
            <w:vAlign w:val="center"/>
          </w:tcPr>
          <w:p w14:paraId="0A59C025">
            <w:pPr>
              <w:spacing w:after="0" w:line="360" w:lineRule="auto"/>
              <w:rPr>
                <w:rFonts w:ascii="宋体" w:hAnsi="宋体"/>
                <w:snapToGrid w:val="0"/>
                <w:color w:val="auto"/>
                <w:kern w:val="0"/>
                <w:szCs w:val="21"/>
                <w:highlight w:val="none"/>
              </w:rPr>
            </w:pPr>
            <w:r>
              <w:rPr>
                <w:rFonts w:hint="eastAsia" w:ascii="宋体" w:hAnsi="宋体" w:cs="宋体"/>
                <w:snapToGrid w:val="0"/>
                <w:color w:val="auto"/>
                <w:kern w:val="0"/>
                <w:szCs w:val="21"/>
                <w:highlight w:val="none"/>
              </w:rPr>
              <w:t>10.</w:t>
            </w:r>
            <w:r>
              <w:rPr>
                <w:rFonts w:ascii="宋体" w:hAnsi="宋体" w:cs="宋体"/>
                <w:snapToGrid w:val="0"/>
                <w:color w:val="auto"/>
                <w:kern w:val="0"/>
                <w:szCs w:val="21"/>
                <w:highlight w:val="none"/>
              </w:rPr>
              <w:t>3</w:t>
            </w:r>
          </w:p>
        </w:tc>
        <w:tc>
          <w:tcPr>
            <w:tcW w:w="2256" w:type="dxa"/>
            <w:gridSpan w:val="2"/>
            <w:noWrap w:val="0"/>
            <w:vAlign w:val="center"/>
          </w:tcPr>
          <w:p w14:paraId="2B582BFE">
            <w:pPr>
              <w:spacing w:after="0" w:line="360" w:lineRule="auto"/>
              <w:rPr>
                <w:rFonts w:ascii="宋体" w:hAnsi="宋体"/>
                <w:color w:val="auto"/>
                <w:szCs w:val="21"/>
                <w:highlight w:val="none"/>
              </w:rPr>
            </w:pPr>
            <w:r>
              <w:rPr>
                <w:rFonts w:hint="eastAsia" w:ascii="宋体" w:hAnsi="宋体"/>
                <w:color w:val="auto"/>
                <w:szCs w:val="21"/>
                <w:highlight w:val="none"/>
              </w:rPr>
              <w:t>暗标形式评审</w:t>
            </w:r>
          </w:p>
        </w:tc>
        <w:tc>
          <w:tcPr>
            <w:tcW w:w="7008" w:type="dxa"/>
            <w:noWrap w:val="0"/>
            <w:vAlign w:val="center"/>
          </w:tcPr>
          <w:p w14:paraId="1BC8BFC6">
            <w:pPr>
              <w:pStyle w:val="199"/>
              <w:spacing w:before="0" w:after="0" w:line="360" w:lineRule="auto"/>
              <w:jc w:val="both"/>
              <w:rPr>
                <w:rFonts w:ascii="宋体" w:hAnsi="宋体" w:eastAsia="宋体"/>
                <w:color w:val="auto"/>
                <w:sz w:val="21"/>
                <w:szCs w:val="21"/>
                <w:highlight w:val="none"/>
              </w:rPr>
            </w:pPr>
            <w:r>
              <w:rPr>
                <w:rFonts w:ascii="Wingdings 2" w:hAnsi="Wingdings 2" w:eastAsia="宋体"/>
                <w:b/>
                <w:color w:val="auto"/>
                <w:sz w:val="21"/>
                <w:szCs w:val="21"/>
                <w:highlight w:val="none"/>
              </w:rPr>
              <w:sym w:font="Wingdings 2" w:char="00A3"/>
            </w:r>
            <w:r>
              <w:rPr>
                <w:rFonts w:hint="eastAsia" w:ascii="宋体" w:hAnsi="宋体" w:eastAsia="宋体"/>
                <w:color w:val="auto"/>
                <w:sz w:val="21"/>
                <w:szCs w:val="21"/>
                <w:highlight w:val="none"/>
              </w:rPr>
              <w:t>采用，施工组织设计部分采用此评审方式。</w:t>
            </w:r>
          </w:p>
          <w:p w14:paraId="57877293">
            <w:pPr>
              <w:pStyle w:val="199"/>
              <w:spacing w:before="0" w:after="0" w:line="360" w:lineRule="auto"/>
              <w:jc w:val="both"/>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不采用。</w:t>
            </w:r>
          </w:p>
        </w:tc>
      </w:tr>
      <w:tr w14:paraId="5DA442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29" w:type="dxa"/>
            <w:noWrap w:val="0"/>
            <w:vAlign w:val="center"/>
          </w:tcPr>
          <w:p w14:paraId="4C61F6DA">
            <w:pPr>
              <w:spacing w:after="0" w:line="360" w:lineRule="auto"/>
              <w:rPr>
                <w:rFonts w:ascii="宋体" w:hAnsi="宋体"/>
                <w:color w:val="auto"/>
                <w:szCs w:val="21"/>
                <w:highlight w:val="none"/>
              </w:rPr>
            </w:pPr>
            <w:r>
              <w:rPr>
                <w:rFonts w:hint="eastAsia" w:ascii="宋体" w:hAnsi="宋体"/>
                <w:color w:val="auto"/>
                <w:szCs w:val="21"/>
                <w:highlight w:val="none"/>
              </w:rPr>
              <w:t>10.4</w:t>
            </w:r>
          </w:p>
        </w:tc>
        <w:tc>
          <w:tcPr>
            <w:tcW w:w="2256" w:type="dxa"/>
            <w:gridSpan w:val="2"/>
            <w:noWrap w:val="0"/>
            <w:vAlign w:val="center"/>
          </w:tcPr>
          <w:p w14:paraId="6A5AF5C9">
            <w:pPr>
              <w:spacing w:after="0" w:line="360" w:lineRule="auto"/>
              <w:rPr>
                <w:rFonts w:ascii="宋体" w:hAnsi="宋体"/>
                <w:color w:val="auto"/>
                <w:szCs w:val="21"/>
                <w:highlight w:val="none"/>
              </w:rPr>
            </w:pPr>
            <w:r>
              <w:rPr>
                <w:rFonts w:hint="eastAsia" w:ascii="宋体" w:hAnsi="宋体"/>
                <w:color w:val="auto"/>
                <w:szCs w:val="21"/>
                <w:highlight w:val="none"/>
              </w:rPr>
              <w:t>报价编制</w:t>
            </w:r>
          </w:p>
        </w:tc>
        <w:tc>
          <w:tcPr>
            <w:tcW w:w="7008" w:type="dxa"/>
            <w:noWrap w:val="0"/>
            <w:vAlign w:val="center"/>
          </w:tcPr>
          <w:p w14:paraId="43FAF108">
            <w:pPr>
              <w:spacing w:after="0" w:line="360" w:lineRule="auto"/>
              <w:rPr>
                <w:rFonts w:ascii="宋体" w:hAnsi="宋体"/>
                <w:color w:val="auto"/>
                <w:szCs w:val="21"/>
                <w:highlight w:val="none"/>
              </w:rPr>
            </w:pPr>
            <w:r>
              <w:rPr>
                <w:rFonts w:ascii="宋体" w:hAnsi="宋体"/>
                <w:color w:val="auto"/>
                <w:szCs w:val="21"/>
                <w:highlight w:val="none"/>
              </w:rPr>
              <w:t>按照招标文件相关规定执行。</w:t>
            </w:r>
          </w:p>
        </w:tc>
      </w:tr>
      <w:tr w14:paraId="580221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29" w:type="dxa"/>
            <w:noWrap w:val="0"/>
            <w:vAlign w:val="center"/>
          </w:tcPr>
          <w:p w14:paraId="0FFE7267">
            <w:pPr>
              <w:spacing w:after="0" w:line="360" w:lineRule="auto"/>
              <w:rPr>
                <w:rFonts w:ascii="宋体" w:hAnsi="宋体"/>
                <w:color w:val="auto"/>
                <w:szCs w:val="21"/>
                <w:highlight w:val="none"/>
              </w:rPr>
            </w:pPr>
            <w:r>
              <w:rPr>
                <w:rFonts w:hint="eastAsia" w:ascii="宋体" w:hAnsi="宋体"/>
                <w:color w:val="auto"/>
                <w:szCs w:val="21"/>
                <w:highlight w:val="none"/>
              </w:rPr>
              <w:t>10.5</w:t>
            </w:r>
          </w:p>
        </w:tc>
        <w:tc>
          <w:tcPr>
            <w:tcW w:w="2256" w:type="dxa"/>
            <w:gridSpan w:val="2"/>
            <w:noWrap w:val="0"/>
            <w:vAlign w:val="center"/>
          </w:tcPr>
          <w:p w14:paraId="70039320">
            <w:pPr>
              <w:spacing w:after="0" w:line="360" w:lineRule="auto"/>
              <w:rPr>
                <w:rFonts w:ascii="宋体" w:hAnsi="宋体"/>
                <w:color w:val="auto"/>
                <w:szCs w:val="21"/>
                <w:highlight w:val="none"/>
              </w:rPr>
            </w:pPr>
            <w:r>
              <w:rPr>
                <w:rFonts w:hint="eastAsia" w:ascii="宋体" w:hAnsi="宋体"/>
                <w:color w:val="auto"/>
                <w:szCs w:val="21"/>
                <w:highlight w:val="none"/>
              </w:rPr>
              <w:t>同义词语</w:t>
            </w:r>
          </w:p>
        </w:tc>
        <w:tc>
          <w:tcPr>
            <w:tcW w:w="7008" w:type="dxa"/>
            <w:noWrap w:val="0"/>
            <w:vAlign w:val="center"/>
          </w:tcPr>
          <w:p w14:paraId="5EB9FA2A">
            <w:pPr>
              <w:spacing w:after="0" w:line="360" w:lineRule="auto"/>
              <w:ind w:firstLine="210" w:firstLineChars="100"/>
              <w:rPr>
                <w:rFonts w:ascii="宋体" w:hAnsi="宋体"/>
                <w:color w:val="auto"/>
                <w:szCs w:val="21"/>
                <w:highlight w:val="none"/>
              </w:rPr>
            </w:pPr>
            <w:r>
              <w:rPr>
                <w:rFonts w:hint="eastAsia" w:ascii="宋体" w:hAnsi="宋体"/>
                <w:color w:val="auto"/>
                <w:szCs w:val="21"/>
                <w:highlight w:val="none"/>
              </w:rPr>
              <w:t>构成招标文件组成部分的“通用合同条款</w:t>
            </w:r>
            <w:r>
              <w:rPr>
                <w:rFonts w:hint="eastAsia" w:ascii="宋体" w:hAnsi="宋体"/>
                <w:color w:val="auto"/>
                <w:szCs w:val="21"/>
                <w:highlight w:val="none"/>
                <w:lang w:eastAsia="zh-CN"/>
              </w:rPr>
              <w:t>”“</w:t>
            </w:r>
            <w:r>
              <w:rPr>
                <w:rFonts w:hint="eastAsia" w:ascii="宋体" w:hAnsi="宋体"/>
                <w:color w:val="auto"/>
                <w:szCs w:val="21"/>
                <w:highlight w:val="none"/>
              </w:rPr>
              <w:t>专用合同条款</w:t>
            </w:r>
            <w:r>
              <w:rPr>
                <w:rFonts w:hint="eastAsia" w:ascii="宋体" w:hAnsi="宋体"/>
                <w:color w:val="auto"/>
                <w:szCs w:val="21"/>
                <w:highlight w:val="none"/>
                <w:lang w:eastAsia="zh-CN"/>
              </w:rPr>
              <w:t>”“</w:t>
            </w:r>
            <w:r>
              <w:rPr>
                <w:rFonts w:hint="eastAsia" w:ascii="宋体" w:hAnsi="宋体"/>
                <w:color w:val="auto"/>
                <w:szCs w:val="21"/>
                <w:highlight w:val="none"/>
              </w:rPr>
              <w:t>技术标准和要求”和“工程量清单”等章节中出现的措辞“发包人”和“承包人”，在招标投标阶段应当分别按“招标人”和“投标人”进行理解。</w:t>
            </w:r>
          </w:p>
        </w:tc>
      </w:tr>
      <w:tr w14:paraId="6547B4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29" w:type="dxa"/>
            <w:noWrap w:val="0"/>
            <w:vAlign w:val="center"/>
          </w:tcPr>
          <w:p w14:paraId="6A254FBC">
            <w:pPr>
              <w:spacing w:after="0" w:line="360" w:lineRule="auto"/>
              <w:rPr>
                <w:rFonts w:ascii="宋体" w:hAnsi="宋体"/>
                <w:color w:val="auto"/>
                <w:szCs w:val="21"/>
                <w:highlight w:val="none"/>
              </w:rPr>
            </w:pPr>
            <w:r>
              <w:rPr>
                <w:rFonts w:hint="eastAsia" w:ascii="宋体" w:hAnsi="宋体"/>
                <w:color w:val="auto"/>
                <w:szCs w:val="21"/>
                <w:highlight w:val="none"/>
              </w:rPr>
              <w:t>10.6</w:t>
            </w:r>
          </w:p>
        </w:tc>
        <w:tc>
          <w:tcPr>
            <w:tcW w:w="2256" w:type="dxa"/>
            <w:gridSpan w:val="2"/>
            <w:noWrap w:val="0"/>
            <w:vAlign w:val="center"/>
          </w:tcPr>
          <w:p w14:paraId="6255C354">
            <w:pPr>
              <w:spacing w:after="0" w:line="360" w:lineRule="auto"/>
              <w:rPr>
                <w:rFonts w:ascii="宋体" w:hAnsi="宋体"/>
                <w:color w:val="auto"/>
                <w:szCs w:val="21"/>
                <w:highlight w:val="none"/>
              </w:rPr>
            </w:pPr>
            <w:r>
              <w:rPr>
                <w:rFonts w:hint="eastAsia" w:ascii="宋体" w:hAnsi="宋体"/>
                <w:color w:val="auto"/>
                <w:szCs w:val="21"/>
                <w:highlight w:val="none"/>
              </w:rPr>
              <w:t>招标文件解释</w:t>
            </w:r>
          </w:p>
        </w:tc>
        <w:tc>
          <w:tcPr>
            <w:tcW w:w="7008" w:type="dxa"/>
            <w:noWrap w:val="0"/>
            <w:vAlign w:val="center"/>
          </w:tcPr>
          <w:p w14:paraId="19CEC5E4">
            <w:pPr>
              <w:spacing w:after="0" w:line="360" w:lineRule="auto"/>
              <w:rPr>
                <w:rFonts w:ascii="宋体" w:hAnsi="宋体" w:cs="宋体"/>
                <w:b w:val="0"/>
                <w:bCs/>
                <w:color w:val="auto"/>
                <w:szCs w:val="21"/>
                <w:highlight w:val="none"/>
              </w:rPr>
            </w:pPr>
            <w:r>
              <w:rPr>
                <w:rFonts w:hint="eastAsia" w:ascii="宋体" w:hAnsi="宋体" w:cs="宋体"/>
                <w:color w:val="auto"/>
                <w:szCs w:val="21"/>
                <w:highlight w:val="none"/>
              </w:rPr>
              <w:t>1.构成本招标文件的各个组成文件应互为解释，互为说明；如有不明确或不一致，构成合同文件组成内容的，以合同文件约定内容为准，且以专用合同条款约定的合同文件优先顺序解释；投标人不得修改投标文件中招标人约定内容等实质要求，但投标人对投标文件格式中相关表格进行自行延展的内容以及自行增加的承诺等补充说明类的内容不属于修改投标文件格式；同一组成文件中就同一事项的规定或约定不一致的，以编排顺序在后者为准；同一组成文件不同版本之间有不一致的，以形成时间在后者为准；按本款前述规定仍不能形成结论的，按照</w:t>
            </w:r>
            <w:r>
              <w:rPr>
                <w:rFonts w:hint="eastAsia" w:ascii="宋体" w:hAnsi="宋体" w:cs="宋体"/>
                <w:color w:val="auto"/>
                <w:szCs w:val="21"/>
                <w:highlight w:val="none"/>
                <w:lang w:eastAsia="zh-CN"/>
              </w:rPr>
              <w:t>有利于</w:t>
            </w:r>
            <w:r>
              <w:rPr>
                <w:rFonts w:hint="eastAsia" w:ascii="宋体" w:hAnsi="宋体" w:cs="宋体"/>
                <w:color w:val="auto"/>
                <w:szCs w:val="21"/>
                <w:highlight w:val="none"/>
              </w:rPr>
              <w:t>所有投标人进行解释。</w:t>
            </w:r>
            <w:r>
              <w:rPr>
                <w:rFonts w:hint="eastAsia" w:ascii="宋体" w:hAnsi="宋体" w:cs="宋体"/>
                <w:b w:val="0"/>
                <w:bCs/>
                <w:color w:val="auto"/>
                <w:szCs w:val="21"/>
                <w:highlight w:val="none"/>
              </w:rPr>
              <w:t>本招标文件解释权由招标人（招标代理机构）进行解释。</w:t>
            </w:r>
          </w:p>
          <w:p w14:paraId="66D16A04">
            <w:pPr>
              <w:spacing w:after="0" w:line="360" w:lineRule="auto"/>
              <w:rPr>
                <w:rFonts w:ascii="宋体" w:hAnsi="宋体" w:cs="宋体"/>
                <w:color w:val="auto"/>
                <w:szCs w:val="21"/>
                <w:highlight w:val="none"/>
              </w:rPr>
            </w:pPr>
            <w:r>
              <w:rPr>
                <w:rFonts w:hint="eastAsia" w:ascii="宋体" w:hAnsi="宋体" w:cs="宋体"/>
                <w:color w:val="auto"/>
                <w:szCs w:val="21"/>
                <w:highlight w:val="none"/>
              </w:rPr>
              <w:t>2.除招标文件中有特别规定外，仅适用于招标投标阶段的规定，按招标公告（投标邀请书）、投标人须知、评标办法、投标文件格式的先后顺序解释；</w:t>
            </w:r>
          </w:p>
          <w:p w14:paraId="44C88789">
            <w:pPr>
              <w:spacing w:after="0" w:line="360" w:lineRule="auto"/>
              <w:rPr>
                <w:rFonts w:ascii="宋体" w:hAnsi="宋体" w:cs="宋体"/>
                <w:color w:val="auto"/>
                <w:szCs w:val="21"/>
                <w:highlight w:val="none"/>
              </w:rPr>
            </w:pPr>
            <w:r>
              <w:rPr>
                <w:rFonts w:hint="eastAsia" w:ascii="宋体" w:hAnsi="宋体" w:cs="宋体"/>
                <w:color w:val="auto"/>
                <w:szCs w:val="21"/>
                <w:highlight w:val="none"/>
              </w:rPr>
              <w:t>3.投标文件中要求提供身份证正面和背面的，投标人只需分别将“正面或（和）背面”提供即可；</w:t>
            </w:r>
          </w:p>
          <w:p w14:paraId="39AF7CF0">
            <w:pPr>
              <w:spacing w:after="0" w:line="360" w:lineRule="auto"/>
              <w:rPr>
                <w:rFonts w:ascii="宋体" w:hAnsi="宋体" w:cs="宋体"/>
                <w:color w:val="auto"/>
                <w:szCs w:val="21"/>
                <w:highlight w:val="none"/>
              </w:rPr>
            </w:pPr>
            <w:r>
              <w:rPr>
                <w:rFonts w:hint="eastAsia" w:ascii="宋体" w:hAnsi="宋体" w:cs="宋体"/>
                <w:color w:val="auto"/>
                <w:szCs w:val="21"/>
                <w:highlight w:val="none"/>
              </w:rPr>
              <w:t>4.本招标文件中“等”字的理解：招标文件中要求投标人提供相关证明材料要求的，“等”前所列举的内容作为评审项，“等”后所省略的内容为自选项，不作为评审项内容；</w:t>
            </w:r>
          </w:p>
          <w:p w14:paraId="1DDD6B33">
            <w:pPr>
              <w:spacing w:after="0" w:line="360" w:lineRule="auto"/>
              <w:rPr>
                <w:rFonts w:ascii="宋体" w:hAnsi="宋体" w:cs="宋体"/>
                <w:color w:val="auto"/>
                <w:szCs w:val="21"/>
                <w:highlight w:val="none"/>
              </w:rPr>
            </w:pPr>
            <w:r>
              <w:rPr>
                <w:rFonts w:hint="eastAsia" w:ascii="宋体" w:hAnsi="宋体" w:cs="宋体"/>
                <w:color w:val="auto"/>
                <w:szCs w:val="21"/>
                <w:highlight w:val="none"/>
              </w:rPr>
              <w:t>5.本招标文件对“</w:t>
            </w:r>
            <w:r>
              <w:rPr>
                <w:rFonts w:hint="eastAsia" w:ascii="宋体" w:hAnsi="宋体" w:cs="宋体"/>
                <w:color w:val="auto"/>
                <w:szCs w:val="21"/>
                <w:highlight w:val="none"/>
                <w:lang w:eastAsia="zh-CN"/>
              </w:rPr>
              <w:t>信誉要求</w:t>
            </w:r>
            <w:r>
              <w:rPr>
                <w:rFonts w:hint="eastAsia" w:ascii="宋体" w:hAnsi="宋体" w:cs="宋体"/>
                <w:color w:val="auto"/>
                <w:szCs w:val="21"/>
                <w:highlight w:val="none"/>
              </w:rPr>
              <w:t>”</w:t>
            </w:r>
            <w:r>
              <w:rPr>
                <w:rFonts w:hint="eastAsia" w:ascii="宋体" w:hAnsi="宋体" w:cs="宋体"/>
                <w:color w:val="auto"/>
                <w:szCs w:val="21"/>
                <w:highlight w:val="none"/>
                <w:lang w:eastAsia="zh-CN"/>
              </w:rPr>
              <w:t>中</w:t>
            </w:r>
            <w:r>
              <w:rPr>
                <w:rFonts w:hint="eastAsia" w:ascii="宋体" w:hAnsi="宋体" w:cs="宋体"/>
                <w:color w:val="auto"/>
                <w:szCs w:val="21"/>
                <w:highlight w:val="none"/>
              </w:rPr>
              <w:t>的查询时间应为本招标公告发布之日起至投标截止时间内的任意时间；</w:t>
            </w:r>
          </w:p>
          <w:p w14:paraId="4400C318">
            <w:pPr>
              <w:spacing w:after="0" w:line="360" w:lineRule="auto"/>
              <w:rPr>
                <w:rFonts w:ascii="宋体" w:hAnsi="宋体" w:cs="宋体"/>
                <w:color w:val="auto"/>
                <w:szCs w:val="21"/>
                <w:highlight w:val="none"/>
              </w:rPr>
            </w:pPr>
            <w:r>
              <w:rPr>
                <w:rFonts w:hint="eastAsia" w:ascii="宋体" w:hAnsi="宋体" w:cs="宋体"/>
                <w:color w:val="auto"/>
                <w:szCs w:val="21"/>
                <w:highlight w:val="none"/>
              </w:rPr>
              <w:t>6.本项目</w:t>
            </w:r>
            <w:r>
              <w:rPr>
                <w:rFonts w:hint="eastAsia" w:ascii="宋体" w:hAnsi="宋体" w:cs="宋体"/>
                <w:color w:val="auto"/>
                <w:szCs w:val="21"/>
                <w:highlight w:val="none"/>
                <w:lang w:eastAsia="zh-CN"/>
              </w:rPr>
              <w:t>（</w:t>
            </w:r>
            <w:r>
              <w:rPr>
                <w:rFonts w:hint="eastAsia" w:ascii="宋体" w:hAnsi="宋体" w:cs="宋体"/>
                <w:color w:val="auto"/>
                <w:szCs w:val="21"/>
                <w:highlight w:val="none"/>
              </w:rPr>
              <w:t>标段</w:t>
            </w:r>
            <w:r>
              <w:rPr>
                <w:rFonts w:hint="eastAsia" w:ascii="宋体" w:hAnsi="宋体" w:cs="宋体"/>
                <w:color w:val="auto"/>
                <w:szCs w:val="21"/>
                <w:highlight w:val="none"/>
                <w:lang w:eastAsia="zh-CN"/>
              </w:rPr>
              <w:t>）</w:t>
            </w:r>
            <w:r>
              <w:rPr>
                <w:rFonts w:hint="eastAsia" w:ascii="宋体" w:hAnsi="宋体" w:cs="宋体"/>
                <w:color w:val="auto"/>
                <w:szCs w:val="21"/>
                <w:highlight w:val="none"/>
              </w:rPr>
              <w:t>投标文件编制过程中：若发现招标工程量清单描述与施工图纸不一致，在工程招标投标阶段以招标工程量清单描述为准，施工阶段以施工图纸优先于工程量清单；</w:t>
            </w:r>
          </w:p>
          <w:p w14:paraId="7C34A829">
            <w:pPr>
              <w:spacing w:after="0" w:line="360" w:lineRule="auto"/>
              <w:rPr>
                <w:rFonts w:ascii="宋体" w:hAnsi="宋体" w:cs="宋体"/>
                <w:color w:val="auto"/>
                <w:szCs w:val="21"/>
                <w:highlight w:val="none"/>
              </w:rPr>
            </w:pPr>
            <w:r>
              <w:rPr>
                <w:rFonts w:hint="eastAsia" w:ascii="宋体" w:hAnsi="宋体" w:cs="宋体"/>
                <w:color w:val="auto"/>
                <w:szCs w:val="21"/>
                <w:highlight w:val="none"/>
              </w:rPr>
              <w:t>7.投标人所持有的营业执照、资质证书、安全生产许可证等相关证件具有正本及副本的，正本和副本具有同等法律效力，招标文件中没有明确要求的，投标人可根据自身实际情况提供相关证件（含扫描件）即可；</w:t>
            </w:r>
          </w:p>
          <w:p w14:paraId="4A6DCB7E">
            <w:pPr>
              <w:spacing w:after="0" w:line="360" w:lineRule="auto"/>
              <w:rPr>
                <w:rFonts w:ascii="宋体" w:hAnsi="宋体" w:cs="宋体"/>
                <w:color w:val="auto"/>
                <w:szCs w:val="21"/>
                <w:highlight w:val="none"/>
              </w:rPr>
            </w:pPr>
            <w:r>
              <w:rPr>
                <w:rFonts w:hint="eastAsia" w:ascii="宋体" w:hAnsi="宋体" w:cs="宋体"/>
                <w:color w:val="auto"/>
                <w:szCs w:val="21"/>
                <w:highlight w:val="none"/>
              </w:rPr>
              <w:t>8.在本项目中，“承担过”理解为“已完成”或“正在履行”；</w:t>
            </w:r>
          </w:p>
          <w:p w14:paraId="44D73009">
            <w:pPr>
              <w:spacing w:after="0" w:line="360" w:lineRule="auto"/>
              <w:rPr>
                <w:rFonts w:ascii="宋体" w:hAnsi="宋体" w:cs="宋体"/>
                <w:color w:val="auto"/>
                <w:szCs w:val="21"/>
                <w:highlight w:val="none"/>
              </w:rPr>
            </w:pPr>
            <w:r>
              <w:rPr>
                <w:rFonts w:hint="eastAsia" w:ascii="宋体" w:hAnsi="宋体" w:cs="宋体"/>
                <w:color w:val="auto"/>
                <w:szCs w:val="21"/>
                <w:highlight w:val="none"/>
              </w:rPr>
              <w:t>9.投标人应自行踏勘现场，并自行提供</w:t>
            </w:r>
            <w:r>
              <w:rPr>
                <w:rFonts w:hint="eastAsia" w:ascii="宋体" w:hAnsi="宋体" w:cs="宋体"/>
                <w:color w:val="auto"/>
                <w:szCs w:val="21"/>
                <w:highlight w:val="none"/>
                <w:lang w:eastAsia="zh-CN"/>
              </w:rPr>
              <w:t>对应投标标段</w:t>
            </w:r>
            <w:r>
              <w:rPr>
                <w:rFonts w:hint="eastAsia" w:ascii="宋体" w:hAnsi="宋体" w:cs="宋体"/>
                <w:color w:val="auto"/>
                <w:szCs w:val="21"/>
                <w:highlight w:val="none"/>
              </w:rPr>
              <w:t>现场踏勘证明材料；</w:t>
            </w:r>
          </w:p>
          <w:p w14:paraId="754C67CB">
            <w:pPr>
              <w:spacing w:after="0" w:line="360" w:lineRule="auto"/>
              <w:rPr>
                <w:rFonts w:ascii="宋体" w:hAnsi="宋体" w:cs="宋体"/>
                <w:color w:val="auto"/>
                <w:szCs w:val="21"/>
                <w:highlight w:val="none"/>
              </w:rPr>
            </w:pPr>
            <w:r>
              <w:rPr>
                <w:rFonts w:ascii="宋体" w:hAnsi="宋体" w:cs="宋体"/>
                <w:color w:val="auto"/>
                <w:szCs w:val="21"/>
                <w:highlight w:val="none"/>
              </w:rPr>
              <w:t>10</w:t>
            </w:r>
            <w:r>
              <w:rPr>
                <w:rFonts w:hint="eastAsia" w:ascii="宋体" w:hAnsi="宋体" w:cs="宋体"/>
                <w:color w:val="auto"/>
                <w:szCs w:val="21"/>
                <w:highlight w:val="none"/>
              </w:rPr>
              <w:t>.在本项目中，如需提供社保证明材料的，投标人至少提供养老保险或医疗保险证明材料；</w:t>
            </w:r>
          </w:p>
          <w:p w14:paraId="3C4151A2">
            <w:pPr>
              <w:spacing w:after="0" w:line="360" w:lineRule="auto"/>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1</w:t>
            </w:r>
            <w:r>
              <w:rPr>
                <w:rFonts w:hint="eastAsia" w:ascii="宋体" w:hAnsi="宋体" w:cs="宋体"/>
                <w:color w:val="auto"/>
                <w:szCs w:val="21"/>
                <w:highlight w:val="none"/>
              </w:rPr>
              <w:t>.在招标文件中未明确要求提供的证明材料投标人可不提供；</w:t>
            </w:r>
          </w:p>
          <w:p w14:paraId="16CFD001">
            <w:pPr>
              <w:spacing w:after="0" w:line="360" w:lineRule="auto"/>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w:t>
            </w:r>
            <w:r>
              <w:rPr>
                <w:rFonts w:hint="eastAsia"/>
                <w:color w:val="auto"/>
                <w:highlight w:val="none"/>
              </w:rPr>
              <w:t xml:space="preserve"> 本项目招标文件中涉及</w:t>
            </w:r>
            <w:r>
              <w:rPr>
                <w:rFonts w:hint="eastAsia" w:ascii="宋体" w:hAnsi="宋体" w:cs="宋体"/>
                <w:color w:val="auto"/>
                <w:szCs w:val="21"/>
                <w:highlight w:val="none"/>
              </w:rPr>
              <w:t>“以上”“以下”“以内”“届满”“不满”“超过”“以外”参照《</w:t>
            </w:r>
            <w:r>
              <w:rPr>
                <w:rFonts w:hint="eastAsia" w:ascii="宋体" w:hAnsi="宋体" w:cs="宋体"/>
                <w:color w:val="auto"/>
                <w:szCs w:val="21"/>
                <w:highlight w:val="none"/>
                <w:lang w:eastAsia="zh-CN"/>
              </w:rPr>
              <w:t>中华人民共和国民法典</w:t>
            </w:r>
            <w:r>
              <w:rPr>
                <w:rFonts w:hint="eastAsia" w:ascii="宋体" w:hAnsi="宋体" w:cs="宋体"/>
                <w:color w:val="auto"/>
                <w:szCs w:val="21"/>
                <w:highlight w:val="none"/>
              </w:rPr>
              <w:t>》第1259条的规定进行解释。根据《</w:t>
            </w:r>
            <w:r>
              <w:rPr>
                <w:rFonts w:hint="eastAsia" w:ascii="宋体" w:hAnsi="宋体" w:cs="宋体"/>
                <w:color w:val="auto"/>
                <w:szCs w:val="21"/>
                <w:highlight w:val="none"/>
                <w:lang w:eastAsia="zh-CN"/>
              </w:rPr>
              <w:t>中华人民共和国民法典</w:t>
            </w:r>
            <w:r>
              <w:rPr>
                <w:rFonts w:hint="eastAsia" w:ascii="宋体" w:hAnsi="宋体" w:cs="宋体"/>
                <w:color w:val="auto"/>
                <w:szCs w:val="21"/>
                <w:highlight w:val="none"/>
              </w:rPr>
              <w:t>》第1259条的规定，民法所称的“以上”“以下”“以内”“届满”，包括本数，“不满”“超过”“以外”，不包括本数。</w:t>
            </w:r>
          </w:p>
          <w:p w14:paraId="12180CBD">
            <w:pPr>
              <w:spacing w:after="0" w:line="360" w:lineRule="auto"/>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.按本款前述规定仍不能形成结论的，评标委员会对招标文件中含义不明确、对同类问题表述不一致或者有明显文字和计算错误的。评标委员会应按有利于投标人进行解释或判断；</w:t>
            </w:r>
          </w:p>
          <w:p w14:paraId="5C060442">
            <w:pPr>
              <w:spacing w:after="0" w:line="360" w:lineRule="auto"/>
              <w:rPr>
                <w:rFonts w:ascii="宋体" w:hAnsi="宋体" w:cs="宋体"/>
                <w:color w:val="auto"/>
                <w:szCs w:val="21"/>
                <w:highlight w:val="none"/>
              </w:rPr>
            </w:pPr>
            <w:r>
              <w:rPr>
                <w:rFonts w:hint="eastAsia" w:ascii="宋体" w:hAnsi="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.除了法律法规明确的规定外，评标委员会应严格按照招标文件规定的评审标准进行评标，本招标文件中未规定的其他条件不作为本项目评标和定标依据；</w:t>
            </w:r>
          </w:p>
          <w:p w14:paraId="295F6C4F">
            <w:pPr>
              <w:spacing w:after="0" w:line="360" w:lineRule="auto"/>
              <w:rPr>
                <w:rFonts w:ascii="宋体" w:hAnsi="宋体" w:cs="宋体"/>
                <w:color w:val="auto"/>
                <w:szCs w:val="21"/>
                <w:highlight w:val="none"/>
              </w:rPr>
            </w:pPr>
            <w:r>
              <w:rPr>
                <w:rFonts w:hint="eastAsia" w:ascii="宋体" w:hAnsi="宋体" w:cs="宋体"/>
                <w:color w:val="auto"/>
                <w:szCs w:val="21"/>
                <w:highlight w:val="none"/>
                <w:lang w:eastAsia="zh-CN"/>
              </w:rPr>
              <w:t>15.</w:t>
            </w:r>
            <w:r>
              <w:rPr>
                <w:rFonts w:hint="eastAsia" w:ascii="宋体" w:hAnsi="宋体" w:cs="宋体"/>
                <w:bCs/>
                <w:color w:val="auto"/>
                <w:szCs w:val="21"/>
                <w:highlight w:val="none"/>
              </w:rPr>
              <w:t>同一个潜在投标人如对不同标段同时提出投标申请的，应分别拟派项目经理</w:t>
            </w:r>
            <w:r>
              <w:rPr>
                <w:rFonts w:hint="eastAsia" w:ascii="宋体" w:hAnsi="宋体" w:cs="宋体"/>
                <w:bCs/>
                <w:color w:val="auto"/>
                <w:szCs w:val="21"/>
                <w:highlight w:val="none"/>
                <w:lang w:eastAsia="zh-CN"/>
              </w:rPr>
              <w:t>及技术负责人及安全员</w:t>
            </w:r>
            <w:r>
              <w:rPr>
                <w:rFonts w:hint="eastAsia" w:ascii="宋体" w:hAnsi="宋体" w:cs="宋体"/>
                <w:bCs/>
                <w:color w:val="auto"/>
                <w:szCs w:val="21"/>
                <w:highlight w:val="none"/>
              </w:rPr>
              <w:t>，</w:t>
            </w:r>
            <w:r>
              <w:rPr>
                <w:rFonts w:hint="eastAsia" w:ascii="宋体" w:hAnsi="宋体" w:cs="宋体"/>
                <w:bCs/>
                <w:color w:val="auto"/>
                <w:szCs w:val="21"/>
                <w:highlight w:val="none"/>
                <w:lang w:val="zh-CN"/>
              </w:rPr>
              <w:t>严禁法定代表人相同的不同施工单位，参与同一</w:t>
            </w:r>
            <w:r>
              <w:rPr>
                <w:rFonts w:hint="eastAsia" w:ascii="宋体" w:hAnsi="宋体" w:cs="宋体"/>
                <w:bCs/>
                <w:color w:val="auto"/>
                <w:szCs w:val="21"/>
                <w:highlight w:val="none"/>
              </w:rPr>
              <w:t>标段</w:t>
            </w:r>
            <w:r>
              <w:rPr>
                <w:rFonts w:hint="eastAsia" w:ascii="宋体" w:hAnsi="宋体" w:cs="宋体"/>
                <w:bCs/>
                <w:color w:val="auto"/>
                <w:szCs w:val="21"/>
                <w:highlight w:val="none"/>
                <w:lang w:val="zh-CN"/>
              </w:rPr>
              <w:t>的施工投标。</w:t>
            </w:r>
          </w:p>
        </w:tc>
      </w:tr>
      <w:tr w14:paraId="2570FC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929" w:type="dxa"/>
            <w:noWrap w:val="0"/>
            <w:vAlign w:val="center"/>
          </w:tcPr>
          <w:p w14:paraId="766DCB33">
            <w:pPr>
              <w:spacing w:after="0"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10.</w:t>
            </w:r>
            <w:r>
              <w:rPr>
                <w:rFonts w:hint="eastAsia" w:ascii="宋体" w:hAnsi="宋体"/>
                <w:color w:val="auto"/>
                <w:szCs w:val="21"/>
                <w:highlight w:val="none"/>
                <w:lang w:val="en-US" w:eastAsia="zh-CN"/>
              </w:rPr>
              <w:t>7</w:t>
            </w:r>
          </w:p>
        </w:tc>
        <w:tc>
          <w:tcPr>
            <w:tcW w:w="2256" w:type="dxa"/>
            <w:gridSpan w:val="2"/>
            <w:noWrap w:val="0"/>
            <w:vAlign w:val="center"/>
          </w:tcPr>
          <w:p w14:paraId="5483FE8F">
            <w:pPr>
              <w:spacing w:after="0" w:line="360" w:lineRule="auto"/>
              <w:rPr>
                <w:rFonts w:ascii="宋体" w:hAnsi="宋体"/>
                <w:b/>
                <w:bCs/>
                <w:color w:val="auto"/>
                <w:szCs w:val="21"/>
                <w:highlight w:val="none"/>
              </w:rPr>
            </w:pPr>
            <w:r>
              <w:rPr>
                <w:rFonts w:hint="eastAsia" w:ascii="宋体" w:hAnsi="宋体"/>
                <w:b/>
                <w:bCs/>
                <w:color w:val="auto"/>
                <w:szCs w:val="21"/>
                <w:highlight w:val="none"/>
              </w:rPr>
              <w:t>农民工工资专用账户的开设</w:t>
            </w:r>
          </w:p>
        </w:tc>
        <w:tc>
          <w:tcPr>
            <w:tcW w:w="7008" w:type="dxa"/>
            <w:noWrap w:val="0"/>
            <w:vAlign w:val="center"/>
          </w:tcPr>
          <w:p w14:paraId="4ED6729C">
            <w:pPr>
              <w:spacing w:after="0" w:line="360" w:lineRule="auto"/>
              <w:rPr>
                <w:rFonts w:ascii="宋体" w:hAnsi="宋体"/>
                <w:b/>
                <w:bCs/>
                <w:color w:val="auto"/>
                <w:szCs w:val="21"/>
                <w:highlight w:val="none"/>
              </w:rPr>
            </w:pPr>
            <w:r>
              <w:rPr>
                <w:rFonts w:hint="eastAsia" w:ascii="宋体" w:hAnsi="宋体"/>
                <w:b/>
                <w:bCs/>
                <w:color w:val="auto"/>
                <w:szCs w:val="21"/>
                <w:highlight w:val="none"/>
              </w:rPr>
              <w:t>根据《云南省人民政府办公厅关于全面治理拖欠农民工工资问题的实施意见》（云政办发</w:t>
            </w:r>
            <w:r>
              <w:rPr>
                <w:rFonts w:hint="eastAsia" w:ascii="宋体" w:hAnsi="宋体"/>
                <w:b/>
                <w:bCs/>
                <w:color w:val="auto"/>
                <w:szCs w:val="21"/>
                <w:highlight w:val="none"/>
                <w:lang w:eastAsia="zh-CN"/>
              </w:rPr>
              <w:t>〔2016〕</w:t>
            </w:r>
            <w:r>
              <w:rPr>
                <w:rFonts w:hint="eastAsia" w:ascii="宋体" w:hAnsi="宋体"/>
                <w:b/>
                <w:bCs/>
                <w:color w:val="auto"/>
                <w:szCs w:val="21"/>
                <w:highlight w:val="none"/>
              </w:rPr>
              <w:t>68号），施工单位应对工程款与人工费分账管理、农民工工资实名制发放、农民工工资银行按月足额代发、签订劳动合同等作出书面响应</w:t>
            </w:r>
            <w:r>
              <w:rPr>
                <w:rFonts w:hint="eastAsia" w:ascii="宋体" w:hAnsi="宋体"/>
                <w:b/>
                <w:bCs/>
                <w:color w:val="auto"/>
                <w:highlight w:val="none"/>
              </w:rPr>
              <w:t>承诺</w:t>
            </w:r>
            <w:r>
              <w:rPr>
                <w:rFonts w:hint="eastAsia" w:ascii="宋体" w:hAnsi="宋体"/>
                <w:b/>
                <w:bCs/>
                <w:color w:val="auto"/>
                <w:szCs w:val="21"/>
                <w:highlight w:val="none"/>
              </w:rPr>
              <w:t>。</w:t>
            </w:r>
          </w:p>
        </w:tc>
      </w:tr>
      <w:tr w14:paraId="24BED6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29" w:type="dxa"/>
            <w:noWrap w:val="0"/>
            <w:vAlign w:val="center"/>
          </w:tcPr>
          <w:p w14:paraId="5138C1EB">
            <w:pPr>
              <w:spacing w:after="0" w:line="360" w:lineRule="auto"/>
              <w:rPr>
                <w:rFonts w:hint="eastAsia" w:ascii="宋体" w:hAnsi="宋体" w:eastAsia="宋体"/>
                <w:color w:val="auto"/>
                <w:highlight w:val="none"/>
                <w:lang w:val="en-US" w:eastAsia="zh-CN"/>
              </w:rPr>
            </w:pPr>
            <w:r>
              <w:rPr>
                <w:rFonts w:hint="eastAsia" w:ascii="宋体" w:hAnsi="宋体"/>
                <w:color w:val="auto"/>
                <w:highlight w:val="none"/>
              </w:rPr>
              <w:t>10.</w:t>
            </w:r>
            <w:r>
              <w:rPr>
                <w:rFonts w:hint="eastAsia" w:ascii="宋体" w:hAnsi="宋体"/>
                <w:color w:val="auto"/>
                <w:highlight w:val="none"/>
                <w:lang w:val="en-US" w:eastAsia="zh-CN"/>
              </w:rPr>
              <w:t>8</w:t>
            </w:r>
          </w:p>
        </w:tc>
        <w:tc>
          <w:tcPr>
            <w:tcW w:w="2256" w:type="dxa"/>
            <w:gridSpan w:val="2"/>
            <w:noWrap w:val="0"/>
            <w:vAlign w:val="center"/>
          </w:tcPr>
          <w:p w14:paraId="10617025">
            <w:pPr>
              <w:spacing w:after="0" w:line="360" w:lineRule="auto"/>
              <w:rPr>
                <w:rFonts w:ascii="宋体" w:hAnsi="宋体"/>
                <w:color w:val="auto"/>
                <w:highlight w:val="none"/>
              </w:rPr>
            </w:pPr>
            <w:r>
              <w:rPr>
                <w:rFonts w:hint="eastAsia" w:ascii="宋体" w:hAnsi="宋体"/>
                <w:color w:val="auto"/>
                <w:highlight w:val="none"/>
              </w:rPr>
              <w:t>细微偏差澄清</w:t>
            </w:r>
          </w:p>
        </w:tc>
        <w:tc>
          <w:tcPr>
            <w:tcW w:w="7008" w:type="dxa"/>
            <w:noWrap w:val="0"/>
            <w:vAlign w:val="center"/>
          </w:tcPr>
          <w:p w14:paraId="67A6284F">
            <w:pPr>
              <w:spacing w:after="0" w:line="360" w:lineRule="auto"/>
              <w:rPr>
                <w:rFonts w:ascii="宋体" w:hAnsi="宋体"/>
                <w:color w:val="auto"/>
                <w:highlight w:val="none"/>
              </w:rPr>
            </w:pPr>
            <w:r>
              <w:rPr>
                <w:rFonts w:hint="eastAsia" w:ascii="宋体" w:hAnsi="宋体"/>
                <w:color w:val="auto"/>
                <w:highlight w:val="none"/>
              </w:rPr>
              <w:t>招标人将以书面方式要求投标人对投标文件中的细微偏差内容</w:t>
            </w:r>
            <w:r>
              <w:rPr>
                <w:rFonts w:hint="eastAsia" w:ascii="宋体" w:hAnsi="宋体"/>
                <w:color w:val="auto"/>
                <w:highlight w:val="none"/>
                <w:lang w:eastAsia="zh-CN"/>
              </w:rPr>
              <w:t>做必要</w:t>
            </w:r>
            <w:r>
              <w:rPr>
                <w:rFonts w:hint="eastAsia" w:ascii="宋体" w:hAnsi="宋体"/>
                <w:color w:val="auto"/>
                <w:highlight w:val="none"/>
              </w:rPr>
              <w:t>的澄清或者补正。对此，投标人不得拒绝。澄清或者补正应以书面方式进行并不得超出</w:t>
            </w:r>
            <w:r>
              <w:rPr>
                <w:rFonts w:hint="eastAsia" w:ascii="宋体" w:hAnsi="宋体"/>
                <w:color w:val="auto"/>
                <w:highlight w:val="none"/>
                <w:lang w:eastAsia="zh-CN"/>
              </w:rPr>
              <w:t>招</w:t>
            </w:r>
            <w:r>
              <w:rPr>
                <w:rFonts w:hint="eastAsia" w:ascii="宋体" w:hAnsi="宋体"/>
                <w:color w:val="auto"/>
                <w:highlight w:val="none"/>
              </w:rPr>
              <w:t>标文件的范围或者改变投标文件的实质性内容。投标人的澄清或补正内容将作为投标文件的组成部分。投标人拒不按照要求对投标文件进行澄清或者补正的，招标人将否决其投标，并没收其投标担保。招标人不接受投标人主动提出的澄清。</w:t>
            </w:r>
          </w:p>
        </w:tc>
      </w:tr>
      <w:tr w14:paraId="0BFDCF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29" w:type="dxa"/>
            <w:noWrap w:val="0"/>
            <w:vAlign w:val="center"/>
          </w:tcPr>
          <w:p w14:paraId="21E65A9A">
            <w:pPr>
              <w:spacing w:after="0" w:line="36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10.9</w:t>
            </w:r>
          </w:p>
        </w:tc>
        <w:tc>
          <w:tcPr>
            <w:tcW w:w="2256" w:type="dxa"/>
            <w:gridSpan w:val="2"/>
            <w:noWrap w:val="0"/>
            <w:vAlign w:val="center"/>
          </w:tcPr>
          <w:p w14:paraId="2E19EB25">
            <w:pPr>
              <w:spacing w:after="0" w:line="360" w:lineRule="auto"/>
              <w:rPr>
                <w:rFonts w:hint="eastAsia" w:ascii="宋体" w:hAnsi="宋体"/>
                <w:color w:val="auto"/>
                <w:highlight w:val="none"/>
              </w:rPr>
            </w:pPr>
            <w:r>
              <w:rPr>
                <w:rFonts w:hint="eastAsia" w:ascii="宋体" w:hAnsi="宋体" w:cs="宋体"/>
                <w:color w:val="auto"/>
                <w:highlight w:val="none"/>
              </w:rPr>
              <w:t>楚雄州公共资源电子化交易在线异议及投诉规范告知指引</w:t>
            </w:r>
          </w:p>
        </w:tc>
        <w:tc>
          <w:tcPr>
            <w:tcW w:w="7008" w:type="dxa"/>
            <w:noWrap w:val="0"/>
            <w:vAlign w:val="center"/>
          </w:tcPr>
          <w:p w14:paraId="5421A207">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1）潜在投标人或者其他利害关系人对招标文件有异议的，应当在投标截止时间10日前提出。对开标的异议应当在开标会上当场提出。对依法必须进行招标项目的评标结果有异议的，应当在中标候选人公示期间提出。</w:t>
            </w:r>
          </w:p>
          <w:p w14:paraId="2BA2C692">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2）投标人或者其他利害关系人认为招标投标活动不符合法律、行政法规规定的，应当在知道或者应当知道其权益受到侵害之日起十日内向有关行政监督部门提出投诉。投诉应当有明确的请求和必要的证明材料。</w:t>
            </w:r>
          </w:p>
          <w:p w14:paraId="179E0863">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对招标文件、开标和评标结果的投诉，应当以向招标人提出异议为前提，先向招标人提出异议，对招标人在规定时限内不答复或对招标人答复不满意时才能进行投诉。</w:t>
            </w:r>
          </w:p>
          <w:p w14:paraId="32B9143F">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（3）鉴于已经实行全流程电子化交易和在线监督，鼓励异议及投诉通过线上方式进行，也可采用线下纸质方式进行。</w:t>
            </w:r>
          </w:p>
          <w:p w14:paraId="22671996">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根据系统功能和要求，直接参与具体项目交易的投标人线上异议及投诉，使用CA数字证书通过全国公共资源交易平台(云南省)暨云南省公共资源交易信息网（网址：https://ggzy.yn.gov.cn/homePage）选择“楚雄州”进入公共资源交易平台“投标人”模块进行提交，其他利害关系人通过全国公共资源交易平台(云南省)暨云南省公共资源交易信息网（网址：https://ggzy.yn.gov.cn/homePage）选择“楚雄州”进入公共资源交易平台“交易监督”模块进行提交。</w:t>
            </w:r>
          </w:p>
          <w:p w14:paraId="1D833367">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（4）招标人及招标代理机构和行政监督部门对线上异议及投诉的，采用线上方式进行受理答复，对通过线下纸质方式进行异议及投诉的，按纸质方式进行受理答复。</w:t>
            </w:r>
          </w:p>
          <w:p w14:paraId="5A07DE20">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同一内容同时进行线上异议及投诉和提交纸质进行异议及投诉的，以线上答复为主，通过在线答复后不再进行书面答复。</w:t>
            </w:r>
          </w:p>
          <w:p w14:paraId="20848F3D">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就同一内容同时通过两个模块提交异议及投诉的，招标人及行政监督部门只通过“投标人”模块进行受理答复，在“交易监督”模块作简要告知。</w:t>
            </w:r>
          </w:p>
          <w:p w14:paraId="15B14249">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5）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w:t>
            </w:r>
          </w:p>
        </w:tc>
      </w:tr>
      <w:tr w14:paraId="1F78E2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29" w:type="dxa"/>
            <w:noWrap w:val="0"/>
            <w:vAlign w:val="center"/>
          </w:tcPr>
          <w:p w14:paraId="418C6374">
            <w:pPr>
              <w:spacing w:after="0" w:line="360" w:lineRule="auto"/>
              <w:rPr>
                <w:rFonts w:hint="default" w:ascii="宋体" w:hAnsi="宋体" w:eastAsia="宋体"/>
                <w:color w:val="auto"/>
                <w:highlight w:val="none"/>
                <w:lang w:val="en-US" w:eastAsia="zh-CN"/>
              </w:rPr>
            </w:pPr>
            <w:r>
              <w:rPr>
                <w:rFonts w:hint="eastAsia" w:ascii="宋体" w:hAnsi="宋体"/>
                <w:color w:val="auto"/>
                <w:highlight w:val="none"/>
              </w:rPr>
              <w:t>10.</w:t>
            </w:r>
            <w:r>
              <w:rPr>
                <w:rFonts w:hint="eastAsia" w:ascii="宋体" w:hAnsi="宋体"/>
                <w:color w:val="auto"/>
                <w:highlight w:val="none"/>
                <w:lang w:val="en-US" w:eastAsia="zh-CN"/>
              </w:rPr>
              <w:t>10</w:t>
            </w:r>
          </w:p>
        </w:tc>
        <w:tc>
          <w:tcPr>
            <w:tcW w:w="2256" w:type="dxa"/>
            <w:gridSpan w:val="2"/>
            <w:noWrap w:val="0"/>
            <w:vAlign w:val="center"/>
          </w:tcPr>
          <w:p w14:paraId="380A2F1F">
            <w:pPr>
              <w:spacing w:after="0" w:line="360" w:lineRule="auto"/>
              <w:rPr>
                <w:rFonts w:ascii="宋体" w:hAnsi="宋体"/>
                <w:color w:val="auto"/>
                <w:highlight w:val="none"/>
              </w:rPr>
            </w:pPr>
            <w:r>
              <w:rPr>
                <w:rFonts w:hint="eastAsia" w:ascii="宋体" w:hAnsi="宋体"/>
                <w:color w:val="auto"/>
                <w:highlight w:val="none"/>
              </w:rPr>
              <w:t>其他注意事项</w:t>
            </w:r>
          </w:p>
        </w:tc>
        <w:tc>
          <w:tcPr>
            <w:tcW w:w="7008" w:type="dxa"/>
            <w:noWrap w:val="0"/>
            <w:vAlign w:val="center"/>
          </w:tcPr>
          <w:p w14:paraId="6FEC8D03">
            <w:pPr>
              <w:spacing w:after="0" w:line="360" w:lineRule="auto"/>
              <w:rPr>
                <w:rFonts w:ascii="宋体" w:hAnsi="宋体"/>
                <w:color w:val="auto"/>
                <w:highlight w:val="none"/>
              </w:rPr>
            </w:pPr>
            <w:r>
              <w:rPr>
                <w:rFonts w:hint="eastAsia" w:ascii="宋体" w:hAnsi="宋体"/>
                <w:color w:val="auto"/>
                <w:highlight w:val="none"/>
                <w:lang w:eastAsia="zh-CN"/>
              </w:rPr>
              <w:t>1.</w:t>
            </w:r>
            <w:r>
              <w:rPr>
                <w:rFonts w:hint="eastAsia" w:ascii="宋体" w:hAnsi="宋体"/>
                <w:color w:val="auto"/>
                <w:highlight w:val="none"/>
              </w:rPr>
              <w:t>投标人须对其投标过程中提供的所有资料的真实性、合法性负责。一旦被有关部门或系统认定投标人提供虚假资料，投标人应承担相应法律责任和后果。投标人应在投标文件中作出承诺。</w:t>
            </w:r>
          </w:p>
          <w:p w14:paraId="59F7F3DA">
            <w:pPr>
              <w:spacing w:after="0" w:line="360" w:lineRule="auto"/>
              <w:rPr>
                <w:rFonts w:ascii="宋体" w:hAnsi="宋体"/>
                <w:color w:val="auto"/>
                <w:highlight w:val="none"/>
              </w:rPr>
            </w:pPr>
            <w:r>
              <w:rPr>
                <w:rFonts w:hint="eastAsia" w:ascii="宋体" w:hAnsi="宋体"/>
                <w:color w:val="auto"/>
                <w:highlight w:val="none"/>
                <w:lang w:val="en-US" w:eastAsia="zh-CN"/>
              </w:rPr>
              <w:t>2</w:t>
            </w:r>
            <w:r>
              <w:rPr>
                <w:rFonts w:hint="eastAsia" w:ascii="宋体" w:hAnsi="宋体"/>
                <w:color w:val="auto"/>
                <w:highlight w:val="none"/>
                <w:lang w:eastAsia="zh-CN"/>
              </w:rPr>
              <w:t>.</w:t>
            </w:r>
            <w:r>
              <w:rPr>
                <w:rFonts w:hint="eastAsia" w:ascii="宋体" w:hAnsi="宋体"/>
                <w:color w:val="auto"/>
                <w:highlight w:val="none"/>
              </w:rPr>
              <w:t>本项目使用电子招标投标系统，除了电子投标系统中设置相关模块外，本项目不对投标文件的目录及页码等作出格式要求。投标人只需按照电子投标文件上传系统相应要求上传相关文件即可。</w:t>
            </w:r>
          </w:p>
          <w:p w14:paraId="1220BD3F">
            <w:pPr>
              <w:spacing w:after="0" w:line="360" w:lineRule="auto"/>
              <w:rPr>
                <w:rFonts w:ascii="宋体" w:hAnsi="宋体"/>
                <w:color w:val="auto"/>
                <w:highlight w:val="none"/>
              </w:rPr>
            </w:pPr>
            <w:r>
              <w:rPr>
                <w:rFonts w:hint="eastAsia" w:ascii="宋体" w:hAnsi="宋体"/>
                <w:color w:val="auto"/>
                <w:highlight w:val="none"/>
                <w:lang w:val="en-US" w:eastAsia="zh-CN"/>
              </w:rPr>
              <w:t>3</w:t>
            </w:r>
            <w:r>
              <w:rPr>
                <w:rFonts w:hint="eastAsia" w:ascii="宋体" w:hAnsi="宋体"/>
                <w:color w:val="auto"/>
                <w:highlight w:val="none"/>
                <w:lang w:eastAsia="zh-CN"/>
              </w:rPr>
              <w:t>.</w:t>
            </w:r>
            <w:r>
              <w:rPr>
                <w:rFonts w:hint="eastAsia" w:ascii="宋体" w:hAnsi="宋体"/>
                <w:color w:val="auto"/>
                <w:highlight w:val="none"/>
              </w:rPr>
              <w:t>招标文件中对财务数据小数点有特别要求的，投标人应从其规定；</w:t>
            </w:r>
            <w:r>
              <w:rPr>
                <w:rFonts w:hint="eastAsia" w:ascii="宋体" w:hAnsi="宋体" w:cs="宋体"/>
                <w:bCs/>
                <w:color w:val="auto"/>
                <w:kern w:val="0"/>
                <w:szCs w:val="21"/>
                <w:highlight w:val="none"/>
              </w:rPr>
              <w:t xml:space="preserve"> </w:t>
            </w:r>
          </w:p>
          <w:p w14:paraId="110FAB9C">
            <w:pPr>
              <w:spacing w:after="0" w:line="360" w:lineRule="auto"/>
              <w:rPr>
                <w:rFonts w:ascii="宋体" w:hAnsi="宋体"/>
                <w:color w:val="auto"/>
                <w:highlight w:val="none"/>
              </w:rPr>
            </w:pPr>
            <w:r>
              <w:rPr>
                <w:rFonts w:hint="eastAsia" w:ascii="宋体" w:hAnsi="宋体"/>
                <w:color w:val="auto"/>
                <w:highlight w:val="none"/>
                <w:lang w:val="en-US" w:eastAsia="zh-CN"/>
              </w:rPr>
              <w:t>4</w:t>
            </w:r>
            <w:r>
              <w:rPr>
                <w:rFonts w:hint="eastAsia" w:ascii="宋体" w:hAnsi="宋体"/>
                <w:color w:val="auto"/>
                <w:highlight w:val="none"/>
                <w:lang w:eastAsia="zh-CN"/>
              </w:rPr>
              <w:t>.</w:t>
            </w:r>
            <w:r>
              <w:rPr>
                <w:rFonts w:hint="eastAsia" w:ascii="宋体" w:hAnsi="宋体"/>
                <w:color w:val="auto"/>
                <w:highlight w:val="none"/>
              </w:rPr>
              <w:t>投标人未按招标文件要求办理投标保证金缴纳手续的视为投标文件不通过资格审查。</w:t>
            </w:r>
          </w:p>
          <w:p w14:paraId="46D95C36">
            <w:pPr>
              <w:spacing w:after="0" w:line="360" w:lineRule="auto"/>
              <w:rPr>
                <w:color w:val="auto"/>
                <w:highlight w:val="none"/>
              </w:rPr>
            </w:pPr>
            <w:r>
              <w:rPr>
                <w:rFonts w:hint="eastAsia" w:ascii="宋体" w:hAnsi="宋体"/>
                <w:color w:val="auto"/>
                <w:highlight w:val="none"/>
                <w:lang w:val="en-US" w:eastAsia="zh-CN"/>
              </w:rPr>
              <w:t>5</w:t>
            </w:r>
            <w:r>
              <w:rPr>
                <w:rFonts w:hint="eastAsia" w:ascii="宋体" w:hAnsi="宋体" w:eastAsia="宋体" w:cs="Times New Roman"/>
                <w:color w:val="auto"/>
                <w:highlight w:val="none"/>
              </w:rPr>
              <w:t>.投标人须知前附表全部内容均应理解为实质内容，投标人应无偏差响应相关要求。</w:t>
            </w:r>
          </w:p>
        </w:tc>
      </w:tr>
    </w:tbl>
    <w:p w14:paraId="57740636">
      <w:pPr>
        <w:spacing w:after="0" w:line="360" w:lineRule="auto"/>
        <w:rPr>
          <w:rFonts w:ascii="宋体" w:hAnsi="宋体"/>
          <w:color w:val="auto"/>
          <w:highlight w:val="none"/>
        </w:rPr>
      </w:pPr>
      <w:bookmarkStart w:id="125" w:name="_Toc168476047"/>
      <w:bookmarkStart w:id="126" w:name="_Toc222030984"/>
      <w:bookmarkStart w:id="127" w:name="_Toc168475644"/>
      <w:bookmarkStart w:id="128" w:name="_Toc221950083"/>
      <w:bookmarkStart w:id="129" w:name="_Toc144974497"/>
      <w:bookmarkStart w:id="130" w:name="_Toc222029482"/>
      <w:bookmarkStart w:id="131" w:name="_Toc229305342"/>
      <w:bookmarkStart w:id="132" w:name="_Toc222032651"/>
      <w:bookmarkStart w:id="133" w:name="_Toc222033833"/>
    </w:p>
    <w:p w14:paraId="68627F58">
      <w:pPr>
        <w:pStyle w:val="5"/>
        <w:spacing w:before="0" w:after="0" w:line="360" w:lineRule="auto"/>
        <w:jc w:val="left"/>
        <w:rPr>
          <w:rFonts w:ascii="宋体" w:hAnsi="宋体" w:eastAsia="宋体"/>
          <w:color w:val="auto"/>
          <w:sz w:val="24"/>
          <w:highlight w:val="none"/>
        </w:rPr>
      </w:pPr>
      <w:bookmarkStart w:id="134" w:name="_Toc95257482"/>
      <w:bookmarkStart w:id="135" w:name="_Toc10714"/>
      <w:bookmarkStart w:id="136" w:name="_Toc11364_WPSOffice_Level2"/>
      <w:bookmarkStart w:id="137" w:name="_Toc6406"/>
      <w:r>
        <w:rPr>
          <w:rFonts w:hint="eastAsia" w:ascii="宋体" w:hAnsi="宋体" w:eastAsia="宋体"/>
          <w:color w:val="auto"/>
          <w:sz w:val="24"/>
          <w:highlight w:val="none"/>
        </w:rPr>
        <w:t>1. 总则</w:t>
      </w:r>
      <w:bookmarkEnd w:id="125"/>
      <w:bookmarkEnd w:id="126"/>
      <w:bookmarkEnd w:id="127"/>
      <w:bookmarkEnd w:id="128"/>
      <w:bookmarkEnd w:id="129"/>
      <w:bookmarkEnd w:id="130"/>
      <w:bookmarkEnd w:id="131"/>
      <w:bookmarkEnd w:id="132"/>
      <w:bookmarkEnd w:id="133"/>
      <w:bookmarkEnd w:id="134"/>
      <w:bookmarkEnd w:id="135"/>
      <w:bookmarkEnd w:id="136"/>
      <w:bookmarkEnd w:id="137"/>
    </w:p>
    <w:p w14:paraId="427C3AB8">
      <w:pPr>
        <w:spacing w:after="0" w:line="360" w:lineRule="auto"/>
        <w:rPr>
          <w:rFonts w:ascii="宋体" w:hAnsi="宋体"/>
          <w:b/>
          <w:color w:val="auto"/>
          <w:sz w:val="24"/>
          <w:highlight w:val="none"/>
        </w:rPr>
      </w:pPr>
      <w:bookmarkStart w:id="138" w:name="_Toc221950086"/>
      <w:r>
        <w:rPr>
          <w:rFonts w:hint="eastAsia" w:ascii="宋体" w:hAnsi="宋体"/>
          <w:b/>
          <w:color w:val="auto"/>
          <w:sz w:val="24"/>
          <w:highlight w:val="none"/>
        </w:rPr>
        <w:t>1.1项目概况</w:t>
      </w:r>
    </w:p>
    <w:bookmarkEnd w:id="138"/>
    <w:p w14:paraId="0C72237A">
      <w:pPr>
        <w:spacing w:after="0" w:line="360" w:lineRule="auto"/>
        <w:ind w:firstLine="420" w:firstLineChars="200"/>
        <w:rPr>
          <w:rFonts w:ascii="宋体" w:hAnsi="宋体"/>
          <w:color w:val="auto"/>
          <w:szCs w:val="21"/>
          <w:highlight w:val="none"/>
        </w:rPr>
      </w:pPr>
      <w:bookmarkStart w:id="139" w:name="_Toc144974499"/>
      <w:bookmarkStart w:id="140" w:name="_Toc152042307"/>
      <w:bookmarkStart w:id="141" w:name="_Toc152045531"/>
      <w:bookmarkStart w:id="142" w:name="_Toc179632548"/>
      <w:r>
        <w:rPr>
          <w:rFonts w:hint="eastAsia" w:ascii="宋体" w:hAnsi="宋体"/>
          <w:color w:val="auto"/>
          <w:szCs w:val="21"/>
          <w:highlight w:val="none"/>
        </w:rPr>
        <w:t>1.1.1 根据《中华人民共和国招标投标法》等有关法律、法规和规章的规定，本招标项目</w:t>
      </w:r>
      <w:r>
        <w:rPr>
          <w:rFonts w:hint="eastAsia" w:ascii="宋体" w:hAnsi="宋体"/>
          <w:color w:val="auto"/>
          <w:szCs w:val="21"/>
          <w:highlight w:val="none"/>
          <w:lang w:eastAsia="zh-CN"/>
        </w:rPr>
        <w:t>已</w:t>
      </w:r>
      <w:r>
        <w:rPr>
          <w:rFonts w:hint="eastAsia" w:ascii="宋体" w:hAnsi="宋体"/>
          <w:color w:val="auto"/>
          <w:szCs w:val="21"/>
          <w:highlight w:val="none"/>
        </w:rPr>
        <w:t>具备招标条件，现对本</w:t>
      </w:r>
      <w:r>
        <w:rPr>
          <w:rFonts w:hint="eastAsia" w:ascii="宋体" w:hAnsi="宋体"/>
          <w:snapToGrid w:val="0"/>
          <w:color w:val="auto"/>
          <w:kern w:val="0"/>
          <w:szCs w:val="21"/>
          <w:highlight w:val="none"/>
        </w:rPr>
        <w:t>项目</w:t>
      </w:r>
      <w:r>
        <w:rPr>
          <w:rFonts w:hint="eastAsia" w:ascii="宋体" w:hAnsi="宋体"/>
          <w:color w:val="auto"/>
          <w:szCs w:val="21"/>
          <w:highlight w:val="none"/>
        </w:rPr>
        <w:t>施工进行招标。</w:t>
      </w:r>
    </w:p>
    <w:p w14:paraId="09E5EC1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1.1.2 本招标项目招标人：见《投标人须知前附表》。</w:t>
      </w:r>
    </w:p>
    <w:p w14:paraId="285383D3">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1.1.3 本</w:t>
      </w:r>
      <w:r>
        <w:rPr>
          <w:rFonts w:hint="eastAsia" w:ascii="宋体" w:hAnsi="宋体"/>
          <w:snapToGrid w:val="0"/>
          <w:color w:val="auto"/>
          <w:kern w:val="0"/>
          <w:szCs w:val="21"/>
          <w:highlight w:val="none"/>
        </w:rPr>
        <w:t>项目</w:t>
      </w:r>
      <w:r>
        <w:rPr>
          <w:rFonts w:hint="eastAsia" w:ascii="宋体" w:hAnsi="宋体"/>
          <w:color w:val="auto"/>
          <w:szCs w:val="21"/>
          <w:highlight w:val="none"/>
        </w:rPr>
        <w:t>招标代理机构：见《投标人须知前附表》。</w:t>
      </w:r>
    </w:p>
    <w:p w14:paraId="460DCAF6">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1.1.4 本招标项目（标段）名称：见《投标人须知前附表》。</w:t>
      </w:r>
    </w:p>
    <w:p w14:paraId="5CB3D65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1.1.5 本项目建设地点：见《投标人须知前附表》。</w:t>
      </w:r>
    </w:p>
    <w:p w14:paraId="51DAB73D">
      <w:pPr>
        <w:spacing w:after="0" w:line="360" w:lineRule="auto"/>
        <w:rPr>
          <w:rFonts w:ascii="宋体" w:hAnsi="宋体"/>
          <w:b/>
          <w:color w:val="auto"/>
          <w:sz w:val="24"/>
          <w:highlight w:val="none"/>
        </w:rPr>
      </w:pPr>
      <w:r>
        <w:rPr>
          <w:rFonts w:ascii="宋体" w:hAnsi="宋体"/>
          <w:b/>
          <w:color w:val="auto"/>
          <w:sz w:val="24"/>
          <w:highlight w:val="none"/>
        </w:rPr>
        <w:t xml:space="preserve">1.2 </w:t>
      </w:r>
      <w:r>
        <w:rPr>
          <w:rFonts w:hint="eastAsia" w:ascii="宋体" w:hAnsi="宋体"/>
          <w:b/>
          <w:color w:val="auto"/>
          <w:sz w:val="24"/>
          <w:highlight w:val="none"/>
        </w:rPr>
        <w:t>资金来源和落实情况</w:t>
      </w:r>
      <w:bookmarkEnd w:id="139"/>
      <w:bookmarkEnd w:id="140"/>
      <w:bookmarkEnd w:id="141"/>
      <w:bookmarkEnd w:id="142"/>
    </w:p>
    <w:p w14:paraId="03BA2117">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1.2.1 </w:t>
      </w:r>
      <w:r>
        <w:rPr>
          <w:rFonts w:hint="eastAsia" w:ascii="宋体" w:hAnsi="宋体"/>
          <w:color w:val="auto"/>
          <w:szCs w:val="21"/>
          <w:highlight w:val="none"/>
        </w:rPr>
        <w:t>本招标项目的资金来源：见《投标人须知前附表》。</w:t>
      </w:r>
    </w:p>
    <w:p w14:paraId="2B7ADA38">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1.2.2 </w:t>
      </w:r>
      <w:r>
        <w:rPr>
          <w:rFonts w:hint="eastAsia" w:ascii="宋体" w:hAnsi="宋体"/>
          <w:color w:val="auto"/>
          <w:szCs w:val="21"/>
          <w:highlight w:val="none"/>
        </w:rPr>
        <w:t>本招标项目的出资比例：见《投标人须知前附表》。</w:t>
      </w:r>
    </w:p>
    <w:p w14:paraId="48152018">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1.2.3 </w:t>
      </w:r>
      <w:r>
        <w:rPr>
          <w:rFonts w:hint="eastAsia" w:ascii="宋体" w:hAnsi="宋体"/>
          <w:color w:val="auto"/>
          <w:szCs w:val="21"/>
          <w:highlight w:val="none"/>
        </w:rPr>
        <w:t>本招标项目的资金落实情况：见《投标人须知前附表》。</w:t>
      </w:r>
    </w:p>
    <w:p w14:paraId="7045F937">
      <w:pPr>
        <w:spacing w:after="0" w:line="360" w:lineRule="auto"/>
        <w:rPr>
          <w:rFonts w:ascii="宋体" w:hAnsi="宋体"/>
          <w:b/>
          <w:color w:val="auto"/>
          <w:sz w:val="24"/>
          <w:highlight w:val="none"/>
        </w:rPr>
      </w:pPr>
      <w:bookmarkStart w:id="143" w:name="_Toc179632549"/>
      <w:bookmarkStart w:id="144" w:name="_Toc152045532"/>
      <w:bookmarkStart w:id="145" w:name="_Toc144974500"/>
      <w:bookmarkStart w:id="146" w:name="_Toc152042308"/>
      <w:r>
        <w:rPr>
          <w:rFonts w:ascii="宋体" w:hAnsi="宋体"/>
          <w:b/>
          <w:color w:val="auto"/>
          <w:sz w:val="24"/>
          <w:highlight w:val="none"/>
        </w:rPr>
        <w:t xml:space="preserve">1.3 </w:t>
      </w:r>
      <w:r>
        <w:rPr>
          <w:rFonts w:hint="eastAsia" w:ascii="宋体" w:hAnsi="宋体"/>
          <w:b/>
          <w:color w:val="auto"/>
          <w:sz w:val="24"/>
          <w:highlight w:val="none"/>
        </w:rPr>
        <w:t>招标范围、计划工期和质量要求</w:t>
      </w:r>
      <w:bookmarkEnd w:id="143"/>
      <w:bookmarkEnd w:id="144"/>
      <w:bookmarkEnd w:id="145"/>
      <w:bookmarkEnd w:id="146"/>
    </w:p>
    <w:p w14:paraId="5194F6C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1.3.1 </w:t>
      </w:r>
      <w:r>
        <w:rPr>
          <w:rFonts w:hint="eastAsia" w:ascii="宋体" w:hAnsi="宋体"/>
          <w:color w:val="auto"/>
          <w:szCs w:val="21"/>
          <w:highlight w:val="none"/>
        </w:rPr>
        <w:t>本次招标范围：见《投标人须知前附表》。</w:t>
      </w:r>
    </w:p>
    <w:p w14:paraId="0E2A0351">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1.3.2 </w:t>
      </w:r>
      <w:r>
        <w:rPr>
          <w:rFonts w:hint="eastAsia" w:ascii="宋体" w:hAnsi="宋体"/>
          <w:color w:val="auto"/>
          <w:szCs w:val="21"/>
          <w:highlight w:val="none"/>
        </w:rPr>
        <w:t>本</w:t>
      </w:r>
      <w:r>
        <w:rPr>
          <w:rFonts w:hint="eastAsia" w:ascii="宋体" w:hAnsi="宋体"/>
          <w:snapToGrid w:val="0"/>
          <w:color w:val="auto"/>
          <w:kern w:val="0"/>
          <w:szCs w:val="21"/>
          <w:highlight w:val="none"/>
        </w:rPr>
        <w:t>项目</w:t>
      </w:r>
      <w:r>
        <w:rPr>
          <w:rFonts w:hint="eastAsia" w:ascii="宋体" w:hAnsi="宋体"/>
          <w:color w:val="auto"/>
          <w:szCs w:val="21"/>
          <w:highlight w:val="none"/>
        </w:rPr>
        <w:t>的计划工期：见《投标人须知前附表》。</w:t>
      </w:r>
    </w:p>
    <w:p w14:paraId="0AE2377E">
      <w:pPr>
        <w:spacing w:after="0" w:line="360" w:lineRule="auto"/>
        <w:ind w:firstLine="420" w:firstLineChars="200"/>
        <w:rPr>
          <w:rFonts w:ascii="宋体" w:hAnsi="宋体"/>
          <w:color w:val="auto"/>
          <w:highlight w:val="none"/>
        </w:rPr>
      </w:pPr>
      <w:r>
        <w:rPr>
          <w:rFonts w:ascii="宋体" w:hAnsi="宋体"/>
          <w:color w:val="auto"/>
          <w:szCs w:val="21"/>
          <w:highlight w:val="none"/>
        </w:rPr>
        <w:t xml:space="preserve">1.3.3 </w:t>
      </w:r>
      <w:r>
        <w:rPr>
          <w:rFonts w:hint="eastAsia" w:ascii="宋体" w:hAnsi="宋体"/>
          <w:color w:val="auto"/>
          <w:szCs w:val="21"/>
          <w:highlight w:val="none"/>
        </w:rPr>
        <w:t>本</w:t>
      </w:r>
      <w:r>
        <w:rPr>
          <w:rFonts w:hint="eastAsia" w:ascii="宋体" w:hAnsi="宋体"/>
          <w:snapToGrid w:val="0"/>
          <w:color w:val="auto"/>
          <w:kern w:val="0"/>
          <w:szCs w:val="21"/>
          <w:highlight w:val="none"/>
        </w:rPr>
        <w:t>项目</w:t>
      </w:r>
      <w:r>
        <w:rPr>
          <w:rFonts w:hint="eastAsia" w:ascii="宋体" w:hAnsi="宋体"/>
          <w:color w:val="auto"/>
          <w:szCs w:val="21"/>
          <w:highlight w:val="none"/>
        </w:rPr>
        <w:t>的质量要求：见《投标人须知前附表》。</w:t>
      </w:r>
    </w:p>
    <w:p w14:paraId="267E5765">
      <w:pPr>
        <w:spacing w:after="0" w:line="360" w:lineRule="auto"/>
        <w:rPr>
          <w:rFonts w:ascii="宋体" w:hAnsi="宋体"/>
          <w:b/>
          <w:color w:val="auto"/>
          <w:sz w:val="24"/>
          <w:highlight w:val="none"/>
        </w:rPr>
      </w:pPr>
      <w:bookmarkStart w:id="147" w:name="_Toc144974501"/>
      <w:bookmarkStart w:id="148" w:name="_Toc152042309"/>
      <w:bookmarkStart w:id="149" w:name="_Toc179632550"/>
      <w:bookmarkStart w:id="150" w:name="_Toc152045533"/>
      <w:r>
        <w:rPr>
          <w:rFonts w:ascii="宋体" w:hAnsi="宋体"/>
          <w:b/>
          <w:color w:val="auto"/>
          <w:sz w:val="24"/>
          <w:highlight w:val="none"/>
        </w:rPr>
        <w:t xml:space="preserve">1.4 </w:t>
      </w:r>
      <w:r>
        <w:rPr>
          <w:rFonts w:hint="eastAsia" w:ascii="宋体" w:hAnsi="宋体"/>
          <w:b/>
          <w:color w:val="auto"/>
          <w:sz w:val="24"/>
          <w:highlight w:val="none"/>
        </w:rPr>
        <w:t>投标人资格要求</w:t>
      </w:r>
      <w:bookmarkEnd w:id="147"/>
      <w:bookmarkEnd w:id="148"/>
      <w:bookmarkEnd w:id="149"/>
      <w:bookmarkEnd w:id="150"/>
    </w:p>
    <w:p w14:paraId="4C0CDE50">
      <w:pPr>
        <w:spacing w:after="0" w:line="360" w:lineRule="auto"/>
        <w:ind w:firstLine="420" w:firstLineChars="200"/>
        <w:rPr>
          <w:rFonts w:ascii="宋体" w:hAnsi="宋体"/>
          <w:color w:val="auto"/>
          <w:highlight w:val="none"/>
        </w:rPr>
      </w:pPr>
      <w:r>
        <w:rPr>
          <w:rFonts w:hint="eastAsia" w:ascii="宋体" w:hAnsi="宋体"/>
          <w:color w:val="auto"/>
          <w:highlight w:val="none"/>
        </w:rPr>
        <w:t>1.4.1投标人应具备承担本工程施工的资质条件、能力和信誉。</w:t>
      </w:r>
    </w:p>
    <w:p w14:paraId="34ED1945">
      <w:pPr>
        <w:spacing w:after="0" w:line="360" w:lineRule="auto"/>
        <w:ind w:firstLine="718" w:firstLineChars="342"/>
        <w:rPr>
          <w:rFonts w:ascii="宋体" w:hAnsi="宋体"/>
          <w:color w:val="auto"/>
          <w:highlight w:val="none"/>
        </w:rPr>
      </w:pPr>
      <w:r>
        <w:rPr>
          <w:rFonts w:hint="eastAsia" w:ascii="宋体" w:hAnsi="宋体"/>
          <w:color w:val="auto"/>
          <w:highlight w:val="none"/>
        </w:rPr>
        <w:t>（1）资质条件：见《投标人须知前附表》。</w:t>
      </w:r>
    </w:p>
    <w:p w14:paraId="472420A7">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2</w:t>
      </w:r>
      <w:r>
        <w:rPr>
          <w:rFonts w:hint="eastAsia" w:ascii="宋体" w:hAnsi="宋体"/>
          <w:color w:val="auto"/>
          <w:highlight w:val="none"/>
        </w:rPr>
        <w:t>）财务要求：见《投标人须知前附表》。</w:t>
      </w:r>
    </w:p>
    <w:p w14:paraId="383A863E">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3</w:t>
      </w:r>
      <w:r>
        <w:rPr>
          <w:rFonts w:hint="eastAsia" w:ascii="宋体" w:hAnsi="宋体"/>
          <w:color w:val="auto"/>
          <w:highlight w:val="none"/>
        </w:rPr>
        <w:t>）项目经理（项目负责人）资格：见《投标人须知前附表》。</w:t>
      </w:r>
    </w:p>
    <w:p w14:paraId="306EF5F7">
      <w:pPr>
        <w:spacing w:after="0" w:line="360" w:lineRule="auto"/>
        <w:ind w:firstLine="718" w:firstLineChars="342"/>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4</w:t>
      </w:r>
      <w:r>
        <w:rPr>
          <w:rFonts w:hint="eastAsia" w:ascii="宋体" w:hAnsi="宋体"/>
          <w:color w:val="auto"/>
          <w:highlight w:val="none"/>
        </w:rPr>
        <w:t>）技术负责人资格：见《投标人须知前附表》。</w:t>
      </w:r>
    </w:p>
    <w:p w14:paraId="58EC427F">
      <w:pPr>
        <w:spacing w:after="0" w:line="360" w:lineRule="auto"/>
        <w:ind w:firstLine="718" w:firstLineChars="342"/>
        <w:rPr>
          <w:rFonts w:hint="eastAsia" w:eastAsia="宋体"/>
          <w:highlight w:val="none"/>
          <w:lang w:eastAsia="zh-CN"/>
        </w:rPr>
      </w:pPr>
      <w:r>
        <w:rPr>
          <w:rFonts w:hint="eastAsia" w:ascii="宋体" w:hAnsi="宋体"/>
          <w:color w:val="auto"/>
          <w:highlight w:val="none"/>
          <w:lang w:eastAsia="zh-CN"/>
        </w:rPr>
        <w:t>（</w:t>
      </w:r>
      <w:r>
        <w:rPr>
          <w:rFonts w:hint="eastAsia" w:ascii="宋体" w:hAnsi="宋体"/>
          <w:color w:val="auto"/>
          <w:highlight w:val="none"/>
          <w:lang w:val="en-US" w:eastAsia="zh-CN"/>
        </w:rPr>
        <w:t>5</w:t>
      </w:r>
      <w:r>
        <w:rPr>
          <w:rFonts w:hint="eastAsia" w:ascii="宋体" w:hAnsi="宋体"/>
          <w:color w:val="auto"/>
          <w:highlight w:val="none"/>
          <w:lang w:eastAsia="zh-CN"/>
        </w:rPr>
        <w:t>）</w:t>
      </w:r>
      <w:r>
        <w:rPr>
          <w:rFonts w:hint="eastAsia" w:ascii="宋体" w:hAnsi="宋体" w:cs="宋体"/>
          <w:color w:val="000000" w:themeColor="text1"/>
          <w:kern w:val="0"/>
          <w:highlight w:val="none"/>
          <w14:textFill>
            <w14:solidFill>
              <w14:schemeClr w14:val="tx1"/>
            </w14:solidFill>
          </w14:textFill>
        </w:rPr>
        <w:t>业绩要求：</w:t>
      </w:r>
      <w:r>
        <w:rPr>
          <w:rFonts w:hint="eastAsia" w:ascii="宋体" w:hAnsi="宋体"/>
          <w:color w:val="auto"/>
          <w:highlight w:val="none"/>
        </w:rPr>
        <w:t>见《投标人须知前附表》。</w:t>
      </w:r>
    </w:p>
    <w:p w14:paraId="28F3A0EB">
      <w:pPr>
        <w:spacing w:after="0" w:line="360" w:lineRule="auto"/>
        <w:ind w:firstLine="735" w:firstLineChars="350"/>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6</w:t>
      </w:r>
      <w:r>
        <w:rPr>
          <w:rFonts w:hint="eastAsia" w:ascii="宋体" w:hAnsi="宋体"/>
          <w:color w:val="auto"/>
          <w:highlight w:val="none"/>
        </w:rPr>
        <w:t>）其他要求：见《投标人须知前附表》。</w:t>
      </w:r>
    </w:p>
    <w:p w14:paraId="5716D42A">
      <w:pPr>
        <w:spacing w:after="0" w:line="360" w:lineRule="auto"/>
        <w:ind w:firstLine="420" w:firstLineChars="200"/>
        <w:rPr>
          <w:rFonts w:ascii="宋体" w:hAnsi="宋体"/>
          <w:color w:val="auto"/>
          <w:highlight w:val="none"/>
        </w:rPr>
      </w:pPr>
      <w:r>
        <w:rPr>
          <w:rFonts w:ascii="宋体" w:hAnsi="宋体"/>
          <w:color w:val="auto"/>
          <w:highlight w:val="none"/>
        </w:rPr>
        <w:t>1.4.2</w:t>
      </w:r>
      <w:r>
        <w:rPr>
          <w:rFonts w:hint="eastAsia" w:ascii="宋体" w:hAnsi="宋体"/>
          <w:color w:val="auto"/>
          <w:highlight w:val="none"/>
        </w:rPr>
        <w:t xml:space="preserve"> 本项目不接受联合体投标。</w:t>
      </w:r>
    </w:p>
    <w:p w14:paraId="11D223E4">
      <w:pPr>
        <w:spacing w:after="0" w:line="360" w:lineRule="auto"/>
        <w:ind w:firstLine="420" w:firstLineChars="200"/>
        <w:rPr>
          <w:rFonts w:ascii="宋体" w:hAnsi="宋体"/>
          <w:color w:val="auto"/>
          <w:highlight w:val="none"/>
        </w:rPr>
      </w:pPr>
      <w:r>
        <w:rPr>
          <w:rFonts w:ascii="宋体" w:hAnsi="宋体"/>
          <w:color w:val="auto"/>
          <w:highlight w:val="none"/>
        </w:rPr>
        <w:t xml:space="preserve">1.4.3 </w:t>
      </w:r>
      <w:r>
        <w:rPr>
          <w:rFonts w:hint="eastAsia" w:ascii="宋体" w:hAnsi="宋体"/>
          <w:color w:val="auto"/>
          <w:highlight w:val="none"/>
        </w:rPr>
        <w:t>投标人不得存在下列情形之一：</w:t>
      </w:r>
    </w:p>
    <w:p w14:paraId="5C1F6F38">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）为招标人不具有独立法人资格的附属机构（单位）；</w:t>
      </w:r>
    </w:p>
    <w:p w14:paraId="7B29A98E">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2</w:t>
      </w:r>
      <w:r>
        <w:rPr>
          <w:rFonts w:hint="eastAsia" w:ascii="宋体" w:hAnsi="宋体"/>
          <w:color w:val="auto"/>
          <w:highlight w:val="none"/>
        </w:rPr>
        <w:t>）为本项目前期准备提供设计或咨询服务的，但设计施工总承包的除外；</w:t>
      </w:r>
    </w:p>
    <w:p w14:paraId="2DC48336">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3</w:t>
      </w:r>
      <w:r>
        <w:rPr>
          <w:rFonts w:hint="eastAsia" w:ascii="宋体" w:hAnsi="宋体"/>
          <w:color w:val="auto"/>
          <w:highlight w:val="none"/>
        </w:rPr>
        <w:t>）为本项目的监理人；</w:t>
      </w:r>
    </w:p>
    <w:p w14:paraId="4AA53A0A">
      <w:pPr>
        <w:spacing w:after="0" w:line="360" w:lineRule="auto"/>
        <w:ind w:firstLine="718" w:firstLineChars="342"/>
        <w:rPr>
          <w:rFonts w:ascii="宋体" w:hAnsi="宋体"/>
          <w:color w:val="auto"/>
          <w:highlight w:val="none"/>
        </w:rPr>
      </w:pPr>
      <w:r>
        <w:rPr>
          <w:rFonts w:hint="eastAsia" w:ascii="宋体" w:hAnsi="宋体"/>
          <w:color w:val="auto"/>
          <w:highlight w:val="none"/>
        </w:rPr>
        <w:t>（4）为本项目提供招标代理服务的；</w:t>
      </w:r>
    </w:p>
    <w:p w14:paraId="47120E30">
      <w:pPr>
        <w:spacing w:after="0" w:line="360" w:lineRule="auto"/>
        <w:ind w:firstLine="718" w:firstLineChars="342"/>
        <w:rPr>
          <w:rFonts w:ascii="宋体" w:hAnsi="宋体"/>
          <w:color w:val="auto"/>
          <w:highlight w:val="none"/>
        </w:rPr>
      </w:pPr>
      <w:r>
        <w:rPr>
          <w:rFonts w:hint="eastAsia" w:ascii="宋体" w:hAnsi="宋体"/>
          <w:color w:val="auto"/>
          <w:highlight w:val="none"/>
        </w:rPr>
        <w:t>（5）与本项目的监理人或招标代理机构同为一个法定代表人的；</w:t>
      </w:r>
    </w:p>
    <w:p w14:paraId="46897FB2">
      <w:pPr>
        <w:spacing w:after="0" w:line="360" w:lineRule="auto"/>
        <w:ind w:firstLine="718" w:firstLineChars="342"/>
        <w:rPr>
          <w:rFonts w:ascii="宋体" w:hAnsi="宋体"/>
          <w:color w:val="auto"/>
          <w:highlight w:val="none"/>
        </w:rPr>
      </w:pPr>
      <w:r>
        <w:rPr>
          <w:rFonts w:hint="eastAsia" w:ascii="宋体" w:hAnsi="宋体"/>
          <w:color w:val="auto"/>
          <w:highlight w:val="none"/>
        </w:rPr>
        <w:t>（6）与本项目的监理人或招标代理机构相互控股或参股的；</w:t>
      </w:r>
    </w:p>
    <w:p w14:paraId="407E76B0">
      <w:pPr>
        <w:spacing w:after="0" w:line="360" w:lineRule="auto"/>
        <w:ind w:firstLine="718" w:firstLineChars="342"/>
        <w:rPr>
          <w:rFonts w:ascii="宋体" w:hAnsi="宋体"/>
          <w:color w:val="auto"/>
          <w:highlight w:val="none"/>
        </w:rPr>
      </w:pPr>
      <w:r>
        <w:rPr>
          <w:rFonts w:hint="eastAsia" w:ascii="宋体" w:hAnsi="宋体"/>
          <w:color w:val="auto"/>
          <w:highlight w:val="none"/>
        </w:rPr>
        <w:t>（7）与本项目的监理人或招标代理机构相互任职或工作的；</w:t>
      </w:r>
    </w:p>
    <w:p w14:paraId="75F2A4F3">
      <w:pPr>
        <w:spacing w:after="0" w:line="360" w:lineRule="auto"/>
        <w:ind w:firstLine="718" w:firstLineChars="342"/>
        <w:rPr>
          <w:rFonts w:ascii="宋体" w:hAnsi="宋体"/>
          <w:color w:val="auto"/>
          <w:highlight w:val="none"/>
        </w:rPr>
      </w:pPr>
      <w:r>
        <w:rPr>
          <w:rFonts w:hint="eastAsia" w:ascii="宋体" w:hAnsi="宋体"/>
          <w:color w:val="auto"/>
          <w:highlight w:val="none"/>
        </w:rPr>
        <w:t>（8）被责令停业的；</w:t>
      </w:r>
    </w:p>
    <w:p w14:paraId="1028A5ED">
      <w:pPr>
        <w:spacing w:after="0" w:line="360" w:lineRule="auto"/>
        <w:ind w:firstLine="718" w:firstLineChars="342"/>
        <w:rPr>
          <w:rFonts w:ascii="宋体" w:hAnsi="宋体"/>
          <w:color w:val="auto"/>
          <w:highlight w:val="none"/>
        </w:rPr>
      </w:pPr>
      <w:r>
        <w:rPr>
          <w:rFonts w:hint="eastAsia" w:ascii="宋体" w:hAnsi="宋体"/>
          <w:color w:val="auto"/>
          <w:highlight w:val="none"/>
        </w:rPr>
        <w:t>（9）被暂停或取消投标资格的；</w:t>
      </w:r>
    </w:p>
    <w:p w14:paraId="055EF814">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0）财产被接管或冻结的；</w:t>
      </w:r>
    </w:p>
    <w:p w14:paraId="19D1D392">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1）在最近三年内有骗取中标或严重违约或重大工程质量问题的。</w:t>
      </w:r>
    </w:p>
    <w:p w14:paraId="182FA86B">
      <w:pPr>
        <w:spacing w:after="0" w:line="360" w:lineRule="auto"/>
        <w:rPr>
          <w:rFonts w:ascii="宋体" w:hAnsi="宋体"/>
          <w:b/>
          <w:color w:val="auto"/>
          <w:sz w:val="24"/>
          <w:highlight w:val="none"/>
        </w:rPr>
      </w:pPr>
      <w:bookmarkStart w:id="151" w:name="_Toc152045535"/>
      <w:bookmarkStart w:id="152" w:name="_Toc144974503"/>
      <w:bookmarkStart w:id="153" w:name="_Toc179632552"/>
      <w:bookmarkStart w:id="154" w:name="_Toc152042311"/>
      <w:r>
        <w:rPr>
          <w:rFonts w:ascii="宋体" w:hAnsi="宋体"/>
          <w:b/>
          <w:color w:val="auto"/>
          <w:sz w:val="24"/>
          <w:highlight w:val="none"/>
        </w:rPr>
        <w:t xml:space="preserve">1.5 </w:t>
      </w:r>
      <w:r>
        <w:rPr>
          <w:rFonts w:hint="eastAsia" w:ascii="宋体" w:hAnsi="宋体"/>
          <w:b/>
          <w:color w:val="auto"/>
          <w:sz w:val="24"/>
          <w:highlight w:val="none"/>
        </w:rPr>
        <w:t>费用承担</w:t>
      </w:r>
      <w:bookmarkEnd w:id="151"/>
      <w:bookmarkEnd w:id="152"/>
      <w:bookmarkEnd w:id="153"/>
      <w:bookmarkEnd w:id="154"/>
    </w:p>
    <w:p w14:paraId="63326A96">
      <w:pPr>
        <w:adjustRightInd w:val="0"/>
        <w:snapToGrid w:val="0"/>
        <w:spacing w:after="0" w:line="360" w:lineRule="auto"/>
        <w:ind w:firstLine="420" w:firstLineChars="200"/>
        <w:jc w:val="left"/>
        <w:rPr>
          <w:rFonts w:hint="eastAsia"/>
          <w:highlight w:val="none"/>
        </w:rPr>
      </w:pPr>
      <w:bookmarkStart w:id="155" w:name="_Toc144974504"/>
      <w:bookmarkStart w:id="156" w:name="_Toc179632553"/>
      <w:bookmarkStart w:id="157" w:name="_Toc152045536"/>
      <w:bookmarkStart w:id="158" w:name="_Toc152042312"/>
      <w:r>
        <w:rPr>
          <w:rFonts w:hint="eastAsia" w:ascii="宋体" w:hAnsi="宋体" w:eastAsia="宋体" w:cs="Times New Roman"/>
          <w:color w:val="auto"/>
          <w:highlight w:val="none"/>
        </w:rPr>
        <w:t>工程量清单、拦标价编制及施工招标代理服务费</w:t>
      </w:r>
      <w:r>
        <w:rPr>
          <w:rFonts w:hint="eastAsia" w:ascii="宋体" w:hAnsi="宋体" w:eastAsia="宋体" w:cs="Times New Roman"/>
          <w:color w:val="auto"/>
          <w:highlight w:val="none"/>
          <w:lang w:val="en-US" w:eastAsia="zh-CN"/>
        </w:rPr>
        <w:t>0</w:t>
      </w:r>
      <w:r>
        <w:rPr>
          <w:rFonts w:hint="eastAsia" w:ascii="宋体" w:hAnsi="宋体" w:eastAsia="宋体" w:cs="Times New Roman"/>
          <w:color w:val="auto"/>
          <w:highlight w:val="none"/>
        </w:rPr>
        <w:t>.00元（大写：</w:t>
      </w:r>
      <w:r>
        <w:rPr>
          <w:rFonts w:hint="eastAsia" w:ascii="宋体" w:hAnsi="宋体" w:eastAsia="宋体" w:cs="Times New Roman"/>
          <w:color w:val="auto"/>
          <w:highlight w:val="none"/>
          <w:lang w:val="en-US" w:eastAsia="zh-CN"/>
        </w:rPr>
        <w:t>零元整</w:t>
      </w:r>
      <w:r>
        <w:rPr>
          <w:rFonts w:hint="eastAsia" w:ascii="宋体" w:hAnsi="宋体" w:eastAsia="宋体" w:cs="Times New Roman"/>
          <w:color w:val="auto"/>
          <w:highlight w:val="none"/>
        </w:rPr>
        <w:t>），由招标人承担。</w:t>
      </w:r>
    </w:p>
    <w:p w14:paraId="6186C0B9">
      <w:pPr>
        <w:spacing w:after="0" w:line="360" w:lineRule="auto"/>
        <w:rPr>
          <w:rFonts w:ascii="宋体" w:hAnsi="宋体"/>
          <w:b/>
          <w:color w:val="auto"/>
          <w:sz w:val="24"/>
          <w:highlight w:val="none"/>
        </w:rPr>
      </w:pPr>
      <w:r>
        <w:rPr>
          <w:rFonts w:ascii="宋体" w:hAnsi="宋体"/>
          <w:b/>
          <w:color w:val="auto"/>
          <w:sz w:val="24"/>
          <w:highlight w:val="none"/>
        </w:rPr>
        <w:t xml:space="preserve">1.6 </w:t>
      </w:r>
      <w:r>
        <w:rPr>
          <w:rFonts w:hint="eastAsia" w:ascii="宋体" w:hAnsi="宋体"/>
          <w:b/>
          <w:color w:val="auto"/>
          <w:sz w:val="24"/>
          <w:highlight w:val="none"/>
        </w:rPr>
        <w:t>保密</w:t>
      </w:r>
      <w:bookmarkEnd w:id="155"/>
      <w:bookmarkEnd w:id="156"/>
      <w:bookmarkEnd w:id="157"/>
      <w:bookmarkEnd w:id="158"/>
    </w:p>
    <w:p w14:paraId="26AACC84">
      <w:pPr>
        <w:spacing w:after="0" w:line="360" w:lineRule="auto"/>
        <w:ind w:firstLine="420" w:firstLineChars="200"/>
        <w:rPr>
          <w:rFonts w:ascii="宋体" w:hAnsi="宋体"/>
          <w:color w:val="auto"/>
          <w:highlight w:val="none"/>
        </w:rPr>
      </w:pPr>
      <w:r>
        <w:rPr>
          <w:rFonts w:hint="eastAsia" w:ascii="宋体" w:hAnsi="宋体"/>
          <w:color w:val="auto"/>
          <w:highlight w:val="none"/>
        </w:rPr>
        <w:t>参与招标投标活动的各方应对《招标文件》和《投标文件》中的商业和技术等秘密保密，违者应对由此造成的后果承担法律责任。</w:t>
      </w:r>
    </w:p>
    <w:p w14:paraId="2A96C928">
      <w:pPr>
        <w:spacing w:after="0" w:line="360" w:lineRule="auto"/>
        <w:rPr>
          <w:rFonts w:ascii="宋体" w:hAnsi="宋体"/>
          <w:b/>
          <w:color w:val="auto"/>
          <w:sz w:val="24"/>
          <w:highlight w:val="none"/>
        </w:rPr>
      </w:pPr>
      <w:bookmarkStart w:id="159" w:name="_Toc144974505"/>
      <w:bookmarkStart w:id="160" w:name="_Toc179632554"/>
      <w:bookmarkStart w:id="161" w:name="_Toc152042313"/>
      <w:bookmarkStart w:id="162" w:name="_Toc152045537"/>
      <w:r>
        <w:rPr>
          <w:rFonts w:ascii="宋体" w:hAnsi="宋体"/>
          <w:b/>
          <w:color w:val="auto"/>
          <w:sz w:val="24"/>
          <w:highlight w:val="none"/>
        </w:rPr>
        <w:t xml:space="preserve">1.7 </w:t>
      </w:r>
      <w:r>
        <w:rPr>
          <w:rFonts w:hint="eastAsia" w:ascii="宋体" w:hAnsi="宋体"/>
          <w:b/>
          <w:color w:val="auto"/>
          <w:sz w:val="24"/>
          <w:highlight w:val="none"/>
        </w:rPr>
        <w:t>语言</w:t>
      </w:r>
      <w:bookmarkEnd w:id="159"/>
      <w:r>
        <w:rPr>
          <w:rFonts w:hint="eastAsia" w:ascii="宋体" w:hAnsi="宋体"/>
          <w:b/>
          <w:color w:val="auto"/>
          <w:sz w:val="24"/>
          <w:highlight w:val="none"/>
        </w:rPr>
        <w:t>文字</w:t>
      </w:r>
      <w:bookmarkEnd w:id="160"/>
      <w:bookmarkEnd w:id="161"/>
      <w:bookmarkEnd w:id="162"/>
    </w:p>
    <w:p w14:paraId="1C3EEC80">
      <w:pPr>
        <w:spacing w:after="0" w:line="360" w:lineRule="auto"/>
        <w:ind w:firstLine="420" w:firstLineChars="200"/>
        <w:rPr>
          <w:rFonts w:ascii="宋体" w:hAnsi="宋体"/>
          <w:color w:val="auto"/>
          <w:highlight w:val="none"/>
        </w:rPr>
      </w:pPr>
      <w:r>
        <w:rPr>
          <w:rFonts w:hint="eastAsia" w:ascii="宋体" w:hAnsi="宋体"/>
          <w:color w:val="auto"/>
          <w:highlight w:val="none"/>
        </w:rPr>
        <w:t>除专用术语外，与招标投标有关的语言均使用</w:t>
      </w:r>
      <w:r>
        <w:rPr>
          <w:rFonts w:hint="eastAsia" w:ascii="宋体" w:hAnsi="宋体"/>
          <w:color w:val="auto"/>
          <w:highlight w:val="none"/>
          <w:u w:val="single"/>
        </w:rPr>
        <w:t>中文</w:t>
      </w:r>
      <w:r>
        <w:rPr>
          <w:rFonts w:hint="eastAsia" w:ascii="宋体" w:hAnsi="宋体"/>
          <w:color w:val="auto"/>
          <w:highlight w:val="none"/>
        </w:rPr>
        <w:t>。必要时专用术语应附有中文注释。</w:t>
      </w:r>
    </w:p>
    <w:p w14:paraId="215EDA6E">
      <w:pPr>
        <w:spacing w:after="0" w:line="360" w:lineRule="auto"/>
        <w:rPr>
          <w:rFonts w:ascii="宋体" w:hAnsi="宋体"/>
          <w:b/>
          <w:color w:val="auto"/>
          <w:sz w:val="24"/>
          <w:highlight w:val="none"/>
        </w:rPr>
      </w:pPr>
      <w:bookmarkStart w:id="163" w:name="_Toc152045538"/>
      <w:bookmarkStart w:id="164" w:name="_Toc179632555"/>
      <w:bookmarkStart w:id="165" w:name="_Toc152042314"/>
      <w:bookmarkStart w:id="166" w:name="_Toc144974506"/>
      <w:r>
        <w:rPr>
          <w:rFonts w:ascii="宋体" w:hAnsi="宋体"/>
          <w:b/>
          <w:color w:val="auto"/>
          <w:sz w:val="24"/>
          <w:highlight w:val="none"/>
        </w:rPr>
        <w:t xml:space="preserve">1.8 </w:t>
      </w:r>
      <w:r>
        <w:rPr>
          <w:rFonts w:hint="eastAsia" w:ascii="宋体" w:hAnsi="宋体"/>
          <w:b/>
          <w:color w:val="auto"/>
          <w:sz w:val="24"/>
          <w:highlight w:val="none"/>
        </w:rPr>
        <w:t>计量单位</w:t>
      </w:r>
      <w:bookmarkEnd w:id="163"/>
      <w:bookmarkEnd w:id="164"/>
      <w:bookmarkEnd w:id="165"/>
      <w:bookmarkEnd w:id="166"/>
    </w:p>
    <w:p w14:paraId="109E35D1">
      <w:pPr>
        <w:spacing w:after="0" w:line="360" w:lineRule="auto"/>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14:paraId="081E04D6">
      <w:pPr>
        <w:spacing w:after="0" w:line="360" w:lineRule="auto"/>
        <w:rPr>
          <w:rFonts w:ascii="宋体" w:hAnsi="宋体"/>
          <w:b/>
          <w:color w:val="auto"/>
          <w:sz w:val="24"/>
          <w:highlight w:val="none"/>
        </w:rPr>
      </w:pPr>
      <w:bookmarkStart w:id="167" w:name="_Toc221950112"/>
      <w:r>
        <w:rPr>
          <w:rFonts w:hint="eastAsia" w:ascii="宋体" w:hAnsi="宋体"/>
          <w:b/>
          <w:color w:val="auto"/>
          <w:sz w:val="24"/>
          <w:highlight w:val="none"/>
        </w:rPr>
        <w:t>1.9踏勘现场</w:t>
      </w:r>
    </w:p>
    <w:bookmarkEnd w:id="167"/>
    <w:p w14:paraId="66CD24DD">
      <w:pPr>
        <w:spacing w:after="0" w:line="360" w:lineRule="auto"/>
        <w:ind w:firstLine="420" w:firstLineChars="200"/>
        <w:rPr>
          <w:rFonts w:ascii="宋体" w:hAnsi="宋体"/>
          <w:color w:val="auto"/>
          <w:highlight w:val="none"/>
        </w:rPr>
      </w:pPr>
      <w:r>
        <w:rPr>
          <w:rFonts w:hint="eastAsia" w:ascii="宋体" w:hAnsi="宋体"/>
          <w:color w:val="auto"/>
          <w:highlight w:val="none"/>
        </w:rPr>
        <w:t>1.9.1 投标人须知前附表规定组织踏勘现场的，招标人按投标人须知前附表规定的时间、地点组织投标人踏勘项目现场。投标人须知附表规定不组织踏勘现场的，投标人自行踏勘现场。</w:t>
      </w:r>
    </w:p>
    <w:p w14:paraId="152FAB02">
      <w:pPr>
        <w:spacing w:after="0" w:line="360" w:lineRule="auto"/>
        <w:ind w:firstLine="420" w:firstLineChars="200"/>
        <w:rPr>
          <w:rFonts w:ascii="宋体" w:hAnsi="宋体"/>
          <w:color w:val="auto"/>
          <w:highlight w:val="none"/>
        </w:rPr>
      </w:pPr>
      <w:r>
        <w:rPr>
          <w:rFonts w:hint="eastAsia" w:ascii="宋体" w:hAnsi="宋体"/>
          <w:color w:val="auto"/>
          <w:highlight w:val="none"/>
        </w:rPr>
        <w:t>1.9.2 投标人踏勘现场发生的费用自理。投标人自行负责在踏勘现场中所发生的人员伤亡和财产损失。</w:t>
      </w:r>
    </w:p>
    <w:p w14:paraId="4126FCF6">
      <w:pPr>
        <w:spacing w:after="0" w:line="360" w:lineRule="auto"/>
        <w:ind w:firstLine="420" w:firstLineChars="200"/>
        <w:rPr>
          <w:rFonts w:ascii="宋体" w:hAnsi="宋体"/>
          <w:color w:val="auto"/>
          <w:highlight w:val="none"/>
        </w:rPr>
      </w:pPr>
      <w:r>
        <w:rPr>
          <w:rFonts w:hint="eastAsia" w:ascii="宋体" w:hAnsi="宋体"/>
          <w:color w:val="auto"/>
          <w:highlight w:val="none"/>
        </w:rPr>
        <w:t>1.9.3招标人不对投标人踏勘项目区现场作出的判断和决策负责。</w:t>
      </w:r>
    </w:p>
    <w:p w14:paraId="5EA9F4ED">
      <w:pPr>
        <w:spacing w:after="0" w:line="360" w:lineRule="auto"/>
        <w:rPr>
          <w:rFonts w:ascii="宋体" w:hAnsi="宋体"/>
          <w:b/>
          <w:color w:val="auto"/>
          <w:sz w:val="24"/>
          <w:highlight w:val="none"/>
        </w:rPr>
      </w:pPr>
      <w:r>
        <w:rPr>
          <w:rFonts w:hint="eastAsia" w:ascii="宋体" w:hAnsi="宋体"/>
          <w:b/>
          <w:color w:val="auto"/>
          <w:sz w:val="24"/>
          <w:highlight w:val="none"/>
        </w:rPr>
        <w:t>1.10投标预备会</w:t>
      </w:r>
    </w:p>
    <w:p w14:paraId="7DE594A8">
      <w:pPr>
        <w:spacing w:after="0" w:line="360" w:lineRule="auto"/>
        <w:ind w:firstLine="420" w:firstLineChars="200"/>
        <w:rPr>
          <w:rFonts w:ascii="宋体" w:hAnsi="宋体"/>
          <w:color w:val="auto"/>
          <w:highlight w:val="none"/>
        </w:rPr>
      </w:pPr>
      <w:r>
        <w:rPr>
          <w:rFonts w:hint="eastAsia" w:ascii="宋体" w:hAnsi="宋体"/>
          <w:color w:val="auto"/>
          <w:highlight w:val="none"/>
        </w:rPr>
        <w:t>招标人不集中召开投标预备会，实行网上答疑。投标人若有疑问，需要招标人予以答疑，应以不署名的形式在本项目</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highlight w:val="none"/>
        </w:rPr>
        <w:t>提出。</w:t>
      </w:r>
    </w:p>
    <w:p w14:paraId="1F6F8B2D">
      <w:pPr>
        <w:spacing w:after="0" w:line="360" w:lineRule="auto"/>
        <w:rPr>
          <w:rFonts w:ascii="宋体" w:hAnsi="宋体"/>
          <w:b/>
          <w:color w:val="auto"/>
          <w:sz w:val="24"/>
          <w:highlight w:val="none"/>
        </w:rPr>
      </w:pPr>
      <w:r>
        <w:rPr>
          <w:rFonts w:hint="eastAsia" w:ascii="宋体" w:hAnsi="宋体"/>
          <w:b/>
          <w:color w:val="auto"/>
          <w:sz w:val="24"/>
          <w:highlight w:val="none"/>
        </w:rPr>
        <w:t>1.11分包</w:t>
      </w:r>
    </w:p>
    <w:p w14:paraId="5C898AFB">
      <w:pPr>
        <w:spacing w:after="0" w:line="360" w:lineRule="auto"/>
        <w:ind w:firstLine="420" w:firstLineChars="200"/>
        <w:rPr>
          <w:rFonts w:ascii="宋体" w:hAnsi="宋体"/>
          <w:color w:val="auto"/>
          <w:szCs w:val="21"/>
          <w:highlight w:val="none"/>
        </w:rPr>
      </w:pPr>
      <w:bookmarkStart w:id="168" w:name="_Toc221950133"/>
      <w:r>
        <w:rPr>
          <w:rFonts w:hint="eastAsia" w:ascii="宋体" w:hAnsi="宋体"/>
          <w:color w:val="auto"/>
          <w:szCs w:val="21"/>
          <w:highlight w:val="none"/>
        </w:rPr>
        <w:t>本工程不允许分包。</w:t>
      </w:r>
      <w:bookmarkEnd w:id="168"/>
    </w:p>
    <w:p w14:paraId="319C04BB">
      <w:pPr>
        <w:spacing w:after="0" w:line="360" w:lineRule="auto"/>
        <w:rPr>
          <w:rFonts w:ascii="宋体" w:hAnsi="宋体"/>
          <w:b/>
          <w:color w:val="auto"/>
          <w:sz w:val="24"/>
          <w:highlight w:val="none"/>
        </w:rPr>
      </w:pPr>
      <w:bookmarkStart w:id="169" w:name="_Toc221950134"/>
      <w:bookmarkStart w:id="170" w:name="_Toc179632559"/>
      <w:r>
        <w:rPr>
          <w:rFonts w:hint="eastAsia" w:ascii="宋体" w:hAnsi="宋体"/>
          <w:b/>
          <w:color w:val="auto"/>
          <w:sz w:val="24"/>
          <w:highlight w:val="none"/>
        </w:rPr>
        <w:t>1.12偏离</w:t>
      </w:r>
    </w:p>
    <w:bookmarkEnd w:id="169"/>
    <w:bookmarkEnd w:id="170"/>
    <w:p w14:paraId="735CD6AF">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不允许。</w:t>
      </w:r>
    </w:p>
    <w:p w14:paraId="12884A14">
      <w:pPr>
        <w:pStyle w:val="5"/>
        <w:spacing w:before="0" w:after="0" w:line="360" w:lineRule="auto"/>
        <w:jc w:val="left"/>
        <w:rPr>
          <w:rFonts w:ascii="宋体" w:hAnsi="宋体" w:eastAsia="宋体"/>
          <w:color w:val="auto"/>
          <w:sz w:val="24"/>
          <w:highlight w:val="none"/>
        </w:rPr>
      </w:pPr>
      <w:bookmarkStart w:id="171" w:name="_Toc222032652"/>
      <w:bookmarkStart w:id="172" w:name="_Toc168475657"/>
      <w:bookmarkStart w:id="173" w:name="_Toc95257483"/>
      <w:bookmarkStart w:id="174" w:name="_Toc222029483"/>
      <w:bookmarkStart w:id="175" w:name="_Toc229305343"/>
      <w:bookmarkStart w:id="176" w:name="_Toc131_WPSOffice_Level2"/>
      <w:bookmarkStart w:id="177" w:name="_Toc222033834"/>
      <w:bookmarkStart w:id="178" w:name="_Toc18280"/>
      <w:bookmarkStart w:id="179" w:name="_Toc168476060"/>
      <w:bookmarkStart w:id="180" w:name="_Toc144974510"/>
      <w:bookmarkStart w:id="181" w:name="_Toc222030985"/>
      <w:bookmarkStart w:id="182" w:name="_Toc221950136"/>
      <w:bookmarkStart w:id="183" w:name="_Toc31875"/>
      <w:r>
        <w:rPr>
          <w:rFonts w:hint="eastAsia" w:ascii="宋体" w:hAnsi="宋体" w:eastAsia="宋体"/>
          <w:color w:val="auto"/>
          <w:sz w:val="24"/>
          <w:highlight w:val="none"/>
        </w:rPr>
        <w:t>2. 招标文件</w:t>
      </w:r>
      <w:bookmarkEnd w:id="171"/>
      <w:bookmarkEnd w:id="172"/>
      <w:bookmarkEnd w:id="173"/>
      <w:bookmarkEnd w:id="174"/>
      <w:bookmarkEnd w:id="175"/>
      <w:bookmarkEnd w:id="176"/>
      <w:bookmarkEnd w:id="177"/>
      <w:bookmarkEnd w:id="178"/>
      <w:bookmarkEnd w:id="179"/>
      <w:bookmarkEnd w:id="180"/>
      <w:bookmarkEnd w:id="181"/>
      <w:bookmarkEnd w:id="182"/>
      <w:bookmarkEnd w:id="183"/>
    </w:p>
    <w:p w14:paraId="2C410D9B">
      <w:pPr>
        <w:spacing w:after="0" w:line="360" w:lineRule="auto"/>
        <w:ind w:firstLine="420"/>
        <w:rPr>
          <w:rFonts w:ascii="宋体" w:hAnsi="宋体"/>
          <w:b/>
          <w:color w:val="auto"/>
          <w:sz w:val="24"/>
          <w:highlight w:val="none"/>
        </w:rPr>
      </w:pPr>
      <w:r>
        <w:rPr>
          <w:rFonts w:hint="eastAsia" w:ascii="宋体" w:hAnsi="宋体"/>
          <w:b/>
          <w:color w:val="auto"/>
          <w:sz w:val="24"/>
          <w:highlight w:val="none"/>
        </w:rPr>
        <w:t>2.1 招标文件的组成</w:t>
      </w:r>
    </w:p>
    <w:p w14:paraId="43064F6B">
      <w:pPr>
        <w:spacing w:after="0" w:line="360" w:lineRule="auto"/>
        <w:rPr>
          <w:rFonts w:ascii="宋体" w:hAnsi="宋体"/>
          <w:color w:val="auto"/>
          <w:szCs w:val="21"/>
          <w:highlight w:val="none"/>
        </w:rPr>
      </w:pPr>
      <w:r>
        <w:rPr>
          <w:rFonts w:hint="eastAsia" w:ascii="宋体" w:hAnsi="宋体"/>
          <w:color w:val="auto"/>
          <w:szCs w:val="21"/>
          <w:highlight w:val="none"/>
        </w:rPr>
        <w:t xml:space="preserve">    本招标文件包括：</w:t>
      </w:r>
    </w:p>
    <w:p w14:paraId="4D24E4CE">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（1）招标公告；</w:t>
      </w:r>
    </w:p>
    <w:p w14:paraId="69C51661">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（2）投标人须知；</w:t>
      </w:r>
    </w:p>
    <w:p w14:paraId="54CB3D28">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（3）评标办法（综合评估法）；</w:t>
      </w:r>
    </w:p>
    <w:p w14:paraId="216132BF">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（4）合同条款及格式；</w:t>
      </w:r>
    </w:p>
    <w:p w14:paraId="1F06E38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（5）工程量清单；</w:t>
      </w:r>
    </w:p>
    <w:p w14:paraId="1C350052">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（6）图纸（如提供）；</w:t>
      </w:r>
    </w:p>
    <w:p w14:paraId="044CDC18">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（7）技术标准和要求；</w:t>
      </w:r>
    </w:p>
    <w:p w14:paraId="3EB2D285">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（8）《投标文件》格式；</w:t>
      </w:r>
    </w:p>
    <w:p w14:paraId="5665072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（9）构成招标文件的其他材料：</w:t>
      </w:r>
      <w:r>
        <w:rPr>
          <w:rFonts w:hint="eastAsia" w:ascii="宋体" w:hAnsi="宋体"/>
          <w:color w:val="auto"/>
          <w:highlight w:val="none"/>
        </w:rPr>
        <w:t>见《投标人须知前附表》。</w:t>
      </w:r>
    </w:p>
    <w:p w14:paraId="21B019EA">
      <w:pPr>
        <w:spacing w:after="0" w:line="360" w:lineRule="auto"/>
        <w:rPr>
          <w:rFonts w:ascii="宋体" w:hAnsi="宋体"/>
          <w:color w:val="auto"/>
          <w:szCs w:val="21"/>
          <w:highlight w:val="none"/>
        </w:rPr>
      </w:pPr>
      <w:r>
        <w:rPr>
          <w:rFonts w:hint="eastAsia" w:ascii="宋体" w:hAnsi="宋体"/>
          <w:color w:val="auto"/>
          <w:szCs w:val="21"/>
          <w:highlight w:val="none"/>
        </w:rPr>
        <w:t xml:space="preserve">    根据本章第2.2款和2.3款对《招标文件》所作的澄清、修改，构成《招标文件》的组成部分。</w:t>
      </w:r>
    </w:p>
    <w:p w14:paraId="44DEB0DA">
      <w:pPr>
        <w:spacing w:after="0" w:line="360" w:lineRule="auto"/>
        <w:rPr>
          <w:rFonts w:ascii="宋体" w:hAnsi="宋体"/>
          <w:b/>
          <w:color w:val="auto"/>
          <w:sz w:val="24"/>
          <w:highlight w:val="none"/>
        </w:rPr>
      </w:pPr>
      <w:bookmarkStart w:id="184" w:name="_Toc221950142"/>
      <w:r>
        <w:rPr>
          <w:rFonts w:hint="eastAsia" w:ascii="宋体" w:hAnsi="宋体"/>
          <w:b/>
          <w:color w:val="auto"/>
          <w:sz w:val="24"/>
          <w:highlight w:val="none"/>
        </w:rPr>
        <w:t>2.2招标文件的澄清</w:t>
      </w:r>
    </w:p>
    <w:bookmarkEnd w:id="184"/>
    <w:p w14:paraId="4B2903D6">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2.2.1投标人应仔细阅读和检查招标文件的全部内容。如发现缺页或附件不全，应及时向招标人提出，以便补齐。如有疑问，应在投标人须知前附表规定的时间前以在线不署名提交方式</w:t>
      </w:r>
      <w:r>
        <w:rPr>
          <w:rFonts w:hint="eastAsia" w:ascii="宋体" w:hAnsi="宋体"/>
          <w:color w:val="auto"/>
          <w:szCs w:val="21"/>
          <w:highlight w:val="none"/>
          <w:lang w:eastAsia="zh-CN"/>
        </w:rPr>
        <w:t>登入</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w:t>
      </w:r>
      <w:r>
        <w:rPr>
          <w:rFonts w:hint="eastAsia" w:ascii="宋体" w:hAnsi="宋体" w:eastAsia="宋体" w:cs="Times New Roman"/>
          <w:b w:val="0"/>
          <w:bCs w:val="0"/>
          <w:color w:val="auto"/>
          <w:kern w:val="2"/>
          <w:sz w:val="21"/>
          <w:szCs w:val="24"/>
          <w:highlight w:val="none"/>
          <w:lang w:val="en-US" w:eastAsia="zh-CN" w:bidi="ar-SA"/>
        </w:rPr>
        <w:t>统</w:t>
      </w:r>
      <w:r>
        <w:rPr>
          <w:rFonts w:hint="eastAsia" w:ascii="宋体" w:hAnsi="宋体"/>
          <w:color w:val="auto"/>
          <w:szCs w:val="21"/>
          <w:highlight w:val="none"/>
        </w:rPr>
        <w:t xml:space="preserve">，要求招标人对招标文件予以澄清。 </w:t>
      </w:r>
    </w:p>
    <w:p w14:paraId="14F7CE92">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2.2.2 招标人书面澄清的截止时间：见投标人须知前附表。</w:t>
      </w:r>
    </w:p>
    <w:p w14:paraId="747EFB35">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2.2.3 招标澄清和补遗全部通过网络送达，请投标人在开标截止日前，务必查询网站信息，投标人自行登录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获取澄清，无须回复确认已收到该澄清。</w:t>
      </w:r>
    </w:p>
    <w:p w14:paraId="3770D936">
      <w:pPr>
        <w:spacing w:after="0" w:line="360" w:lineRule="auto"/>
        <w:rPr>
          <w:rFonts w:ascii="宋体" w:hAnsi="宋体"/>
          <w:b/>
          <w:color w:val="auto"/>
          <w:sz w:val="24"/>
          <w:highlight w:val="none"/>
        </w:rPr>
      </w:pPr>
      <w:r>
        <w:rPr>
          <w:rFonts w:hint="eastAsia" w:ascii="宋体" w:hAnsi="宋体"/>
          <w:b/>
          <w:color w:val="auto"/>
          <w:sz w:val="24"/>
          <w:highlight w:val="none"/>
        </w:rPr>
        <w:t>2.3 招标文件的修改</w:t>
      </w:r>
    </w:p>
    <w:p w14:paraId="7BBEDE8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2.3.1 在投标截止时间15天前，确需要变更招标文件内容的，招标人可主动或在解答投标人提出的澄清问题时对招标文件进行修改，并同时报主管部门备案。招标人无论对评标办法、评审项目等重要评审内容作何种变更，都要重新制作技术标电子招标文件，并重新备案，同时发布补遗文件进行说明以保证各投标人都能重新下载最新的电子招标文件用于编制电子投标文件。招标文件的修改将在</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发布，招标文件的修改作为招标文件的组成部分，并具有约束力。不足15日的，招标人或者招标代理机构应当顺延提交投标文件的截止时间，招标人认为不影响投标人编制投标文件的除外。</w:t>
      </w:r>
    </w:p>
    <w:p w14:paraId="6C31FD7B">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2.3.2 投标人自行登录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收取修改内容，无须回复确认已收到该修改。投标人应在截标时间前随时查看</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 xml:space="preserve">有关该工程招标文件的答疑、补遗内容。否则，由此引起的投标损失自负。 </w:t>
      </w:r>
    </w:p>
    <w:p w14:paraId="0F8740D1">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2.3.3招标文件、招标文件澄清、招标文件修改文件内容均以网上发布的为准，当招标文件、招标文件澄清、招标文件修改文件内容相互矛盾时，以最后发出的为准。</w:t>
      </w:r>
    </w:p>
    <w:p w14:paraId="5A1B5B37">
      <w:pPr>
        <w:pStyle w:val="5"/>
        <w:spacing w:before="0" w:after="0" w:line="360" w:lineRule="auto"/>
        <w:jc w:val="left"/>
        <w:rPr>
          <w:rFonts w:ascii="宋体" w:hAnsi="宋体" w:eastAsia="宋体"/>
          <w:color w:val="auto"/>
          <w:sz w:val="24"/>
          <w:highlight w:val="none"/>
        </w:rPr>
      </w:pPr>
      <w:bookmarkStart w:id="185" w:name="_Toc30894"/>
      <w:bookmarkStart w:id="186" w:name="_Toc30804_WPSOffice_Level2"/>
      <w:bookmarkStart w:id="187" w:name="_Toc144974514"/>
      <w:bookmarkStart w:id="188" w:name="_Toc222030986"/>
      <w:bookmarkStart w:id="189" w:name="_Toc222033835"/>
      <w:bookmarkStart w:id="190" w:name="_Toc222032653"/>
      <w:bookmarkStart w:id="191" w:name="_Toc221950151"/>
      <w:bookmarkStart w:id="192" w:name="_Toc168475661"/>
      <w:bookmarkStart w:id="193" w:name="_Toc229305344"/>
      <w:bookmarkStart w:id="194" w:name="_Toc168476064"/>
      <w:bookmarkStart w:id="195" w:name="_Toc10172"/>
      <w:bookmarkStart w:id="196" w:name="_Toc95257484"/>
      <w:bookmarkStart w:id="197" w:name="_Toc222029484"/>
      <w:r>
        <w:rPr>
          <w:rFonts w:hint="eastAsia" w:ascii="宋体" w:hAnsi="宋体" w:eastAsia="宋体"/>
          <w:color w:val="auto"/>
          <w:sz w:val="24"/>
          <w:highlight w:val="none"/>
        </w:rPr>
        <w:t>3. 投标文件</w:t>
      </w:r>
      <w:bookmarkEnd w:id="185"/>
      <w:bookmarkEnd w:id="186"/>
      <w:bookmarkEnd w:id="187"/>
      <w:bookmarkEnd w:id="188"/>
      <w:bookmarkEnd w:id="189"/>
      <w:bookmarkEnd w:id="190"/>
      <w:bookmarkEnd w:id="191"/>
      <w:bookmarkEnd w:id="192"/>
      <w:bookmarkEnd w:id="193"/>
      <w:bookmarkEnd w:id="194"/>
      <w:bookmarkEnd w:id="195"/>
      <w:bookmarkEnd w:id="196"/>
      <w:bookmarkEnd w:id="197"/>
    </w:p>
    <w:p w14:paraId="32965826">
      <w:pPr>
        <w:spacing w:after="0" w:line="360" w:lineRule="auto"/>
        <w:rPr>
          <w:rFonts w:ascii="宋体" w:hAnsi="宋体"/>
          <w:b/>
          <w:color w:val="auto"/>
          <w:sz w:val="24"/>
          <w:highlight w:val="none"/>
        </w:rPr>
      </w:pPr>
      <w:bookmarkStart w:id="198" w:name="_Toc152042323"/>
      <w:bookmarkStart w:id="199" w:name="_Toc144974515"/>
      <w:bookmarkStart w:id="200" w:name="_Toc179632565"/>
      <w:bookmarkStart w:id="201" w:name="_Toc152045547"/>
      <w:r>
        <w:rPr>
          <w:rFonts w:ascii="宋体" w:hAnsi="宋体"/>
          <w:b/>
          <w:color w:val="auto"/>
          <w:sz w:val="24"/>
          <w:highlight w:val="none"/>
        </w:rPr>
        <w:t xml:space="preserve">3.1 </w:t>
      </w:r>
      <w:r>
        <w:rPr>
          <w:rFonts w:hint="eastAsia" w:ascii="宋体" w:hAnsi="宋体"/>
          <w:b/>
          <w:color w:val="auto"/>
          <w:sz w:val="24"/>
          <w:highlight w:val="none"/>
        </w:rPr>
        <w:t>投标文件的组成</w:t>
      </w:r>
      <w:bookmarkEnd w:id="198"/>
      <w:bookmarkEnd w:id="199"/>
      <w:bookmarkEnd w:id="200"/>
      <w:bookmarkEnd w:id="201"/>
    </w:p>
    <w:p w14:paraId="36DD7E4F">
      <w:pPr>
        <w:spacing w:after="0" w:line="360" w:lineRule="auto"/>
        <w:ind w:left="210" w:leftChars="100"/>
        <w:rPr>
          <w:rFonts w:ascii="宋体" w:hAnsi="宋体"/>
          <w:color w:val="auto"/>
          <w:szCs w:val="21"/>
          <w:highlight w:val="none"/>
        </w:rPr>
      </w:pPr>
      <w:bookmarkStart w:id="202" w:name="_Toc152045548"/>
      <w:bookmarkStart w:id="203" w:name="_Toc152042324"/>
      <w:bookmarkStart w:id="204" w:name="_Toc144974516"/>
      <w:bookmarkStart w:id="205" w:name="_Toc179632566"/>
      <w:r>
        <w:rPr>
          <w:rFonts w:hint="eastAsia" w:ascii="宋体" w:hAnsi="宋体"/>
          <w:color w:val="auto"/>
          <w:szCs w:val="21"/>
          <w:highlight w:val="none"/>
        </w:rPr>
        <w:t>3.1.1 《投标文件》应包括下列内容：</w:t>
      </w:r>
    </w:p>
    <w:p w14:paraId="5F3E5EFE">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（1）投标函及投标函附录。</w:t>
      </w:r>
    </w:p>
    <w:p w14:paraId="31835DAC">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（2）法定代表人身份证明。</w:t>
      </w:r>
    </w:p>
    <w:p w14:paraId="3F6C62E6">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（3）授权委托书。</w:t>
      </w:r>
    </w:p>
    <w:p w14:paraId="7F5981D4">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（4）投标保证金。</w:t>
      </w:r>
    </w:p>
    <w:p w14:paraId="69A3DD5D">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（5）资格审查资料。</w:t>
      </w:r>
    </w:p>
    <w:p w14:paraId="29078862">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（6）已标价工程量清单。</w:t>
      </w:r>
    </w:p>
    <w:p w14:paraId="391ED839">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（7）施工组织设计。</w:t>
      </w:r>
    </w:p>
    <w:p w14:paraId="5248481F">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8</w:t>
      </w:r>
      <w:r>
        <w:rPr>
          <w:rFonts w:hint="eastAsia" w:ascii="宋体" w:hAnsi="宋体"/>
          <w:color w:val="auto"/>
          <w:szCs w:val="21"/>
          <w:highlight w:val="none"/>
        </w:rPr>
        <w:t>）其他材料。</w:t>
      </w:r>
    </w:p>
    <w:p w14:paraId="54AC986E">
      <w:pPr>
        <w:spacing w:after="0" w:line="360" w:lineRule="auto"/>
        <w:rPr>
          <w:rFonts w:ascii="宋体" w:hAnsi="宋体"/>
          <w:b/>
          <w:color w:val="auto"/>
          <w:sz w:val="24"/>
          <w:highlight w:val="none"/>
        </w:rPr>
      </w:pPr>
      <w:r>
        <w:rPr>
          <w:rFonts w:ascii="宋体" w:hAnsi="宋体"/>
          <w:b/>
          <w:color w:val="auto"/>
          <w:sz w:val="24"/>
          <w:highlight w:val="none"/>
        </w:rPr>
        <w:t xml:space="preserve">3.2 </w:t>
      </w:r>
      <w:r>
        <w:rPr>
          <w:rFonts w:hint="eastAsia" w:ascii="宋体" w:hAnsi="宋体"/>
          <w:b/>
          <w:color w:val="auto"/>
          <w:sz w:val="24"/>
          <w:highlight w:val="none"/>
        </w:rPr>
        <w:t>投标报价</w:t>
      </w:r>
      <w:bookmarkEnd w:id="202"/>
      <w:bookmarkEnd w:id="203"/>
      <w:bookmarkEnd w:id="204"/>
      <w:bookmarkEnd w:id="205"/>
    </w:p>
    <w:p w14:paraId="42B09D9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bookmarkStart w:id="206" w:name="_Toc152045549"/>
      <w:bookmarkStart w:id="207" w:name="_Toc144974517"/>
      <w:bookmarkStart w:id="208" w:name="_Toc152042325"/>
      <w:bookmarkStart w:id="209" w:name="_Toc179632567"/>
      <w:r>
        <w:rPr>
          <w:rFonts w:hint="eastAsia" w:ascii="宋体" w:hAnsi="宋体"/>
          <w:color w:val="auto"/>
          <w:szCs w:val="21"/>
          <w:highlight w:val="none"/>
          <w:lang w:val="en-US" w:eastAsia="zh-CN"/>
        </w:rPr>
        <w:t>3.2.1 投标人应按第五章“工程量清单”的要求填写相应表格。</w:t>
      </w:r>
    </w:p>
    <w:p w14:paraId="3D1E5311">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本项目招标采用固化工程量清单，投标人下载填写工程量清单中的单价、合价及总价，即可完成投标工程量清单的编制，确定投标报价，编入投标文件。投标人未在工程量清单中填入单价或总价的工程子目，将被认为其已包含在工程量清单其他子目的单价和总价中，招标人将不予支付。</w:t>
      </w:r>
    </w:p>
    <w:p w14:paraId="677831D5">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（2）投标人必须严格遵循工程量清单电子文件中的数据、格式及运算定义，并将已填写完毕的投标工程量清单扫描上传至投标文件一并递交。严禁投标人修改工程量清单电子文件中的数据、格式及运算定义。</w:t>
      </w:r>
    </w:p>
    <w:p w14:paraId="692AAB35">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投标人根据招标人提供的工程量清单电子文件填写完成投标工程量清单中的投标报价和投标函的大写金额报价应一致，如果报价金额出现差异时，则以投标函大写金额报价为准。</w:t>
      </w:r>
    </w:p>
    <w:p w14:paraId="1FFBC2F8">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投标文件中的大写金额和小写金额不一致的，以大写金额为准；总价金额与单价金额不一致的，以单价金额为准，但单价金额小数点有明显错误的除外。</w:t>
      </w:r>
    </w:p>
    <w:p w14:paraId="1CE4B26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rPr>
      </w:pPr>
      <w:r>
        <w:rPr>
          <w:rFonts w:ascii="宋体" w:hAnsi="宋体"/>
          <w:color w:val="auto"/>
          <w:szCs w:val="21"/>
          <w:highlight w:val="none"/>
        </w:rPr>
        <w:t xml:space="preserve">3.2.2 </w:t>
      </w:r>
      <w:r>
        <w:rPr>
          <w:rFonts w:hint="eastAsia" w:ascii="宋体" w:hAnsi="宋体"/>
          <w:color w:val="auto"/>
          <w:szCs w:val="21"/>
          <w:highlight w:val="none"/>
        </w:rPr>
        <w:t>投标人在投标截止时间前修改投标函中的投标总报价，应同时修改第五章“工程量清单”中的相应报价</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确保单价、工程量/数量、合价符合运算规则，</w:t>
      </w:r>
      <w:r>
        <w:rPr>
          <w:rFonts w:hint="eastAsia" w:ascii="宋体" w:hAnsi="宋体"/>
          <w:color w:val="auto"/>
          <w:szCs w:val="21"/>
          <w:highlight w:val="none"/>
        </w:rPr>
        <w:t>此修改须符合本章第</w:t>
      </w:r>
      <w:r>
        <w:rPr>
          <w:rFonts w:ascii="宋体" w:hAnsi="宋体"/>
          <w:color w:val="auto"/>
          <w:szCs w:val="21"/>
          <w:highlight w:val="none"/>
        </w:rPr>
        <w:t>4.3</w:t>
      </w:r>
      <w:r>
        <w:rPr>
          <w:rFonts w:hint="eastAsia" w:ascii="宋体" w:hAnsi="宋体"/>
          <w:color w:val="auto"/>
          <w:szCs w:val="21"/>
          <w:highlight w:val="none"/>
        </w:rPr>
        <w:t>款的有关要求。</w:t>
      </w:r>
    </w:p>
    <w:p w14:paraId="614D3C57">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3.2.3 投标人如果发现工程量清单中的数量与图纸数量不一致时，应立即通知招标人核查，除非招标人以书面方式予以更正，否则，应以工程量清单中列出的数量为准。</w:t>
      </w:r>
    </w:p>
    <w:p w14:paraId="327EFD4C">
      <w:pPr>
        <w:pStyle w:val="2"/>
        <w:ind w:firstLine="420" w:firstLineChars="20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3.2.4本项目招标人不接受调价函。</w:t>
      </w:r>
    </w:p>
    <w:p w14:paraId="6BB07355">
      <w:pPr>
        <w:spacing w:after="0" w:line="360" w:lineRule="auto"/>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3.2.5其他要求：</w:t>
      </w:r>
      <w:r>
        <w:rPr>
          <w:rFonts w:hint="eastAsia" w:ascii="宋体" w:hAnsi="宋体"/>
          <w:color w:val="auto"/>
          <w:szCs w:val="21"/>
          <w:highlight w:val="none"/>
          <w:lang w:val="en-US" w:eastAsia="zh-CN"/>
        </w:rPr>
        <w:fldChar w:fldCharType="begin"/>
      </w:r>
      <w:r>
        <w:rPr>
          <w:rFonts w:hint="eastAsia" w:ascii="宋体" w:hAnsi="宋体"/>
          <w:color w:val="auto"/>
          <w:szCs w:val="21"/>
          <w:highlight w:val="none"/>
          <w:lang w:val="en-US" w:eastAsia="zh-CN"/>
        </w:rPr>
        <w:instrText xml:space="preserve"> AUTOTEXT  input514 \* MERGEFORMAT </w:instrText>
      </w:r>
      <w:r>
        <w:rPr>
          <w:rFonts w:hint="eastAsia" w:ascii="宋体" w:hAnsi="宋体"/>
          <w:color w:val="auto"/>
          <w:szCs w:val="21"/>
          <w:highlight w:val="none"/>
          <w:lang w:val="en-US" w:eastAsia="zh-CN"/>
        </w:rPr>
        <w:fldChar w:fldCharType="separate"/>
      </w:r>
      <w:r>
        <w:rPr>
          <w:rFonts w:hint="eastAsia" w:ascii="宋体" w:hAnsi="宋体"/>
          <w:color w:val="auto"/>
          <w:szCs w:val="21"/>
          <w:highlight w:val="none"/>
          <w:lang w:val="en-US" w:eastAsia="zh-CN"/>
        </w:rPr>
        <w:t>本项目投标函及已标价工程量清单须由注册造价师有效的执业资格电子签章并电子签名，</w:t>
      </w:r>
      <w:r>
        <w:rPr>
          <w:rFonts w:hint="eastAsia" w:ascii="宋体" w:hAnsi="宋体" w:eastAsia="宋体" w:cs="宋体"/>
          <w:color w:val="auto"/>
          <w:position w:val="0"/>
          <w:szCs w:val="21"/>
          <w:highlight w:val="none"/>
        </w:rPr>
        <w:t>编制人和审核人可为同一人，</w:t>
      </w:r>
      <w:r>
        <w:rPr>
          <w:rFonts w:hint="eastAsia" w:ascii="宋体" w:hAnsi="宋体"/>
          <w:color w:val="auto"/>
          <w:szCs w:val="21"/>
          <w:highlight w:val="none"/>
          <w:lang w:val="en-US" w:eastAsia="zh-CN"/>
        </w:rPr>
        <w:t>注册造价师为投标人本单位人员的，投标文件商务标部分中须提供注册造价师的有效注册造价师证书、并附执业注册信息截图，如注册造价师非投标人本单位人员，须附注册造价师单位对本项目的造价咨询委托合同或协议书，授权委托书须经造价师单位法定代表人签字及单位盖章方可视为有效。</w:t>
      </w:r>
      <w:r>
        <w:rPr>
          <w:rFonts w:hint="eastAsia" w:ascii="宋体" w:hAnsi="宋体"/>
          <w:color w:val="auto"/>
          <w:szCs w:val="21"/>
          <w:highlight w:val="none"/>
          <w:lang w:val="en-US" w:eastAsia="zh-CN"/>
        </w:rPr>
        <w:fldChar w:fldCharType="end"/>
      </w:r>
    </w:p>
    <w:p w14:paraId="67EE5984">
      <w:pPr>
        <w:spacing w:after="0" w:line="360" w:lineRule="auto"/>
        <w:rPr>
          <w:rFonts w:ascii="宋体" w:hAnsi="宋体"/>
          <w:b/>
          <w:color w:val="auto"/>
          <w:sz w:val="24"/>
          <w:highlight w:val="none"/>
        </w:rPr>
      </w:pPr>
      <w:r>
        <w:rPr>
          <w:rFonts w:ascii="宋体" w:hAnsi="宋体"/>
          <w:b/>
          <w:color w:val="auto"/>
          <w:sz w:val="24"/>
          <w:highlight w:val="none"/>
        </w:rPr>
        <w:t xml:space="preserve">3.3 </w:t>
      </w:r>
      <w:r>
        <w:rPr>
          <w:rFonts w:hint="eastAsia" w:ascii="宋体" w:hAnsi="宋体"/>
          <w:b/>
          <w:color w:val="auto"/>
          <w:sz w:val="24"/>
          <w:highlight w:val="none"/>
        </w:rPr>
        <w:t>投标有效期</w:t>
      </w:r>
      <w:bookmarkEnd w:id="206"/>
      <w:bookmarkEnd w:id="207"/>
      <w:bookmarkEnd w:id="208"/>
      <w:bookmarkEnd w:id="209"/>
    </w:p>
    <w:p w14:paraId="0D780765">
      <w:pPr>
        <w:spacing w:after="0" w:line="360" w:lineRule="auto"/>
        <w:ind w:firstLine="420" w:firstLineChars="200"/>
        <w:rPr>
          <w:rFonts w:ascii="宋体" w:hAnsi="宋体"/>
          <w:color w:val="auto"/>
          <w:highlight w:val="none"/>
        </w:rPr>
      </w:pPr>
      <w:r>
        <w:rPr>
          <w:rFonts w:ascii="宋体" w:hAnsi="宋体"/>
          <w:color w:val="auto"/>
          <w:highlight w:val="none"/>
        </w:rPr>
        <w:t xml:space="preserve">3.3.1 </w:t>
      </w:r>
      <w:r>
        <w:rPr>
          <w:rFonts w:hint="eastAsia" w:ascii="宋体" w:hAnsi="宋体"/>
          <w:color w:val="auto"/>
          <w:highlight w:val="none"/>
        </w:rPr>
        <w:t>在《投标人须知前附表》规定的投标有效期内，投标人不得要求撤销或修改其《投标文件》。</w:t>
      </w:r>
    </w:p>
    <w:p w14:paraId="668B5820">
      <w:pPr>
        <w:spacing w:after="0" w:line="360" w:lineRule="auto"/>
        <w:ind w:firstLine="420" w:firstLineChars="200"/>
        <w:rPr>
          <w:rFonts w:ascii="宋体" w:hAnsi="宋体"/>
          <w:color w:val="auto"/>
          <w:highlight w:val="none"/>
        </w:rPr>
      </w:pPr>
      <w:r>
        <w:rPr>
          <w:rFonts w:ascii="宋体" w:hAnsi="宋体"/>
          <w:color w:val="auto"/>
          <w:highlight w:val="none"/>
        </w:rPr>
        <w:t>3.3.2</w:t>
      </w:r>
      <w:r>
        <w:rPr>
          <w:rFonts w:hint="eastAsia" w:ascii="宋体" w:hAnsi="宋体"/>
          <w:color w:val="auto"/>
          <w:highlight w:val="none"/>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3C7B0BAA">
      <w:pPr>
        <w:spacing w:after="0" w:line="360" w:lineRule="auto"/>
        <w:rPr>
          <w:rFonts w:ascii="宋体" w:hAnsi="宋体"/>
          <w:b/>
          <w:color w:val="auto"/>
          <w:sz w:val="24"/>
          <w:highlight w:val="none"/>
        </w:rPr>
      </w:pPr>
      <w:bookmarkStart w:id="210" w:name="_Toc144974518"/>
      <w:bookmarkStart w:id="211" w:name="_Toc152045550"/>
      <w:bookmarkStart w:id="212" w:name="_Toc152042326"/>
      <w:bookmarkStart w:id="213" w:name="_Toc179632568"/>
      <w:bookmarkStart w:id="214" w:name="_Toc221950165"/>
      <w:r>
        <w:rPr>
          <w:rFonts w:hint="eastAsia" w:ascii="宋体" w:hAnsi="宋体"/>
          <w:b/>
          <w:color w:val="auto"/>
          <w:sz w:val="24"/>
          <w:highlight w:val="none"/>
        </w:rPr>
        <w:t>3.4 投标保证金</w:t>
      </w:r>
      <w:bookmarkEnd w:id="210"/>
      <w:bookmarkEnd w:id="211"/>
      <w:bookmarkEnd w:id="212"/>
      <w:bookmarkEnd w:id="213"/>
    </w:p>
    <w:p w14:paraId="67F4FACD">
      <w:pPr>
        <w:spacing w:after="0" w:line="360" w:lineRule="auto"/>
        <w:ind w:firstLine="420" w:firstLineChars="200"/>
        <w:rPr>
          <w:rFonts w:ascii="宋体" w:hAnsi="宋体"/>
          <w:color w:val="auto"/>
          <w:highlight w:val="none"/>
        </w:rPr>
      </w:pPr>
      <w:r>
        <w:rPr>
          <w:rFonts w:hint="eastAsia" w:ascii="宋体" w:hAnsi="宋体"/>
          <w:color w:val="auto"/>
          <w:highlight w:val="none"/>
        </w:rPr>
        <w:t>3.4.1 投标人在递交《投标文件》的同时，应按《投标人须知前附表》规定的金额、担保形式和第八章“投标文件格式”规定的投标保证金格式递交投标保证金，并作为其《投标文件》的组成部分。联合体投标的，其投标保证金由牵头人递交，并应符合《投标人须知前附表》的规定。</w:t>
      </w:r>
    </w:p>
    <w:p w14:paraId="5385AD62">
      <w:pPr>
        <w:spacing w:after="0" w:line="360" w:lineRule="auto"/>
        <w:ind w:firstLine="420" w:firstLineChars="200"/>
        <w:rPr>
          <w:rFonts w:ascii="宋体" w:hAnsi="宋体"/>
          <w:color w:val="auto"/>
          <w:highlight w:val="none"/>
        </w:rPr>
      </w:pPr>
      <w:r>
        <w:rPr>
          <w:rFonts w:hint="eastAsia" w:ascii="宋体" w:hAnsi="宋体"/>
          <w:color w:val="auto"/>
          <w:highlight w:val="none"/>
        </w:rPr>
        <w:t>3.4.2 投标人不按本章第3.4.1项要求提交投标保证金的，其《投标文件》作否决投标处理。</w:t>
      </w:r>
    </w:p>
    <w:p w14:paraId="625EB0FE">
      <w:pPr>
        <w:spacing w:after="0" w:line="360" w:lineRule="auto"/>
        <w:ind w:firstLine="420" w:firstLineChars="200"/>
        <w:rPr>
          <w:rFonts w:ascii="宋体" w:hAnsi="宋体"/>
          <w:color w:val="auto"/>
          <w:highlight w:val="none"/>
        </w:rPr>
      </w:pPr>
      <w:r>
        <w:rPr>
          <w:rFonts w:hint="eastAsia" w:ascii="宋体" w:hAnsi="宋体"/>
          <w:color w:val="auto"/>
          <w:highlight w:val="none"/>
        </w:rPr>
        <w:t>3.4.3 未列入中标候选人的投标人在发出中标通知书后5个工作日内退还投标保证金，中标候选人在招标人与中标人签订合同后5个工作日内，向中标候选人退还投标保证金。</w:t>
      </w:r>
    </w:p>
    <w:p w14:paraId="18A1CD36">
      <w:pPr>
        <w:spacing w:after="0" w:line="360" w:lineRule="auto"/>
        <w:ind w:firstLine="420" w:firstLineChars="200"/>
        <w:rPr>
          <w:rFonts w:ascii="宋体" w:hAnsi="宋体"/>
          <w:color w:val="auto"/>
          <w:highlight w:val="none"/>
        </w:rPr>
      </w:pPr>
      <w:r>
        <w:rPr>
          <w:rFonts w:hint="eastAsia" w:ascii="宋体" w:hAnsi="宋体"/>
          <w:color w:val="auto"/>
          <w:highlight w:val="none"/>
        </w:rPr>
        <w:t xml:space="preserve">3.4.4 有下列情形之一的，投标保证金将不予退还： </w:t>
      </w:r>
    </w:p>
    <w:p w14:paraId="41A59C44">
      <w:pPr>
        <w:spacing w:after="0" w:line="360" w:lineRule="auto"/>
        <w:ind w:firstLine="210" w:firstLineChars="100"/>
        <w:rPr>
          <w:rFonts w:ascii="宋体" w:hAnsi="宋体"/>
          <w:color w:val="auto"/>
          <w:highlight w:val="none"/>
        </w:rPr>
      </w:pPr>
      <w:r>
        <w:rPr>
          <w:rFonts w:hint="eastAsia" w:ascii="宋体" w:hAnsi="宋体"/>
          <w:color w:val="auto"/>
          <w:highlight w:val="none"/>
        </w:rPr>
        <w:t>（1）投标人在规定的投标有效期内撤销或修改其《投标文件》；</w:t>
      </w:r>
    </w:p>
    <w:p w14:paraId="79BEE197">
      <w:pPr>
        <w:spacing w:after="0" w:line="360" w:lineRule="auto"/>
        <w:ind w:firstLine="210" w:firstLineChars="100"/>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14:paraId="358BBAC3">
      <w:pPr>
        <w:spacing w:after="0" w:line="360" w:lineRule="auto"/>
        <w:ind w:firstLine="210" w:firstLineChars="100"/>
        <w:rPr>
          <w:rFonts w:ascii="宋体" w:hAnsi="宋体"/>
          <w:color w:val="auto"/>
          <w:highlight w:val="none"/>
        </w:rPr>
      </w:pPr>
      <w:r>
        <w:rPr>
          <w:rFonts w:hint="eastAsia" w:ascii="宋体" w:hAnsi="宋体"/>
          <w:b w:val="0"/>
          <w:bCs/>
          <w:color w:val="auto"/>
          <w:highlight w:val="none"/>
        </w:rPr>
        <w:t>注：投标保证金的缴纳及退还按《投标人须知前附表》第3.4.1款的规定办理。</w:t>
      </w:r>
    </w:p>
    <w:p w14:paraId="6FDD01D8">
      <w:pPr>
        <w:spacing w:after="0" w:line="360" w:lineRule="auto"/>
        <w:rPr>
          <w:rFonts w:ascii="宋体" w:hAnsi="宋体"/>
          <w:b/>
          <w:color w:val="auto"/>
          <w:sz w:val="24"/>
          <w:highlight w:val="none"/>
        </w:rPr>
      </w:pPr>
      <w:r>
        <w:rPr>
          <w:rFonts w:hint="eastAsia" w:ascii="宋体" w:hAnsi="宋体"/>
          <w:b/>
          <w:color w:val="auto"/>
          <w:sz w:val="24"/>
          <w:highlight w:val="none"/>
        </w:rPr>
        <w:t>3.5资格审查资料</w:t>
      </w:r>
    </w:p>
    <w:p w14:paraId="2203007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1资质条件：</w:t>
      </w:r>
      <w:r>
        <w:rPr>
          <w:rFonts w:hint="eastAsia" w:ascii="宋体" w:hAnsi="宋体" w:cs="宋体"/>
          <w:bCs/>
          <w:color w:val="auto"/>
          <w:szCs w:val="21"/>
          <w:highlight w:val="none"/>
        </w:rPr>
        <w:t>见《投标人须知前附表》。</w:t>
      </w:r>
    </w:p>
    <w:p w14:paraId="50C0C715">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2</w:t>
      </w:r>
      <w:r>
        <w:rPr>
          <w:rFonts w:hint="eastAsia" w:ascii="宋体" w:hAnsi="宋体"/>
          <w:color w:val="auto"/>
          <w:szCs w:val="21"/>
          <w:highlight w:val="none"/>
        </w:rPr>
        <w:t>财务要求：</w:t>
      </w:r>
      <w:r>
        <w:rPr>
          <w:rFonts w:hint="eastAsia" w:ascii="宋体" w:hAnsi="宋体" w:cs="宋体"/>
          <w:color w:val="auto"/>
          <w:szCs w:val="21"/>
          <w:highlight w:val="none"/>
        </w:rPr>
        <w:t>见《投标人须知前附表》。</w:t>
      </w:r>
    </w:p>
    <w:p w14:paraId="26A15008">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3</w:t>
      </w:r>
      <w:r>
        <w:rPr>
          <w:rFonts w:hint="eastAsia" w:ascii="宋体" w:hAnsi="宋体"/>
          <w:color w:val="auto"/>
          <w:szCs w:val="21"/>
          <w:highlight w:val="none"/>
        </w:rPr>
        <w:t>信誉要求：</w:t>
      </w:r>
      <w:r>
        <w:rPr>
          <w:rFonts w:hint="eastAsia" w:ascii="宋体" w:hAnsi="宋体" w:cs="宋体"/>
          <w:color w:val="auto"/>
          <w:szCs w:val="21"/>
          <w:highlight w:val="none"/>
        </w:rPr>
        <w:t>见《投标人须知前附表》。</w:t>
      </w:r>
    </w:p>
    <w:p w14:paraId="7064E44D">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4</w:t>
      </w:r>
      <w:r>
        <w:rPr>
          <w:rFonts w:hint="eastAsia" w:ascii="宋体" w:hAnsi="宋体"/>
          <w:color w:val="auto"/>
          <w:szCs w:val="21"/>
          <w:highlight w:val="none"/>
        </w:rPr>
        <w:t>项目经理资格：</w:t>
      </w:r>
      <w:r>
        <w:rPr>
          <w:rFonts w:hint="eastAsia" w:ascii="宋体" w:hAnsi="宋体" w:cs="宋体"/>
          <w:color w:val="auto"/>
          <w:szCs w:val="21"/>
          <w:highlight w:val="none"/>
        </w:rPr>
        <w:t>见《投标人须知前附表》。</w:t>
      </w:r>
    </w:p>
    <w:p w14:paraId="6518ADDF">
      <w:pPr>
        <w:spacing w:after="0" w:line="360" w:lineRule="auto"/>
        <w:ind w:firstLine="420" w:firstLineChars="200"/>
        <w:rPr>
          <w:rFonts w:hint="eastAsia" w:ascii="宋体" w:hAnsi="宋体" w:cs="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技术负责人资格：</w:t>
      </w:r>
      <w:r>
        <w:rPr>
          <w:rFonts w:hint="eastAsia" w:ascii="宋体" w:hAnsi="宋体" w:cs="宋体"/>
          <w:color w:val="auto"/>
          <w:szCs w:val="21"/>
          <w:highlight w:val="none"/>
        </w:rPr>
        <w:t>见《投标人须知前附表》。</w:t>
      </w:r>
    </w:p>
    <w:p w14:paraId="09070677">
      <w:pPr>
        <w:spacing w:after="0" w:line="360" w:lineRule="auto"/>
        <w:ind w:firstLine="420" w:firstLineChars="200"/>
        <w:rPr>
          <w:rFonts w:hint="eastAsia" w:eastAsia="宋体"/>
          <w:highlight w:val="none"/>
          <w:lang w:eastAsia="zh-CN"/>
        </w:rPr>
      </w:pPr>
      <w:r>
        <w:rPr>
          <w:rFonts w:hint="eastAsia" w:ascii="宋体" w:hAnsi="宋体" w:cs="宋体"/>
          <w:color w:val="auto"/>
          <w:szCs w:val="21"/>
          <w:highlight w:val="none"/>
          <w:lang w:val="en-US" w:eastAsia="zh-CN"/>
        </w:rPr>
        <w:t>3.5.6</w:t>
      </w:r>
      <w:r>
        <w:rPr>
          <w:rFonts w:hint="eastAsia" w:ascii="宋体" w:hAnsi="宋体" w:cs="宋体"/>
          <w:color w:val="000000" w:themeColor="text1"/>
          <w:kern w:val="0"/>
          <w:highlight w:val="none"/>
          <w14:textFill>
            <w14:solidFill>
              <w14:schemeClr w14:val="tx1"/>
            </w14:solidFill>
          </w14:textFill>
        </w:rPr>
        <w:t>业绩要求：</w:t>
      </w:r>
      <w:r>
        <w:rPr>
          <w:rFonts w:hint="eastAsia" w:ascii="宋体" w:hAnsi="宋体"/>
          <w:color w:val="auto"/>
          <w:highlight w:val="none"/>
        </w:rPr>
        <w:t>见《投标人须知前附表》。</w:t>
      </w:r>
    </w:p>
    <w:p w14:paraId="6900FA62">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7</w:t>
      </w:r>
      <w:r>
        <w:rPr>
          <w:rFonts w:hint="eastAsia" w:ascii="宋体" w:hAnsi="宋体"/>
          <w:color w:val="auto"/>
          <w:szCs w:val="21"/>
          <w:highlight w:val="none"/>
        </w:rPr>
        <w:t>投标申请人具备承担该工程项目能力并具备规定的资格条件，</w:t>
      </w:r>
      <w:r>
        <w:rPr>
          <w:rFonts w:hint="eastAsia" w:ascii="宋体" w:hAnsi="宋体" w:cs="宋体"/>
          <w:bCs/>
          <w:color w:val="auto"/>
          <w:szCs w:val="21"/>
          <w:highlight w:val="none"/>
        </w:rPr>
        <w:t>投标申请人在人员、</w:t>
      </w:r>
      <w:r>
        <w:rPr>
          <w:rFonts w:hint="eastAsia" w:ascii="宋体" w:hAnsi="宋体" w:cs="宋体"/>
          <w:bCs/>
          <w:color w:val="auto"/>
          <w:szCs w:val="21"/>
          <w:highlight w:val="none"/>
          <w:lang w:eastAsia="zh-CN"/>
        </w:rPr>
        <w:t>机械</w:t>
      </w:r>
      <w:r>
        <w:rPr>
          <w:rFonts w:hint="eastAsia" w:ascii="宋体" w:hAnsi="宋体" w:cs="宋体"/>
          <w:bCs/>
          <w:color w:val="auto"/>
          <w:szCs w:val="21"/>
          <w:highlight w:val="none"/>
        </w:rPr>
        <w:t>设备等方面具有相应的施工组织能力，且具备较强的资金实力。</w:t>
      </w:r>
    </w:p>
    <w:p w14:paraId="517D65CA">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8</w:t>
      </w:r>
      <w:r>
        <w:rPr>
          <w:rFonts w:hint="eastAsia" w:ascii="宋体" w:hAnsi="宋体"/>
          <w:color w:val="auto"/>
          <w:szCs w:val="21"/>
          <w:highlight w:val="none"/>
        </w:rPr>
        <w:t>本次招标不接受联合体投标。</w:t>
      </w:r>
    </w:p>
    <w:p w14:paraId="43F1C48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9</w:t>
      </w:r>
      <w:r>
        <w:rPr>
          <w:rFonts w:hint="eastAsia" w:ascii="宋体" w:hAnsi="宋体"/>
          <w:color w:val="auto"/>
          <w:szCs w:val="21"/>
          <w:highlight w:val="none"/>
        </w:rPr>
        <w:t>具有投资参股关系的关联企业，或具有直接管理和被管理关系的母子公司，或同一母公司的子公司，或法定代表人为同一人的两个及两个以上法人不得同时对同一项目标段提出资格申请。</w:t>
      </w:r>
    </w:p>
    <w:p w14:paraId="5E2D06EB">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10</w:t>
      </w:r>
      <w:r>
        <w:rPr>
          <w:rFonts w:hint="eastAsia" w:ascii="宋体" w:hAnsi="宋体"/>
          <w:color w:val="auto"/>
          <w:szCs w:val="21"/>
          <w:highlight w:val="none"/>
        </w:rPr>
        <w:t>为本招标项目的设计人、招标人或者提供招标代理服务的、同为一个法定代表人的、相互控股或者参股的，其投标文件无效。</w:t>
      </w:r>
    </w:p>
    <w:p w14:paraId="72F0F973">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.1</w:t>
      </w:r>
      <w:r>
        <w:rPr>
          <w:rFonts w:hint="eastAsia" w:ascii="宋体" w:hAnsi="宋体"/>
          <w:color w:val="auto"/>
          <w:szCs w:val="21"/>
          <w:highlight w:val="none"/>
          <w:lang w:val="en-US" w:eastAsia="zh-CN"/>
        </w:rPr>
        <w:t>1</w:t>
      </w:r>
      <w:r>
        <w:rPr>
          <w:rFonts w:hint="eastAsia" w:ascii="宋体" w:hAnsi="宋体"/>
          <w:color w:val="auto"/>
          <w:szCs w:val="21"/>
          <w:highlight w:val="none"/>
        </w:rPr>
        <w:t xml:space="preserve"> 严禁同一资质单位或法定代表人相同的不同施工单位，参与同一工程的施工投标。</w:t>
      </w:r>
    </w:p>
    <w:bookmarkEnd w:id="214"/>
    <w:p w14:paraId="43D644BE">
      <w:pPr>
        <w:spacing w:after="0" w:line="360" w:lineRule="auto"/>
        <w:ind w:firstLine="420" w:firstLineChars="200"/>
        <w:rPr>
          <w:rFonts w:ascii="宋体" w:hAnsi="宋体"/>
          <w:color w:val="auto"/>
          <w:szCs w:val="21"/>
          <w:highlight w:val="none"/>
        </w:rPr>
      </w:pPr>
      <w:bookmarkStart w:id="215" w:name="_Toc221950168"/>
      <w:bookmarkStart w:id="216" w:name="_Toc221950172"/>
      <w:r>
        <w:rPr>
          <w:rFonts w:ascii="宋体" w:hAnsi="宋体"/>
          <w:color w:val="auto"/>
          <w:szCs w:val="21"/>
          <w:highlight w:val="none"/>
        </w:rPr>
        <w:t>3.5</w:t>
      </w: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lang w:val="en-US" w:eastAsia="zh-CN"/>
        </w:rPr>
        <w:t>2</w:t>
      </w:r>
      <w:r>
        <w:rPr>
          <w:rFonts w:hint="eastAsia" w:ascii="宋体" w:hAnsi="宋体"/>
          <w:color w:val="auto"/>
          <w:szCs w:val="21"/>
          <w:highlight w:val="none"/>
        </w:rPr>
        <w:t>其他要求：满足招标文件第八章招标文件明确的有关资格和招标文件格式要求。</w:t>
      </w:r>
    </w:p>
    <w:bookmarkEnd w:id="215"/>
    <w:p w14:paraId="1CE8CC74">
      <w:pPr>
        <w:spacing w:after="0" w:line="360" w:lineRule="auto"/>
        <w:rPr>
          <w:rFonts w:ascii="宋体" w:hAnsi="宋体"/>
          <w:b/>
          <w:color w:val="auto"/>
          <w:sz w:val="24"/>
          <w:highlight w:val="none"/>
        </w:rPr>
      </w:pPr>
      <w:r>
        <w:rPr>
          <w:rFonts w:hint="eastAsia" w:ascii="宋体" w:hAnsi="宋体"/>
          <w:b/>
          <w:color w:val="auto"/>
          <w:sz w:val="24"/>
          <w:highlight w:val="none"/>
        </w:rPr>
        <w:t>3.6备选投标方案</w:t>
      </w:r>
    </w:p>
    <w:bookmarkEnd w:id="216"/>
    <w:p w14:paraId="6482D9D9">
      <w:pPr>
        <w:spacing w:after="0" w:line="360" w:lineRule="auto"/>
        <w:ind w:firstLine="420"/>
        <w:rPr>
          <w:rFonts w:ascii="宋体" w:hAnsi="宋体"/>
          <w:color w:val="auto"/>
          <w:szCs w:val="21"/>
          <w:highlight w:val="none"/>
        </w:rPr>
      </w:pPr>
      <w:r>
        <w:rPr>
          <w:rFonts w:hint="eastAsia" w:ascii="宋体" w:hAnsi="宋体"/>
          <w:color w:val="auto"/>
          <w:szCs w:val="21"/>
          <w:highlight w:val="none"/>
        </w:rPr>
        <w:t>本工程不接受备选方案</w:t>
      </w:r>
    </w:p>
    <w:p w14:paraId="258B022C">
      <w:pPr>
        <w:spacing w:after="0" w:line="360" w:lineRule="auto"/>
        <w:rPr>
          <w:rFonts w:ascii="宋体" w:hAnsi="宋体"/>
          <w:b/>
          <w:color w:val="auto"/>
          <w:sz w:val="24"/>
          <w:highlight w:val="none"/>
        </w:rPr>
      </w:pPr>
      <w:r>
        <w:rPr>
          <w:rFonts w:hint="eastAsia" w:ascii="宋体" w:hAnsi="宋体"/>
          <w:b/>
          <w:color w:val="auto"/>
          <w:sz w:val="24"/>
          <w:highlight w:val="none"/>
        </w:rPr>
        <w:t>3.7投标文件的编制</w:t>
      </w:r>
    </w:p>
    <w:p w14:paraId="6FF7942E">
      <w:pPr>
        <w:spacing w:after="0" w:line="360" w:lineRule="auto"/>
        <w:ind w:firstLine="420" w:firstLineChars="200"/>
        <w:rPr>
          <w:rFonts w:ascii="宋体" w:hAnsi="宋体"/>
          <w:color w:val="auto"/>
          <w:szCs w:val="21"/>
          <w:highlight w:val="none"/>
        </w:rPr>
      </w:pPr>
      <w:bookmarkStart w:id="217" w:name="_Toc95257485"/>
      <w:bookmarkStart w:id="218" w:name="_Toc28422_WPSOffice_Level2"/>
      <w:r>
        <w:rPr>
          <w:rFonts w:ascii="宋体" w:hAnsi="宋体"/>
          <w:color w:val="auto"/>
          <w:szCs w:val="21"/>
          <w:highlight w:val="none"/>
        </w:rPr>
        <w:t>3.7.1</w:t>
      </w:r>
      <w:r>
        <w:rPr>
          <w:rFonts w:hint="eastAsia" w:ascii="宋体" w:hAnsi="宋体"/>
          <w:color w:val="auto"/>
          <w:szCs w:val="21"/>
          <w:highlight w:val="none"/>
        </w:rPr>
        <w:t>《投标文件》应按 “第八章：投标文件格式”进行编写，如有必要，可以增加附页，作为《投标文件》的组成部分。其中，投标函附录在满足《招标文件》实质性要求的基础上，可以提出比《招标文件》要求更有利于招标人的承诺。</w:t>
      </w:r>
    </w:p>
    <w:p w14:paraId="0F237EA5">
      <w:pPr>
        <w:spacing w:after="0" w:line="360" w:lineRule="auto"/>
        <w:ind w:firstLine="420" w:firstLineChars="200"/>
        <w:rPr>
          <w:rFonts w:ascii="宋体" w:hAnsi="宋体"/>
          <w:b w:val="0"/>
          <w:bCs w:val="0"/>
          <w:color w:val="auto"/>
          <w:szCs w:val="21"/>
          <w:highlight w:val="none"/>
        </w:rPr>
      </w:pPr>
      <w:r>
        <w:rPr>
          <w:rFonts w:ascii="宋体" w:hAnsi="宋体"/>
          <w:b w:val="0"/>
          <w:bCs w:val="0"/>
          <w:color w:val="auto"/>
          <w:szCs w:val="21"/>
          <w:highlight w:val="none"/>
        </w:rPr>
        <w:t>3.7.2</w:t>
      </w:r>
      <w:r>
        <w:rPr>
          <w:rFonts w:hint="eastAsia" w:ascii="宋体" w:hAnsi="宋体"/>
          <w:b w:val="0"/>
          <w:bCs w:val="0"/>
          <w:color w:val="auto"/>
          <w:szCs w:val="21"/>
          <w:highlight w:val="none"/>
        </w:rPr>
        <w:t>投标文件应当对招标文件中有关工期、投标有效期、质量要求、技术标准和要求、投标人须知前附表等实质内容作出响应。</w:t>
      </w:r>
    </w:p>
    <w:p w14:paraId="01F20320">
      <w:pPr>
        <w:spacing w:after="0" w:line="360" w:lineRule="auto"/>
        <w:ind w:firstLine="420" w:firstLineChars="200"/>
        <w:contextualSpacing/>
        <w:rPr>
          <w:rFonts w:ascii="宋体" w:hAnsi="宋体"/>
          <w:snapToGrid w:val="0"/>
          <w:color w:val="auto"/>
          <w:kern w:val="0"/>
          <w:szCs w:val="21"/>
          <w:highlight w:val="none"/>
        </w:rPr>
      </w:pPr>
      <w:bookmarkStart w:id="219" w:name="_Toc221950175"/>
      <w:r>
        <w:rPr>
          <w:rFonts w:hint="eastAsia" w:ascii="宋体" w:hAnsi="宋体"/>
          <w:b w:val="0"/>
          <w:bCs w:val="0"/>
          <w:color w:val="auto"/>
          <w:szCs w:val="21"/>
          <w:highlight w:val="none"/>
        </w:rPr>
        <w:t>3.7.3</w:t>
      </w:r>
      <w:bookmarkEnd w:id="219"/>
      <w:r>
        <w:rPr>
          <w:rFonts w:hint="eastAsia" w:ascii="宋体" w:hAnsi="宋体"/>
          <w:b w:val="0"/>
          <w:bCs w:val="0"/>
          <w:snapToGrid w:val="0"/>
          <w:color w:val="auto"/>
          <w:kern w:val="0"/>
          <w:szCs w:val="21"/>
          <w:highlight w:val="none"/>
        </w:rPr>
        <w:t xml:space="preserve"> 电子投标文件：按照招标文件格式</w:t>
      </w:r>
      <w:r>
        <w:rPr>
          <w:rFonts w:hint="eastAsia" w:ascii="宋体" w:hAnsi="宋体"/>
          <w:snapToGrid w:val="0"/>
          <w:color w:val="auto"/>
          <w:kern w:val="0"/>
          <w:szCs w:val="21"/>
          <w:highlight w:val="none"/>
        </w:rPr>
        <w:t>要求签章及签名</w:t>
      </w:r>
      <w:r>
        <w:rPr>
          <w:rFonts w:hint="eastAsia" w:ascii="宋体" w:hAnsi="宋体"/>
          <w:bCs/>
          <w:color w:val="auto"/>
          <w:szCs w:val="21"/>
          <w:highlight w:val="none"/>
        </w:rPr>
        <w:t>。</w:t>
      </w:r>
    </w:p>
    <w:p w14:paraId="06F2CF9E">
      <w:pPr>
        <w:spacing w:after="0" w:line="360" w:lineRule="auto"/>
        <w:ind w:firstLine="420" w:firstLineChars="200"/>
        <w:rPr>
          <w:rFonts w:hint="eastAsia" w:ascii="宋体" w:hAnsi="宋体" w:eastAsia="宋体" w:cs="Times New Roman"/>
          <w:color w:val="auto"/>
          <w:szCs w:val="21"/>
          <w:highlight w:val="none"/>
          <w:lang w:val="en-US" w:eastAsia="zh-CN"/>
        </w:rPr>
      </w:pPr>
      <w:bookmarkStart w:id="220" w:name="_Toc221950176"/>
      <w:r>
        <w:rPr>
          <w:rFonts w:hint="eastAsia" w:ascii="宋体" w:hAnsi="宋体" w:eastAsia="宋体" w:cs="Times New Roman"/>
          <w:color w:val="auto"/>
          <w:szCs w:val="21"/>
          <w:highlight w:val="none"/>
          <w:lang w:val="en-US" w:eastAsia="zh-CN"/>
        </w:rPr>
        <w:t>3.7.4</w:t>
      </w:r>
      <w:bookmarkEnd w:id="220"/>
      <w:r>
        <w:rPr>
          <w:rFonts w:hint="eastAsia" w:ascii="宋体" w:hAnsi="宋体" w:eastAsia="宋体" w:cs="Times New Roman"/>
          <w:color w:val="auto"/>
          <w:szCs w:val="21"/>
          <w:highlight w:val="none"/>
          <w:lang w:val="en-US" w:eastAsia="zh-CN"/>
        </w:rPr>
        <w:t xml:space="preserve"> 网上递交：网上递交网址为</w:t>
      </w:r>
      <w:r>
        <w:rPr>
          <w:rFonts w:hint="eastAsia" w:ascii="宋体" w:hAnsi="宋体" w:eastAsia="宋体" w:cs="Times New Roman"/>
          <w:color w:val="auto"/>
          <w:szCs w:val="21"/>
          <w:highlight w:val="none"/>
          <w:lang w:val="en-US" w:eastAsia="en-US"/>
        </w:rPr>
        <w:t>全国公共资源交易平台(云南省</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en-US"/>
        </w:rPr>
        <w:t>云南省公共资源交易信息网选择“楚雄州”楚雄州公共资源交易电子服务系统</w:t>
      </w:r>
      <w:r>
        <w:rPr>
          <w:rFonts w:hint="eastAsia" w:ascii="宋体" w:hAnsi="宋体" w:eastAsia="宋体" w:cs="Times New Roman"/>
          <w:color w:val="auto"/>
          <w:szCs w:val="21"/>
          <w:highlight w:val="none"/>
          <w:lang w:val="en-US" w:eastAsia="zh-CN"/>
        </w:rPr>
        <w:t>，投标人须在投标截止时间前完成所有投标文件的上传，网上确认电子签名，并打印“上传投标文件回执”，投标截止时间前未完成投标文件传输的，视为撤回投标文件，招标人已收取投标保证金的，应当退还投标人投标保证金，投标截止后投标人撤销投标文件的，招标人可以不退还投标保证金。</w:t>
      </w:r>
    </w:p>
    <w:p w14:paraId="4E326030">
      <w:pPr>
        <w:pStyle w:val="5"/>
        <w:spacing w:before="0" w:after="0" w:line="360" w:lineRule="auto"/>
        <w:jc w:val="left"/>
        <w:rPr>
          <w:rFonts w:ascii="宋体" w:hAnsi="宋体" w:eastAsia="宋体"/>
          <w:color w:val="auto"/>
          <w:sz w:val="24"/>
          <w:highlight w:val="none"/>
        </w:rPr>
      </w:pPr>
      <w:bookmarkStart w:id="221" w:name="_Toc15156"/>
      <w:bookmarkStart w:id="222" w:name="_Toc13879"/>
      <w:r>
        <w:rPr>
          <w:rFonts w:hint="eastAsia" w:ascii="宋体" w:hAnsi="宋体" w:eastAsia="宋体"/>
          <w:color w:val="auto"/>
          <w:sz w:val="24"/>
          <w:highlight w:val="none"/>
        </w:rPr>
        <w:t>4. 投标</w:t>
      </w:r>
      <w:bookmarkEnd w:id="217"/>
      <w:bookmarkEnd w:id="218"/>
      <w:bookmarkEnd w:id="221"/>
      <w:bookmarkEnd w:id="222"/>
    </w:p>
    <w:p w14:paraId="733A9446">
      <w:pPr>
        <w:spacing w:after="0" w:line="360" w:lineRule="auto"/>
        <w:rPr>
          <w:rFonts w:ascii="宋体" w:hAnsi="宋体"/>
          <w:b/>
          <w:color w:val="auto"/>
          <w:sz w:val="24"/>
          <w:highlight w:val="none"/>
        </w:rPr>
      </w:pPr>
      <w:r>
        <w:rPr>
          <w:rFonts w:hint="eastAsia" w:ascii="宋体" w:hAnsi="宋体"/>
          <w:b/>
          <w:color w:val="auto"/>
          <w:sz w:val="24"/>
          <w:highlight w:val="none"/>
        </w:rPr>
        <w:t>4.1电子投标文件（光盘）的密封要求</w:t>
      </w:r>
    </w:p>
    <w:p w14:paraId="2E353CA1">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无。</w:t>
      </w:r>
    </w:p>
    <w:p w14:paraId="4F0B1157">
      <w:pPr>
        <w:spacing w:after="0" w:line="360" w:lineRule="auto"/>
        <w:rPr>
          <w:rFonts w:ascii="宋体" w:hAnsi="宋体"/>
          <w:b/>
          <w:color w:val="auto"/>
          <w:sz w:val="24"/>
          <w:highlight w:val="none"/>
        </w:rPr>
      </w:pPr>
      <w:bookmarkStart w:id="223" w:name="_Toc152045557"/>
      <w:bookmarkStart w:id="224" w:name="_Toc152042333"/>
      <w:bookmarkStart w:id="225" w:name="_Toc179632575"/>
      <w:bookmarkStart w:id="226" w:name="_Toc144974525"/>
      <w:r>
        <w:rPr>
          <w:rFonts w:ascii="宋体" w:hAnsi="宋体"/>
          <w:b/>
          <w:color w:val="auto"/>
          <w:sz w:val="24"/>
          <w:highlight w:val="none"/>
        </w:rPr>
        <w:t xml:space="preserve">4.2 </w:t>
      </w:r>
      <w:r>
        <w:rPr>
          <w:rFonts w:hint="eastAsia" w:ascii="宋体" w:hAnsi="宋体"/>
          <w:b/>
          <w:color w:val="auto"/>
          <w:sz w:val="24"/>
          <w:highlight w:val="none"/>
        </w:rPr>
        <w:t>投标文件的递交</w:t>
      </w:r>
      <w:bookmarkEnd w:id="223"/>
      <w:bookmarkEnd w:id="224"/>
      <w:bookmarkEnd w:id="225"/>
      <w:bookmarkEnd w:id="226"/>
    </w:p>
    <w:p w14:paraId="3F0C68C1">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4.2.1 </w:t>
      </w:r>
      <w:r>
        <w:rPr>
          <w:rFonts w:hint="eastAsia" w:ascii="宋体" w:hAnsi="宋体"/>
          <w:color w:val="auto"/>
          <w:szCs w:val="21"/>
          <w:highlight w:val="none"/>
        </w:rPr>
        <w:t>投标人应在规定的投标截止时间前递交《投标文件》。</w:t>
      </w:r>
    </w:p>
    <w:p w14:paraId="241C1CC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4.2.2 </w:t>
      </w:r>
      <w:r>
        <w:rPr>
          <w:rFonts w:hint="eastAsia" w:ascii="宋体" w:hAnsi="宋体"/>
          <w:color w:val="auto"/>
          <w:szCs w:val="21"/>
          <w:highlight w:val="none"/>
        </w:rPr>
        <w:t>投标人递交《投标文件》的地点：见《投标人须知前附表》。</w:t>
      </w:r>
    </w:p>
    <w:p w14:paraId="60AF0BC3">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4.2.3 </w:t>
      </w:r>
      <w:r>
        <w:rPr>
          <w:rFonts w:hint="eastAsia" w:ascii="宋体" w:hAnsi="宋体"/>
          <w:color w:val="auto"/>
          <w:szCs w:val="21"/>
          <w:highlight w:val="none"/>
        </w:rPr>
        <w:t>除《投标人须知前附表》另有规定外，投标人所递交的《投标文件》不予退还。</w:t>
      </w:r>
    </w:p>
    <w:p w14:paraId="2D770E57">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4.2.</w:t>
      </w:r>
      <w:r>
        <w:rPr>
          <w:rFonts w:hint="eastAsia" w:ascii="宋体" w:hAnsi="宋体"/>
          <w:color w:val="auto"/>
          <w:szCs w:val="21"/>
          <w:highlight w:val="none"/>
        </w:rPr>
        <w:t>4逾期送达的或者未送达指定地点的《投标文件》，招标人不予受理。</w:t>
      </w:r>
    </w:p>
    <w:p w14:paraId="7574D8B0">
      <w:pPr>
        <w:spacing w:after="0" w:line="360" w:lineRule="auto"/>
        <w:rPr>
          <w:rFonts w:ascii="宋体" w:hAnsi="宋体"/>
          <w:b/>
          <w:color w:val="auto"/>
          <w:sz w:val="24"/>
          <w:highlight w:val="none"/>
        </w:rPr>
      </w:pPr>
      <w:bookmarkStart w:id="227" w:name="_Toc144974526"/>
      <w:bookmarkStart w:id="228" w:name="_Toc179632576"/>
      <w:bookmarkStart w:id="229" w:name="_Toc152042334"/>
      <w:bookmarkStart w:id="230" w:name="_Toc152045558"/>
      <w:r>
        <w:rPr>
          <w:rFonts w:ascii="宋体" w:hAnsi="宋体"/>
          <w:b/>
          <w:color w:val="auto"/>
          <w:sz w:val="24"/>
          <w:highlight w:val="none"/>
        </w:rPr>
        <w:t xml:space="preserve">4.3 </w:t>
      </w:r>
      <w:r>
        <w:rPr>
          <w:rFonts w:hint="eastAsia" w:ascii="宋体" w:hAnsi="宋体"/>
          <w:b/>
          <w:color w:val="auto"/>
          <w:sz w:val="24"/>
          <w:highlight w:val="none"/>
        </w:rPr>
        <w:t>投标文件的修改与撤回</w:t>
      </w:r>
      <w:bookmarkEnd w:id="227"/>
      <w:bookmarkEnd w:id="228"/>
      <w:bookmarkEnd w:id="229"/>
      <w:bookmarkEnd w:id="230"/>
    </w:p>
    <w:p w14:paraId="1E18D0ED">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4.3.1</w:t>
      </w:r>
      <w:r>
        <w:rPr>
          <w:rFonts w:hint="eastAsia" w:ascii="宋体" w:hAnsi="宋体"/>
          <w:color w:val="auto"/>
          <w:szCs w:val="21"/>
          <w:highlight w:val="none"/>
        </w:rPr>
        <w:t>在规定的投标截止时间前，投标人可以修改或撤回已在网上递交的投标文件，无须书面形式通知招标人。</w:t>
      </w:r>
    </w:p>
    <w:p w14:paraId="00DD5DF1">
      <w:pPr>
        <w:spacing w:after="0" w:line="360" w:lineRule="auto"/>
        <w:ind w:firstLine="420" w:firstLineChars="200"/>
        <w:rPr>
          <w:rFonts w:ascii="宋体" w:hAnsi="宋体" w:cs="仿宋"/>
          <w:color w:val="auto"/>
          <w:szCs w:val="21"/>
          <w:highlight w:val="none"/>
        </w:rPr>
      </w:pPr>
      <w:r>
        <w:rPr>
          <w:rFonts w:ascii="宋体" w:hAnsi="宋体"/>
          <w:color w:val="auto"/>
          <w:szCs w:val="21"/>
          <w:highlight w:val="none"/>
        </w:rPr>
        <w:t>4.3.2</w:t>
      </w:r>
      <w:r>
        <w:rPr>
          <w:rFonts w:hint="eastAsia" w:ascii="宋体" w:hAnsi="宋体" w:cs="仿宋"/>
          <w:color w:val="auto"/>
          <w:szCs w:val="21"/>
          <w:highlight w:val="none"/>
        </w:rPr>
        <w:t>修改的投标文件应按照本章第3条、第4条规定进行编制和递交。</w:t>
      </w:r>
    </w:p>
    <w:p w14:paraId="281786A9">
      <w:pPr>
        <w:pStyle w:val="5"/>
        <w:spacing w:before="0" w:after="0" w:line="360" w:lineRule="auto"/>
        <w:jc w:val="left"/>
        <w:rPr>
          <w:rFonts w:ascii="宋体" w:hAnsi="宋体" w:eastAsia="宋体"/>
          <w:color w:val="auto"/>
          <w:sz w:val="24"/>
          <w:highlight w:val="none"/>
        </w:rPr>
      </w:pPr>
      <w:bookmarkStart w:id="231" w:name="_Toc16090"/>
      <w:bookmarkStart w:id="232" w:name="_Toc144974527"/>
      <w:bookmarkStart w:id="233" w:name="_Toc168475674"/>
      <w:bookmarkStart w:id="234" w:name="_Toc168476077"/>
      <w:bookmarkStart w:id="235" w:name="_Toc229305345"/>
      <w:bookmarkStart w:id="236" w:name="_Toc117_WPSOffice_Level2"/>
      <w:bookmarkStart w:id="237" w:name="_Toc222030987"/>
      <w:bookmarkStart w:id="238" w:name="_Toc31741"/>
      <w:bookmarkStart w:id="239" w:name="_Toc222033836"/>
      <w:bookmarkStart w:id="240" w:name="_Toc95257486"/>
      <w:bookmarkStart w:id="241" w:name="_Toc222032654"/>
      <w:bookmarkStart w:id="242" w:name="_Toc222029485"/>
      <w:bookmarkStart w:id="243" w:name="_Toc221950189"/>
      <w:r>
        <w:rPr>
          <w:rFonts w:hint="eastAsia" w:ascii="宋体" w:hAnsi="宋体" w:eastAsia="宋体"/>
          <w:color w:val="auto"/>
          <w:sz w:val="24"/>
          <w:highlight w:val="none"/>
        </w:rPr>
        <w:t>5. 开标</w:t>
      </w:r>
      <w:bookmarkEnd w:id="231"/>
      <w:bookmarkEnd w:id="232"/>
      <w:bookmarkEnd w:id="233"/>
      <w:bookmarkEnd w:id="234"/>
      <w:bookmarkEnd w:id="235"/>
      <w:bookmarkEnd w:id="236"/>
      <w:bookmarkEnd w:id="237"/>
      <w:bookmarkEnd w:id="238"/>
      <w:bookmarkEnd w:id="239"/>
      <w:bookmarkEnd w:id="240"/>
      <w:bookmarkEnd w:id="241"/>
      <w:bookmarkEnd w:id="242"/>
      <w:bookmarkEnd w:id="243"/>
    </w:p>
    <w:p w14:paraId="35746C8B">
      <w:pPr>
        <w:spacing w:after="0" w:line="360" w:lineRule="auto"/>
        <w:rPr>
          <w:rFonts w:ascii="宋体" w:hAnsi="宋体"/>
          <w:b/>
          <w:color w:val="auto"/>
          <w:sz w:val="24"/>
          <w:highlight w:val="none"/>
        </w:rPr>
      </w:pPr>
      <w:bookmarkStart w:id="244" w:name="_Toc221950192"/>
      <w:r>
        <w:rPr>
          <w:rFonts w:hint="eastAsia" w:ascii="宋体" w:hAnsi="宋体"/>
          <w:b/>
          <w:color w:val="auto"/>
          <w:sz w:val="24"/>
          <w:highlight w:val="none"/>
        </w:rPr>
        <w:t>5.1开标时间和地点</w:t>
      </w:r>
    </w:p>
    <w:bookmarkEnd w:id="244"/>
    <w:p w14:paraId="70D5C169">
      <w:pPr>
        <w:spacing w:after="0" w:line="360" w:lineRule="auto"/>
        <w:ind w:firstLine="420"/>
        <w:rPr>
          <w:rFonts w:ascii="宋体" w:hAnsi="宋体"/>
          <w:color w:val="auto"/>
          <w:highlight w:val="none"/>
        </w:rPr>
      </w:pPr>
      <w:bookmarkStart w:id="245" w:name="_Toc221950196"/>
      <w:r>
        <w:rPr>
          <w:rFonts w:hint="eastAsia" w:ascii="宋体" w:hAnsi="宋体"/>
          <w:color w:val="auto"/>
          <w:highlight w:val="none"/>
        </w:rPr>
        <w:t>见《投标人须知前附表》。</w:t>
      </w:r>
    </w:p>
    <w:p w14:paraId="71CAF11A">
      <w:pPr>
        <w:spacing w:after="0" w:line="360" w:lineRule="auto"/>
        <w:rPr>
          <w:rFonts w:ascii="宋体" w:hAnsi="宋体"/>
          <w:b/>
          <w:color w:val="auto"/>
          <w:sz w:val="24"/>
          <w:highlight w:val="none"/>
        </w:rPr>
      </w:pPr>
      <w:r>
        <w:rPr>
          <w:rFonts w:hint="eastAsia" w:ascii="宋体" w:hAnsi="宋体"/>
          <w:b/>
          <w:color w:val="auto"/>
          <w:sz w:val="24"/>
          <w:highlight w:val="none"/>
        </w:rPr>
        <w:t>5.2开标程序</w:t>
      </w:r>
    </w:p>
    <w:bookmarkEnd w:id="245"/>
    <w:p w14:paraId="160876B3">
      <w:pPr>
        <w:spacing w:after="0" w:line="360" w:lineRule="auto"/>
        <w:ind w:firstLine="420"/>
        <w:rPr>
          <w:rFonts w:ascii="宋体" w:hAnsi="宋体"/>
          <w:color w:val="auto"/>
          <w:highlight w:val="none"/>
        </w:rPr>
      </w:pPr>
      <w:bookmarkStart w:id="246" w:name="_Toc168476080"/>
      <w:bookmarkStart w:id="247" w:name="_Toc31683_WPSOffice_Level2"/>
      <w:bookmarkStart w:id="248" w:name="_Toc95257487"/>
      <w:bookmarkStart w:id="249" w:name="_Toc222033837"/>
      <w:bookmarkStart w:id="250" w:name="_Toc168475677"/>
      <w:bookmarkStart w:id="251" w:name="_Toc222032655"/>
      <w:bookmarkStart w:id="252" w:name="_Toc144974530"/>
      <w:bookmarkStart w:id="253" w:name="_Toc229305346"/>
      <w:bookmarkStart w:id="254" w:name="_Toc222030988"/>
      <w:bookmarkStart w:id="255" w:name="_Toc222029486"/>
      <w:bookmarkStart w:id="256" w:name="_Toc221950200"/>
      <w:r>
        <w:rPr>
          <w:rFonts w:hint="eastAsia" w:ascii="宋体" w:hAnsi="宋体"/>
          <w:color w:val="auto"/>
          <w:highlight w:val="none"/>
        </w:rPr>
        <w:t>见《投标人须知前附表》。</w:t>
      </w:r>
    </w:p>
    <w:p w14:paraId="0FB5B243">
      <w:pPr>
        <w:pStyle w:val="5"/>
        <w:spacing w:before="0" w:after="0" w:line="360" w:lineRule="auto"/>
        <w:jc w:val="left"/>
        <w:rPr>
          <w:rFonts w:ascii="宋体" w:hAnsi="宋体" w:eastAsia="宋体"/>
          <w:color w:val="auto"/>
          <w:sz w:val="24"/>
          <w:highlight w:val="none"/>
        </w:rPr>
      </w:pPr>
      <w:bookmarkStart w:id="257" w:name="_Toc16748"/>
      <w:bookmarkStart w:id="258" w:name="_Toc6196"/>
      <w:r>
        <w:rPr>
          <w:rFonts w:hint="eastAsia" w:ascii="宋体" w:hAnsi="宋体" w:eastAsia="宋体"/>
          <w:color w:val="auto"/>
          <w:sz w:val="24"/>
          <w:highlight w:val="none"/>
        </w:rPr>
        <w:t>6. 评标</w:t>
      </w:r>
      <w:bookmarkEnd w:id="246"/>
      <w:bookmarkEnd w:id="247"/>
      <w:bookmarkEnd w:id="248"/>
      <w:bookmarkEnd w:id="249"/>
      <w:bookmarkEnd w:id="250"/>
      <w:bookmarkEnd w:id="251"/>
      <w:bookmarkEnd w:id="252"/>
      <w:bookmarkEnd w:id="253"/>
      <w:bookmarkEnd w:id="254"/>
      <w:bookmarkEnd w:id="255"/>
      <w:bookmarkEnd w:id="256"/>
      <w:bookmarkEnd w:id="257"/>
      <w:bookmarkEnd w:id="258"/>
    </w:p>
    <w:p w14:paraId="04E18BFE">
      <w:pPr>
        <w:spacing w:after="0" w:line="360" w:lineRule="auto"/>
        <w:rPr>
          <w:rFonts w:ascii="宋体" w:hAnsi="宋体"/>
          <w:b/>
          <w:color w:val="auto"/>
          <w:sz w:val="24"/>
          <w:highlight w:val="none"/>
        </w:rPr>
      </w:pPr>
      <w:r>
        <w:rPr>
          <w:rFonts w:hint="eastAsia" w:ascii="宋体" w:hAnsi="宋体"/>
          <w:b/>
          <w:color w:val="auto"/>
          <w:sz w:val="24"/>
          <w:highlight w:val="none"/>
        </w:rPr>
        <w:t>6.1 评标委员会</w:t>
      </w:r>
    </w:p>
    <w:p w14:paraId="1926ACBE">
      <w:pPr>
        <w:spacing w:after="0" w:line="360" w:lineRule="auto"/>
        <w:ind w:firstLine="420" w:firstLineChars="200"/>
        <w:rPr>
          <w:rFonts w:ascii="宋体" w:hAnsi="宋体"/>
          <w:color w:val="auto"/>
          <w:highlight w:val="none"/>
        </w:rPr>
      </w:pPr>
      <w:r>
        <w:rPr>
          <w:rFonts w:hint="eastAsia" w:ascii="宋体" w:hAnsi="宋体"/>
          <w:color w:val="auto"/>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DB474A1">
      <w:pPr>
        <w:spacing w:after="0" w:line="360" w:lineRule="auto"/>
        <w:ind w:firstLine="420" w:firstLineChars="200"/>
        <w:rPr>
          <w:rFonts w:ascii="宋体" w:hAnsi="宋体"/>
          <w:color w:val="auto"/>
          <w:highlight w:val="none"/>
        </w:rPr>
      </w:pPr>
      <w:r>
        <w:rPr>
          <w:rFonts w:hint="eastAsia" w:ascii="宋体" w:hAnsi="宋体"/>
          <w:color w:val="auto"/>
          <w:highlight w:val="none"/>
        </w:rPr>
        <w:t>6.1.2 评标委员会成员有下列情形之一的，应当回避：</w:t>
      </w:r>
    </w:p>
    <w:p w14:paraId="7EC6ABE1">
      <w:pPr>
        <w:spacing w:after="0" w:line="360" w:lineRule="auto"/>
        <w:ind w:firstLine="435"/>
        <w:rPr>
          <w:rFonts w:ascii="宋体" w:hAnsi="宋体"/>
          <w:color w:val="auto"/>
          <w:highlight w:val="none"/>
        </w:rPr>
      </w:pPr>
      <w:r>
        <w:rPr>
          <w:rFonts w:hint="eastAsia" w:ascii="宋体" w:hAnsi="宋体"/>
          <w:color w:val="auto"/>
          <w:highlight w:val="none"/>
        </w:rPr>
        <w:t>（1）招标人或投标人的主要负责人的近亲属：</w:t>
      </w:r>
    </w:p>
    <w:p w14:paraId="58D5D937">
      <w:pPr>
        <w:spacing w:after="0" w:line="360" w:lineRule="auto"/>
        <w:ind w:firstLine="435"/>
        <w:rPr>
          <w:rFonts w:ascii="宋体" w:hAnsi="宋体"/>
          <w:color w:val="auto"/>
          <w:highlight w:val="none"/>
        </w:rPr>
      </w:pPr>
      <w:r>
        <w:rPr>
          <w:rFonts w:hint="eastAsia" w:ascii="宋体" w:hAnsi="宋体"/>
          <w:color w:val="auto"/>
          <w:highlight w:val="none"/>
        </w:rPr>
        <w:t>（2）与投标人有经济利益关系，可能影响对投标公正评审的：</w:t>
      </w:r>
    </w:p>
    <w:p w14:paraId="2FB39DE5">
      <w:pPr>
        <w:spacing w:after="0" w:line="360" w:lineRule="auto"/>
        <w:ind w:firstLine="435"/>
        <w:rPr>
          <w:rFonts w:ascii="宋体" w:hAnsi="宋体"/>
          <w:color w:val="auto"/>
          <w:highlight w:val="none"/>
        </w:rPr>
      </w:pPr>
      <w:r>
        <w:rPr>
          <w:rFonts w:hint="eastAsia" w:ascii="宋体" w:hAnsi="宋体"/>
          <w:color w:val="auto"/>
          <w:highlight w:val="none"/>
        </w:rPr>
        <w:t>（3）曾因在招标、评标以及其他与招标投标有关活动中从事违法行为而受过行政处罚或刑事处罚的。</w:t>
      </w:r>
    </w:p>
    <w:p w14:paraId="22DFE562">
      <w:pPr>
        <w:spacing w:after="0" w:line="360" w:lineRule="auto"/>
        <w:rPr>
          <w:rFonts w:ascii="宋体" w:hAnsi="宋体"/>
          <w:b/>
          <w:color w:val="auto"/>
          <w:sz w:val="24"/>
          <w:highlight w:val="none"/>
        </w:rPr>
      </w:pPr>
      <w:r>
        <w:rPr>
          <w:rFonts w:hint="eastAsia" w:ascii="宋体" w:hAnsi="宋体"/>
          <w:b/>
          <w:color w:val="auto"/>
          <w:sz w:val="24"/>
          <w:highlight w:val="none"/>
        </w:rPr>
        <w:t>6.2 评标原则</w:t>
      </w:r>
    </w:p>
    <w:p w14:paraId="41716018">
      <w:pPr>
        <w:spacing w:after="0" w:line="360" w:lineRule="auto"/>
        <w:ind w:firstLine="435"/>
        <w:rPr>
          <w:rFonts w:ascii="宋体" w:hAnsi="宋体"/>
          <w:color w:val="auto"/>
          <w:highlight w:val="none"/>
        </w:rPr>
      </w:pPr>
      <w:r>
        <w:rPr>
          <w:rFonts w:hint="eastAsia" w:ascii="宋体" w:hAnsi="宋体"/>
          <w:color w:val="auto"/>
          <w:highlight w:val="none"/>
        </w:rPr>
        <w:t>评标活动遵循“公平、公正、科学和择优”的原则。</w:t>
      </w:r>
    </w:p>
    <w:p w14:paraId="2FB04093">
      <w:pPr>
        <w:spacing w:after="0" w:line="360" w:lineRule="auto"/>
        <w:rPr>
          <w:rFonts w:ascii="宋体" w:hAnsi="宋体"/>
          <w:b/>
          <w:color w:val="auto"/>
          <w:sz w:val="24"/>
          <w:highlight w:val="none"/>
        </w:rPr>
      </w:pPr>
      <w:r>
        <w:rPr>
          <w:rFonts w:hint="eastAsia" w:ascii="宋体" w:hAnsi="宋体"/>
          <w:b/>
          <w:color w:val="auto"/>
          <w:sz w:val="24"/>
          <w:highlight w:val="none"/>
        </w:rPr>
        <w:t>6.3 评标</w:t>
      </w:r>
    </w:p>
    <w:p w14:paraId="179C30EE">
      <w:pPr>
        <w:spacing w:after="0" w:line="360" w:lineRule="auto"/>
        <w:rPr>
          <w:rFonts w:ascii="宋体" w:hAnsi="宋体"/>
          <w:color w:val="auto"/>
          <w:highlight w:val="none"/>
        </w:rPr>
      </w:pPr>
      <w:r>
        <w:rPr>
          <w:rFonts w:hint="eastAsia" w:ascii="宋体" w:hAnsi="宋体"/>
          <w:color w:val="auto"/>
          <w:highlight w:val="none"/>
        </w:rPr>
        <w:t xml:space="preserve">    评标委员会按照第三章“评标办法”规定的方法、评审要素、评审标准和程序对《投标文件》进行评审。第三章“评标办法”没有规定的方法、评审要素和评审标准，不作为评标依据。</w:t>
      </w:r>
    </w:p>
    <w:p w14:paraId="27AD040E">
      <w:pPr>
        <w:pStyle w:val="5"/>
        <w:spacing w:before="0" w:after="0" w:line="360" w:lineRule="auto"/>
        <w:jc w:val="left"/>
        <w:rPr>
          <w:rFonts w:ascii="宋体" w:hAnsi="宋体" w:eastAsia="宋体"/>
          <w:color w:val="auto"/>
          <w:sz w:val="24"/>
          <w:highlight w:val="none"/>
        </w:rPr>
      </w:pPr>
      <w:bookmarkStart w:id="259" w:name="_Toc229"/>
      <w:bookmarkStart w:id="260" w:name="_Toc222029487"/>
      <w:bookmarkStart w:id="261" w:name="_Toc168475681"/>
      <w:bookmarkStart w:id="262" w:name="_Toc229305347"/>
      <w:bookmarkStart w:id="263" w:name="_Toc222033838"/>
      <w:bookmarkStart w:id="264" w:name="_Toc144974534"/>
      <w:bookmarkStart w:id="265" w:name="_Toc222032656"/>
      <w:bookmarkStart w:id="266" w:name="_Toc95257488"/>
      <w:bookmarkStart w:id="267" w:name="_Toc31252"/>
      <w:bookmarkStart w:id="268" w:name="_Toc2674_WPSOffice_Level2"/>
      <w:bookmarkStart w:id="269" w:name="_Toc221950208"/>
      <w:bookmarkStart w:id="270" w:name="_Toc222030989"/>
      <w:bookmarkStart w:id="271" w:name="_Toc168476084"/>
      <w:r>
        <w:rPr>
          <w:rFonts w:hint="eastAsia" w:ascii="宋体" w:hAnsi="宋体" w:eastAsia="宋体"/>
          <w:color w:val="auto"/>
          <w:sz w:val="24"/>
          <w:highlight w:val="none"/>
        </w:rPr>
        <w:t>7. 合同授予</w:t>
      </w:r>
      <w:bookmarkEnd w:id="259"/>
      <w:bookmarkEnd w:id="260"/>
      <w:bookmarkEnd w:id="261"/>
      <w:bookmarkEnd w:id="262"/>
      <w:bookmarkEnd w:id="263"/>
      <w:bookmarkEnd w:id="264"/>
      <w:bookmarkEnd w:id="265"/>
      <w:bookmarkEnd w:id="266"/>
      <w:bookmarkEnd w:id="267"/>
      <w:bookmarkEnd w:id="268"/>
      <w:bookmarkEnd w:id="269"/>
      <w:bookmarkEnd w:id="270"/>
      <w:bookmarkEnd w:id="271"/>
    </w:p>
    <w:p w14:paraId="20E49FC0">
      <w:pPr>
        <w:spacing w:after="0" w:line="360" w:lineRule="auto"/>
        <w:rPr>
          <w:rFonts w:ascii="宋体" w:hAnsi="宋体"/>
          <w:b/>
          <w:color w:val="auto"/>
          <w:sz w:val="24"/>
          <w:highlight w:val="none"/>
        </w:rPr>
      </w:pPr>
      <w:bookmarkStart w:id="272" w:name="_Toc221950211"/>
      <w:r>
        <w:rPr>
          <w:rFonts w:hint="eastAsia" w:ascii="宋体" w:hAnsi="宋体"/>
          <w:b/>
          <w:color w:val="auto"/>
          <w:sz w:val="24"/>
          <w:highlight w:val="none"/>
        </w:rPr>
        <w:t>7.1定标方式</w:t>
      </w:r>
    </w:p>
    <w:p w14:paraId="7617045F">
      <w:pPr>
        <w:spacing w:line="360" w:lineRule="auto"/>
        <w:ind w:firstLine="420" w:firstLineChars="200"/>
        <w:rPr>
          <w:rFonts w:ascii="宋体" w:hAnsi="宋体"/>
          <w:color w:val="auto"/>
          <w:sz w:val="24"/>
          <w:highlight w:val="none"/>
        </w:rPr>
      </w:pPr>
      <w:r>
        <w:rPr>
          <w:rFonts w:hint="eastAsia" w:ascii="宋体" w:hAnsi="宋体"/>
          <w:color w:val="auto"/>
          <w:szCs w:val="21"/>
          <w:highlight w:val="none"/>
        </w:rPr>
        <w:t>评标委员会推荐3名中标候选人</w:t>
      </w:r>
      <w:r>
        <w:rPr>
          <w:rFonts w:hint="eastAsia" w:ascii="宋体" w:hAnsi="宋体"/>
          <w:color w:val="auto"/>
          <w:szCs w:val="21"/>
          <w:highlight w:val="none"/>
          <w:lang w:eastAsia="zh-CN"/>
        </w:rPr>
        <w:t>，</w:t>
      </w:r>
      <w:r>
        <w:rPr>
          <w:rFonts w:hint="eastAsia" w:ascii="宋体" w:hAnsi="宋体"/>
          <w:color w:val="auto"/>
          <w:szCs w:val="21"/>
          <w:highlight w:val="none"/>
        </w:rPr>
        <w:t>并标明排列顺序。招标人依据评标委员会推荐的中标候选人确定中标人。</w:t>
      </w:r>
      <w:bookmarkEnd w:id="272"/>
      <w:r>
        <w:rPr>
          <w:rFonts w:hint="eastAsia" w:ascii="宋体" w:hAnsi="宋体" w:cs="宋体"/>
          <w:color w:val="auto"/>
          <w:highlight w:val="none"/>
        </w:rPr>
        <w:t>排名第一的中标候选人放弃中标、因不可抗力提出不能履行合同，或者招标文件规定应当提交履约保证金而在规定的期限内未能提交，或者被查实存在影响中标结果的违法行为等情形，不符合中标条件的，招标人可以按照评标委员会提出的中标候选人名单排序依次确定其他中标候选人为中标人。</w:t>
      </w:r>
      <w:r>
        <w:rPr>
          <w:rFonts w:ascii="宋体" w:hAnsi="宋体" w:cs="宋体"/>
          <w:color w:val="auto"/>
          <w:highlight w:val="none"/>
        </w:rPr>
        <w:t>因有效投标不足三个</w:t>
      </w:r>
      <w:r>
        <w:rPr>
          <w:rFonts w:hint="eastAsia" w:ascii="宋体" w:hAnsi="宋体" w:cs="宋体"/>
          <w:color w:val="auto"/>
          <w:highlight w:val="none"/>
        </w:rPr>
        <w:t>但本项目标段投标存在竞争的，评标委员会可继续评审，以节约社会时间和成本；依次确定其他中标候选人与招标人预期差距较大，或者对招标人明显不利的，招标人可以重新招标。</w:t>
      </w:r>
    </w:p>
    <w:p w14:paraId="7BB95979">
      <w:pPr>
        <w:spacing w:after="0" w:line="360" w:lineRule="auto"/>
        <w:rPr>
          <w:rFonts w:ascii="宋体" w:hAnsi="宋体"/>
          <w:b/>
          <w:color w:val="auto"/>
          <w:sz w:val="24"/>
          <w:highlight w:val="none"/>
        </w:rPr>
      </w:pPr>
      <w:bookmarkStart w:id="273" w:name="_Toc152042344"/>
      <w:bookmarkStart w:id="274" w:name="_Toc144974536"/>
      <w:bookmarkStart w:id="275" w:name="_Toc152045568"/>
      <w:bookmarkStart w:id="276" w:name="_Toc179632586"/>
      <w:r>
        <w:rPr>
          <w:rFonts w:ascii="宋体" w:hAnsi="宋体"/>
          <w:b/>
          <w:color w:val="auto"/>
          <w:sz w:val="24"/>
          <w:highlight w:val="none"/>
        </w:rPr>
        <w:t xml:space="preserve">7.2 </w:t>
      </w:r>
      <w:r>
        <w:rPr>
          <w:rFonts w:hint="eastAsia" w:ascii="宋体" w:hAnsi="宋体"/>
          <w:b/>
          <w:color w:val="auto"/>
          <w:sz w:val="24"/>
          <w:highlight w:val="none"/>
        </w:rPr>
        <w:t>中标通知</w:t>
      </w:r>
      <w:bookmarkEnd w:id="273"/>
      <w:bookmarkEnd w:id="274"/>
      <w:bookmarkEnd w:id="275"/>
      <w:bookmarkEnd w:id="276"/>
    </w:p>
    <w:p w14:paraId="0266EF1D">
      <w:pPr>
        <w:spacing w:after="0" w:line="360" w:lineRule="auto"/>
        <w:ind w:firstLine="420" w:firstLineChars="200"/>
        <w:rPr>
          <w:rFonts w:ascii="宋体" w:hAnsi="宋体"/>
          <w:color w:val="auto"/>
          <w:sz w:val="23"/>
          <w:szCs w:val="23"/>
          <w:highlight w:val="none"/>
        </w:rPr>
      </w:pPr>
      <w:r>
        <w:rPr>
          <w:rFonts w:hint="eastAsia" w:ascii="宋体" w:hAnsi="宋体"/>
          <w:color w:val="auto"/>
          <w:szCs w:val="21"/>
          <w:highlight w:val="none"/>
        </w:rPr>
        <w:t>招标人将于评标后的三日内在</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全国公共资源交易平台(云南省）云南省公共资源交易信息网“楚雄州”楚雄州公共资源交易电子服务系统</w:t>
      </w:r>
      <w:r>
        <w:rPr>
          <w:rFonts w:hint="eastAsia" w:ascii="宋体" w:hAnsi="宋体"/>
          <w:color w:val="auto"/>
          <w:szCs w:val="21"/>
          <w:highlight w:val="none"/>
        </w:rPr>
        <w:t>上进行评标结果公示，届时请各投标人自行查询。</w:t>
      </w:r>
    </w:p>
    <w:p w14:paraId="751D2DB8">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公示期结束后，如无异议，招标人在本章第</w:t>
      </w:r>
      <w:r>
        <w:rPr>
          <w:rFonts w:ascii="宋体" w:hAnsi="宋体"/>
          <w:color w:val="auto"/>
          <w:szCs w:val="21"/>
          <w:highlight w:val="none"/>
        </w:rPr>
        <w:t>3.3</w:t>
      </w:r>
      <w:r>
        <w:rPr>
          <w:rFonts w:hint="eastAsia" w:ascii="宋体" w:hAnsi="宋体"/>
          <w:color w:val="auto"/>
          <w:szCs w:val="21"/>
          <w:highlight w:val="none"/>
        </w:rPr>
        <w:t>款规定的投标有效期内以书面形式向中标人发出中标通知书。</w:t>
      </w:r>
    </w:p>
    <w:p w14:paraId="2E6B3F27">
      <w:pPr>
        <w:spacing w:after="0" w:line="360" w:lineRule="auto"/>
        <w:rPr>
          <w:rFonts w:ascii="宋体" w:hAnsi="宋体"/>
          <w:b/>
          <w:color w:val="auto"/>
          <w:sz w:val="24"/>
          <w:highlight w:val="none"/>
        </w:rPr>
      </w:pPr>
      <w:bookmarkStart w:id="277" w:name="_Toc152042345"/>
      <w:bookmarkStart w:id="278" w:name="_Toc144974537"/>
      <w:bookmarkStart w:id="279" w:name="_Toc179632587"/>
      <w:bookmarkStart w:id="280" w:name="_Toc152045569"/>
      <w:r>
        <w:rPr>
          <w:rFonts w:ascii="宋体" w:hAnsi="宋体"/>
          <w:b/>
          <w:color w:val="auto"/>
          <w:sz w:val="24"/>
          <w:highlight w:val="none"/>
        </w:rPr>
        <w:t xml:space="preserve">7.3 </w:t>
      </w:r>
      <w:r>
        <w:rPr>
          <w:rFonts w:hint="eastAsia" w:ascii="宋体" w:hAnsi="宋体"/>
          <w:b/>
          <w:color w:val="auto"/>
          <w:sz w:val="24"/>
          <w:highlight w:val="none"/>
        </w:rPr>
        <w:t>履约担保</w:t>
      </w:r>
      <w:bookmarkEnd w:id="277"/>
      <w:bookmarkEnd w:id="278"/>
      <w:bookmarkEnd w:id="279"/>
      <w:bookmarkEnd w:id="280"/>
    </w:p>
    <w:p w14:paraId="040FB79B">
      <w:pPr>
        <w:adjustRightInd w:val="0"/>
        <w:snapToGrid w:val="0"/>
        <w:spacing w:after="0" w:line="360" w:lineRule="auto"/>
        <w:ind w:firstLine="420" w:firstLineChars="200"/>
        <w:jc w:val="left"/>
        <w:rPr>
          <w:color w:val="auto"/>
          <w:highlight w:val="none"/>
        </w:rPr>
      </w:pPr>
      <w:r>
        <w:rPr>
          <w:rFonts w:ascii="宋体" w:hAnsi="宋体"/>
          <w:color w:val="auto"/>
          <w:szCs w:val="21"/>
          <w:highlight w:val="none"/>
        </w:rPr>
        <w:t>7.3.1</w:t>
      </w:r>
      <w:r>
        <w:rPr>
          <w:rFonts w:hint="eastAsia" w:ascii="宋体" w:hAnsi="宋体"/>
          <w:color w:val="auto"/>
          <w:szCs w:val="21"/>
          <w:highlight w:val="none"/>
        </w:rPr>
        <w:t>在签订合同前，中标人应按《投标人须知前附表》规定的担保形式、金额和《招标文件》第四章“合同条款及格式”规定的履约担保格式向招标人提交履约担保。投标人</w:t>
      </w:r>
      <w:r>
        <w:rPr>
          <w:rFonts w:hint="eastAsia" w:ascii="宋体" w:hAnsi="宋体"/>
          <w:color w:val="auto"/>
          <w:kern w:val="0"/>
          <w:szCs w:val="21"/>
          <w:highlight w:val="none"/>
        </w:rPr>
        <w:t>应根据</w:t>
      </w:r>
      <w:r>
        <w:rPr>
          <w:rFonts w:hint="eastAsia" w:ascii="宋体" w:hAnsi="宋体"/>
          <w:color w:val="auto"/>
          <w:szCs w:val="21"/>
          <w:highlight w:val="none"/>
        </w:rPr>
        <w:t>《投标人须知前附表》</w:t>
      </w:r>
      <w:r>
        <w:rPr>
          <w:rFonts w:hint="eastAsia" w:ascii="宋体" w:hAnsi="宋体"/>
          <w:color w:val="auto"/>
          <w:kern w:val="0"/>
          <w:szCs w:val="21"/>
          <w:highlight w:val="none"/>
        </w:rPr>
        <w:t>规定的“履约保证金、</w:t>
      </w:r>
      <w:r>
        <w:rPr>
          <w:rFonts w:hint="eastAsia" w:ascii="宋体" w:hAnsi="宋体"/>
          <w:color w:val="auto"/>
          <w:szCs w:val="21"/>
          <w:highlight w:val="none"/>
        </w:rPr>
        <w:t>农民工工资支付保证金”</w:t>
      </w:r>
      <w:r>
        <w:rPr>
          <w:rFonts w:hint="eastAsia" w:ascii="宋体" w:hAnsi="宋体"/>
          <w:color w:val="auto"/>
          <w:kern w:val="0"/>
          <w:szCs w:val="21"/>
          <w:highlight w:val="none"/>
        </w:rPr>
        <w:t>金额及提交方式自拟格式提供“履约保证金、</w:t>
      </w:r>
      <w:r>
        <w:rPr>
          <w:rFonts w:hint="eastAsia" w:ascii="宋体" w:hAnsi="宋体"/>
          <w:color w:val="auto"/>
          <w:szCs w:val="21"/>
          <w:highlight w:val="none"/>
        </w:rPr>
        <w:t>农民工工资支付保证金”</w:t>
      </w:r>
      <w:r>
        <w:rPr>
          <w:rFonts w:hint="eastAsia" w:ascii="宋体" w:hAnsi="宋体"/>
          <w:color w:val="auto"/>
          <w:kern w:val="0"/>
          <w:szCs w:val="21"/>
          <w:highlight w:val="none"/>
        </w:rPr>
        <w:t>保证承诺，并附于投标文件中，若未按要求递交承诺，则视为不响应招标文件要求，将作否决其投标文件处理。</w:t>
      </w:r>
    </w:p>
    <w:p w14:paraId="5AC6DADB">
      <w:pPr>
        <w:spacing w:after="0" w:line="360" w:lineRule="auto"/>
        <w:ind w:firstLine="420" w:firstLineChars="200"/>
        <w:rPr>
          <w:rFonts w:ascii="宋体" w:hAnsi="宋体"/>
          <w:color w:val="auto"/>
          <w:highlight w:val="none"/>
        </w:rPr>
      </w:pPr>
      <w:r>
        <w:rPr>
          <w:rFonts w:ascii="宋体" w:hAnsi="宋体"/>
          <w:color w:val="auto"/>
          <w:szCs w:val="21"/>
          <w:highlight w:val="none"/>
        </w:rPr>
        <w:t xml:space="preserve">7.3.2 </w:t>
      </w:r>
      <w:r>
        <w:rPr>
          <w:rFonts w:hint="eastAsia" w:ascii="宋体" w:hAnsi="宋体"/>
          <w:color w:val="auto"/>
          <w:szCs w:val="21"/>
          <w:highlight w:val="none"/>
        </w:rPr>
        <w:t>中标人不能按本章第</w:t>
      </w:r>
      <w:r>
        <w:rPr>
          <w:rFonts w:ascii="宋体" w:hAnsi="宋体"/>
          <w:color w:val="auto"/>
          <w:szCs w:val="21"/>
          <w:highlight w:val="none"/>
        </w:rPr>
        <w:t>7.3.1</w:t>
      </w:r>
      <w:r>
        <w:rPr>
          <w:rFonts w:hint="eastAsia" w:ascii="宋体" w:hAnsi="宋体"/>
          <w:color w:val="auto"/>
          <w:szCs w:val="21"/>
          <w:highlight w:val="none"/>
        </w:rPr>
        <w:t>项要求提交履约担保的，视为放弃中标，其投标保证金不予退还，给招标人造成的损失超过投标保证金数额的，中标人还应当对超过部分予以赔偿。</w:t>
      </w:r>
    </w:p>
    <w:p w14:paraId="26347310">
      <w:pPr>
        <w:spacing w:after="0" w:line="360" w:lineRule="auto"/>
        <w:rPr>
          <w:rFonts w:ascii="宋体" w:hAnsi="宋体"/>
          <w:b/>
          <w:color w:val="auto"/>
          <w:sz w:val="24"/>
          <w:highlight w:val="none"/>
        </w:rPr>
      </w:pPr>
      <w:r>
        <w:rPr>
          <w:rFonts w:hint="eastAsia" w:ascii="宋体" w:hAnsi="宋体"/>
          <w:b/>
          <w:color w:val="auto"/>
          <w:sz w:val="24"/>
          <w:highlight w:val="none"/>
        </w:rPr>
        <w:t>7.4签订合同</w:t>
      </w:r>
    </w:p>
    <w:p w14:paraId="36FE9395">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7.4.1</w:t>
      </w:r>
      <w:r>
        <w:rPr>
          <w:rFonts w:hint="eastAsia" w:ascii="宋体" w:hAnsi="宋体"/>
          <w:color w:val="auto"/>
          <w:szCs w:val="21"/>
          <w:highlight w:val="none"/>
        </w:rPr>
        <w:t>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354B148A">
      <w:pPr>
        <w:spacing w:after="0" w:line="360" w:lineRule="auto"/>
        <w:ind w:firstLine="420" w:firstLineChars="200"/>
        <w:rPr>
          <w:rFonts w:ascii="宋体" w:hAnsi="宋体"/>
          <w:color w:val="auto"/>
          <w:szCs w:val="21"/>
          <w:highlight w:val="none"/>
        </w:rPr>
      </w:pPr>
      <w:bookmarkStart w:id="281" w:name="_Toc221950219"/>
      <w:r>
        <w:rPr>
          <w:rFonts w:hint="eastAsia" w:ascii="宋体" w:hAnsi="宋体"/>
          <w:color w:val="auto"/>
          <w:szCs w:val="21"/>
          <w:highlight w:val="none"/>
        </w:rPr>
        <w:t>7.4.2 发出中标通知书后，招标人无正当理由拒签合同的，招标人向中标人退还投标保证金，</w:t>
      </w:r>
      <w:bookmarkEnd w:id="281"/>
      <w:r>
        <w:rPr>
          <w:rFonts w:hint="eastAsia" w:ascii="宋体" w:hAnsi="宋体"/>
          <w:color w:val="auto"/>
          <w:szCs w:val="21"/>
          <w:highlight w:val="none"/>
        </w:rPr>
        <w:t xml:space="preserve">给中标人造成损失的，还应当赔偿损失。 </w:t>
      </w:r>
    </w:p>
    <w:p w14:paraId="1689A316">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7.4.3中标人签订合同时提交纸质投标文件</w:t>
      </w:r>
    </w:p>
    <w:p w14:paraId="4FDD91CD">
      <w:pPr>
        <w:pStyle w:val="5"/>
        <w:spacing w:before="0" w:after="0" w:line="360" w:lineRule="auto"/>
        <w:jc w:val="left"/>
        <w:rPr>
          <w:rFonts w:ascii="宋体" w:hAnsi="宋体" w:eastAsia="宋体"/>
          <w:color w:val="auto"/>
          <w:sz w:val="24"/>
          <w:highlight w:val="none"/>
        </w:rPr>
      </w:pPr>
      <w:bookmarkStart w:id="282" w:name="_Toc28237_WPSOffice_Level2"/>
      <w:bookmarkStart w:id="283" w:name="_Toc229305348"/>
      <w:bookmarkStart w:id="284" w:name="_Toc222029488"/>
      <w:bookmarkStart w:id="285" w:name="_Toc168476089"/>
      <w:bookmarkStart w:id="286" w:name="_Toc221950220"/>
      <w:bookmarkStart w:id="287" w:name="_Toc95257489"/>
      <w:bookmarkStart w:id="288" w:name="_Toc222030990"/>
      <w:bookmarkStart w:id="289" w:name="_Toc5166"/>
      <w:bookmarkStart w:id="290" w:name="_Toc222033839"/>
      <w:bookmarkStart w:id="291" w:name="_Toc222032657"/>
      <w:bookmarkStart w:id="292" w:name="_Toc15617"/>
      <w:bookmarkStart w:id="293" w:name="_Toc168475686"/>
      <w:bookmarkStart w:id="294" w:name="_Toc144974539"/>
      <w:r>
        <w:rPr>
          <w:rFonts w:hint="eastAsia" w:ascii="宋体" w:hAnsi="宋体" w:eastAsia="宋体"/>
          <w:color w:val="auto"/>
          <w:sz w:val="24"/>
          <w:highlight w:val="none"/>
        </w:rPr>
        <w:t>8. 重新招标或经批准不招标</w:t>
      </w:r>
      <w:bookmarkEnd w:id="282"/>
      <w:bookmarkEnd w:id="283"/>
      <w:bookmarkEnd w:id="284"/>
      <w:bookmarkEnd w:id="285"/>
      <w:bookmarkEnd w:id="286"/>
      <w:bookmarkEnd w:id="287"/>
      <w:bookmarkEnd w:id="288"/>
      <w:bookmarkEnd w:id="289"/>
      <w:bookmarkEnd w:id="290"/>
      <w:bookmarkEnd w:id="291"/>
      <w:bookmarkEnd w:id="292"/>
      <w:bookmarkEnd w:id="293"/>
      <w:bookmarkEnd w:id="294"/>
      <w:bookmarkStart w:id="295" w:name="_Toc221950225"/>
    </w:p>
    <w:p w14:paraId="4F056A30">
      <w:pPr>
        <w:spacing w:after="0" w:line="360" w:lineRule="auto"/>
        <w:rPr>
          <w:rFonts w:ascii="宋体" w:hAnsi="宋体"/>
          <w:b/>
          <w:color w:val="auto"/>
          <w:sz w:val="24"/>
          <w:highlight w:val="none"/>
        </w:rPr>
      </w:pPr>
      <w:r>
        <w:rPr>
          <w:rFonts w:hint="eastAsia" w:ascii="宋体" w:hAnsi="宋体"/>
          <w:b/>
          <w:color w:val="auto"/>
          <w:sz w:val="24"/>
          <w:highlight w:val="none"/>
        </w:rPr>
        <w:t>8.1重新招标</w:t>
      </w:r>
    </w:p>
    <w:p w14:paraId="69996C92">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有下列情形之一的，招标人将重新招标；</w:t>
      </w:r>
    </w:p>
    <w:p w14:paraId="56EE3F0E">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（1）投标截止时间止，投标人少于3个的；</w:t>
      </w:r>
    </w:p>
    <w:p w14:paraId="3F37FA1B">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（2）经评标委员会评审后否决所有投标的；</w:t>
      </w:r>
    </w:p>
    <w:p w14:paraId="326F01E9">
      <w:pPr>
        <w:autoSpaceDE w:val="0"/>
        <w:autoSpaceDN w:val="0"/>
        <w:adjustRightInd w:val="0"/>
        <w:snapToGrid w:val="0"/>
        <w:spacing w:after="0" w:line="360" w:lineRule="auto"/>
        <w:ind w:firstLine="359"/>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3</w:t>
      </w:r>
      <w:r>
        <w:rPr>
          <w:rFonts w:hint="eastAsia" w:ascii="宋体" w:hAnsi="宋体" w:cs="宋体"/>
          <w:color w:val="auto"/>
          <w:szCs w:val="21"/>
          <w:highlight w:val="none"/>
          <w:lang w:val="zh-CN"/>
        </w:rPr>
        <w:t>）评标委员会否决不合格投标后因有效投标不足</w:t>
      </w:r>
      <w:r>
        <w:rPr>
          <w:rFonts w:ascii="宋体" w:hAnsi="宋体" w:cs="宋体"/>
          <w:color w:val="auto"/>
          <w:szCs w:val="21"/>
          <w:highlight w:val="none"/>
          <w:lang w:val="zh-CN"/>
        </w:rPr>
        <w:t>3</w:t>
      </w:r>
      <w:r>
        <w:rPr>
          <w:rFonts w:hint="eastAsia" w:ascii="宋体" w:hAnsi="宋体" w:cs="宋体"/>
          <w:color w:val="auto"/>
          <w:szCs w:val="21"/>
          <w:highlight w:val="none"/>
          <w:lang w:val="zh-CN"/>
        </w:rPr>
        <w:t>个使得投标明显缺乏竞争，评标委员会决定否决全部投标的；</w:t>
      </w:r>
    </w:p>
    <w:p w14:paraId="75FB15E2">
      <w:pPr>
        <w:autoSpaceDE w:val="0"/>
        <w:autoSpaceDN w:val="0"/>
        <w:adjustRightInd w:val="0"/>
        <w:snapToGrid w:val="0"/>
        <w:spacing w:after="0" w:line="360" w:lineRule="auto"/>
        <w:ind w:firstLine="359"/>
        <w:rPr>
          <w:rFonts w:ascii="宋体" w:hAnsi="宋体"/>
          <w:color w:val="auto"/>
          <w:szCs w:val="21"/>
          <w:highlight w:val="none"/>
        </w:rPr>
      </w:pPr>
      <w:r>
        <w:rPr>
          <w:rFonts w:hint="eastAsia" w:ascii="宋体" w:hAnsi="宋体" w:cs="宋体"/>
          <w:color w:val="auto"/>
          <w:szCs w:val="21"/>
          <w:highlight w:val="none"/>
          <w:lang w:val="zh-CN"/>
        </w:rPr>
        <w:t>（</w:t>
      </w:r>
      <w:r>
        <w:rPr>
          <w:rFonts w:ascii="宋体" w:hAnsi="宋体"/>
          <w:color w:val="auto"/>
          <w:szCs w:val="21"/>
          <w:highlight w:val="none"/>
        </w:rPr>
        <w:t>4</w:t>
      </w:r>
      <w:r>
        <w:rPr>
          <w:rFonts w:hint="eastAsia" w:ascii="宋体" w:hAnsi="宋体" w:cs="宋体"/>
          <w:color w:val="auto"/>
          <w:szCs w:val="21"/>
          <w:highlight w:val="none"/>
          <w:lang w:val="zh-CN"/>
        </w:rPr>
        <w:t>）同意延长投标有效期的投标人少于</w:t>
      </w:r>
      <w:r>
        <w:rPr>
          <w:rFonts w:ascii="宋体" w:hAnsi="宋体"/>
          <w:color w:val="auto"/>
          <w:szCs w:val="21"/>
          <w:highlight w:val="none"/>
        </w:rPr>
        <w:t>3</w:t>
      </w:r>
      <w:r>
        <w:rPr>
          <w:rFonts w:hint="eastAsia" w:ascii="宋体" w:hAnsi="宋体" w:cs="宋体"/>
          <w:color w:val="auto"/>
          <w:szCs w:val="21"/>
          <w:highlight w:val="none"/>
          <w:lang w:val="zh-CN"/>
        </w:rPr>
        <w:t>个的；</w:t>
      </w:r>
    </w:p>
    <w:p w14:paraId="00B89F37">
      <w:pPr>
        <w:autoSpaceDE w:val="0"/>
        <w:autoSpaceDN w:val="0"/>
        <w:adjustRightInd w:val="0"/>
        <w:snapToGrid w:val="0"/>
        <w:spacing w:after="0" w:line="360" w:lineRule="auto"/>
        <w:ind w:firstLine="359"/>
        <w:rPr>
          <w:rFonts w:ascii="宋体" w:hAnsi="宋体"/>
          <w:color w:val="auto"/>
          <w:szCs w:val="21"/>
          <w:highlight w:val="none"/>
        </w:rPr>
      </w:pPr>
      <w:r>
        <w:rPr>
          <w:rFonts w:hint="eastAsia" w:ascii="宋体" w:hAnsi="宋体" w:cs="宋体"/>
          <w:color w:val="auto"/>
          <w:szCs w:val="21"/>
          <w:highlight w:val="none"/>
          <w:lang w:val="zh-CN"/>
        </w:rPr>
        <w:t>（</w:t>
      </w:r>
      <w:r>
        <w:rPr>
          <w:rFonts w:ascii="宋体" w:hAnsi="宋体"/>
          <w:color w:val="auto"/>
          <w:szCs w:val="21"/>
          <w:highlight w:val="none"/>
        </w:rPr>
        <w:t>5</w:t>
      </w:r>
      <w:r>
        <w:rPr>
          <w:rFonts w:hint="eastAsia" w:ascii="宋体" w:hAnsi="宋体" w:cs="宋体"/>
          <w:color w:val="auto"/>
          <w:szCs w:val="21"/>
          <w:highlight w:val="none"/>
          <w:lang w:val="zh-CN"/>
        </w:rPr>
        <w:t>）中标候选人均未与招标人签订合同的。</w:t>
      </w:r>
    </w:p>
    <w:p w14:paraId="1BD2AF80">
      <w:pPr>
        <w:spacing w:after="0" w:line="360" w:lineRule="auto"/>
        <w:rPr>
          <w:rFonts w:ascii="宋体" w:hAnsi="宋体"/>
          <w:b/>
          <w:color w:val="auto"/>
          <w:sz w:val="24"/>
          <w:highlight w:val="none"/>
        </w:rPr>
      </w:pPr>
      <w:r>
        <w:rPr>
          <w:rFonts w:hint="eastAsia" w:ascii="宋体" w:hAnsi="宋体"/>
          <w:b/>
          <w:color w:val="auto"/>
          <w:sz w:val="24"/>
          <w:highlight w:val="none"/>
        </w:rPr>
        <w:t>8.2不再招标</w:t>
      </w:r>
    </w:p>
    <w:p w14:paraId="1895CFF6">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重新招标后，仍</w:t>
      </w:r>
      <w:bookmarkEnd w:id="295"/>
      <w:r>
        <w:rPr>
          <w:rFonts w:hint="eastAsia" w:ascii="宋体" w:hAnsi="宋体"/>
          <w:color w:val="auto"/>
          <w:szCs w:val="21"/>
          <w:highlight w:val="none"/>
        </w:rPr>
        <w:t>出现本章第8.1条规定情形之一的，属于必须审批的工程建设项目，经行政监督部门批准后不再进行招标。</w:t>
      </w:r>
    </w:p>
    <w:p w14:paraId="1027C3D3">
      <w:pPr>
        <w:pStyle w:val="5"/>
        <w:spacing w:before="0" w:after="0" w:line="360" w:lineRule="auto"/>
        <w:jc w:val="left"/>
        <w:rPr>
          <w:rFonts w:ascii="宋体" w:hAnsi="宋体" w:eastAsia="宋体"/>
          <w:color w:val="auto"/>
          <w:sz w:val="24"/>
          <w:highlight w:val="none"/>
        </w:rPr>
      </w:pPr>
      <w:bookmarkStart w:id="296" w:name="_Toc168475689"/>
      <w:bookmarkStart w:id="297" w:name="_Toc222029489"/>
      <w:bookmarkStart w:id="298" w:name="_Toc221950226"/>
      <w:bookmarkStart w:id="299" w:name="_Toc95257490"/>
      <w:bookmarkStart w:id="300" w:name="_Toc10780"/>
      <w:bookmarkStart w:id="301" w:name="_Toc7674_WPSOffice_Level2"/>
      <w:bookmarkStart w:id="302" w:name="_Toc23443"/>
      <w:bookmarkStart w:id="303" w:name="_Toc229305349"/>
      <w:bookmarkStart w:id="304" w:name="_Toc222033840"/>
      <w:bookmarkStart w:id="305" w:name="_Toc144974542"/>
      <w:bookmarkStart w:id="306" w:name="_Toc222032658"/>
      <w:bookmarkStart w:id="307" w:name="_Toc222030991"/>
      <w:bookmarkStart w:id="308" w:name="_Toc168476092"/>
      <w:r>
        <w:rPr>
          <w:rFonts w:hint="eastAsia" w:ascii="宋体" w:hAnsi="宋体" w:eastAsia="宋体"/>
          <w:color w:val="auto"/>
          <w:sz w:val="24"/>
          <w:highlight w:val="none"/>
        </w:rPr>
        <w:t>9. 纪律和监督</w:t>
      </w:r>
      <w:bookmarkEnd w:id="296"/>
      <w:bookmarkEnd w:id="297"/>
      <w:bookmarkEnd w:id="298"/>
      <w:bookmarkEnd w:id="299"/>
      <w:bookmarkEnd w:id="300"/>
      <w:bookmarkEnd w:id="301"/>
      <w:bookmarkEnd w:id="302"/>
      <w:bookmarkEnd w:id="303"/>
      <w:bookmarkEnd w:id="304"/>
      <w:bookmarkEnd w:id="305"/>
      <w:bookmarkEnd w:id="306"/>
      <w:bookmarkEnd w:id="307"/>
      <w:bookmarkEnd w:id="308"/>
    </w:p>
    <w:p w14:paraId="325F9ADD">
      <w:pPr>
        <w:spacing w:after="0" w:line="360" w:lineRule="auto"/>
        <w:rPr>
          <w:rFonts w:ascii="宋体" w:hAnsi="宋体"/>
          <w:b/>
          <w:color w:val="auto"/>
          <w:sz w:val="24"/>
          <w:highlight w:val="none"/>
        </w:rPr>
      </w:pPr>
      <w:bookmarkStart w:id="309" w:name="_Toc221950229"/>
      <w:r>
        <w:rPr>
          <w:rFonts w:hint="eastAsia" w:ascii="宋体" w:hAnsi="宋体"/>
          <w:b/>
          <w:color w:val="auto"/>
          <w:sz w:val="24"/>
          <w:highlight w:val="none"/>
        </w:rPr>
        <w:t>9.1对招标人的纪律要求</w:t>
      </w:r>
    </w:p>
    <w:p w14:paraId="6428A9D7">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招标人不得泄露招标投标活动中应当保密的情况和资料，不得与投标人串通损害国家利益、社会公共利益或者他人合法利益。</w:t>
      </w:r>
    </w:p>
    <w:p w14:paraId="6127D68C">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下列行为均属招标人与投标串通投标：</w:t>
      </w:r>
      <w:bookmarkEnd w:id="309"/>
    </w:p>
    <w:p w14:paraId="5DAC73B8">
      <w:pPr>
        <w:spacing w:after="0" w:line="360" w:lineRule="auto"/>
        <w:ind w:right="248" w:firstLine="420" w:firstLineChars="200"/>
        <w:rPr>
          <w:rFonts w:ascii="宋体" w:hAnsi="宋体"/>
          <w:color w:val="auto"/>
          <w:szCs w:val="21"/>
          <w:highlight w:val="none"/>
        </w:rPr>
      </w:pPr>
      <w:bookmarkStart w:id="310" w:name="_Toc221950230"/>
      <w:r>
        <w:rPr>
          <w:rFonts w:hint="eastAsia" w:ascii="宋体" w:hAnsi="宋体"/>
          <w:color w:val="auto"/>
          <w:szCs w:val="21"/>
          <w:highlight w:val="none"/>
        </w:rPr>
        <w:t>（1）招标人在开标前开启《投标文件》，并将投标情况告知其他投标人，或者协助投标人撤换《投标文件》，更改报价；</w:t>
      </w:r>
      <w:bookmarkEnd w:id="310"/>
    </w:p>
    <w:p w14:paraId="4F46CDE9">
      <w:pPr>
        <w:spacing w:after="0" w:line="360" w:lineRule="auto"/>
        <w:ind w:right="248" w:firstLine="420" w:firstLineChars="200"/>
        <w:rPr>
          <w:rFonts w:ascii="宋体" w:hAnsi="宋体"/>
          <w:color w:val="auto"/>
          <w:szCs w:val="21"/>
          <w:highlight w:val="none"/>
        </w:rPr>
      </w:pPr>
      <w:bookmarkStart w:id="311" w:name="_Toc221950231"/>
      <w:r>
        <w:rPr>
          <w:rFonts w:hint="eastAsia" w:ascii="宋体" w:hAnsi="宋体"/>
          <w:color w:val="auto"/>
          <w:szCs w:val="21"/>
          <w:highlight w:val="none"/>
        </w:rPr>
        <w:t>（2）招标人向投标人泄露标底；</w:t>
      </w:r>
      <w:bookmarkEnd w:id="311"/>
    </w:p>
    <w:p w14:paraId="2EDA68F6">
      <w:pPr>
        <w:spacing w:after="0" w:line="360" w:lineRule="auto"/>
        <w:ind w:right="248" w:firstLine="420" w:firstLineChars="200"/>
        <w:rPr>
          <w:rFonts w:ascii="宋体" w:hAnsi="宋体"/>
          <w:color w:val="auto"/>
          <w:szCs w:val="21"/>
          <w:highlight w:val="none"/>
        </w:rPr>
      </w:pPr>
      <w:bookmarkStart w:id="312" w:name="_Toc221950232"/>
      <w:r>
        <w:rPr>
          <w:rFonts w:hint="eastAsia" w:ascii="宋体" w:hAnsi="宋体"/>
          <w:color w:val="auto"/>
          <w:szCs w:val="21"/>
          <w:highlight w:val="none"/>
        </w:rPr>
        <w:t>（3）招标人与投标人商定，投标时压低或抬高标价，中标后再给投标人或招标人额外补偿；</w:t>
      </w:r>
      <w:bookmarkEnd w:id="312"/>
    </w:p>
    <w:p w14:paraId="11046A3D">
      <w:pPr>
        <w:spacing w:after="0" w:line="360" w:lineRule="auto"/>
        <w:ind w:right="248" w:firstLine="420" w:firstLineChars="200"/>
        <w:rPr>
          <w:rFonts w:ascii="宋体" w:hAnsi="宋体"/>
          <w:color w:val="auto"/>
          <w:szCs w:val="21"/>
          <w:highlight w:val="none"/>
        </w:rPr>
      </w:pPr>
      <w:bookmarkStart w:id="313" w:name="_Toc221950233"/>
      <w:r>
        <w:rPr>
          <w:rFonts w:hint="eastAsia" w:ascii="宋体" w:hAnsi="宋体"/>
          <w:color w:val="auto"/>
          <w:szCs w:val="21"/>
          <w:highlight w:val="none"/>
        </w:rPr>
        <w:t>（4）招标人预先内定中标人；</w:t>
      </w:r>
      <w:bookmarkEnd w:id="313"/>
    </w:p>
    <w:p w14:paraId="5A049FC4">
      <w:pPr>
        <w:spacing w:after="0" w:line="360" w:lineRule="auto"/>
        <w:ind w:right="248" w:firstLine="420" w:firstLineChars="200"/>
        <w:rPr>
          <w:rFonts w:ascii="宋体" w:hAnsi="宋体"/>
          <w:color w:val="auto"/>
          <w:szCs w:val="21"/>
          <w:highlight w:val="none"/>
        </w:rPr>
      </w:pPr>
      <w:bookmarkStart w:id="314" w:name="_Toc221950234"/>
      <w:r>
        <w:rPr>
          <w:rFonts w:hint="eastAsia" w:ascii="宋体" w:hAnsi="宋体"/>
          <w:color w:val="auto"/>
          <w:szCs w:val="21"/>
          <w:highlight w:val="none"/>
        </w:rPr>
        <w:t>（5）其他串通投标行为。</w:t>
      </w:r>
      <w:bookmarkEnd w:id="314"/>
    </w:p>
    <w:p w14:paraId="2CBD7EF8">
      <w:pPr>
        <w:spacing w:after="0" w:line="360" w:lineRule="auto"/>
        <w:rPr>
          <w:rFonts w:ascii="宋体" w:hAnsi="宋体"/>
          <w:b/>
          <w:color w:val="auto"/>
          <w:sz w:val="24"/>
          <w:highlight w:val="none"/>
        </w:rPr>
      </w:pPr>
      <w:r>
        <w:rPr>
          <w:rFonts w:hint="eastAsia" w:ascii="宋体" w:hAnsi="宋体"/>
          <w:b/>
          <w:color w:val="auto"/>
          <w:sz w:val="24"/>
          <w:highlight w:val="none"/>
        </w:rPr>
        <w:t>9.2对投标人的纪律要求</w:t>
      </w:r>
    </w:p>
    <w:p w14:paraId="3E303A9D">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投标人不得相互串通投标或者与招标人串通投标，不得向招标人或者评标委员会成员行贿谋取中标，不得以他人名义投标</w:t>
      </w:r>
      <w:r>
        <w:rPr>
          <w:rFonts w:hint="eastAsia" w:ascii="宋体" w:hAnsi="宋体"/>
          <w:color w:val="auto"/>
          <w:szCs w:val="21"/>
          <w:highlight w:val="none"/>
          <w:lang w:eastAsia="zh-CN"/>
        </w:rPr>
        <w:t>或者以其他方式</w:t>
      </w:r>
      <w:r>
        <w:rPr>
          <w:rFonts w:hint="eastAsia" w:ascii="宋体" w:hAnsi="宋体"/>
          <w:color w:val="auto"/>
          <w:szCs w:val="21"/>
          <w:highlight w:val="none"/>
        </w:rPr>
        <w:t>弄虚作假骗取中标；投标人不得以任何方式干扰、影响评标工作。</w:t>
      </w:r>
    </w:p>
    <w:p w14:paraId="06766BD0">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9.2</w:t>
      </w:r>
      <w:bookmarkStart w:id="315" w:name="_Toc221950237"/>
      <w:r>
        <w:rPr>
          <w:rFonts w:hint="eastAsia" w:ascii="宋体" w:hAnsi="宋体"/>
          <w:color w:val="auto"/>
          <w:szCs w:val="21"/>
          <w:highlight w:val="none"/>
        </w:rPr>
        <w:t>.1下列行为均属以他人名义投标：</w:t>
      </w:r>
    </w:p>
    <w:p w14:paraId="353E66D8">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（1）投标人挂靠其他施工单位；</w:t>
      </w:r>
    </w:p>
    <w:p w14:paraId="6452CE27">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（2）投标人从其他施工单位通过转让或租借的方式获取资格或资质证书；</w:t>
      </w:r>
    </w:p>
    <w:p w14:paraId="682AB897">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（3）由其他单位及法定代表人在自己编制的《投标文件》上加盖印章和签字的行为。</w:t>
      </w:r>
      <w:bookmarkEnd w:id="315"/>
    </w:p>
    <w:p w14:paraId="2519681D">
      <w:pPr>
        <w:spacing w:after="0" w:line="360" w:lineRule="auto"/>
        <w:ind w:right="248" w:firstLine="420" w:firstLineChars="200"/>
        <w:rPr>
          <w:rFonts w:ascii="宋体" w:hAnsi="宋体"/>
          <w:color w:val="auto"/>
          <w:szCs w:val="21"/>
          <w:highlight w:val="none"/>
        </w:rPr>
      </w:pPr>
      <w:bookmarkStart w:id="316" w:name="_Toc221950238"/>
      <w:r>
        <w:rPr>
          <w:rFonts w:hint="eastAsia" w:ascii="宋体" w:hAnsi="宋体"/>
          <w:color w:val="auto"/>
          <w:szCs w:val="21"/>
          <w:highlight w:val="none"/>
        </w:rPr>
        <w:t>9.2.2下列行为，视为允许他人以本单位名义承揽工程：</w:t>
      </w:r>
      <w:bookmarkEnd w:id="316"/>
    </w:p>
    <w:p w14:paraId="0322798A">
      <w:pPr>
        <w:spacing w:after="0" w:line="360" w:lineRule="auto"/>
        <w:ind w:right="248" w:firstLine="420" w:firstLineChars="200"/>
        <w:rPr>
          <w:rFonts w:ascii="宋体" w:hAnsi="宋体"/>
          <w:color w:val="auto"/>
          <w:szCs w:val="21"/>
          <w:highlight w:val="none"/>
        </w:rPr>
      </w:pPr>
      <w:bookmarkStart w:id="317" w:name="_Toc221950239"/>
      <w:r>
        <w:rPr>
          <w:rFonts w:hint="eastAsia" w:ascii="宋体" w:hAnsi="宋体"/>
          <w:color w:val="auto"/>
          <w:szCs w:val="21"/>
          <w:highlight w:val="none"/>
        </w:rPr>
        <w:t>（1）投标人的法定代表人的委托代理人不是投标人本单位人员；</w:t>
      </w:r>
      <w:bookmarkEnd w:id="317"/>
    </w:p>
    <w:p w14:paraId="562514E7">
      <w:pPr>
        <w:spacing w:after="0" w:line="360" w:lineRule="auto"/>
        <w:ind w:right="248" w:firstLine="420" w:firstLineChars="200"/>
        <w:rPr>
          <w:rFonts w:ascii="宋体" w:hAnsi="宋体"/>
          <w:color w:val="auto"/>
          <w:szCs w:val="21"/>
          <w:highlight w:val="none"/>
        </w:rPr>
      </w:pPr>
      <w:bookmarkStart w:id="318" w:name="_Toc221950240"/>
      <w:r>
        <w:rPr>
          <w:rFonts w:hint="eastAsia" w:ascii="宋体" w:hAnsi="宋体"/>
          <w:color w:val="auto"/>
          <w:szCs w:val="21"/>
          <w:highlight w:val="none"/>
        </w:rPr>
        <w:t>（2）投标人拟在施工现场所设项目管理机构的项目经理、技术负责人不是本单位人员。</w:t>
      </w:r>
      <w:bookmarkEnd w:id="318"/>
    </w:p>
    <w:p w14:paraId="6836984A">
      <w:pPr>
        <w:spacing w:after="0" w:line="360" w:lineRule="auto"/>
        <w:ind w:right="248" w:firstLine="420" w:firstLineChars="200"/>
        <w:rPr>
          <w:rFonts w:ascii="宋体" w:hAnsi="宋体"/>
          <w:color w:val="auto"/>
          <w:szCs w:val="21"/>
          <w:highlight w:val="none"/>
        </w:rPr>
      </w:pPr>
      <w:bookmarkStart w:id="319" w:name="_Toc221950241"/>
      <w:r>
        <w:rPr>
          <w:rFonts w:hint="eastAsia" w:ascii="宋体" w:hAnsi="宋体"/>
          <w:color w:val="auto"/>
          <w:szCs w:val="21"/>
          <w:highlight w:val="none"/>
        </w:rPr>
        <w:t>投标人本单位人员，必须满足以下条件之一：</w:t>
      </w:r>
      <w:bookmarkEnd w:id="319"/>
    </w:p>
    <w:p w14:paraId="345AB0C5">
      <w:pPr>
        <w:spacing w:after="0" w:line="360" w:lineRule="auto"/>
        <w:ind w:right="248" w:firstLine="420" w:firstLineChars="200"/>
        <w:rPr>
          <w:rFonts w:ascii="宋体" w:hAnsi="宋体"/>
          <w:color w:val="auto"/>
          <w:szCs w:val="21"/>
          <w:highlight w:val="none"/>
        </w:rPr>
      </w:pPr>
      <w:bookmarkStart w:id="320" w:name="_Toc221950242"/>
      <w:r>
        <w:rPr>
          <w:rFonts w:hint="eastAsia" w:ascii="宋体" w:hAnsi="宋体"/>
          <w:color w:val="auto"/>
          <w:szCs w:val="21"/>
          <w:highlight w:val="none"/>
        </w:rPr>
        <w:t>（1）聘任合同由投标人单位与之签订；</w:t>
      </w:r>
      <w:bookmarkEnd w:id="320"/>
    </w:p>
    <w:p w14:paraId="318B8699">
      <w:pPr>
        <w:spacing w:after="0" w:line="360" w:lineRule="auto"/>
        <w:ind w:right="248" w:firstLine="420" w:firstLineChars="200"/>
        <w:rPr>
          <w:rFonts w:ascii="宋体" w:hAnsi="宋体"/>
          <w:color w:val="auto"/>
          <w:szCs w:val="21"/>
          <w:highlight w:val="none"/>
        </w:rPr>
      </w:pPr>
      <w:bookmarkStart w:id="321" w:name="_Toc221950244"/>
      <w:r>
        <w:rPr>
          <w:rFonts w:hint="eastAsia" w:ascii="宋体" w:hAnsi="宋体"/>
          <w:color w:val="auto"/>
          <w:szCs w:val="21"/>
          <w:highlight w:val="none"/>
        </w:rPr>
        <w:t>（2）投标人单位为其办理社会保险关系，或具有其他有效证明其为本单位人员身份的文件（须提供相应社保等证明材料）。</w:t>
      </w:r>
      <w:bookmarkEnd w:id="321"/>
    </w:p>
    <w:p w14:paraId="33726181">
      <w:pPr>
        <w:spacing w:after="0" w:line="360" w:lineRule="auto"/>
        <w:ind w:right="248" w:firstLine="420" w:firstLineChars="200"/>
        <w:rPr>
          <w:rFonts w:ascii="宋体" w:hAnsi="宋体"/>
          <w:color w:val="auto"/>
          <w:szCs w:val="21"/>
          <w:highlight w:val="none"/>
        </w:rPr>
      </w:pPr>
      <w:bookmarkStart w:id="322" w:name="_Toc221950245"/>
      <w:r>
        <w:rPr>
          <w:rFonts w:hint="eastAsia" w:ascii="宋体" w:hAnsi="宋体"/>
          <w:color w:val="auto"/>
          <w:szCs w:val="21"/>
          <w:highlight w:val="none"/>
        </w:rPr>
        <w:t>9.2.3下列行为均属投标人串通投标报价：</w:t>
      </w:r>
      <w:bookmarkEnd w:id="322"/>
    </w:p>
    <w:p w14:paraId="5B864700">
      <w:pPr>
        <w:spacing w:after="0" w:line="360" w:lineRule="auto"/>
        <w:ind w:right="248" w:firstLine="420" w:firstLineChars="200"/>
        <w:rPr>
          <w:rFonts w:ascii="宋体" w:hAnsi="宋体"/>
          <w:color w:val="auto"/>
          <w:szCs w:val="21"/>
          <w:highlight w:val="none"/>
        </w:rPr>
      </w:pPr>
      <w:bookmarkStart w:id="323" w:name="_Toc221950246"/>
      <w:r>
        <w:rPr>
          <w:rFonts w:hint="eastAsia" w:ascii="宋体" w:hAnsi="宋体"/>
          <w:color w:val="auto"/>
          <w:szCs w:val="21"/>
          <w:highlight w:val="none"/>
        </w:rPr>
        <w:t>（1）投标人之间相互约定抬高或压低投标报价；</w:t>
      </w:r>
      <w:bookmarkEnd w:id="323"/>
    </w:p>
    <w:p w14:paraId="393F2099">
      <w:pPr>
        <w:spacing w:after="0" w:line="360" w:lineRule="auto"/>
        <w:ind w:right="248" w:firstLine="420" w:firstLineChars="200"/>
        <w:rPr>
          <w:rFonts w:ascii="宋体" w:hAnsi="宋体"/>
          <w:color w:val="auto"/>
          <w:szCs w:val="21"/>
          <w:highlight w:val="none"/>
        </w:rPr>
      </w:pPr>
      <w:bookmarkStart w:id="324" w:name="_Toc221950247"/>
      <w:r>
        <w:rPr>
          <w:rFonts w:hint="eastAsia" w:ascii="宋体" w:hAnsi="宋体"/>
          <w:color w:val="auto"/>
          <w:szCs w:val="21"/>
          <w:highlight w:val="none"/>
        </w:rPr>
        <w:t>（2）投标人之间相互约定，在招标项目中分别以高、中、低价位报价；</w:t>
      </w:r>
      <w:bookmarkEnd w:id="324"/>
    </w:p>
    <w:p w14:paraId="15E86070">
      <w:pPr>
        <w:autoSpaceDE w:val="0"/>
        <w:autoSpaceDN w:val="0"/>
        <w:adjustRightInd w:val="0"/>
        <w:snapToGrid w:val="0"/>
        <w:spacing w:after="0" w:line="360" w:lineRule="auto"/>
        <w:ind w:firstLine="420"/>
        <w:rPr>
          <w:rFonts w:ascii="宋体" w:hAnsi="宋体"/>
          <w:color w:val="auto"/>
          <w:szCs w:val="21"/>
          <w:highlight w:val="none"/>
        </w:rPr>
      </w:pPr>
      <w:bookmarkStart w:id="325" w:name="_Toc152045577"/>
      <w:bookmarkStart w:id="326" w:name="_Toc179632595"/>
      <w:bookmarkStart w:id="327" w:name="_Toc144974545"/>
      <w:bookmarkStart w:id="328" w:name="_Toc152042353"/>
      <w:r>
        <w:rPr>
          <w:rFonts w:hint="eastAsia" w:ascii="宋体" w:hAnsi="宋体" w:cs="宋体"/>
          <w:color w:val="auto"/>
          <w:szCs w:val="21"/>
          <w:highlight w:val="none"/>
          <w:lang w:val="zh-CN"/>
        </w:rPr>
        <w:t>（</w:t>
      </w:r>
      <w:r>
        <w:rPr>
          <w:rFonts w:ascii="宋体" w:hAnsi="宋体"/>
          <w:color w:val="auto"/>
          <w:szCs w:val="21"/>
          <w:highlight w:val="none"/>
        </w:rPr>
        <w:t>3</w:t>
      </w:r>
      <w:r>
        <w:rPr>
          <w:rFonts w:hint="eastAsia" w:ascii="宋体" w:hAnsi="宋体" w:cs="宋体"/>
          <w:color w:val="auto"/>
          <w:szCs w:val="21"/>
          <w:highlight w:val="none"/>
          <w:lang w:val="zh-CN"/>
        </w:rPr>
        <w:t>）投标人之间先进行内部竞价，内定中标人，然后再参加投标；</w:t>
      </w:r>
    </w:p>
    <w:p w14:paraId="5DE6C9E3">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olor w:val="auto"/>
          <w:szCs w:val="21"/>
          <w:highlight w:val="none"/>
        </w:rPr>
        <w:t>4</w:t>
      </w:r>
      <w:r>
        <w:rPr>
          <w:rFonts w:hint="eastAsia" w:ascii="宋体" w:hAnsi="宋体" w:cs="宋体"/>
          <w:color w:val="auto"/>
          <w:szCs w:val="21"/>
          <w:highlight w:val="none"/>
          <w:lang w:val="zh-CN"/>
        </w:rPr>
        <w:t>）不同投标人的投标文件由同一单位或者个人编制；</w:t>
      </w:r>
    </w:p>
    <w:p w14:paraId="21CFFDA3">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（5）不同投标人委托同一单位或者个人办理投标事宜；</w:t>
      </w:r>
    </w:p>
    <w:p w14:paraId="670D4C0C">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（6）不同投标人的投标文件载明的项目管理成员为同一人；</w:t>
      </w:r>
    </w:p>
    <w:p w14:paraId="1BE2D433">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（7）不同投标人的投标文件异常一致或者投标报价呈规律性差异；</w:t>
      </w:r>
    </w:p>
    <w:p w14:paraId="3822CF5A">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（8）不同投标人的投标文件相互混装；</w:t>
      </w:r>
    </w:p>
    <w:p w14:paraId="0CD79E20">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（9）不同投标人的投标保证金从同一单位或者个人的账户转出；</w:t>
      </w:r>
    </w:p>
    <w:p w14:paraId="14B89DDE">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（10）国家法律法规规定属于投标人串通投标的其他情形。</w:t>
      </w:r>
    </w:p>
    <w:p w14:paraId="487A6D7D">
      <w:pPr>
        <w:spacing w:after="0" w:line="360" w:lineRule="auto"/>
        <w:rPr>
          <w:rFonts w:ascii="宋体" w:hAnsi="宋体"/>
          <w:b/>
          <w:color w:val="auto"/>
          <w:sz w:val="24"/>
          <w:highlight w:val="none"/>
        </w:rPr>
      </w:pPr>
      <w:r>
        <w:rPr>
          <w:rFonts w:ascii="宋体" w:hAnsi="宋体"/>
          <w:b/>
          <w:color w:val="auto"/>
          <w:sz w:val="24"/>
          <w:highlight w:val="none"/>
        </w:rPr>
        <w:t xml:space="preserve">9.3 </w:t>
      </w:r>
      <w:r>
        <w:rPr>
          <w:rFonts w:hint="eastAsia" w:ascii="宋体" w:hAnsi="宋体"/>
          <w:b/>
          <w:color w:val="auto"/>
          <w:sz w:val="24"/>
          <w:highlight w:val="none"/>
        </w:rPr>
        <w:t>对评标委员会成员的纪律要求</w:t>
      </w:r>
      <w:bookmarkEnd w:id="325"/>
      <w:bookmarkEnd w:id="326"/>
      <w:bookmarkEnd w:id="327"/>
      <w:bookmarkEnd w:id="328"/>
    </w:p>
    <w:p w14:paraId="75FE73FC">
      <w:pPr>
        <w:spacing w:after="0" w:line="360" w:lineRule="auto"/>
        <w:ind w:right="248" w:firstLine="420" w:firstLineChars="200"/>
        <w:rPr>
          <w:rFonts w:ascii="宋体" w:hAnsi="宋体"/>
          <w:b/>
          <w:color w:val="auto"/>
          <w:szCs w:val="21"/>
          <w:highlight w:val="none"/>
        </w:rPr>
      </w:pPr>
      <w:r>
        <w:rPr>
          <w:rFonts w:hint="eastAsia" w:ascii="宋体" w:hAnsi="宋体"/>
          <w:color w:val="auto"/>
          <w:szCs w:val="21"/>
          <w:highlight w:val="none"/>
        </w:rPr>
        <w:t>评标委员会成员不得收受他人的财物或者其他好处，不得向他人</w:t>
      </w:r>
      <w:r>
        <w:rPr>
          <w:rFonts w:hint="eastAsia" w:ascii="宋体" w:hAnsi="宋体"/>
          <w:color w:val="auto"/>
          <w:szCs w:val="21"/>
          <w:highlight w:val="none"/>
          <w:lang w:eastAsia="zh-CN"/>
        </w:rPr>
        <w:t>透露</w:t>
      </w:r>
      <w:r>
        <w:rPr>
          <w:rFonts w:hint="eastAsia" w:ascii="宋体" w:hAnsi="宋体"/>
          <w:color w:val="auto"/>
          <w:szCs w:val="21"/>
          <w:highlight w:val="none"/>
        </w:rPr>
        <w:t>对《投标文件》的评审和比较、中标候选人的推荐情况以及评标有关的其他情况。</w:t>
      </w:r>
      <w:r>
        <w:rPr>
          <w:rFonts w:hint="eastAsia" w:ascii="宋体" w:hAnsi="宋体"/>
          <w:b/>
          <w:color w:val="auto"/>
          <w:szCs w:val="21"/>
          <w:highlight w:val="none"/>
        </w:rPr>
        <w:t>在评标活动中，评标委员会成员不得擅离职守，影响评标程序正常进行，不得使用第三章“评标办法”没有规定的评审因素和标准进行评标。</w:t>
      </w:r>
    </w:p>
    <w:p w14:paraId="79AA6C88">
      <w:pPr>
        <w:spacing w:after="0" w:line="360" w:lineRule="auto"/>
        <w:rPr>
          <w:rFonts w:ascii="宋体" w:hAnsi="宋体"/>
          <w:b/>
          <w:color w:val="auto"/>
          <w:sz w:val="24"/>
          <w:highlight w:val="none"/>
        </w:rPr>
      </w:pPr>
      <w:bookmarkStart w:id="329" w:name="_Toc152045578"/>
      <w:bookmarkStart w:id="330" w:name="_Toc179632596"/>
      <w:bookmarkStart w:id="331" w:name="_Toc152042354"/>
      <w:bookmarkStart w:id="332" w:name="_Toc144974546"/>
      <w:r>
        <w:rPr>
          <w:rFonts w:ascii="宋体" w:hAnsi="宋体"/>
          <w:b/>
          <w:color w:val="auto"/>
          <w:sz w:val="24"/>
          <w:highlight w:val="none"/>
        </w:rPr>
        <w:t xml:space="preserve">9.4 </w:t>
      </w:r>
      <w:r>
        <w:rPr>
          <w:rFonts w:hint="eastAsia" w:ascii="宋体" w:hAnsi="宋体"/>
          <w:b/>
          <w:color w:val="auto"/>
          <w:sz w:val="24"/>
          <w:highlight w:val="none"/>
        </w:rPr>
        <w:t>对与评标活动有关的工作人员的纪律要求</w:t>
      </w:r>
      <w:bookmarkEnd w:id="329"/>
      <w:bookmarkEnd w:id="330"/>
      <w:bookmarkEnd w:id="331"/>
    </w:p>
    <w:p w14:paraId="48CBAFC9">
      <w:pPr>
        <w:spacing w:after="0" w:line="360" w:lineRule="auto"/>
        <w:ind w:right="248" w:firstLine="420" w:firstLineChars="200"/>
        <w:rPr>
          <w:rFonts w:ascii="宋体" w:hAnsi="宋体"/>
          <w:color w:val="auto"/>
          <w:szCs w:val="21"/>
          <w:highlight w:val="none"/>
        </w:rPr>
      </w:pPr>
      <w:bookmarkStart w:id="333" w:name="_Toc152042355"/>
      <w:r>
        <w:rPr>
          <w:rFonts w:hint="eastAsia" w:ascii="宋体" w:hAnsi="宋体"/>
          <w:color w:val="auto"/>
          <w:szCs w:val="21"/>
          <w:highlight w:val="none"/>
        </w:rPr>
        <w:t>与评标活动有关的工作人员不得收受他人的财物或者其他好处，不得向他人</w:t>
      </w:r>
      <w:r>
        <w:rPr>
          <w:rFonts w:hint="eastAsia" w:ascii="宋体" w:hAnsi="宋体"/>
          <w:color w:val="auto"/>
          <w:szCs w:val="21"/>
          <w:highlight w:val="none"/>
          <w:lang w:eastAsia="zh-CN"/>
        </w:rPr>
        <w:t>透露</w:t>
      </w:r>
      <w:r>
        <w:rPr>
          <w:rFonts w:hint="eastAsia" w:ascii="宋体" w:hAnsi="宋体"/>
          <w:color w:val="auto"/>
          <w:szCs w:val="21"/>
          <w:highlight w:val="none"/>
        </w:rPr>
        <w:t>对《投标文件》的评审和比较、中标候选人的推荐情况以及评标有关的其他情况。在评标活动中，与评标活动有关的工作人员不得擅离职守，影响评标程序正常进行。</w:t>
      </w:r>
      <w:bookmarkEnd w:id="333"/>
    </w:p>
    <w:p w14:paraId="56B1D287">
      <w:pPr>
        <w:spacing w:after="0" w:line="360" w:lineRule="auto"/>
        <w:rPr>
          <w:rFonts w:ascii="宋体" w:hAnsi="宋体"/>
          <w:b/>
          <w:color w:val="auto"/>
          <w:sz w:val="24"/>
          <w:highlight w:val="none"/>
        </w:rPr>
      </w:pPr>
      <w:bookmarkStart w:id="334" w:name="_Toc152045579"/>
      <w:bookmarkStart w:id="335" w:name="_Toc179632597"/>
      <w:bookmarkStart w:id="336" w:name="_Toc152042356"/>
      <w:r>
        <w:rPr>
          <w:rFonts w:ascii="宋体" w:hAnsi="宋体"/>
          <w:b/>
          <w:color w:val="auto"/>
          <w:sz w:val="24"/>
          <w:highlight w:val="none"/>
        </w:rPr>
        <w:t xml:space="preserve">9.5 </w:t>
      </w:r>
      <w:r>
        <w:rPr>
          <w:rFonts w:hint="eastAsia" w:ascii="宋体" w:hAnsi="宋体"/>
          <w:b/>
          <w:color w:val="auto"/>
          <w:sz w:val="24"/>
          <w:highlight w:val="none"/>
        </w:rPr>
        <w:t>投诉</w:t>
      </w:r>
      <w:bookmarkEnd w:id="332"/>
      <w:bookmarkEnd w:id="334"/>
      <w:bookmarkEnd w:id="335"/>
      <w:bookmarkEnd w:id="336"/>
    </w:p>
    <w:p w14:paraId="4AC49958">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9.5.1异议</w:t>
      </w:r>
    </w:p>
    <w:p w14:paraId="5E3CF5DF">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9.5.1.1潜在投标人或者其他利害关系人对招标文件有异议的，应当在投标截止时间10日前提出。招标人应当自收到异议之日起3日内作出答复；作出答复前，应当暂停招标投标活动。</w:t>
      </w:r>
    </w:p>
    <w:p w14:paraId="72658A5C">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9.5.1.2投标人对开标有异议的，应当在开标现场提出，招标人应当当场作出答复，并制作记录。</w:t>
      </w:r>
    </w:p>
    <w:p w14:paraId="736AC5E0">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9.5.1.3投标人或者其他利害关系人对依法必须进行招标的项目的评标结果有异议的，应当在中标候选人公示期间提出。招标人应当自收到异议之日起3日内作出答复；作出答复前，应当暂停招标投标活动。</w:t>
      </w:r>
    </w:p>
    <w:p w14:paraId="2E744A1A">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 xml:space="preserve"> 9.5.2投诉</w:t>
      </w:r>
    </w:p>
    <w:p w14:paraId="12DE93FC">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9.5.2.1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w:t>
      </w:r>
    </w:p>
    <w:p w14:paraId="0AC5C023">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9.5.2.2就本章9.5.1条规定事项投诉的，应当先向招标人提出异议，异议答复期间不计算在前款规定的期限内。</w:t>
      </w:r>
    </w:p>
    <w:p w14:paraId="4A5C049F">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9.5.2.3投诉人投诉时，应当提交投诉书。投诉书应当包括下列内容：</w:t>
      </w:r>
    </w:p>
    <w:p w14:paraId="6773EFB8">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（一）投诉人的名称、地址及有效联系方式；</w:t>
      </w:r>
    </w:p>
    <w:p w14:paraId="7096C64C">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（二）被投诉人的名称、地址及有效联系方式；</w:t>
      </w:r>
    </w:p>
    <w:p w14:paraId="47BAB3E7">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（三）投诉事项的基本事实；</w:t>
      </w:r>
    </w:p>
    <w:p w14:paraId="34E9BE03">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（四）相关请求及主张；</w:t>
      </w:r>
    </w:p>
    <w:p w14:paraId="10CE43D1">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（五）有效线索和相关证明材料。</w:t>
      </w:r>
    </w:p>
    <w:p w14:paraId="298427BF">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投诉人是法人的，投诉书必须由其法定代表人或者授权代表签字并盖章；其他组织或者个人投诉的，投诉书必须由其主要负责人或者投诉人本人签字，并附有效身份证明原件扫描件。投诉书有关材料是外文的，投诉人应当同时提供其中文译本。</w:t>
      </w:r>
    </w:p>
    <w:p w14:paraId="1B0F0F3D">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9.5.2.4投诉人不得以投诉为名排挤竞争对手，不得进行虚假、恶意投诉，阻碍招标投标活动的正常进行。</w:t>
      </w:r>
    </w:p>
    <w:p w14:paraId="379CAEA3">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9.5.2.5投诉人可以直接投诉，也可以委托代理人办理投诉事务。代理人办理投诉事务时，应将授权委托书连同投诉书一并提交给行政监督部门。授权委托书应当明确有关委托代理权限和事项。</w:t>
      </w:r>
    </w:p>
    <w:p w14:paraId="4CC6D851">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9.5.2.6有下列情形之一的投诉，不予受理；</w:t>
      </w:r>
    </w:p>
    <w:p w14:paraId="53C8F945">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（一）投诉人不是所投诉招标投标活动的参与者，或者与投诉项目无任何利害关系；</w:t>
      </w:r>
    </w:p>
    <w:p w14:paraId="34448889">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（二）投诉事项不具体，且未提供有效线索，难以查证的；</w:t>
      </w:r>
    </w:p>
    <w:p w14:paraId="4607640D">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（三）投诉书未署具投诉人真实姓名、签字和有效联系方式的；以法人名义投诉的，投诉书未经法定代表人签字并加盖公章的；</w:t>
      </w:r>
    </w:p>
    <w:p w14:paraId="5A58B755">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（四）超过投诉时效的；</w:t>
      </w:r>
    </w:p>
    <w:p w14:paraId="7F9E6735">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（五）已经作出处理决定，并且投诉人没有提出新的证据；</w:t>
      </w:r>
    </w:p>
    <w:p w14:paraId="36D3767B">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（六）投诉事项已进入行政复议或者行政诉讼程序的。</w:t>
      </w:r>
    </w:p>
    <w:p w14:paraId="042709FB">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9.5.2.7未尽事宜，按国家现行有关法律法规、七部委11号令《工程建设项目招标投标活动投诉处理办法》和《云南省招标投标活动投诉处理办法》的规定执行。</w:t>
      </w:r>
    </w:p>
    <w:p w14:paraId="4EBF437F">
      <w:pPr>
        <w:pStyle w:val="5"/>
        <w:spacing w:before="0" w:after="0" w:line="360" w:lineRule="auto"/>
        <w:jc w:val="left"/>
        <w:rPr>
          <w:rFonts w:ascii="宋体" w:hAnsi="宋体" w:eastAsia="宋体"/>
          <w:color w:val="auto"/>
          <w:sz w:val="24"/>
          <w:highlight w:val="none"/>
        </w:rPr>
      </w:pPr>
      <w:bookmarkStart w:id="337" w:name="_Toc27216"/>
      <w:bookmarkStart w:id="338" w:name="_Toc95257491"/>
      <w:bookmarkStart w:id="339" w:name="_Toc7271_WPSOffice_Level2"/>
      <w:bookmarkStart w:id="340" w:name="_Toc9951"/>
      <w:r>
        <w:rPr>
          <w:rFonts w:hint="eastAsia" w:ascii="宋体" w:hAnsi="宋体" w:eastAsia="宋体"/>
          <w:color w:val="auto"/>
          <w:sz w:val="24"/>
          <w:highlight w:val="none"/>
        </w:rPr>
        <w:t>10. 需要补充的其他内容</w:t>
      </w:r>
      <w:bookmarkEnd w:id="337"/>
      <w:bookmarkEnd w:id="338"/>
      <w:bookmarkEnd w:id="339"/>
      <w:bookmarkEnd w:id="340"/>
    </w:p>
    <w:p w14:paraId="1F52DC48">
      <w:pPr>
        <w:spacing w:after="0" w:line="360" w:lineRule="auto"/>
        <w:ind w:firstLine="420" w:firstLineChars="200"/>
        <w:rPr>
          <w:rFonts w:hint="eastAsia" w:ascii="宋体" w:hAnsi="宋体"/>
          <w:color w:val="auto"/>
          <w:highlight w:val="none"/>
        </w:rPr>
      </w:pPr>
      <w:bookmarkStart w:id="341" w:name="_Toc274933637"/>
      <w:bookmarkStart w:id="342" w:name="_Toc221950256"/>
      <w:bookmarkStart w:id="343" w:name="_Toc144974548"/>
      <w:bookmarkStart w:id="344" w:name="_Toc168476099"/>
      <w:bookmarkStart w:id="345" w:name="_Toc168475696"/>
      <w:r>
        <w:rPr>
          <w:rFonts w:hint="eastAsia" w:ascii="宋体" w:hAnsi="宋体"/>
          <w:color w:val="auto"/>
          <w:highlight w:val="none"/>
        </w:rPr>
        <w:t>详见投标须知前附表。</w:t>
      </w:r>
    </w:p>
    <w:p w14:paraId="1E4F7E60">
      <w:pPr>
        <w:spacing w:after="0" w:line="360" w:lineRule="auto"/>
        <w:ind w:firstLine="420" w:firstLineChars="200"/>
        <w:rPr>
          <w:rFonts w:ascii="宋体" w:hAnsi="宋体"/>
          <w:b/>
          <w:color w:val="auto"/>
          <w:sz w:val="24"/>
          <w:highlight w:val="none"/>
        </w:rPr>
      </w:pPr>
      <w:r>
        <w:rPr>
          <w:rFonts w:hint="eastAsia" w:ascii="宋体" w:hAnsi="宋体"/>
          <w:color w:val="auto"/>
          <w:highlight w:val="none"/>
        </w:rPr>
        <w:br w:type="page"/>
      </w:r>
    </w:p>
    <w:bookmarkEnd w:id="341"/>
    <w:p w14:paraId="0D3CCB84">
      <w:pPr>
        <w:pStyle w:val="5"/>
        <w:spacing w:before="0" w:after="0" w:line="360" w:lineRule="auto"/>
        <w:jc w:val="left"/>
        <w:outlineLvl w:val="0"/>
        <w:rPr>
          <w:rFonts w:ascii="宋体" w:hAnsi="宋体" w:eastAsia="宋体"/>
          <w:color w:val="auto"/>
          <w:sz w:val="24"/>
          <w:highlight w:val="none"/>
        </w:rPr>
      </w:pPr>
      <w:bookmarkStart w:id="346" w:name="_Toc95257492"/>
      <w:bookmarkStart w:id="347" w:name="_Toc80693453"/>
      <w:bookmarkStart w:id="348" w:name="_Toc22447"/>
      <w:bookmarkStart w:id="349" w:name="_Toc23344_WPSOffice_Level2"/>
      <w:bookmarkStart w:id="350" w:name="_Toc15576"/>
      <w:bookmarkStart w:id="351" w:name="_Toc12513"/>
      <w:r>
        <w:rPr>
          <w:rFonts w:hint="eastAsia" w:ascii="宋体" w:hAnsi="宋体" w:eastAsia="宋体"/>
          <w:color w:val="auto"/>
          <w:sz w:val="24"/>
          <w:highlight w:val="none"/>
        </w:rPr>
        <w:t>附录1 其他资格条件（其他主要管理人员和技术人员要求）</w:t>
      </w:r>
      <w:bookmarkEnd w:id="346"/>
      <w:bookmarkEnd w:id="347"/>
      <w:bookmarkEnd w:id="348"/>
      <w:bookmarkEnd w:id="349"/>
      <w:bookmarkEnd w:id="350"/>
      <w:bookmarkEnd w:id="351"/>
    </w:p>
    <w:tbl>
      <w:tblPr>
        <w:tblStyle w:val="5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616"/>
        <w:gridCol w:w="1694"/>
        <w:gridCol w:w="4287"/>
        <w:gridCol w:w="1530"/>
      </w:tblGrid>
      <w:tr w14:paraId="06A29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77" w:hRule="atLeast"/>
        </w:trPr>
        <w:tc>
          <w:tcPr>
            <w:tcW w:w="1616" w:type="dxa"/>
            <w:noWrap w:val="0"/>
            <w:vAlign w:val="center"/>
          </w:tcPr>
          <w:p w14:paraId="6BA8B835">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人  员</w:t>
            </w:r>
          </w:p>
        </w:tc>
        <w:tc>
          <w:tcPr>
            <w:tcW w:w="1694" w:type="dxa"/>
            <w:noWrap w:val="0"/>
            <w:vAlign w:val="center"/>
          </w:tcPr>
          <w:p w14:paraId="69A47F1D">
            <w:pPr>
              <w:spacing w:after="0" w:line="360" w:lineRule="auto"/>
              <w:ind w:right="248" w:firstLine="630" w:firstLineChars="300"/>
              <w:rPr>
                <w:rFonts w:ascii="宋体" w:hAnsi="宋体"/>
                <w:color w:val="auto"/>
                <w:szCs w:val="21"/>
                <w:highlight w:val="none"/>
              </w:rPr>
            </w:pPr>
            <w:r>
              <w:rPr>
                <w:rFonts w:hint="eastAsia" w:ascii="宋体" w:hAnsi="宋体"/>
                <w:color w:val="auto"/>
                <w:szCs w:val="21"/>
                <w:highlight w:val="none"/>
              </w:rPr>
              <w:t>人数</w:t>
            </w:r>
          </w:p>
        </w:tc>
        <w:tc>
          <w:tcPr>
            <w:tcW w:w="4287" w:type="dxa"/>
            <w:noWrap w:val="0"/>
            <w:vAlign w:val="center"/>
          </w:tcPr>
          <w:p w14:paraId="61E6DD23">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资  历  要  求</w:t>
            </w:r>
          </w:p>
        </w:tc>
        <w:tc>
          <w:tcPr>
            <w:tcW w:w="1530" w:type="dxa"/>
            <w:noWrap w:val="0"/>
            <w:vAlign w:val="center"/>
          </w:tcPr>
          <w:p w14:paraId="65B45F6F">
            <w:pPr>
              <w:tabs>
                <w:tab w:val="left" w:pos="-840"/>
                <w:tab w:val="left" w:pos="3444"/>
              </w:tabs>
              <w:wordWrap w:val="0"/>
              <w:spacing w:line="440" w:lineRule="exact"/>
              <w:jc w:val="center"/>
              <w:rPr>
                <w:rFonts w:ascii="宋体" w:hAnsi="宋体"/>
                <w:color w:val="auto"/>
                <w:szCs w:val="21"/>
                <w:highlight w:val="none"/>
              </w:rPr>
            </w:pPr>
            <w:r>
              <w:rPr>
                <w:rFonts w:hint="eastAsia" w:ascii="宋体" w:hAnsi="宋体"/>
                <w:color w:val="auto"/>
                <w:szCs w:val="21"/>
                <w:highlight w:val="none"/>
              </w:rPr>
              <w:t>备注</w:t>
            </w:r>
          </w:p>
        </w:tc>
      </w:tr>
      <w:tr w14:paraId="49F51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23" w:hRule="atLeast"/>
        </w:trPr>
        <w:tc>
          <w:tcPr>
            <w:tcW w:w="1616" w:type="dxa"/>
            <w:noWrap w:val="0"/>
            <w:vAlign w:val="center"/>
          </w:tcPr>
          <w:p w14:paraId="22717B3E">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质检员</w:t>
            </w:r>
          </w:p>
        </w:tc>
        <w:tc>
          <w:tcPr>
            <w:tcW w:w="1694" w:type="dxa"/>
            <w:noWrap w:val="0"/>
            <w:vAlign w:val="center"/>
          </w:tcPr>
          <w:p w14:paraId="060603CF">
            <w:pPr>
              <w:spacing w:after="0" w:line="360" w:lineRule="auto"/>
              <w:ind w:right="248"/>
              <w:jc w:val="center"/>
              <w:rPr>
                <w:rFonts w:ascii="宋体" w:hAnsi="宋体"/>
                <w:color w:val="auto"/>
                <w:szCs w:val="21"/>
                <w:highlight w:val="none"/>
              </w:rPr>
            </w:pPr>
            <w:r>
              <w:rPr>
                <w:rFonts w:hint="eastAsia" w:ascii="宋体" w:hAnsi="宋体"/>
                <w:color w:val="auto"/>
                <w:szCs w:val="21"/>
                <w:highlight w:val="none"/>
              </w:rPr>
              <w:t>1</w:t>
            </w:r>
          </w:p>
        </w:tc>
        <w:tc>
          <w:tcPr>
            <w:tcW w:w="4287" w:type="dxa"/>
            <w:noWrap w:val="0"/>
            <w:vAlign w:val="center"/>
          </w:tcPr>
          <w:p w14:paraId="00FDA508">
            <w:pPr>
              <w:spacing w:after="0" w:line="288" w:lineRule="auto"/>
              <w:ind w:right="248" w:firstLine="420" w:firstLineChars="200"/>
              <w:rPr>
                <w:rFonts w:ascii="宋体" w:hAnsi="宋体"/>
                <w:color w:val="auto"/>
                <w:szCs w:val="21"/>
                <w:highlight w:val="none"/>
              </w:rPr>
            </w:pPr>
            <w:r>
              <w:rPr>
                <w:rFonts w:hint="eastAsia" w:ascii="宋体" w:hAnsi="宋体"/>
                <w:color w:val="auto"/>
                <w:szCs w:val="21"/>
                <w:highlight w:val="none"/>
              </w:rPr>
              <w:t>持有质检员相关岗位证书。提供投标文件递交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p>
        </w:tc>
        <w:tc>
          <w:tcPr>
            <w:tcW w:w="1530" w:type="dxa"/>
            <w:noWrap w:val="0"/>
            <w:vAlign w:val="center"/>
          </w:tcPr>
          <w:p w14:paraId="6A36A464">
            <w:pPr>
              <w:wordWrap w:val="0"/>
              <w:snapToGrid w:val="0"/>
              <w:spacing w:line="300" w:lineRule="exact"/>
              <w:rPr>
                <w:rFonts w:ascii="宋体" w:hAnsi="宋体"/>
                <w:color w:val="auto"/>
                <w:szCs w:val="21"/>
                <w:highlight w:val="none"/>
              </w:rPr>
            </w:pPr>
          </w:p>
        </w:tc>
      </w:tr>
      <w:tr w14:paraId="17C1A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23" w:hRule="atLeast"/>
        </w:trPr>
        <w:tc>
          <w:tcPr>
            <w:tcW w:w="1616" w:type="dxa"/>
            <w:noWrap w:val="0"/>
            <w:vAlign w:val="center"/>
          </w:tcPr>
          <w:p w14:paraId="3F53F679">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lang w:eastAsia="zh-CN"/>
              </w:rPr>
              <w:t>施工</w:t>
            </w:r>
            <w:r>
              <w:rPr>
                <w:rFonts w:hint="eastAsia" w:ascii="宋体" w:hAnsi="宋体"/>
                <w:color w:val="auto"/>
                <w:szCs w:val="21"/>
                <w:highlight w:val="none"/>
              </w:rPr>
              <w:t>员</w:t>
            </w:r>
          </w:p>
        </w:tc>
        <w:tc>
          <w:tcPr>
            <w:tcW w:w="1694" w:type="dxa"/>
            <w:noWrap w:val="0"/>
            <w:vAlign w:val="center"/>
          </w:tcPr>
          <w:p w14:paraId="2B1E2BDB">
            <w:pPr>
              <w:spacing w:after="0" w:line="360" w:lineRule="auto"/>
              <w:ind w:right="248"/>
              <w:jc w:val="center"/>
              <w:rPr>
                <w:rFonts w:ascii="宋体" w:hAnsi="宋体"/>
                <w:color w:val="auto"/>
                <w:szCs w:val="21"/>
                <w:highlight w:val="none"/>
              </w:rPr>
            </w:pPr>
            <w:r>
              <w:rPr>
                <w:rFonts w:hint="eastAsia" w:ascii="宋体" w:hAnsi="宋体"/>
                <w:color w:val="auto"/>
                <w:szCs w:val="21"/>
                <w:highlight w:val="none"/>
              </w:rPr>
              <w:t>1</w:t>
            </w:r>
          </w:p>
        </w:tc>
        <w:tc>
          <w:tcPr>
            <w:tcW w:w="4287" w:type="dxa"/>
            <w:noWrap w:val="0"/>
            <w:vAlign w:val="center"/>
          </w:tcPr>
          <w:p w14:paraId="73FCE7B0">
            <w:pPr>
              <w:spacing w:after="0" w:line="288" w:lineRule="auto"/>
              <w:ind w:right="248" w:firstLine="420" w:firstLineChars="200"/>
              <w:rPr>
                <w:rFonts w:ascii="宋体" w:hAnsi="宋体"/>
                <w:color w:val="auto"/>
                <w:szCs w:val="21"/>
                <w:highlight w:val="none"/>
              </w:rPr>
            </w:pPr>
            <w:r>
              <w:rPr>
                <w:rFonts w:hint="eastAsia" w:ascii="宋体" w:hAnsi="宋体"/>
                <w:color w:val="auto"/>
                <w:szCs w:val="21"/>
                <w:highlight w:val="none"/>
              </w:rPr>
              <w:t>持有</w:t>
            </w:r>
            <w:r>
              <w:rPr>
                <w:rFonts w:hint="eastAsia" w:ascii="宋体" w:hAnsi="宋体"/>
                <w:color w:val="auto"/>
                <w:szCs w:val="21"/>
                <w:highlight w:val="none"/>
                <w:lang w:eastAsia="zh-CN"/>
              </w:rPr>
              <w:t>施工</w:t>
            </w:r>
            <w:r>
              <w:rPr>
                <w:rFonts w:hint="eastAsia" w:ascii="宋体" w:hAnsi="宋体"/>
                <w:color w:val="auto"/>
                <w:szCs w:val="21"/>
                <w:highlight w:val="none"/>
              </w:rPr>
              <w:t>员相关岗位证书。提供投标文件递交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p>
        </w:tc>
        <w:tc>
          <w:tcPr>
            <w:tcW w:w="1530" w:type="dxa"/>
            <w:noWrap w:val="0"/>
            <w:vAlign w:val="top"/>
          </w:tcPr>
          <w:p w14:paraId="0D0B6574">
            <w:pPr>
              <w:wordWrap w:val="0"/>
              <w:snapToGrid w:val="0"/>
              <w:spacing w:line="300" w:lineRule="exact"/>
              <w:rPr>
                <w:rFonts w:ascii="宋体" w:hAnsi="宋体"/>
                <w:color w:val="auto"/>
                <w:szCs w:val="21"/>
                <w:highlight w:val="none"/>
              </w:rPr>
            </w:pPr>
          </w:p>
        </w:tc>
      </w:tr>
      <w:tr w14:paraId="279B6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763" w:hRule="atLeast"/>
        </w:trPr>
        <w:tc>
          <w:tcPr>
            <w:tcW w:w="1616" w:type="dxa"/>
            <w:noWrap w:val="0"/>
            <w:vAlign w:val="center"/>
          </w:tcPr>
          <w:p w14:paraId="1960E03B">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安全员</w:t>
            </w:r>
          </w:p>
        </w:tc>
        <w:tc>
          <w:tcPr>
            <w:tcW w:w="1694" w:type="dxa"/>
            <w:noWrap w:val="0"/>
            <w:vAlign w:val="center"/>
          </w:tcPr>
          <w:p w14:paraId="66A6D243">
            <w:pPr>
              <w:pStyle w:val="36"/>
              <w:pBdr>
                <w:bottom w:val="none" w:color="auto" w:sz="0" w:space="0"/>
              </w:pBdr>
              <w:tabs>
                <w:tab w:val="clear" w:pos="4153"/>
                <w:tab w:val="clear" w:pos="8306"/>
              </w:tabs>
              <w:snapToGrid/>
              <w:spacing w:after="0" w:line="360" w:lineRule="auto"/>
              <w:ind w:right="248"/>
              <w:rPr>
                <w:rFonts w:ascii="宋体" w:hAnsi="宋体"/>
                <w:color w:val="auto"/>
                <w:sz w:val="21"/>
                <w:szCs w:val="21"/>
                <w:highlight w:val="none"/>
              </w:rPr>
            </w:pPr>
            <w:r>
              <w:rPr>
                <w:rFonts w:hint="eastAsia" w:ascii="宋体" w:hAnsi="宋体"/>
                <w:color w:val="auto"/>
                <w:sz w:val="21"/>
                <w:szCs w:val="21"/>
                <w:highlight w:val="none"/>
              </w:rPr>
              <w:t>1</w:t>
            </w:r>
          </w:p>
        </w:tc>
        <w:tc>
          <w:tcPr>
            <w:tcW w:w="4287" w:type="dxa"/>
            <w:noWrap w:val="0"/>
            <w:vAlign w:val="center"/>
          </w:tcPr>
          <w:p w14:paraId="38A131BF">
            <w:pPr>
              <w:spacing w:after="0" w:line="288" w:lineRule="auto"/>
              <w:ind w:right="248" w:firstLine="420" w:firstLineChars="200"/>
              <w:rPr>
                <w:rFonts w:ascii="宋体" w:hAnsi="宋体"/>
                <w:color w:val="auto"/>
                <w:szCs w:val="21"/>
                <w:highlight w:val="none"/>
              </w:rPr>
            </w:pPr>
            <w:r>
              <w:rPr>
                <w:rFonts w:hint="eastAsia" w:ascii="宋体" w:hAnsi="宋体"/>
                <w:color w:val="auto"/>
                <w:szCs w:val="21"/>
                <w:highlight w:val="none"/>
              </w:rPr>
              <w:t>工程师及以上职称，持有有效期内的C类《安全生产考核合格证书》。提供投标文件递交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p>
        </w:tc>
        <w:tc>
          <w:tcPr>
            <w:tcW w:w="1530" w:type="dxa"/>
            <w:noWrap w:val="0"/>
            <w:vAlign w:val="center"/>
          </w:tcPr>
          <w:p w14:paraId="5FD095EC">
            <w:pPr>
              <w:wordWrap w:val="0"/>
              <w:snapToGrid w:val="0"/>
              <w:spacing w:line="300" w:lineRule="exact"/>
              <w:rPr>
                <w:rFonts w:ascii="宋体" w:hAnsi="宋体"/>
                <w:color w:val="auto"/>
                <w:szCs w:val="21"/>
                <w:highlight w:val="none"/>
              </w:rPr>
            </w:pPr>
          </w:p>
        </w:tc>
      </w:tr>
    </w:tbl>
    <w:p w14:paraId="68A87383">
      <w:pPr>
        <w:pStyle w:val="7"/>
        <w:wordWrap w:val="0"/>
        <w:spacing w:line="320" w:lineRule="exact"/>
        <w:ind w:firstLine="422"/>
        <w:rPr>
          <w:rFonts w:ascii="宋体" w:hAnsi="宋体"/>
          <w:b/>
          <w:color w:val="auto"/>
          <w:sz w:val="21"/>
          <w:highlight w:val="none"/>
        </w:rPr>
      </w:pPr>
      <w:r>
        <w:rPr>
          <w:rFonts w:hint="eastAsia" w:ascii="宋体" w:hAnsi="宋体"/>
          <w:b/>
          <w:color w:val="auto"/>
          <w:sz w:val="21"/>
          <w:highlight w:val="none"/>
        </w:rPr>
        <w:t xml:space="preserve"> </w:t>
      </w:r>
    </w:p>
    <w:p w14:paraId="0DA15C23">
      <w:pPr>
        <w:pStyle w:val="5"/>
        <w:spacing w:before="0" w:after="0" w:line="360" w:lineRule="auto"/>
        <w:jc w:val="left"/>
        <w:rPr>
          <w:rFonts w:hint="eastAsia" w:ascii="宋体" w:hAnsi="宋体" w:eastAsia="宋体" w:cs="Times New Roman"/>
          <w:b/>
          <w:bCs/>
          <w:color w:val="auto"/>
          <w:sz w:val="24"/>
          <w:highlight w:val="none"/>
        </w:rPr>
      </w:pPr>
      <w:r>
        <w:rPr>
          <w:rFonts w:ascii="宋体" w:hAnsi="宋体" w:eastAsia="宋体"/>
          <w:color w:val="auto"/>
          <w:sz w:val="36"/>
          <w:highlight w:val="none"/>
        </w:rPr>
        <w:br w:type="page"/>
      </w:r>
      <w:bookmarkStart w:id="352" w:name="_Toc388622097"/>
      <w:bookmarkStart w:id="353" w:name="_Toc27738"/>
      <w:bookmarkStart w:id="354" w:name="_Toc531615465"/>
      <w:bookmarkStart w:id="355" w:name="_Toc2394_WPSOffice_Level2"/>
      <w:bookmarkStart w:id="356" w:name="_Toc10702"/>
      <w:bookmarkStart w:id="357" w:name="OLE_LINK1"/>
      <w:r>
        <w:rPr>
          <w:rFonts w:hint="eastAsia" w:ascii="宋体" w:hAnsi="宋体" w:eastAsia="宋体" w:cs="Times New Roman"/>
          <w:b/>
          <w:bCs/>
          <w:color w:val="auto"/>
          <w:sz w:val="24"/>
          <w:highlight w:val="none"/>
        </w:rPr>
        <w:t>附录</w:t>
      </w:r>
      <w:r>
        <w:rPr>
          <w:rFonts w:hint="eastAsia" w:ascii="宋体" w:hAnsi="宋体" w:eastAsia="宋体" w:cs="Times New Roman"/>
          <w:b/>
          <w:bCs/>
          <w:color w:val="auto"/>
          <w:sz w:val="24"/>
          <w:highlight w:val="none"/>
          <w:lang w:val="en-US" w:eastAsia="zh-CN"/>
        </w:rPr>
        <w:t>2</w:t>
      </w:r>
      <w:r>
        <w:rPr>
          <w:rFonts w:hint="eastAsia" w:ascii="宋体" w:hAnsi="宋体" w:eastAsia="宋体" w:cs="Times New Roman"/>
          <w:b/>
          <w:bCs/>
          <w:color w:val="auto"/>
          <w:sz w:val="24"/>
          <w:highlight w:val="none"/>
        </w:rPr>
        <w:t xml:space="preserve">  </w:t>
      </w:r>
      <w:r>
        <w:rPr>
          <w:rFonts w:hint="eastAsia" w:ascii="宋体" w:hAnsi="宋体" w:eastAsia="宋体"/>
          <w:color w:val="auto"/>
          <w:sz w:val="24"/>
          <w:highlight w:val="none"/>
        </w:rPr>
        <w:t>其他资格条件</w:t>
      </w:r>
      <w:r>
        <w:rPr>
          <w:rFonts w:hint="eastAsia" w:ascii="宋体" w:hAnsi="宋体" w:eastAsia="宋体" w:cs="Times New Roman"/>
          <w:b/>
          <w:bCs/>
          <w:color w:val="auto"/>
          <w:sz w:val="24"/>
          <w:highlight w:val="none"/>
        </w:rPr>
        <w:t>（主要机械、设备最低要求）</w:t>
      </w:r>
      <w:bookmarkEnd w:id="352"/>
      <w:bookmarkEnd w:id="353"/>
      <w:bookmarkEnd w:id="354"/>
      <w:bookmarkEnd w:id="355"/>
      <w:bookmarkEnd w:id="356"/>
    </w:p>
    <w:bookmarkEnd w:id="357"/>
    <w:tbl>
      <w:tblPr>
        <w:tblStyle w:val="58"/>
        <w:tblpPr w:leftFromText="180" w:rightFromText="180" w:vertAnchor="text" w:horzAnchor="margin" w:tblpY="26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15"/>
        <w:gridCol w:w="2160"/>
        <w:gridCol w:w="2743"/>
        <w:gridCol w:w="2298"/>
      </w:tblGrid>
      <w:tr w14:paraId="248EB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16" w:hRule="atLeast"/>
        </w:trPr>
        <w:tc>
          <w:tcPr>
            <w:tcW w:w="2015" w:type="dxa"/>
            <w:noWrap w:val="0"/>
            <w:vAlign w:val="center"/>
          </w:tcPr>
          <w:p w14:paraId="5BD9A391">
            <w:pPr>
              <w:tabs>
                <w:tab w:val="left" w:pos="-840"/>
                <w:tab w:val="left" w:pos="3444"/>
              </w:tabs>
              <w:wordWrap w:val="0"/>
              <w:spacing w:after="0" w:line="240" w:lineRule="auto"/>
              <w:ind w:right="-91"/>
              <w:jc w:val="center"/>
              <w:rPr>
                <w:rFonts w:ascii="宋体" w:hAnsi="宋体" w:eastAsia="宋体"/>
                <w:b/>
                <w:bCs/>
                <w:color w:val="auto"/>
                <w:szCs w:val="21"/>
                <w:highlight w:val="none"/>
              </w:rPr>
            </w:pPr>
            <w:r>
              <w:rPr>
                <w:rFonts w:hint="eastAsia" w:ascii="宋体" w:hAnsi="宋体" w:eastAsia="宋体"/>
                <w:b/>
                <w:bCs/>
                <w:color w:val="auto"/>
                <w:szCs w:val="21"/>
                <w:highlight w:val="none"/>
              </w:rPr>
              <w:t>名      称</w:t>
            </w:r>
          </w:p>
        </w:tc>
        <w:tc>
          <w:tcPr>
            <w:tcW w:w="2160" w:type="dxa"/>
            <w:noWrap w:val="0"/>
            <w:vAlign w:val="center"/>
          </w:tcPr>
          <w:p w14:paraId="10AAF808">
            <w:pPr>
              <w:tabs>
                <w:tab w:val="left" w:pos="-840"/>
                <w:tab w:val="left" w:pos="3444"/>
              </w:tabs>
              <w:wordWrap w:val="0"/>
              <w:spacing w:after="0" w:line="240" w:lineRule="auto"/>
              <w:ind w:left="-125" w:right="-108"/>
              <w:jc w:val="center"/>
              <w:rPr>
                <w:rFonts w:ascii="宋体" w:hAnsi="宋体" w:eastAsia="宋体"/>
                <w:b/>
                <w:bCs/>
                <w:color w:val="auto"/>
                <w:szCs w:val="21"/>
                <w:highlight w:val="none"/>
              </w:rPr>
            </w:pPr>
            <w:r>
              <w:rPr>
                <w:rFonts w:hint="eastAsia" w:ascii="宋体" w:hAnsi="宋体" w:eastAsia="宋体"/>
                <w:b/>
                <w:bCs/>
                <w:color w:val="auto"/>
                <w:szCs w:val="21"/>
                <w:highlight w:val="none"/>
              </w:rPr>
              <w:t>数 量</w:t>
            </w:r>
          </w:p>
          <w:p w14:paraId="2A2204DE">
            <w:pPr>
              <w:tabs>
                <w:tab w:val="left" w:pos="-840"/>
                <w:tab w:val="left" w:pos="3444"/>
              </w:tabs>
              <w:wordWrap w:val="0"/>
              <w:spacing w:after="0" w:line="240" w:lineRule="auto"/>
              <w:ind w:left="-125" w:right="-108"/>
              <w:jc w:val="center"/>
              <w:rPr>
                <w:rFonts w:ascii="宋体" w:hAnsi="宋体" w:eastAsia="宋体"/>
                <w:b/>
                <w:bCs/>
                <w:color w:val="auto"/>
                <w:szCs w:val="21"/>
                <w:highlight w:val="none"/>
              </w:rPr>
            </w:pPr>
            <w:r>
              <w:rPr>
                <w:rFonts w:hint="eastAsia" w:ascii="宋体" w:hAnsi="宋体" w:eastAsia="宋体"/>
                <w:b/>
                <w:bCs/>
                <w:color w:val="auto"/>
                <w:szCs w:val="21"/>
                <w:highlight w:val="none"/>
              </w:rPr>
              <w:t>（最低要求）</w:t>
            </w:r>
          </w:p>
        </w:tc>
        <w:tc>
          <w:tcPr>
            <w:tcW w:w="2743" w:type="dxa"/>
            <w:noWrap w:val="0"/>
            <w:vAlign w:val="center"/>
          </w:tcPr>
          <w:p w14:paraId="0C26BE3F">
            <w:pPr>
              <w:tabs>
                <w:tab w:val="left" w:pos="-840"/>
                <w:tab w:val="left" w:pos="3444"/>
              </w:tabs>
              <w:wordWrap w:val="0"/>
              <w:spacing w:after="0" w:line="240" w:lineRule="auto"/>
              <w:ind w:right="-108"/>
              <w:rPr>
                <w:rFonts w:ascii="宋体" w:hAnsi="宋体" w:eastAsia="宋体"/>
                <w:b/>
                <w:bCs/>
                <w:color w:val="auto"/>
                <w:szCs w:val="21"/>
                <w:highlight w:val="none"/>
              </w:rPr>
            </w:pPr>
            <w:r>
              <w:rPr>
                <w:rFonts w:hint="eastAsia" w:ascii="宋体" w:hAnsi="宋体" w:eastAsia="宋体"/>
                <w:b/>
                <w:bCs/>
                <w:color w:val="auto"/>
                <w:szCs w:val="21"/>
                <w:highlight w:val="none"/>
              </w:rPr>
              <w:t>功率、吨位、容积</w:t>
            </w:r>
          </w:p>
        </w:tc>
        <w:tc>
          <w:tcPr>
            <w:tcW w:w="2298" w:type="dxa"/>
            <w:noWrap w:val="0"/>
            <w:vAlign w:val="center"/>
          </w:tcPr>
          <w:p w14:paraId="77A58501">
            <w:pPr>
              <w:tabs>
                <w:tab w:val="left" w:pos="-840"/>
                <w:tab w:val="left" w:pos="3444"/>
              </w:tabs>
              <w:wordWrap w:val="0"/>
              <w:spacing w:after="0" w:line="240" w:lineRule="auto"/>
              <w:ind w:right="-108"/>
              <w:jc w:val="center"/>
              <w:rPr>
                <w:rFonts w:ascii="宋体" w:hAnsi="宋体" w:eastAsia="宋体"/>
                <w:b/>
                <w:bCs/>
                <w:color w:val="auto"/>
                <w:szCs w:val="21"/>
                <w:highlight w:val="none"/>
              </w:rPr>
            </w:pPr>
            <w:r>
              <w:rPr>
                <w:rFonts w:hint="eastAsia" w:ascii="宋体" w:hAnsi="宋体" w:eastAsia="宋体"/>
                <w:b/>
                <w:bCs/>
                <w:color w:val="auto"/>
                <w:szCs w:val="21"/>
                <w:highlight w:val="none"/>
              </w:rPr>
              <w:t>备注</w:t>
            </w:r>
          </w:p>
        </w:tc>
      </w:tr>
      <w:tr w14:paraId="53474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5" w:hRule="atLeast"/>
        </w:trPr>
        <w:tc>
          <w:tcPr>
            <w:tcW w:w="2015" w:type="dxa"/>
            <w:noWrap w:val="0"/>
            <w:vAlign w:val="center"/>
          </w:tcPr>
          <w:p w14:paraId="0D15B5BD">
            <w:pPr>
              <w:tabs>
                <w:tab w:val="left" w:pos="-840"/>
                <w:tab w:val="left" w:pos="3444"/>
              </w:tabs>
              <w:spacing w:after="0" w:line="24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挖掘机</w:t>
            </w:r>
          </w:p>
        </w:tc>
        <w:tc>
          <w:tcPr>
            <w:tcW w:w="2160" w:type="dxa"/>
            <w:noWrap w:val="0"/>
            <w:vAlign w:val="center"/>
          </w:tcPr>
          <w:p w14:paraId="2E7EF7D4">
            <w:pPr>
              <w:tabs>
                <w:tab w:val="left" w:pos="-840"/>
                <w:tab w:val="left" w:pos="732"/>
                <w:tab w:val="left" w:pos="3444"/>
              </w:tabs>
              <w:kinsoku w:val="0"/>
              <w:wordWrap w:val="0"/>
              <w:overflowPunct w:val="0"/>
              <w:autoSpaceDE w:val="0"/>
              <w:autoSpaceDN w:val="0"/>
              <w:spacing w:after="0" w:line="240"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u w:val="singl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2088D3E6">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斗容量0.5m</w:t>
            </w:r>
            <w:r>
              <w:rPr>
                <w:rFonts w:hint="eastAsia" w:ascii="宋体" w:hAnsi="宋体" w:eastAsia="宋体"/>
                <w:b/>
                <w:bCs/>
                <w:color w:val="auto"/>
                <w:szCs w:val="21"/>
                <w:highlight w:val="none"/>
                <w:vertAlign w:val="superscript"/>
              </w:rPr>
              <w:t>3</w:t>
            </w:r>
            <w:r>
              <w:rPr>
                <w:rFonts w:hint="eastAsia" w:ascii="宋体" w:hAnsi="宋体" w:eastAsia="宋体"/>
                <w:b/>
                <w:bCs/>
                <w:color w:val="auto"/>
                <w:szCs w:val="21"/>
                <w:highlight w:val="none"/>
              </w:rPr>
              <w:t>以上</w:t>
            </w:r>
          </w:p>
        </w:tc>
        <w:tc>
          <w:tcPr>
            <w:tcW w:w="2298" w:type="dxa"/>
            <w:noWrap w:val="0"/>
            <w:vAlign w:val="center"/>
          </w:tcPr>
          <w:p w14:paraId="6B5EFA66">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1C447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5" w:hRule="atLeast"/>
        </w:trPr>
        <w:tc>
          <w:tcPr>
            <w:tcW w:w="2015" w:type="dxa"/>
            <w:noWrap w:val="0"/>
            <w:vAlign w:val="center"/>
          </w:tcPr>
          <w:p w14:paraId="781B907F">
            <w:pPr>
              <w:tabs>
                <w:tab w:val="left" w:pos="-840"/>
                <w:tab w:val="left" w:pos="3444"/>
              </w:tabs>
              <w:wordWrap w:val="0"/>
              <w:spacing w:after="0" w:line="24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推土机</w:t>
            </w:r>
          </w:p>
        </w:tc>
        <w:tc>
          <w:tcPr>
            <w:tcW w:w="2160" w:type="dxa"/>
            <w:noWrap w:val="0"/>
            <w:vAlign w:val="center"/>
          </w:tcPr>
          <w:p w14:paraId="76658502">
            <w:pPr>
              <w:tabs>
                <w:tab w:val="left" w:pos="-840"/>
                <w:tab w:val="left" w:pos="732"/>
                <w:tab w:val="left" w:pos="3444"/>
              </w:tabs>
              <w:kinsoku w:val="0"/>
              <w:wordWrap w:val="0"/>
              <w:overflowPunct w:val="0"/>
              <w:autoSpaceDE w:val="0"/>
              <w:autoSpaceDN w:val="0"/>
              <w:spacing w:after="0" w:line="240"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u w:val="singl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18D96C4A">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75kW以上</w:t>
            </w:r>
          </w:p>
        </w:tc>
        <w:tc>
          <w:tcPr>
            <w:tcW w:w="2298" w:type="dxa"/>
            <w:noWrap w:val="0"/>
            <w:vAlign w:val="center"/>
          </w:tcPr>
          <w:p w14:paraId="27E9020D">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02067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5" w:hRule="atLeast"/>
        </w:trPr>
        <w:tc>
          <w:tcPr>
            <w:tcW w:w="2015" w:type="dxa"/>
            <w:noWrap w:val="0"/>
            <w:vAlign w:val="center"/>
          </w:tcPr>
          <w:p w14:paraId="0B3C8DFF">
            <w:pPr>
              <w:tabs>
                <w:tab w:val="left" w:pos="-840"/>
                <w:tab w:val="left" w:pos="3444"/>
              </w:tabs>
              <w:wordWrap w:val="0"/>
              <w:spacing w:after="0" w:line="36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装载机</w:t>
            </w:r>
          </w:p>
        </w:tc>
        <w:tc>
          <w:tcPr>
            <w:tcW w:w="2160" w:type="dxa"/>
            <w:noWrap w:val="0"/>
            <w:vAlign w:val="center"/>
          </w:tcPr>
          <w:p w14:paraId="4DF0A971">
            <w:pPr>
              <w:tabs>
                <w:tab w:val="left" w:pos="-840"/>
                <w:tab w:val="left" w:pos="732"/>
                <w:tab w:val="left" w:pos="3444"/>
              </w:tabs>
              <w:kinsoku w:val="0"/>
              <w:wordWrap w:val="0"/>
              <w:overflowPunct w:val="0"/>
              <w:autoSpaceDE w:val="0"/>
              <w:autoSpaceDN w:val="0"/>
              <w:spacing w:after="0" w:line="240" w:lineRule="auto"/>
              <w:jc w:val="center"/>
              <w:rPr>
                <w:rFonts w:ascii="宋体" w:hAnsi="宋体" w:eastAsia="宋体"/>
                <w:b/>
                <w:bCs/>
                <w:color w:val="auto"/>
                <w:szCs w:val="21"/>
                <w:highlight w:val="none"/>
                <w:u w:val="single"/>
              </w:rPr>
            </w:pPr>
            <w:r>
              <w:rPr>
                <w:rFonts w:hint="eastAsia" w:ascii="宋体" w:hAnsi="宋体" w:eastAsia="宋体"/>
                <w:b/>
                <w:bCs/>
                <w:color w:val="auto"/>
                <w:szCs w:val="21"/>
                <w:highlight w:val="none"/>
                <w:u w:val="singl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6E4849E0">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斗容积1.8m</w:t>
            </w:r>
            <w:r>
              <w:rPr>
                <w:rFonts w:hint="eastAsia" w:ascii="宋体" w:hAnsi="宋体" w:eastAsia="宋体"/>
                <w:b/>
                <w:bCs/>
                <w:color w:val="auto"/>
                <w:szCs w:val="21"/>
                <w:highlight w:val="none"/>
                <w:vertAlign w:val="superscript"/>
              </w:rPr>
              <w:t>3</w:t>
            </w:r>
            <w:r>
              <w:rPr>
                <w:rFonts w:hint="eastAsia" w:ascii="宋体" w:hAnsi="宋体" w:eastAsia="宋体"/>
                <w:b/>
                <w:bCs/>
                <w:color w:val="auto"/>
                <w:szCs w:val="21"/>
                <w:highlight w:val="none"/>
              </w:rPr>
              <w:t xml:space="preserve"> 以上</w:t>
            </w:r>
          </w:p>
        </w:tc>
        <w:tc>
          <w:tcPr>
            <w:tcW w:w="2298" w:type="dxa"/>
            <w:noWrap w:val="0"/>
            <w:vAlign w:val="center"/>
          </w:tcPr>
          <w:p w14:paraId="3051553F">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3E0D5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7" w:hRule="atLeast"/>
        </w:trPr>
        <w:tc>
          <w:tcPr>
            <w:tcW w:w="2015" w:type="dxa"/>
            <w:noWrap w:val="0"/>
            <w:vAlign w:val="center"/>
          </w:tcPr>
          <w:p w14:paraId="18DC6C94">
            <w:pPr>
              <w:tabs>
                <w:tab w:val="left" w:pos="-840"/>
                <w:tab w:val="left" w:pos="3444"/>
              </w:tabs>
              <w:wordWrap w:val="0"/>
              <w:spacing w:after="0" w:line="24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压路机</w:t>
            </w:r>
          </w:p>
        </w:tc>
        <w:tc>
          <w:tcPr>
            <w:tcW w:w="2160" w:type="dxa"/>
            <w:noWrap w:val="0"/>
            <w:vAlign w:val="center"/>
          </w:tcPr>
          <w:p w14:paraId="11C6FA9D">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hint="eastAsia" w:ascii="宋体" w:hAnsi="宋体" w:eastAsia="宋体"/>
                <w:b/>
                <w:bCs/>
                <w:color w:val="auto"/>
                <w:szCs w:val="21"/>
                <w:highlight w:val="none"/>
                <w:u w:val="single"/>
              </w:rPr>
              <w:t>1</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2E0EE6A7">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12</w:t>
            </w:r>
            <w:r>
              <w:rPr>
                <w:rFonts w:hint="eastAsia" w:ascii="宋体" w:hAnsi="宋体" w:eastAsia="宋体"/>
                <w:b/>
                <w:bCs/>
                <w:color w:val="auto"/>
                <w:szCs w:val="21"/>
                <w:highlight w:val="none"/>
                <w:lang w:val="en-US" w:eastAsia="zh-CN"/>
              </w:rPr>
              <w:t>-18</w:t>
            </w:r>
            <w:r>
              <w:rPr>
                <w:rFonts w:hint="eastAsia" w:ascii="宋体" w:hAnsi="宋体" w:eastAsia="宋体"/>
                <w:b/>
                <w:bCs/>
                <w:color w:val="auto"/>
                <w:szCs w:val="21"/>
                <w:highlight w:val="none"/>
              </w:rPr>
              <w:t>t</w:t>
            </w:r>
          </w:p>
        </w:tc>
        <w:tc>
          <w:tcPr>
            <w:tcW w:w="2298" w:type="dxa"/>
            <w:noWrap w:val="0"/>
            <w:vAlign w:val="center"/>
          </w:tcPr>
          <w:p w14:paraId="4C8B0426">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66CA6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13E48944">
            <w:pPr>
              <w:tabs>
                <w:tab w:val="left" w:pos="-840"/>
                <w:tab w:val="left" w:pos="3444"/>
              </w:tabs>
              <w:spacing w:after="0" w:line="360" w:lineRule="auto"/>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b/>
                <w:bCs/>
                <w:color w:val="auto"/>
                <w:szCs w:val="21"/>
                <w:highlight w:val="none"/>
              </w:rPr>
              <w:t>砂浆搅拌机</w:t>
            </w:r>
          </w:p>
        </w:tc>
        <w:tc>
          <w:tcPr>
            <w:tcW w:w="2160" w:type="dxa"/>
            <w:noWrap w:val="0"/>
            <w:vAlign w:val="center"/>
          </w:tcPr>
          <w:p w14:paraId="1D715EF8">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ascii="宋体" w:hAnsi="宋体" w:eastAsia="宋体"/>
                <w:b/>
                <w:bCs/>
                <w:color w:val="auto"/>
                <w:szCs w:val="21"/>
                <w:highlight w:val="non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1B76B707">
            <w:pPr>
              <w:tabs>
                <w:tab w:val="left" w:pos="-840"/>
                <w:tab w:val="left" w:pos="3444"/>
              </w:tabs>
              <w:wordWrap w:val="0"/>
              <w:spacing w:after="0" w:line="240" w:lineRule="auto"/>
              <w:ind w:right="-108"/>
              <w:rPr>
                <w:rFonts w:ascii="宋体" w:hAnsi="宋体" w:eastAsia="宋体"/>
                <w:b/>
                <w:bCs/>
                <w:color w:val="auto"/>
                <w:szCs w:val="21"/>
                <w:highlight w:val="none"/>
              </w:rPr>
            </w:pPr>
            <w:r>
              <w:rPr>
                <w:rFonts w:ascii="宋体" w:hAnsi="宋体" w:eastAsia="宋体"/>
                <w:b/>
                <w:bCs/>
                <w:color w:val="auto"/>
                <w:szCs w:val="21"/>
                <w:highlight w:val="none"/>
              </w:rPr>
              <w:t xml:space="preserve">250L </w:t>
            </w:r>
            <w:r>
              <w:rPr>
                <w:rFonts w:hint="eastAsia" w:ascii="宋体" w:hAnsi="宋体" w:eastAsia="宋体"/>
                <w:b/>
                <w:bCs/>
                <w:color w:val="auto"/>
                <w:szCs w:val="21"/>
                <w:highlight w:val="none"/>
              </w:rPr>
              <w:t>以上</w:t>
            </w:r>
          </w:p>
        </w:tc>
        <w:tc>
          <w:tcPr>
            <w:tcW w:w="2298" w:type="dxa"/>
            <w:noWrap w:val="0"/>
            <w:vAlign w:val="center"/>
          </w:tcPr>
          <w:p w14:paraId="11038853">
            <w:pPr>
              <w:tabs>
                <w:tab w:val="left" w:pos="-840"/>
                <w:tab w:val="left" w:pos="3444"/>
              </w:tabs>
              <w:wordWrap w:val="0"/>
              <w:spacing w:after="0" w:line="240" w:lineRule="auto"/>
              <w:ind w:right="-145"/>
              <w:rPr>
                <w:rFonts w:ascii="宋体" w:hAnsi="宋体" w:eastAsia="宋体"/>
                <w:b/>
                <w:bCs/>
                <w:color w:val="auto"/>
                <w:szCs w:val="21"/>
                <w:highlight w:val="none"/>
              </w:rPr>
            </w:pPr>
          </w:p>
        </w:tc>
      </w:tr>
      <w:tr w14:paraId="4A739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1822034E">
            <w:pPr>
              <w:tabs>
                <w:tab w:val="left" w:pos="-840"/>
                <w:tab w:val="left" w:pos="3444"/>
              </w:tabs>
              <w:spacing w:after="0" w:line="360" w:lineRule="auto"/>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b/>
                <w:bCs/>
                <w:color w:val="auto"/>
                <w:szCs w:val="21"/>
                <w:highlight w:val="none"/>
              </w:rPr>
              <w:t>混凝土搅拌机</w:t>
            </w:r>
          </w:p>
        </w:tc>
        <w:tc>
          <w:tcPr>
            <w:tcW w:w="2160" w:type="dxa"/>
            <w:noWrap w:val="0"/>
            <w:vAlign w:val="top"/>
          </w:tcPr>
          <w:p w14:paraId="1F93C3CA">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p>
          <w:p w14:paraId="3009BB14">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ascii="宋体" w:hAnsi="宋体" w:eastAsia="宋体"/>
                <w:b/>
                <w:bCs/>
                <w:color w:val="auto"/>
                <w:szCs w:val="21"/>
                <w:highlight w:val="non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top"/>
          </w:tcPr>
          <w:p w14:paraId="3AB5BFF0">
            <w:pPr>
              <w:tabs>
                <w:tab w:val="left" w:pos="-840"/>
                <w:tab w:val="left" w:pos="3444"/>
              </w:tabs>
              <w:wordWrap w:val="0"/>
              <w:spacing w:after="0" w:line="240" w:lineRule="auto"/>
              <w:ind w:right="-108"/>
              <w:rPr>
                <w:rFonts w:ascii="宋体" w:hAnsi="宋体" w:eastAsia="宋体"/>
                <w:b/>
                <w:bCs/>
                <w:color w:val="auto"/>
                <w:szCs w:val="21"/>
                <w:highlight w:val="none"/>
              </w:rPr>
            </w:pPr>
          </w:p>
          <w:p w14:paraId="751D8DD8">
            <w:pPr>
              <w:tabs>
                <w:tab w:val="left" w:pos="-840"/>
                <w:tab w:val="left" w:pos="3444"/>
              </w:tabs>
              <w:wordWrap w:val="0"/>
              <w:spacing w:after="0" w:line="240" w:lineRule="auto"/>
              <w:ind w:right="-108"/>
              <w:rPr>
                <w:rFonts w:ascii="宋体" w:hAnsi="宋体" w:eastAsia="宋体"/>
                <w:b/>
                <w:bCs/>
                <w:color w:val="auto"/>
                <w:szCs w:val="21"/>
                <w:highlight w:val="none"/>
              </w:rPr>
            </w:pPr>
            <w:r>
              <w:rPr>
                <w:rFonts w:ascii="宋体" w:hAnsi="宋体" w:eastAsia="宋体"/>
                <w:b/>
                <w:bCs/>
                <w:color w:val="auto"/>
                <w:szCs w:val="21"/>
                <w:highlight w:val="none"/>
              </w:rPr>
              <w:t xml:space="preserve">400L </w:t>
            </w:r>
            <w:r>
              <w:rPr>
                <w:rFonts w:hint="eastAsia" w:ascii="宋体" w:hAnsi="宋体" w:eastAsia="宋体"/>
                <w:b/>
                <w:bCs/>
                <w:color w:val="auto"/>
                <w:szCs w:val="21"/>
                <w:highlight w:val="none"/>
              </w:rPr>
              <w:t>以上</w:t>
            </w:r>
          </w:p>
        </w:tc>
        <w:tc>
          <w:tcPr>
            <w:tcW w:w="2298" w:type="dxa"/>
            <w:noWrap w:val="0"/>
            <w:vAlign w:val="top"/>
          </w:tcPr>
          <w:p w14:paraId="13ADCC87">
            <w:pPr>
              <w:tabs>
                <w:tab w:val="left" w:pos="-840"/>
                <w:tab w:val="left" w:pos="3444"/>
              </w:tabs>
              <w:wordWrap w:val="0"/>
              <w:spacing w:after="0" w:line="240" w:lineRule="auto"/>
              <w:ind w:right="-145"/>
              <w:rPr>
                <w:rFonts w:ascii="宋体" w:hAnsi="宋体" w:eastAsia="宋体"/>
                <w:b/>
                <w:bCs/>
                <w:color w:val="auto"/>
                <w:szCs w:val="21"/>
                <w:highlight w:val="none"/>
              </w:rPr>
            </w:pPr>
          </w:p>
        </w:tc>
      </w:tr>
      <w:tr w14:paraId="782C7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14D09AB7">
            <w:pPr>
              <w:tabs>
                <w:tab w:val="left" w:pos="-840"/>
                <w:tab w:val="left" w:pos="3444"/>
              </w:tabs>
              <w:spacing w:after="0" w:line="360" w:lineRule="auto"/>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b/>
                <w:bCs/>
                <w:color w:val="auto"/>
                <w:szCs w:val="21"/>
                <w:highlight w:val="none"/>
              </w:rPr>
              <w:t>运输车辆（自卸车）</w:t>
            </w:r>
          </w:p>
        </w:tc>
        <w:tc>
          <w:tcPr>
            <w:tcW w:w="2160" w:type="dxa"/>
            <w:noWrap w:val="0"/>
            <w:vAlign w:val="top"/>
          </w:tcPr>
          <w:p w14:paraId="31DCE626">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p>
          <w:p w14:paraId="706DBAFA">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ascii="宋体" w:hAnsi="宋体" w:eastAsia="宋体"/>
                <w:b/>
                <w:bCs/>
                <w:color w:val="auto"/>
                <w:szCs w:val="21"/>
                <w:highlight w:val="non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top"/>
          </w:tcPr>
          <w:p w14:paraId="6D7CC32E">
            <w:pPr>
              <w:tabs>
                <w:tab w:val="left" w:pos="-840"/>
                <w:tab w:val="left" w:pos="3444"/>
              </w:tabs>
              <w:wordWrap w:val="0"/>
              <w:spacing w:after="0" w:line="240" w:lineRule="auto"/>
              <w:ind w:right="-108"/>
              <w:rPr>
                <w:rFonts w:hint="eastAsia" w:ascii="宋体" w:hAnsi="宋体" w:eastAsia="宋体"/>
                <w:b/>
                <w:bCs/>
                <w:color w:val="auto"/>
                <w:szCs w:val="21"/>
                <w:highlight w:val="none"/>
                <w:lang w:val="en-US" w:eastAsia="zh-CN"/>
              </w:rPr>
            </w:pPr>
          </w:p>
          <w:p w14:paraId="294F8097">
            <w:pPr>
              <w:tabs>
                <w:tab w:val="left" w:pos="-840"/>
                <w:tab w:val="left" w:pos="3444"/>
              </w:tabs>
              <w:wordWrap w:val="0"/>
              <w:spacing w:after="0" w:line="240" w:lineRule="auto"/>
              <w:ind w:right="-108"/>
              <w:rPr>
                <w:rFonts w:hint="default"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8</w:t>
            </w:r>
            <w:r>
              <w:rPr>
                <w:rFonts w:hint="eastAsia" w:ascii="宋体" w:hAnsi="宋体" w:eastAsia="宋体"/>
                <w:b/>
                <w:bCs/>
                <w:color w:val="auto"/>
                <w:szCs w:val="21"/>
                <w:highlight w:val="none"/>
              </w:rPr>
              <w:t>t以上</w:t>
            </w:r>
          </w:p>
        </w:tc>
        <w:tc>
          <w:tcPr>
            <w:tcW w:w="2298" w:type="dxa"/>
            <w:noWrap w:val="0"/>
            <w:vAlign w:val="top"/>
          </w:tcPr>
          <w:p w14:paraId="0A9B7AB7">
            <w:pPr>
              <w:tabs>
                <w:tab w:val="left" w:pos="-840"/>
                <w:tab w:val="left" w:pos="3444"/>
              </w:tabs>
              <w:wordWrap w:val="0"/>
              <w:spacing w:after="0" w:line="240" w:lineRule="auto"/>
              <w:ind w:right="-145"/>
              <w:rPr>
                <w:rFonts w:ascii="宋体" w:hAnsi="宋体" w:eastAsia="宋体"/>
                <w:b/>
                <w:bCs/>
                <w:color w:val="auto"/>
                <w:szCs w:val="21"/>
                <w:highlight w:val="none"/>
              </w:rPr>
            </w:pPr>
          </w:p>
        </w:tc>
      </w:tr>
      <w:tr w14:paraId="4BDF8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30A6FFF2">
            <w:pPr>
              <w:tabs>
                <w:tab w:val="left" w:pos="-840"/>
                <w:tab w:val="left" w:pos="3444"/>
              </w:tabs>
              <w:spacing w:after="0" w:line="360" w:lineRule="auto"/>
              <w:rPr>
                <w:rFonts w:hint="default"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w:t>
            </w:r>
          </w:p>
        </w:tc>
        <w:tc>
          <w:tcPr>
            <w:tcW w:w="2160" w:type="dxa"/>
            <w:noWrap w:val="0"/>
            <w:vAlign w:val="top"/>
          </w:tcPr>
          <w:p w14:paraId="01D54D38">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p>
        </w:tc>
        <w:tc>
          <w:tcPr>
            <w:tcW w:w="2743" w:type="dxa"/>
            <w:noWrap w:val="0"/>
            <w:vAlign w:val="top"/>
          </w:tcPr>
          <w:p w14:paraId="3DFF21AF">
            <w:pPr>
              <w:tabs>
                <w:tab w:val="left" w:pos="-840"/>
                <w:tab w:val="left" w:pos="3444"/>
              </w:tabs>
              <w:wordWrap w:val="0"/>
              <w:spacing w:after="0" w:line="240" w:lineRule="auto"/>
              <w:ind w:right="-108"/>
              <w:rPr>
                <w:rFonts w:ascii="宋体" w:hAnsi="宋体" w:eastAsia="宋体"/>
                <w:b/>
                <w:bCs/>
                <w:color w:val="auto"/>
                <w:szCs w:val="21"/>
                <w:highlight w:val="none"/>
              </w:rPr>
            </w:pPr>
          </w:p>
        </w:tc>
        <w:tc>
          <w:tcPr>
            <w:tcW w:w="2298" w:type="dxa"/>
            <w:noWrap w:val="0"/>
            <w:vAlign w:val="top"/>
          </w:tcPr>
          <w:p w14:paraId="3CC42A3E">
            <w:pPr>
              <w:tabs>
                <w:tab w:val="left" w:pos="-840"/>
                <w:tab w:val="left" w:pos="3444"/>
              </w:tabs>
              <w:wordWrap w:val="0"/>
              <w:spacing w:after="0" w:line="240" w:lineRule="auto"/>
              <w:ind w:right="-145"/>
              <w:rPr>
                <w:rFonts w:ascii="宋体" w:hAnsi="宋体" w:eastAsia="宋体"/>
                <w:b/>
                <w:bCs/>
                <w:color w:val="auto"/>
                <w:szCs w:val="21"/>
                <w:highlight w:val="none"/>
              </w:rPr>
            </w:pPr>
          </w:p>
        </w:tc>
      </w:tr>
    </w:tbl>
    <w:p w14:paraId="2666D491">
      <w:pPr>
        <w:pStyle w:val="7"/>
        <w:rPr>
          <w:color w:val="auto"/>
          <w:highlight w:val="none"/>
        </w:rPr>
      </w:pPr>
      <w:r>
        <w:rPr>
          <w:rFonts w:ascii="宋体" w:hAnsi="宋体" w:eastAsia="宋体"/>
          <w:b/>
          <w:color w:val="auto"/>
          <w:highlight w:val="none"/>
        </w:rPr>
        <w:br w:type="page"/>
      </w:r>
    </w:p>
    <w:p w14:paraId="4E4B3FB6">
      <w:pPr>
        <w:spacing w:after="0" w:line="360" w:lineRule="auto"/>
        <w:ind w:firstLine="560" w:firstLineChars="200"/>
        <w:rPr>
          <w:rFonts w:ascii="宋体" w:hAnsi="宋体"/>
          <w:color w:val="auto"/>
          <w:sz w:val="28"/>
          <w:szCs w:val="28"/>
          <w:highlight w:val="none"/>
        </w:rPr>
      </w:pPr>
      <w:bookmarkStart w:id="358" w:name="_Toc27803_WPSOffice_Level2"/>
      <w:r>
        <w:rPr>
          <w:rFonts w:hint="eastAsia" w:ascii="宋体" w:hAnsi="宋体"/>
          <w:color w:val="auto"/>
          <w:sz w:val="28"/>
          <w:szCs w:val="28"/>
          <w:highlight w:val="none"/>
        </w:rPr>
        <w:t>附表一：招标文件澄清</w:t>
      </w:r>
      <w:bookmarkEnd w:id="342"/>
      <w:r>
        <w:rPr>
          <w:rFonts w:hint="eastAsia" w:ascii="宋体" w:hAnsi="宋体"/>
          <w:color w:val="auto"/>
          <w:sz w:val="28"/>
          <w:szCs w:val="28"/>
          <w:highlight w:val="none"/>
        </w:rPr>
        <w:t>申请函</w:t>
      </w:r>
      <w:bookmarkEnd w:id="358"/>
    </w:p>
    <w:p w14:paraId="68BD3F40">
      <w:pPr>
        <w:spacing w:after="0" w:line="360" w:lineRule="auto"/>
        <w:rPr>
          <w:rFonts w:ascii="宋体" w:hAnsi="宋体"/>
          <w:color w:val="auto"/>
          <w:sz w:val="20"/>
          <w:szCs w:val="20"/>
          <w:highlight w:val="none"/>
        </w:rPr>
      </w:pPr>
    </w:p>
    <w:p w14:paraId="78C176EB">
      <w:pPr>
        <w:spacing w:after="0" w:line="360" w:lineRule="auto"/>
        <w:jc w:val="center"/>
        <w:rPr>
          <w:rFonts w:ascii="宋体" w:hAnsi="宋体"/>
          <w:b/>
          <w:color w:val="auto"/>
          <w:sz w:val="24"/>
          <w:highlight w:val="none"/>
        </w:rPr>
      </w:pPr>
      <w:bookmarkStart w:id="359" w:name="_Toc221950257"/>
      <w:r>
        <w:rPr>
          <w:rFonts w:hint="eastAsia" w:ascii="宋体" w:hAnsi="宋体"/>
          <w:b/>
          <w:color w:val="auto"/>
          <w:sz w:val="24"/>
          <w:highlight w:val="none"/>
        </w:rPr>
        <w:t>招标文件澄清申请函</w:t>
      </w:r>
      <w:bookmarkEnd w:id="359"/>
    </w:p>
    <w:p w14:paraId="3EBAF6B7">
      <w:pPr>
        <w:spacing w:after="0" w:line="360" w:lineRule="auto"/>
        <w:ind w:firstLine="3570" w:firstLineChars="1700"/>
        <w:rPr>
          <w:rFonts w:ascii="宋体" w:hAnsi="宋体"/>
          <w:color w:val="auto"/>
          <w:szCs w:val="21"/>
          <w:highlight w:val="none"/>
        </w:rPr>
      </w:pPr>
      <w:r>
        <w:rPr>
          <w:rFonts w:hint="eastAsia" w:ascii="宋体" w:hAnsi="宋体"/>
          <w:color w:val="auto"/>
          <w:szCs w:val="21"/>
          <w:highlight w:val="none"/>
        </w:rPr>
        <w:t>编号：</w:t>
      </w:r>
    </w:p>
    <w:p w14:paraId="2F89EFCE">
      <w:pPr>
        <w:spacing w:after="0" w:line="360" w:lineRule="auto"/>
        <w:ind w:firstLine="3570" w:firstLineChars="1700"/>
        <w:rPr>
          <w:rFonts w:ascii="宋体" w:hAnsi="宋体"/>
          <w:color w:val="auto"/>
          <w:szCs w:val="21"/>
          <w:highlight w:val="none"/>
        </w:rPr>
      </w:pPr>
    </w:p>
    <w:p w14:paraId="74AD4AEB">
      <w:pPr>
        <w:spacing w:after="0" w:line="360" w:lineRule="auto"/>
        <w:rPr>
          <w:rFonts w:ascii="宋体" w:hAnsi="宋体"/>
          <w:color w:val="auto"/>
          <w:szCs w:val="21"/>
          <w:highlight w:val="none"/>
          <w:u w:val="single"/>
        </w:rPr>
      </w:pPr>
      <w:bookmarkStart w:id="360" w:name="_Toc221950258"/>
      <w:r>
        <w:rPr>
          <w:rFonts w:hint="eastAsia" w:ascii="宋体" w:hAnsi="宋体"/>
          <w:color w:val="auto"/>
          <w:szCs w:val="21"/>
          <w:highlight w:val="none"/>
          <w:u w:val="single"/>
        </w:rPr>
        <w:t xml:space="preserve">    （招标人名称）</w:t>
      </w:r>
      <w:bookmarkEnd w:id="360"/>
      <w:r>
        <w:rPr>
          <w:rFonts w:hint="eastAsia" w:ascii="宋体" w:hAnsi="宋体"/>
          <w:color w:val="auto"/>
          <w:szCs w:val="21"/>
          <w:highlight w:val="none"/>
        </w:rPr>
        <w:t>：</w:t>
      </w:r>
    </w:p>
    <w:p w14:paraId="5A0FADA5">
      <w:pPr>
        <w:spacing w:after="0" w:line="360" w:lineRule="auto"/>
        <w:ind w:firstLine="420" w:firstLineChars="200"/>
        <w:rPr>
          <w:rFonts w:ascii="宋体" w:hAnsi="宋体"/>
          <w:color w:val="auto"/>
          <w:szCs w:val="21"/>
          <w:highlight w:val="none"/>
        </w:rPr>
      </w:pPr>
      <w:bookmarkStart w:id="361" w:name="_Toc221950259"/>
      <w:r>
        <w:rPr>
          <w:rFonts w:hint="eastAsia" w:ascii="宋体" w:hAnsi="宋体"/>
          <w:color w:val="auto"/>
          <w:szCs w:val="21"/>
          <w:highlight w:val="none"/>
        </w:rPr>
        <w:t xml:space="preserve">经过仔细阅读  </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招标文件后，我方申请对以下问题予以澄清：</w:t>
      </w:r>
      <w:bookmarkEnd w:id="361"/>
    </w:p>
    <w:p w14:paraId="31D52F53">
      <w:pPr>
        <w:spacing w:after="0" w:line="360" w:lineRule="auto"/>
        <w:ind w:firstLine="525" w:firstLineChars="250"/>
        <w:rPr>
          <w:rFonts w:ascii="宋体" w:hAnsi="宋体"/>
          <w:color w:val="auto"/>
          <w:szCs w:val="21"/>
          <w:highlight w:val="none"/>
        </w:rPr>
      </w:pPr>
      <w:bookmarkStart w:id="362" w:name="_Toc221950260"/>
      <w:r>
        <w:rPr>
          <w:rFonts w:hint="eastAsia" w:ascii="宋体" w:hAnsi="宋体"/>
          <w:color w:val="auto"/>
          <w:szCs w:val="21"/>
          <w:highlight w:val="none"/>
        </w:rPr>
        <w:t>1、………</w:t>
      </w:r>
      <w:bookmarkEnd w:id="362"/>
    </w:p>
    <w:p w14:paraId="3E50299A">
      <w:pPr>
        <w:spacing w:after="0" w:line="360" w:lineRule="auto"/>
        <w:ind w:firstLine="525" w:firstLineChars="250"/>
        <w:rPr>
          <w:rFonts w:ascii="宋体" w:hAnsi="宋体"/>
          <w:color w:val="auto"/>
          <w:szCs w:val="21"/>
          <w:highlight w:val="none"/>
        </w:rPr>
      </w:pPr>
      <w:bookmarkStart w:id="363" w:name="_Toc221950261"/>
      <w:r>
        <w:rPr>
          <w:rFonts w:hint="eastAsia" w:ascii="宋体" w:hAnsi="宋体"/>
          <w:color w:val="auto"/>
          <w:szCs w:val="21"/>
          <w:highlight w:val="none"/>
        </w:rPr>
        <w:t>2、………</w:t>
      </w:r>
      <w:bookmarkEnd w:id="363"/>
    </w:p>
    <w:p w14:paraId="1D841DFC">
      <w:pPr>
        <w:spacing w:after="0" w:line="360" w:lineRule="auto"/>
        <w:rPr>
          <w:rFonts w:ascii="宋体" w:hAnsi="宋体"/>
          <w:color w:val="auto"/>
          <w:szCs w:val="21"/>
          <w:highlight w:val="none"/>
        </w:rPr>
      </w:pPr>
    </w:p>
    <w:p w14:paraId="1D06127F">
      <w:pPr>
        <w:spacing w:after="0" w:line="360" w:lineRule="auto"/>
        <w:rPr>
          <w:rFonts w:ascii="宋体" w:hAnsi="宋体"/>
          <w:color w:val="auto"/>
          <w:szCs w:val="21"/>
          <w:highlight w:val="none"/>
        </w:rPr>
      </w:pPr>
    </w:p>
    <w:p w14:paraId="4B8FB94F">
      <w:pPr>
        <w:spacing w:after="0" w:line="360" w:lineRule="auto"/>
        <w:rPr>
          <w:rFonts w:ascii="宋体" w:hAnsi="宋体"/>
          <w:color w:val="auto"/>
          <w:szCs w:val="21"/>
          <w:highlight w:val="none"/>
        </w:rPr>
      </w:pPr>
    </w:p>
    <w:p w14:paraId="7E7552B7">
      <w:pPr>
        <w:spacing w:after="0" w:line="360" w:lineRule="auto"/>
        <w:rPr>
          <w:rFonts w:ascii="宋体" w:hAnsi="宋体"/>
          <w:color w:val="auto"/>
          <w:szCs w:val="21"/>
          <w:highlight w:val="none"/>
        </w:rPr>
      </w:pPr>
    </w:p>
    <w:p w14:paraId="5FD62231">
      <w:pPr>
        <w:spacing w:after="0" w:line="360" w:lineRule="auto"/>
        <w:ind w:firstLine="4620" w:firstLineChars="2200"/>
        <w:rPr>
          <w:rFonts w:ascii="宋体" w:hAnsi="宋体"/>
          <w:color w:val="auto"/>
          <w:szCs w:val="21"/>
          <w:highlight w:val="none"/>
        </w:rPr>
      </w:pPr>
      <w:bookmarkStart w:id="364" w:name="_Toc221950262"/>
      <w:r>
        <w:rPr>
          <w:rFonts w:hint="eastAsia" w:ascii="宋体" w:hAnsi="宋体"/>
          <w:color w:val="auto"/>
          <w:szCs w:val="21"/>
          <w:highlight w:val="none"/>
        </w:rPr>
        <w:t>投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64"/>
    </w:p>
    <w:p w14:paraId="6D75A70F">
      <w:pPr>
        <w:spacing w:after="0" w:line="360" w:lineRule="auto"/>
        <w:rPr>
          <w:rFonts w:ascii="宋体" w:hAnsi="宋体"/>
          <w:color w:val="auto"/>
          <w:szCs w:val="21"/>
          <w:highlight w:val="none"/>
        </w:rPr>
      </w:pPr>
    </w:p>
    <w:p w14:paraId="5788F018">
      <w:pPr>
        <w:spacing w:after="0" w:line="360" w:lineRule="auto"/>
        <w:ind w:firstLine="6930" w:firstLineChars="3300"/>
        <w:rPr>
          <w:rFonts w:ascii="宋体" w:hAnsi="宋体"/>
          <w:color w:val="auto"/>
          <w:szCs w:val="21"/>
          <w:highlight w:val="none"/>
        </w:rPr>
      </w:pPr>
      <w:bookmarkStart w:id="365" w:name="_Toc221950263"/>
      <w:r>
        <w:rPr>
          <w:rFonts w:hint="eastAsia" w:ascii="宋体" w:hAnsi="宋体"/>
          <w:color w:val="auto"/>
          <w:szCs w:val="21"/>
          <w:highlight w:val="none"/>
        </w:rPr>
        <w:t>年       月       日</w:t>
      </w:r>
      <w:bookmarkEnd w:id="365"/>
    </w:p>
    <w:p w14:paraId="38DB2D21">
      <w:pPr>
        <w:spacing w:after="0" w:line="360" w:lineRule="auto"/>
        <w:rPr>
          <w:rFonts w:ascii="宋体" w:hAnsi="宋体"/>
          <w:color w:val="auto"/>
          <w:szCs w:val="21"/>
          <w:highlight w:val="none"/>
        </w:rPr>
      </w:pPr>
    </w:p>
    <w:p w14:paraId="51A54333">
      <w:pPr>
        <w:spacing w:after="0" w:line="360" w:lineRule="auto"/>
        <w:rPr>
          <w:rFonts w:ascii="宋体" w:hAnsi="宋体"/>
          <w:color w:val="auto"/>
          <w:szCs w:val="21"/>
          <w:highlight w:val="none"/>
        </w:rPr>
      </w:pPr>
    </w:p>
    <w:p w14:paraId="10D19911">
      <w:pPr>
        <w:spacing w:after="0" w:line="360" w:lineRule="auto"/>
        <w:rPr>
          <w:rFonts w:ascii="宋体" w:hAnsi="宋体"/>
          <w:color w:val="auto"/>
          <w:szCs w:val="21"/>
          <w:highlight w:val="none"/>
        </w:rPr>
      </w:pPr>
    </w:p>
    <w:p w14:paraId="220998D6">
      <w:pPr>
        <w:spacing w:after="0" w:line="360" w:lineRule="auto"/>
        <w:rPr>
          <w:rFonts w:ascii="宋体" w:hAnsi="宋体" w:cs="宋体"/>
          <w:b/>
          <w:color w:val="auto"/>
          <w:szCs w:val="21"/>
          <w:highlight w:val="none"/>
        </w:rPr>
      </w:pPr>
      <w:bookmarkStart w:id="366" w:name="_Toc221950264"/>
      <w:r>
        <w:rPr>
          <w:rFonts w:hint="eastAsia" w:ascii="宋体" w:hAnsi="宋体" w:cs="宋体"/>
          <w:b/>
          <w:color w:val="auto"/>
          <w:szCs w:val="21"/>
          <w:highlight w:val="none"/>
        </w:rPr>
        <w:t>注</w:t>
      </w:r>
      <w:r>
        <w:rPr>
          <w:rFonts w:hint="eastAsia" w:ascii="宋体" w:hAnsi="宋体" w:cs="宋体"/>
          <w:b/>
          <w:color w:val="auto"/>
          <w:szCs w:val="21"/>
          <w:highlight w:val="none"/>
          <w:lang w:eastAsia="zh-CN"/>
        </w:rPr>
        <w:t>：</w:t>
      </w:r>
      <w:bookmarkEnd w:id="366"/>
      <w:r>
        <w:rPr>
          <w:rFonts w:hint="eastAsia" w:ascii="宋体" w:hAnsi="宋体" w:cs="宋体"/>
          <w:b/>
          <w:color w:val="auto"/>
          <w:szCs w:val="21"/>
          <w:highlight w:val="none"/>
        </w:rPr>
        <w:t>投标人要求招标人澄清招标文件有关问题时，适用于本格式。</w:t>
      </w:r>
    </w:p>
    <w:p w14:paraId="2D247AAF">
      <w:pPr>
        <w:spacing w:after="0" w:line="360" w:lineRule="auto"/>
        <w:rPr>
          <w:rFonts w:ascii="宋体" w:hAnsi="宋体" w:cs="宋体"/>
          <w:color w:val="auto"/>
          <w:sz w:val="20"/>
          <w:szCs w:val="20"/>
          <w:highlight w:val="none"/>
        </w:rPr>
      </w:pPr>
    </w:p>
    <w:p w14:paraId="71F88BC1">
      <w:pPr>
        <w:widowControl/>
        <w:spacing w:after="0" w:line="240" w:lineRule="auto"/>
        <w:jc w:val="left"/>
        <w:rPr>
          <w:rFonts w:ascii="宋体" w:hAnsi="宋体"/>
          <w:color w:val="auto"/>
          <w:sz w:val="28"/>
          <w:szCs w:val="28"/>
          <w:highlight w:val="none"/>
        </w:rPr>
      </w:pPr>
      <w:bookmarkStart w:id="367" w:name="_Toc221950265"/>
      <w:r>
        <w:rPr>
          <w:rFonts w:ascii="宋体" w:hAnsi="宋体"/>
          <w:color w:val="auto"/>
          <w:sz w:val="28"/>
          <w:szCs w:val="28"/>
          <w:highlight w:val="none"/>
        </w:rPr>
        <w:br w:type="page"/>
      </w:r>
    </w:p>
    <w:p w14:paraId="3A9BB07C">
      <w:pPr>
        <w:spacing w:after="0" w:line="360" w:lineRule="auto"/>
        <w:rPr>
          <w:rFonts w:ascii="宋体" w:hAnsi="宋体"/>
          <w:color w:val="auto"/>
          <w:sz w:val="28"/>
          <w:szCs w:val="28"/>
          <w:highlight w:val="none"/>
        </w:rPr>
      </w:pPr>
      <w:bookmarkStart w:id="368" w:name="_Toc15061_WPSOffice_Level2"/>
      <w:r>
        <w:rPr>
          <w:rFonts w:hint="eastAsia" w:ascii="宋体" w:hAnsi="宋体"/>
          <w:color w:val="auto"/>
          <w:sz w:val="28"/>
          <w:szCs w:val="28"/>
          <w:highlight w:val="none"/>
        </w:rPr>
        <w:t>附表二：招标文件澄清通知</w:t>
      </w:r>
      <w:bookmarkEnd w:id="367"/>
      <w:bookmarkEnd w:id="368"/>
    </w:p>
    <w:p w14:paraId="16B242E3">
      <w:pPr>
        <w:spacing w:after="0" w:line="360" w:lineRule="auto"/>
        <w:jc w:val="center"/>
        <w:rPr>
          <w:rFonts w:ascii="宋体" w:hAnsi="宋体"/>
          <w:b/>
          <w:color w:val="auto"/>
          <w:sz w:val="24"/>
          <w:highlight w:val="none"/>
        </w:rPr>
      </w:pPr>
      <w:bookmarkStart w:id="369" w:name="_Toc221950266"/>
      <w:r>
        <w:rPr>
          <w:rFonts w:hint="eastAsia" w:ascii="宋体" w:hAnsi="宋体"/>
          <w:b/>
          <w:color w:val="auto"/>
          <w:sz w:val="24"/>
          <w:highlight w:val="none"/>
        </w:rPr>
        <w:t>招标文件澄清通知</w:t>
      </w:r>
      <w:bookmarkEnd w:id="369"/>
    </w:p>
    <w:p w14:paraId="3FC7AC91">
      <w:pPr>
        <w:spacing w:after="0" w:line="360" w:lineRule="auto"/>
        <w:ind w:firstLine="3675" w:firstLineChars="1750"/>
        <w:rPr>
          <w:rFonts w:ascii="宋体" w:hAnsi="宋体"/>
          <w:color w:val="auto"/>
          <w:szCs w:val="21"/>
          <w:highlight w:val="none"/>
        </w:rPr>
      </w:pPr>
    </w:p>
    <w:p w14:paraId="2E06950F">
      <w:pPr>
        <w:spacing w:after="0" w:line="360" w:lineRule="auto"/>
        <w:rPr>
          <w:rFonts w:ascii="宋体" w:hAnsi="宋体"/>
          <w:color w:val="auto"/>
          <w:szCs w:val="21"/>
          <w:highlight w:val="none"/>
        </w:rPr>
      </w:pPr>
      <w:bookmarkStart w:id="370" w:name="_Toc221950268"/>
      <w:r>
        <w:rPr>
          <w:rFonts w:hint="eastAsia" w:ascii="宋体" w:hAnsi="宋体"/>
          <w:color w:val="auto"/>
          <w:szCs w:val="21"/>
          <w:highlight w:val="none"/>
          <w:u w:val="single"/>
        </w:rPr>
        <w:t xml:space="preserve">    （投标人名称）</w:t>
      </w:r>
      <w:bookmarkEnd w:id="370"/>
      <w:r>
        <w:rPr>
          <w:rFonts w:hint="eastAsia" w:ascii="宋体" w:hAnsi="宋体"/>
          <w:color w:val="auto"/>
          <w:szCs w:val="21"/>
          <w:highlight w:val="none"/>
        </w:rPr>
        <w:t>：</w:t>
      </w:r>
    </w:p>
    <w:p w14:paraId="092AB91A">
      <w:pPr>
        <w:spacing w:after="0" w:line="360" w:lineRule="auto"/>
        <w:ind w:firstLine="420" w:firstLineChars="200"/>
        <w:rPr>
          <w:rFonts w:ascii="宋体" w:hAnsi="宋体"/>
          <w:color w:val="auto"/>
          <w:szCs w:val="21"/>
          <w:highlight w:val="none"/>
        </w:rPr>
      </w:pPr>
      <w:bookmarkStart w:id="371" w:name="_Toc221950269"/>
      <w:r>
        <w:rPr>
          <w:rFonts w:hint="eastAsia" w:ascii="宋体" w:hAnsi="宋体"/>
          <w:color w:val="auto"/>
          <w:szCs w:val="21"/>
          <w:highlight w:val="none"/>
        </w:rPr>
        <w:t xml:space="preserve">经研究，对 </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招标文件，作如下澄清：</w:t>
      </w:r>
      <w:bookmarkEnd w:id="371"/>
    </w:p>
    <w:p w14:paraId="21D9FEC3">
      <w:pPr>
        <w:spacing w:after="0" w:line="360" w:lineRule="auto"/>
        <w:rPr>
          <w:rFonts w:ascii="宋体" w:hAnsi="宋体"/>
          <w:color w:val="auto"/>
          <w:szCs w:val="21"/>
          <w:highlight w:val="none"/>
        </w:rPr>
      </w:pPr>
      <w:bookmarkStart w:id="372" w:name="_Toc221950270"/>
      <w:r>
        <w:rPr>
          <w:rFonts w:hint="eastAsia" w:ascii="宋体" w:hAnsi="宋体"/>
          <w:color w:val="auto"/>
          <w:szCs w:val="21"/>
          <w:highlight w:val="none"/>
        </w:rPr>
        <w:t>1、………</w:t>
      </w:r>
      <w:bookmarkEnd w:id="372"/>
    </w:p>
    <w:p w14:paraId="5D3FC51D">
      <w:pPr>
        <w:spacing w:after="0" w:line="360" w:lineRule="auto"/>
        <w:rPr>
          <w:rFonts w:ascii="宋体" w:hAnsi="宋体"/>
          <w:color w:val="auto"/>
          <w:szCs w:val="21"/>
          <w:highlight w:val="none"/>
        </w:rPr>
      </w:pPr>
      <w:bookmarkStart w:id="373" w:name="_Toc221950271"/>
      <w:r>
        <w:rPr>
          <w:rFonts w:hint="eastAsia" w:ascii="宋体" w:hAnsi="宋体"/>
          <w:color w:val="auto"/>
          <w:szCs w:val="21"/>
          <w:highlight w:val="none"/>
        </w:rPr>
        <w:t>2、………</w:t>
      </w:r>
      <w:bookmarkEnd w:id="373"/>
    </w:p>
    <w:p w14:paraId="325783BE">
      <w:pPr>
        <w:spacing w:after="0" w:line="360" w:lineRule="auto"/>
        <w:rPr>
          <w:rFonts w:ascii="宋体" w:hAnsi="宋体"/>
          <w:color w:val="auto"/>
          <w:szCs w:val="21"/>
          <w:highlight w:val="none"/>
        </w:rPr>
      </w:pPr>
    </w:p>
    <w:p w14:paraId="607DBEBB">
      <w:pPr>
        <w:spacing w:after="0" w:line="360" w:lineRule="auto"/>
        <w:rPr>
          <w:rFonts w:ascii="宋体" w:hAnsi="宋体"/>
          <w:color w:val="auto"/>
          <w:szCs w:val="21"/>
          <w:highlight w:val="none"/>
        </w:rPr>
      </w:pPr>
    </w:p>
    <w:p w14:paraId="4706A732">
      <w:pPr>
        <w:spacing w:after="0" w:line="360" w:lineRule="auto"/>
        <w:rPr>
          <w:rFonts w:ascii="宋体" w:hAnsi="宋体"/>
          <w:color w:val="auto"/>
          <w:szCs w:val="21"/>
          <w:highlight w:val="none"/>
        </w:rPr>
      </w:pPr>
      <w:bookmarkStart w:id="374" w:name="_Toc221950272"/>
      <w:r>
        <w:rPr>
          <w:rFonts w:hint="eastAsia" w:ascii="宋体" w:hAnsi="宋体"/>
          <w:color w:val="auto"/>
          <w:szCs w:val="21"/>
          <w:highlight w:val="none"/>
        </w:rPr>
        <w:t>。</w:t>
      </w:r>
      <w:bookmarkEnd w:id="374"/>
    </w:p>
    <w:p w14:paraId="2BC2DA4D">
      <w:pPr>
        <w:spacing w:after="0" w:line="360" w:lineRule="auto"/>
        <w:rPr>
          <w:rFonts w:ascii="宋体" w:hAnsi="宋体"/>
          <w:color w:val="auto"/>
          <w:szCs w:val="21"/>
          <w:highlight w:val="none"/>
        </w:rPr>
      </w:pPr>
    </w:p>
    <w:p w14:paraId="6DDFF693">
      <w:pPr>
        <w:spacing w:after="0" w:line="360" w:lineRule="auto"/>
        <w:rPr>
          <w:rFonts w:ascii="宋体" w:hAnsi="宋体"/>
          <w:color w:val="auto"/>
          <w:szCs w:val="21"/>
          <w:highlight w:val="none"/>
        </w:rPr>
      </w:pPr>
    </w:p>
    <w:p w14:paraId="79B47DA4">
      <w:pPr>
        <w:spacing w:after="0" w:line="360" w:lineRule="auto"/>
        <w:rPr>
          <w:rFonts w:ascii="宋体" w:hAnsi="宋体"/>
          <w:color w:val="auto"/>
          <w:szCs w:val="21"/>
          <w:highlight w:val="none"/>
        </w:rPr>
      </w:pPr>
    </w:p>
    <w:p w14:paraId="54304543">
      <w:pPr>
        <w:spacing w:after="0" w:line="360" w:lineRule="auto"/>
        <w:rPr>
          <w:rFonts w:ascii="宋体" w:hAnsi="宋体"/>
          <w:color w:val="auto"/>
          <w:szCs w:val="21"/>
          <w:highlight w:val="none"/>
          <w:u w:val="single"/>
        </w:rPr>
      </w:pPr>
      <w:bookmarkStart w:id="375" w:name="_Toc221950273"/>
      <w:bookmarkStart w:id="376" w:name="_Toc221950275"/>
      <w:r>
        <w:rPr>
          <w:rFonts w:hint="eastAsia" w:ascii="宋体" w:hAnsi="宋体"/>
          <w:color w:val="auto"/>
          <w:szCs w:val="21"/>
          <w:highlight w:val="none"/>
        </w:rPr>
        <w:t>招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75"/>
    </w:p>
    <w:p w14:paraId="683A5962">
      <w:pPr>
        <w:spacing w:after="0" w:line="360" w:lineRule="auto"/>
        <w:rPr>
          <w:rFonts w:ascii="宋体" w:hAnsi="宋体"/>
          <w:color w:val="auto"/>
          <w:szCs w:val="21"/>
          <w:highlight w:val="none"/>
        </w:rPr>
      </w:pPr>
    </w:p>
    <w:p w14:paraId="571F6DC8">
      <w:pPr>
        <w:spacing w:after="0" w:line="360" w:lineRule="auto"/>
        <w:rPr>
          <w:rFonts w:ascii="宋体" w:hAnsi="宋体"/>
          <w:color w:val="auto"/>
          <w:szCs w:val="21"/>
          <w:highlight w:val="none"/>
        </w:rPr>
      </w:pPr>
      <w:bookmarkStart w:id="377" w:name="_Toc221950274"/>
      <w:r>
        <w:rPr>
          <w:rFonts w:hint="eastAsia" w:ascii="宋体" w:hAnsi="宋体"/>
          <w:color w:val="auto"/>
          <w:szCs w:val="21"/>
          <w:highlight w:val="none"/>
        </w:rPr>
        <w:t>年       月       日</w:t>
      </w:r>
      <w:bookmarkEnd w:id="377"/>
    </w:p>
    <w:p w14:paraId="1182AED4">
      <w:pPr>
        <w:spacing w:after="0" w:line="360" w:lineRule="auto"/>
        <w:rPr>
          <w:rFonts w:ascii="宋体" w:hAnsi="宋体"/>
          <w:color w:val="auto"/>
          <w:sz w:val="20"/>
          <w:szCs w:val="20"/>
          <w:highlight w:val="none"/>
        </w:rPr>
      </w:pPr>
    </w:p>
    <w:p w14:paraId="6830104D">
      <w:pPr>
        <w:spacing w:after="0" w:line="360" w:lineRule="auto"/>
        <w:rPr>
          <w:rFonts w:ascii="宋体" w:hAnsi="宋体" w:cs="宋体"/>
          <w:b/>
          <w:color w:val="auto"/>
          <w:szCs w:val="21"/>
          <w:highlight w:val="none"/>
        </w:rPr>
      </w:pPr>
      <w:r>
        <w:rPr>
          <w:rFonts w:hint="eastAsia" w:ascii="宋体" w:hAnsi="宋体" w:cs="宋体"/>
          <w:b/>
          <w:color w:val="auto"/>
          <w:szCs w:val="21"/>
          <w:highlight w:val="none"/>
        </w:rPr>
        <w:t>注</w:t>
      </w:r>
      <w:r>
        <w:rPr>
          <w:rFonts w:hint="eastAsia" w:ascii="宋体" w:hAnsi="宋体" w:cs="宋体"/>
          <w:b/>
          <w:color w:val="auto"/>
          <w:szCs w:val="21"/>
          <w:highlight w:val="none"/>
          <w:lang w:eastAsia="zh-CN"/>
        </w:rPr>
        <w:t>：</w:t>
      </w:r>
      <w:bookmarkEnd w:id="376"/>
      <w:r>
        <w:rPr>
          <w:rFonts w:hint="eastAsia" w:ascii="宋体" w:hAnsi="宋体" w:cs="宋体"/>
          <w:b/>
          <w:color w:val="auto"/>
          <w:szCs w:val="21"/>
          <w:highlight w:val="none"/>
        </w:rPr>
        <w:t>招标人对招标文件澄清时，适用于本格式。</w:t>
      </w:r>
    </w:p>
    <w:p w14:paraId="133A1582">
      <w:pPr>
        <w:widowControl/>
        <w:spacing w:after="0" w:line="360" w:lineRule="auto"/>
        <w:jc w:val="left"/>
        <w:rPr>
          <w:rFonts w:ascii="宋体" w:hAnsi="宋体"/>
          <w:color w:val="auto"/>
          <w:sz w:val="28"/>
          <w:szCs w:val="28"/>
          <w:highlight w:val="none"/>
        </w:rPr>
      </w:pPr>
      <w:bookmarkStart w:id="378" w:name="_Toc221950276"/>
      <w:r>
        <w:rPr>
          <w:rFonts w:ascii="宋体" w:hAnsi="宋体"/>
          <w:color w:val="auto"/>
          <w:sz w:val="28"/>
          <w:szCs w:val="28"/>
          <w:highlight w:val="none"/>
        </w:rPr>
        <w:br w:type="page"/>
      </w:r>
    </w:p>
    <w:p w14:paraId="7BD148E8">
      <w:pPr>
        <w:spacing w:after="0" w:line="360" w:lineRule="auto"/>
        <w:rPr>
          <w:rFonts w:ascii="宋体" w:hAnsi="宋体"/>
          <w:color w:val="auto"/>
          <w:sz w:val="28"/>
          <w:szCs w:val="28"/>
          <w:highlight w:val="none"/>
        </w:rPr>
      </w:pPr>
      <w:bookmarkStart w:id="379" w:name="_Toc17126_WPSOffice_Level2"/>
      <w:r>
        <w:rPr>
          <w:rFonts w:hint="eastAsia" w:ascii="宋体" w:hAnsi="宋体"/>
          <w:color w:val="auto"/>
          <w:sz w:val="28"/>
          <w:szCs w:val="28"/>
          <w:highlight w:val="none"/>
        </w:rPr>
        <w:t>附表三：招标文件修改通知</w:t>
      </w:r>
      <w:bookmarkEnd w:id="378"/>
      <w:bookmarkEnd w:id="379"/>
    </w:p>
    <w:p w14:paraId="670E9A19">
      <w:pPr>
        <w:spacing w:after="0" w:line="360" w:lineRule="auto"/>
        <w:rPr>
          <w:rFonts w:ascii="宋体" w:hAnsi="宋体"/>
          <w:color w:val="auto"/>
          <w:sz w:val="20"/>
          <w:szCs w:val="20"/>
          <w:highlight w:val="none"/>
        </w:rPr>
      </w:pPr>
    </w:p>
    <w:p w14:paraId="2B40BABB">
      <w:pPr>
        <w:spacing w:after="0" w:line="360" w:lineRule="auto"/>
        <w:jc w:val="center"/>
        <w:rPr>
          <w:rFonts w:ascii="宋体" w:hAnsi="宋体"/>
          <w:b/>
          <w:color w:val="auto"/>
          <w:sz w:val="24"/>
          <w:highlight w:val="none"/>
        </w:rPr>
      </w:pPr>
      <w:bookmarkStart w:id="380" w:name="_Toc221950277"/>
      <w:r>
        <w:rPr>
          <w:rFonts w:hint="eastAsia" w:ascii="宋体" w:hAnsi="宋体"/>
          <w:b/>
          <w:color w:val="auto"/>
          <w:sz w:val="24"/>
          <w:highlight w:val="none"/>
        </w:rPr>
        <w:t>招标文件修改通知</w:t>
      </w:r>
      <w:bookmarkEnd w:id="380"/>
    </w:p>
    <w:p w14:paraId="24FFC718">
      <w:pPr>
        <w:spacing w:after="0" w:line="360" w:lineRule="auto"/>
        <w:ind w:firstLine="3675" w:firstLineChars="1750"/>
        <w:rPr>
          <w:rFonts w:ascii="宋体" w:hAnsi="宋体"/>
          <w:color w:val="auto"/>
          <w:szCs w:val="21"/>
          <w:highlight w:val="none"/>
        </w:rPr>
      </w:pPr>
      <w:bookmarkStart w:id="381" w:name="_Toc221950278"/>
      <w:r>
        <w:rPr>
          <w:rFonts w:hint="eastAsia" w:ascii="宋体" w:hAnsi="宋体"/>
          <w:color w:val="auto"/>
          <w:szCs w:val="21"/>
          <w:highlight w:val="none"/>
        </w:rPr>
        <w:t>编号：</w:t>
      </w:r>
      <w:bookmarkEnd w:id="381"/>
    </w:p>
    <w:p w14:paraId="54E5AED7">
      <w:pPr>
        <w:spacing w:after="0" w:line="360" w:lineRule="auto"/>
        <w:ind w:firstLine="3675" w:firstLineChars="1750"/>
        <w:rPr>
          <w:rFonts w:ascii="宋体" w:hAnsi="宋体"/>
          <w:color w:val="auto"/>
          <w:szCs w:val="21"/>
          <w:highlight w:val="none"/>
        </w:rPr>
      </w:pPr>
    </w:p>
    <w:p w14:paraId="2D4F7CB8">
      <w:pPr>
        <w:spacing w:after="0" w:line="360" w:lineRule="auto"/>
        <w:rPr>
          <w:rFonts w:ascii="宋体" w:hAnsi="宋体"/>
          <w:color w:val="auto"/>
          <w:szCs w:val="21"/>
          <w:highlight w:val="none"/>
        </w:rPr>
      </w:pPr>
      <w:bookmarkStart w:id="382" w:name="_Toc221950279"/>
      <w:r>
        <w:rPr>
          <w:rFonts w:hint="eastAsia" w:ascii="宋体" w:hAnsi="宋体"/>
          <w:color w:val="auto"/>
          <w:szCs w:val="21"/>
          <w:highlight w:val="none"/>
          <w:u w:val="single"/>
        </w:rPr>
        <w:t xml:space="preserve">     （投标人名称）</w:t>
      </w:r>
      <w:bookmarkEnd w:id="382"/>
      <w:r>
        <w:rPr>
          <w:rFonts w:hint="eastAsia" w:ascii="宋体" w:hAnsi="宋体"/>
          <w:color w:val="auto"/>
          <w:szCs w:val="21"/>
          <w:highlight w:val="none"/>
        </w:rPr>
        <w:t>：</w:t>
      </w:r>
    </w:p>
    <w:p w14:paraId="4E256B08">
      <w:pPr>
        <w:spacing w:after="0" w:line="360" w:lineRule="auto"/>
        <w:ind w:firstLine="525" w:firstLineChars="250"/>
        <w:rPr>
          <w:rFonts w:ascii="宋体" w:hAnsi="宋体"/>
          <w:color w:val="auto"/>
          <w:szCs w:val="21"/>
          <w:highlight w:val="none"/>
        </w:rPr>
      </w:pPr>
      <w:bookmarkStart w:id="383" w:name="_Toc221950280"/>
      <w:bookmarkStart w:id="384" w:name="_Toc221950282"/>
      <w:r>
        <w:rPr>
          <w:rFonts w:hint="eastAsia" w:ascii="宋体" w:hAnsi="宋体"/>
          <w:color w:val="auto"/>
          <w:szCs w:val="21"/>
          <w:highlight w:val="none"/>
        </w:rPr>
        <w:t xml:space="preserve">经研究，对  </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招标文件，作如下修改：</w:t>
      </w:r>
      <w:bookmarkEnd w:id="383"/>
    </w:p>
    <w:p w14:paraId="00C0F62D">
      <w:pPr>
        <w:spacing w:after="0" w:line="360" w:lineRule="auto"/>
        <w:ind w:firstLine="525" w:firstLineChars="250"/>
        <w:rPr>
          <w:rFonts w:ascii="宋体" w:hAnsi="宋体"/>
          <w:color w:val="auto"/>
          <w:szCs w:val="21"/>
          <w:highlight w:val="none"/>
        </w:rPr>
      </w:pPr>
      <w:bookmarkStart w:id="385" w:name="_Toc221950281"/>
      <w:r>
        <w:rPr>
          <w:rFonts w:hint="eastAsia" w:ascii="宋体" w:hAnsi="宋体"/>
          <w:color w:val="auto"/>
          <w:szCs w:val="21"/>
          <w:highlight w:val="none"/>
        </w:rPr>
        <w:t>1、………</w:t>
      </w:r>
      <w:bookmarkEnd w:id="385"/>
    </w:p>
    <w:p w14:paraId="34899289">
      <w:pPr>
        <w:spacing w:after="0" w:line="360" w:lineRule="auto"/>
        <w:ind w:firstLine="525" w:firstLineChars="250"/>
        <w:rPr>
          <w:rFonts w:ascii="宋体" w:hAnsi="宋体"/>
          <w:color w:val="auto"/>
          <w:szCs w:val="21"/>
          <w:highlight w:val="none"/>
        </w:rPr>
      </w:pPr>
      <w:r>
        <w:rPr>
          <w:rFonts w:hint="eastAsia" w:ascii="宋体" w:hAnsi="宋体"/>
          <w:color w:val="auto"/>
          <w:szCs w:val="21"/>
          <w:highlight w:val="none"/>
        </w:rPr>
        <w:t>2、………</w:t>
      </w:r>
    </w:p>
    <w:p w14:paraId="42EF9E64">
      <w:pPr>
        <w:spacing w:after="0" w:line="360" w:lineRule="auto"/>
        <w:rPr>
          <w:rFonts w:ascii="宋体" w:hAnsi="宋体"/>
          <w:color w:val="auto"/>
          <w:szCs w:val="21"/>
          <w:highlight w:val="none"/>
        </w:rPr>
      </w:pPr>
    </w:p>
    <w:bookmarkEnd w:id="384"/>
    <w:p w14:paraId="235084C0">
      <w:pPr>
        <w:spacing w:after="0" w:line="360" w:lineRule="auto"/>
        <w:rPr>
          <w:rFonts w:ascii="宋体" w:hAnsi="宋体"/>
          <w:color w:val="auto"/>
          <w:szCs w:val="21"/>
          <w:highlight w:val="none"/>
        </w:rPr>
      </w:pPr>
    </w:p>
    <w:p w14:paraId="1AC5045B">
      <w:pPr>
        <w:spacing w:after="0" w:line="360" w:lineRule="auto"/>
        <w:rPr>
          <w:rFonts w:ascii="宋体" w:hAnsi="宋体"/>
          <w:color w:val="auto"/>
          <w:szCs w:val="21"/>
          <w:highlight w:val="none"/>
        </w:rPr>
      </w:pPr>
    </w:p>
    <w:p w14:paraId="79F47233">
      <w:pPr>
        <w:spacing w:after="0" w:line="360" w:lineRule="auto"/>
        <w:rPr>
          <w:rFonts w:ascii="宋体" w:hAnsi="宋体"/>
          <w:color w:val="auto"/>
          <w:szCs w:val="21"/>
          <w:highlight w:val="none"/>
        </w:rPr>
      </w:pPr>
      <w:r>
        <w:rPr>
          <w:color w:val="auto"/>
          <w:highlight w:val="none"/>
        </w:rPr>
        <w:drawing>
          <wp:anchor distT="0" distB="0" distL="114300" distR="114300" simplePos="0" relativeHeight="251659264" behindDoc="1" locked="1" layoutInCell="1" allowOverlap="1">
            <wp:simplePos x="0" y="0"/>
            <wp:positionH relativeFrom="column">
              <wp:posOffset>2565400</wp:posOffset>
            </wp:positionH>
            <wp:positionV relativeFrom="paragraph">
              <wp:posOffset>7213600</wp:posOffset>
            </wp:positionV>
            <wp:extent cx="1422400" cy="203200"/>
            <wp:effectExtent l="0" t="0" r="0" b="0"/>
            <wp:wrapNone/>
            <wp:docPr id="1" name="图片 4" descr="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108"/>
                    <pic:cNvPicPr>
                      <a:picLocks noChangeAspect="1"/>
                    </pic:cNvPicPr>
                  </pic:nvPicPr>
                  <pic:blipFill>
                    <a:blip r:embed="rId15"/>
                    <a:stretch>
                      <a:fillRect/>
                    </a:stretch>
                  </pic:blipFill>
                  <pic:spPr>
                    <a:xfrm>
                      <a:off x="0" y="0"/>
                      <a:ext cx="1422400" cy="203200"/>
                    </a:xfrm>
                    <a:prstGeom prst="rect">
                      <a:avLst/>
                    </a:prstGeom>
                    <a:noFill/>
                    <a:ln>
                      <a:noFill/>
                    </a:ln>
                  </pic:spPr>
                </pic:pic>
              </a:graphicData>
            </a:graphic>
          </wp:anchor>
        </w:drawing>
      </w:r>
    </w:p>
    <w:p w14:paraId="7E35DA66">
      <w:pPr>
        <w:spacing w:after="0" w:line="360" w:lineRule="auto"/>
        <w:rPr>
          <w:rFonts w:ascii="宋体" w:hAnsi="宋体"/>
          <w:color w:val="auto"/>
          <w:szCs w:val="21"/>
          <w:highlight w:val="none"/>
        </w:rPr>
      </w:pPr>
    </w:p>
    <w:p w14:paraId="094F3CA2">
      <w:pPr>
        <w:spacing w:after="0" w:line="360" w:lineRule="auto"/>
        <w:rPr>
          <w:rFonts w:ascii="宋体" w:hAnsi="宋体"/>
          <w:color w:val="auto"/>
          <w:szCs w:val="21"/>
          <w:highlight w:val="none"/>
        </w:rPr>
      </w:pPr>
    </w:p>
    <w:p w14:paraId="053D7F85">
      <w:pPr>
        <w:spacing w:after="0" w:line="360" w:lineRule="auto"/>
        <w:rPr>
          <w:rFonts w:ascii="宋体" w:hAnsi="宋体"/>
          <w:color w:val="auto"/>
          <w:szCs w:val="21"/>
          <w:highlight w:val="none"/>
        </w:rPr>
      </w:pPr>
    </w:p>
    <w:p w14:paraId="6A1343DC">
      <w:pPr>
        <w:spacing w:after="0" w:line="360" w:lineRule="auto"/>
        <w:jc w:val="both"/>
        <w:rPr>
          <w:rFonts w:ascii="宋体" w:hAnsi="宋体"/>
          <w:color w:val="auto"/>
          <w:szCs w:val="21"/>
          <w:highlight w:val="none"/>
        </w:rPr>
      </w:pPr>
      <w:bookmarkStart w:id="386" w:name="_Toc221950284"/>
      <w:bookmarkStart w:id="387" w:name="_Toc221950286"/>
      <w:r>
        <w:rPr>
          <w:rFonts w:hint="eastAsia" w:ascii="宋体" w:hAnsi="宋体"/>
          <w:color w:val="auto"/>
          <w:szCs w:val="21"/>
          <w:highlight w:val="none"/>
        </w:rPr>
        <w:t>招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86"/>
    </w:p>
    <w:p w14:paraId="463E8737">
      <w:pPr>
        <w:spacing w:after="0" w:line="360" w:lineRule="auto"/>
        <w:rPr>
          <w:rFonts w:ascii="宋体" w:hAnsi="宋体"/>
          <w:color w:val="auto"/>
          <w:szCs w:val="21"/>
          <w:highlight w:val="none"/>
        </w:rPr>
      </w:pPr>
    </w:p>
    <w:p w14:paraId="72791A33">
      <w:pPr>
        <w:spacing w:after="0" w:line="360" w:lineRule="auto"/>
        <w:rPr>
          <w:rFonts w:ascii="宋体" w:hAnsi="宋体"/>
          <w:color w:val="auto"/>
          <w:szCs w:val="21"/>
          <w:highlight w:val="none"/>
        </w:rPr>
      </w:pPr>
      <w:bookmarkStart w:id="388" w:name="_Toc221950285"/>
      <w:r>
        <w:rPr>
          <w:rFonts w:hint="eastAsia" w:ascii="宋体" w:hAnsi="宋体"/>
          <w:color w:val="auto"/>
          <w:szCs w:val="21"/>
          <w:highlight w:val="none"/>
        </w:rPr>
        <w:t>年       月       日</w:t>
      </w:r>
      <w:bookmarkEnd w:id="388"/>
    </w:p>
    <w:p w14:paraId="28051D6C">
      <w:pPr>
        <w:spacing w:after="0" w:line="360" w:lineRule="auto"/>
        <w:rPr>
          <w:rFonts w:ascii="宋体" w:hAnsi="宋体"/>
          <w:b/>
          <w:color w:val="auto"/>
          <w:szCs w:val="21"/>
          <w:highlight w:val="none"/>
        </w:rPr>
      </w:pPr>
      <w:r>
        <w:rPr>
          <w:rFonts w:hint="eastAsia" w:ascii="宋体" w:hAnsi="宋体" w:cs="宋体"/>
          <w:b/>
          <w:color w:val="auto"/>
          <w:szCs w:val="21"/>
          <w:highlight w:val="none"/>
        </w:rPr>
        <w:t>注</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招标人对招标文件修改时，适用于本格式</w:t>
      </w:r>
      <w:r>
        <w:rPr>
          <w:rFonts w:hint="eastAsia" w:ascii="宋体" w:hAnsi="宋体"/>
          <w:b/>
          <w:color w:val="auto"/>
          <w:szCs w:val="21"/>
          <w:highlight w:val="none"/>
        </w:rPr>
        <w:t>。</w:t>
      </w:r>
      <w:bookmarkEnd w:id="387"/>
    </w:p>
    <w:p w14:paraId="0FF61ED1">
      <w:pPr>
        <w:widowControl/>
        <w:spacing w:after="0" w:line="360" w:lineRule="auto"/>
        <w:jc w:val="left"/>
        <w:rPr>
          <w:rFonts w:ascii="宋体" w:hAnsi="宋体"/>
          <w:color w:val="auto"/>
          <w:sz w:val="28"/>
          <w:szCs w:val="28"/>
          <w:highlight w:val="none"/>
        </w:rPr>
      </w:pPr>
      <w:bookmarkStart w:id="389" w:name="_Toc221950288"/>
    </w:p>
    <w:p w14:paraId="65486831">
      <w:pPr>
        <w:widowControl/>
        <w:spacing w:after="0" w:line="360" w:lineRule="auto"/>
        <w:jc w:val="left"/>
        <w:rPr>
          <w:rFonts w:ascii="宋体" w:hAnsi="宋体"/>
          <w:color w:val="auto"/>
          <w:sz w:val="28"/>
          <w:szCs w:val="28"/>
          <w:highlight w:val="none"/>
        </w:rPr>
      </w:pPr>
      <w:r>
        <w:rPr>
          <w:rFonts w:ascii="宋体" w:hAnsi="宋体"/>
          <w:color w:val="auto"/>
          <w:sz w:val="28"/>
          <w:szCs w:val="28"/>
          <w:highlight w:val="none"/>
        </w:rPr>
        <w:br w:type="page"/>
      </w:r>
    </w:p>
    <w:p w14:paraId="1BD4E885">
      <w:pPr>
        <w:spacing w:after="0" w:line="360" w:lineRule="auto"/>
        <w:rPr>
          <w:rFonts w:ascii="宋体" w:hAnsi="宋体"/>
          <w:color w:val="auto"/>
          <w:sz w:val="28"/>
          <w:szCs w:val="28"/>
          <w:highlight w:val="none"/>
        </w:rPr>
      </w:pPr>
      <w:bookmarkStart w:id="390" w:name="_Toc9062_WPSOffice_Level2"/>
      <w:r>
        <w:rPr>
          <w:rFonts w:hint="eastAsia" w:ascii="宋体" w:hAnsi="宋体"/>
          <w:color w:val="auto"/>
          <w:sz w:val="28"/>
          <w:szCs w:val="28"/>
          <w:highlight w:val="none"/>
        </w:rPr>
        <w:t>附表四：招标文件澄清通知、修改通知确认</w:t>
      </w:r>
      <w:bookmarkEnd w:id="389"/>
      <w:r>
        <w:rPr>
          <w:rFonts w:hint="eastAsia" w:ascii="宋体" w:hAnsi="宋体"/>
          <w:color w:val="auto"/>
          <w:sz w:val="28"/>
          <w:szCs w:val="28"/>
          <w:highlight w:val="none"/>
        </w:rPr>
        <w:t>函</w:t>
      </w:r>
      <w:bookmarkEnd w:id="390"/>
    </w:p>
    <w:p w14:paraId="73618314">
      <w:pPr>
        <w:spacing w:after="0" w:line="360" w:lineRule="auto"/>
        <w:rPr>
          <w:rFonts w:ascii="宋体" w:hAnsi="宋体"/>
          <w:color w:val="auto"/>
          <w:sz w:val="20"/>
          <w:szCs w:val="20"/>
          <w:highlight w:val="none"/>
        </w:rPr>
      </w:pPr>
    </w:p>
    <w:p w14:paraId="150AB137">
      <w:pPr>
        <w:spacing w:after="0" w:line="360" w:lineRule="auto"/>
        <w:jc w:val="center"/>
        <w:rPr>
          <w:rFonts w:ascii="宋体" w:hAnsi="宋体"/>
          <w:b/>
          <w:color w:val="auto"/>
          <w:sz w:val="24"/>
          <w:highlight w:val="none"/>
        </w:rPr>
      </w:pPr>
      <w:bookmarkStart w:id="391" w:name="_Toc221950289"/>
      <w:r>
        <w:rPr>
          <w:rFonts w:hint="eastAsia" w:ascii="宋体" w:hAnsi="宋体"/>
          <w:b/>
          <w:color w:val="auto"/>
          <w:sz w:val="24"/>
          <w:highlight w:val="none"/>
        </w:rPr>
        <w:t>招标文件澄清通知、修改通知确认函</w:t>
      </w:r>
      <w:bookmarkEnd w:id="391"/>
    </w:p>
    <w:p w14:paraId="5A90C2E9">
      <w:pPr>
        <w:spacing w:after="0" w:line="360" w:lineRule="auto"/>
        <w:ind w:firstLine="3360" w:firstLineChars="1600"/>
        <w:rPr>
          <w:rFonts w:ascii="宋体" w:hAnsi="宋体"/>
          <w:color w:val="auto"/>
          <w:szCs w:val="21"/>
          <w:highlight w:val="none"/>
        </w:rPr>
      </w:pPr>
      <w:r>
        <w:rPr>
          <w:rFonts w:hint="eastAsia" w:ascii="宋体" w:hAnsi="宋体"/>
          <w:color w:val="auto"/>
          <w:szCs w:val="21"/>
          <w:highlight w:val="none"/>
        </w:rPr>
        <w:t xml:space="preserve"> 编号：</w:t>
      </w:r>
    </w:p>
    <w:p w14:paraId="706557C9">
      <w:pPr>
        <w:spacing w:after="0" w:line="360" w:lineRule="auto"/>
        <w:ind w:firstLine="3360" w:firstLineChars="1600"/>
        <w:rPr>
          <w:rFonts w:ascii="宋体" w:hAnsi="宋体"/>
          <w:color w:val="auto"/>
          <w:szCs w:val="21"/>
          <w:highlight w:val="none"/>
        </w:rPr>
      </w:pPr>
    </w:p>
    <w:p w14:paraId="5C121481">
      <w:pPr>
        <w:spacing w:after="0" w:line="360" w:lineRule="auto"/>
        <w:rPr>
          <w:rFonts w:ascii="宋体" w:hAnsi="宋体"/>
          <w:color w:val="auto"/>
          <w:szCs w:val="21"/>
          <w:highlight w:val="none"/>
        </w:rPr>
      </w:pPr>
      <w:bookmarkStart w:id="392" w:name="_Toc221950290"/>
      <w:r>
        <w:rPr>
          <w:rFonts w:hint="eastAsia" w:ascii="宋体" w:hAnsi="宋体"/>
          <w:color w:val="auto"/>
          <w:szCs w:val="21"/>
          <w:highlight w:val="none"/>
          <w:u w:val="single"/>
        </w:rPr>
        <w:t xml:space="preserve">     （招标人名称）</w:t>
      </w:r>
      <w:bookmarkEnd w:id="392"/>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51FCDF25">
      <w:pPr>
        <w:spacing w:after="0" w:line="360" w:lineRule="auto"/>
        <w:ind w:firstLine="525" w:firstLineChars="250"/>
        <w:rPr>
          <w:rFonts w:ascii="宋体" w:hAnsi="宋体"/>
          <w:color w:val="auto"/>
          <w:szCs w:val="21"/>
          <w:highlight w:val="none"/>
        </w:rPr>
      </w:pPr>
      <w:bookmarkStart w:id="393" w:name="_Toc221950291"/>
      <w:r>
        <w:rPr>
          <w:rFonts w:hint="eastAsia" w:ascii="宋体" w:hAnsi="宋体"/>
          <w:color w:val="auto"/>
          <w:szCs w:val="21"/>
          <w:highlight w:val="none"/>
        </w:rPr>
        <w:t>你方</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日发送的</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招标文件问题</w:t>
      </w:r>
      <w:r>
        <w:rPr>
          <w:rFonts w:hint="eastAsia" w:ascii="宋体" w:hAnsi="宋体"/>
          <w:color w:val="auto"/>
          <w:szCs w:val="21"/>
          <w:highlight w:val="none"/>
          <w:u w:val="single"/>
        </w:rPr>
        <w:t xml:space="preserve">        </w:t>
      </w:r>
      <w:r>
        <w:rPr>
          <w:rFonts w:hint="eastAsia" w:ascii="宋体" w:hAnsi="宋体"/>
          <w:color w:val="auto"/>
          <w:szCs w:val="21"/>
          <w:highlight w:val="none"/>
        </w:rPr>
        <w:t>（澄清通知/修改通知），我方已于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日收到，通知的主要内容如下：</w:t>
      </w:r>
      <w:bookmarkEnd w:id="393"/>
    </w:p>
    <w:p w14:paraId="45436263">
      <w:pPr>
        <w:spacing w:after="0" w:line="360" w:lineRule="auto"/>
        <w:ind w:firstLine="525" w:firstLineChars="250"/>
        <w:rPr>
          <w:rFonts w:ascii="宋体" w:hAnsi="宋体"/>
          <w:color w:val="auto"/>
          <w:szCs w:val="21"/>
          <w:highlight w:val="none"/>
        </w:rPr>
      </w:pPr>
      <w:r>
        <w:rPr>
          <w:rFonts w:hint="eastAsia" w:ascii="宋体" w:hAnsi="宋体"/>
          <w:color w:val="auto"/>
          <w:szCs w:val="21"/>
          <w:highlight w:val="none"/>
          <w:u w:val="single"/>
        </w:rPr>
        <w:t xml:space="preserve">          </w:t>
      </w:r>
      <w:bookmarkStart w:id="394" w:name="_Toc221950292"/>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rPr>
        <w:t>（文件名称及编号）</w:t>
      </w:r>
      <w:r>
        <w:rPr>
          <w:rFonts w:hint="eastAsia" w:ascii="宋体" w:hAnsi="宋体"/>
          <w:color w:val="auto"/>
          <w:szCs w:val="21"/>
          <w:highlight w:val="none"/>
          <w:lang w:eastAsia="zh-CN"/>
        </w:rPr>
        <w:t>，</w:t>
      </w:r>
      <w:r>
        <w:rPr>
          <w:rFonts w:hint="eastAsia" w:ascii="宋体" w:hAnsi="宋体"/>
          <w:color w:val="auto"/>
          <w:szCs w:val="21"/>
          <w:highlight w:val="none"/>
        </w:rPr>
        <w:t xml:space="preserve">共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(页码总数</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(条款总数</w:t>
      </w:r>
      <w:r>
        <w:rPr>
          <w:rFonts w:hint="eastAsia" w:ascii="宋体" w:hAnsi="宋体"/>
          <w:color w:val="auto"/>
          <w:szCs w:val="21"/>
          <w:highlight w:val="none"/>
          <w:lang w:eastAsia="zh-CN"/>
        </w:rPr>
        <w:t>）</w:t>
      </w:r>
      <w:r>
        <w:rPr>
          <w:rFonts w:hint="eastAsia" w:ascii="宋体" w:hAnsi="宋体"/>
          <w:color w:val="auto"/>
          <w:szCs w:val="21"/>
          <w:highlight w:val="none"/>
        </w:rPr>
        <w:t>；</w:t>
      </w:r>
      <w:bookmarkEnd w:id="394"/>
    </w:p>
    <w:p w14:paraId="6411E5BC">
      <w:pPr>
        <w:spacing w:after="0" w:line="360" w:lineRule="auto"/>
        <w:ind w:firstLine="525" w:firstLineChars="250"/>
        <w:rPr>
          <w:rFonts w:ascii="宋体" w:hAnsi="宋体"/>
          <w:color w:val="auto"/>
          <w:szCs w:val="21"/>
          <w:highlight w:val="none"/>
        </w:rPr>
      </w:pPr>
      <w:bookmarkStart w:id="395" w:name="_Toc221950294"/>
      <w:r>
        <w:rPr>
          <w:rFonts w:hint="eastAsia" w:ascii="宋体" w:hAnsi="宋体"/>
          <w:color w:val="auto"/>
          <w:szCs w:val="21"/>
          <w:highlight w:val="none"/>
          <w:lang w:eastAsia="zh-CN"/>
        </w:rPr>
        <w:t>…</w:t>
      </w:r>
    </w:p>
    <w:p w14:paraId="783AB463">
      <w:pPr>
        <w:spacing w:after="0" w:line="360" w:lineRule="auto"/>
        <w:ind w:firstLine="525" w:firstLineChars="250"/>
        <w:rPr>
          <w:rFonts w:ascii="宋体" w:hAnsi="宋体"/>
          <w:color w:val="auto"/>
          <w:szCs w:val="21"/>
          <w:highlight w:val="none"/>
        </w:rPr>
      </w:pPr>
      <w:r>
        <w:rPr>
          <w:rFonts w:hint="eastAsia" w:ascii="宋体" w:hAnsi="宋体"/>
          <w:color w:val="auto"/>
          <w:szCs w:val="21"/>
          <w:highlight w:val="none"/>
        </w:rPr>
        <w:t>特此确认。</w:t>
      </w:r>
      <w:bookmarkEnd w:id="395"/>
    </w:p>
    <w:p w14:paraId="7E358DB0">
      <w:pPr>
        <w:spacing w:after="0" w:line="360" w:lineRule="auto"/>
        <w:rPr>
          <w:rFonts w:ascii="宋体" w:hAnsi="宋体"/>
          <w:color w:val="auto"/>
          <w:szCs w:val="21"/>
          <w:highlight w:val="none"/>
        </w:rPr>
      </w:pPr>
    </w:p>
    <w:p w14:paraId="006E24B2">
      <w:pPr>
        <w:spacing w:after="0" w:line="360" w:lineRule="auto"/>
        <w:rPr>
          <w:rFonts w:ascii="宋体" w:hAnsi="宋体"/>
          <w:color w:val="auto"/>
          <w:szCs w:val="21"/>
          <w:highlight w:val="none"/>
        </w:rPr>
      </w:pPr>
    </w:p>
    <w:p w14:paraId="0A0DCCE7">
      <w:pPr>
        <w:spacing w:after="0" w:line="360" w:lineRule="auto"/>
        <w:rPr>
          <w:rFonts w:ascii="宋体" w:hAnsi="宋体"/>
          <w:color w:val="auto"/>
          <w:szCs w:val="21"/>
          <w:highlight w:val="none"/>
        </w:rPr>
      </w:pPr>
    </w:p>
    <w:p w14:paraId="6FFC2E34">
      <w:pPr>
        <w:spacing w:after="0" w:line="360" w:lineRule="auto"/>
        <w:rPr>
          <w:rFonts w:ascii="宋体" w:hAnsi="宋体"/>
          <w:color w:val="auto"/>
          <w:szCs w:val="21"/>
          <w:highlight w:val="none"/>
          <w:u w:val="single"/>
        </w:rPr>
      </w:pPr>
      <w:bookmarkStart w:id="396" w:name="_Toc221950295"/>
      <w:r>
        <w:rPr>
          <w:rFonts w:hint="eastAsia" w:ascii="宋体" w:hAnsi="宋体"/>
          <w:color w:val="auto"/>
          <w:szCs w:val="21"/>
          <w:highlight w:val="none"/>
        </w:rPr>
        <w:t>投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96"/>
    </w:p>
    <w:p w14:paraId="4C7A7A3C">
      <w:pPr>
        <w:spacing w:after="0" w:line="360" w:lineRule="auto"/>
        <w:rPr>
          <w:rFonts w:ascii="宋体" w:hAnsi="宋体"/>
          <w:color w:val="auto"/>
          <w:szCs w:val="21"/>
          <w:highlight w:val="none"/>
        </w:rPr>
      </w:pPr>
    </w:p>
    <w:p w14:paraId="631310D6">
      <w:pPr>
        <w:spacing w:after="0" w:line="360" w:lineRule="auto"/>
        <w:rPr>
          <w:rFonts w:ascii="宋体" w:hAnsi="宋体"/>
          <w:color w:val="auto"/>
          <w:szCs w:val="21"/>
          <w:highlight w:val="none"/>
        </w:rPr>
      </w:pPr>
      <w:bookmarkStart w:id="397" w:name="_Toc221950296"/>
      <w:r>
        <w:rPr>
          <w:rFonts w:hint="eastAsia" w:ascii="宋体" w:hAnsi="宋体"/>
          <w:color w:val="auto"/>
          <w:szCs w:val="21"/>
          <w:highlight w:val="none"/>
        </w:rPr>
        <w:t>年      月      日</w:t>
      </w:r>
      <w:bookmarkEnd w:id="397"/>
    </w:p>
    <w:p w14:paraId="00A37FF7">
      <w:pPr>
        <w:spacing w:after="0" w:line="360" w:lineRule="auto"/>
        <w:rPr>
          <w:rFonts w:ascii="宋体" w:hAnsi="宋体"/>
          <w:color w:val="auto"/>
          <w:szCs w:val="21"/>
          <w:highlight w:val="none"/>
        </w:rPr>
      </w:pPr>
    </w:p>
    <w:p w14:paraId="2DCF25F7">
      <w:pPr>
        <w:spacing w:after="0" w:line="360" w:lineRule="auto"/>
        <w:rPr>
          <w:rFonts w:ascii="宋体" w:hAnsi="宋体"/>
          <w:color w:val="auto"/>
          <w:sz w:val="20"/>
          <w:szCs w:val="20"/>
          <w:highlight w:val="none"/>
        </w:rPr>
      </w:pPr>
    </w:p>
    <w:p w14:paraId="4EDB2BC6">
      <w:pPr>
        <w:spacing w:after="0" w:line="360" w:lineRule="auto"/>
        <w:rPr>
          <w:rFonts w:ascii="宋体" w:hAnsi="宋体"/>
          <w:b/>
          <w:color w:val="auto"/>
          <w:szCs w:val="21"/>
          <w:highlight w:val="none"/>
        </w:rPr>
      </w:pPr>
      <w:bookmarkStart w:id="398" w:name="_Toc221950297"/>
      <w:r>
        <w:rPr>
          <w:rFonts w:hint="eastAsia" w:ascii="宋体" w:hAnsi="宋体"/>
          <w:b/>
          <w:color w:val="auto"/>
          <w:szCs w:val="21"/>
          <w:highlight w:val="none"/>
        </w:rPr>
        <w:t>注：</w:t>
      </w:r>
      <w:bookmarkEnd w:id="398"/>
      <w:r>
        <w:rPr>
          <w:rFonts w:hint="eastAsia" w:ascii="宋体" w:hAnsi="宋体"/>
          <w:b/>
          <w:color w:val="auto"/>
          <w:szCs w:val="21"/>
          <w:highlight w:val="none"/>
        </w:rPr>
        <w:t>收到招标文件澄清通知或修改通知后，投标人向招标人发出确认函时，适用于本格式。</w:t>
      </w:r>
    </w:p>
    <w:p w14:paraId="2FA99F15">
      <w:pPr>
        <w:spacing w:after="0" w:line="360" w:lineRule="auto"/>
        <w:ind w:firstLine="2309" w:firstLineChars="1150"/>
        <w:rPr>
          <w:rFonts w:ascii="宋体" w:hAnsi="宋体"/>
          <w:b/>
          <w:color w:val="auto"/>
          <w:sz w:val="20"/>
          <w:szCs w:val="20"/>
          <w:highlight w:val="none"/>
        </w:rPr>
      </w:pPr>
    </w:p>
    <w:bookmarkEnd w:id="343"/>
    <w:bookmarkEnd w:id="344"/>
    <w:bookmarkEnd w:id="345"/>
    <w:p w14:paraId="68FE21E6">
      <w:pPr>
        <w:widowControl/>
        <w:spacing w:after="0" w:line="240" w:lineRule="auto"/>
        <w:jc w:val="left"/>
        <w:rPr>
          <w:rFonts w:ascii="宋体" w:hAnsi="宋体"/>
          <w:color w:val="auto"/>
          <w:sz w:val="28"/>
          <w:szCs w:val="28"/>
          <w:highlight w:val="none"/>
        </w:rPr>
      </w:pPr>
      <w:bookmarkStart w:id="399" w:name="_Toc221950348"/>
      <w:bookmarkStart w:id="400" w:name="_Toc144974552"/>
      <w:bookmarkStart w:id="401" w:name="_Toc168475700"/>
      <w:bookmarkStart w:id="402" w:name="_Toc168476103"/>
      <w:r>
        <w:rPr>
          <w:rFonts w:ascii="宋体" w:hAnsi="宋体"/>
          <w:color w:val="auto"/>
          <w:sz w:val="28"/>
          <w:szCs w:val="28"/>
          <w:highlight w:val="none"/>
        </w:rPr>
        <w:br w:type="page"/>
      </w:r>
    </w:p>
    <w:p w14:paraId="33063950">
      <w:pPr>
        <w:spacing w:after="0" w:line="360" w:lineRule="auto"/>
        <w:rPr>
          <w:rFonts w:ascii="宋体" w:hAnsi="宋体"/>
          <w:color w:val="auto"/>
          <w:sz w:val="28"/>
          <w:szCs w:val="28"/>
          <w:highlight w:val="none"/>
        </w:rPr>
      </w:pPr>
      <w:bookmarkStart w:id="403" w:name="_Toc25857_WPSOffice_Level2"/>
      <w:r>
        <w:rPr>
          <w:rFonts w:hint="eastAsia" w:ascii="宋体" w:hAnsi="宋体"/>
          <w:color w:val="auto"/>
          <w:sz w:val="28"/>
          <w:szCs w:val="28"/>
          <w:highlight w:val="none"/>
        </w:rPr>
        <w:t>附表五：中标结果通知</w:t>
      </w:r>
      <w:bookmarkEnd w:id="399"/>
      <w:bookmarkEnd w:id="400"/>
      <w:bookmarkEnd w:id="401"/>
      <w:bookmarkEnd w:id="402"/>
      <w:bookmarkEnd w:id="403"/>
    </w:p>
    <w:p w14:paraId="361842BF">
      <w:pPr>
        <w:spacing w:after="0" w:line="360" w:lineRule="auto"/>
        <w:rPr>
          <w:rFonts w:ascii="宋体" w:hAnsi="宋体"/>
          <w:color w:val="auto"/>
          <w:sz w:val="20"/>
          <w:szCs w:val="20"/>
          <w:highlight w:val="none"/>
        </w:rPr>
      </w:pPr>
    </w:p>
    <w:p w14:paraId="24DEFEB6">
      <w:pPr>
        <w:widowControl/>
        <w:spacing w:after="0" w:line="240" w:lineRule="auto"/>
        <w:jc w:val="left"/>
        <w:rPr>
          <w:rFonts w:ascii="宋体" w:hAnsi="宋体"/>
          <w:b/>
          <w:color w:val="auto"/>
          <w:sz w:val="24"/>
          <w:highlight w:val="none"/>
        </w:rPr>
      </w:pPr>
      <w:bookmarkStart w:id="404" w:name="_Toc20301_WPSOffice_Level2"/>
      <w:bookmarkStart w:id="405" w:name="_Toc221950349"/>
      <w:r>
        <w:rPr>
          <w:rFonts w:hint="eastAsia" w:ascii="宋体" w:hAnsi="宋体"/>
          <w:b/>
          <w:color w:val="auto"/>
          <w:sz w:val="24"/>
          <w:highlight w:val="none"/>
        </w:rPr>
        <w:t>中标结果通知</w:t>
      </w:r>
      <w:bookmarkEnd w:id="404"/>
      <w:bookmarkEnd w:id="405"/>
    </w:p>
    <w:p w14:paraId="490CF3F3">
      <w:pPr>
        <w:spacing w:after="0" w:line="360" w:lineRule="auto"/>
        <w:rPr>
          <w:rFonts w:ascii="宋体" w:hAnsi="宋体"/>
          <w:color w:val="auto"/>
          <w:szCs w:val="21"/>
          <w:highlight w:val="none"/>
        </w:rPr>
      </w:pPr>
    </w:p>
    <w:p w14:paraId="57C0CC0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招标人将于开标后的三日内在</w:t>
      </w:r>
      <w:r>
        <w:rPr>
          <w:rFonts w:hint="eastAsia" w:ascii="宋体" w:hAnsi="宋体" w:eastAsia="宋体" w:cs="宋体"/>
          <w:color w:val="auto"/>
          <w:highlight w:val="none"/>
          <w:lang w:eastAsia="en-US"/>
        </w:rPr>
        <w:t>全国公共资源交易平台(云南省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eastAsia="en-US"/>
        </w:rPr>
        <w:t>云南省公共资源交易信息网选择“楚雄州”楚雄州公共资源交易电子服务系统</w:t>
      </w:r>
      <w:r>
        <w:rPr>
          <w:rFonts w:hint="eastAsia" w:ascii="宋体" w:hAnsi="宋体"/>
          <w:color w:val="auto"/>
          <w:szCs w:val="21"/>
          <w:highlight w:val="none"/>
        </w:rPr>
        <w:t>上进行评标结果公示，届时请各投标人自行查询。</w:t>
      </w:r>
    </w:p>
    <w:p w14:paraId="68CFE7FE">
      <w:pPr>
        <w:spacing w:after="0" w:line="360" w:lineRule="auto"/>
        <w:ind w:firstLine="420" w:firstLineChars="200"/>
        <w:rPr>
          <w:rFonts w:ascii="宋体" w:hAnsi="宋体"/>
          <w:color w:val="auto"/>
          <w:szCs w:val="21"/>
          <w:highlight w:val="none"/>
        </w:rPr>
      </w:pPr>
    </w:p>
    <w:p w14:paraId="1663CF5F">
      <w:pPr>
        <w:spacing w:after="0" w:line="360" w:lineRule="auto"/>
        <w:rPr>
          <w:rFonts w:ascii="宋体" w:hAnsi="宋体"/>
          <w:color w:val="auto"/>
          <w:szCs w:val="21"/>
          <w:highlight w:val="none"/>
        </w:rPr>
      </w:pPr>
    </w:p>
    <w:p w14:paraId="5CCB1238">
      <w:pPr>
        <w:spacing w:after="0" w:line="360" w:lineRule="auto"/>
        <w:rPr>
          <w:rFonts w:ascii="宋体" w:hAnsi="宋体"/>
          <w:color w:val="auto"/>
          <w:szCs w:val="21"/>
          <w:highlight w:val="none"/>
        </w:rPr>
      </w:pPr>
    </w:p>
    <w:p w14:paraId="24C94589">
      <w:pPr>
        <w:spacing w:after="0" w:line="360" w:lineRule="auto"/>
        <w:rPr>
          <w:rFonts w:ascii="宋体" w:hAnsi="宋体"/>
          <w:color w:val="auto"/>
          <w:szCs w:val="21"/>
          <w:highlight w:val="none"/>
        </w:rPr>
      </w:pPr>
    </w:p>
    <w:p w14:paraId="49757AD6">
      <w:pPr>
        <w:spacing w:after="0" w:line="360" w:lineRule="auto"/>
        <w:rPr>
          <w:rFonts w:ascii="宋体" w:hAnsi="宋体"/>
          <w:color w:val="auto"/>
          <w:szCs w:val="21"/>
          <w:highlight w:val="none"/>
        </w:rPr>
      </w:pPr>
    </w:p>
    <w:p w14:paraId="7C69E874">
      <w:pPr>
        <w:spacing w:after="0" w:line="360" w:lineRule="auto"/>
        <w:rPr>
          <w:rFonts w:ascii="宋体" w:hAnsi="宋体"/>
          <w:color w:val="auto"/>
          <w:sz w:val="20"/>
          <w:szCs w:val="20"/>
          <w:highlight w:val="none"/>
        </w:rPr>
      </w:pPr>
    </w:p>
    <w:p w14:paraId="5D8B664C">
      <w:pPr>
        <w:spacing w:after="0" w:line="360" w:lineRule="auto"/>
        <w:rPr>
          <w:rFonts w:ascii="宋体" w:hAnsi="宋体"/>
          <w:color w:val="auto"/>
          <w:sz w:val="20"/>
          <w:szCs w:val="20"/>
          <w:highlight w:val="none"/>
        </w:rPr>
      </w:pPr>
    </w:p>
    <w:p w14:paraId="26AC1C52">
      <w:pPr>
        <w:spacing w:after="0" w:line="360" w:lineRule="auto"/>
        <w:rPr>
          <w:rFonts w:ascii="宋体" w:hAnsi="宋体"/>
          <w:color w:val="auto"/>
          <w:sz w:val="20"/>
          <w:szCs w:val="20"/>
          <w:highlight w:val="none"/>
        </w:rPr>
      </w:pPr>
    </w:p>
    <w:p w14:paraId="11E6DB43">
      <w:pPr>
        <w:spacing w:after="0" w:line="360" w:lineRule="auto"/>
        <w:rPr>
          <w:rFonts w:ascii="宋体" w:hAnsi="宋体"/>
          <w:color w:val="auto"/>
          <w:sz w:val="20"/>
          <w:szCs w:val="20"/>
          <w:highlight w:val="none"/>
        </w:rPr>
      </w:pPr>
    </w:p>
    <w:p w14:paraId="00900E33">
      <w:pPr>
        <w:spacing w:after="0" w:line="360" w:lineRule="auto"/>
        <w:rPr>
          <w:rFonts w:ascii="宋体" w:hAnsi="宋体"/>
          <w:color w:val="auto"/>
          <w:sz w:val="20"/>
          <w:szCs w:val="20"/>
          <w:highlight w:val="none"/>
        </w:rPr>
      </w:pPr>
    </w:p>
    <w:p w14:paraId="7D5444B4">
      <w:pPr>
        <w:spacing w:after="0" w:line="360" w:lineRule="auto"/>
        <w:rPr>
          <w:rFonts w:ascii="宋体" w:hAnsi="宋体"/>
          <w:color w:val="auto"/>
          <w:sz w:val="20"/>
          <w:szCs w:val="20"/>
          <w:highlight w:val="none"/>
        </w:rPr>
      </w:pPr>
    </w:p>
    <w:p w14:paraId="0F5E3E92">
      <w:pPr>
        <w:spacing w:after="0" w:line="360" w:lineRule="auto"/>
        <w:rPr>
          <w:rFonts w:ascii="宋体" w:hAnsi="宋体"/>
          <w:color w:val="auto"/>
          <w:sz w:val="20"/>
          <w:szCs w:val="20"/>
          <w:highlight w:val="none"/>
        </w:rPr>
      </w:pPr>
    </w:p>
    <w:p w14:paraId="05EA7858">
      <w:pPr>
        <w:spacing w:after="0" w:line="360" w:lineRule="auto"/>
        <w:rPr>
          <w:rFonts w:ascii="宋体" w:hAnsi="宋体"/>
          <w:color w:val="auto"/>
          <w:sz w:val="20"/>
          <w:szCs w:val="20"/>
          <w:highlight w:val="none"/>
        </w:rPr>
      </w:pPr>
    </w:p>
    <w:p w14:paraId="35501394">
      <w:pPr>
        <w:spacing w:after="0" w:line="360" w:lineRule="auto"/>
        <w:rPr>
          <w:rFonts w:ascii="宋体" w:hAnsi="宋体"/>
          <w:color w:val="auto"/>
          <w:sz w:val="20"/>
          <w:szCs w:val="20"/>
          <w:highlight w:val="none"/>
        </w:rPr>
      </w:pPr>
    </w:p>
    <w:p w14:paraId="614C27C4">
      <w:pPr>
        <w:spacing w:after="0" w:line="360" w:lineRule="auto"/>
        <w:rPr>
          <w:rFonts w:ascii="宋体" w:hAnsi="宋体"/>
          <w:color w:val="auto"/>
          <w:sz w:val="20"/>
          <w:szCs w:val="20"/>
          <w:highlight w:val="none"/>
        </w:rPr>
      </w:pPr>
    </w:p>
    <w:p w14:paraId="4A94523C">
      <w:pPr>
        <w:widowControl/>
        <w:spacing w:after="0" w:line="240" w:lineRule="auto"/>
        <w:jc w:val="left"/>
        <w:rPr>
          <w:rFonts w:ascii="宋体" w:hAnsi="宋体"/>
          <w:b/>
          <w:bCs/>
          <w:color w:val="auto"/>
          <w:kern w:val="0"/>
          <w:sz w:val="44"/>
          <w:szCs w:val="44"/>
          <w:highlight w:val="none"/>
          <w:lang w:val="zh-CN"/>
        </w:rPr>
      </w:pPr>
      <w:bookmarkStart w:id="406" w:name="_Toc144974565"/>
      <w:bookmarkStart w:id="407" w:name="_Toc168475713"/>
      <w:bookmarkStart w:id="408" w:name="_Toc222032664"/>
      <w:bookmarkStart w:id="409" w:name="_Toc229305355"/>
      <w:bookmarkStart w:id="410" w:name="_Toc221950443"/>
      <w:bookmarkStart w:id="411" w:name="_Toc222030997"/>
      <w:bookmarkStart w:id="412" w:name="_Toc168476116"/>
      <w:bookmarkStart w:id="413" w:name="_Toc222029495"/>
      <w:bookmarkStart w:id="414" w:name="_Toc274933653"/>
      <w:bookmarkStart w:id="415" w:name="_Toc387229541"/>
      <w:bookmarkStart w:id="416" w:name="_Toc222033846"/>
      <w:r>
        <w:rPr>
          <w:rFonts w:ascii="宋体" w:hAnsi="宋体"/>
          <w:color w:val="auto"/>
          <w:sz w:val="44"/>
          <w:szCs w:val="44"/>
          <w:highlight w:val="none"/>
        </w:rPr>
        <w:br w:type="page"/>
      </w:r>
    </w:p>
    <w:p w14:paraId="53351370">
      <w:pPr>
        <w:pStyle w:val="5"/>
        <w:spacing w:before="0" w:after="0" w:line="360" w:lineRule="auto"/>
        <w:jc w:val="center"/>
        <w:outlineLvl w:val="0"/>
        <w:rPr>
          <w:rFonts w:ascii="宋体" w:hAnsi="宋体" w:eastAsia="宋体"/>
          <w:color w:val="auto"/>
          <w:sz w:val="44"/>
          <w:szCs w:val="44"/>
          <w:highlight w:val="none"/>
        </w:rPr>
      </w:pPr>
      <w:bookmarkStart w:id="417" w:name="_Toc18670"/>
      <w:bookmarkStart w:id="418" w:name="_Toc5602"/>
      <w:bookmarkStart w:id="419" w:name="_Toc95257493"/>
      <w:bookmarkStart w:id="420" w:name="_Toc14376"/>
      <w:r>
        <w:rPr>
          <w:rFonts w:hint="eastAsia" w:ascii="宋体" w:hAnsi="宋体" w:eastAsia="宋体"/>
          <w:color w:val="auto"/>
          <w:sz w:val="44"/>
          <w:szCs w:val="44"/>
          <w:highlight w:val="none"/>
        </w:rPr>
        <w:t>第三章 评标办法（综合评估法）</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3901BD13">
      <w:pPr>
        <w:pStyle w:val="5"/>
        <w:spacing w:before="0" w:after="0" w:line="240" w:lineRule="auto"/>
        <w:jc w:val="center"/>
        <w:rPr>
          <w:rFonts w:ascii="宋体" w:hAnsi="宋体" w:eastAsia="宋体"/>
          <w:color w:val="000000" w:themeColor="text1"/>
          <w:sz w:val="28"/>
          <w:szCs w:val="28"/>
          <w14:textFill>
            <w14:solidFill>
              <w14:schemeClr w14:val="tx1"/>
            </w14:solidFill>
          </w14:textFill>
        </w:rPr>
      </w:pPr>
      <w:bookmarkStart w:id="421" w:name="_Toc144747489"/>
      <w:bookmarkStart w:id="422" w:name="_Toc387229542"/>
      <w:bookmarkStart w:id="423" w:name="_Toc274933654"/>
      <w:bookmarkStart w:id="424" w:name="_Toc269048162"/>
      <w:bookmarkStart w:id="425" w:name="_Toc3108"/>
      <w:bookmarkStart w:id="426" w:name="_Toc222030999"/>
      <w:bookmarkStart w:id="427" w:name="_Toc229305357"/>
      <w:bookmarkStart w:id="428" w:name="_Toc168476118"/>
      <w:bookmarkStart w:id="429" w:name="_Toc168475715"/>
      <w:bookmarkStart w:id="430" w:name="_Toc221950468"/>
      <w:bookmarkStart w:id="431" w:name="_Toc222029497"/>
      <w:bookmarkStart w:id="432" w:name="_Toc222032666"/>
      <w:bookmarkStart w:id="433" w:name="_Toc144974567"/>
      <w:bookmarkStart w:id="434" w:name="_Toc222033848"/>
      <w:bookmarkStart w:id="435" w:name="_Toc373"/>
      <w:bookmarkStart w:id="436" w:name="_Toc144974577"/>
      <w:bookmarkStart w:id="437" w:name="_Toc222029500"/>
      <w:bookmarkStart w:id="438" w:name="_Toc168475724"/>
      <w:bookmarkStart w:id="439" w:name="_Toc229305360"/>
      <w:bookmarkStart w:id="440" w:name="_Toc222031002"/>
      <w:bookmarkStart w:id="441" w:name="_Toc168476127"/>
      <w:bookmarkStart w:id="442" w:name="_Toc222032669"/>
      <w:bookmarkStart w:id="443" w:name="_Toc222033851"/>
      <w:bookmarkStart w:id="444" w:name="_Toc221950660"/>
      <w:r>
        <w:rPr>
          <w:rFonts w:hint="eastAsia" w:ascii="宋体" w:hAnsi="宋体" w:eastAsia="宋体"/>
          <w:color w:val="000000" w:themeColor="text1"/>
          <w:sz w:val="28"/>
          <w:szCs w:val="28"/>
          <w14:textFill>
            <w14:solidFill>
              <w14:schemeClr w14:val="tx1"/>
            </w14:solidFill>
          </w14:textFill>
        </w:rPr>
        <w:t>评标办法前附表</w:t>
      </w:r>
      <w:bookmarkEnd w:id="421"/>
      <w:bookmarkEnd w:id="422"/>
      <w:bookmarkEnd w:id="423"/>
      <w:bookmarkEnd w:id="424"/>
      <w:bookmarkEnd w:id="425"/>
    </w:p>
    <w:tbl>
      <w:tblPr>
        <w:tblStyle w:val="58"/>
        <w:tblW w:w="1005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1"/>
        <w:gridCol w:w="742"/>
        <w:gridCol w:w="637"/>
        <w:gridCol w:w="2226"/>
        <w:gridCol w:w="5918"/>
      </w:tblGrid>
      <w:tr w14:paraId="5A2B98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10" w:type="dxa"/>
            <w:gridSpan w:val="3"/>
            <w:vAlign w:val="center"/>
          </w:tcPr>
          <w:p w14:paraId="12BF5C7E">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2226" w:type="dxa"/>
            <w:vAlign w:val="center"/>
          </w:tcPr>
          <w:p w14:paraId="524C1867">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评审因素</w:t>
            </w:r>
          </w:p>
        </w:tc>
        <w:tc>
          <w:tcPr>
            <w:tcW w:w="5918" w:type="dxa"/>
            <w:vAlign w:val="center"/>
          </w:tcPr>
          <w:p w14:paraId="4C50FDF6">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评审标准</w:t>
            </w:r>
          </w:p>
        </w:tc>
      </w:tr>
      <w:tr w14:paraId="6846ED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1" w:type="dxa"/>
            <w:vMerge w:val="restart"/>
            <w:vAlign w:val="center"/>
          </w:tcPr>
          <w:p w14:paraId="55801081">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w:t>
            </w:r>
          </w:p>
        </w:tc>
        <w:tc>
          <w:tcPr>
            <w:tcW w:w="742" w:type="dxa"/>
            <w:vMerge w:val="restart"/>
            <w:vAlign w:val="center"/>
          </w:tcPr>
          <w:p w14:paraId="2D0608F8">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2.1.1</w:t>
            </w:r>
          </w:p>
        </w:tc>
        <w:tc>
          <w:tcPr>
            <w:tcW w:w="637" w:type="dxa"/>
            <w:vMerge w:val="restart"/>
            <w:vAlign w:val="center"/>
          </w:tcPr>
          <w:p w14:paraId="5B92DF58">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形式评审标准</w:t>
            </w:r>
          </w:p>
        </w:tc>
        <w:tc>
          <w:tcPr>
            <w:tcW w:w="2226" w:type="dxa"/>
            <w:vAlign w:val="center"/>
          </w:tcPr>
          <w:p w14:paraId="2C8F1739">
            <w:pPr>
              <w:spacing w:after="0" w:line="24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投标人名称</w:t>
            </w:r>
          </w:p>
        </w:tc>
        <w:tc>
          <w:tcPr>
            <w:tcW w:w="5918" w:type="dxa"/>
            <w:vAlign w:val="center"/>
          </w:tcPr>
          <w:p w14:paraId="087AC0E6">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与营业执照、资质证书一致</w:t>
            </w:r>
          </w:p>
        </w:tc>
      </w:tr>
      <w:tr w14:paraId="663840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1" w:type="dxa"/>
            <w:vMerge w:val="continue"/>
          </w:tcPr>
          <w:p w14:paraId="0406BFD5">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11F9FCFD">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3E6B28A3">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3002CDEE">
            <w:pPr>
              <w:spacing w:after="0" w:line="24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投标文件的签字盖章</w:t>
            </w:r>
          </w:p>
        </w:tc>
        <w:tc>
          <w:tcPr>
            <w:tcW w:w="5918" w:type="dxa"/>
            <w:vAlign w:val="center"/>
          </w:tcPr>
          <w:p w14:paraId="76A2FFB2">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w:t>
            </w:r>
            <w:r>
              <w:rPr>
                <w:rFonts w:ascii="宋体" w:hAnsi="宋体"/>
                <w:color w:val="000000" w:themeColor="text1"/>
                <w:szCs w:val="21"/>
                <w14:textFill>
                  <w14:solidFill>
                    <w14:schemeClr w14:val="tx1"/>
                  </w14:solidFill>
                </w14:textFill>
              </w:rPr>
              <w:t>第二章“</w:t>
            </w:r>
            <w:r>
              <w:rPr>
                <w:rFonts w:hint="eastAsia" w:ascii="宋体" w:hAnsi="宋体"/>
                <w:color w:val="000000" w:themeColor="text1"/>
                <w:szCs w:val="21"/>
                <w14:textFill>
                  <w14:solidFill>
                    <w14:schemeClr w14:val="tx1"/>
                  </w14:solidFill>
                </w14:textFill>
              </w:rPr>
              <w:t>投标</w:t>
            </w:r>
            <w:r>
              <w:rPr>
                <w:rFonts w:ascii="宋体" w:hAnsi="宋体"/>
                <w:color w:val="000000" w:themeColor="text1"/>
                <w:szCs w:val="21"/>
                <w14:textFill>
                  <w14:solidFill>
                    <w14:schemeClr w14:val="tx1"/>
                  </w14:solidFill>
                </w14:textFill>
              </w:rPr>
              <w:t>人须知”第</w:t>
            </w:r>
            <w:r>
              <w:rPr>
                <w:rFonts w:hint="eastAsia" w:ascii="宋体" w:hAnsi="宋体"/>
                <w:color w:val="000000" w:themeColor="text1"/>
                <w:szCs w:val="21"/>
                <w14:textFill>
                  <w14:solidFill>
                    <w14:schemeClr w14:val="tx1"/>
                  </w14:solidFill>
                </w14:textFill>
              </w:rPr>
              <w:t>3.7.3款</w:t>
            </w:r>
            <w:r>
              <w:rPr>
                <w:rFonts w:ascii="宋体" w:hAnsi="宋体"/>
                <w:color w:val="000000" w:themeColor="text1"/>
                <w:szCs w:val="21"/>
                <w14:textFill>
                  <w14:solidFill>
                    <w14:schemeClr w14:val="tx1"/>
                  </w14:solidFill>
                </w14:textFill>
              </w:rPr>
              <w:t>规定</w:t>
            </w:r>
          </w:p>
        </w:tc>
      </w:tr>
      <w:tr w14:paraId="4FBBDB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31" w:type="dxa"/>
            <w:vMerge w:val="continue"/>
          </w:tcPr>
          <w:p w14:paraId="170F83FC">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49471C55">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4816D526">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2EFBFEB4">
            <w:pPr>
              <w:spacing w:after="0" w:line="24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投标文件格式符合</w:t>
            </w:r>
          </w:p>
        </w:tc>
        <w:tc>
          <w:tcPr>
            <w:tcW w:w="5918" w:type="dxa"/>
            <w:vAlign w:val="center"/>
          </w:tcPr>
          <w:p w14:paraId="14670873">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w:t>
            </w:r>
            <w:r>
              <w:rPr>
                <w:rFonts w:ascii="宋体" w:hAnsi="宋体"/>
                <w:color w:val="000000" w:themeColor="text1"/>
                <w:szCs w:val="21"/>
                <w14:textFill>
                  <w14:solidFill>
                    <w14:schemeClr w14:val="tx1"/>
                  </w14:solidFill>
                </w14:textFill>
              </w:rPr>
              <w:t>第八章“投标文件格式”的要求</w:t>
            </w:r>
          </w:p>
        </w:tc>
      </w:tr>
      <w:tr w14:paraId="283D8F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31" w:type="dxa"/>
            <w:vMerge w:val="continue"/>
          </w:tcPr>
          <w:p w14:paraId="74D043B0">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74C1A454">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43CA3236">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3EF519A9">
            <w:pPr>
              <w:spacing w:after="0" w:line="24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投标函及投标函附录</w:t>
            </w:r>
          </w:p>
        </w:tc>
        <w:tc>
          <w:tcPr>
            <w:tcW w:w="5918" w:type="dxa"/>
            <w:vAlign w:val="center"/>
          </w:tcPr>
          <w:p w14:paraId="5BE62C47">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符合第二章“投标人须知”及招标文件规定</w:t>
            </w:r>
          </w:p>
        </w:tc>
      </w:tr>
      <w:tr w14:paraId="1FA0BC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31" w:type="dxa"/>
            <w:vMerge w:val="continue"/>
          </w:tcPr>
          <w:p w14:paraId="6A460965">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1BE344AE">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78CE8AA5">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26A9C811">
            <w:pPr>
              <w:spacing w:after="0" w:line="24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投标报价</w:t>
            </w:r>
          </w:p>
        </w:tc>
        <w:tc>
          <w:tcPr>
            <w:tcW w:w="5918" w:type="dxa"/>
            <w:vAlign w:val="center"/>
          </w:tcPr>
          <w:p w14:paraId="5A6CEBD9">
            <w:pPr>
              <w:spacing w:after="0" w:line="360" w:lineRule="auto"/>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只能有一个有效报价。投标报价应低于招标控制价</w:t>
            </w:r>
          </w:p>
        </w:tc>
      </w:tr>
      <w:tr w14:paraId="5E498A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531" w:type="dxa"/>
            <w:vMerge w:val="continue"/>
          </w:tcPr>
          <w:p w14:paraId="745CE3DF">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2A9EC538">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2800BBB4">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3F2DB15F">
            <w:pPr>
              <w:spacing w:after="0" w:line="24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w:t>
            </w:r>
            <w:r>
              <w:rPr>
                <w:rFonts w:hint="eastAsia" w:ascii="宋体" w:hAnsi="宋体"/>
                <w:bCs/>
                <w:color w:val="000000" w:themeColor="text1"/>
                <w:szCs w:val="21"/>
                <w14:textFill>
                  <w14:solidFill>
                    <w14:schemeClr w14:val="tx1"/>
                  </w14:solidFill>
                </w14:textFill>
              </w:rPr>
              <w:t>递交及有关内容</w:t>
            </w:r>
          </w:p>
        </w:tc>
        <w:tc>
          <w:tcPr>
            <w:tcW w:w="5918" w:type="dxa"/>
            <w:vAlign w:val="center"/>
          </w:tcPr>
          <w:p w14:paraId="56FA6034">
            <w:pPr>
              <w:spacing w:after="0" w:line="360" w:lineRule="auto"/>
              <w:ind w:right="249"/>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w:t>
            </w:r>
            <w:r>
              <w:rPr>
                <w:rFonts w:ascii="宋体" w:hAnsi="宋体"/>
                <w:color w:val="000000" w:themeColor="text1"/>
                <w:szCs w:val="21"/>
                <w14:textFill>
                  <w14:solidFill>
                    <w14:schemeClr w14:val="tx1"/>
                  </w14:solidFill>
                </w14:textFill>
              </w:rPr>
              <w:t>第二章“</w:t>
            </w:r>
            <w:r>
              <w:rPr>
                <w:rFonts w:hint="eastAsia" w:ascii="宋体" w:hAnsi="宋体"/>
                <w:color w:val="000000" w:themeColor="text1"/>
                <w:szCs w:val="21"/>
                <w14:textFill>
                  <w14:solidFill>
                    <w14:schemeClr w14:val="tx1"/>
                  </w14:solidFill>
                </w14:textFill>
              </w:rPr>
              <w:t>投标</w:t>
            </w:r>
            <w:r>
              <w:rPr>
                <w:rFonts w:ascii="宋体" w:hAnsi="宋体"/>
                <w:color w:val="000000" w:themeColor="text1"/>
                <w:szCs w:val="21"/>
                <w14:textFill>
                  <w14:solidFill>
                    <w14:schemeClr w14:val="tx1"/>
                  </w14:solidFill>
                </w14:textFill>
              </w:rPr>
              <w:t>人须知”第</w:t>
            </w:r>
            <w:r>
              <w:rPr>
                <w:rFonts w:hint="eastAsia" w:ascii="宋体" w:hAnsi="宋体"/>
                <w:color w:val="000000" w:themeColor="text1"/>
                <w:szCs w:val="21"/>
                <w14:textFill>
                  <w14:solidFill>
                    <w14:schemeClr w14:val="tx1"/>
                  </w14:solidFill>
                </w14:textFill>
              </w:rPr>
              <w:t>3.7.4款</w:t>
            </w:r>
            <w:r>
              <w:rPr>
                <w:rFonts w:ascii="宋体" w:hAnsi="宋体"/>
                <w:color w:val="000000" w:themeColor="text1"/>
                <w:szCs w:val="21"/>
                <w14:textFill>
                  <w14:solidFill>
                    <w14:schemeClr w14:val="tx1"/>
                  </w14:solidFill>
                </w14:textFill>
              </w:rPr>
              <w:t>规定</w:t>
            </w:r>
          </w:p>
        </w:tc>
      </w:tr>
      <w:tr w14:paraId="0790BB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465EA121">
            <w:pPr>
              <w:spacing w:after="0" w:line="360" w:lineRule="auto"/>
              <w:rPr>
                <w:rFonts w:ascii="宋体" w:hAnsi="宋体"/>
                <w:color w:val="000000" w:themeColor="text1"/>
                <w14:textFill>
                  <w14:solidFill>
                    <w14:schemeClr w14:val="tx1"/>
                  </w14:solidFill>
                </w14:textFill>
              </w:rPr>
            </w:pPr>
          </w:p>
        </w:tc>
        <w:tc>
          <w:tcPr>
            <w:tcW w:w="742" w:type="dxa"/>
            <w:vMerge w:val="restart"/>
            <w:vAlign w:val="center"/>
          </w:tcPr>
          <w:p w14:paraId="375853D8">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2.1.2</w:t>
            </w:r>
          </w:p>
        </w:tc>
        <w:tc>
          <w:tcPr>
            <w:tcW w:w="637" w:type="dxa"/>
            <w:vMerge w:val="restart"/>
            <w:vAlign w:val="center"/>
          </w:tcPr>
          <w:p w14:paraId="52954BAD">
            <w:pPr>
              <w:autoSpaceDE w:val="0"/>
              <w:autoSpaceDN w:val="0"/>
              <w:adjustRightInd w:val="0"/>
              <w:spacing w:after="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资格评审标准</w:t>
            </w:r>
          </w:p>
        </w:tc>
        <w:tc>
          <w:tcPr>
            <w:tcW w:w="2226" w:type="dxa"/>
            <w:vAlign w:val="center"/>
          </w:tcPr>
          <w:p w14:paraId="44850D41">
            <w:pPr>
              <w:autoSpaceDE w:val="0"/>
              <w:autoSpaceDN w:val="0"/>
              <w:adjustRightInd w:val="0"/>
              <w:spacing w:after="0" w:line="360" w:lineRule="auto"/>
              <w:jc w:val="center"/>
              <w:rPr>
                <w:rFonts w:ascii="宋体" w:hAnsi="宋体" w:cs="宋体"/>
                <w:color w:val="000000" w:themeColor="text1"/>
                <w:kern w:val="0"/>
                <w:szCs w:val="21"/>
                <w14:textFill>
                  <w14:solidFill>
                    <w14:schemeClr w14:val="tx1"/>
                  </w14:solidFill>
                </w14:textFill>
              </w:rPr>
            </w:pPr>
            <w:r>
              <w:rPr>
                <w:rFonts w:ascii="宋体" w:hAnsi="宋体" w:cs="宋体"/>
                <w:color w:val="000000" w:themeColor="text1"/>
                <w:kern w:val="0"/>
                <w:szCs w:val="21"/>
                <w14:textFill>
                  <w14:solidFill>
                    <w14:schemeClr w14:val="tx1"/>
                  </w14:solidFill>
                </w14:textFill>
              </w:rPr>
              <w:t>营业执照</w:t>
            </w:r>
          </w:p>
        </w:tc>
        <w:tc>
          <w:tcPr>
            <w:tcW w:w="5918" w:type="dxa"/>
            <w:vAlign w:val="center"/>
          </w:tcPr>
          <w:p w14:paraId="3F5A558C">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具备有效的营业执照</w:t>
            </w:r>
          </w:p>
        </w:tc>
      </w:tr>
      <w:tr w14:paraId="5DAA36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76BA47A0">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635ACDA4">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2D900AFC">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0A02296F">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资质等级</w:t>
            </w:r>
          </w:p>
        </w:tc>
        <w:tc>
          <w:tcPr>
            <w:tcW w:w="5918" w:type="dxa"/>
            <w:vAlign w:val="center"/>
          </w:tcPr>
          <w:p w14:paraId="0FFC5088">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430826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65FF051F">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03746469">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233CC412">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6D3ABBA8">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财务状况</w:t>
            </w:r>
          </w:p>
        </w:tc>
        <w:tc>
          <w:tcPr>
            <w:tcW w:w="5918" w:type="dxa"/>
            <w:vAlign w:val="center"/>
          </w:tcPr>
          <w:p w14:paraId="013E0310">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456183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2ACCE898">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1203DA00">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38CEF01E">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75DE78A0">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信誉</w:t>
            </w:r>
          </w:p>
        </w:tc>
        <w:tc>
          <w:tcPr>
            <w:tcW w:w="5918" w:type="dxa"/>
            <w:vAlign w:val="center"/>
          </w:tcPr>
          <w:p w14:paraId="72C68822">
            <w:pPr>
              <w:autoSpaceDE w:val="0"/>
              <w:autoSpaceDN w:val="0"/>
              <w:adjustRightInd w:val="0"/>
              <w:spacing w:after="0" w:line="360" w:lineRule="auto"/>
              <w:jc w:val="left"/>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7AD289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490C13A4">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6F5A656C">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79F1E12F">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4F58B924">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项目经理资格</w:t>
            </w:r>
          </w:p>
        </w:tc>
        <w:tc>
          <w:tcPr>
            <w:tcW w:w="5918" w:type="dxa"/>
            <w:vAlign w:val="center"/>
          </w:tcPr>
          <w:p w14:paraId="19C377AB">
            <w:pPr>
              <w:autoSpaceDE w:val="0"/>
              <w:autoSpaceDN w:val="0"/>
              <w:adjustRightInd w:val="0"/>
              <w:spacing w:after="0" w:line="360" w:lineRule="auto"/>
              <w:jc w:val="left"/>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133B22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79F4BDEA">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3D26C167">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12D66EF4">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476B34A5">
            <w:pPr>
              <w:autoSpaceDE w:val="0"/>
              <w:autoSpaceDN w:val="0"/>
              <w:adjustRightInd w:val="0"/>
              <w:spacing w:after="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技术负责人资格</w:t>
            </w:r>
          </w:p>
        </w:tc>
        <w:tc>
          <w:tcPr>
            <w:tcW w:w="5918" w:type="dxa"/>
            <w:vAlign w:val="center"/>
          </w:tcPr>
          <w:p w14:paraId="76CF8C02">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符合第二章“投标人须知”第1.4.1 款规定</w:t>
            </w:r>
          </w:p>
        </w:tc>
      </w:tr>
      <w:tr w14:paraId="46A535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5EA3EF62">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61565438">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49DC4ED6">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shd w:val="clear" w:color="auto" w:fill="auto"/>
            <w:vAlign w:val="center"/>
          </w:tcPr>
          <w:p w14:paraId="1D3EFE20">
            <w:pPr>
              <w:autoSpaceDE w:val="0"/>
              <w:autoSpaceDN w:val="0"/>
              <w:adjustRightInd w:val="0"/>
              <w:spacing w:after="0" w:line="360" w:lineRule="auto"/>
              <w:jc w:val="center"/>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kern w:val="0"/>
                <w:szCs w:val="21"/>
                <w14:textFill>
                  <w14:solidFill>
                    <w14:schemeClr w14:val="tx1"/>
                  </w14:solidFill>
                </w14:textFill>
              </w:rPr>
              <w:t>业绩要求</w:t>
            </w:r>
          </w:p>
        </w:tc>
        <w:tc>
          <w:tcPr>
            <w:tcW w:w="5918" w:type="dxa"/>
            <w:shd w:val="clear" w:color="auto" w:fill="auto"/>
            <w:vAlign w:val="center"/>
          </w:tcPr>
          <w:p w14:paraId="0DF64B90">
            <w:pPr>
              <w:autoSpaceDE w:val="0"/>
              <w:autoSpaceDN w:val="0"/>
              <w:adjustRightInd w:val="0"/>
              <w:spacing w:after="0" w:line="360" w:lineRule="auto"/>
              <w:jc w:val="left"/>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35741A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136464F7">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52236941">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3389B69C">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452F49E6">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其他要求</w:t>
            </w:r>
          </w:p>
        </w:tc>
        <w:tc>
          <w:tcPr>
            <w:tcW w:w="5918" w:type="dxa"/>
            <w:vAlign w:val="center"/>
          </w:tcPr>
          <w:p w14:paraId="4232E47B">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规定及附录1 规定</w:t>
            </w:r>
          </w:p>
        </w:tc>
      </w:tr>
      <w:tr w14:paraId="774DAB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531" w:type="dxa"/>
            <w:vMerge w:val="continue"/>
          </w:tcPr>
          <w:p w14:paraId="4218369F">
            <w:pPr>
              <w:spacing w:after="0" w:line="360" w:lineRule="auto"/>
              <w:rPr>
                <w:rFonts w:ascii="宋体" w:hAnsi="宋体"/>
                <w:color w:val="000000" w:themeColor="text1"/>
                <w14:textFill>
                  <w14:solidFill>
                    <w14:schemeClr w14:val="tx1"/>
                  </w14:solidFill>
                </w14:textFill>
              </w:rPr>
            </w:pPr>
          </w:p>
        </w:tc>
        <w:tc>
          <w:tcPr>
            <w:tcW w:w="742" w:type="dxa"/>
            <w:vMerge w:val="restart"/>
            <w:vAlign w:val="center"/>
          </w:tcPr>
          <w:p w14:paraId="35F439B2">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2.1.3</w:t>
            </w:r>
          </w:p>
        </w:tc>
        <w:tc>
          <w:tcPr>
            <w:tcW w:w="637" w:type="dxa"/>
            <w:vMerge w:val="restart"/>
            <w:vAlign w:val="center"/>
          </w:tcPr>
          <w:p w14:paraId="75562386">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响应性评审标准</w:t>
            </w:r>
          </w:p>
        </w:tc>
        <w:tc>
          <w:tcPr>
            <w:tcW w:w="2226" w:type="dxa"/>
            <w:vAlign w:val="center"/>
          </w:tcPr>
          <w:p w14:paraId="049DBEEC">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w:t>
            </w:r>
            <w:r>
              <w:rPr>
                <w:rFonts w:ascii="宋体" w:hAnsi="宋体"/>
                <w:color w:val="000000" w:themeColor="text1"/>
                <w:szCs w:val="21"/>
                <w14:textFill>
                  <w14:solidFill>
                    <w14:schemeClr w14:val="tx1"/>
                  </w14:solidFill>
                </w14:textFill>
              </w:rPr>
              <w:t>标</w:t>
            </w:r>
            <w:r>
              <w:rPr>
                <w:rFonts w:hint="eastAsia" w:ascii="宋体" w:hAnsi="宋体"/>
                <w:color w:val="000000" w:themeColor="text1"/>
                <w:szCs w:val="21"/>
                <w14:textFill>
                  <w14:solidFill>
                    <w14:schemeClr w14:val="tx1"/>
                  </w14:solidFill>
                </w14:textFill>
              </w:rPr>
              <w:t>范围</w:t>
            </w:r>
          </w:p>
        </w:tc>
        <w:tc>
          <w:tcPr>
            <w:tcW w:w="5918" w:type="dxa"/>
            <w:vAlign w:val="center"/>
          </w:tcPr>
          <w:p w14:paraId="32B2254C">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符合第二章“投标人须知”第1.3.1项规定</w:t>
            </w:r>
          </w:p>
        </w:tc>
      </w:tr>
      <w:tr w14:paraId="6225E3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531" w:type="dxa"/>
            <w:vMerge w:val="continue"/>
          </w:tcPr>
          <w:p w14:paraId="79CB67B7">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0B56C5DA">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1AF1051A">
            <w:pPr>
              <w:spacing w:after="0" w:line="360" w:lineRule="auto"/>
              <w:rPr>
                <w:rFonts w:ascii="宋体" w:hAnsi="宋体"/>
                <w:color w:val="000000" w:themeColor="text1"/>
                <w:szCs w:val="21"/>
                <w14:textFill>
                  <w14:solidFill>
                    <w14:schemeClr w14:val="tx1"/>
                  </w14:solidFill>
                </w14:textFill>
              </w:rPr>
            </w:pPr>
          </w:p>
        </w:tc>
        <w:tc>
          <w:tcPr>
            <w:tcW w:w="2226" w:type="dxa"/>
            <w:vAlign w:val="center"/>
          </w:tcPr>
          <w:p w14:paraId="2B5D862C">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计划</w:t>
            </w:r>
            <w:r>
              <w:rPr>
                <w:rFonts w:ascii="宋体" w:hAnsi="宋体"/>
                <w:color w:val="000000" w:themeColor="text1"/>
                <w:szCs w:val="21"/>
                <w14:textFill>
                  <w14:solidFill>
                    <w14:schemeClr w14:val="tx1"/>
                  </w14:solidFill>
                </w14:textFill>
              </w:rPr>
              <w:t>工期</w:t>
            </w:r>
          </w:p>
        </w:tc>
        <w:tc>
          <w:tcPr>
            <w:tcW w:w="5918" w:type="dxa"/>
            <w:vAlign w:val="center"/>
          </w:tcPr>
          <w:p w14:paraId="3DF103A7">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符合第二章“投标人须知”第1.3.2项规定</w:t>
            </w:r>
          </w:p>
        </w:tc>
      </w:tr>
      <w:tr w14:paraId="4D03EB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531" w:type="dxa"/>
            <w:vMerge w:val="continue"/>
          </w:tcPr>
          <w:p w14:paraId="62A6C9A7">
            <w:pPr>
              <w:spacing w:after="0" w:line="360" w:lineRule="auto"/>
              <w:rPr>
                <w:rFonts w:ascii="宋体" w:hAnsi="宋体"/>
                <w:color w:val="000000" w:themeColor="text1"/>
                <w14:textFill>
                  <w14:solidFill>
                    <w14:schemeClr w14:val="tx1"/>
                  </w14:solidFill>
                </w14:textFill>
              </w:rPr>
            </w:pPr>
          </w:p>
        </w:tc>
        <w:tc>
          <w:tcPr>
            <w:tcW w:w="742" w:type="dxa"/>
            <w:vMerge w:val="continue"/>
          </w:tcPr>
          <w:p w14:paraId="3392E67B">
            <w:pPr>
              <w:spacing w:after="0" w:line="360" w:lineRule="auto"/>
              <w:rPr>
                <w:rFonts w:ascii="宋体" w:hAnsi="宋体"/>
                <w:color w:val="000000" w:themeColor="text1"/>
                <w14:textFill>
                  <w14:solidFill>
                    <w14:schemeClr w14:val="tx1"/>
                  </w14:solidFill>
                </w14:textFill>
              </w:rPr>
            </w:pPr>
          </w:p>
        </w:tc>
        <w:tc>
          <w:tcPr>
            <w:tcW w:w="637" w:type="dxa"/>
            <w:vMerge w:val="continue"/>
          </w:tcPr>
          <w:p w14:paraId="25A0DC38">
            <w:pPr>
              <w:spacing w:after="0" w:line="360" w:lineRule="auto"/>
              <w:rPr>
                <w:rFonts w:ascii="宋体" w:hAnsi="宋体"/>
                <w:color w:val="000000" w:themeColor="text1"/>
                <w14:textFill>
                  <w14:solidFill>
                    <w14:schemeClr w14:val="tx1"/>
                  </w14:solidFill>
                </w14:textFill>
              </w:rPr>
            </w:pPr>
          </w:p>
        </w:tc>
        <w:tc>
          <w:tcPr>
            <w:tcW w:w="2226" w:type="dxa"/>
            <w:vAlign w:val="center"/>
          </w:tcPr>
          <w:p w14:paraId="272D1A86">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质量要求</w:t>
            </w:r>
          </w:p>
        </w:tc>
        <w:tc>
          <w:tcPr>
            <w:tcW w:w="5918" w:type="dxa"/>
            <w:vAlign w:val="center"/>
          </w:tcPr>
          <w:p w14:paraId="085F59C7">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符合第二章“投标人须知”第1.3.3项规定</w:t>
            </w:r>
          </w:p>
        </w:tc>
      </w:tr>
      <w:tr w14:paraId="248958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31" w:type="dxa"/>
            <w:vMerge w:val="continue"/>
          </w:tcPr>
          <w:p w14:paraId="2A734C24">
            <w:pPr>
              <w:spacing w:after="0" w:line="360" w:lineRule="auto"/>
              <w:rPr>
                <w:rFonts w:ascii="宋体" w:hAnsi="宋体"/>
                <w:color w:val="000000" w:themeColor="text1"/>
                <w14:textFill>
                  <w14:solidFill>
                    <w14:schemeClr w14:val="tx1"/>
                  </w14:solidFill>
                </w14:textFill>
              </w:rPr>
            </w:pPr>
          </w:p>
        </w:tc>
        <w:tc>
          <w:tcPr>
            <w:tcW w:w="742" w:type="dxa"/>
            <w:vMerge w:val="continue"/>
          </w:tcPr>
          <w:p w14:paraId="243CD3F3">
            <w:pPr>
              <w:spacing w:after="0" w:line="360" w:lineRule="auto"/>
              <w:rPr>
                <w:rFonts w:ascii="宋体" w:hAnsi="宋体"/>
                <w:color w:val="000000" w:themeColor="text1"/>
                <w14:textFill>
                  <w14:solidFill>
                    <w14:schemeClr w14:val="tx1"/>
                  </w14:solidFill>
                </w14:textFill>
              </w:rPr>
            </w:pPr>
          </w:p>
        </w:tc>
        <w:tc>
          <w:tcPr>
            <w:tcW w:w="637" w:type="dxa"/>
            <w:vMerge w:val="continue"/>
          </w:tcPr>
          <w:p w14:paraId="4C9BE712">
            <w:pPr>
              <w:spacing w:after="0" w:line="360" w:lineRule="auto"/>
              <w:rPr>
                <w:rFonts w:ascii="宋体" w:hAnsi="宋体"/>
                <w:color w:val="000000" w:themeColor="text1"/>
                <w14:textFill>
                  <w14:solidFill>
                    <w14:schemeClr w14:val="tx1"/>
                  </w14:solidFill>
                </w14:textFill>
              </w:rPr>
            </w:pPr>
          </w:p>
        </w:tc>
        <w:tc>
          <w:tcPr>
            <w:tcW w:w="2226" w:type="dxa"/>
            <w:vAlign w:val="center"/>
          </w:tcPr>
          <w:p w14:paraId="13FC768F">
            <w:pPr>
              <w:spacing w:after="0" w:line="36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w:t>
            </w:r>
            <w:r>
              <w:rPr>
                <w:rFonts w:hint="eastAsia" w:ascii="宋体" w:hAnsi="宋体"/>
                <w:color w:val="000000" w:themeColor="text1"/>
                <w:szCs w:val="21"/>
                <w14:textFill>
                  <w14:solidFill>
                    <w14:schemeClr w14:val="tx1"/>
                  </w14:solidFill>
                </w14:textFill>
              </w:rPr>
              <w:t>有效期</w:t>
            </w:r>
          </w:p>
        </w:tc>
        <w:tc>
          <w:tcPr>
            <w:tcW w:w="5918" w:type="dxa"/>
            <w:vAlign w:val="center"/>
          </w:tcPr>
          <w:p w14:paraId="575CF755">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符合第二章“投标人须知”第3.</w:t>
            </w:r>
            <w:r>
              <w:rPr>
                <w:rFonts w:hint="eastAsia" w:ascii="宋体" w:hAnsi="宋体"/>
                <w:color w:val="000000" w:themeColor="text1"/>
                <w:szCs w:val="21"/>
                <w14:textFill>
                  <w14:solidFill>
                    <w14:schemeClr w14:val="tx1"/>
                  </w14:solidFill>
                </w14:textFill>
              </w:rPr>
              <w:t>3.1</w:t>
            </w:r>
            <w:r>
              <w:rPr>
                <w:rFonts w:ascii="宋体" w:hAnsi="宋体"/>
                <w:color w:val="000000" w:themeColor="text1"/>
                <w:szCs w:val="21"/>
                <w14:textFill>
                  <w14:solidFill>
                    <w14:schemeClr w14:val="tx1"/>
                  </w14:solidFill>
                </w14:textFill>
              </w:rPr>
              <w:t>款规定</w:t>
            </w:r>
          </w:p>
        </w:tc>
      </w:tr>
      <w:tr w14:paraId="26901A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31" w:type="dxa"/>
            <w:vMerge w:val="continue"/>
          </w:tcPr>
          <w:p w14:paraId="440AE644">
            <w:pPr>
              <w:spacing w:after="0" w:line="360" w:lineRule="auto"/>
              <w:rPr>
                <w:rFonts w:ascii="宋体" w:hAnsi="宋体"/>
                <w:color w:val="000000" w:themeColor="text1"/>
                <w14:textFill>
                  <w14:solidFill>
                    <w14:schemeClr w14:val="tx1"/>
                  </w14:solidFill>
                </w14:textFill>
              </w:rPr>
            </w:pPr>
          </w:p>
        </w:tc>
        <w:tc>
          <w:tcPr>
            <w:tcW w:w="742" w:type="dxa"/>
            <w:vMerge w:val="continue"/>
          </w:tcPr>
          <w:p w14:paraId="71308AD4">
            <w:pPr>
              <w:spacing w:after="0" w:line="360" w:lineRule="auto"/>
              <w:rPr>
                <w:rFonts w:ascii="宋体" w:hAnsi="宋体"/>
                <w:color w:val="000000" w:themeColor="text1"/>
                <w14:textFill>
                  <w14:solidFill>
                    <w14:schemeClr w14:val="tx1"/>
                  </w14:solidFill>
                </w14:textFill>
              </w:rPr>
            </w:pPr>
          </w:p>
        </w:tc>
        <w:tc>
          <w:tcPr>
            <w:tcW w:w="637" w:type="dxa"/>
            <w:vMerge w:val="continue"/>
          </w:tcPr>
          <w:p w14:paraId="6E4AD5D5">
            <w:pPr>
              <w:spacing w:after="0" w:line="360" w:lineRule="auto"/>
              <w:rPr>
                <w:rFonts w:ascii="宋体" w:hAnsi="宋体"/>
                <w:color w:val="000000" w:themeColor="text1"/>
                <w14:textFill>
                  <w14:solidFill>
                    <w14:schemeClr w14:val="tx1"/>
                  </w14:solidFill>
                </w14:textFill>
              </w:rPr>
            </w:pPr>
          </w:p>
        </w:tc>
        <w:tc>
          <w:tcPr>
            <w:tcW w:w="2226" w:type="dxa"/>
            <w:vAlign w:val="center"/>
          </w:tcPr>
          <w:p w14:paraId="47FA3F18">
            <w:pPr>
              <w:spacing w:after="0" w:line="36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w:t>
            </w:r>
            <w:r>
              <w:rPr>
                <w:rFonts w:hint="eastAsia" w:ascii="宋体" w:hAnsi="宋体"/>
                <w:color w:val="000000" w:themeColor="text1"/>
                <w:szCs w:val="21"/>
                <w14:textFill>
                  <w14:solidFill>
                    <w14:schemeClr w14:val="tx1"/>
                  </w14:solidFill>
                </w14:textFill>
              </w:rPr>
              <w:t>保证金</w:t>
            </w:r>
          </w:p>
        </w:tc>
        <w:tc>
          <w:tcPr>
            <w:tcW w:w="5918" w:type="dxa"/>
            <w:vAlign w:val="center"/>
          </w:tcPr>
          <w:p w14:paraId="66535927">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符合第二章“投标人须知”第3.</w:t>
            </w:r>
            <w:r>
              <w:rPr>
                <w:rFonts w:hint="eastAsia" w:ascii="宋体" w:hAnsi="宋体"/>
                <w:color w:val="000000" w:themeColor="text1"/>
                <w:szCs w:val="21"/>
                <w14:textFill>
                  <w14:solidFill>
                    <w14:schemeClr w14:val="tx1"/>
                  </w14:solidFill>
                </w14:textFill>
              </w:rPr>
              <w:t>4.1</w:t>
            </w:r>
            <w:r>
              <w:rPr>
                <w:rFonts w:ascii="宋体" w:hAnsi="宋体"/>
                <w:color w:val="000000" w:themeColor="text1"/>
                <w:szCs w:val="21"/>
                <w14:textFill>
                  <w14:solidFill>
                    <w14:schemeClr w14:val="tx1"/>
                  </w14:solidFill>
                </w14:textFill>
              </w:rPr>
              <w:t>款规定</w:t>
            </w:r>
          </w:p>
        </w:tc>
      </w:tr>
      <w:tr w14:paraId="1FB308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531" w:type="dxa"/>
            <w:vMerge w:val="continue"/>
          </w:tcPr>
          <w:p w14:paraId="015227E8">
            <w:pPr>
              <w:spacing w:after="0" w:line="360" w:lineRule="auto"/>
              <w:rPr>
                <w:rFonts w:ascii="宋体" w:hAnsi="宋体"/>
                <w:color w:val="000000" w:themeColor="text1"/>
                <w14:textFill>
                  <w14:solidFill>
                    <w14:schemeClr w14:val="tx1"/>
                  </w14:solidFill>
                </w14:textFill>
              </w:rPr>
            </w:pPr>
          </w:p>
        </w:tc>
        <w:tc>
          <w:tcPr>
            <w:tcW w:w="742" w:type="dxa"/>
            <w:vMerge w:val="continue"/>
          </w:tcPr>
          <w:p w14:paraId="47D1A920">
            <w:pPr>
              <w:spacing w:after="0" w:line="360" w:lineRule="auto"/>
              <w:rPr>
                <w:rFonts w:ascii="宋体" w:hAnsi="宋体"/>
                <w:color w:val="000000" w:themeColor="text1"/>
                <w14:textFill>
                  <w14:solidFill>
                    <w14:schemeClr w14:val="tx1"/>
                  </w14:solidFill>
                </w14:textFill>
              </w:rPr>
            </w:pPr>
          </w:p>
        </w:tc>
        <w:tc>
          <w:tcPr>
            <w:tcW w:w="637" w:type="dxa"/>
            <w:vMerge w:val="continue"/>
          </w:tcPr>
          <w:p w14:paraId="51521328">
            <w:pPr>
              <w:spacing w:after="0" w:line="360" w:lineRule="auto"/>
              <w:rPr>
                <w:rFonts w:ascii="宋体" w:hAnsi="宋体"/>
                <w:color w:val="000000" w:themeColor="text1"/>
                <w14:textFill>
                  <w14:solidFill>
                    <w14:schemeClr w14:val="tx1"/>
                  </w14:solidFill>
                </w14:textFill>
              </w:rPr>
            </w:pPr>
          </w:p>
        </w:tc>
        <w:tc>
          <w:tcPr>
            <w:tcW w:w="2226" w:type="dxa"/>
            <w:vAlign w:val="center"/>
          </w:tcPr>
          <w:p w14:paraId="54B5C55D">
            <w:pPr>
              <w:spacing w:after="0" w:line="36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已标价工程量清单</w:t>
            </w:r>
          </w:p>
        </w:tc>
        <w:tc>
          <w:tcPr>
            <w:tcW w:w="5918" w:type="dxa"/>
            <w:vAlign w:val="center"/>
          </w:tcPr>
          <w:p w14:paraId="5C6166D6">
            <w:pPr>
              <w:spacing w:after="0" w:line="24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符合本招标文件规定的相关要求</w:t>
            </w:r>
            <w:r>
              <w:rPr>
                <w:rFonts w:hint="eastAsia" w:ascii="宋体" w:hAnsi="宋体"/>
                <w:color w:val="000000" w:themeColor="text1"/>
                <w:szCs w:val="21"/>
                <w14:textFill>
                  <w14:solidFill>
                    <w14:schemeClr w14:val="tx1"/>
                  </w14:solidFill>
                </w14:textFill>
              </w:rPr>
              <w:t>（投标人工程量清单主要清单项报价汇总表对应单价与已标价工程量清单报价不一致的按否决投标处理。）</w:t>
            </w:r>
          </w:p>
        </w:tc>
      </w:tr>
      <w:tr w14:paraId="106BEA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1" w:type="dxa"/>
            <w:vMerge w:val="continue"/>
          </w:tcPr>
          <w:p w14:paraId="326240AE">
            <w:pPr>
              <w:spacing w:after="0" w:line="360" w:lineRule="auto"/>
              <w:rPr>
                <w:rFonts w:ascii="宋体" w:hAnsi="宋体"/>
                <w:color w:val="000000" w:themeColor="text1"/>
                <w14:textFill>
                  <w14:solidFill>
                    <w14:schemeClr w14:val="tx1"/>
                  </w14:solidFill>
                </w14:textFill>
              </w:rPr>
            </w:pPr>
          </w:p>
        </w:tc>
        <w:tc>
          <w:tcPr>
            <w:tcW w:w="742" w:type="dxa"/>
            <w:vMerge w:val="continue"/>
          </w:tcPr>
          <w:p w14:paraId="7E5811C6">
            <w:pPr>
              <w:spacing w:after="0" w:line="360" w:lineRule="auto"/>
              <w:rPr>
                <w:rFonts w:ascii="宋体" w:hAnsi="宋体"/>
                <w:color w:val="000000" w:themeColor="text1"/>
                <w14:textFill>
                  <w14:solidFill>
                    <w14:schemeClr w14:val="tx1"/>
                  </w14:solidFill>
                </w14:textFill>
              </w:rPr>
            </w:pPr>
          </w:p>
        </w:tc>
        <w:tc>
          <w:tcPr>
            <w:tcW w:w="637" w:type="dxa"/>
            <w:vMerge w:val="continue"/>
          </w:tcPr>
          <w:p w14:paraId="13AECC79">
            <w:pPr>
              <w:spacing w:after="0" w:line="360" w:lineRule="auto"/>
              <w:rPr>
                <w:rFonts w:ascii="宋体" w:hAnsi="宋体"/>
                <w:color w:val="000000" w:themeColor="text1"/>
                <w14:textFill>
                  <w14:solidFill>
                    <w14:schemeClr w14:val="tx1"/>
                  </w14:solidFill>
                </w14:textFill>
              </w:rPr>
            </w:pPr>
          </w:p>
        </w:tc>
        <w:tc>
          <w:tcPr>
            <w:tcW w:w="2226" w:type="dxa"/>
            <w:vAlign w:val="center"/>
          </w:tcPr>
          <w:p w14:paraId="33E6F508">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其他实质性要求</w:t>
            </w:r>
          </w:p>
        </w:tc>
        <w:tc>
          <w:tcPr>
            <w:tcW w:w="5918" w:type="dxa"/>
            <w:vAlign w:val="center"/>
          </w:tcPr>
          <w:p w14:paraId="3E52FACA">
            <w:pPr>
              <w:spacing w:after="0" w:line="360" w:lineRule="auto"/>
              <w:ind w:right="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符合投标人须知前附表中规定的其他要求</w:t>
            </w:r>
          </w:p>
        </w:tc>
      </w:tr>
      <w:tr w14:paraId="5819D3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910" w:type="dxa"/>
            <w:gridSpan w:val="3"/>
            <w:vAlign w:val="center"/>
          </w:tcPr>
          <w:p w14:paraId="171AB481">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2226" w:type="dxa"/>
            <w:vAlign w:val="center"/>
          </w:tcPr>
          <w:p w14:paraId="768B7507">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条款内容</w:t>
            </w:r>
          </w:p>
        </w:tc>
        <w:tc>
          <w:tcPr>
            <w:tcW w:w="5918" w:type="dxa"/>
            <w:vAlign w:val="center"/>
          </w:tcPr>
          <w:p w14:paraId="5F158846">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编列内容</w:t>
            </w:r>
          </w:p>
        </w:tc>
      </w:tr>
      <w:tr w14:paraId="01D7FA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910" w:type="dxa"/>
            <w:gridSpan w:val="3"/>
            <w:vAlign w:val="center"/>
          </w:tcPr>
          <w:p w14:paraId="71D9688F">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2.2.1</w:t>
            </w:r>
          </w:p>
        </w:tc>
        <w:tc>
          <w:tcPr>
            <w:tcW w:w="2226" w:type="dxa"/>
            <w:vAlign w:val="center"/>
          </w:tcPr>
          <w:p w14:paraId="3C8D2D4F">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分值构成</w:t>
            </w:r>
          </w:p>
          <w:p w14:paraId="0F10172E">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(总分100分)</w:t>
            </w:r>
          </w:p>
        </w:tc>
        <w:tc>
          <w:tcPr>
            <w:tcW w:w="5918" w:type="dxa"/>
            <w:vAlign w:val="center"/>
          </w:tcPr>
          <w:p w14:paraId="7755ED44">
            <w:pPr>
              <w:adjustRightInd w:val="0"/>
              <w:snapToGrid w:val="0"/>
              <w:spacing w:after="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技术部分总分100分；</w:t>
            </w:r>
          </w:p>
          <w:p w14:paraId="367C3454">
            <w:pPr>
              <w:adjustRightInd w:val="0"/>
              <w:snapToGrid w:val="0"/>
              <w:spacing w:after="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商务部分评审总分100分，其中投标总报价评审7</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分，</w:t>
            </w:r>
            <w:r>
              <w:rPr>
                <w:rFonts w:hint="eastAsia" w:ascii="宋体" w:hAnsi="宋体" w:cs="宋体"/>
                <w:color w:val="000000" w:themeColor="text1"/>
                <w:kern w:val="0"/>
                <w:szCs w:val="21"/>
                <w:lang w:val="zh-CN"/>
                <w14:textFill>
                  <w14:solidFill>
                    <w14:schemeClr w14:val="tx1"/>
                  </w14:solidFill>
                </w14:textFill>
              </w:rPr>
              <w:t>主要单价评审3</w:t>
            </w:r>
            <w:r>
              <w:rPr>
                <w:rFonts w:ascii="宋体" w:hAnsi="宋体" w:cs="宋体"/>
                <w:color w:val="000000" w:themeColor="text1"/>
                <w:kern w:val="0"/>
                <w:szCs w:val="21"/>
                <w:lang w:val="zh-CN"/>
                <w14:textFill>
                  <w14:solidFill>
                    <w14:schemeClr w14:val="tx1"/>
                  </w14:solidFill>
                </w14:textFill>
              </w:rPr>
              <w:t>0</w:t>
            </w:r>
            <w:r>
              <w:rPr>
                <w:rFonts w:hint="eastAsia" w:ascii="宋体" w:hAnsi="宋体" w:cs="宋体"/>
                <w:color w:val="000000" w:themeColor="text1"/>
                <w:kern w:val="0"/>
                <w:szCs w:val="21"/>
                <w:lang w:val="zh-CN"/>
                <w14:textFill>
                  <w14:solidFill>
                    <w14:schemeClr w14:val="tx1"/>
                  </w14:solidFill>
                </w14:textFill>
              </w:rPr>
              <w:t xml:space="preserve">分 </w:t>
            </w:r>
            <w:r>
              <w:rPr>
                <w:rFonts w:hint="eastAsia" w:ascii="宋体" w:hAnsi="宋体"/>
                <w:color w:val="000000" w:themeColor="text1"/>
                <w:szCs w:val="21"/>
                <w14:textFill>
                  <w14:solidFill>
                    <w14:schemeClr w14:val="tx1"/>
                  </w14:solidFill>
                </w14:textFill>
              </w:rPr>
              <w:t>。</w:t>
            </w:r>
          </w:p>
          <w:p w14:paraId="55F04046">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Z= a×S +（1-a）×J-扣分分值</w:t>
            </w:r>
          </w:p>
          <w:p w14:paraId="7CDE9B63">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其中：</w:t>
            </w:r>
          </w:p>
          <w:p w14:paraId="02FC1CA1">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Z：指投标人的最后得分；</w:t>
            </w:r>
          </w:p>
          <w:p w14:paraId="1CE3031D">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S：指投标人的商务部分得分；</w:t>
            </w:r>
          </w:p>
          <w:p w14:paraId="4BFB32F9">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J：指投标人的技术部分得分；</w:t>
            </w:r>
          </w:p>
          <w:p w14:paraId="7EDF5737">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a：指商务部分的权重数；</w:t>
            </w:r>
          </w:p>
          <w:p w14:paraId="5921D43C">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a值由招标人根据工程技术复杂程度和施工技术要求在0.</w:t>
            </w:r>
            <w:r>
              <w:rPr>
                <w:rFonts w:ascii="宋体" w:hAnsi="宋体"/>
                <w:b/>
                <w:color w:val="000000" w:themeColor="text1"/>
                <w14:textFill>
                  <w14:solidFill>
                    <w14:schemeClr w14:val="tx1"/>
                  </w14:solidFill>
                </w14:textFill>
              </w:rPr>
              <w:t>8</w:t>
            </w:r>
            <w:r>
              <w:rPr>
                <w:rFonts w:hint="eastAsia" w:ascii="宋体" w:hAnsi="宋体"/>
                <w:b/>
                <w:color w:val="000000" w:themeColor="text1"/>
                <w14:textFill>
                  <w14:solidFill>
                    <w14:schemeClr w14:val="tx1"/>
                  </w14:solidFill>
                </w14:textFill>
              </w:rPr>
              <w:t>0-0.90进行取值，并在招标文件中予以明确,本项目a值</w:t>
            </w:r>
            <w:r>
              <w:rPr>
                <w:rFonts w:ascii="宋体" w:hAnsi="宋体"/>
                <w:b/>
                <w:color w:val="000000" w:themeColor="text1"/>
                <w14:textFill>
                  <w14:solidFill>
                    <w14:schemeClr w14:val="tx1"/>
                  </w14:solidFill>
                </w14:textFill>
              </w:rPr>
              <w:t>为</w:t>
            </w:r>
            <w:r>
              <w:rPr>
                <w:rFonts w:hint="eastAsia" w:ascii="宋体" w:hAnsi="宋体"/>
                <w:b/>
                <w:color w:val="000000" w:themeColor="text1"/>
                <w14:textFill>
                  <w14:solidFill>
                    <w14:schemeClr w14:val="tx1"/>
                  </w14:solidFill>
                </w14:textFill>
              </w:rPr>
              <w:t>0.85。</w:t>
            </w:r>
          </w:p>
        </w:tc>
      </w:tr>
      <w:tr w14:paraId="2C78EB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910" w:type="dxa"/>
            <w:gridSpan w:val="3"/>
            <w:vAlign w:val="center"/>
          </w:tcPr>
          <w:p w14:paraId="55AC58DD">
            <w:pPr>
              <w:spacing w:after="0" w:line="360" w:lineRule="auto"/>
              <w:jc w:val="center"/>
              <w:rPr>
                <w:rFonts w:ascii="宋体" w:hAnsi="宋体"/>
                <w:color w:val="auto"/>
                <w:szCs w:val="21"/>
                <w:highlight w:val="none"/>
              </w:rPr>
            </w:pPr>
            <w:r>
              <w:rPr>
                <w:rFonts w:hint="eastAsia" w:ascii="宋体" w:hAnsi="宋体"/>
                <w:color w:val="auto"/>
                <w:szCs w:val="21"/>
                <w:highlight w:val="none"/>
              </w:rPr>
              <w:t>2.2.2</w:t>
            </w:r>
          </w:p>
        </w:tc>
        <w:tc>
          <w:tcPr>
            <w:tcW w:w="2226" w:type="dxa"/>
            <w:vAlign w:val="center"/>
          </w:tcPr>
          <w:p w14:paraId="4FD9EE07">
            <w:pPr>
              <w:spacing w:after="0" w:line="360" w:lineRule="auto"/>
              <w:jc w:val="center"/>
              <w:rPr>
                <w:rFonts w:ascii="宋体" w:hAnsi="宋体"/>
                <w:color w:val="auto"/>
                <w:szCs w:val="21"/>
                <w:highlight w:val="none"/>
              </w:rPr>
            </w:pPr>
            <w:r>
              <w:rPr>
                <w:rFonts w:hint="eastAsia" w:ascii="宋体" w:hAnsi="宋体"/>
                <w:color w:val="auto"/>
                <w:szCs w:val="21"/>
                <w:highlight w:val="none"/>
              </w:rPr>
              <w:t>计算评标基准价</w:t>
            </w:r>
          </w:p>
        </w:tc>
        <w:tc>
          <w:tcPr>
            <w:tcW w:w="5918" w:type="dxa"/>
          </w:tcPr>
          <w:p w14:paraId="768D67EB">
            <w:pPr>
              <w:autoSpaceDE w:val="0"/>
              <w:autoSpaceDN w:val="0"/>
              <w:adjustRightInd w:val="0"/>
              <w:snapToGrid w:val="0"/>
              <w:spacing w:after="0" w:line="360" w:lineRule="auto"/>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（一）总报价得分的基准价</w:t>
            </w:r>
          </w:p>
          <w:p w14:paraId="29D8995C">
            <w:pPr>
              <w:autoSpaceDE w:val="0"/>
              <w:autoSpaceDN w:val="0"/>
              <w:adjustRightInd w:val="0"/>
              <w:snapToGrid w:val="0"/>
              <w:spacing w:after="0" w:line="360" w:lineRule="auto"/>
              <w:ind w:firstLine="420" w:firstLineChars="200"/>
              <w:rPr>
                <w:rFonts w:ascii="宋体" w:hAnsi="宋体" w:cs="宋体"/>
                <w:bCs/>
                <w:color w:val="auto"/>
                <w:kern w:val="0"/>
                <w:szCs w:val="21"/>
                <w:highlight w:val="none"/>
                <w:lang w:val="zh-CN"/>
              </w:rPr>
            </w:pPr>
            <w:r>
              <w:rPr>
                <w:rFonts w:hint="eastAsia" w:ascii="宋体" w:hAnsi="宋体" w:cs="宋体"/>
                <w:bCs/>
                <w:color w:val="auto"/>
                <w:kern w:val="0"/>
                <w:szCs w:val="21"/>
                <w:highlight w:val="none"/>
                <w:lang w:val="zh-CN"/>
              </w:rPr>
              <w:t>1.计算评标基准价</w:t>
            </w:r>
          </w:p>
          <w:p w14:paraId="758022FA">
            <w:pPr>
              <w:autoSpaceDE w:val="0"/>
              <w:autoSpaceDN w:val="0"/>
              <w:adjustRightInd w:val="0"/>
              <w:snapToGrid w:val="0"/>
              <w:spacing w:after="0" w:line="360" w:lineRule="auto"/>
              <w:rPr>
                <w:rFonts w:ascii="宋体" w:hAnsi="宋体" w:cs="宋体"/>
                <w:color w:val="auto"/>
                <w:kern w:val="0"/>
                <w:szCs w:val="21"/>
                <w:highlight w:val="none"/>
                <w:lang w:val="zh-CN"/>
              </w:rPr>
            </w:pPr>
            <w:r>
              <w:rPr>
                <w:rFonts w:hint="eastAsia" w:ascii="宋体" w:hAnsi="宋体" w:cs="宋体"/>
                <w:b/>
                <w:color w:val="auto"/>
                <w:kern w:val="0"/>
                <w:szCs w:val="21"/>
                <w:highlight w:val="none"/>
                <w:lang w:val="zh-CN"/>
              </w:rPr>
              <w:t>招标人提供招标控制价:</w:t>
            </w:r>
          </w:p>
          <w:p w14:paraId="4FCAD8BD">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当招标人设置招标控制价（最高投标限价）时，评标基准价的计算公式如下：</w:t>
            </w:r>
          </w:p>
          <w:p w14:paraId="33E9B7AF">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P=F × K</w:t>
            </w:r>
          </w:p>
          <w:p w14:paraId="28387311">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式中：P——评标基准价；</w:t>
            </w:r>
          </w:p>
          <w:p w14:paraId="18A31963">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F——部分投标总报价的算术平均值；</w:t>
            </w:r>
          </w:p>
          <w:p w14:paraId="4411A602">
            <w:pPr>
              <w:autoSpaceDE w:val="0"/>
              <w:autoSpaceDN w:val="0"/>
              <w:adjustRightInd w:val="0"/>
              <w:snapToGrid w:val="0"/>
              <w:spacing w:after="0" w:line="360" w:lineRule="auto"/>
              <w:jc w:val="left"/>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 xml:space="preserve">K——合理低价期望值，本项目K取值设定为 </w:t>
            </w:r>
            <w:r>
              <w:rPr>
                <w:rFonts w:ascii="宋体" w:hAnsi="宋体" w:cs="宋体"/>
                <w:b/>
                <w:color w:val="auto"/>
                <w:kern w:val="0"/>
                <w:szCs w:val="21"/>
                <w:highlight w:val="none"/>
                <w:lang w:val="zh-CN"/>
              </w:rPr>
              <w:t>0.99</w:t>
            </w:r>
            <w:r>
              <w:rPr>
                <w:rFonts w:hint="eastAsia" w:ascii="宋体" w:hAnsi="宋体" w:cs="宋体"/>
                <w:b/>
                <w:color w:val="auto"/>
                <w:kern w:val="0"/>
                <w:szCs w:val="21"/>
                <w:highlight w:val="none"/>
                <w:lang w:val="zh-CN"/>
              </w:rPr>
              <w:t xml:space="preserve">。 </w:t>
            </w:r>
          </w:p>
          <w:p w14:paraId="741A79A8">
            <w:pPr>
              <w:autoSpaceDE w:val="0"/>
              <w:autoSpaceDN w:val="0"/>
              <w:adjustRightInd w:val="0"/>
              <w:snapToGrid w:val="0"/>
              <w:spacing w:after="0" w:line="360" w:lineRule="auto"/>
              <w:ind w:firstLine="420" w:firstLineChars="200"/>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2</w:t>
            </w:r>
            <w:r>
              <w:rPr>
                <w:rFonts w:hint="eastAsia" w:ascii="宋体" w:hAnsi="宋体" w:cs="宋体"/>
                <w:color w:val="auto"/>
                <w:kern w:val="0"/>
                <w:szCs w:val="21"/>
                <w:highlight w:val="none"/>
                <w:lang w:val="zh-CN"/>
              </w:rPr>
              <w:t>．部分投标总报价指：投标总报价在招标控制价下浮一定范围内的方可参与评标基准价的计算，若投标总报价在此范围外，只是不参与评标基准价的公式计算，同时也不参与主要清单项的评标基准价公式计算，但不影响其投标文件参与评审。</w:t>
            </w:r>
          </w:p>
          <w:p w14:paraId="36BA278E">
            <w:pPr>
              <w:autoSpaceDE w:val="0"/>
              <w:autoSpaceDN w:val="0"/>
              <w:adjustRightInd w:val="0"/>
              <w:snapToGrid w:val="0"/>
              <w:spacing w:after="0" w:line="360" w:lineRule="auto"/>
              <w:ind w:firstLine="420" w:firstLineChars="200"/>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3</w:t>
            </w:r>
            <w:r>
              <w:rPr>
                <w:rFonts w:hint="eastAsia" w:ascii="宋体" w:hAnsi="宋体" w:cs="宋体"/>
                <w:color w:val="auto"/>
                <w:kern w:val="0"/>
                <w:szCs w:val="21"/>
                <w:highlight w:val="none"/>
                <w:lang w:val="zh-CN"/>
              </w:rPr>
              <w:t>．部分投标总报价取值范围：</w:t>
            </w:r>
          </w:p>
          <w:p w14:paraId="1E8C4070">
            <w:pPr>
              <w:autoSpaceDE w:val="0"/>
              <w:autoSpaceDN w:val="0"/>
              <w:adjustRightInd w:val="0"/>
              <w:snapToGrid w:val="0"/>
              <w:spacing w:after="0" w:line="360" w:lineRule="auto"/>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招标控制价≥部分投标总报价≥招标控制价×B</w:t>
            </w:r>
          </w:p>
          <w:p w14:paraId="0590D7F7">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式中：B——下浮度值。本项目B取值设定为</w:t>
            </w:r>
            <w:r>
              <w:rPr>
                <w:rFonts w:hint="eastAsia" w:ascii="宋体" w:hAnsi="宋体" w:cs="宋体"/>
                <w:b/>
                <w:color w:val="auto"/>
                <w:kern w:val="0"/>
                <w:szCs w:val="21"/>
                <w:highlight w:val="none"/>
              </w:rPr>
              <w:t>0</w:t>
            </w:r>
            <w:r>
              <w:rPr>
                <w:rFonts w:ascii="宋体" w:hAnsi="宋体" w:cs="宋体"/>
                <w:b/>
                <w:color w:val="auto"/>
                <w:kern w:val="0"/>
                <w:szCs w:val="21"/>
                <w:highlight w:val="none"/>
              </w:rPr>
              <w:t>.9</w:t>
            </w:r>
            <w:r>
              <w:rPr>
                <w:rFonts w:hint="eastAsia" w:ascii="宋体" w:hAnsi="宋体" w:cs="宋体"/>
                <w:b/>
                <w:color w:val="auto"/>
                <w:kern w:val="0"/>
                <w:szCs w:val="21"/>
                <w:highlight w:val="none"/>
              </w:rPr>
              <w:t>5</w:t>
            </w:r>
            <w:r>
              <w:rPr>
                <w:rFonts w:hint="eastAsia" w:ascii="宋体" w:hAnsi="宋体" w:cs="宋体"/>
                <w:color w:val="auto"/>
                <w:kern w:val="0"/>
                <w:szCs w:val="21"/>
                <w:highlight w:val="none"/>
                <w:lang w:val="zh-CN"/>
              </w:rPr>
              <w:t>。</w:t>
            </w:r>
          </w:p>
          <w:p w14:paraId="20B9D8F4">
            <w:pPr>
              <w:autoSpaceDE w:val="0"/>
              <w:autoSpaceDN w:val="0"/>
              <w:adjustRightInd w:val="0"/>
              <w:snapToGrid w:val="0"/>
              <w:spacing w:after="0" w:line="360" w:lineRule="auto"/>
              <w:ind w:firstLine="420" w:firstLineChars="200"/>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4</w:t>
            </w:r>
            <w:r>
              <w:rPr>
                <w:rFonts w:hint="eastAsia" w:ascii="宋体" w:hAnsi="宋体" w:cs="宋体"/>
                <w:color w:val="auto"/>
                <w:kern w:val="0"/>
                <w:szCs w:val="21"/>
                <w:highlight w:val="none"/>
                <w:lang w:val="zh-CN"/>
              </w:rPr>
              <w:t>.F值计算方法如下：</w:t>
            </w:r>
          </w:p>
          <w:p w14:paraId="14C4C14A">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(l)当有效投标人个数n≥21时，去掉范围内的最高、次高、第三高、最低、次低、第三低六个投标总报价后其余投标总报价的算术平均值。</w:t>
            </w:r>
          </w:p>
          <w:p w14:paraId="5B37F3A5">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(2)当有效投标人个数</w:t>
            </w:r>
            <w:r>
              <w:rPr>
                <w:rFonts w:ascii="宋体" w:hAnsi="宋体" w:cs="宋体"/>
                <w:color w:val="auto"/>
                <w:kern w:val="0"/>
                <w:szCs w:val="21"/>
                <w:highlight w:val="none"/>
                <w:lang w:val="zh-CN"/>
              </w:rPr>
              <w:t>21</w:t>
            </w:r>
            <w:r>
              <w:rPr>
                <w:rFonts w:hint="eastAsia" w:ascii="宋体" w:hAnsi="宋体" w:cs="宋体"/>
                <w:color w:val="auto"/>
                <w:kern w:val="0"/>
                <w:szCs w:val="21"/>
                <w:highlight w:val="none"/>
                <w:lang w:val="zh-CN"/>
              </w:rPr>
              <w:t>&gt;n≥7时，去掉范围内的最高、次高、最低、次低四个投标总报价后其余投标总报价的算术平均值。</w:t>
            </w:r>
          </w:p>
          <w:p w14:paraId="0C8AF0E3">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(3)当有效投标人个数7&gt;n≥5时，去掉范围内的最高、最低二个投标总报价后其余投标总报价的算术平均值。</w:t>
            </w:r>
          </w:p>
          <w:p w14:paraId="4947F62D">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(4)当在以上范围内的投标总报价个数n在n&lt;5且n≠0时，直接计算范围内的全部投标总报价的算术平均值。</w:t>
            </w:r>
          </w:p>
          <w:p w14:paraId="68BC01A6">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(5)当在以上范围内的投标总报价个数n=0时，评标基准价按下列公式计算：P=招标控制价×B×K</w:t>
            </w:r>
          </w:p>
          <w:p w14:paraId="0F982D53">
            <w:pPr>
              <w:autoSpaceDE w:val="0"/>
              <w:autoSpaceDN w:val="0"/>
              <w:adjustRightInd w:val="0"/>
              <w:snapToGrid w:val="0"/>
              <w:spacing w:after="0" w:line="360" w:lineRule="auto"/>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注：有效投标人是指：所有通过形式评审、资格评审、响应性评审的</w:t>
            </w:r>
            <w:r>
              <w:rPr>
                <w:rFonts w:hint="eastAsia" w:ascii="宋体" w:hAnsi="宋体" w:cs="宋体"/>
                <w:b/>
                <w:color w:val="auto"/>
                <w:kern w:val="0"/>
                <w:szCs w:val="21"/>
                <w:highlight w:val="none"/>
              </w:rPr>
              <w:t>且</w:t>
            </w:r>
            <w:r>
              <w:rPr>
                <w:rFonts w:hint="eastAsia" w:ascii="宋体" w:hAnsi="宋体" w:cs="宋体"/>
                <w:b/>
                <w:color w:val="auto"/>
                <w:kern w:val="0"/>
                <w:szCs w:val="21"/>
                <w:highlight w:val="none"/>
                <w:lang w:val="zh-CN"/>
              </w:rPr>
              <w:t>部分投标总报价在以上报价范围的投标人（下同）</w:t>
            </w:r>
          </w:p>
          <w:p w14:paraId="4FE2D747">
            <w:pPr>
              <w:autoSpaceDE w:val="0"/>
              <w:autoSpaceDN w:val="0"/>
              <w:adjustRightInd w:val="0"/>
              <w:snapToGrid w:val="0"/>
              <w:spacing w:after="0" w:line="360" w:lineRule="auto"/>
              <w:rPr>
                <w:rFonts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（二）主要清单项得分的评标基准价</w:t>
            </w:r>
          </w:p>
          <w:p w14:paraId="5267D6C4">
            <w:pPr>
              <w:autoSpaceDE w:val="0"/>
              <w:autoSpaceDN w:val="0"/>
              <w:adjustRightInd w:val="0"/>
              <w:snapToGrid w:val="0"/>
              <w:spacing w:after="0" w:line="360" w:lineRule="auto"/>
              <w:rPr>
                <w:rFonts w:hint="eastAsia" w:ascii="宋体" w:hAnsi="宋体" w:cs="宋体"/>
                <w:b/>
                <w:bCs/>
                <w:color w:val="auto"/>
                <w:kern w:val="0"/>
                <w:szCs w:val="21"/>
                <w:highlight w:val="none"/>
                <w:lang w:val="zh-CN" w:eastAsia="zh-CN"/>
              </w:rPr>
            </w:pPr>
            <w:r>
              <w:rPr>
                <w:rFonts w:hint="eastAsia" w:ascii="宋体" w:hAnsi="宋体" w:cs="宋体"/>
                <w:b/>
                <w:bCs/>
                <w:color w:val="auto"/>
                <w:kern w:val="0"/>
                <w:szCs w:val="21"/>
                <w:highlight w:val="none"/>
                <w:lang w:val="zh-CN"/>
              </w:rPr>
              <w:t>1.评委根据招标文件规定和要求及提供的工程量清单、图纸资料，分析出分部分项工程量清单计价表中影响造价较大或今后工程量有可能增减变更的内容，</w:t>
            </w:r>
            <w:r>
              <w:rPr>
                <w:rFonts w:hint="eastAsia" w:ascii="宋体" w:hAnsi="宋体" w:cs="宋体"/>
                <w:b/>
                <w:bCs/>
                <w:color w:val="auto"/>
                <w:kern w:val="0"/>
                <w:szCs w:val="21"/>
                <w:highlight w:val="none"/>
                <w:lang w:val="zh-CN" w:eastAsia="zh-CN"/>
              </w:rPr>
              <w:t>抽</w:t>
            </w:r>
            <w:r>
              <w:rPr>
                <w:rFonts w:hint="eastAsia" w:ascii="宋体" w:hAnsi="宋体" w:cs="宋体"/>
                <w:b/>
                <w:bCs/>
                <w:color w:val="auto"/>
                <w:kern w:val="0"/>
                <w:szCs w:val="21"/>
                <w:highlight w:val="none"/>
                <w:lang w:val="zh-CN"/>
              </w:rPr>
              <w:t>出</w:t>
            </w:r>
            <w:r>
              <w:rPr>
                <w:rFonts w:hint="eastAsia" w:ascii="宋体" w:hAnsi="宋体" w:cs="宋体"/>
                <w:b/>
                <w:bCs/>
                <w:color w:val="auto"/>
                <w:kern w:val="0"/>
                <w:szCs w:val="21"/>
                <w:highlight w:val="none"/>
                <w:lang w:val="en-US" w:eastAsia="zh-CN"/>
              </w:rPr>
              <w:t>十</w:t>
            </w:r>
            <w:r>
              <w:rPr>
                <w:rFonts w:hint="eastAsia" w:ascii="宋体" w:hAnsi="宋体" w:cs="宋体"/>
                <w:b/>
                <w:bCs/>
                <w:color w:val="auto"/>
                <w:kern w:val="0"/>
                <w:szCs w:val="21"/>
                <w:highlight w:val="none"/>
                <w:lang w:val="zh-CN"/>
              </w:rPr>
              <w:t>项主要清单项的综合单价进行评审、评分，计分办法为：</w:t>
            </w:r>
          </w:p>
          <w:p w14:paraId="5F9D1D62">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主要单价评标基准价的计算公式如下：</w:t>
            </w:r>
          </w:p>
          <w:p w14:paraId="6052F2F0">
            <w:pPr>
              <w:autoSpaceDE w:val="0"/>
              <w:autoSpaceDN w:val="0"/>
              <w:adjustRightInd w:val="0"/>
              <w:snapToGrid w:val="0"/>
              <w:spacing w:after="0" w:line="360" w:lineRule="auto"/>
              <w:rPr>
                <w:rFonts w:hint="eastAsia" w:ascii="宋体" w:hAnsi="宋体" w:cs="宋体"/>
                <w:b/>
                <w:bCs/>
                <w:color w:val="auto"/>
                <w:kern w:val="0"/>
                <w:szCs w:val="21"/>
                <w:highlight w:val="none"/>
                <w:lang w:val="zh-CN" w:eastAsia="zh-CN"/>
              </w:rPr>
            </w:pPr>
            <w:r>
              <w:rPr>
                <w:rFonts w:hint="eastAsia" w:ascii="宋体" w:hAnsi="宋体" w:cs="宋体"/>
                <w:b/>
                <w:bCs/>
                <w:color w:val="auto"/>
                <w:kern w:val="0"/>
                <w:szCs w:val="21"/>
                <w:highlight w:val="none"/>
                <w:lang w:val="zh-CN"/>
              </w:rPr>
              <w:t>Pi=fi</w:t>
            </w:r>
          </w:p>
          <w:p w14:paraId="29D12D09">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 xml:space="preserve"> 式中： Pi——第i个主要单价的评标基准价；</w:t>
            </w:r>
          </w:p>
          <w:p w14:paraId="2F614132">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 xml:space="preserve">        fi——有效投标人的第i个主要单价的算术平均值；</w:t>
            </w:r>
          </w:p>
          <w:p w14:paraId="4BB2E1CA">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fi值计算方法如下：</w:t>
            </w:r>
          </w:p>
          <w:p w14:paraId="19BDEBD8">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（1）当有效投标人个数n≥</w:t>
            </w:r>
            <w:r>
              <w:rPr>
                <w:rFonts w:hint="eastAsia" w:ascii="宋体" w:hAnsi="宋体" w:cs="宋体"/>
                <w:b/>
                <w:bCs/>
                <w:color w:val="auto"/>
                <w:kern w:val="0"/>
                <w:szCs w:val="21"/>
                <w:highlight w:val="none"/>
                <w:lang w:val="zh-CN" w:eastAsia="zh-CN"/>
              </w:rPr>
              <w:t>10</w:t>
            </w:r>
            <w:r>
              <w:rPr>
                <w:rFonts w:hint="eastAsia" w:ascii="宋体" w:hAnsi="宋体" w:cs="宋体"/>
                <w:b/>
                <w:bCs/>
                <w:color w:val="auto"/>
                <w:kern w:val="0"/>
                <w:szCs w:val="21"/>
                <w:highlight w:val="none"/>
                <w:lang w:val="zh-CN"/>
              </w:rPr>
              <w:t>时，去掉范围内的最高、次高、最低、次低四个投标报价后其余投标报价的算术平均值。</w:t>
            </w:r>
          </w:p>
          <w:p w14:paraId="063AED74">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（2）当有效投标人个数</w:t>
            </w:r>
            <w:r>
              <w:rPr>
                <w:rFonts w:hint="eastAsia" w:ascii="宋体" w:hAnsi="宋体" w:cs="宋体"/>
                <w:b/>
                <w:bCs/>
                <w:color w:val="auto"/>
                <w:kern w:val="0"/>
                <w:szCs w:val="21"/>
                <w:highlight w:val="none"/>
                <w:lang w:val="zh-CN" w:eastAsia="zh-CN"/>
              </w:rPr>
              <w:t>10</w:t>
            </w:r>
            <w:r>
              <w:rPr>
                <w:rFonts w:hint="eastAsia" w:ascii="宋体" w:hAnsi="宋体" w:cs="宋体"/>
                <w:b/>
                <w:bCs/>
                <w:color w:val="auto"/>
                <w:kern w:val="0"/>
                <w:szCs w:val="21"/>
                <w:highlight w:val="none"/>
                <w:lang w:val="zh-CN"/>
              </w:rPr>
              <w:t>&gt;n≥</w:t>
            </w:r>
            <w:r>
              <w:rPr>
                <w:rFonts w:hint="eastAsia" w:ascii="宋体" w:hAnsi="宋体" w:cs="宋体"/>
                <w:b/>
                <w:bCs/>
                <w:color w:val="auto"/>
                <w:kern w:val="0"/>
                <w:szCs w:val="21"/>
                <w:highlight w:val="none"/>
                <w:lang w:val="zh-CN" w:eastAsia="zh-CN"/>
              </w:rPr>
              <w:t>5</w:t>
            </w:r>
            <w:r>
              <w:rPr>
                <w:rFonts w:hint="eastAsia" w:ascii="宋体" w:hAnsi="宋体" w:cs="宋体"/>
                <w:b/>
                <w:bCs/>
                <w:color w:val="auto"/>
                <w:kern w:val="0"/>
                <w:szCs w:val="21"/>
                <w:highlight w:val="none"/>
                <w:lang w:val="zh-CN"/>
              </w:rPr>
              <w:t>时，去掉范围内的最高、最低二个投标报价后其余投标报价的算术平均值。</w:t>
            </w:r>
          </w:p>
          <w:p w14:paraId="4A7E08C3">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w:t>
            </w:r>
            <w:r>
              <w:rPr>
                <w:rFonts w:hint="eastAsia" w:ascii="宋体" w:hAnsi="宋体" w:cs="宋体"/>
                <w:b/>
                <w:bCs/>
                <w:color w:val="auto"/>
                <w:kern w:val="0"/>
                <w:szCs w:val="21"/>
                <w:highlight w:val="none"/>
                <w:lang w:val="zh-CN" w:eastAsia="zh-CN"/>
              </w:rPr>
              <w:t>3</w:t>
            </w:r>
            <w:r>
              <w:rPr>
                <w:rFonts w:hint="eastAsia" w:ascii="宋体" w:hAnsi="宋体" w:cs="宋体"/>
                <w:b/>
                <w:bCs/>
                <w:color w:val="auto"/>
                <w:kern w:val="0"/>
                <w:szCs w:val="21"/>
                <w:highlight w:val="none"/>
                <w:lang w:val="zh-CN"/>
              </w:rPr>
              <w:t>）当有效投标人个数n在n&lt;5且n≠0时，直接计算范围内的全部投标报价的算术平均值。</w:t>
            </w:r>
          </w:p>
          <w:p w14:paraId="67B7ACAC">
            <w:pPr>
              <w:autoSpaceDE w:val="0"/>
              <w:autoSpaceDN w:val="0"/>
              <w:adjustRightInd w:val="0"/>
              <w:snapToGrid w:val="0"/>
              <w:spacing w:after="0" w:line="360" w:lineRule="auto"/>
              <w:rPr>
                <w:rFonts w:ascii="宋体" w:hAnsi="宋体" w:cs="宋体"/>
                <w:b/>
                <w:color w:val="auto"/>
                <w:kern w:val="0"/>
                <w:szCs w:val="21"/>
                <w:highlight w:val="none"/>
                <w:lang w:val="zh-CN"/>
              </w:rPr>
            </w:pPr>
            <w:r>
              <w:rPr>
                <w:rFonts w:hint="eastAsia" w:ascii="宋体" w:hAnsi="宋体" w:cs="宋体"/>
                <w:b/>
                <w:bCs/>
                <w:color w:val="auto"/>
                <w:kern w:val="0"/>
                <w:szCs w:val="21"/>
                <w:highlight w:val="none"/>
                <w:lang w:val="zh-CN" w:eastAsia="zh-CN"/>
              </w:rPr>
              <w:t>（4）当有效投标人个数n=0时，主要单价评标基准价按下列公式计算：Pi=招标控制价×0.99。</w:t>
            </w:r>
          </w:p>
        </w:tc>
      </w:tr>
      <w:tr w14:paraId="695966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35F4B976">
            <w:pPr>
              <w:spacing w:after="0" w:line="360" w:lineRule="auto"/>
              <w:jc w:val="center"/>
              <w:rPr>
                <w:rFonts w:ascii="宋体" w:hAnsi="宋体"/>
                <w:color w:val="auto"/>
                <w:szCs w:val="21"/>
                <w:highlight w:val="none"/>
              </w:rPr>
            </w:pPr>
            <w:r>
              <w:rPr>
                <w:rFonts w:hint="eastAsia" w:ascii="宋体" w:hAnsi="宋体"/>
                <w:color w:val="auto"/>
                <w:szCs w:val="21"/>
                <w:highlight w:val="none"/>
              </w:rPr>
              <w:t>2.2.3</w:t>
            </w:r>
          </w:p>
        </w:tc>
        <w:tc>
          <w:tcPr>
            <w:tcW w:w="2226" w:type="dxa"/>
            <w:vAlign w:val="center"/>
          </w:tcPr>
          <w:p w14:paraId="087BB744">
            <w:pPr>
              <w:spacing w:after="0" w:line="360" w:lineRule="auto"/>
              <w:jc w:val="center"/>
              <w:rPr>
                <w:rFonts w:ascii="宋体" w:hAnsi="宋体"/>
                <w:color w:val="auto"/>
                <w:szCs w:val="21"/>
                <w:highlight w:val="none"/>
              </w:rPr>
            </w:pPr>
            <w:r>
              <w:rPr>
                <w:rFonts w:hint="eastAsia" w:ascii="宋体" w:hAnsi="宋体"/>
                <w:color w:val="auto"/>
                <w:szCs w:val="21"/>
                <w:highlight w:val="none"/>
              </w:rPr>
              <w:t>投标报价的偏差率</w:t>
            </w:r>
          </w:p>
          <w:p w14:paraId="0D32658D">
            <w:pPr>
              <w:spacing w:after="0" w:line="360" w:lineRule="auto"/>
              <w:jc w:val="center"/>
              <w:rPr>
                <w:rFonts w:ascii="宋体" w:hAnsi="宋体"/>
                <w:color w:val="auto"/>
                <w:szCs w:val="21"/>
                <w:highlight w:val="none"/>
              </w:rPr>
            </w:pPr>
            <w:r>
              <w:rPr>
                <w:rFonts w:hint="eastAsia" w:ascii="宋体" w:hAnsi="宋体"/>
                <w:color w:val="auto"/>
                <w:szCs w:val="21"/>
                <w:highlight w:val="none"/>
              </w:rPr>
              <w:t>计算公式</w:t>
            </w:r>
          </w:p>
        </w:tc>
        <w:tc>
          <w:tcPr>
            <w:tcW w:w="5918" w:type="dxa"/>
            <w:vAlign w:val="center"/>
          </w:tcPr>
          <w:p w14:paraId="616E8E63">
            <w:pPr>
              <w:spacing w:after="0" w:line="360" w:lineRule="auto"/>
              <w:rPr>
                <w:rFonts w:ascii="宋体" w:hAnsi="宋体" w:cs="宋体"/>
                <w:color w:val="auto"/>
                <w:kern w:val="0"/>
                <w:highlight w:val="none"/>
              </w:rPr>
            </w:pPr>
            <w:r>
              <w:rPr>
                <w:rFonts w:hint="eastAsia" w:ascii="宋体" w:hAnsi="宋体" w:cs="宋体"/>
                <w:color w:val="auto"/>
                <w:kern w:val="0"/>
                <w:highlight w:val="none"/>
              </w:rPr>
              <w:t>偏差率=100%×（投标人报价—评标基准价）/评标基准价（小数点后保留四位，第五位四舍五入）</w:t>
            </w:r>
          </w:p>
        </w:tc>
      </w:tr>
      <w:tr w14:paraId="5BA598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25C5A8BC">
            <w:pPr>
              <w:spacing w:after="0" w:line="360" w:lineRule="auto"/>
              <w:jc w:val="center"/>
              <w:rPr>
                <w:rFonts w:ascii="宋体" w:hAnsi="宋体"/>
                <w:color w:val="auto"/>
                <w:szCs w:val="21"/>
                <w:highlight w:val="none"/>
              </w:rPr>
            </w:pPr>
            <w:r>
              <w:rPr>
                <w:rFonts w:hint="eastAsia" w:ascii="宋体" w:hAnsi="宋体"/>
                <w:color w:val="auto"/>
                <w:szCs w:val="21"/>
                <w:highlight w:val="none"/>
              </w:rPr>
              <w:t>2.2.4（1）</w:t>
            </w:r>
          </w:p>
        </w:tc>
        <w:tc>
          <w:tcPr>
            <w:tcW w:w="2226" w:type="dxa"/>
            <w:vAlign w:val="center"/>
          </w:tcPr>
          <w:p w14:paraId="2AE7079E">
            <w:pPr>
              <w:adjustRightInd w:val="0"/>
              <w:snapToGrid w:val="0"/>
              <w:spacing w:after="0" w:line="360" w:lineRule="auto"/>
              <w:jc w:val="center"/>
              <w:rPr>
                <w:rFonts w:ascii="宋体" w:hAnsi="宋体"/>
                <w:color w:val="auto"/>
                <w:kern w:val="0"/>
                <w:highlight w:val="none"/>
              </w:rPr>
            </w:pPr>
            <w:r>
              <w:rPr>
                <w:rFonts w:hint="eastAsia" w:ascii="宋体" w:hAnsi="宋体" w:cs="宋体"/>
                <w:color w:val="auto"/>
                <w:kern w:val="0"/>
                <w:highlight w:val="none"/>
              </w:rPr>
              <w:t>主要单价的偏差率计算公式</w:t>
            </w:r>
          </w:p>
        </w:tc>
        <w:tc>
          <w:tcPr>
            <w:tcW w:w="5918" w:type="dxa"/>
            <w:vAlign w:val="center"/>
          </w:tcPr>
          <w:p w14:paraId="7C1C11A2">
            <w:pPr>
              <w:adjustRightInd w:val="0"/>
              <w:snapToGrid w:val="0"/>
              <w:spacing w:after="0" w:line="360" w:lineRule="auto"/>
              <w:jc w:val="left"/>
              <w:rPr>
                <w:rFonts w:ascii="宋体" w:hAnsi="宋体"/>
                <w:color w:val="auto"/>
                <w:kern w:val="0"/>
                <w:highlight w:val="none"/>
              </w:rPr>
            </w:pPr>
            <w:r>
              <w:rPr>
                <w:rFonts w:hint="eastAsia" w:ascii="宋体" w:hAnsi="宋体" w:cs="宋体"/>
                <w:color w:val="auto"/>
                <w:kern w:val="0"/>
                <w:highlight w:val="none"/>
              </w:rPr>
              <w:t>偏差率（</w:t>
            </w:r>
            <w:r>
              <w:rPr>
                <w:rFonts w:ascii="宋体" w:hAnsi="宋体" w:cs="宋体"/>
                <w:color w:val="auto"/>
                <w:kern w:val="0"/>
                <w:highlight w:val="none"/>
              </w:rPr>
              <w:t>Y</w:t>
            </w:r>
            <w:r>
              <w:rPr>
                <w:rFonts w:hint="eastAsia" w:ascii="宋体" w:hAnsi="宋体" w:cs="宋体"/>
                <w:color w:val="auto"/>
                <w:kern w:val="0"/>
                <w:highlight w:val="none"/>
              </w:rPr>
              <w:t>值）</w:t>
            </w:r>
            <w:r>
              <w:rPr>
                <w:rFonts w:ascii="宋体" w:hAnsi="宋体" w:cs="宋体"/>
                <w:color w:val="auto"/>
                <w:kern w:val="0"/>
                <w:highlight w:val="none"/>
              </w:rPr>
              <w:t>=l00%</w:t>
            </w:r>
            <w:r>
              <w:rPr>
                <w:rFonts w:hint="eastAsia" w:ascii="宋体" w:hAnsi="宋体" w:cs="宋体"/>
                <w:color w:val="auto"/>
                <w:kern w:val="0"/>
                <w:highlight w:val="none"/>
              </w:rPr>
              <w:t>×（投标人的第</w:t>
            </w:r>
            <w:r>
              <w:rPr>
                <w:rFonts w:ascii="宋体" w:hAnsi="宋体" w:cs="宋体"/>
                <w:color w:val="auto"/>
                <w:kern w:val="0"/>
                <w:highlight w:val="none"/>
              </w:rPr>
              <w:t>i</w:t>
            </w:r>
            <w:r>
              <w:rPr>
                <w:rFonts w:hint="eastAsia" w:ascii="宋体" w:hAnsi="宋体" w:cs="宋体"/>
                <w:color w:val="auto"/>
                <w:kern w:val="0"/>
                <w:highlight w:val="none"/>
              </w:rPr>
              <w:t>个主要单价一第</w:t>
            </w:r>
            <w:r>
              <w:rPr>
                <w:rFonts w:ascii="宋体" w:hAnsi="宋体" w:cs="宋体"/>
                <w:color w:val="auto"/>
                <w:kern w:val="0"/>
                <w:highlight w:val="none"/>
              </w:rPr>
              <w:t>i</w:t>
            </w:r>
            <w:r>
              <w:rPr>
                <w:rFonts w:hint="eastAsia" w:ascii="宋体" w:hAnsi="宋体" w:cs="宋体"/>
                <w:color w:val="auto"/>
                <w:kern w:val="0"/>
                <w:highlight w:val="none"/>
              </w:rPr>
              <w:t>个主要单价评标基准价）</w:t>
            </w:r>
            <w:r>
              <w:rPr>
                <w:rFonts w:ascii="宋体" w:hAnsi="宋体" w:cs="宋体"/>
                <w:color w:val="auto"/>
                <w:kern w:val="0"/>
                <w:highlight w:val="none"/>
              </w:rPr>
              <w:t>/</w:t>
            </w:r>
            <w:r>
              <w:rPr>
                <w:rFonts w:hint="eastAsia" w:ascii="宋体" w:hAnsi="宋体" w:cs="宋体"/>
                <w:color w:val="auto"/>
                <w:kern w:val="0"/>
                <w:highlight w:val="none"/>
              </w:rPr>
              <w:t>第</w:t>
            </w:r>
            <w:r>
              <w:rPr>
                <w:rFonts w:ascii="宋体" w:hAnsi="宋体" w:cs="宋体"/>
                <w:color w:val="auto"/>
                <w:kern w:val="0"/>
                <w:highlight w:val="none"/>
              </w:rPr>
              <w:t>i</w:t>
            </w:r>
            <w:r>
              <w:rPr>
                <w:rFonts w:hint="eastAsia" w:ascii="宋体" w:hAnsi="宋体" w:cs="宋体"/>
                <w:color w:val="auto"/>
                <w:kern w:val="0"/>
                <w:highlight w:val="none"/>
              </w:rPr>
              <w:t>个主要单价评标基准价</w:t>
            </w:r>
          </w:p>
          <w:p w14:paraId="5BDD80DE">
            <w:pPr>
              <w:adjustRightInd w:val="0"/>
              <w:snapToGrid w:val="0"/>
              <w:spacing w:after="0" w:line="360" w:lineRule="auto"/>
              <w:jc w:val="left"/>
              <w:rPr>
                <w:rFonts w:ascii="宋体" w:hAnsi="宋体"/>
                <w:color w:val="auto"/>
                <w:kern w:val="0"/>
                <w:highlight w:val="none"/>
              </w:rPr>
            </w:pPr>
            <w:r>
              <w:rPr>
                <w:rFonts w:hint="eastAsia" w:ascii="宋体" w:hAnsi="宋体" w:cs="宋体"/>
                <w:color w:val="auto"/>
                <w:kern w:val="0"/>
                <w:highlight w:val="none"/>
              </w:rPr>
              <w:t>偏差率小数点后保留四位，第五位四舍五入。</w:t>
            </w:r>
          </w:p>
        </w:tc>
      </w:tr>
      <w:tr w14:paraId="63B1ED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7AE37CE8">
            <w:pPr>
              <w:spacing w:after="0" w:line="360" w:lineRule="auto"/>
              <w:jc w:val="center"/>
              <w:rPr>
                <w:rFonts w:ascii="宋体" w:hAnsi="宋体"/>
                <w:color w:val="auto"/>
                <w:szCs w:val="21"/>
                <w:highlight w:val="none"/>
              </w:rPr>
            </w:pPr>
            <w:r>
              <w:rPr>
                <w:rFonts w:hint="eastAsia" w:ascii="宋体" w:hAnsi="宋体"/>
                <w:color w:val="auto"/>
                <w:szCs w:val="21"/>
                <w:highlight w:val="none"/>
              </w:rPr>
              <w:t>2.2.5</w:t>
            </w:r>
          </w:p>
        </w:tc>
        <w:tc>
          <w:tcPr>
            <w:tcW w:w="2226" w:type="dxa"/>
            <w:vAlign w:val="center"/>
          </w:tcPr>
          <w:p w14:paraId="043BD655">
            <w:pPr>
              <w:spacing w:after="0" w:line="360" w:lineRule="auto"/>
              <w:jc w:val="center"/>
              <w:rPr>
                <w:rFonts w:ascii="宋体" w:hAnsi="宋体"/>
                <w:color w:val="auto"/>
                <w:szCs w:val="21"/>
                <w:highlight w:val="none"/>
              </w:rPr>
            </w:pPr>
            <w:r>
              <w:rPr>
                <w:rFonts w:hint="eastAsia" w:ascii="宋体" w:hAnsi="宋体"/>
                <w:color w:val="auto"/>
                <w:szCs w:val="21"/>
                <w:highlight w:val="none"/>
              </w:rPr>
              <w:t>评分标准</w:t>
            </w:r>
          </w:p>
        </w:tc>
        <w:tc>
          <w:tcPr>
            <w:tcW w:w="5918" w:type="dxa"/>
            <w:vAlign w:val="center"/>
          </w:tcPr>
          <w:p w14:paraId="069A2CB6">
            <w:pPr>
              <w:spacing w:after="0" w:line="360" w:lineRule="auto"/>
              <w:rPr>
                <w:rFonts w:ascii="宋体" w:hAnsi="宋体"/>
                <w:color w:val="auto"/>
                <w:szCs w:val="21"/>
                <w:highlight w:val="none"/>
              </w:rPr>
            </w:pPr>
            <w:r>
              <w:rPr>
                <w:rFonts w:hint="eastAsia" w:ascii="宋体" w:hAnsi="宋体" w:cs="宋体"/>
                <w:color w:val="auto"/>
                <w:kern w:val="0"/>
                <w:szCs w:val="21"/>
                <w:highlight w:val="none"/>
                <w:lang w:val="zh-CN"/>
              </w:rPr>
              <w:t>见本章附件三:评分标准</w:t>
            </w:r>
          </w:p>
        </w:tc>
      </w:tr>
      <w:tr w14:paraId="1833F3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3BF407BB">
            <w:pPr>
              <w:spacing w:after="0" w:line="360" w:lineRule="auto"/>
              <w:jc w:val="center"/>
              <w:rPr>
                <w:rFonts w:ascii="宋体" w:hAnsi="宋体"/>
                <w:color w:val="auto"/>
                <w:szCs w:val="21"/>
                <w:highlight w:val="none"/>
              </w:rPr>
            </w:pPr>
            <w:r>
              <w:rPr>
                <w:rFonts w:hint="eastAsia" w:ascii="宋体" w:hAnsi="宋体"/>
                <w:color w:val="auto"/>
                <w:szCs w:val="21"/>
                <w:highlight w:val="none"/>
              </w:rPr>
              <w:t>2.2.</w:t>
            </w:r>
            <w:r>
              <w:rPr>
                <w:rFonts w:ascii="宋体" w:hAnsi="宋体"/>
                <w:color w:val="auto"/>
                <w:szCs w:val="21"/>
                <w:highlight w:val="none"/>
              </w:rPr>
              <w:t>6</w:t>
            </w:r>
          </w:p>
        </w:tc>
        <w:tc>
          <w:tcPr>
            <w:tcW w:w="2226" w:type="dxa"/>
            <w:vAlign w:val="center"/>
          </w:tcPr>
          <w:p w14:paraId="1BD956EB">
            <w:pPr>
              <w:spacing w:after="0" w:line="360" w:lineRule="auto"/>
              <w:jc w:val="center"/>
              <w:rPr>
                <w:rFonts w:ascii="宋体" w:hAnsi="宋体"/>
                <w:color w:val="auto"/>
                <w:szCs w:val="21"/>
                <w:highlight w:val="none"/>
              </w:rPr>
            </w:pPr>
            <w:r>
              <w:rPr>
                <w:rFonts w:hint="eastAsia" w:ascii="宋体" w:hAnsi="宋体"/>
                <w:color w:val="auto"/>
                <w:szCs w:val="21"/>
                <w:highlight w:val="none"/>
              </w:rPr>
              <w:t>投标人最终得分的计算方法</w:t>
            </w:r>
          </w:p>
        </w:tc>
        <w:tc>
          <w:tcPr>
            <w:tcW w:w="5918" w:type="dxa"/>
            <w:vAlign w:val="center"/>
          </w:tcPr>
          <w:p w14:paraId="7BE841DF">
            <w:pPr>
              <w:spacing w:after="0" w:line="360" w:lineRule="auto"/>
              <w:rPr>
                <w:rFonts w:ascii="宋体" w:hAnsi="宋体"/>
                <w:color w:val="auto"/>
                <w:szCs w:val="21"/>
                <w:highlight w:val="none"/>
              </w:rPr>
            </w:pPr>
            <w:r>
              <w:rPr>
                <w:rFonts w:hint="eastAsia" w:ascii="宋体" w:hAnsi="宋体" w:cs="宋体"/>
                <w:b/>
                <w:bCs/>
                <w:color w:val="auto"/>
                <w:kern w:val="0"/>
                <w:szCs w:val="21"/>
                <w:highlight w:val="none"/>
                <w:lang w:val="zh-CN"/>
              </w:rPr>
              <w:t>投标人最终得分：评标委员会对该投标人投标文件各评分项的评分之和。</w:t>
            </w:r>
          </w:p>
        </w:tc>
      </w:tr>
    </w:tbl>
    <w:p w14:paraId="3A133DBE">
      <w:pPr>
        <w:rPr>
          <w:color w:val="auto"/>
          <w:highlight w:val="none"/>
          <w:lang w:val="zh-CN"/>
        </w:rPr>
      </w:pPr>
    </w:p>
    <w:p w14:paraId="460B3390">
      <w:pPr>
        <w:pStyle w:val="7"/>
        <w:ind w:firstLine="400"/>
        <w:rPr>
          <w:color w:val="auto"/>
          <w:highlight w:val="none"/>
        </w:rPr>
      </w:pPr>
    </w:p>
    <w:p w14:paraId="36C5F41A">
      <w:pPr>
        <w:pStyle w:val="7"/>
        <w:ind w:firstLine="400"/>
        <w:rPr>
          <w:color w:val="auto"/>
          <w:highlight w:val="none"/>
        </w:rPr>
      </w:pPr>
    </w:p>
    <w:bookmarkEnd w:id="426"/>
    <w:bookmarkEnd w:id="427"/>
    <w:bookmarkEnd w:id="428"/>
    <w:bookmarkEnd w:id="429"/>
    <w:bookmarkEnd w:id="430"/>
    <w:bookmarkEnd w:id="431"/>
    <w:bookmarkEnd w:id="432"/>
    <w:bookmarkEnd w:id="433"/>
    <w:bookmarkEnd w:id="434"/>
    <w:p w14:paraId="63326CA6">
      <w:pPr>
        <w:widowControl/>
        <w:spacing w:after="0" w:line="400" w:lineRule="exact"/>
        <w:jc w:val="left"/>
        <w:outlineLvl w:val="1"/>
        <w:rPr>
          <w:rFonts w:ascii="宋体" w:hAnsi="宋体"/>
          <w:color w:val="auto"/>
          <w:sz w:val="24"/>
          <w:highlight w:val="none"/>
        </w:rPr>
      </w:pPr>
      <w:r>
        <w:rPr>
          <w:rFonts w:ascii="宋体" w:hAnsi="宋体"/>
          <w:color w:val="auto"/>
          <w:sz w:val="24"/>
          <w:highlight w:val="none"/>
        </w:rPr>
        <w:br w:type="page"/>
      </w:r>
      <w:bookmarkStart w:id="445" w:name="_Toc144747490"/>
      <w:bookmarkStart w:id="446" w:name="_Toc31935"/>
      <w:r>
        <w:rPr>
          <w:rFonts w:hint="eastAsia" w:ascii="宋体" w:hAnsi="宋体"/>
          <w:b/>
          <w:bCs/>
          <w:color w:val="auto"/>
          <w:kern w:val="0"/>
          <w:sz w:val="24"/>
          <w:szCs w:val="32"/>
          <w:highlight w:val="none"/>
          <w:lang w:val="zh-CN"/>
        </w:rPr>
        <w:t>1.评标方法</w:t>
      </w:r>
      <w:bookmarkEnd w:id="445"/>
      <w:bookmarkEnd w:id="446"/>
    </w:p>
    <w:p w14:paraId="207F0907">
      <w:pPr>
        <w:spacing w:after="0" w:line="400" w:lineRule="exact"/>
        <w:ind w:firstLine="420" w:firstLineChars="200"/>
        <w:rPr>
          <w:rFonts w:ascii="宋体" w:hAnsi="宋体"/>
          <w:color w:val="auto"/>
          <w:szCs w:val="21"/>
          <w:highlight w:val="none"/>
        </w:rPr>
      </w:pPr>
      <w:r>
        <w:rPr>
          <w:rFonts w:hint="eastAsia" w:ascii="宋体" w:hAnsi="宋体"/>
          <w:color w:val="auto"/>
          <w:szCs w:val="21"/>
          <w:highlight w:val="none"/>
        </w:rPr>
        <w:t>1.1 本次评标采用</w:t>
      </w:r>
      <w:r>
        <w:rPr>
          <w:rFonts w:hint="eastAsia" w:ascii="宋体" w:hAnsi="宋体"/>
          <w:b/>
          <w:color w:val="auto"/>
          <w:szCs w:val="21"/>
          <w:highlight w:val="none"/>
        </w:rPr>
        <w:t>综合评估法</w:t>
      </w:r>
      <w:r>
        <w:rPr>
          <w:rFonts w:hint="eastAsia" w:ascii="宋体" w:hAnsi="宋体"/>
          <w:color w:val="auto"/>
          <w:szCs w:val="21"/>
          <w:highlight w:val="none"/>
        </w:rPr>
        <w:t>。评标委员会对满足招标文件实质性要求的投标文件，按照本章第2.2 款规定的评分标准进行评分，按投标人的最终得分由高到低顺序推荐中标候选人。若出现排序有2家以上并列的，以投标报价低的优先；若投标报价也相等，则由评标委员会投票决定，票数最多者优先。</w:t>
      </w:r>
    </w:p>
    <w:p w14:paraId="448A1A86">
      <w:pPr>
        <w:pStyle w:val="5"/>
        <w:spacing w:before="0" w:after="0" w:line="400" w:lineRule="exact"/>
        <w:jc w:val="left"/>
        <w:rPr>
          <w:rFonts w:ascii="宋体" w:hAnsi="宋体" w:eastAsia="宋体"/>
          <w:color w:val="auto"/>
          <w:sz w:val="24"/>
          <w:highlight w:val="none"/>
        </w:rPr>
      </w:pPr>
      <w:bookmarkStart w:id="447" w:name="_Toc144747491"/>
      <w:bookmarkStart w:id="448" w:name="_Toc27897"/>
      <w:bookmarkStart w:id="449" w:name="_Toc387229544"/>
      <w:bookmarkStart w:id="450" w:name="_Toc274933656"/>
      <w:r>
        <w:rPr>
          <w:rFonts w:hint="eastAsia" w:ascii="宋体" w:hAnsi="宋体" w:eastAsia="宋体"/>
          <w:color w:val="auto"/>
          <w:sz w:val="24"/>
          <w:highlight w:val="none"/>
        </w:rPr>
        <w:t>2.评审标准</w:t>
      </w:r>
      <w:bookmarkEnd w:id="447"/>
      <w:bookmarkEnd w:id="448"/>
      <w:bookmarkEnd w:id="449"/>
      <w:bookmarkEnd w:id="450"/>
    </w:p>
    <w:p w14:paraId="01285D60">
      <w:pPr>
        <w:spacing w:after="0" w:line="400" w:lineRule="exact"/>
        <w:rPr>
          <w:rFonts w:ascii="宋体" w:hAnsi="宋体"/>
          <w:b/>
          <w:color w:val="auto"/>
          <w:sz w:val="24"/>
          <w:highlight w:val="none"/>
        </w:rPr>
      </w:pPr>
      <w:bookmarkStart w:id="451" w:name="_Toc269048165"/>
      <w:bookmarkStart w:id="452" w:name="_Toc144974570"/>
      <w:bookmarkStart w:id="453" w:name="_Toc168475718"/>
      <w:bookmarkStart w:id="454" w:name="_Toc168476121"/>
      <w:bookmarkStart w:id="455" w:name="_Toc221950490"/>
      <w:r>
        <w:rPr>
          <w:rFonts w:hint="eastAsia" w:ascii="宋体" w:hAnsi="宋体"/>
          <w:b/>
          <w:color w:val="auto"/>
          <w:sz w:val="24"/>
          <w:highlight w:val="none"/>
        </w:rPr>
        <w:t>2.1 初步评审标准</w:t>
      </w:r>
      <w:bookmarkEnd w:id="451"/>
    </w:p>
    <w:p w14:paraId="0492E56D">
      <w:pPr>
        <w:autoSpaceDE w:val="0"/>
        <w:autoSpaceDN w:val="0"/>
        <w:adjustRightInd w:val="0"/>
        <w:snapToGrid w:val="0"/>
        <w:spacing w:after="0" w:line="400" w:lineRule="exact"/>
        <w:ind w:firstLine="420"/>
        <w:rPr>
          <w:rFonts w:ascii="宋体" w:hAnsi="宋体"/>
          <w:b/>
          <w:color w:val="auto"/>
          <w:szCs w:val="21"/>
          <w:highlight w:val="none"/>
        </w:rPr>
      </w:pPr>
      <w:r>
        <w:rPr>
          <w:rFonts w:ascii="宋体" w:hAnsi="宋体"/>
          <w:b/>
          <w:color w:val="auto"/>
          <w:szCs w:val="21"/>
          <w:highlight w:val="none"/>
        </w:rPr>
        <w:t>2.1.1</w:t>
      </w:r>
      <w:r>
        <w:rPr>
          <w:rFonts w:hint="eastAsia" w:ascii="宋体" w:hAnsi="宋体" w:cs="宋体"/>
          <w:b/>
          <w:color w:val="auto"/>
          <w:szCs w:val="21"/>
          <w:highlight w:val="none"/>
          <w:lang w:val="zh-CN"/>
        </w:rPr>
        <w:t>形式评审标准</w:t>
      </w:r>
      <w:r>
        <w:rPr>
          <w:rFonts w:ascii="宋体" w:hAnsi="宋体"/>
          <w:b/>
          <w:color w:val="auto"/>
          <w:szCs w:val="21"/>
          <w:highlight w:val="none"/>
        </w:rPr>
        <w:t>:</w:t>
      </w:r>
    </w:p>
    <w:p w14:paraId="127826E5">
      <w:pPr>
        <w:autoSpaceDE w:val="0"/>
        <w:autoSpaceDN w:val="0"/>
        <w:adjustRightInd w:val="0"/>
        <w:snapToGrid w:val="0"/>
        <w:spacing w:after="0" w:line="400" w:lineRule="exact"/>
        <w:ind w:firstLine="420"/>
        <w:rPr>
          <w:rFonts w:ascii="宋体" w:hAnsi="宋体"/>
          <w:color w:val="auto"/>
          <w:szCs w:val="21"/>
          <w:highlight w:val="none"/>
        </w:rPr>
      </w:pPr>
      <w:r>
        <w:rPr>
          <w:rFonts w:hint="eastAsia" w:ascii="宋体" w:hAnsi="宋体" w:cs="宋体"/>
          <w:color w:val="auto"/>
          <w:szCs w:val="21"/>
          <w:highlight w:val="none"/>
          <w:lang w:val="zh-CN"/>
        </w:rPr>
        <w:t>见评标办法前附表。</w:t>
      </w:r>
    </w:p>
    <w:p w14:paraId="2678E92E">
      <w:pPr>
        <w:autoSpaceDE w:val="0"/>
        <w:autoSpaceDN w:val="0"/>
        <w:adjustRightInd w:val="0"/>
        <w:snapToGrid w:val="0"/>
        <w:spacing w:after="0" w:line="400" w:lineRule="exact"/>
        <w:ind w:firstLine="420"/>
        <w:rPr>
          <w:rFonts w:ascii="宋体" w:hAnsi="宋体"/>
          <w:b/>
          <w:color w:val="auto"/>
          <w:szCs w:val="21"/>
          <w:highlight w:val="none"/>
        </w:rPr>
      </w:pPr>
      <w:r>
        <w:rPr>
          <w:rFonts w:hint="eastAsia" w:ascii="宋体" w:hAnsi="宋体"/>
          <w:b/>
          <w:color w:val="auto"/>
          <w:szCs w:val="21"/>
          <w:highlight w:val="none"/>
        </w:rPr>
        <w:t>2.1.2资格评审标准：</w:t>
      </w:r>
    </w:p>
    <w:p w14:paraId="079656F2">
      <w:pPr>
        <w:autoSpaceDE w:val="0"/>
        <w:autoSpaceDN w:val="0"/>
        <w:adjustRightInd w:val="0"/>
        <w:snapToGrid w:val="0"/>
        <w:spacing w:after="0" w:line="400" w:lineRule="exact"/>
        <w:ind w:firstLine="420"/>
        <w:rPr>
          <w:rFonts w:ascii="宋体" w:hAnsi="宋体" w:cs="宋体"/>
          <w:color w:val="auto"/>
          <w:kern w:val="0"/>
          <w:szCs w:val="21"/>
          <w:highlight w:val="none"/>
        </w:rPr>
      </w:pPr>
      <w:r>
        <w:rPr>
          <w:rFonts w:hint="eastAsia" w:ascii="宋体" w:hAnsi="宋体" w:cs="宋体"/>
          <w:color w:val="auto"/>
          <w:szCs w:val="21"/>
          <w:highlight w:val="none"/>
          <w:lang w:val="zh-CN"/>
        </w:rPr>
        <w:t>见评标办法前附表。</w:t>
      </w:r>
    </w:p>
    <w:p w14:paraId="2D9247AC">
      <w:pPr>
        <w:autoSpaceDE w:val="0"/>
        <w:autoSpaceDN w:val="0"/>
        <w:adjustRightInd w:val="0"/>
        <w:snapToGrid w:val="0"/>
        <w:spacing w:after="0" w:line="400" w:lineRule="exact"/>
        <w:ind w:firstLine="420"/>
        <w:rPr>
          <w:rFonts w:ascii="宋体" w:hAnsi="宋体"/>
          <w:b/>
          <w:color w:val="auto"/>
          <w:szCs w:val="21"/>
          <w:highlight w:val="none"/>
        </w:rPr>
      </w:pPr>
      <w:r>
        <w:rPr>
          <w:rFonts w:ascii="宋体" w:hAnsi="宋体"/>
          <w:b/>
          <w:color w:val="auto"/>
          <w:szCs w:val="21"/>
          <w:highlight w:val="none"/>
        </w:rPr>
        <w:t>2.1.3</w:t>
      </w:r>
      <w:r>
        <w:rPr>
          <w:rFonts w:hint="eastAsia" w:ascii="宋体" w:hAnsi="宋体"/>
          <w:b/>
          <w:color w:val="auto"/>
          <w:szCs w:val="21"/>
          <w:highlight w:val="none"/>
        </w:rPr>
        <w:t>响应性评审标准</w:t>
      </w:r>
      <w:r>
        <w:rPr>
          <w:rFonts w:ascii="宋体" w:hAnsi="宋体"/>
          <w:b/>
          <w:color w:val="auto"/>
          <w:szCs w:val="21"/>
          <w:highlight w:val="none"/>
        </w:rPr>
        <w:t>:</w:t>
      </w:r>
    </w:p>
    <w:p w14:paraId="5FD46F71">
      <w:pPr>
        <w:pStyle w:val="21"/>
        <w:spacing w:after="0" w:line="400" w:lineRule="exact"/>
        <w:rPr>
          <w:rFonts w:ascii="宋体" w:hAnsi="宋体" w:cs="宋体"/>
          <w:color w:val="auto"/>
          <w:kern w:val="2"/>
          <w:sz w:val="21"/>
          <w:szCs w:val="21"/>
          <w:highlight w:val="none"/>
        </w:rPr>
      </w:pPr>
      <w:r>
        <w:rPr>
          <w:rFonts w:hint="eastAsia" w:ascii="宋体" w:hAnsi="宋体" w:cs="宋体"/>
          <w:color w:val="auto"/>
          <w:kern w:val="2"/>
          <w:sz w:val="21"/>
          <w:szCs w:val="21"/>
          <w:highlight w:val="none"/>
        </w:rPr>
        <w:tab/>
      </w:r>
      <w:r>
        <w:rPr>
          <w:rFonts w:hint="eastAsia" w:ascii="宋体" w:hAnsi="宋体" w:cs="宋体"/>
          <w:color w:val="auto"/>
          <w:kern w:val="2"/>
          <w:sz w:val="21"/>
          <w:szCs w:val="21"/>
          <w:highlight w:val="none"/>
        </w:rPr>
        <w:t>见评标办法前附表。</w:t>
      </w:r>
    </w:p>
    <w:p w14:paraId="73C439B5">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auto"/>
          <w:sz w:val="24"/>
          <w:highlight w:val="none"/>
        </w:rPr>
        <w:t>2.2 分值构成与评分标准</w:t>
      </w:r>
    </w:p>
    <w:bookmarkEnd w:id="452"/>
    <w:bookmarkEnd w:id="453"/>
    <w:bookmarkEnd w:id="454"/>
    <w:bookmarkEnd w:id="455"/>
    <w:p w14:paraId="49E6D807">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bookmarkStart w:id="456" w:name="_Toc387229545"/>
      <w:bookmarkStart w:id="457" w:name="_Toc274933657"/>
      <w:bookmarkStart w:id="458" w:name="_Toc269048167"/>
      <w:bookmarkStart w:id="459" w:name="_Toc221950514"/>
      <w:r>
        <w:rPr>
          <w:rFonts w:hint="eastAsia" w:ascii="宋体" w:hAnsi="宋体"/>
          <w:color w:val="000000" w:themeColor="text1"/>
          <w:szCs w:val="21"/>
          <w14:textFill>
            <w14:solidFill>
              <w14:schemeClr w14:val="tx1"/>
            </w14:solidFill>
          </w14:textFill>
        </w:rPr>
        <w:t>2.2.1 分值构成</w:t>
      </w:r>
    </w:p>
    <w:p w14:paraId="37FA6760">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（1）施工组织设计：见评标办法前附表；</w:t>
      </w:r>
    </w:p>
    <w:p w14:paraId="1C5C97C2">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（2）项目管理机构：见评标办法前附表；</w:t>
      </w:r>
    </w:p>
    <w:p w14:paraId="2736A4B3">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（3）投标报价：见评标办法前附表；</w:t>
      </w:r>
    </w:p>
    <w:p w14:paraId="76593BD8">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）其他评分因素：见评标办法前附表。</w:t>
      </w:r>
    </w:p>
    <w:p w14:paraId="5859BEFC">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2.2.2 </w:t>
      </w:r>
      <w:r>
        <w:rPr>
          <w:rFonts w:hint="eastAsia" w:ascii="宋体" w:hAnsi="宋体" w:cs="宋体"/>
          <w:color w:val="000000" w:themeColor="text1"/>
          <w:szCs w:val="21"/>
          <w:lang w:val="zh-CN"/>
          <w14:textFill>
            <w14:solidFill>
              <w14:schemeClr w14:val="tx1"/>
            </w14:solidFill>
          </w14:textFill>
        </w:rPr>
        <w:t>采用一定范围的有效报价的平均数确定评标基准价：</w:t>
      </w:r>
      <w:r>
        <w:rPr>
          <w:rFonts w:hint="eastAsia" w:ascii="宋体" w:hAnsi="宋体"/>
          <w:color w:val="000000" w:themeColor="text1"/>
          <w:szCs w:val="21"/>
          <w14:textFill>
            <w14:solidFill>
              <w14:schemeClr w14:val="tx1"/>
            </w14:solidFill>
          </w14:textFill>
        </w:rPr>
        <w:t>见评标办法前附表。</w:t>
      </w:r>
    </w:p>
    <w:p w14:paraId="0600AA95">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2.2.3</w:t>
      </w:r>
      <w:r>
        <w:rPr>
          <w:rFonts w:hint="eastAsia" w:ascii="宋体" w:hAnsi="宋体" w:cs="宋体"/>
          <w:color w:val="000000" w:themeColor="text1"/>
          <w:szCs w:val="21"/>
          <w:lang w:val="zh-CN"/>
          <w14:textFill>
            <w14:solidFill>
              <w14:schemeClr w14:val="tx1"/>
            </w14:solidFill>
          </w14:textFill>
        </w:rPr>
        <w:t>投标报价的偏差率计算方法：</w:t>
      </w:r>
    </w:p>
    <w:p w14:paraId="629CD238">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偏差率=(投标人报价-评标基准价)÷评标基准价×100%</w:t>
      </w:r>
    </w:p>
    <w:p w14:paraId="3539A21C">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2.2.4</w:t>
      </w:r>
      <w:r>
        <w:rPr>
          <w:rFonts w:hint="eastAsia" w:ascii="宋体" w:hAnsi="宋体"/>
          <w:color w:val="000000" w:themeColor="text1"/>
          <w:szCs w:val="21"/>
          <w14:textFill>
            <w14:solidFill>
              <w14:schemeClr w14:val="tx1"/>
            </w14:solidFill>
          </w14:textFill>
        </w:rPr>
        <w:t>主要单价的偏差率计算公式：评标办法前附表。</w:t>
      </w:r>
    </w:p>
    <w:p w14:paraId="7F0CD7FF">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2.2.5</w:t>
      </w:r>
      <w:r>
        <w:rPr>
          <w:rFonts w:hint="eastAsia" w:ascii="宋体" w:hAnsi="宋体" w:cs="宋体"/>
          <w:color w:val="000000" w:themeColor="text1"/>
          <w:szCs w:val="21"/>
          <w:lang w:val="zh-CN"/>
          <w14:textFill>
            <w14:solidFill>
              <w14:schemeClr w14:val="tx1"/>
            </w14:solidFill>
          </w14:textFill>
        </w:rPr>
        <w:t>评分标准：按照本章附件三：评分标准。</w:t>
      </w:r>
    </w:p>
    <w:p w14:paraId="2AC74AF2">
      <w:pPr>
        <w:pStyle w:val="5"/>
        <w:spacing w:before="0" w:after="0" w:line="400" w:lineRule="exact"/>
        <w:jc w:val="left"/>
        <w:rPr>
          <w:rFonts w:ascii="宋体" w:hAnsi="宋体" w:eastAsia="宋体"/>
          <w:color w:val="000000" w:themeColor="text1"/>
          <w:sz w:val="24"/>
          <w14:textFill>
            <w14:solidFill>
              <w14:schemeClr w14:val="tx1"/>
            </w14:solidFill>
          </w14:textFill>
        </w:rPr>
      </w:pPr>
      <w:bookmarkStart w:id="460" w:name="_Toc144747492"/>
      <w:bookmarkStart w:id="461" w:name="_Toc24984"/>
      <w:r>
        <w:rPr>
          <w:rFonts w:hint="eastAsia" w:ascii="宋体" w:hAnsi="宋体" w:eastAsia="宋体"/>
          <w:color w:val="000000" w:themeColor="text1"/>
          <w:sz w:val="24"/>
          <w14:textFill>
            <w14:solidFill>
              <w14:schemeClr w14:val="tx1"/>
            </w14:solidFill>
          </w14:textFill>
        </w:rPr>
        <w:t>3.评标程序</w:t>
      </w:r>
      <w:bookmarkEnd w:id="456"/>
      <w:bookmarkEnd w:id="457"/>
      <w:bookmarkEnd w:id="458"/>
      <w:bookmarkEnd w:id="460"/>
      <w:bookmarkEnd w:id="461"/>
    </w:p>
    <w:p w14:paraId="3A9302C0">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3.1</w:t>
      </w:r>
      <w:bookmarkStart w:id="462" w:name="_Toc269048168"/>
      <w:r>
        <w:rPr>
          <w:rFonts w:hint="eastAsia" w:ascii="宋体" w:hAnsi="宋体"/>
          <w:b/>
          <w:color w:val="000000" w:themeColor="text1"/>
          <w:sz w:val="24"/>
          <w14:textFill>
            <w14:solidFill>
              <w14:schemeClr w14:val="tx1"/>
            </w14:solidFill>
          </w14:textFill>
        </w:rPr>
        <w:t>初步评审</w:t>
      </w:r>
      <w:bookmarkEnd w:id="462"/>
    </w:p>
    <w:p w14:paraId="34DD5B9D">
      <w:pPr>
        <w:spacing w:after="0" w:line="400" w:lineRule="exact"/>
        <w:ind w:firstLine="420" w:firstLineChars="200"/>
        <w:rPr>
          <w:rFonts w:ascii="宋体" w:hAnsi="宋体"/>
          <w:color w:val="000000" w:themeColor="text1"/>
          <w14:textFill>
            <w14:solidFill>
              <w14:schemeClr w14:val="tx1"/>
            </w14:solidFill>
          </w14:textFill>
        </w:rPr>
      </w:pPr>
      <w:bookmarkStart w:id="463" w:name="_Toc269048169"/>
      <w:r>
        <w:rPr>
          <w:rFonts w:hint="eastAsia" w:ascii="宋体" w:hAnsi="宋体"/>
          <w:color w:val="000000" w:themeColor="text1"/>
          <w:szCs w:val="21"/>
          <w14:textFill>
            <w14:solidFill>
              <w14:schemeClr w14:val="tx1"/>
            </w14:solidFill>
          </w14:textFill>
        </w:rPr>
        <w:t>3.1.1 本工程采用资格后审，评标委员会依据本章第2.1.2款规定的标准对投标文件进行初步审查。有一项不符合评审标准的，作否决标处理。</w:t>
      </w:r>
    </w:p>
    <w:p w14:paraId="2B10640A">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3.1.2 投标人有以下情形之一的，</w:t>
      </w:r>
      <w:r>
        <w:rPr>
          <w:rFonts w:hint="eastAsia" w:ascii="宋体" w:hAnsi="宋体" w:cs="宋体"/>
          <w:color w:val="000000" w:themeColor="text1"/>
          <w14:textFill>
            <w14:solidFill>
              <w14:schemeClr w14:val="tx1"/>
            </w14:solidFill>
          </w14:textFill>
        </w:rPr>
        <w:t>评标委员会应当否决其投标</w:t>
      </w:r>
      <w:r>
        <w:rPr>
          <w:rFonts w:hint="eastAsia" w:ascii="宋体" w:hAnsi="宋体"/>
          <w:color w:val="000000" w:themeColor="text1"/>
          <w:szCs w:val="21"/>
          <w14:textFill>
            <w14:solidFill>
              <w14:schemeClr w14:val="tx1"/>
            </w14:solidFill>
          </w14:textFill>
        </w:rPr>
        <w:t>：</w:t>
      </w:r>
    </w:p>
    <w:p w14:paraId="2EDA8A7B">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（1）串通投标或弄虚作假或有其他违法行为的；</w:t>
      </w:r>
    </w:p>
    <w:p w14:paraId="10FF6907">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（2）不按评标委员会要求澄清、说明或补正的。</w:t>
      </w:r>
    </w:p>
    <w:p w14:paraId="316CEAF0">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3.1.3 投标报价有算术错误的，评标委员会按以下原则对投标报价进行修正，修正的价格经投标人书面确认后具有约束力。投标人不接受修正价格的，</w:t>
      </w:r>
      <w:r>
        <w:rPr>
          <w:rFonts w:hint="eastAsia" w:ascii="宋体" w:hAnsi="宋体" w:cs="宋体"/>
          <w:color w:val="000000" w:themeColor="text1"/>
          <w14:textFill>
            <w14:solidFill>
              <w14:schemeClr w14:val="tx1"/>
            </w14:solidFill>
          </w14:textFill>
        </w:rPr>
        <w:t>评标委员会应当否决其投标</w:t>
      </w:r>
      <w:r>
        <w:rPr>
          <w:rFonts w:hint="eastAsia" w:ascii="宋体" w:hAnsi="宋体"/>
          <w:color w:val="000000" w:themeColor="text1"/>
          <w:szCs w:val="21"/>
          <w14:textFill>
            <w14:solidFill>
              <w14:schemeClr w14:val="tx1"/>
            </w14:solidFill>
          </w14:textFill>
        </w:rPr>
        <w:t>。</w:t>
      </w:r>
    </w:p>
    <w:p w14:paraId="3A7DD846">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（1）投标文件中的大写金额与小写金额不一致的，以大写金额为准；</w:t>
      </w:r>
    </w:p>
    <w:p w14:paraId="08DEBC2A">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（2）总价金额与依据单价计算出的结果不一致的，以单价金额为准修正总价，但单价金额小数点有明显错误的除外；对不同文字文本投标文件的解释发生异议的，以中文文本为准。</w:t>
      </w:r>
    </w:p>
    <w:p w14:paraId="63E55CB7">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3.3 详细评审</w:t>
      </w:r>
      <w:bookmarkEnd w:id="463"/>
    </w:p>
    <w:p w14:paraId="7122C0EE">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bookmarkStart w:id="464" w:name="_Toc269048170"/>
      <w:r>
        <w:rPr>
          <w:rFonts w:hint="eastAsia" w:ascii="宋体" w:hAnsi="宋体"/>
          <w:color w:val="000000" w:themeColor="text1"/>
          <w:szCs w:val="21"/>
          <w14:textFill>
            <w14:solidFill>
              <w14:schemeClr w14:val="tx1"/>
            </w14:solidFill>
          </w14:textFill>
        </w:rPr>
        <w:t>3.2.1 评标委员会按本章第2.2款规定的量化因素和分值进行打分，并取平均值计算出综合评估得分。</w:t>
      </w:r>
    </w:p>
    <w:p w14:paraId="5D504C3E">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3.2.2 评分分值计算保留小数点后两位,小数点后第三位“四舍五入”。</w:t>
      </w:r>
    </w:p>
    <w:p w14:paraId="6C89C202">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3.2.3 投标人得分=</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Z= a×S +（1-a）×J-扣分分值</w:t>
      </w:r>
    </w:p>
    <w:p w14:paraId="7BE4BE9C">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其中：</w:t>
      </w:r>
    </w:p>
    <w:p w14:paraId="1171587E">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Z：指投标人的最后得分；</w:t>
      </w:r>
    </w:p>
    <w:p w14:paraId="445C89F4">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S：指投标人的商务部分得分；</w:t>
      </w:r>
    </w:p>
    <w:p w14:paraId="2D25279D">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J：指投标人的技术部分得分；</w:t>
      </w:r>
    </w:p>
    <w:p w14:paraId="056D80F0">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a：指商务部分的权重数；</w:t>
      </w:r>
    </w:p>
    <w:p w14:paraId="54F834ED">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a值由招标人根据工程技术复杂程度和施工技术要求在0.80-0.90进行取值，并在招标文件中予以明确。</w:t>
      </w:r>
    </w:p>
    <w:p w14:paraId="51135BB6">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3.2.4 评标委员会发现投标人的报价明显低于其他投标报价，或者在设有标底时明显低于标底，使得其投标报价可能低于其成本的，应当要求该投标人作出书面说明并提供相应的证明材料。投标人不能合理说明或者不能提供相应证明材料的，由评标委员会认定该投标人以低于成本报价竞标，其投标评标委员会</w:t>
      </w:r>
      <w:r>
        <w:rPr>
          <w:rFonts w:hint="eastAsia" w:ascii="宋体" w:hAnsi="宋体" w:cs="宋体"/>
          <w:color w:val="000000" w:themeColor="text1"/>
          <w14:textFill>
            <w14:solidFill>
              <w14:schemeClr w14:val="tx1"/>
            </w14:solidFill>
          </w14:textFill>
        </w:rPr>
        <w:t>应当否决</w:t>
      </w:r>
      <w:r>
        <w:rPr>
          <w:rFonts w:hint="eastAsia" w:ascii="宋体" w:hAnsi="宋体"/>
          <w:color w:val="000000" w:themeColor="text1"/>
          <w:szCs w:val="21"/>
          <w14:textFill>
            <w14:solidFill>
              <w14:schemeClr w14:val="tx1"/>
            </w14:solidFill>
          </w14:textFill>
        </w:rPr>
        <w:t>。</w:t>
      </w:r>
    </w:p>
    <w:p w14:paraId="6EB2395E">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3.3 投标文件的澄清和补正</w:t>
      </w:r>
      <w:bookmarkEnd w:id="464"/>
    </w:p>
    <w:p w14:paraId="464FCCB3">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3.3.1 在评标过程中，评标委员会可以书面形式要求投标人对所提交的投标文件中不明确的内容进行书面澄清或说明，或者对细微偏差进行补正。评标委员会不接受投标人主动提出的澄清、说明或补正。</w:t>
      </w:r>
    </w:p>
    <w:p w14:paraId="7E6CCB1C">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3.3.2 澄清、说明和补正不得改变投标文件的实质性内容（算术性错误修正的除外）。投标人的书面澄清、说明和补正属于投标文件的组成部分。</w:t>
      </w:r>
    </w:p>
    <w:p w14:paraId="2EB8FA71">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3.3.3 评标委员会对投标人提交的澄清、说明或补正有疑问的，可以要求投标人进一步澄清、说明或补正，直至满足评标委员会的要求。</w:t>
      </w:r>
    </w:p>
    <w:p w14:paraId="096C91E7">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3.4评标结果</w:t>
      </w:r>
    </w:p>
    <w:bookmarkEnd w:id="459"/>
    <w:p w14:paraId="2525FE05">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3.4.1</w:t>
      </w:r>
      <w:r>
        <w:rPr>
          <w:rFonts w:hint="eastAsia" w:ascii="宋体" w:hAnsi="宋体"/>
          <w:color w:val="000000" w:themeColor="text1"/>
          <w:szCs w:val="21"/>
          <w:lang w:val="zh-CN"/>
          <w14:textFill>
            <w14:solidFill>
              <w14:schemeClr w14:val="tx1"/>
            </w14:solidFill>
          </w14:textFill>
        </w:rPr>
        <w:t>评标委员会依据本章第</w:t>
      </w:r>
      <w:r>
        <w:rPr>
          <w:rFonts w:ascii="宋体" w:hAnsi="宋体"/>
          <w:color w:val="000000" w:themeColor="text1"/>
          <w:szCs w:val="21"/>
          <w14:textFill>
            <w14:solidFill>
              <w14:schemeClr w14:val="tx1"/>
            </w14:solidFill>
          </w14:textFill>
        </w:rPr>
        <w:t>2.2</w:t>
      </w:r>
      <w:r>
        <w:rPr>
          <w:rFonts w:hint="eastAsia" w:ascii="宋体" w:hAnsi="宋体"/>
          <w:color w:val="000000" w:themeColor="text1"/>
          <w:szCs w:val="21"/>
          <w:lang w:val="zh-CN"/>
          <w14:textFill>
            <w14:solidFill>
              <w14:schemeClr w14:val="tx1"/>
            </w14:solidFill>
          </w14:textFill>
        </w:rPr>
        <w:t>条评分标准进行评分，按评标办法前附表的约定计算投标人最</w:t>
      </w:r>
      <w:r>
        <w:rPr>
          <w:rFonts w:hint="eastAsia" w:ascii="宋体" w:hAnsi="宋体"/>
          <w:color w:val="000000" w:themeColor="text1"/>
          <w:szCs w:val="21"/>
          <w14:textFill>
            <w14:solidFill>
              <w14:schemeClr w14:val="tx1"/>
            </w14:solidFill>
          </w14:textFill>
        </w:rPr>
        <w:t>终得分，根据得分由高到低的顺序推荐</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名中标候选人，并标明推荐顺序。评标结果将于评标结束3日内在本项目招标公告发布的同一媒介上公示,公示有效期3个工作日。</w:t>
      </w:r>
    </w:p>
    <w:p w14:paraId="3D8EDB03">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3.4.2 评标委员会完成评标后，应当向招标人提交书面评标报告。</w:t>
      </w:r>
    </w:p>
    <w:p w14:paraId="2C74C9B9">
      <w:pPr>
        <w:autoSpaceDE w:val="0"/>
        <w:autoSpaceDN w:val="0"/>
        <w:adjustRightInd w:val="0"/>
        <w:snapToGrid w:val="0"/>
        <w:spacing w:after="0" w:line="360" w:lineRule="auto"/>
        <w:ind w:firstLine="420"/>
        <w:rPr>
          <w:rFonts w:ascii="宋体" w:hAnsi="宋体"/>
          <w:color w:val="000000" w:themeColor="text1"/>
          <w:szCs w:val="21"/>
          <w14:textFill>
            <w14:solidFill>
              <w14:schemeClr w14:val="tx1"/>
            </w14:solidFill>
          </w14:textFill>
        </w:rPr>
      </w:pPr>
    </w:p>
    <w:p w14:paraId="4E75FAE4">
      <w:pPr>
        <w:autoSpaceDE w:val="0"/>
        <w:autoSpaceDN w:val="0"/>
        <w:adjustRightInd w:val="0"/>
        <w:snapToGrid w:val="0"/>
        <w:spacing w:after="0" w:line="360" w:lineRule="auto"/>
        <w:ind w:firstLine="420"/>
        <w:rPr>
          <w:rFonts w:ascii="宋体" w:hAnsi="宋体"/>
          <w:color w:val="000000" w:themeColor="text1"/>
          <w:szCs w:val="21"/>
          <w14:textFill>
            <w14:solidFill>
              <w14:schemeClr w14:val="tx1"/>
            </w14:solidFill>
          </w14:textFill>
        </w:rPr>
        <w:sectPr>
          <w:footerReference r:id="rId5" w:type="default"/>
          <w:pgSz w:w="11907" w:h="16840"/>
          <w:pgMar w:top="1417" w:right="1418" w:bottom="1417" w:left="1418" w:header="851" w:footer="850" w:gutter="0"/>
          <w:pgNumType w:start="1"/>
          <w:cols w:space="0" w:num="1"/>
          <w:docGrid w:linePitch="312" w:charSpace="0"/>
        </w:sectPr>
      </w:pPr>
    </w:p>
    <w:p w14:paraId="13AF6D50">
      <w:pPr>
        <w:spacing w:after="0"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附</w:t>
      </w:r>
      <w:r>
        <w:rPr>
          <w:rFonts w:hint="eastAsia" w:ascii="宋体" w:hAnsi="宋体"/>
          <w:b/>
          <w:color w:val="000000" w:themeColor="text1"/>
          <w:sz w:val="28"/>
          <w:szCs w:val="28"/>
          <w14:textFill>
            <w14:solidFill>
              <w14:schemeClr w14:val="tx1"/>
            </w14:solidFill>
          </w14:textFill>
        </w:rPr>
        <w:t>件一</w:t>
      </w:r>
      <w:r>
        <w:rPr>
          <w:rFonts w:ascii="宋体" w:hAnsi="宋体"/>
          <w:b/>
          <w:color w:val="000000" w:themeColor="text1"/>
          <w:sz w:val="28"/>
          <w:szCs w:val="28"/>
          <w14:textFill>
            <w14:solidFill>
              <w14:schemeClr w14:val="tx1"/>
            </w14:solidFill>
          </w14:textFill>
        </w:rPr>
        <w:t>：</w:t>
      </w:r>
      <w:r>
        <w:rPr>
          <w:rFonts w:hint="eastAsia" w:ascii="宋体" w:hAnsi="宋体"/>
          <w:b/>
          <w:color w:val="000000" w:themeColor="text1"/>
          <w:sz w:val="28"/>
          <w:szCs w:val="28"/>
          <w14:textFill>
            <w14:solidFill>
              <w14:schemeClr w14:val="tx1"/>
            </w14:solidFill>
          </w14:textFill>
        </w:rPr>
        <w:t>投标文件</w:t>
      </w:r>
      <w:r>
        <w:rPr>
          <w:rFonts w:ascii="宋体" w:hAnsi="宋体"/>
          <w:b/>
          <w:color w:val="000000" w:themeColor="text1"/>
          <w:sz w:val="28"/>
          <w:szCs w:val="28"/>
          <w14:textFill>
            <w14:solidFill>
              <w14:schemeClr w14:val="tx1"/>
            </w14:solidFill>
          </w14:textFill>
        </w:rPr>
        <w:t>澄清通知</w:t>
      </w:r>
    </w:p>
    <w:p w14:paraId="4C0155FA">
      <w:pPr>
        <w:spacing w:after="0" w:line="360" w:lineRule="auto"/>
        <w:jc w:val="center"/>
        <w:rPr>
          <w:rFonts w:ascii="宋体" w:hAnsi="宋体"/>
          <w:color w:val="000000" w:themeColor="text1"/>
          <w:sz w:val="20"/>
          <w:szCs w:val="20"/>
          <w14:textFill>
            <w14:solidFill>
              <w14:schemeClr w14:val="tx1"/>
            </w14:solidFill>
          </w14:textFill>
        </w:rPr>
      </w:pPr>
    </w:p>
    <w:p w14:paraId="6A4C2F56">
      <w:pPr>
        <w:spacing w:after="0" w:line="360" w:lineRule="auto"/>
        <w:jc w:val="center"/>
        <w:rPr>
          <w:rFonts w:ascii="宋体" w:hAnsi="宋体"/>
          <w:b/>
          <w:color w:val="000000" w:themeColor="text1"/>
          <w:sz w:val="23"/>
          <w:szCs w:val="21"/>
          <w14:textFill>
            <w14:solidFill>
              <w14:schemeClr w14:val="tx1"/>
            </w14:solidFill>
          </w14:textFill>
        </w:rPr>
      </w:pPr>
      <w:r>
        <w:rPr>
          <w:rFonts w:hint="eastAsia" w:ascii="宋体" w:hAnsi="宋体"/>
          <w:b/>
          <w:color w:val="000000" w:themeColor="text1"/>
          <w:sz w:val="23"/>
          <w:szCs w:val="21"/>
          <w14:textFill>
            <w14:solidFill>
              <w14:schemeClr w14:val="tx1"/>
            </w14:solidFill>
          </w14:textFill>
        </w:rPr>
        <w:t>投标文件</w:t>
      </w:r>
      <w:r>
        <w:rPr>
          <w:rFonts w:ascii="宋体" w:hAnsi="宋体"/>
          <w:b/>
          <w:color w:val="000000" w:themeColor="text1"/>
          <w:sz w:val="23"/>
          <w:szCs w:val="21"/>
          <w14:textFill>
            <w14:solidFill>
              <w14:schemeClr w14:val="tx1"/>
            </w14:solidFill>
          </w14:textFill>
        </w:rPr>
        <w:t>澄清通知</w:t>
      </w:r>
    </w:p>
    <w:p w14:paraId="07C0D614">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编号：</w:t>
      </w:r>
    </w:p>
    <w:p w14:paraId="0BE17CF5">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投标人名称</w:t>
      </w:r>
      <w:r>
        <w:rPr>
          <w:rFonts w:ascii="宋体" w:hAnsi="宋体"/>
          <w:color w:val="000000" w:themeColor="text1"/>
          <w:szCs w:val="21"/>
          <w14:textFill>
            <w14:solidFill>
              <w14:schemeClr w14:val="tx1"/>
            </w14:solidFill>
          </w14:textFill>
        </w:rPr>
        <w:t>）：</w:t>
      </w:r>
    </w:p>
    <w:p w14:paraId="6483859D">
      <w:pPr>
        <w:spacing w:after="0"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（项目（标段）名称）        </w:t>
      </w:r>
      <w:r>
        <w:rPr>
          <w:rFonts w:ascii="宋体" w:hAnsi="宋体"/>
          <w:color w:val="000000" w:themeColor="text1"/>
          <w:szCs w:val="21"/>
          <w14:textFill>
            <w14:solidFill>
              <w14:schemeClr w14:val="tx1"/>
            </w14:solidFill>
          </w14:textFill>
        </w:rPr>
        <w:t>评标委员会对你方的投标文件进行了仔细的审查，现需你方对下列问题以书面形式予以澄清：</w:t>
      </w:r>
    </w:p>
    <w:p w14:paraId="24A9C43C">
      <w:pPr>
        <w:spacing w:after="0" w:line="360" w:lineRule="auto"/>
        <w:rPr>
          <w:rFonts w:ascii="宋体" w:hAnsi="宋体"/>
          <w:color w:val="000000" w:themeColor="text1"/>
          <w:szCs w:val="21"/>
          <w14:textFill>
            <w14:solidFill>
              <w14:schemeClr w14:val="tx1"/>
            </w14:solidFill>
          </w14:textFill>
        </w:rPr>
      </w:pPr>
    </w:p>
    <w:p w14:paraId="1FD9F05D">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1.</w:t>
      </w:r>
    </w:p>
    <w:p w14:paraId="06E6ECF7">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2.</w:t>
      </w:r>
    </w:p>
    <w:p w14:paraId="641D76A7">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   </w:t>
      </w:r>
    </w:p>
    <w:p w14:paraId="595DC3FA">
      <w:pPr>
        <w:spacing w:after="0" w:line="360" w:lineRule="auto"/>
        <w:rPr>
          <w:rFonts w:ascii="宋体" w:hAnsi="宋体"/>
          <w:color w:val="000000" w:themeColor="text1"/>
          <w:szCs w:val="21"/>
          <w14:textFill>
            <w14:solidFill>
              <w14:schemeClr w14:val="tx1"/>
            </w14:solidFill>
          </w14:textFill>
        </w:rPr>
      </w:pPr>
    </w:p>
    <w:p w14:paraId="7D342974">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请将上述问题的澄清于</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时前递交至</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（详细地址）。</w:t>
      </w:r>
    </w:p>
    <w:p w14:paraId="55274CF6">
      <w:pPr>
        <w:spacing w:after="0" w:line="360" w:lineRule="auto"/>
        <w:rPr>
          <w:rFonts w:ascii="宋体" w:hAnsi="宋体"/>
          <w:color w:val="000000" w:themeColor="text1"/>
          <w:szCs w:val="21"/>
          <w14:textFill>
            <w14:solidFill>
              <w14:schemeClr w14:val="tx1"/>
            </w14:solidFill>
          </w14:textFill>
        </w:rPr>
      </w:pPr>
    </w:p>
    <w:p w14:paraId="5FC06317">
      <w:pPr>
        <w:spacing w:after="0" w:line="360" w:lineRule="auto"/>
        <w:jc w:val="righ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评标委员会负责人</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签字</w:t>
      </w:r>
      <w:r>
        <w:rPr>
          <w:rFonts w:ascii="宋体" w:hAnsi="宋体"/>
          <w:color w:val="000000" w:themeColor="text1"/>
          <w:szCs w:val="21"/>
          <w14:textFill>
            <w14:solidFill>
              <w14:schemeClr w14:val="tx1"/>
            </w14:solidFill>
          </w14:textFill>
        </w:rPr>
        <w:t>）</w:t>
      </w:r>
    </w:p>
    <w:p w14:paraId="72A64E82">
      <w:pPr>
        <w:spacing w:after="0" w:line="360" w:lineRule="auto"/>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年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月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p>
    <w:p w14:paraId="711EB34E">
      <w:pPr>
        <w:widowControl/>
        <w:spacing w:after="0" w:line="360" w:lineRule="auto"/>
        <w:jc w:val="lef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br w:type="page"/>
      </w:r>
    </w:p>
    <w:p w14:paraId="41D1AEB2">
      <w:pPr>
        <w:spacing w:after="0"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附件二：投标文件澄清函</w:t>
      </w:r>
    </w:p>
    <w:p w14:paraId="2427CA24">
      <w:pPr>
        <w:spacing w:after="0" w:line="360" w:lineRule="auto"/>
        <w:rPr>
          <w:rFonts w:ascii="宋体" w:hAnsi="宋体"/>
          <w:color w:val="000000" w:themeColor="text1"/>
          <w:sz w:val="27"/>
          <w:szCs w:val="27"/>
          <w14:textFill>
            <w14:solidFill>
              <w14:schemeClr w14:val="tx1"/>
            </w14:solidFill>
          </w14:textFill>
        </w:rPr>
      </w:pPr>
    </w:p>
    <w:p w14:paraId="25829B00">
      <w:pPr>
        <w:spacing w:after="0" w:line="360" w:lineRule="auto"/>
        <w:jc w:val="center"/>
        <w:rPr>
          <w:rFonts w:ascii="宋体" w:hAnsi="宋体"/>
          <w:b/>
          <w:color w:val="000000" w:themeColor="text1"/>
          <w:sz w:val="23"/>
          <w:szCs w:val="21"/>
          <w14:textFill>
            <w14:solidFill>
              <w14:schemeClr w14:val="tx1"/>
            </w14:solidFill>
          </w14:textFill>
        </w:rPr>
      </w:pPr>
      <w:r>
        <w:rPr>
          <w:rFonts w:hint="eastAsia" w:ascii="宋体" w:hAnsi="宋体"/>
          <w:b/>
          <w:color w:val="000000" w:themeColor="text1"/>
          <w:sz w:val="23"/>
          <w:szCs w:val="21"/>
          <w14:textFill>
            <w14:solidFill>
              <w14:schemeClr w14:val="tx1"/>
            </w14:solidFill>
          </w14:textFill>
        </w:rPr>
        <w:t>投标文件澄清函</w:t>
      </w:r>
    </w:p>
    <w:p w14:paraId="1E811343">
      <w:pPr>
        <w:spacing w:after="0" w:line="360" w:lineRule="auto"/>
        <w:ind w:firstLine="3780" w:firstLineChars="18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编号： </w:t>
      </w:r>
    </w:p>
    <w:p w14:paraId="58CCB706">
      <w:pPr>
        <w:spacing w:after="0" w:line="360" w:lineRule="auto"/>
        <w:rPr>
          <w:rFonts w:ascii="宋体" w:hAnsi="宋体"/>
          <w:color w:val="000000" w:themeColor="text1"/>
          <w:szCs w:val="21"/>
          <w14:textFill>
            <w14:solidFill>
              <w14:schemeClr w14:val="tx1"/>
            </w14:solidFill>
          </w14:textFill>
        </w:rPr>
      </w:pPr>
    </w:p>
    <w:p w14:paraId="4096382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项目（标段）名称）     </w:t>
      </w:r>
      <w:r>
        <w:rPr>
          <w:rFonts w:ascii="宋体" w:hAnsi="宋体"/>
          <w:color w:val="000000" w:themeColor="text1"/>
          <w:szCs w:val="21"/>
          <w14:textFill>
            <w14:solidFill>
              <w14:schemeClr w14:val="tx1"/>
            </w14:solidFill>
          </w14:textFill>
        </w:rPr>
        <w:t>评标委员会：</w:t>
      </w:r>
    </w:p>
    <w:p w14:paraId="5DF5C567">
      <w:pPr>
        <w:spacing w:after="0" w:line="360" w:lineRule="auto"/>
        <w:rPr>
          <w:rFonts w:ascii="宋体" w:hAnsi="宋体"/>
          <w:color w:val="000000" w:themeColor="text1"/>
          <w:szCs w:val="21"/>
          <w14:textFill>
            <w14:solidFill>
              <w14:schemeClr w14:val="tx1"/>
            </w14:solidFill>
          </w14:textFill>
        </w:rPr>
      </w:pPr>
    </w:p>
    <w:p w14:paraId="38A2DCF5">
      <w:pPr>
        <w:spacing w:after="0" w:line="360" w:lineRule="auto"/>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w:t>
      </w:r>
      <w:r>
        <w:rPr>
          <w:rFonts w:ascii="宋体" w:hAnsi="宋体"/>
          <w:color w:val="000000" w:themeColor="text1"/>
          <w:szCs w:val="21"/>
          <w14:textFill>
            <w14:solidFill>
              <w14:schemeClr w14:val="tx1"/>
            </w14:solidFill>
          </w14:textFill>
        </w:rPr>
        <w:t>澄清通知（编号：</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）已收悉，现</w:t>
      </w:r>
      <w:r>
        <w:rPr>
          <w:rFonts w:hint="eastAsia" w:ascii="宋体" w:hAnsi="宋体"/>
          <w:color w:val="000000" w:themeColor="text1"/>
          <w:szCs w:val="21"/>
          <w14:textFill>
            <w14:solidFill>
              <w14:schemeClr w14:val="tx1"/>
            </w14:solidFill>
          </w14:textFill>
        </w:rPr>
        <w:t>就有关问题</w:t>
      </w:r>
      <w:r>
        <w:rPr>
          <w:rFonts w:ascii="宋体" w:hAnsi="宋体"/>
          <w:color w:val="000000" w:themeColor="text1"/>
          <w:szCs w:val="21"/>
          <w14:textFill>
            <w14:solidFill>
              <w14:schemeClr w14:val="tx1"/>
            </w14:solidFill>
          </w14:textFill>
        </w:rPr>
        <w:t>澄清如下：</w:t>
      </w:r>
    </w:p>
    <w:p w14:paraId="5B0362FE">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1.</w:t>
      </w:r>
    </w:p>
    <w:p w14:paraId="2BF988C2">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2.</w:t>
      </w:r>
    </w:p>
    <w:p w14:paraId="1F005631">
      <w:pPr>
        <w:spacing w:after="0" w:line="360" w:lineRule="auto"/>
        <w:rPr>
          <w:rFonts w:ascii="宋体" w:hAnsi="宋体"/>
          <w:color w:val="000000" w:themeColor="text1"/>
          <w:szCs w:val="21"/>
          <w14:textFill>
            <w14:solidFill>
              <w14:schemeClr w14:val="tx1"/>
            </w14:solidFill>
          </w14:textFill>
        </w:rPr>
      </w:pPr>
    </w:p>
    <w:p w14:paraId="6AF755DD">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2DA5E4BD">
      <w:pPr>
        <w:spacing w:after="0" w:line="360" w:lineRule="auto"/>
        <w:rPr>
          <w:rFonts w:ascii="宋体" w:hAnsi="宋体"/>
          <w:color w:val="000000" w:themeColor="text1"/>
          <w:szCs w:val="21"/>
          <w14:textFill>
            <w14:solidFill>
              <w14:schemeClr w14:val="tx1"/>
            </w14:solidFill>
          </w14:textFill>
        </w:rPr>
      </w:pPr>
    </w:p>
    <w:p w14:paraId="5044FE67">
      <w:pPr>
        <w:spacing w:after="0" w:line="360" w:lineRule="auto"/>
        <w:rPr>
          <w:rFonts w:ascii="宋体" w:hAnsi="宋体"/>
          <w:color w:val="000000" w:themeColor="text1"/>
          <w:szCs w:val="21"/>
          <w14:textFill>
            <w14:solidFill>
              <w14:schemeClr w14:val="tx1"/>
            </w14:solidFill>
          </w14:textFill>
        </w:rPr>
      </w:pPr>
    </w:p>
    <w:p w14:paraId="01E083C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投标人：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全称及盖单位章</w:t>
      </w:r>
      <w:r>
        <w:rPr>
          <w:rFonts w:ascii="宋体" w:hAnsi="宋体"/>
          <w:color w:val="000000" w:themeColor="text1"/>
          <w:szCs w:val="21"/>
          <w14:textFill>
            <w14:solidFill>
              <w14:schemeClr w14:val="tx1"/>
            </w14:solidFill>
          </w14:textFill>
        </w:rPr>
        <w:t>）</w:t>
      </w:r>
    </w:p>
    <w:p w14:paraId="1D2CDC70">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5D11786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法定代表人或其</w:t>
      </w:r>
      <w:r>
        <w:rPr>
          <w:rFonts w:hint="eastAsia" w:ascii="宋体" w:hAnsi="宋体"/>
          <w:color w:val="000000" w:themeColor="text1"/>
          <w:szCs w:val="21"/>
          <w14:textFill>
            <w14:solidFill>
              <w14:schemeClr w14:val="tx1"/>
            </w14:solidFill>
          </w14:textFill>
        </w:rPr>
        <w:t>委托</w:t>
      </w:r>
      <w:r>
        <w:rPr>
          <w:rFonts w:ascii="宋体" w:hAnsi="宋体"/>
          <w:color w:val="000000" w:themeColor="text1"/>
          <w:szCs w:val="21"/>
          <w14:textFill>
            <w14:solidFill>
              <w14:schemeClr w14:val="tx1"/>
            </w14:solidFill>
          </w14:textFill>
        </w:rPr>
        <w:t>代理人：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（签字）</w:t>
      </w:r>
    </w:p>
    <w:p w14:paraId="0245BFDF">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48DE926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p>
    <w:p w14:paraId="1DA40CDC">
      <w:pPr>
        <w:spacing w:after="0" w:line="360" w:lineRule="auto"/>
        <w:rPr>
          <w:rFonts w:ascii="宋体" w:hAnsi="宋体"/>
          <w:color w:val="000000" w:themeColor="text1"/>
          <w:szCs w:val="21"/>
          <w14:textFill>
            <w14:solidFill>
              <w14:schemeClr w14:val="tx1"/>
            </w14:solidFill>
          </w14:textFill>
        </w:rPr>
      </w:pPr>
    </w:p>
    <w:p w14:paraId="398E1350">
      <w:pPr>
        <w:widowControl/>
        <w:spacing w:after="0" w:line="240" w:lineRule="auto"/>
        <w:jc w:val="left"/>
        <w:rPr>
          <w:rFonts w:ascii="宋体" w:hAnsi="宋体"/>
          <w:b/>
          <w:bCs/>
          <w:color w:val="000000" w:themeColor="text1"/>
          <w:kern w:val="0"/>
          <w:sz w:val="24"/>
          <w:szCs w:val="32"/>
          <w:lang w:val="zh-CN"/>
          <w14:textFill>
            <w14:solidFill>
              <w14:schemeClr w14:val="tx1"/>
            </w14:solidFill>
          </w14:textFill>
        </w:rPr>
      </w:pPr>
      <w:bookmarkStart w:id="465" w:name="_Toc406504090"/>
      <w:r>
        <w:rPr>
          <w:rFonts w:ascii="宋体" w:hAnsi="宋体"/>
          <w:color w:val="000000" w:themeColor="text1"/>
          <w:sz w:val="24"/>
          <w14:textFill>
            <w14:solidFill>
              <w14:schemeClr w14:val="tx1"/>
            </w14:solidFill>
          </w14:textFill>
        </w:rPr>
        <w:br w:type="page"/>
      </w:r>
    </w:p>
    <w:p w14:paraId="1A87B12B">
      <w:pPr>
        <w:spacing w:after="0"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附件三：评分标准</w:t>
      </w:r>
      <w:bookmarkEnd w:id="465"/>
    </w:p>
    <w:p w14:paraId="62A46E93">
      <w:pPr>
        <w:autoSpaceDE w:val="0"/>
        <w:autoSpaceDN w:val="0"/>
        <w:adjustRightInd w:val="0"/>
        <w:snapToGrid w:val="0"/>
        <w:spacing w:after="0" w:line="360" w:lineRule="auto"/>
        <w:jc w:val="center"/>
        <w:rPr>
          <w:rFonts w:ascii="宋体" w:hAnsi="宋体" w:cs="宋体"/>
          <w:b/>
          <w:bCs/>
          <w:color w:val="000000" w:themeColor="text1"/>
          <w:spacing w:val="20"/>
          <w:sz w:val="28"/>
          <w:szCs w:val="28"/>
          <w:lang w:val="zh-CN"/>
          <w14:textFill>
            <w14:solidFill>
              <w14:schemeClr w14:val="tx1"/>
            </w14:solidFill>
          </w14:textFill>
        </w:rPr>
      </w:pPr>
      <w:r>
        <w:rPr>
          <w:rFonts w:hint="eastAsia" w:ascii="宋体" w:hAnsi="宋体" w:cs="宋体"/>
          <w:b/>
          <w:bCs/>
          <w:color w:val="000000" w:themeColor="text1"/>
          <w:spacing w:val="20"/>
          <w:sz w:val="28"/>
          <w:szCs w:val="28"/>
          <w:lang w:val="zh-CN"/>
          <w14:textFill>
            <w14:solidFill>
              <w14:schemeClr w14:val="tx1"/>
            </w14:solidFill>
          </w14:textFill>
        </w:rPr>
        <w:t>评分标准</w:t>
      </w:r>
    </w:p>
    <w:p w14:paraId="5932E0D5">
      <w:pPr>
        <w:spacing w:after="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一、技术部分评审</w:t>
      </w:r>
    </w:p>
    <w:p w14:paraId="0FE826A5">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技术部分评审包括施工组织设计评审及</w:t>
      </w:r>
      <w:r>
        <w:rPr>
          <w:rFonts w:hint="eastAsia" w:ascii="宋体" w:hAnsi="宋体"/>
          <w:b/>
          <w:bCs/>
          <w:color w:val="000000" w:themeColor="text1"/>
          <w:szCs w:val="21"/>
          <w14:textFill>
            <w14:solidFill>
              <w14:schemeClr w14:val="tx1"/>
            </w14:solidFill>
          </w14:textFill>
        </w:rPr>
        <w:t>项目管理机构评审</w:t>
      </w:r>
      <w:r>
        <w:rPr>
          <w:rFonts w:hint="eastAsia" w:ascii="宋体" w:hAnsi="宋体"/>
          <w:b/>
          <w:color w:val="000000" w:themeColor="text1"/>
          <w:szCs w:val="21"/>
          <w14:textFill>
            <w14:solidFill>
              <w14:schemeClr w14:val="tx1"/>
            </w14:solidFill>
          </w14:textFill>
        </w:rPr>
        <w:t>。</w:t>
      </w:r>
    </w:p>
    <w:p w14:paraId="581F448F">
      <w:pPr>
        <w:spacing w:after="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1.施工组织设计评审（总分100分，共8个分项）</w:t>
      </w:r>
    </w:p>
    <w:p w14:paraId="4295F9C4">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1.1施工组织措施（15分）</w:t>
      </w:r>
    </w:p>
    <w:p w14:paraId="0E9BA98D">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第一档：施工组织措施有力且满足招标文件要求的得13-15分；</w:t>
      </w:r>
    </w:p>
    <w:p w14:paraId="04C4356E">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第二档：施工组织措施一般但满足招标文件要求的得9-12分；</w:t>
      </w:r>
    </w:p>
    <w:p w14:paraId="76428111">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第三档：施工组织措施一般且存在不合理措施的得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-8分；</w:t>
      </w:r>
    </w:p>
    <w:p w14:paraId="705E6DA5">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第四档：无施工组织措施或者不能满足招标文件的得0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71A15889">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1.2施工技术方案与工序（15分）</w:t>
      </w:r>
    </w:p>
    <w:p w14:paraId="55CE7AE0">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第一档：施工技术方案、工序详细且完全满足本工程实际情况的得13-15分；</w:t>
      </w:r>
    </w:p>
    <w:p w14:paraId="6D4CCDFF">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第二档：施工技术方案、工序一般但能满足本工程实际情况的得9-12分；</w:t>
      </w:r>
    </w:p>
    <w:p w14:paraId="36879BAF">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第三档：施工技术方案、工序一般且存在不合理情况的得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-8分；</w:t>
      </w:r>
    </w:p>
    <w:p w14:paraId="0B6C5FB8">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第四档：无施工技术方案和工序或者不能满足本工程的得0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57A0D2D6">
      <w:pPr>
        <w:spacing w:after="0" w:line="360" w:lineRule="auto"/>
        <w:ind w:firstLine="474" w:firstLineChars="225"/>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1.3工程质量保证措施及承诺（15分）</w:t>
      </w:r>
    </w:p>
    <w:p w14:paraId="5AD0B05F">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第一档：质量管理体系完善、有周密的质量保证措施，质量控制措施有针对性得1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分；</w:t>
      </w:r>
    </w:p>
    <w:p w14:paraId="130B03F5">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第二档：质量管理体系可行、有质量保证措施，质量控制措施可行得</w:t>
      </w:r>
      <w:r>
        <w:rPr>
          <w:rFonts w:hint="eastAsia" w:ascii="宋体" w:hAnsi="宋体"/>
          <w:color w:val="000000" w:themeColor="text1"/>
          <w:szCs w:val="21"/>
          <w:lang w:val="en-US" w:eastAsia="zh-CN"/>
          <w14:textFill>
            <w14:solidFill>
              <w14:schemeClr w14:val="tx1"/>
            </w14:solidFill>
          </w14:textFill>
        </w:rPr>
        <w:t>9</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12</w:t>
      </w:r>
      <w:r>
        <w:rPr>
          <w:rFonts w:hint="eastAsia" w:ascii="宋体" w:hAnsi="宋体"/>
          <w:color w:val="000000" w:themeColor="text1"/>
          <w:szCs w:val="21"/>
          <w14:textFill>
            <w14:solidFill>
              <w14:schemeClr w14:val="tx1"/>
            </w14:solidFill>
          </w14:textFill>
        </w:rPr>
        <w:t>分；</w:t>
      </w:r>
    </w:p>
    <w:p w14:paraId="28A38082">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第三档：有质量管理体系、有质量保证措施，质量控制措施存在不足，有不满足工程实际要求的得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分；</w:t>
      </w:r>
    </w:p>
    <w:p w14:paraId="2385BF0A">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第四档：有质量管理体系、有质量保证措施，质量控制措施存在严重不足，不能满足工程实际要求的得0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5CFEA4DE">
      <w:pPr>
        <w:spacing w:after="0" w:line="360" w:lineRule="auto"/>
        <w:ind w:firstLine="474" w:firstLineChars="225"/>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1.4工期保证措施及承诺（15分）</w:t>
      </w:r>
    </w:p>
    <w:p w14:paraId="3007C85E">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第一档：工期保证措施满足工程实际要求、有完善配合协调措施的得1</w:t>
      </w:r>
      <w:r>
        <w:rPr>
          <w:rFonts w:ascii="宋体" w:hAnsi="宋体"/>
          <w:bCs/>
          <w:color w:val="000000" w:themeColor="text1"/>
          <w:szCs w:val="21"/>
          <w14:textFill>
            <w14:solidFill>
              <w14:schemeClr w14:val="tx1"/>
            </w14:solidFill>
          </w14:textFill>
        </w:rPr>
        <w:t>3</w:t>
      </w:r>
      <w:r>
        <w:rPr>
          <w:rFonts w:hint="eastAsia" w:ascii="宋体" w:hAnsi="宋体"/>
          <w:bCs/>
          <w:color w:val="000000" w:themeColor="text1"/>
          <w:szCs w:val="21"/>
          <w14:textFill>
            <w14:solidFill>
              <w14:schemeClr w14:val="tx1"/>
            </w14:solidFill>
          </w14:textFill>
        </w:rPr>
        <w:t>-1</w:t>
      </w:r>
      <w:r>
        <w:rPr>
          <w:rFonts w:ascii="宋体" w:hAnsi="宋体"/>
          <w:bCs/>
          <w:color w:val="000000" w:themeColor="text1"/>
          <w:szCs w:val="21"/>
          <w14:textFill>
            <w14:solidFill>
              <w14:schemeClr w14:val="tx1"/>
            </w14:solidFill>
          </w14:textFill>
        </w:rPr>
        <w:t>5</w:t>
      </w:r>
      <w:r>
        <w:rPr>
          <w:rFonts w:hint="eastAsia" w:ascii="宋体" w:hAnsi="宋体"/>
          <w:bCs/>
          <w:color w:val="000000" w:themeColor="text1"/>
          <w:szCs w:val="21"/>
          <w14:textFill>
            <w14:solidFill>
              <w14:schemeClr w14:val="tx1"/>
            </w14:solidFill>
          </w14:textFill>
        </w:rPr>
        <w:t>分；</w:t>
      </w:r>
    </w:p>
    <w:p w14:paraId="359E9152">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第二档：工期保证措施满足工程实际要求、协调措施基本合理的得</w:t>
      </w:r>
      <w:r>
        <w:rPr>
          <w:rFonts w:hint="eastAsia" w:ascii="宋体" w:hAnsi="宋体"/>
          <w:bCs/>
          <w:color w:val="000000" w:themeColor="text1"/>
          <w:szCs w:val="21"/>
          <w:lang w:val="en-US" w:eastAsia="zh-CN"/>
          <w14:textFill>
            <w14:solidFill>
              <w14:schemeClr w14:val="tx1"/>
            </w14:solidFill>
          </w14:textFill>
        </w:rPr>
        <w:t>9</w:t>
      </w:r>
      <w:r>
        <w:rPr>
          <w:rFonts w:hint="eastAsia" w:ascii="宋体" w:hAnsi="宋体"/>
          <w:bCs/>
          <w:color w:val="000000" w:themeColor="text1"/>
          <w:szCs w:val="21"/>
          <w14:textFill>
            <w14:solidFill>
              <w14:schemeClr w14:val="tx1"/>
            </w14:solidFill>
          </w14:textFill>
        </w:rPr>
        <w:t>-</w:t>
      </w:r>
      <w:r>
        <w:rPr>
          <w:rFonts w:ascii="宋体" w:hAnsi="宋体"/>
          <w:bCs/>
          <w:color w:val="000000" w:themeColor="text1"/>
          <w:szCs w:val="21"/>
          <w14:textFill>
            <w14:solidFill>
              <w14:schemeClr w14:val="tx1"/>
            </w14:solidFill>
          </w14:textFill>
        </w:rPr>
        <w:t>12</w:t>
      </w:r>
      <w:r>
        <w:rPr>
          <w:rFonts w:hint="eastAsia" w:ascii="宋体" w:hAnsi="宋体"/>
          <w:bCs/>
          <w:color w:val="000000" w:themeColor="text1"/>
          <w:szCs w:val="21"/>
          <w14:textFill>
            <w14:solidFill>
              <w14:schemeClr w14:val="tx1"/>
            </w14:solidFill>
          </w14:textFill>
        </w:rPr>
        <w:t>分；</w:t>
      </w:r>
    </w:p>
    <w:p w14:paraId="1F39C218">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第三档：工期保证措施满足工程实际要求、协调措施存在不合理的得</w:t>
      </w:r>
      <w:r>
        <w:rPr>
          <w:rFonts w:hint="eastAsia" w:ascii="宋体" w:hAnsi="宋体"/>
          <w:bCs/>
          <w:color w:val="000000" w:themeColor="text1"/>
          <w:szCs w:val="21"/>
          <w:lang w:val="en-US" w:eastAsia="zh-CN"/>
          <w14:textFill>
            <w14:solidFill>
              <w14:schemeClr w14:val="tx1"/>
            </w14:solidFill>
          </w14:textFill>
        </w:rPr>
        <w:t>5</w:t>
      </w:r>
      <w:r>
        <w:rPr>
          <w:rFonts w:hint="eastAsia" w:ascii="宋体" w:hAnsi="宋体"/>
          <w:bCs/>
          <w:color w:val="000000" w:themeColor="text1"/>
          <w:szCs w:val="21"/>
          <w14:textFill>
            <w14:solidFill>
              <w14:schemeClr w14:val="tx1"/>
            </w14:solidFill>
          </w14:textFill>
        </w:rPr>
        <w:t>-</w:t>
      </w:r>
      <w:r>
        <w:rPr>
          <w:rFonts w:hint="eastAsia" w:ascii="宋体" w:hAnsi="宋体"/>
          <w:bCs/>
          <w:color w:val="000000" w:themeColor="text1"/>
          <w:szCs w:val="21"/>
          <w:lang w:val="en-US" w:eastAsia="zh-CN"/>
          <w14:textFill>
            <w14:solidFill>
              <w14:schemeClr w14:val="tx1"/>
            </w14:solidFill>
          </w14:textFill>
        </w:rPr>
        <w:t>8</w:t>
      </w:r>
      <w:r>
        <w:rPr>
          <w:rFonts w:hint="eastAsia" w:ascii="宋体" w:hAnsi="宋体"/>
          <w:bCs/>
          <w:color w:val="000000" w:themeColor="text1"/>
          <w:szCs w:val="21"/>
          <w14:textFill>
            <w14:solidFill>
              <w14:schemeClr w14:val="tx1"/>
            </w14:solidFill>
          </w14:textFill>
        </w:rPr>
        <w:t>分；</w:t>
      </w:r>
    </w:p>
    <w:p w14:paraId="05D7DB41">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第四档：工期保证措施不合理、无协调措施得0</w:t>
      </w:r>
      <w:r>
        <w:rPr>
          <w:rFonts w:hint="eastAsia" w:ascii="宋体" w:hAnsi="宋体"/>
          <w:bCs/>
          <w:color w:val="000000" w:themeColor="text1"/>
          <w:szCs w:val="21"/>
          <w:lang w:val="en-US" w:eastAsia="zh-CN"/>
          <w14:textFill>
            <w14:solidFill>
              <w14:schemeClr w14:val="tx1"/>
            </w14:solidFill>
          </w14:textFill>
        </w:rPr>
        <w:t>-4</w:t>
      </w:r>
      <w:r>
        <w:rPr>
          <w:rFonts w:hint="eastAsia" w:ascii="宋体" w:hAnsi="宋体"/>
          <w:bCs/>
          <w:color w:val="000000" w:themeColor="text1"/>
          <w:szCs w:val="21"/>
          <w14:textFill>
            <w14:solidFill>
              <w14:schemeClr w14:val="tx1"/>
            </w14:solidFill>
          </w14:textFill>
        </w:rPr>
        <w:t>分。</w:t>
      </w:r>
    </w:p>
    <w:p w14:paraId="4502F97F">
      <w:pPr>
        <w:spacing w:after="0" w:line="360" w:lineRule="auto"/>
        <w:ind w:firstLine="42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1.5安全文明施工保证措施（10分）</w:t>
      </w:r>
    </w:p>
    <w:p w14:paraId="1E2A4F69">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第一档：安全文明措施得力，完全满足本项目工程实际情况得</w:t>
      </w:r>
      <w:r>
        <w:rPr>
          <w:rFonts w:hint="eastAsia" w:ascii="宋体" w:hAnsi="宋体"/>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-10分；</w:t>
      </w:r>
    </w:p>
    <w:p w14:paraId="5835338E">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第二档：安全文明措施合理，能基本满足本项目工程实际情况得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7</w:t>
      </w:r>
      <w:r>
        <w:rPr>
          <w:rFonts w:hint="eastAsia" w:ascii="宋体" w:hAnsi="宋体"/>
          <w:color w:val="000000" w:themeColor="text1"/>
          <w:szCs w:val="21"/>
          <w14:textFill>
            <w14:solidFill>
              <w14:schemeClr w14:val="tx1"/>
            </w14:solidFill>
          </w14:textFill>
        </w:rPr>
        <w:t>分；</w:t>
      </w:r>
    </w:p>
    <w:p w14:paraId="0C07A236">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第三档：安全文明措施有明显错误，不能满足本项目工程实际情况得0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1BE69A02">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6</w:t>
      </w:r>
      <w:r>
        <w:rPr>
          <w:rFonts w:hint="eastAsia" w:ascii="宋体" w:hAnsi="宋体"/>
          <w:b/>
          <w:color w:val="000000" w:themeColor="text1"/>
          <w:szCs w:val="21"/>
          <w14:textFill>
            <w14:solidFill>
              <w14:schemeClr w14:val="tx1"/>
            </w14:solidFill>
          </w14:textFill>
        </w:rPr>
        <w:t>劳动力配置计划（10分）</w:t>
      </w:r>
    </w:p>
    <w:p w14:paraId="78AEEE87">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第一档：劳动力数量和工种符合要求且配合计划合理，能满足本项目工程实际情况得9-10分；</w:t>
      </w:r>
    </w:p>
    <w:p w14:paraId="6A01ACE6">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第二档：劳动力数量和工种均能基本满足本项目工程实际情况得7-8分；</w:t>
      </w:r>
    </w:p>
    <w:p w14:paraId="5D52D722">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第三档：劳动力数量或工种存在失误，且配合计划不合理的得5-6分；</w:t>
      </w:r>
    </w:p>
    <w:p w14:paraId="4E141C8D">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第四档：劳动力数量或工种或劳动力配合计划存在严重失误的得0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749827F5">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7</w:t>
      </w:r>
      <w:r>
        <w:rPr>
          <w:rFonts w:hint="eastAsia" w:ascii="宋体" w:hAnsi="宋体"/>
          <w:b/>
          <w:color w:val="000000" w:themeColor="text1"/>
          <w:szCs w:val="21"/>
          <w14:textFill>
            <w14:solidFill>
              <w14:schemeClr w14:val="tx1"/>
            </w14:solidFill>
          </w14:textFill>
        </w:rPr>
        <w:t>施工总平面（10分）</w:t>
      </w:r>
    </w:p>
    <w:p w14:paraId="0C41E0F0">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第一档：施工总平面图结合项目区布置合理可行，有项目区和项目部布置图的得9-10分；</w:t>
      </w:r>
    </w:p>
    <w:p w14:paraId="565EFF46">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第二档：施工总平面图结合项目区布置合理可行，只有项目区或项目部布置图的得7-8分；</w:t>
      </w:r>
    </w:p>
    <w:p w14:paraId="15740117">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第三档：施工总平面图不合理，有项目区或项目部布置图的得5-6分；</w:t>
      </w:r>
    </w:p>
    <w:p w14:paraId="1E5A8EF9">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第四档：施工总平面图有重大失误或无施工平面图的得0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132BA21A">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8</w:t>
      </w:r>
      <w:r>
        <w:rPr>
          <w:rFonts w:hint="eastAsia" w:ascii="宋体" w:hAnsi="宋体"/>
          <w:b/>
          <w:color w:val="000000" w:themeColor="text1"/>
          <w:szCs w:val="21"/>
          <w14:textFill>
            <w14:solidFill>
              <w14:schemeClr w14:val="tx1"/>
            </w14:solidFill>
          </w14:textFill>
        </w:rPr>
        <w:t>施工进度计划图（表）（10分）</w:t>
      </w:r>
    </w:p>
    <w:p w14:paraId="0BF68967">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第一档：施工进度计划满足工程实际要求、关键线路合理的得9-10分；</w:t>
      </w:r>
    </w:p>
    <w:p w14:paraId="0C01F29D">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第二档：施工进度计划满足工程实际要求、关键线路合理基本合理的得7-8分；</w:t>
      </w:r>
    </w:p>
    <w:p w14:paraId="41C51B5F">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第三档：施工进度计划不满足工程实际要求、关键线路不明确得5-6分；</w:t>
      </w:r>
    </w:p>
    <w:p w14:paraId="41B7D70A">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第四档：施工进度计划不满足招标文件要求、关键线路错误得0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44C17812">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2.技术部分统分原则</w:t>
      </w:r>
    </w:p>
    <w:p w14:paraId="4D28116C">
      <w:pPr>
        <w:autoSpaceDE w:val="0"/>
        <w:autoSpaceDN w:val="0"/>
        <w:adjustRightInd w:val="0"/>
        <w:snapToGrid w:val="0"/>
        <w:spacing w:after="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投标人的最终技术部分得分为各评委所评定分数中去掉一个最高分和一个最低分后的算术平均值（保留小数点后两位）。</w:t>
      </w:r>
      <w:r>
        <w:rPr>
          <w:rFonts w:hint="eastAsia" w:ascii="宋体" w:hAnsi="宋体"/>
          <w:b/>
          <w:color w:val="000000" w:themeColor="text1"/>
          <w:szCs w:val="21"/>
          <w14:textFill>
            <w14:solidFill>
              <w14:schemeClr w14:val="tx1"/>
            </w14:solidFill>
          </w14:textFill>
        </w:rPr>
        <w:t>技术部分评分中，评标委员会成员自主评分并签字确认</w:t>
      </w:r>
      <w:r>
        <w:rPr>
          <w:rFonts w:hint="eastAsia" w:ascii="宋体" w:hAnsi="宋体"/>
          <w:color w:val="000000" w:themeColor="text1"/>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各评委的评分应在评标委员会进行公示，某个评委对某投标文件评分分值低于（高于）所有评委对该投标文件评分分值去掉最高和最低分值的平均分值10分以上（10分）的，该评委须向评标委员会作出明确解释，理由不充分的该评委应对其评分作修正，若拒不修正的，该评委对此投标文件的评分不得参与计算此投标文件的技术部分得分</w:t>
      </w:r>
      <w:r>
        <w:rPr>
          <w:rFonts w:hint="eastAsia" w:ascii="宋体" w:hAnsi="宋体"/>
          <w:color w:val="000000" w:themeColor="text1"/>
          <w:szCs w:val="21"/>
          <w14:textFill>
            <w14:solidFill>
              <w14:schemeClr w14:val="tx1"/>
            </w14:solidFill>
          </w14:textFill>
        </w:rPr>
        <w:t>。</w:t>
      </w:r>
    </w:p>
    <w:p w14:paraId="5BE397D3">
      <w:pPr>
        <w:autoSpaceDE w:val="0"/>
        <w:autoSpaceDN w:val="0"/>
        <w:adjustRightInd w:val="0"/>
        <w:snapToGrid w:val="0"/>
        <w:spacing w:after="0" w:line="360" w:lineRule="auto"/>
        <w:ind w:firstLine="420" w:firstLineChars="200"/>
        <w:jc w:val="left"/>
        <w:rPr>
          <w:rFonts w:ascii="宋体" w:hAnsi="宋体"/>
          <w:color w:val="000000" w:themeColor="text1"/>
          <w:szCs w:val="21"/>
          <w14:textFill>
            <w14:solidFill>
              <w14:schemeClr w14:val="tx1"/>
            </w14:solidFill>
          </w14:textFill>
        </w:rPr>
      </w:pPr>
    </w:p>
    <w:p w14:paraId="15312FA2">
      <w:pPr>
        <w:widowControl/>
        <w:spacing w:after="0" w:line="240" w:lineRule="auto"/>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p w14:paraId="1AFD13B3">
      <w:pPr>
        <w:widowControl/>
        <w:spacing w:after="0" w:line="240" w:lineRule="auto"/>
        <w:jc w:val="left"/>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二、商务部分评审</w:t>
      </w:r>
      <w:r>
        <w:rPr>
          <w:rFonts w:hint="eastAsia" w:ascii="宋体" w:hAnsi="宋体"/>
          <w:b/>
          <w:color w:val="000000" w:themeColor="text1"/>
          <w14:textFill>
            <w14:solidFill>
              <w14:schemeClr w14:val="tx1"/>
            </w14:solidFill>
          </w14:textFill>
        </w:rPr>
        <w:t>（满分</w:t>
      </w:r>
      <w:r>
        <w:rPr>
          <w:rFonts w:ascii="宋体" w:hAnsi="宋体"/>
          <w:b/>
          <w:color w:val="000000" w:themeColor="text1"/>
          <w14:textFill>
            <w14:solidFill>
              <w14:schemeClr w14:val="tx1"/>
            </w14:solidFill>
          </w14:textFill>
        </w:rPr>
        <w:t>100</w:t>
      </w:r>
      <w:r>
        <w:rPr>
          <w:rFonts w:hint="eastAsia" w:ascii="宋体" w:hAnsi="宋体"/>
          <w:b/>
          <w:color w:val="000000" w:themeColor="text1"/>
          <w14:textFill>
            <w14:solidFill>
              <w14:schemeClr w14:val="tx1"/>
            </w14:solidFill>
          </w14:textFill>
        </w:rPr>
        <w:t>分)</w:t>
      </w:r>
    </w:p>
    <w:p w14:paraId="79E97631">
      <w:pPr>
        <w:pStyle w:val="7"/>
        <w:ind w:firstLine="400"/>
        <w:rPr>
          <w:color w:val="000000" w:themeColor="text1"/>
          <w:lang w:val="en-US"/>
          <w14:textFill>
            <w14:solidFill>
              <w14:schemeClr w14:val="tx1"/>
            </w14:solidFill>
          </w14:textFill>
        </w:rPr>
      </w:pPr>
    </w:p>
    <w:tbl>
      <w:tblPr>
        <w:tblStyle w:val="58"/>
        <w:tblW w:w="9360" w:type="dxa"/>
        <w:jc w:val="center"/>
        <w:tblLayout w:type="fixed"/>
        <w:tblCellMar>
          <w:top w:w="0" w:type="dxa"/>
          <w:left w:w="108" w:type="dxa"/>
          <w:bottom w:w="0" w:type="dxa"/>
          <w:right w:w="108" w:type="dxa"/>
        </w:tblCellMar>
      </w:tblPr>
      <w:tblGrid>
        <w:gridCol w:w="720"/>
        <w:gridCol w:w="1080"/>
        <w:gridCol w:w="1357"/>
        <w:gridCol w:w="816"/>
        <w:gridCol w:w="5387"/>
      </w:tblGrid>
      <w:tr w14:paraId="2A7E02FC">
        <w:tblPrEx>
          <w:tblCellMar>
            <w:top w:w="0" w:type="dxa"/>
            <w:left w:w="108" w:type="dxa"/>
            <w:bottom w:w="0" w:type="dxa"/>
            <w:right w:w="108" w:type="dxa"/>
          </w:tblCellMar>
        </w:tblPrEx>
        <w:trPr>
          <w:trHeight w:val="567"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C683089">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序号</w:t>
            </w:r>
          </w:p>
        </w:tc>
        <w:tc>
          <w:tcPr>
            <w:tcW w:w="2437" w:type="dxa"/>
            <w:gridSpan w:val="2"/>
            <w:tcBorders>
              <w:top w:val="single" w:color="auto" w:sz="4" w:space="0"/>
              <w:left w:val="nil"/>
              <w:bottom w:val="single" w:color="auto" w:sz="4" w:space="0"/>
              <w:right w:val="single" w:color="auto" w:sz="4" w:space="0"/>
            </w:tcBorders>
            <w:vAlign w:val="center"/>
          </w:tcPr>
          <w:p w14:paraId="141ABFA1">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评分因素</w:t>
            </w:r>
          </w:p>
        </w:tc>
        <w:tc>
          <w:tcPr>
            <w:tcW w:w="816" w:type="dxa"/>
            <w:tcBorders>
              <w:top w:val="single" w:color="auto" w:sz="4" w:space="0"/>
              <w:left w:val="nil"/>
              <w:bottom w:val="single" w:color="auto" w:sz="4" w:space="0"/>
              <w:right w:val="single" w:color="auto" w:sz="4" w:space="0"/>
            </w:tcBorders>
            <w:vAlign w:val="center"/>
          </w:tcPr>
          <w:p w14:paraId="61363E61">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分值</w:t>
            </w:r>
          </w:p>
        </w:tc>
        <w:tc>
          <w:tcPr>
            <w:tcW w:w="5387" w:type="dxa"/>
            <w:tcBorders>
              <w:top w:val="single" w:color="auto" w:sz="4" w:space="0"/>
              <w:left w:val="nil"/>
              <w:bottom w:val="single" w:color="auto" w:sz="4" w:space="0"/>
              <w:right w:val="single" w:color="auto" w:sz="4" w:space="0"/>
            </w:tcBorders>
            <w:vAlign w:val="center"/>
          </w:tcPr>
          <w:p w14:paraId="79040699">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评分标准</w:t>
            </w:r>
          </w:p>
        </w:tc>
      </w:tr>
      <w:tr w14:paraId="734F4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0" w:hRule="atLeast"/>
          <w:jc w:val="center"/>
        </w:trPr>
        <w:tc>
          <w:tcPr>
            <w:tcW w:w="720" w:type="dxa"/>
            <w:vMerge w:val="restart"/>
            <w:vAlign w:val="center"/>
          </w:tcPr>
          <w:p w14:paraId="3F454A80">
            <w:pPr>
              <w:snapToGrid w:val="0"/>
              <w:spacing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2.1</w:t>
            </w:r>
          </w:p>
        </w:tc>
        <w:tc>
          <w:tcPr>
            <w:tcW w:w="1080" w:type="dxa"/>
            <w:vMerge w:val="restart"/>
            <w:vAlign w:val="center"/>
          </w:tcPr>
          <w:p w14:paraId="6047D8E1">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商务部分评审</w:t>
            </w:r>
            <w:r>
              <w:rPr>
                <w:rFonts w:hint="eastAsia" w:ascii="宋体" w:hAnsi="宋体"/>
                <w:color w:val="000000" w:themeColor="text1"/>
                <w14:textFill>
                  <w14:solidFill>
                    <w14:schemeClr w14:val="tx1"/>
                  </w14:solidFill>
                </w14:textFill>
              </w:rPr>
              <w:t>评分标准(</w:t>
            </w:r>
            <w:r>
              <w:rPr>
                <w:rFonts w:ascii="宋体" w:hAnsi="宋体"/>
                <w:color w:val="000000" w:themeColor="text1"/>
                <w14:textFill>
                  <w14:solidFill>
                    <w14:schemeClr w14:val="tx1"/>
                  </w14:solidFill>
                </w14:textFill>
              </w:rPr>
              <w:t>100</w:t>
            </w:r>
            <w:r>
              <w:rPr>
                <w:rFonts w:hint="eastAsia" w:ascii="宋体" w:hAnsi="宋体"/>
                <w:color w:val="000000" w:themeColor="text1"/>
                <w14:textFill>
                  <w14:solidFill>
                    <w14:schemeClr w14:val="tx1"/>
                  </w14:solidFill>
                </w14:textFill>
              </w:rPr>
              <w:t>分)</w:t>
            </w:r>
          </w:p>
        </w:tc>
        <w:tc>
          <w:tcPr>
            <w:tcW w:w="1357" w:type="dxa"/>
            <w:tcBorders>
              <w:bottom w:val="single" w:color="auto" w:sz="4" w:space="0"/>
            </w:tcBorders>
            <w:vAlign w:val="center"/>
          </w:tcPr>
          <w:p w14:paraId="3F581B69">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投标总报价得分</w:t>
            </w:r>
          </w:p>
        </w:tc>
        <w:tc>
          <w:tcPr>
            <w:tcW w:w="816" w:type="dxa"/>
            <w:tcBorders>
              <w:bottom w:val="single" w:color="auto" w:sz="4" w:space="0"/>
            </w:tcBorders>
            <w:vAlign w:val="center"/>
          </w:tcPr>
          <w:p w14:paraId="322065A9">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7</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分</w:t>
            </w:r>
          </w:p>
        </w:tc>
        <w:tc>
          <w:tcPr>
            <w:tcW w:w="5387" w:type="dxa"/>
            <w:tcBorders>
              <w:bottom w:val="single" w:color="auto" w:sz="4" w:space="0"/>
            </w:tcBorders>
            <w:vAlign w:val="center"/>
          </w:tcPr>
          <w:p w14:paraId="1FE8C80F">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投标总报价得分（N）按下式计算：</w:t>
            </w:r>
          </w:p>
          <w:p w14:paraId="404F9BC0">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1．若投标人的投标总报价&gt;评标基准价，则：</w:t>
            </w:r>
          </w:p>
          <w:p w14:paraId="4916E659">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投标总报价得分= 7</w:t>
            </w:r>
            <w:r>
              <w:rPr>
                <w:rFonts w:ascii="宋体" w:hAnsi="宋体"/>
                <w:color w:val="000000" w:themeColor="text1"/>
                <w:kern w:val="0"/>
                <w:szCs w:val="21"/>
                <w14:textFill>
                  <w14:solidFill>
                    <w14:schemeClr w14:val="tx1"/>
                  </w14:solidFill>
                </w14:textFill>
              </w:rPr>
              <w:t>0</w:t>
            </w:r>
            <w:r>
              <w:rPr>
                <w:rFonts w:hint="eastAsia" w:ascii="宋体" w:hAnsi="宋体"/>
                <w:color w:val="000000" w:themeColor="text1"/>
                <w:kern w:val="0"/>
                <w:szCs w:val="21"/>
                <w14:textFill>
                  <w14:solidFill>
                    <w14:schemeClr w14:val="tx1"/>
                  </w14:solidFill>
                </w14:textFill>
              </w:rPr>
              <w:t>-偏差率×100×</w:t>
            </w:r>
            <w:r>
              <w:rPr>
                <w:rFonts w:hint="eastAsia" w:ascii="宋体" w:hAnsi="宋体"/>
                <w:color w:val="000000" w:themeColor="text1"/>
                <w:kern w:val="0"/>
                <w:szCs w:val="21"/>
                <w:lang w:val="en-US" w:eastAsia="zh-CN"/>
                <w14:textFill>
                  <w14:solidFill>
                    <w14:schemeClr w14:val="tx1"/>
                  </w14:solidFill>
                </w14:textFill>
              </w:rPr>
              <w:t>1</w:t>
            </w:r>
            <w:r>
              <w:rPr>
                <w:rFonts w:hint="eastAsia" w:ascii="宋体" w:hAnsi="宋体"/>
                <w:color w:val="000000" w:themeColor="text1"/>
                <w:kern w:val="0"/>
                <w:szCs w:val="21"/>
                <w14:textFill>
                  <w14:solidFill>
                    <w14:schemeClr w14:val="tx1"/>
                  </w14:solidFill>
                </w14:textFill>
              </w:rPr>
              <w:t>；</w:t>
            </w:r>
          </w:p>
          <w:p w14:paraId="0E8FB6C2">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2．若投标人的投标报价≤评标基准价，则：</w:t>
            </w:r>
          </w:p>
          <w:p w14:paraId="3A62DC76">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投标总报价得分= 7</w:t>
            </w:r>
            <w:r>
              <w:rPr>
                <w:rFonts w:ascii="宋体" w:hAnsi="宋体"/>
                <w:color w:val="000000" w:themeColor="text1"/>
                <w:kern w:val="0"/>
                <w:szCs w:val="21"/>
                <w14:textFill>
                  <w14:solidFill>
                    <w14:schemeClr w14:val="tx1"/>
                  </w14:solidFill>
                </w14:textFill>
              </w:rPr>
              <w:t>0</w:t>
            </w:r>
            <w:r>
              <w:rPr>
                <w:rFonts w:hint="eastAsia" w:ascii="宋体" w:hAnsi="宋体"/>
                <w:color w:val="000000" w:themeColor="text1"/>
                <w:kern w:val="0"/>
                <w:szCs w:val="21"/>
                <w14:textFill>
                  <w14:solidFill>
                    <w14:schemeClr w14:val="tx1"/>
                  </w14:solidFill>
                </w14:textFill>
              </w:rPr>
              <w:t>+偏差率×100×</w:t>
            </w:r>
            <w:r>
              <w:rPr>
                <w:rFonts w:hint="eastAsia" w:ascii="宋体" w:hAnsi="宋体"/>
                <w:color w:val="000000" w:themeColor="text1"/>
                <w:kern w:val="0"/>
                <w:szCs w:val="21"/>
                <w:lang w:val="en-US" w:eastAsia="zh-CN"/>
                <w14:textFill>
                  <w14:solidFill>
                    <w14:schemeClr w14:val="tx1"/>
                  </w14:solidFill>
                </w14:textFill>
              </w:rPr>
              <w:t>0.5</w:t>
            </w:r>
            <w:r>
              <w:rPr>
                <w:rFonts w:hint="eastAsia" w:ascii="宋体" w:hAnsi="宋体"/>
                <w:color w:val="000000" w:themeColor="text1"/>
                <w:kern w:val="0"/>
                <w:szCs w:val="21"/>
                <w14:textFill>
                  <w14:solidFill>
                    <w14:schemeClr w14:val="tx1"/>
                  </w14:solidFill>
                </w14:textFill>
              </w:rPr>
              <w:t>；</w:t>
            </w:r>
          </w:p>
          <w:p w14:paraId="7DB0663E">
            <w:pPr>
              <w:snapToGrid w:val="0"/>
              <w:spacing w:after="0" w:line="360" w:lineRule="auto"/>
              <w:rPr>
                <w:rFonts w:ascii="宋体" w:hAnsi="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注：投标总报价得分分值取小数点后两位，第三位四舍五入。若投标总报价得分计算后小于或等于0分，则按0分计。投标总报价得分由评标工作人员计算，由评委复核。</w:t>
            </w:r>
          </w:p>
        </w:tc>
      </w:tr>
      <w:tr w14:paraId="63009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8" w:hRule="atLeast"/>
          <w:jc w:val="center"/>
        </w:trPr>
        <w:tc>
          <w:tcPr>
            <w:tcW w:w="720" w:type="dxa"/>
            <w:vMerge w:val="continue"/>
            <w:vAlign w:val="center"/>
          </w:tcPr>
          <w:p w14:paraId="447EFB2A">
            <w:pPr>
              <w:snapToGrid w:val="0"/>
              <w:spacing w:after="0" w:line="360" w:lineRule="auto"/>
              <w:rPr>
                <w:rFonts w:ascii="宋体" w:hAnsi="宋体"/>
                <w:color w:val="000000" w:themeColor="text1"/>
                <w14:textFill>
                  <w14:solidFill>
                    <w14:schemeClr w14:val="tx1"/>
                  </w14:solidFill>
                </w14:textFill>
              </w:rPr>
            </w:pPr>
          </w:p>
        </w:tc>
        <w:tc>
          <w:tcPr>
            <w:tcW w:w="1080" w:type="dxa"/>
            <w:vMerge w:val="continue"/>
            <w:vAlign w:val="center"/>
          </w:tcPr>
          <w:p w14:paraId="567653F2">
            <w:pPr>
              <w:snapToGrid w:val="0"/>
              <w:spacing w:after="0" w:line="360" w:lineRule="auto"/>
              <w:jc w:val="center"/>
              <w:rPr>
                <w:rFonts w:ascii="宋体" w:hAnsi="宋体"/>
                <w:color w:val="000000" w:themeColor="text1"/>
                <w14:textFill>
                  <w14:solidFill>
                    <w14:schemeClr w14:val="tx1"/>
                  </w14:solidFill>
                </w14:textFill>
              </w:rPr>
            </w:pPr>
          </w:p>
        </w:tc>
        <w:tc>
          <w:tcPr>
            <w:tcW w:w="1357" w:type="dxa"/>
            <w:tcBorders>
              <w:bottom w:val="single" w:color="auto" w:sz="4" w:space="0"/>
            </w:tcBorders>
            <w:vAlign w:val="center"/>
          </w:tcPr>
          <w:p w14:paraId="147F5504">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主要单价合理性评分</w:t>
            </w:r>
          </w:p>
        </w:tc>
        <w:tc>
          <w:tcPr>
            <w:tcW w:w="816" w:type="dxa"/>
            <w:tcBorders>
              <w:bottom w:val="single" w:color="auto" w:sz="4" w:space="0"/>
            </w:tcBorders>
            <w:vAlign w:val="center"/>
          </w:tcPr>
          <w:p w14:paraId="73ED35B8">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30</w:t>
            </w:r>
            <w:r>
              <w:rPr>
                <w:rFonts w:hint="eastAsia" w:ascii="宋体" w:hAnsi="宋体"/>
                <w:color w:val="000000" w:themeColor="text1"/>
                <w:szCs w:val="21"/>
                <w14:textFill>
                  <w14:solidFill>
                    <w14:schemeClr w14:val="tx1"/>
                  </w14:solidFill>
                </w14:textFill>
              </w:rPr>
              <w:t>分</w:t>
            </w:r>
          </w:p>
        </w:tc>
        <w:tc>
          <w:tcPr>
            <w:tcW w:w="5387" w:type="dxa"/>
            <w:tcBorders>
              <w:bottom w:val="single" w:color="auto" w:sz="4" w:space="0"/>
            </w:tcBorders>
            <w:vAlign w:val="center"/>
          </w:tcPr>
          <w:p w14:paraId="537E09B4">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每个单价满分为</w:t>
            </w:r>
            <w:r>
              <w:rPr>
                <w:rFonts w:hint="eastAsia" w:ascii="宋体" w:hAnsi="宋体"/>
                <w:color w:val="000000" w:themeColor="text1"/>
                <w:kern w:val="0"/>
                <w:szCs w:val="21"/>
                <w:highlight w:val="none"/>
                <w:lang w:val="en-US" w:eastAsia="zh-CN"/>
                <w14:textFill>
                  <w14:solidFill>
                    <w14:schemeClr w14:val="tx1"/>
                  </w14:solidFill>
                </w14:textFill>
              </w:rPr>
              <w:t>30</w:t>
            </w:r>
            <w:r>
              <w:rPr>
                <w:rFonts w:hint="eastAsia" w:ascii="宋体" w:hAnsi="宋体"/>
                <w:color w:val="000000" w:themeColor="text1"/>
                <w:kern w:val="0"/>
                <w:szCs w:val="21"/>
                <w:highlight w:val="none"/>
                <w14:textFill>
                  <w14:solidFill>
                    <w14:schemeClr w14:val="tx1"/>
                  </w14:solidFill>
                </w14:textFill>
              </w:rPr>
              <w:t>/抽取项数量。每个单价得分按下列公式计算：</w:t>
            </w:r>
          </w:p>
          <w:p w14:paraId="2BE2D59E">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当Y≥0时，</w:t>
            </w:r>
          </w:p>
          <w:p w14:paraId="41ECB38F">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报价得分(N）=</w:t>
            </w:r>
            <w:r>
              <w:rPr>
                <w:rFonts w:hint="eastAsia" w:ascii="宋体" w:hAnsi="宋体"/>
                <w:color w:val="000000" w:themeColor="text1"/>
                <w:kern w:val="0"/>
                <w:szCs w:val="21"/>
                <w:highlight w:val="none"/>
                <w:lang w:val="en-US" w:eastAsia="zh-CN"/>
                <w14:textFill>
                  <w14:solidFill>
                    <w14:schemeClr w14:val="tx1"/>
                  </w14:solidFill>
                </w14:textFill>
              </w:rPr>
              <w:t>30</w:t>
            </w:r>
            <w:r>
              <w:rPr>
                <w:rFonts w:hint="eastAsia" w:ascii="宋体" w:hAnsi="宋体"/>
                <w:color w:val="000000" w:themeColor="text1"/>
                <w:kern w:val="0"/>
                <w:szCs w:val="21"/>
                <w:highlight w:val="none"/>
                <w14:textFill>
                  <w14:solidFill>
                    <w14:schemeClr w14:val="tx1"/>
                  </w14:solidFill>
                </w14:textFill>
              </w:rPr>
              <w:t>/抽取项数量-</w:t>
            </w:r>
            <w:r>
              <w:rPr>
                <w:rFonts w:hint="eastAsia" w:ascii="宋体" w:hAnsi="宋体"/>
                <w:color w:val="000000" w:themeColor="text1"/>
                <w:kern w:val="0"/>
                <w:szCs w:val="21"/>
                <w:highlight w:val="none"/>
                <w:lang w:val="en-US" w:eastAsia="zh-CN"/>
                <w14:textFill>
                  <w14:solidFill>
                    <w14:schemeClr w14:val="tx1"/>
                  </w14:solidFill>
                </w14:textFill>
              </w:rPr>
              <w:t>0.6</w:t>
            </w:r>
            <w:r>
              <w:rPr>
                <w:rFonts w:hint="eastAsia" w:ascii="宋体" w:hAnsi="宋体"/>
                <w:color w:val="000000" w:themeColor="text1"/>
                <w:kern w:val="0"/>
                <w:szCs w:val="21"/>
                <w:highlight w:val="none"/>
                <w14:textFill>
                  <w14:solidFill>
                    <w14:schemeClr w14:val="tx1"/>
                  </w14:solidFill>
                </w14:textFill>
              </w:rPr>
              <w:t>×Y×100</w:t>
            </w:r>
          </w:p>
          <w:p w14:paraId="72399E53">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当Y＜0时，</w:t>
            </w:r>
          </w:p>
          <w:p w14:paraId="7ADFEEA3">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报价得分(N）=</w:t>
            </w:r>
            <w:r>
              <w:rPr>
                <w:rFonts w:hint="eastAsia" w:ascii="宋体" w:hAnsi="宋体"/>
                <w:color w:val="000000" w:themeColor="text1"/>
                <w:kern w:val="0"/>
                <w:szCs w:val="21"/>
                <w:highlight w:val="none"/>
                <w:lang w:val="en-US" w:eastAsia="zh-CN"/>
                <w14:textFill>
                  <w14:solidFill>
                    <w14:schemeClr w14:val="tx1"/>
                  </w14:solidFill>
                </w14:textFill>
              </w:rPr>
              <w:t>30</w:t>
            </w:r>
            <w:r>
              <w:rPr>
                <w:rFonts w:hint="eastAsia" w:ascii="宋体" w:hAnsi="宋体"/>
                <w:color w:val="000000" w:themeColor="text1"/>
                <w:kern w:val="0"/>
                <w:szCs w:val="21"/>
                <w:highlight w:val="none"/>
                <w14:textFill>
                  <w14:solidFill>
                    <w14:schemeClr w14:val="tx1"/>
                  </w14:solidFill>
                </w14:textFill>
              </w:rPr>
              <w:t>/抽取项数量-</w:t>
            </w:r>
            <w:r>
              <w:rPr>
                <w:rFonts w:hint="eastAsia" w:ascii="宋体" w:hAnsi="宋体"/>
                <w:color w:val="000000" w:themeColor="text1"/>
                <w:kern w:val="0"/>
                <w:szCs w:val="21"/>
                <w:highlight w:val="none"/>
                <w:lang w:val="en-US" w:eastAsia="zh-CN"/>
                <w14:textFill>
                  <w14:solidFill>
                    <w14:schemeClr w14:val="tx1"/>
                  </w14:solidFill>
                </w14:textFill>
              </w:rPr>
              <w:t>0.6</w:t>
            </w:r>
            <w:r>
              <w:rPr>
                <w:rFonts w:hint="eastAsia" w:ascii="宋体" w:hAnsi="宋体"/>
                <w:color w:val="000000" w:themeColor="text1"/>
                <w:kern w:val="0"/>
                <w:szCs w:val="21"/>
                <w:highlight w:val="none"/>
                <w14:textFill>
                  <w14:solidFill>
                    <w14:schemeClr w14:val="tx1"/>
                  </w14:solidFill>
                </w14:textFill>
              </w:rPr>
              <w:t>×|Y|×100</w:t>
            </w:r>
          </w:p>
          <w:p w14:paraId="78B76698">
            <w:pPr>
              <w:snapToGrid w:val="0"/>
              <w:spacing w:after="0" w:line="360" w:lineRule="auto"/>
              <w:rPr>
                <w:rFonts w:ascii="宋体" w:hAnsi="宋体" w:cs="宋体"/>
                <w:b/>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注：（1）投标报价得分分值取小数点后两位，第三位四舍五入。若投标报价得分计算后小于或等于0分，按0分计。</w:t>
            </w:r>
          </w:p>
        </w:tc>
      </w:tr>
    </w:tbl>
    <w:p w14:paraId="6E416D14"/>
    <w:p w14:paraId="63185D03">
      <w:pPr>
        <w:rPr>
          <w:rFonts w:hint="eastAsia" w:ascii="黑体" w:eastAsia="黑体"/>
          <w:color w:val="auto"/>
          <w:kern w:val="0"/>
          <w:sz w:val="28"/>
          <w:highlight w:val="none"/>
        </w:rPr>
      </w:pPr>
      <w:r>
        <w:rPr>
          <w:rFonts w:hint="eastAsia" w:ascii="黑体" w:eastAsia="黑体"/>
          <w:color w:val="auto"/>
          <w:kern w:val="0"/>
          <w:sz w:val="28"/>
          <w:highlight w:val="none"/>
        </w:rPr>
        <w:br w:type="page"/>
      </w:r>
    </w:p>
    <w:p w14:paraId="757168D4">
      <w:pPr>
        <w:adjustRightInd w:val="0"/>
        <w:snapToGrid w:val="0"/>
        <w:spacing w:line="360" w:lineRule="auto"/>
        <w:jc w:val="left"/>
        <w:outlineLvl w:val="0"/>
        <w:rPr>
          <w:rFonts w:ascii="黑体" w:eastAsia="黑体"/>
          <w:color w:val="auto"/>
          <w:kern w:val="0"/>
          <w:sz w:val="28"/>
          <w:highlight w:val="none"/>
        </w:rPr>
      </w:pPr>
      <w:bookmarkStart w:id="466" w:name="_Toc27612"/>
      <w:bookmarkStart w:id="467" w:name="_Toc20873"/>
      <w:r>
        <w:rPr>
          <w:rFonts w:hint="eastAsia" w:ascii="黑体" w:eastAsia="黑体"/>
          <w:color w:val="auto"/>
          <w:kern w:val="0"/>
          <w:sz w:val="28"/>
          <w:highlight w:val="none"/>
        </w:rPr>
        <w:t>附件B：否决投标条款</w:t>
      </w:r>
      <w:bookmarkEnd w:id="435"/>
      <w:bookmarkEnd w:id="466"/>
      <w:bookmarkEnd w:id="467"/>
    </w:p>
    <w:p w14:paraId="02B00F26">
      <w:pPr>
        <w:adjustRightInd w:val="0"/>
        <w:snapToGrid w:val="0"/>
        <w:spacing w:line="360" w:lineRule="auto"/>
        <w:jc w:val="center"/>
        <w:rPr>
          <w:rFonts w:ascii="黑体" w:eastAsia="黑体"/>
          <w:color w:val="auto"/>
          <w:kern w:val="0"/>
          <w:sz w:val="28"/>
          <w:szCs w:val="28"/>
          <w:highlight w:val="none"/>
        </w:rPr>
      </w:pPr>
      <w:r>
        <w:rPr>
          <w:rFonts w:hint="eastAsia" w:ascii="黑体" w:eastAsia="黑体"/>
          <w:color w:val="auto"/>
          <w:kern w:val="0"/>
          <w:sz w:val="28"/>
          <w:szCs w:val="28"/>
          <w:highlight w:val="none"/>
        </w:rPr>
        <w:t>否决投标条款</w:t>
      </w:r>
    </w:p>
    <w:p w14:paraId="3EA1BA27">
      <w:pPr>
        <w:adjustRightInd w:val="0"/>
        <w:snapToGrid w:val="0"/>
        <w:spacing w:line="360" w:lineRule="auto"/>
        <w:jc w:val="left"/>
        <w:rPr>
          <w:rFonts w:ascii="黑体" w:eastAsia="黑体"/>
          <w:color w:val="auto"/>
          <w:kern w:val="0"/>
          <w:szCs w:val="20"/>
          <w:highlight w:val="none"/>
        </w:rPr>
      </w:pPr>
      <w:r>
        <w:rPr>
          <w:rFonts w:hint="eastAsia" w:ascii="黑体" w:eastAsia="黑体"/>
          <w:color w:val="auto"/>
          <w:kern w:val="0"/>
          <w:highlight w:val="none"/>
        </w:rPr>
        <w:t>B0.总  则</w:t>
      </w:r>
    </w:p>
    <w:p w14:paraId="015337B3">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ascii="宋体" w:hAnsi="宋体"/>
          <w:color w:val="auto"/>
          <w:kern w:val="0"/>
          <w:szCs w:val="21"/>
          <w:highlight w:val="none"/>
        </w:rPr>
      </w:pPr>
      <w:r>
        <w:rPr>
          <w:rFonts w:hint="eastAsia" w:ascii="宋体" w:hAnsi="宋体"/>
          <w:color w:val="auto"/>
          <w:kern w:val="0"/>
          <w:szCs w:val="21"/>
          <w:highlight w:val="none"/>
        </w:rPr>
        <w:t>本附件所集中列示的否决投标条款，是本章“评标办法”的组成部分，是对第二章“投标人须知”和本章正文部分所规定的否决投标条款的总结和补充，如果出现相互矛盾的情况，以本节的规定为准。</w:t>
      </w:r>
    </w:p>
    <w:p w14:paraId="4DFC27F1">
      <w:pPr>
        <w:pStyle w:val="5"/>
        <w:pageBreakBefore w:val="0"/>
        <w:widowControl w:val="0"/>
        <w:kinsoku/>
        <w:wordWrap/>
        <w:overflowPunct/>
        <w:topLinePunct w:val="0"/>
        <w:autoSpaceDE/>
        <w:autoSpaceDN/>
        <w:bidi w:val="0"/>
        <w:spacing w:before="0" w:after="0" w:line="360" w:lineRule="auto"/>
        <w:jc w:val="both"/>
        <w:textAlignment w:val="auto"/>
        <w:rPr>
          <w:rFonts w:hint="eastAsia" w:ascii="黑体" w:hAnsi="Times New Roman" w:eastAsia="黑体" w:cs="Times New Roman"/>
          <w:b w:val="0"/>
          <w:bCs w:val="0"/>
          <w:color w:val="auto"/>
          <w:kern w:val="0"/>
          <w:sz w:val="21"/>
          <w:szCs w:val="24"/>
          <w:highlight w:val="none"/>
          <w:lang w:val="en-US" w:eastAsia="zh-CN" w:bidi="ar-SA"/>
        </w:rPr>
      </w:pPr>
      <w:bookmarkStart w:id="468" w:name="_Toc20058_WPSOffice_Level2"/>
      <w:bookmarkStart w:id="469" w:name="_Toc15445"/>
      <w:bookmarkStart w:id="470" w:name="_Toc2224"/>
      <w:r>
        <w:rPr>
          <w:rFonts w:hint="eastAsia" w:ascii="黑体" w:hAnsi="Times New Roman" w:eastAsia="黑体" w:cs="Times New Roman"/>
          <w:b w:val="0"/>
          <w:bCs w:val="0"/>
          <w:color w:val="auto"/>
          <w:kern w:val="0"/>
          <w:sz w:val="21"/>
          <w:szCs w:val="24"/>
          <w:highlight w:val="none"/>
          <w:lang w:val="en-US" w:eastAsia="zh-CN" w:bidi="ar-SA"/>
        </w:rPr>
        <w:t>B1.否决投标条款</w:t>
      </w:r>
      <w:bookmarkEnd w:id="468"/>
      <w:bookmarkEnd w:id="469"/>
      <w:bookmarkEnd w:id="470"/>
    </w:p>
    <w:p w14:paraId="19CC8446">
      <w:pPr>
        <w:pStyle w:val="5"/>
        <w:keepNext/>
        <w:keepLines/>
        <w:pageBreakBefore w:val="0"/>
        <w:widowControl/>
        <w:kinsoku/>
        <w:wordWrap/>
        <w:overflowPunct/>
        <w:topLinePunct w:val="0"/>
        <w:autoSpaceDE/>
        <w:autoSpaceDN/>
        <w:bidi w:val="0"/>
        <w:adjustRightInd w:val="0"/>
        <w:snapToGrid w:val="0"/>
        <w:spacing w:before="0" w:after="0" w:line="360" w:lineRule="auto"/>
        <w:ind w:firstLine="420" w:firstLineChars="20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1" w:name="_Toc15201"/>
      <w:bookmarkStart w:id="472" w:name="_Toc21262"/>
      <w:r>
        <w:rPr>
          <w:rFonts w:hint="eastAsia" w:ascii="宋体" w:hAnsi="宋体" w:eastAsia="宋体" w:cs="Times New Roman"/>
          <w:b w:val="0"/>
          <w:bCs w:val="0"/>
          <w:color w:val="auto"/>
          <w:kern w:val="2"/>
          <w:sz w:val="21"/>
          <w:szCs w:val="21"/>
          <w:highlight w:val="none"/>
          <w:lang w:val="en-US" w:eastAsia="zh-CN" w:bidi="ar-SA"/>
        </w:rPr>
        <w:t>投标人或投标文件有下列情形之一的，其投标作否决投标处理：</w:t>
      </w:r>
      <w:bookmarkEnd w:id="471"/>
      <w:bookmarkEnd w:id="472"/>
    </w:p>
    <w:p w14:paraId="7B2B2670">
      <w:pPr>
        <w:pStyle w:val="5"/>
        <w:keepNext/>
        <w:keepLines/>
        <w:pageBreakBefore w:val="0"/>
        <w:widowControl/>
        <w:kinsoku/>
        <w:wordWrap/>
        <w:overflowPunct/>
        <w:topLinePunct w:val="0"/>
        <w:autoSpaceDE/>
        <w:autoSpaceDN/>
        <w:bidi w:val="0"/>
        <w:adjustRightInd w:val="0"/>
        <w:snapToGrid w:val="0"/>
        <w:spacing w:before="0" w:after="0" w:line="360" w:lineRule="auto"/>
        <w:ind w:firstLine="420" w:firstLineChars="20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3" w:name="_Toc2982"/>
      <w:bookmarkStart w:id="474" w:name="_Toc9361"/>
      <w:r>
        <w:rPr>
          <w:rFonts w:hint="eastAsia" w:ascii="宋体" w:hAnsi="宋体" w:eastAsia="宋体" w:cs="Times New Roman"/>
          <w:b w:val="0"/>
          <w:bCs w:val="0"/>
          <w:color w:val="auto"/>
          <w:kern w:val="2"/>
          <w:sz w:val="21"/>
          <w:szCs w:val="21"/>
          <w:highlight w:val="none"/>
          <w:lang w:val="en-US" w:eastAsia="zh-CN" w:bidi="ar-SA"/>
        </w:rPr>
        <w:t>B1.1 有第二章“投标人须知”第1.4.3 项规定的任何一种情形的；</w:t>
      </w:r>
      <w:bookmarkEnd w:id="473"/>
      <w:bookmarkEnd w:id="474"/>
    </w:p>
    <w:p w14:paraId="418239A7">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5" w:name="_Toc28792_WPSOffice_Level2"/>
      <w:r>
        <w:rPr>
          <w:rFonts w:hint="eastAsia" w:ascii="宋体" w:hAnsi="宋体" w:eastAsia="宋体" w:cs="Times New Roman"/>
          <w:b w:val="0"/>
          <w:bCs w:val="0"/>
          <w:color w:val="auto"/>
          <w:kern w:val="2"/>
          <w:sz w:val="21"/>
          <w:szCs w:val="21"/>
          <w:highlight w:val="none"/>
          <w:lang w:val="en-US" w:eastAsia="zh-CN" w:bidi="ar-SA"/>
        </w:rPr>
        <w:t>B1.2有串通投标行为或弄虚作假或有其他违法行为的；</w:t>
      </w:r>
      <w:bookmarkEnd w:id="475"/>
    </w:p>
    <w:p w14:paraId="4228E9BE">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6" w:name="_Toc10476_WPSOffice_Level2"/>
      <w:r>
        <w:rPr>
          <w:rFonts w:hint="eastAsia" w:ascii="宋体" w:hAnsi="宋体" w:eastAsia="宋体" w:cs="Times New Roman"/>
          <w:b w:val="0"/>
          <w:bCs w:val="0"/>
          <w:color w:val="auto"/>
          <w:kern w:val="2"/>
          <w:sz w:val="21"/>
          <w:szCs w:val="21"/>
          <w:highlight w:val="none"/>
          <w:lang w:val="en-US" w:eastAsia="zh-CN" w:bidi="ar-SA"/>
        </w:rPr>
        <w:t>B1.3不按评标委员会要求澄清、说明或补正的；</w:t>
      </w:r>
      <w:bookmarkEnd w:id="476"/>
    </w:p>
    <w:p w14:paraId="6FA3539E">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B1.4投标人工程量清单报价存在有重大漏项、缺项，且在投标书中没有明确的阐述和承诺的；</w:t>
      </w:r>
    </w:p>
    <w:p w14:paraId="6F39E0C1">
      <w:pPr>
        <w:keepNext w:val="0"/>
        <w:keepLines w:val="0"/>
        <w:pageBreakBefore w:val="0"/>
        <w:widowControl w:val="0"/>
        <w:kinsoku/>
        <w:wordWrap/>
        <w:overflowPunct/>
        <w:topLinePunct w:val="0"/>
        <w:autoSpaceDE/>
        <w:autoSpaceDN/>
        <w:bidi w:val="0"/>
        <w:adjustRightInd/>
        <w:snapToGrid/>
        <w:spacing w:after="0" w:line="360" w:lineRule="auto"/>
        <w:ind w:left="840" w:hanging="840" w:hangingChars="40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 xml:space="preserve">    B1.5在形式评审、资格评审、响应性评审、价格评审中，评标委员会认定投标人的投标不符合评标办法前附表中规定的任何一项评审标准的；</w:t>
      </w:r>
    </w:p>
    <w:p w14:paraId="4850F28C">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B1.6投标文件中不符合投标人须知正文部分3.1投标文件的组成的；</w:t>
      </w:r>
    </w:p>
    <w:p w14:paraId="6EF10C2C">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B1.7投标文件中不符合投标人须知正文部分3.2投标报价的；</w:t>
      </w:r>
    </w:p>
    <w:p w14:paraId="15F597B3">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7" w:name="_Toc21977_WPSOffice_Level2"/>
      <w:r>
        <w:rPr>
          <w:rFonts w:hint="eastAsia" w:ascii="宋体" w:hAnsi="宋体" w:eastAsia="宋体" w:cs="Times New Roman"/>
          <w:b w:val="0"/>
          <w:bCs w:val="0"/>
          <w:color w:val="auto"/>
          <w:kern w:val="2"/>
          <w:sz w:val="21"/>
          <w:szCs w:val="21"/>
          <w:highlight w:val="none"/>
          <w:lang w:val="en-US" w:eastAsia="zh-CN" w:bidi="ar-SA"/>
        </w:rPr>
        <w:t>B1.8未按招标文件规定格式填写，内容不全或者关键内容字迹模糊，无法辨认的；</w:t>
      </w:r>
      <w:bookmarkEnd w:id="477"/>
    </w:p>
    <w:p w14:paraId="7BBEAA66">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B1.9投标人上传的电子投标文件中有两份或多份内容不同的投标文件，或者在一份投标文件中对同一招标项目报有两个或多个报价，且未声明哪一个有效，按招标文件规定提交备选投标方案的除外；</w:t>
      </w:r>
    </w:p>
    <w:p w14:paraId="74351280">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8" w:name="_Toc29735_WPSOffice_Level2"/>
      <w:r>
        <w:rPr>
          <w:rFonts w:hint="eastAsia" w:ascii="宋体" w:hAnsi="宋体" w:eastAsia="宋体" w:cs="Times New Roman"/>
          <w:b w:val="0"/>
          <w:bCs w:val="0"/>
          <w:color w:val="auto"/>
          <w:kern w:val="2"/>
          <w:sz w:val="21"/>
          <w:szCs w:val="21"/>
          <w:highlight w:val="none"/>
          <w:lang w:val="en-US" w:eastAsia="zh-CN" w:bidi="ar-SA"/>
        </w:rPr>
        <w:t>B1.10投标人名称或组织机构与资格审查不一致的；</w:t>
      </w:r>
      <w:bookmarkEnd w:id="478"/>
    </w:p>
    <w:p w14:paraId="3420E756">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B1.11投标人在投标文件中电子签章或电子签名的名称或人员与其他投标人在投标文件中的电子签章或电子签名的名称或人员为同一人的；</w:t>
      </w:r>
    </w:p>
    <w:p w14:paraId="4A87B2DA">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1.12违反《中华人民共和国招标投标法》《中华人民共和国招标投标法实施条例》《国家九部委30号令》《云南省政府106号文》《云南省住建厅第19号公告》等相关法律法规的，经评标委员会集体表决后认定，视作串通投标处理，并提请有关监管部门依法予以处罚；</w:t>
      </w:r>
    </w:p>
    <w:p w14:paraId="2435E058">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9" w:name="_Toc29232_WPSOffice_Level2"/>
      <w:r>
        <w:rPr>
          <w:rFonts w:hint="eastAsia" w:ascii="宋体" w:hAnsi="宋体" w:eastAsia="宋体" w:cs="Times New Roman"/>
          <w:b w:val="0"/>
          <w:bCs w:val="0"/>
          <w:color w:val="auto"/>
          <w:kern w:val="2"/>
          <w:sz w:val="21"/>
          <w:szCs w:val="21"/>
          <w:highlight w:val="none"/>
          <w:lang w:val="en-US" w:eastAsia="zh-CN" w:bidi="ar-SA"/>
        </w:rPr>
        <w:t>B1.13违反国家、省、市相关法律法规的；</w:t>
      </w:r>
      <w:bookmarkEnd w:id="479"/>
    </w:p>
    <w:p w14:paraId="4A4EFBAA">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0" w:name="_Toc21675_WPSOffice_Level2"/>
      <w:r>
        <w:rPr>
          <w:rFonts w:hint="eastAsia" w:ascii="宋体" w:hAnsi="宋体" w:eastAsia="宋体" w:cs="Times New Roman"/>
          <w:b w:val="0"/>
          <w:bCs w:val="0"/>
          <w:color w:val="auto"/>
          <w:kern w:val="2"/>
          <w:sz w:val="21"/>
          <w:szCs w:val="21"/>
          <w:highlight w:val="none"/>
          <w:lang w:val="en-US" w:eastAsia="zh-CN" w:bidi="ar-SA"/>
        </w:rPr>
        <w:t>B1.14评标委员会判定其报价低于成本价的；</w:t>
      </w:r>
      <w:bookmarkEnd w:id="480"/>
    </w:p>
    <w:p w14:paraId="5C9F6DAB">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B1.15投标人报价清单未按招标文件要求报价，擅自修改工程量清单电子文件中的数据、格式及运算定义的；</w:t>
      </w:r>
    </w:p>
    <w:p w14:paraId="013D4A7D">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1" w:name="_Toc8484_WPSOffice_Level2"/>
      <w:r>
        <w:rPr>
          <w:rFonts w:hint="eastAsia" w:ascii="宋体" w:hAnsi="宋体" w:eastAsia="宋体" w:cs="Times New Roman"/>
          <w:b w:val="0"/>
          <w:bCs w:val="0"/>
          <w:color w:val="auto"/>
          <w:kern w:val="2"/>
          <w:sz w:val="21"/>
          <w:szCs w:val="21"/>
          <w:highlight w:val="none"/>
          <w:lang w:val="en-US" w:eastAsia="zh-CN" w:bidi="ar-SA"/>
        </w:rPr>
        <w:t>B1.16投标总价高于招标控制价的；</w:t>
      </w:r>
      <w:bookmarkEnd w:id="481"/>
    </w:p>
    <w:p w14:paraId="481980FF">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2" w:name="_Toc742_WPSOffice_Level2"/>
      <w:r>
        <w:rPr>
          <w:rFonts w:hint="eastAsia" w:ascii="宋体" w:hAnsi="宋体" w:eastAsia="宋体" w:cs="Times New Roman"/>
          <w:b w:val="0"/>
          <w:bCs w:val="0"/>
          <w:color w:val="auto"/>
          <w:kern w:val="2"/>
          <w:sz w:val="21"/>
          <w:szCs w:val="21"/>
          <w:highlight w:val="none"/>
          <w:lang w:val="en-US" w:eastAsia="zh-CN" w:bidi="ar-SA"/>
        </w:rPr>
        <w:t>B1.17投标报价综合单价分析表管理费及利润为负数的；</w:t>
      </w:r>
      <w:bookmarkEnd w:id="482"/>
    </w:p>
    <w:p w14:paraId="328D0358">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3" w:name="_Toc24397_WPSOffice_Level2"/>
      <w:r>
        <w:rPr>
          <w:rFonts w:hint="eastAsia" w:ascii="宋体" w:hAnsi="宋体" w:eastAsia="宋体" w:cs="Times New Roman"/>
          <w:b w:val="0"/>
          <w:bCs w:val="0"/>
          <w:color w:val="auto"/>
          <w:kern w:val="2"/>
          <w:sz w:val="21"/>
          <w:szCs w:val="21"/>
          <w:highlight w:val="none"/>
          <w:lang w:val="en-US" w:eastAsia="zh-CN" w:bidi="ar-SA"/>
        </w:rPr>
        <w:t>B1.18不按工程所在地税率计取，擅自调整税金的；</w:t>
      </w:r>
      <w:bookmarkEnd w:id="483"/>
    </w:p>
    <w:p w14:paraId="3199939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 xml:space="preserve">    </w:t>
      </w:r>
      <w:bookmarkStart w:id="484" w:name="_Toc3918_WPSOffice_Level2"/>
      <w:r>
        <w:rPr>
          <w:rFonts w:hint="eastAsia" w:ascii="宋体" w:hAnsi="宋体" w:eastAsia="宋体" w:cs="Times New Roman"/>
          <w:b w:val="0"/>
          <w:bCs w:val="0"/>
          <w:color w:val="auto"/>
          <w:kern w:val="2"/>
          <w:sz w:val="21"/>
          <w:szCs w:val="21"/>
          <w:highlight w:val="none"/>
          <w:lang w:val="en-US" w:eastAsia="zh-CN" w:bidi="ar-SA"/>
        </w:rPr>
        <w:t>B1.19工程量清单中运算数据有错误的；</w:t>
      </w:r>
      <w:bookmarkEnd w:id="484"/>
    </w:p>
    <w:p w14:paraId="09B5F6CF">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5" w:name="_Toc7325_WPSOffice_Level2"/>
      <w:r>
        <w:rPr>
          <w:rFonts w:hint="eastAsia" w:ascii="宋体" w:hAnsi="宋体" w:eastAsia="宋体" w:cs="Times New Roman"/>
          <w:b w:val="0"/>
          <w:bCs w:val="0"/>
          <w:color w:val="auto"/>
          <w:kern w:val="2"/>
          <w:sz w:val="21"/>
          <w:szCs w:val="21"/>
          <w:highlight w:val="none"/>
          <w:lang w:val="en-US" w:eastAsia="zh-CN" w:bidi="ar-SA"/>
        </w:rPr>
        <w:t>B1.20拟派项目经理有在建项目的；</w:t>
      </w:r>
      <w:bookmarkEnd w:id="485"/>
    </w:p>
    <w:p w14:paraId="490E2AF4">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B1.21对招标文件提出的所有实质性要求和条件没有作出实质性响应的。</w:t>
      </w:r>
    </w:p>
    <w:p w14:paraId="5E6DCDCC">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B1.22所报单价和材料价格明显低于市场价格的；</w:t>
      </w:r>
    </w:p>
    <w:p w14:paraId="66443431">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B1.23未按水利部文件水总〔2024〕323号水利部关于发布《水利工程设计概（估）算编制规定》及水利工程系列定额的通知编制的；</w:t>
      </w:r>
    </w:p>
    <w:p w14:paraId="418ADE74">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B1.24投标报价中报表前后数据不一致的；</w:t>
      </w:r>
    </w:p>
    <w:p w14:paraId="2D6403C8">
      <w:pPr>
        <w:ind w:firstLine="420" w:firstLineChars="200"/>
        <w:rPr>
          <w:rFonts w:hint="default"/>
          <w:color w:val="auto"/>
          <w:highlight w:val="none"/>
          <w:lang w:val="en-US" w:eastAsia="zh-CN"/>
        </w:rPr>
      </w:pPr>
      <w:r>
        <w:rPr>
          <w:rFonts w:hint="eastAsia" w:ascii="宋体" w:hAnsi="宋体" w:eastAsia="宋体" w:cs="Times New Roman"/>
          <w:b w:val="0"/>
          <w:bCs w:val="0"/>
          <w:color w:val="auto"/>
          <w:kern w:val="2"/>
          <w:sz w:val="21"/>
          <w:szCs w:val="21"/>
          <w:highlight w:val="none"/>
          <w:lang w:val="en-US" w:eastAsia="zh-CN" w:bidi="ar-SA"/>
        </w:rPr>
        <w:t>B1.25投标单价明显不合理的。</w:t>
      </w:r>
    </w:p>
    <w:p w14:paraId="3CA9AD8C">
      <w:pPr>
        <w:widowControl/>
        <w:spacing w:after="0" w:line="240" w:lineRule="auto"/>
        <w:jc w:val="left"/>
        <w:rPr>
          <w:rFonts w:ascii="宋体" w:hAnsi="宋体"/>
          <w:b/>
          <w:bCs/>
          <w:color w:val="auto"/>
          <w:kern w:val="0"/>
          <w:sz w:val="44"/>
          <w:szCs w:val="44"/>
          <w:highlight w:val="none"/>
          <w:lang w:val="zh-CN"/>
        </w:rPr>
      </w:pPr>
    </w:p>
    <w:p w14:paraId="445F1856">
      <w:pPr>
        <w:pStyle w:val="7"/>
        <w:rPr>
          <w:rFonts w:ascii="宋体" w:hAnsi="宋体"/>
          <w:b/>
          <w:bCs/>
          <w:color w:val="auto"/>
          <w:kern w:val="0"/>
          <w:sz w:val="44"/>
          <w:szCs w:val="44"/>
          <w:highlight w:val="none"/>
          <w:lang w:val="zh-CN"/>
        </w:rPr>
      </w:pPr>
    </w:p>
    <w:p w14:paraId="2FA18E50">
      <w:pPr>
        <w:pStyle w:val="7"/>
        <w:rPr>
          <w:rFonts w:ascii="宋体" w:hAnsi="宋体"/>
          <w:b/>
          <w:bCs/>
          <w:color w:val="auto"/>
          <w:kern w:val="0"/>
          <w:sz w:val="44"/>
          <w:szCs w:val="44"/>
          <w:highlight w:val="none"/>
          <w:lang w:val="zh-CN"/>
        </w:rPr>
      </w:pPr>
    </w:p>
    <w:p w14:paraId="7BC6029E">
      <w:pPr>
        <w:pStyle w:val="7"/>
        <w:ind w:left="0" w:leftChars="0" w:firstLine="0" w:firstLineChars="0"/>
        <w:rPr>
          <w:color w:val="auto"/>
          <w:highlight w:val="none"/>
          <w:lang w:val="zh-CN"/>
        </w:rPr>
      </w:pPr>
    </w:p>
    <w:p w14:paraId="41130DA0">
      <w:pPr>
        <w:pStyle w:val="7"/>
        <w:ind w:left="0" w:leftChars="0" w:firstLine="0" w:firstLineChars="0"/>
        <w:rPr>
          <w:color w:val="auto"/>
          <w:highlight w:val="none"/>
          <w:lang w:val="zh-CN"/>
        </w:rPr>
      </w:pPr>
    </w:p>
    <w:p w14:paraId="24D29114">
      <w:pPr>
        <w:rPr>
          <w:rFonts w:hint="eastAsia" w:ascii="宋体" w:hAnsi="宋体" w:eastAsia="宋体"/>
          <w:color w:val="auto"/>
          <w:sz w:val="44"/>
          <w:szCs w:val="44"/>
          <w:highlight w:val="none"/>
        </w:rPr>
      </w:pPr>
      <w:bookmarkStart w:id="486" w:name="_Toc95257498"/>
      <w:r>
        <w:rPr>
          <w:rFonts w:hint="eastAsia" w:ascii="宋体" w:hAnsi="宋体" w:eastAsia="宋体"/>
          <w:color w:val="auto"/>
          <w:sz w:val="44"/>
          <w:szCs w:val="44"/>
          <w:highlight w:val="none"/>
        </w:rPr>
        <w:br w:type="page"/>
      </w:r>
    </w:p>
    <w:p w14:paraId="50723338">
      <w:pPr>
        <w:pStyle w:val="5"/>
        <w:spacing w:before="0" w:after="0" w:line="360" w:lineRule="auto"/>
        <w:jc w:val="center"/>
        <w:outlineLvl w:val="0"/>
        <w:rPr>
          <w:rFonts w:ascii="宋体" w:hAnsi="宋体" w:eastAsia="宋体"/>
          <w:color w:val="auto"/>
          <w:sz w:val="44"/>
          <w:szCs w:val="44"/>
          <w:highlight w:val="none"/>
        </w:rPr>
      </w:pPr>
      <w:bookmarkStart w:id="487" w:name="_Toc32693"/>
      <w:bookmarkStart w:id="488" w:name="_Toc12325"/>
      <w:bookmarkStart w:id="489" w:name="_Toc23879"/>
      <w:r>
        <w:rPr>
          <w:rFonts w:hint="eastAsia" w:ascii="宋体" w:hAnsi="宋体" w:eastAsia="宋体"/>
          <w:color w:val="auto"/>
          <w:sz w:val="44"/>
          <w:szCs w:val="44"/>
          <w:highlight w:val="none"/>
        </w:rPr>
        <w:t>第四章 合同条款及格式</w:t>
      </w:r>
      <w:bookmarkEnd w:id="436"/>
      <w:bookmarkEnd w:id="437"/>
      <w:bookmarkEnd w:id="438"/>
      <w:bookmarkEnd w:id="439"/>
      <w:bookmarkEnd w:id="440"/>
      <w:bookmarkEnd w:id="441"/>
      <w:bookmarkEnd w:id="442"/>
      <w:bookmarkEnd w:id="443"/>
      <w:bookmarkEnd w:id="444"/>
      <w:bookmarkEnd w:id="486"/>
      <w:bookmarkEnd w:id="487"/>
      <w:bookmarkEnd w:id="488"/>
      <w:bookmarkEnd w:id="489"/>
    </w:p>
    <w:p w14:paraId="1BA5FB48">
      <w:pPr>
        <w:pStyle w:val="493"/>
        <w:spacing w:after="0" w:line="360" w:lineRule="auto"/>
        <w:jc w:val="center"/>
        <w:rPr>
          <w:rFonts w:ascii="宋体" w:hAnsi="宋体" w:cs="宋体"/>
          <w:b/>
          <w:color w:val="000000" w:themeColor="text1"/>
          <w:sz w:val="24"/>
          <w:highlight w:val="none"/>
          <w14:textFill>
            <w14:solidFill>
              <w14:schemeClr w14:val="tx1"/>
            </w14:solidFill>
          </w14:textFill>
        </w:rPr>
      </w:pPr>
      <w:bookmarkStart w:id="490" w:name="_Toc264366130"/>
      <w:bookmarkStart w:id="491" w:name="_Toc222032727"/>
      <w:bookmarkStart w:id="492" w:name="_Toc222029558"/>
      <w:bookmarkStart w:id="493" w:name="_Toc222031060"/>
      <w:bookmarkStart w:id="494" w:name="_Toc221951909"/>
      <w:bookmarkStart w:id="495" w:name="_Toc144974855"/>
      <w:bookmarkStart w:id="496" w:name="_Toc222033909"/>
      <w:bookmarkStart w:id="497" w:name="_Toc168476316"/>
      <w:bookmarkStart w:id="498" w:name="_Toc168475913"/>
      <w:bookmarkStart w:id="499" w:name="_Toc229305417"/>
      <w:r>
        <w:rPr>
          <w:rFonts w:hint="eastAsia" w:ascii="宋体" w:hAnsi="宋体" w:cs="宋体"/>
          <w:b/>
          <w:color w:val="000000" w:themeColor="text1"/>
          <w:sz w:val="24"/>
          <w:highlight w:val="none"/>
          <w:lang w:val="zh-TW"/>
          <w14:textFill>
            <w14:solidFill>
              <w14:schemeClr w14:val="tx1"/>
            </w14:solidFill>
          </w14:textFill>
        </w:rPr>
        <w:t>注：招标文件内本章合同条款及格式仅作为参考，本章节中未明确内容将在合同谈判中明确，招标人保留最终修订合同的权利，最终本合同以实际签订为准。</w:t>
      </w:r>
    </w:p>
    <w:p w14:paraId="2F1F0445">
      <w:pPr>
        <w:pStyle w:val="2"/>
        <w:spacing w:after="0" w:line="360" w:lineRule="auto"/>
        <w:rPr>
          <w:rFonts w:ascii="宋体" w:hAnsi="宋体" w:cs="宋体"/>
          <w:color w:val="000000" w:themeColor="text1"/>
          <w:sz w:val="24"/>
          <w:highlight w:val="none"/>
          <w14:textFill>
            <w14:solidFill>
              <w14:schemeClr w14:val="tx1"/>
            </w14:solidFill>
          </w14:textFill>
        </w:rPr>
      </w:pPr>
    </w:p>
    <w:p w14:paraId="52C55B40">
      <w:pPr>
        <w:pStyle w:val="2"/>
        <w:spacing w:after="0" w:line="360" w:lineRule="auto"/>
        <w:rPr>
          <w:rFonts w:ascii="宋体" w:hAnsi="宋体" w:cs="宋体"/>
          <w:color w:val="000000" w:themeColor="text1"/>
          <w:sz w:val="24"/>
          <w:highlight w:val="none"/>
          <w14:textFill>
            <w14:solidFill>
              <w14:schemeClr w14:val="tx1"/>
            </w14:solidFill>
          </w14:textFill>
        </w:rPr>
      </w:pPr>
    </w:p>
    <w:p w14:paraId="06E903B5">
      <w:pPr>
        <w:pStyle w:val="493"/>
        <w:adjustRightInd w:val="0"/>
        <w:snapToGrid w:val="0"/>
        <w:spacing w:after="0" w:line="360" w:lineRule="auto"/>
        <w:jc w:val="left"/>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AUTOTEXT  合同条款及格式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snapToGrid w:val="0"/>
          <w:color w:val="000000" w:themeColor="text1"/>
          <w:sz w:val="24"/>
          <w:highlight w:val="none"/>
          <w14:textFill>
            <w14:solidFill>
              <w14:schemeClr w14:val="tx1"/>
            </w14:solidFill>
          </w14:textFill>
        </w:rPr>
        <w:t>合同条款及格式</w:t>
      </w:r>
      <w:r>
        <w:rPr>
          <w:rFonts w:hint="eastAsia" w:ascii="宋体" w:hAnsi="宋体" w:cs="宋体"/>
          <w:snapToGrid w:val="0"/>
          <w:color w:val="000000" w:themeColor="text1"/>
          <w:sz w:val="24"/>
          <w:highlight w:val="none"/>
          <w14:textFill>
            <w14:solidFill>
              <w14:schemeClr w14:val="tx1"/>
            </w14:solidFill>
          </w14:textFill>
        </w:rPr>
        <w:fldChar w:fldCharType="end"/>
      </w:r>
    </w:p>
    <w:p w14:paraId="0FA73055">
      <w:pPr>
        <w:pStyle w:val="493"/>
        <w:adjustRightInd w:val="0"/>
        <w:snapToGrid w:val="0"/>
        <w:spacing w:after="0" w:line="360" w:lineRule="auto"/>
        <w:jc w:val="left"/>
        <w:rPr>
          <w:rFonts w:ascii="宋体" w:hAnsi="宋体" w:cs="宋体"/>
          <w:snapToGrid w:val="0"/>
          <w:color w:val="000000" w:themeColor="text1"/>
          <w:sz w:val="24"/>
          <w:highlight w:val="none"/>
          <w14:textFill>
            <w14:solidFill>
              <w14:schemeClr w14:val="tx1"/>
            </w14:solidFill>
          </w14:textFill>
        </w:rPr>
      </w:pPr>
    </w:p>
    <w:p w14:paraId="0B6207D2">
      <w:pPr>
        <w:pStyle w:val="493"/>
        <w:spacing w:after="0" w:line="360" w:lineRule="auto"/>
        <w:jc w:val="center"/>
        <w:outlineLvl w:val="1"/>
        <w:rPr>
          <w:rFonts w:ascii="宋体" w:hAnsi="宋体" w:cs="宋体"/>
          <w:b/>
          <w:color w:val="000000" w:themeColor="text1"/>
          <w:sz w:val="24"/>
          <w:highlight w:val="none"/>
          <w14:textFill>
            <w14:solidFill>
              <w14:schemeClr w14:val="tx1"/>
            </w14:solidFill>
          </w14:textFill>
        </w:rPr>
      </w:pPr>
      <w:bookmarkStart w:id="500" w:name="_Toc8269"/>
      <w:bookmarkStart w:id="501" w:name="_Toc24840"/>
      <w:bookmarkStart w:id="502" w:name="_Toc7383026"/>
      <w:bookmarkStart w:id="503" w:name="_Toc5954"/>
      <w:bookmarkStart w:id="504" w:name="_Toc7972527"/>
      <w:bookmarkStart w:id="505" w:name="_Hlk7967726"/>
      <w:r>
        <w:rPr>
          <w:rFonts w:hint="eastAsia" w:ascii="宋体" w:hAnsi="宋体" w:cs="宋体"/>
          <w:b/>
          <w:color w:val="000000" w:themeColor="text1"/>
          <w:sz w:val="24"/>
          <w:highlight w:val="none"/>
          <w14:textFill>
            <w14:solidFill>
              <w14:schemeClr w14:val="tx1"/>
            </w14:solidFill>
          </w14:textFill>
        </w:rPr>
        <w:t>第一部分 合同协议书</w:t>
      </w:r>
      <w:bookmarkEnd w:id="500"/>
      <w:bookmarkEnd w:id="501"/>
      <w:bookmarkEnd w:id="502"/>
      <w:bookmarkEnd w:id="503"/>
      <w:bookmarkEnd w:id="504"/>
    </w:p>
    <w:p w14:paraId="039B7364">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发包人（全称：）</w:t>
      </w:r>
    </w:p>
    <w:p w14:paraId="761F6451">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（中标人）          </w:t>
      </w:r>
    </w:p>
    <w:p w14:paraId="05A701F7">
      <w:pPr>
        <w:pStyle w:val="494"/>
        <w:spacing w:after="0" w:line="360" w:lineRule="auto"/>
        <w:jc w:val="left"/>
        <w:rPr>
          <w:rFonts w:ascii="宋体" w:hAnsi="宋体" w:eastAsia="宋体" w:cs="宋体"/>
          <w:color w:val="000000" w:themeColor="text1"/>
          <w:sz w:val="24"/>
          <w:szCs w:val="24"/>
          <w:highlight w:val="none"/>
          <w14:textFill>
            <w14:solidFill>
              <w14:schemeClr w14:val="tx1"/>
            </w14:solidFill>
          </w14:textFill>
        </w:rPr>
      </w:pPr>
    </w:p>
    <w:p w14:paraId="64FDDBC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根据《中华人民共和国合同法》、《中华人民共和国建筑法》及有关法律规定，遵循平等、自愿、公平和诚实信用的原则，各方就建设施工及有关事项协商一致，共同达成如下协议：</w:t>
      </w:r>
    </w:p>
    <w:p w14:paraId="58738198">
      <w:pPr>
        <w:pStyle w:val="494"/>
        <w:keepNext/>
        <w:keepLines/>
        <w:spacing w:after="0" w:line="360" w:lineRule="auto"/>
        <w:rPr>
          <w:rFonts w:ascii="宋体" w:hAnsi="宋体" w:eastAsia="宋体" w:cs="宋体"/>
          <w:b/>
          <w:bCs/>
          <w:color w:val="000000" w:themeColor="text1"/>
          <w:sz w:val="24"/>
          <w:szCs w:val="24"/>
          <w:highlight w:val="none"/>
          <w14:textFill>
            <w14:solidFill>
              <w14:schemeClr w14:val="tx1"/>
            </w14:solidFill>
          </w14:textFill>
        </w:rPr>
      </w:pPr>
      <w:bookmarkStart w:id="506" w:name="_Toc7972528"/>
      <w:bookmarkStart w:id="507" w:name="_Toc7383027"/>
      <w:r>
        <w:rPr>
          <w:rFonts w:hint="eastAsia" w:ascii="宋体" w:hAnsi="宋体" w:eastAsia="宋体" w:cs="宋体"/>
          <w:b/>
          <w:color w:val="000000" w:themeColor="text1"/>
          <w:sz w:val="24"/>
          <w:szCs w:val="24"/>
          <w:highlight w:val="none"/>
          <w14:textFill>
            <w14:solidFill>
              <w14:schemeClr w14:val="tx1"/>
            </w14:solidFill>
          </w14:textFill>
        </w:rPr>
        <w:t>一、工程概况</w:t>
      </w:r>
      <w:bookmarkEnd w:id="506"/>
      <w:bookmarkEnd w:id="507"/>
    </w:p>
    <w:p w14:paraId="0A01EBE9">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1.工程名称：</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71382E38">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2.工程地点：</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3680346C">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3.工程立项批准文号：</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0347B62D">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4.资金来源：</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60ED9714">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5.工程内容及范围：</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5B43BC44">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08" w:name="_Toc7972529"/>
      <w:bookmarkStart w:id="509" w:name="_Toc7383028"/>
      <w:r>
        <w:rPr>
          <w:rFonts w:hint="eastAsia" w:ascii="宋体" w:hAnsi="宋体" w:eastAsia="宋体" w:cs="宋体"/>
          <w:b/>
          <w:color w:val="000000" w:themeColor="text1"/>
          <w:sz w:val="24"/>
          <w:szCs w:val="24"/>
          <w:highlight w:val="none"/>
          <w14:textFill>
            <w14:solidFill>
              <w14:schemeClr w14:val="tx1"/>
            </w14:solidFill>
          </w14:textFill>
        </w:rPr>
        <w:t>二、合同工期</w:t>
      </w:r>
      <w:bookmarkEnd w:id="508"/>
      <w:bookmarkEnd w:id="509"/>
    </w:p>
    <w:p w14:paraId="316151A6">
      <w:pPr>
        <w:pStyle w:val="494"/>
        <w:spacing w:after="0" w:line="360" w:lineRule="auto"/>
        <w:ind w:firstLine="45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开工日期：</w:t>
      </w:r>
      <w:r>
        <w:rPr>
          <w:rFonts w:hint="eastAsia" w:ascii="宋体" w:hAnsi="宋体" w:eastAsia="宋体" w:cs="宋体"/>
          <w:color w:val="000000" w:themeColor="text1"/>
          <w:sz w:val="24"/>
          <w:szCs w:val="24"/>
          <w:highlight w:val="none"/>
          <w:u w:val="single"/>
          <w14:textFill>
            <w14:solidFill>
              <w14:schemeClr w14:val="tx1"/>
            </w14:solidFill>
          </w14:textFill>
        </w:rPr>
        <w:t>年   月   日</w:t>
      </w:r>
      <w:r>
        <w:rPr>
          <w:rFonts w:hint="eastAsia" w:ascii="宋体" w:hAnsi="宋体" w:eastAsia="宋体" w:cs="宋体"/>
          <w:color w:val="000000" w:themeColor="text1"/>
          <w:sz w:val="24"/>
          <w:szCs w:val="24"/>
          <w:highlight w:val="none"/>
          <w14:textFill>
            <w14:solidFill>
              <w14:schemeClr w14:val="tx1"/>
            </w14:solidFill>
          </w14:textFill>
        </w:rPr>
        <w:t>（实际开工日期以监理人、发包人批准的承包人提交的工程开工报审表，签署的开工日期为准）。</w:t>
      </w:r>
    </w:p>
    <w:p w14:paraId="521833BD">
      <w:pPr>
        <w:pStyle w:val="494"/>
        <w:spacing w:after="0" w:line="360" w:lineRule="auto"/>
        <w:ind w:firstLine="45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竣工日期：</w:t>
      </w:r>
      <w:r>
        <w:rPr>
          <w:rFonts w:hint="eastAsia" w:ascii="宋体" w:hAnsi="宋体" w:eastAsia="宋体" w:cs="宋体"/>
          <w:color w:val="000000" w:themeColor="text1"/>
          <w:sz w:val="24"/>
          <w:szCs w:val="24"/>
          <w:highlight w:val="none"/>
          <w:u w:val="single"/>
          <w14:textFill>
            <w14:solidFill>
              <w14:schemeClr w14:val="tx1"/>
            </w14:solidFill>
          </w14:textFill>
        </w:rPr>
        <w:t>年   月   日</w:t>
      </w:r>
      <w:r>
        <w:rPr>
          <w:rFonts w:hint="eastAsia" w:ascii="宋体" w:hAnsi="宋体" w:eastAsia="宋体" w:cs="宋体"/>
          <w:color w:val="000000" w:themeColor="text1"/>
          <w:sz w:val="24"/>
          <w:szCs w:val="24"/>
          <w:highlight w:val="none"/>
          <w14:textFill>
            <w14:solidFill>
              <w14:schemeClr w14:val="tx1"/>
            </w14:solidFill>
          </w14:textFill>
        </w:rPr>
        <w:t>。</w:t>
      </w:r>
    </w:p>
    <w:p w14:paraId="31687AA1">
      <w:pPr>
        <w:pStyle w:val="494"/>
        <w:spacing w:after="0" w:line="360" w:lineRule="auto"/>
        <w:ind w:firstLine="45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工期总日历天数：天。工期总日历天数与根据前述计划开竣工日期计算的工期天数不一致的，以工期总日历天数为准。</w:t>
      </w:r>
      <w:bookmarkStart w:id="510" w:name="_Toc7972530"/>
      <w:bookmarkStart w:id="511" w:name="_Toc7383029"/>
    </w:p>
    <w:p w14:paraId="0CC119E0">
      <w:pPr>
        <w:pStyle w:val="494"/>
        <w:numPr>
          <w:ilvl w:val="0"/>
          <w:numId w:val="6"/>
        </w:numPr>
        <w:spacing w:after="0" w:line="360" w:lineRule="auto"/>
        <w:ind w:firstLine="45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质量标准</w:t>
      </w:r>
      <w:bookmarkEnd w:id="510"/>
      <w:bookmarkEnd w:id="511"/>
    </w:p>
    <w:p w14:paraId="7DE485AF">
      <w:pPr>
        <w:pStyle w:val="494"/>
        <w:numPr>
          <w:ilvl w:val="0"/>
          <w:numId w:val="0"/>
        </w:numPr>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工程质量：</w:t>
      </w:r>
      <w:bookmarkStart w:id="512" w:name="_Toc7972531"/>
      <w:bookmarkStart w:id="513" w:name="_Toc7383030"/>
      <w:r>
        <w:rPr>
          <w:rFonts w:hint="eastAsia" w:ascii="宋体" w:hAnsi="宋体" w:eastAsia="宋体" w:cs="宋体"/>
          <w:color w:val="000000" w:themeColor="text1"/>
          <w:sz w:val="24"/>
          <w:szCs w:val="24"/>
          <w:highlight w:val="none"/>
          <w:u w:val="single"/>
          <w14:textFill>
            <w14:solidFill>
              <w14:schemeClr w14:val="tx1"/>
            </w14:solidFill>
          </w14:textFill>
        </w:rPr>
        <w:t>符合国家、行业及地方现行的相关标准和规范，确保一次性验收合格。</w:t>
      </w:r>
    </w:p>
    <w:p w14:paraId="5D5A43CD">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四、签约合同价与合同价格形式</w:t>
      </w:r>
      <w:bookmarkEnd w:id="512"/>
      <w:bookmarkEnd w:id="513"/>
      <w:r>
        <w:rPr>
          <w:rFonts w:hint="eastAsia" w:ascii="宋体" w:hAnsi="宋体" w:eastAsia="宋体" w:cs="宋体"/>
          <w:b/>
          <w:color w:val="000000" w:themeColor="text1"/>
          <w:sz w:val="24"/>
          <w:szCs w:val="24"/>
          <w:highlight w:val="none"/>
          <w14:textFill>
            <w14:solidFill>
              <w14:schemeClr w14:val="tx1"/>
            </w14:solidFill>
          </w14:textFill>
        </w:rPr>
        <w:tab/>
      </w:r>
    </w:p>
    <w:p w14:paraId="726755B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1.签约合同价为：</w:t>
      </w:r>
    </w:p>
    <w:p w14:paraId="7EF8160D">
      <w:pPr>
        <w:pStyle w:val="494"/>
        <w:spacing w:after="0" w:line="360" w:lineRule="auto"/>
        <w:ind w:firstLine="600" w:firstLineChars="25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人民币（大写）      (¥    元)；</w:t>
      </w:r>
    </w:p>
    <w:p w14:paraId="2C34CE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其中：</w:t>
      </w:r>
    </w:p>
    <w:p w14:paraId="0DCF76C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（1）安全文明施工费：</w:t>
      </w:r>
    </w:p>
    <w:p w14:paraId="0699E3D8">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元)</w:t>
      </w:r>
      <w:r>
        <w:rPr>
          <w:rFonts w:hint="eastAsia" w:ascii="宋体" w:hAnsi="宋体" w:eastAsia="宋体" w:cs="宋体"/>
          <w:color w:val="000000" w:themeColor="text1"/>
          <w:sz w:val="24"/>
          <w:szCs w:val="24"/>
          <w:highlight w:val="none"/>
          <w14:textFill>
            <w14:solidFill>
              <w14:schemeClr w14:val="tx1"/>
            </w14:solidFill>
          </w14:textFill>
        </w:rPr>
        <w:t>；</w:t>
      </w:r>
    </w:p>
    <w:p w14:paraId="5B1E521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（2）材料和工程设备暂估价金额：</w:t>
      </w:r>
    </w:p>
    <w:p w14:paraId="6E0A7417">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元)</w:t>
      </w:r>
      <w:r>
        <w:rPr>
          <w:rFonts w:hint="eastAsia" w:ascii="宋体" w:hAnsi="宋体" w:eastAsia="宋体" w:cs="宋体"/>
          <w:color w:val="000000" w:themeColor="text1"/>
          <w:sz w:val="24"/>
          <w:szCs w:val="24"/>
          <w:highlight w:val="none"/>
          <w14:textFill>
            <w14:solidFill>
              <w14:schemeClr w14:val="tx1"/>
            </w14:solidFill>
          </w14:textFill>
        </w:rPr>
        <w:t>；</w:t>
      </w:r>
    </w:p>
    <w:p w14:paraId="4A71557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（3）专业工程暂估价金额：</w:t>
      </w:r>
    </w:p>
    <w:p w14:paraId="7B5B057C">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人民币（大写）元(¥ 元)；</w:t>
      </w:r>
    </w:p>
    <w:p w14:paraId="3E62C0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（4）暂列金额：</w:t>
      </w:r>
    </w:p>
    <w:p w14:paraId="4D535C28">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元)</w:t>
      </w:r>
      <w:r>
        <w:rPr>
          <w:rFonts w:hint="eastAsia" w:ascii="宋体" w:hAnsi="宋体" w:eastAsia="宋体" w:cs="宋体"/>
          <w:color w:val="000000" w:themeColor="text1"/>
          <w:sz w:val="24"/>
          <w:szCs w:val="24"/>
          <w:highlight w:val="none"/>
          <w14:textFill>
            <w14:solidFill>
              <w14:schemeClr w14:val="tx1"/>
            </w14:solidFill>
          </w14:textFill>
        </w:rPr>
        <w:t>。</w:t>
      </w:r>
    </w:p>
    <w:p w14:paraId="1DF840D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2.合同价格形式：。</w:t>
      </w:r>
    </w:p>
    <w:p w14:paraId="280EC740">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14" w:name="_Toc7972532"/>
      <w:bookmarkStart w:id="515" w:name="_Toc7383031"/>
      <w:r>
        <w:rPr>
          <w:rFonts w:hint="eastAsia" w:ascii="宋体" w:hAnsi="宋体" w:eastAsia="宋体" w:cs="宋体"/>
          <w:b/>
          <w:color w:val="000000" w:themeColor="text1"/>
          <w:sz w:val="24"/>
          <w:szCs w:val="24"/>
          <w:highlight w:val="none"/>
          <w14:textFill>
            <w14:solidFill>
              <w14:schemeClr w14:val="tx1"/>
            </w14:solidFill>
          </w14:textFill>
        </w:rPr>
        <w:t>五、项目经理</w:t>
      </w:r>
      <w:bookmarkEnd w:id="514"/>
      <w:bookmarkEnd w:id="515"/>
    </w:p>
    <w:p w14:paraId="782ED1C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承包人项目经理：；</w:t>
      </w:r>
    </w:p>
    <w:p w14:paraId="5A833A0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技术负责人：。</w:t>
      </w:r>
    </w:p>
    <w:p w14:paraId="4B6709EE">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16" w:name="_Toc7383032"/>
      <w:bookmarkStart w:id="517" w:name="_Toc7972533"/>
      <w:r>
        <w:rPr>
          <w:rFonts w:hint="eastAsia" w:ascii="宋体" w:hAnsi="宋体" w:eastAsia="宋体" w:cs="宋体"/>
          <w:b/>
          <w:color w:val="000000" w:themeColor="text1"/>
          <w:sz w:val="24"/>
          <w:szCs w:val="24"/>
          <w:highlight w:val="none"/>
          <w14:textFill>
            <w14:solidFill>
              <w14:schemeClr w14:val="tx1"/>
            </w14:solidFill>
          </w14:textFill>
        </w:rPr>
        <w:t>六、合同文件构成</w:t>
      </w:r>
      <w:bookmarkEnd w:id="516"/>
      <w:bookmarkEnd w:id="517"/>
    </w:p>
    <w:p w14:paraId="3876BE9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本协议书与下列文件一起构成合同文件：</w:t>
      </w:r>
    </w:p>
    <w:p w14:paraId="0EC0D9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（1）本合同协议书</w:t>
      </w:r>
    </w:p>
    <w:p w14:paraId="03FABE77">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（2）中标通知书；</w:t>
      </w:r>
    </w:p>
    <w:p w14:paraId="38DDAF63">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（3）招标文件</w:t>
      </w:r>
    </w:p>
    <w:p w14:paraId="2059476F">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（4）投标函及其附录；</w:t>
      </w:r>
    </w:p>
    <w:p w14:paraId="14924BD1">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（5）专用合同条款及其附件；</w:t>
      </w:r>
    </w:p>
    <w:p w14:paraId="74858337">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（6）通用合同条款；</w:t>
      </w:r>
    </w:p>
    <w:p w14:paraId="7B15B36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（7）技术标准和要求；</w:t>
      </w:r>
    </w:p>
    <w:p w14:paraId="6C499A75">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（8）图纸；</w:t>
      </w:r>
    </w:p>
    <w:p w14:paraId="7A29D8C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（9）已标价工程量清单或预算书；</w:t>
      </w:r>
    </w:p>
    <w:p w14:paraId="17A6A36C">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（10）其他合同文件。</w:t>
      </w:r>
    </w:p>
    <w:p w14:paraId="0CC7352B">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37AB33A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0A42FD85">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18" w:name="_Toc7383033"/>
      <w:bookmarkStart w:id="519" w:name="_Toc7972534"/>
      <w:r>
        <w:rPr>
          <w:rFonts w:hint="eastAsia" w:ascii="宋体" w:hAnsi="宋体" w:eastAsia="宋体" w:cs="宋体"/>
          <w:b/>
          <w:color w:val="000000" w:themeColor="text1"/>
          <w:sz w:val="24"/>
          <w:szCs w:val="24"/>
          <w:highlight w:val="none"/>
          <w14:textFill>
            <w14:solidFill>
              <w14:schemeClr w14:val="tx1"/>
            </w14:solidFill>
          </w14:textFill>
        </w:rPr>
        <w:t>七、承诺</w:t>
      </w:r>
      <w:bookmarkEnd w:id="518"/>
      <w:bookmarkEnd w:id="519"/>
    </w:p>
    <w:p w14:paraId="2F54F4E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5041FDF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02370DB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6D216876">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0" w:name="_Toc7972535"/>
      <w:bookmarkStart w:id="521" w:name="_Toc7383034"/>
      <w:r>
        <w:rPr>
          <w:rFonts w:hint="eastAsia" w:ascii="宋体" w:hAnsi="宋体" w:eastAsia="宋体" w:cs="宋体"/>
          <w:b/>
          <w:color w:val="000000" w:themeColor="text1"/>
          <w:sz w:val="24"/>
          <w:szCs w:val="24"/>
          <w:highlight w:val="none"/>
          <w14:textFill>
            <w14:solidFill>
              <w14:schemeClr w14:val="tx1"/>
            </w14:solidFill>
          </w14:textFill>
        </w:rPr>
        <w:t>八、词语含义</w:t>
      </w:r>
      <w:bookmarkEnd w:id="520"/>
      <w:bookmarkEnd w:id="521"/>
    </w:p>
    <w:p w14:paraId="68E2D70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本协议书中词语含义与第二部分通用合同条款中赋予的含义相同。</w:t>
      </w:r>
    </w:p>
    <w:p w14:paraId="3D96838E">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2" w:name="_Toc7972536"/>
      <w:bookmarkStart w:id="523" w:name="_Toc7383035"/>
      <w:r>
        <w:rPr>
          <w:rFonts w:hint="eastAsia" w:ascii="宋体" w:hAnsi="宋体" w:eastAsia="宋体" w:cs="宋体"/>
          <w:b/>
          <w:color w:val="000000" w:themeColor="text1"/>
          <w:sz w:val="24"/>
          <w:szCs w:val="24"/>
          <w:highlight w:val="none"/>
          <w14:textFill>
            <w14:solidFill>
              <w14:schemeClr w14:val="tx1"/>
            </w14:solidFill>
          </w14:textFill>
        </w:rPr>
        <w:t>九、签订时间</w:t>
      </w:r>
      <w:bookmarkEnd w:id="522"/>
      <w:bookmarkEnd w:id="523"/>
    </w:p>
    <w:p w14:paraId="248B085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本合同于</w:t>
      </w:r>
      <w:r>
        <w:rPr>
          <w:rFonts w:hint="eastAsia" w:ascii="宋体" w:hAnsi="宋体" w:eastAsia="宋体" w:cs="宋体"/>
          <w:color w:val="000000" w:themeColor="text1"/>
          <w:sz w:val="24"/>
          <w:szCs w:val="24"/>
          <w:highlight w:val="none"/>
          <w:u w:val="single"/>
          <w14:textFill>
            <w14:solidFill>
              <w14:schemeClr w14:val="tx1"/>
            </w14:solidFill>
          </w14:textFill>
        </w:rPr>
        <w:t>年   月   日</w:t>
      </w:r>
      <w:r>
        <w:rPr>
          <w:rFonts w:hint="eastAsia" w:ascii="宋体" w:hAnsi="宋体" w:eastAsia="宋体" w:cs="宋体"/>
          <w:color w:val="000000" w:themeColor="text1"/>
          <w:sz w:val="24"/>
          <w:szCs w:val="24"/>
          <w:highlight w:val="none"/>
          <w14:textFill>
            <w14:solidFill>
              <w14:schemeClr w14:val="tx1"/>
            </w14:solidFill>
          </w14:textFill>
        </w:rPr>
        <w:t>签订。</w:t>
      </w:r>
    </w:p>
    <w:p w14:paraId="6233897D">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4" w:name="_Toc7383036"/>
      <w:bookmarkStart w:id="525" w:name="_Toc7972537"/>
      <w:r>
        <w:rPr>
          <w:rFonts w:hint="eastAsia" w:ascii="宋体" w:hAnsi="宋体" w:eastAsia="宋体" w:cs="宋体"/>
          <w:b/>
          <w:color w:val="000000" w:themeColor="text1"/>
          <w:sz w:val="24"/>
          <w:szCs w:val="24"/>
          <w:highlight w:val="none"/>
          <w14:textFill>
            <w14:solidFill>
              <w14:schemeClr w14:val="tx1"/>
            </w14:solidFill>
          </w14:textFill>
        </w:rPr>
        <w:t>十、签订地点</w:t>
      </w:r>
      <w:bookmarkEnd w:id="524"/>
      <w:bookmarkEnd w:id="525"/>
    </w:p>
    <w:p w14:paraId="0EE6E4B2">
      <w:pPr>
        <w:pStyle w:val="494"/>
        <w:spacing w:after="0"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签订地点：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8D19053">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6" w:name="_Toc7383037"/>
      <w:bookmarkStart w:id="527" w:name="_Toc7972538"/>
      <w:r>
        <w:rPr>
          <w:rFonts w:hint="eastAsia" w:ascii="宋体" w:hAnsi="宋体" w:eastAsia="宋体" w:cs="宋体"/>
          <w:b/>
          <w:color w:val="000000" w:themeColor="text1"/>
          <w:sz w:val="24"/>
          <w:szCs w:val="24"/>
          <w:highlight w:val="none"/>
          <w14:textFill>
            <w14:solidFill>
              <w14:schemeClr w14:val="tx1"/>
            </w14:solidFill>
          </w14:textFill>
        </w:rPr>
        <w:t>十一、补充协议</w:t>
      </w:r>
      <w:bookmarkEnd w:id="526"/>
      <w:bookmarkEnd w:id="527"/>
    </w:p>
    <w:p w14:paraId="43F9B23F">
      <w:pPr>
        <w:pStyle w:val="494"/>
        <w:spacing w:after="0" w:line="360" w:lineRule="auto"/>
        <w:ind w:firstLine="480" w:firstLineChars="20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合同未尽事宜，合同当事人另行签订补充协议，补充协议是合同的组成部分。</w:t>
      </w:r>
    </w:p>
    <w:p w14:paraId="1C2542B6">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8" w:name="_Toc7383038"/>
      <w:bookmarkStart w:id="529" w:name="_Toc7972539"/>
      <w:r>
        <w:rPr>
          <w:rFonts w:hint="eastAsia" w:ascii="宋体" w:hAnsi="宋体" w:eastAsia="宋体" w:cs="宋体"/>
          <w:b/>
          <w:color w:val="000000" w:themeColor="text1"/>
          <w:sz w:val="24"/>
          <w:szCs w:val="24"/>
          <w:highlight w:val="none"/>
          <w14:textFill>
            <w14:solidFill>
              <w14:schemeClr w14:val="tx1"/>
            </w14:solidFill>
          </w14:textFill>
        </w:rPr>
        <w:t>十二、合同生效</w:t>
      </w:r>
      <w:bookmarkEnd w:id="528"/>
      <w:bookmarkEnd w:id="529"/>
    </w:p>
    <w:p w14:paraId="4425738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本合同自</w:t>
      </w:r>
      <w:r>
        <w:rPr>
          <w:rFonts w:hint="eastAsia" w:ascii="宋体" w:hAnsi="宋体" w:eastAsia="宋体" w:cs="宋体"/>
          <w:color w:val="000000" w:themeColor="text1"/>
          <w:sz w:val="24"/>
          <w:szCs w:val="24"/>
          <w:highlight w:val="none"/>
          <w:u w:val="single"/>
          <w14:textFill>
            <w14:solidFill>
              <w14:schemeClr w14:val="tx1"/>
            </w14:solidFill>
          </w14:textFill>
        </w:rPr>
        <w:t>各方法定代表人或授权代理人签字盖章且承包人提交履约担保后</w:t>
      </w:r>
      <w:r>
        <w:rPr>
          <w:rFonts w:hint="eastAsia" w:ascii="宋体" w:hAnsi="宋体" w:eastAsia="宋体" w:cs="宋体"/>
          <w:color w:val="000000" w:themeColor="text1"/>
          <w:sz w:val="24"/>
          <w:szCs w:val="24"/>
          <w:highlight w:val="none"/>
          <w14:textFill>
            <w14:solidFill>
              <w14:schemeClr w14:val="tx1"/>
            </w14:solidFill>
          </w14:textFill>
        </w:rPr>
        <w:t>生效。</w:t>
      </w:r>
    </w:p>
    <w:p w14:paraId="779AA7BC">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30" w:name="_Toc7383039"/>
      <w:bookmarkStart w:id="531" w:name="_Toc7972540"/>
      <w:r>
        <w:rPr>
          <w:rFonts w:hint="eastAsia" w:ascii="宋体" w:hAnsi="宋体" w:eastAsia="宋体" w:cs="宋体"/>
          <w:b/>
          <w:color w:val="000000" w:themeColor="text1"/>
          <w:sz w:val="24"/>
          <w:szCs w:val="24"/>
          <w:highlight w:val="none"/>
          <w14:textFill>
            <w14:solidFill>
              <w14:schemeClr w14:val="tx1"/>
            </w14:solidFill>
          </w14:textFill>
        </w:rPr>
        <w:t>十三、合同份数</w:t>
      </w:r>
      <w:bookmarkEnd w:id="530"/>
      <w:bookmarkEnd w:id="531"/>
    </w:p>
    <w:p w14:paraId="60482B5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本合同一式</w:t>
      </w:r>
      <w:r>
        <w:rPr>
          <w:rFonts w:hint="eastAsia" w:ascii="宋体" w:hAnsi="宋体" w:eastAsia="宋体" w:cs="宋体"/>
          <w:color w:val="000000" w:themeColor="text1"/>
          <w:sz w:val="24"/>
          <w:szCs w:val="24"/>
          <w:highlight w:val="none"/>
          <w:u w:val="single"/>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份，均具有同等法律效力，发包人执</w:t>
      </w:r>
      <w:r>
        <w:rPr>
          <w:rFonts w:hint="eastAsia" w:ascii="宋体" w:hAnsi="宋体" w:eastAsia="宋体" w:cs="宋体"/>
          <w:color w:val="000000" w:themeColor="text1"/>
          <w:sz w:val="24"/>
          <w:szCs w:val="24"/>
          <w:highlight w:val="none"/>
          <w:u w:val="single"/>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份，承包人执</w:t>
      </w:r>
      <w:r>
        <w:rPr>
          <w:rFonts w:hint="eastAsia" w:ascii="宋体" w:hAnsi="宋体" w:eastAsia="宋体" w:cs="宋体"/>
          <w:color w:val="000000" w:themeColor="text1"/>
          <w:sz w:val="24"/>
          <w:szCs w:val="24"/>
          <w:highlight w:val="none"/>
          <w:u w:val="single"/>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份。</w:t>
      </w:r>
    </w:p>
    <w:p w14:paraId="083B2933">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p>
    <w:p w14:paraId="20A305A0">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发包人：(公章)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承包人：(公章)</w:t>
      </w:r>
    </w:p>
    <w:p w14:paraId="1AB9AA03">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法定代表人或其授权代理人：                法定代表人或其授权代理人：</w:t>
      </w:r>
    </w:p>
    <w:p w14:paraId="11C6439A">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（签字）</w:t>
      </w:r>
    </w:p>
    <w:p w14:paraId="5AC48E61">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组织机构代码：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组织机构代码：</w:t>
      </w:r>
    </w:p>
    <w:p w14:paraId="67A8C218">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地址：   </w:t>
      </w:r>
    </w:p>
    <w:p w14:paraId="7FC74666">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邮政编码：</w:t>
      </w:r>
    </w:p>
    <w:p w14:paraId="155CCED8">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法定代表人：</w:t>
      </w:r>
    </w:p>
    <w:p w14:paraId="3D2C2E4D">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授权代理人：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授权代理人：</w:t>
      </w:r>
    </w:p>
    <w:p w14:paraId="08898B00">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电话：</w:t>
      </w:r>
    </w:p>
    <w:p w14:paraId="69548FF9">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传真：</w:t>
      </w:r>
    </w:p>
    <w:p w14:paraId="35006E4F">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电子信箱：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电子信箱：</w:t>
      </w:r>
    </w:p>
    <w:p w14:paraId="03E7AD90">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开户银行：</w:t>
      </w:r>
    </w:p>
    <w:p w14:paraId="46209F9A">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账号：</w:t>
      </w:r>
    </w:p>
    <w:p w14:paraId="64343155">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p>
    <w:p w14:paraId="1FB2430F">
      <w:pPr>
        <w:pStyle w:val="493"/>
        <w:widowControl/>
        <w:spacing w:after="0" w:line="360" w:lineRule="auto"/>
        <w:jc w:val="left"/>
        <w:rPr>
          <w:rFonts w:ascii="宋体" w:hAnsi="宋体" w:cs="宋体"/>
          <w:color w:val="000000" w:themeColor="text1"/>
          <w:sz w:val="24"/>
          <w:highlight w:val="none"/>
          <w14:textFill>
            <w14:solidFill>
              <w14:schemeClr w14:val="tx1"/>
            </w14:solidFill>
          </w14:textFill>
        </w:rPr>
      </w:pPr>
      <w:bookmarkStart w:id="532" w:name="_Toc7383040"/>
      <w:bookmarkStart w:id="533" w:name="_Toc13671"/>
      <w:bookmarkStart w:id="534" w:name="_Toc7972541"/>
      <w:r>
        <w:rPr>
          <w:rFonts w:hint="eastAsia" w:ascii="宋体" w:hAnsi="宋体" w:cs="宋体"/>
          <w:color w:val="000000" w:themeColor="text1"/>
          <w:sz w:val="24"/>
          <w:highlight w:val="none"/>
          <w14:textFill>
            <w14:solidFill>
              <w14:schemeClr w14:val="tx1"/>
            </w14:solidFill>
          </w14:textFill>
        </w:rPr>
        <w:br w:type="page"/>
      </w:r>
    </w:p>
    <w:p w14:paraId="3728C3D3">
      <w:pPr>
        <w:pStyle w:val="493"/>
        <w:spacing w:after="0" w:line="360" w:lineRule="auto"/>
        <w:jc w:val="center"/>
        <w:outlineLvl w:val="1"/>
        <w:rPr>
          <w:rFonts w:ascii="宋体" w:hAnsi="宋体" w:cs="宋体"/>
          <w:b/>
          <w:color w:val="000000" w:themeColor="text1"/>
          <w:sz w:val="24"/>
          <w:highlight w:val="none"/>
          <w14:textFill>
            <w14:solidFill>
              <w14:schemeClr w14:val="tx1"/>
            </w14:solidFill>
          </w14:textFill>
        </w:rPr>
      </w:pPr>
      <w:bookmarkStart w:id="535" w:name="_Toc27661"/>
      <w:bookmarkStart w:id="536" w:name="_Toc26061"/>
      <w:r>
        <w:rPr>
          <w:rFonts w:hint="eastAsia" w:ascii="宋体" w:hAnsi="宋体" w:cs="宋体"/>
          <w:b/>
          <w:color w:val="000000" w:themeColor="text1"/>
          <w:sz w:val="24"/>
          <w:highlight w:val="none"/>
          <w14:textFill>
            <w14:solidFill>
              <w14:schemeClr w14:val="tx1"/>
            </w14:solidFill>
          </w14:textFill>
        </w:rPr>
        <w:t>第二部分 通用合同条款</w:t>
      </w:r>
      <w:bookmarkEnd w:id="532"/>
      <w:bookmarkEnd w:id="533"/>
      <w:bookmarkEnd w:id="534"/>
      <w:bookmarkEnd w:id="535"/>
      <w:bookmarkEnd w:id="536"/>
    </w:p>
    <w:p w14:paraId="71520F14">
      <w:pPr>
        <w:pStyle w:val="493"/>
        <w:spacing w:after="0" w:line="360" w:lineRule="auto"/>
        <w:rPr>
          <w:rFonts w:ascii="宋体" w:hAnsi="宋体" w:cs="宋体"/>
          <w:color w:val="000000" w:themeColor="text1"/>
          <w:sz w:val="24"/>
          <w:highlight w:val="none"/>
          <w14:textFill>
            <w14:solidFill>
              <w14:schemeClr w14:val="tx1"/>
            </w14:solidFill>
          </w14:textFill>
        </w:rPr>
      </w:pPr>
      <w:bookmarkStart w:id="537" w:name="_Toc7972542"/>
      <w:bookmarkStart w:id="538" w:name="_Toc7383041"/>
      <w:r>
        <w:rPr>
          <w:rFonts w:hint="eastAsia" w:ascii="宋体" w:hAnsi="宋体" w:cs="宋体"/>
          <w:color w:val="000000" w:themeColor="text1"/>
          <w:sz w:val="24"/>
          <w:highlight w:val="none"/>
          <w14:textFill>
            <w14:solidFill>
              <w14:schemeClr w14:val="tx1"/>
            </w14:solidFill>
          </w14:textFill>
        </w:rPr>
        <w:t>1.一般约定</w:t>
      </w:r>
      <w:bookmarkEnd w:id="537"/>
      <w:bookmarkEnd w:id="538"/>
    </w:p>
    <w:p w14:paraId="4E2D549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39" w:name="_Toc7972543"/>
      <w:bookmarkStart w:id="540" w:name="_Toc7383042"/>
      <w:r>
        <w:rPr>
          <w:rFonts w:hint="eastAsia" w:ascii="宋体" w:hAnsi="宋体" w:cs="宋体"/>
          <w:color w:val="000000" w:themeColor="text1"/>
          <w:sz w:val="24"/>
          <w:highlight w:val="none"/>
          <w14:textFill>
            <w14:solidFill>
              <w14:schemeClr w14:val="tx1"/>
            </w14:solidFill>
          </w14:textFill>
        </w:rPr>
        <w:t>1.1词语定义与解释</w:t>
      </w:r>
      <w:bookmarkEnd w:id="539"/>
      <w:bookmarkEnd w:id="540"/>
    </w:p>
    <w:p w14:paraId="1EA8DE9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合同协议书、通用合同条款、专用合同条款中的下列词语具有本款所赋予的含义：</w:t>
      </w:r>
    </w:p>
    <w:p w14:paraId="7C5C2FCB">
      <w:pPr>
        <w:pStyle w:val="494"/>
        <w:autoSpaceDE w:val="0"/>
        <w:autoSpaceDN w:val="0"/>
        <w:adjustRightInd w:val="0"/>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1.1.1 合同</w:t>
      </w:r>
    </w:p>
    <w:p w14:paraId="5562B2E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themeColor="text1"/>
          <w:sz w:val="24"/>
          <w:szCs w:val="24"/>
          <w:highlight w:val="none"/>
          <w14:textFill>
            <w14:solidFill>
              <w14:schemeClr w14:val="tx1"/>
            </w14:solidFill>
          </w14:textFill>
        </w:rPr>
        <w:t>及其附件</w:t>
      </w:r>
      <w:r>
        <w:rPr>
          <w:rFonts w:hint="eastAsia" w:ascii="宋体" w:hAnsi="宋体" w:eastAsia="宋体" w:cs="宋体"/>
          <w:color w:val="000000" w:themeColor="text1"/>
          <w:kern w:val="0"/>
          <w:sz w:val="24"/>
          <w:szCs w:val="24"/>
          <w:highlight w:val="none"/>
          <w14:textFill>
            <w14:solidFill>
              <w14:schemeClr w14:val="tx1"/>
            </w14:solidFill>
          </w14:textFill>
        </w:rPr>
        <w:t>、通用合同条款、技术标准和要求、图纸、已标价工程量清单或预算书以及其他合同文件。</w:t>
      </w:r>
    </w:p>
    <w:p w14:paraId="712CA1F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1.1.1.2 合同协议书：是指构成合同的由发包人和承包人共同签署的称为“合同协议书”的书面文件。</w:t>
      </w:r>
    </w:p>
    <w:p w14:paraId="7B75408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1.1.1.3 中标通知书：是指构成合同的由发包人通知承包人中标的书面文件。</w:t>
      </w:r>
    </w:p>
    <w:p w14:paraId="7CADF33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1.1.1.4 投标函：是指构成合同的由承包人填写并签署的用于投标的称为“投标函”的文件。</w:t>
      </w:r>
    </w:p>
    <w:p w14:paraId="6B1664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1.1.1.5 投标函附录：是指构成合同的附在投标函后的称为“投标函附录”的文件。</w:t>
      </w:r>
    </w:p>
    <w:p w14:paraId="7DCD6D2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1.1.1.6 技术标准和要求：是指构成合同的施工应当遵守的或指导施工的国家、行业或地方的技术标准和要求，以及合同约定的技术标准和要求。</w:t>
      </w:r>
    </w:p>
    <w:p w14:paraId="715EAC4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791EC976">
      <w:pPr>
        <w:pStyle w:val="494"/>
        <w:autoSpaceDE w:val="0"/>
        <w:autoSpaceDN w:val="0"/>
        <w:adjustRightInd w:val="0"/>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1.1.1.8 已标价工程量清单：是指构成合同的由承包人按照规定的格式和要求填写并标明价格的工程量清单，包括说明和表格。</w:t>
      </w:r>
    </w:p>
    <w:p w14:paraId="3D1834E7">
      <w:pPr>
        <w:pStyle w:val="494"/>
        <w:autoSpaceDE w:val="0"/>
        <w:autoSpaceDN w:val="0"/>
        <w:adjustRightInd w:val="0"/>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1.1.1.9 预算书：是指构成合同的由承包人按照发包人规定的格式和要求编制的工程预算文件。</w:t>
      </w:r>
    </w:p>
    <w:p w14:paraId="1E3B8C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464CFCF8">
      <w:pPr>
        <w:pStyle w:val="494"/>
        <w:autoSpaceDE w:val="0"/>
        <w:autoSpaceDN w:val="0"/>
        <w:adjustRightInd w:val="0"/>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1.1.2 合同当事人及其他相关方</w:t>
      </w:r>
    </w:p>
    <w:p w14:paraId="38EFC4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1.1.2.1 合同当事人：是指发包人和（或）承包人。</w:t>
      </w:r>
    </w:p>
    <w:p w14:paraId="52FFFF9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1.1.2.2 发包人：是指与承包人签订合同协议书的当事人及取得该当事人资格的合法继承人。</w:t>
      </w:r>
    </w:p>
    <w:p w14:paraId="29EDAB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1.1.2.3 承包人：是指与发包人签订合同协议书的，具有相应工程施工承包资质的当事人及取得该当事人资格的合法继承人。</w:t>
      </w:r>
    </w:p>
    <w:p w14:paraId="274ECD5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1.1.2.4 监理人：是指在专用合同条款中指明的，受发包人委托按照法律规定进行工程监督管理的法人或其他组织。</w:t>
      </w:r>
    </w:p>
    <w:p w14:paraId="29EC3BE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1.1.2.5 设计人：是指在专用合同条款中指明的，受发包人委托负责工程设计并具备相应工程设计资质的法人或其他组织。</w:t>
      </w:r>
    </w:p>
    <w:p w14:paraId="7745B942">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1.1.2.6 分包人：是指按照法律规定和合同约定，分包部分工程或工作，并与承包人签订分包合同的具有相应资质的法人。</w:t>
      </w:r>
    </w:p>
    <w:p w14:paraId="7AFD24D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1.1.2.7 发包人代表：是指由发包人任命并派驻施工现场在发包人授权范围内行使发包人权利的人。</w:t>
      </w:r>
    </w:p>
    <w:p w14:paraId="3ED4454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1.1.2.8 项目经理：是指由承包人任命并派驻施工现场，在承包人授权范围内负责合同履行，且按照法律规定具有相应资格的项目负责人。</w:t>
      </w:r>
    </w:p>
    <w:p w14:paraId="5711B08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1.1.2.9 总监理工程师：是指由监理人任命并派驻施工现场进行工程监理的总负责人。</w:t>
      </w:r>
    </w:p>
    <w:p w14:paraId="47B7220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 工程和设备</w:t>
      </w:r>
    </w:p>
    <w:p w14:paraId="1792DF6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 工程：是指与合同协议书中工程承包范围对应的永久工程和（或）临时工程。</w:t>
      </w:r>
    </w:p>
    <w:p w14:paraId="24E27BB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1.1.3.2 永久工程：是指按合同约定建造并移交给发包人的工程，包括工程设备。</w:t>
      </w:r>
    </w:p>
    <w:p w14:paraId="1308584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1.1.3.3 临时工程：是指为完成合同约定的永久工程所修建的各类临时性工程，不包括施工设备。</w:t>
      </w:r>
    </w:p>
    <w:p w14:paraId="09E94D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1.1.3.4 单位工程：是指在合同协议书中指明的，具备独立施工条件并能形成独立使用功能的永久工程。</w:t>
      </w:r>
    </w:p>
    <w:p w14:paraId="3A7A152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1.1.3.5 工程设备：是指构成永久工程的机电设备、金属结构设备、仪器及其他类似的设备和装置。</w:t>
      </w:r>
    </w:p>
    <w:p w14:paraId="730AE3E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1.1.3.6 施工设备：是指为完成合同约定的各项工作所需的设备、器具和其他物品，但不包括工程设备、临时工程和材料。</w:t>
      </w:r>
    </w:p>
    <w:p w14:paraId="3EAFAA8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1.1.3.7 施工现场：是指用于工程施工的场所，以及在专用合同条款中指明作为施工场所组成部分的其他场所，包括永久占地和临时占地。</w:t>
      </w:r>
    </w:p>
    <w:p w14:paraId="5220DA1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1.1.3.8临时设施：是指为完成合同约定的各项工作所服务的临时性生产和生活设施。</w:t>
      </w:r>
    </w:p>
    <w:p w14:paraId="0E75758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1.1.3.9 永久占地：是指专用合同条款中指明为实施工程需永久占用的土地。</w:t>
      </w:r>
    </w:p>
    <w:p w14:paraId="0201B60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1.1.3.10 临时占地：是指专用合同条款中指明为实施工程需要临时占用的土地。</w:t>
      </w:r>
    </w:p>
    <w:p w14:paraId="268B3A2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 日期和期限</w:t>
      </w:r>
    </w:p>
    <w:p w14:paraId="370CEF8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6D8A4E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1.1.4.2 竣工日期：包括计划竣工日期和实际竣工日期。计划竣工日期是指合同协议书约定的竣工日期；实际竣工日期按照第13.2.3项〔竣工日期〕的约定确定。</w:t>
      </w:r>
    </w:p>
    <w:p w14:paraId="712A1ADA">
      <w:pPr>
        <w:pStyle w:val="494"/>
        <w:spacing w:after="0" w:line="360" w:lineRule="auto"/>
        <w:ind w:firstLine="487" w:firstLineChars="203"/>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1.1.4.3 工期：是指在合同协议书约定的承包人完成工程所需的期限，包括按照合同约定所作的期限变更。</w:t>
      </w:r>
    </w:p>
    <w:p w14:paraId="010218A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1.1.4.4 缺陷责任期：是指承包人按照合同约定承担缺陷修复义务，且发包人预留质量保证金的期限，自工程实际竣工日期起计算。</w:t>
      </w:r>
    </w:p>
    <w:p w14:paraId="7C3DAEC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1.1.4.5 保修期：是指承包人按照合同约定对工程承担保修责任的期限，从工程竣工验收合格之日起计算。</w:t>
      </w:r>
    </w:p>
    <w:p w14:paraId="2D0DC5E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1.1.4.6 基准日期：招标发包的工程以投标截止日前28天的日期为基准日期，直接发包的工程以合同签订日前28天的日期为基准日期。</w:t>
      </w:r>
    </w:p>
    <w:p w14:paraId="194E43D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1.1.4.7 天：除特别指明外，均指日历天。合同中按天计算时间的，开始当天不计入，从次日开始计算，期限最后一天的截止时间为当天24:00时。</w:t>
      </w:r>
    </w:p>
    <w:p w14:paraId="4971480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 合同价格和费用</w:t>
      </w:r>
    </w:p>
    <w:p w14:paraId="71D8066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1.1.5.1 签约合同价：是指</w:t>
      </w:r>
      <w:r>
        <w:rPr>
          <w:rFonts w:hint="eastAsia" w:ascii="宋体" w:hAnsi="宋体" w:eastAsia="宋体" w:cs="宋体"/>
          <w:color w:val="000000" w:themeColor="text1"/>
          <w:sz w:val="24"/>
          <w:szCs w:val="24"/>
          <w:highlight w:val="none"/>
          <w14:textFill>
            <w14:solidFill>
              <w14:schemeClr w14:val="tx1"/>
            </w14:solidFill>
          </w14:textFill>
        </w:rPr>
        <w:t>发包人和承包人在合同协议书中确定的总金额，包括安全文明施工费、暂估价及暂列金额等。</w:t>
      </w:r>
    </w:p>
    <w:p w14:paraId="4D1A382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1.1.5.2 合同价格：是指发包人用于支付承包人按照合同约定完成承包范围内全部工作的金额，包括合同履行过程中按合同约定发生的价格变化。</w:t>
      </w:r>
    </w:p>
    <w:p w14:paraId="63F02FA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1.1.5.3 费用：是指为履行合同所发生的或将要发生的所有必需的开支，包括管理费和应分摊的其他费用，但不包括利润。</w:t>
      </w:r>
    </w:p>
    <w:p w14:paraId="373161A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1.1.5.4 暂估价：是指发包人在工程量清单或预算书中提供的用于支付必然发生但暂时不能确定价格的材料、工程设备的单价、专业工程以及服务工作的金额。</w:t>
      </w:r>
    </w:p>
    <w:p w14:paraId="65506F5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2395588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1.1.5.6 计日工：是指合同履行过程中，承包人完成发包人提出的零星工作或需要采用计日工计价的变更工作时，按合同中约定的单价计价的一种方式。</w:t>
      </w:r>
    </w:p>
    <w:p w14:paraId="0C551E7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1.1.5.7 质量保证金：是指按照第15.3款〔质量保证金〕约定承包人用于保证其在缺陷责任期内履行缺陷修补义务的担保</w:t>
      </w:r>
      <w:r>
        <w:rPr>
          <w:rFonts w:hint="eastAsia" w:ascii="宋体" w:hAnsi="宋体" w:eastAsia="宋体" w:cs="宋体"/>
          <w:color w:val="000000" w:themeColor="text1"/>
          <w:sz w:val="24"/>
          <w:szCs w:val="24"/>
          <w:highlight w:val="none"/>
          <w14:textFill>
            <w14:solidFill>
              <w14:schemeClr w14:val="tx1"/>
            </w14:solidFill>
          </w14:textFill>
        </w:rPr>
        <w:t>。</w:t>
      </w:r>
    </w:p>
    <w:p w14:paraId="49AE461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1.1.5.8 总价项目：是指在现行国家、行业以及地方的计量规则中无工程量计算规则，在已标价工程量清单或预算书中以总价或以费率形式计算的项目。</w:t>
      </w:r>
    </w:p>
    <w:p w14:paraId="3A2450B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1.1.6 其他</w:t>
      </w:r>
    </w:p>
    <w:p w14:paraId="5CAEA6A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1.1.6.1 书面形式：是指合同文件、信函、电报、传真等可以有形地表现所载内容的形式。</w:t>
      </w:r>
    </w:p>
    <w:p w14:paraId="5C277EAF">
      <w:pPr>
        <w:pStyle w:val="493"/>
        <w:spacing w:after="0" w:line="360" w:lineRule="auto"/>
        <w:rPr>
          <w:rFonts w:ascii="宋体" w:hAnsi="宋体" w:cs="宋体"/>
          <w:color w:val="000000" w:themeColor="text1"/>
          <w:sz w:val="24"/>
          <w:highlight w:val="none"/>
          <w14:textFill>
            <w14:solidFill>
              <w14:schemeClr w14:val="tx1"/>
            </w14:solidFill>
          </w14:textFill>
        </w:rPr>
      </w:pPr>
      <w:bookmarkStart w:id="541" w:name="_Toc7383043"/>
      <w:bookmarkStart w:id="542" w:name="_Toc7972544"/>
      <w:r>
        <w:rPr>
          <w:rFonts w:hint="eastAsia" w:ascii="宋体" w:hAnsi="宋体" w:cs="宋体"/>
          <w:color w:val="000000" w:themeColor="text1"/>
          <w:sz w:val="24"/>
          <w:highlight w:val="none"/>
          <w14:textFill>
            <w14:solidFill>
              <w14:schemeClr w14:val="tx1"/>
            </w14:solidFill>
          </w14:textFill>
        </w:rPr>
        <w:t>1.2语言文字</w:t>
      </w:r>
      <w:bookmarkEnd w:id="541"/>
      <w:bookmarkEnd w:id="542"/>
    </w:p>
    <w:p w14:paraId="2FC8711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合同以中国的汉语简体文字编写、解释和说明。合同当事人在专用合同条款中约定使用两种以上语言时，汉语为优先解释和说明合同的语言。</w:t>
      </w:r>
    </w:p>
    <w:p w14:paraId="43B789C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3" w:name="_Toc7383044"/>
      <w:bookmarkStart w:id="544" w:name="_Toc7972545"/>
      <w:r>
        <w:rPr>
          <w:rFonts w:hint="eastAsia" w:ascii="宋体" w:hAnsi="宋体" w:cs="宋体"/>
          <w:color w:val="000000" w:themeColor="text1"/>
          <w:sz w:val="24"/>
          <w:highlight w:val="none"/>
          <w14:textFill>
            <w14:solidFill>
              <w14:schemeClr w14:val="tx1"/>
            </w14:solidFill>
          </w14:textFill>
        </w:rPr>
        <w:t>1.3法律</w:t>
      </w:r>
      <w:bookmarkEnd w:id="543"/>
      <w:bookmarkEnd w:id="544"/>
    </w:p>
    <w:p w14:paraId="68C3814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合同所称法律是指中华人民共和国法律、行政法规、部门规章，以及工程所在地的地方性法规、自治条例、单行条例和地方政府规章等。</w:t>
      </w:r>
    </w:p>
    <w:p w14:paraId="71570C2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合同当事人可以在专用合同条款中约定合同适用的其他规范性文件。</w:t>
      </w:r>
    </w:p>
    <w:p w14:paraId="6A02C53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5" w:name="_Toc7972546"/>
      <w:bookmarkStart w:id="546" w:name="_Toc7383045"/>
      <w:r>
        <w:rPr>
          <w:rFonts w:hint="eastAsia" w:ascii="宋体" w:hAnsi="宋体" w:cs="宋体"/>
          <w:color w:val="000000" w:themeColor="text1"/>
          <w:sz w:val="24"/>
          <w:highlight w:val="none"/>
          <w14:textFill>
            <w14:solidFill>
              <w14:schemeClr w14:val="tx1"/>
            </w14:solidFill>
          </w14:textFill>
        </w:rPr>
        <w:t>1.4 标准和规范</w:t>
      </w:r>
      <w:bookmarkEnd w:id="545"/>
      <w:bookmarkEnd w:id="546"/>
    </w:p>
    <w:p w14:paraId="2703F1AE">
      <w:pPr>
        <w:pStyle w:val="494"/>
        <w:autoSpaceDE w:val="0"/>
        <w:autoSpaceDN w:val="0"/>
        <w:adjustRightInd w:val="0"/>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 适用于工程的国家标准、行业标准、工程所在地的地方性标准，以及相应的规范、规程等，合同当事人有特别要求的，应在专用合同条款中约定。</w:t>
      </w:r>
    </w:p>
    <w:p w14:paraId="415AFF09">
      <w:pPr>
        <w:pStyle w:val="494"/>
        <w:autoSpaceDE w:val="0"/>
        <w:autoSpaceDN w:val="0"/>
        <w:adjustRightInd w:val="0"/>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1.4.2 发包人要求使用国外标准、规范的，发包人负责提供原文版本和中文译本，并在专用合同条款中约定提供标准规范的名称、份数和时间。</w:t>
      </w:r>
    </w:p>
    <w:p w14:paraId="61BE35A1">
      <w:pPr>
        <w:pStyle w:val="494"/>
        <w:autoSpaceDE w:val="0"/>
        <w:autoSpaceDN w:val="0"/>
        <w:adjustRightInd w:val="0"/>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00CCE31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7" w:name="_Toc7383046"/>
      <w:bookmarkStart w:id="548" w:name="_Toc7972547"/>
      <w:r>
        <w:rPr>
          <w:rFonts w:hint="eastAsia" w:ascii="宋体" w:hAnsi="宋体" w:cs="宋体"/>
          <w:color w:val="000000" w:themeColor="text1"/>
          <w:sz w:val="24"/>
          <w:highlight w:val="none"/>
          <w14:textFill>
            <w14:solidFill>
              <w14:schemeClr w14:val="tx1"/>
            </w14:solidFill>
          </w14:textFill>
        </w:rPr>
        <w:t>1.5 合同文件的优先顺序</w:t>
      </w:r>
      <w:bookmarkEnd w:id="547"/>
      <w:bookmarkEnd w:id="548"/>
    </w:p>
    <w:p w14:paraId="5D08F5F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组成合同的各项文件应互相解释，互为说明。除专用合同条款另有约定外，解释合同文件的优先顺序如下：</w:t>
      </w:r>
    </w:p>
    <w:p w14:paraId="02AF711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（1）合同协议书；</w:t>
      </w:r>
    </w:p>
    <w:p w14:paraId="47BF291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（2）中标通知书（如果有）；</w:t>
      </w:r>
    </w:p>
    <w:p w14:paraId="10602F8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（3）投标函及其附录（如果有）；</w:t>
      </w:r>
    </w:p>
    <w:p w14:paraId="738C8CB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（4）招标文件</w:t>
      </w:r>
    </w:p>
    <w:p w14:paraId="3338401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（5）专用合同条款</w:t>
      </w:r>
      <w:r>
        <w:rPr>
          <w:rFonts w:hint="eastAsia" w:ascii="宋体" w:hAnsi="宋体" w:eastAsia="宋体" w:cs="宋体"/>
          <w:color w:val="000000" w:themeColor="text1"/>
          <w:sz w:val="24"/>
          <w:szCs w:val="24"/>
          <w:highlight w:val="none"/>
          <w14:textFill>
            <w14:solidFill>
              <w14:schemeClr w14:val="tx1"/>
            </w14:solidFill>
          </w14:textFill>
        </w:rPr>
        <w:t>及其附件</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C5A39D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（6）通用合同条款；</w:t>
      </w:r>
    </w:p>
    <w:p w14:paraId="29449F6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（7）技术标准和要求；</w:t>
      </w:r>
    </w:p>
    <w:p w14:paraId="4C00E7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（8）图纸；</w:t>
      </w:r>
    </w:p>
    <w:p w14:paraId="74BF1E7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（9）已标价工程量清单或预算书；</w:t>
      </w:r>
    </w:p>
    <w:p w14:paraId="4EC09A4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（10）其他合同文件。</w:t>
      </w:r>
    </w:p>
    <w:p w14:paraId="51E06321">
      <w:pPr>
        <w:pStyle w:val="494"/>
        <w:spacing w:after="0" w:line="360" w:lineRule="auto"/>
        <w:ind w:firstLine="511" w:firstLineChars="213"/>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41D7FB87">
      <w:pPr>
        <w:pStyle w:val="494"/>
        <w:spacing w:after="0" w:line="360" w:lineRule="auto"/>
        <w:ind w:firstLine="511" w:firstLineChars="213"/>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42D61D6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9" w:name="_Toc7972548"/>
      <w:bookmarkStart w:id="550" w:name="_Toc7383047"/>
      <w:r>
        <w:rPr>
          <w:rFonts w:hint="eastAsia" w:ascii="宋体" w:hAnsi="宋体" w:cs="宋体"/>
          <w:color w:val="000000" w:themeColor="text1"/>
          <w:sz w:val="24"/>
          <w:highlight w:val="none"/>
          <w14:textFill>
            <w14:solidFill>
              <w14:schemeClr w14:val="tx1"/>
            </w14:solidFill>
          </w14:textFill>
        </w:rPr>
        <w:t>1.6图纸和承包人文件</w:t>
      </w:r>
      <w:bookmarkEnd w:id="549"/>
      <w:bookmarkEnd w:id="550"/>
    </w:p>
    <w:p w14:paraId="03842B2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 图纸的提供和交底</w:t>
      </w:r>
    </w:p>
    <w:p w14:paraId="1F02973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46A6BEB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因发包人未按合同约定提供图纸导致承包人费用增加和（或）工期延误的，按照第7.5.1项〔因发包人原因导致工期延误〕约定办理。</w:t>
      </w:r>
    </w:p>
    <w:p w14:paraId="42A1C05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 图纸的错误</w:t>
      </w:r>
    </w:p>
    <w:p w14:paraId="05DF7C2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0636187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1.6.3 图纸的修改和补充</w:t>
      </w:r>
    </w:p>
    <w:p w14:paraId="24680DA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4EB3F80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1.6.4 承包人文件</w:t>
      </w:r>
    </w:p>
    <w:p w14:paraId="53A4A5A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0156AD6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68A89C3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1.6.5 图纸和承包人文件的保管</w:t>
      </w:r>
    </w:p>
    <w:p w14:paraId="427AAA6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除专用合同条款另有约定外，承包人应在施工现场另外保存一套完整的图纸和承包人文件，供发包人、监理人及有关人员进行工程检查时使用。</w:t>
      </w:r>
    </w:p>
    <w:p w14:paraId="2C0B742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1" w:name="_Toc7383048"/>
      <w:bookmarkStart w:id="552" w:name="_Toc7972549"/>
      <w:r>
        <w:rPr>
          <w:rFonts w:hint="eastAsia" w:ascii="宋体" w:hAnsi="宋体" w:cs="宋体"/>
          <w:color w:val="000000" w:themeColor="text1"/>
          <w:sz w:val="24"/>
          <w:highlight w:val="none"/>
          <w14:textFill>
            <w14:solidFill>
              <w14:schemeClr w14:val="tx1"/>
            </w14:solidFill>
          </w14:textFill>
        </w:rPr>
        <w:t>1.7联络</w:t>
      </w:r>
      <w:bookmarkEnd w:id="551"/>
      <w:bookmarkEnd w:id="552"/>
    </w:p>
    <w:p w14:paraId="6DF47C4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1.7.1 与合同有关的通知、批准、证明、证书、指示、指令、要求、请求、同意、意见、确定和决定等，均应采用书面形式，并应在合同约定的期限内送达接收人和送达地点。</w:t>
      </w:r>
    </w:p>
    <w:p w14:paraId="404915D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1.7.2 发包人和承包人应在专用合同条款中约定各自的送达接收人和送达地点。任何一方合同当事人指定的接收人或送达地点发生变动的，应提前3天以书面形式通知对方。</w:t>
      </w:r>
    </w:p>
    <w:p w14:paraId="187601A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1.7.3 发包人和承包人应当及时签收另一方送达至送达地点和指定接收人的来往信函。拒不签收的，由此增加的费用和（或）延误的工期由拒绝接收一方承担。</w:t>
      </w:r>
    </w:p>
    <w:p w14:paraId="287EB41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3" w:name="_Toc7972550"/>
      <w:bookmarkStart w:id="554" w:name="_Toc7383049"/>
      <w:r>
        <w:rPr>
          <w:rFonts w:hint="eastAsia" w:ascii="宋体" w:hAnsi="宋体" w:cs="宋体"/>
          <w:color w:val="000000" w:themeColor="text1"/>
          <w:sz w:val="24"/>
          <w:highlight w:val="none"/>
          <w14:textFill>
            <w14:solidFill>
              <w14:schemeClr w14:val="tx1"/>
            </w14:solidFill>
          </w14:textFill>
        </w:rPr>
        <w:t>1.8严禁贿赂</w:t>
      </w:r>
      <w:bookmarkEnd w:id="553"/>
      <w:bookmarkEnd w:id="554"/>
    </w:p>
    <w:p w14:paraId="66694D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342E27F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75D7959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5" w:name="_Toc7972551"/>
      <w:bookmarkStart w:id="556" w:name="_Toc7383050"/>
      <w:r>
        <w:rPr>
          <w:rFonts w:hint="eastAsia" w:ascii="宋体" w:hAnsi="宋体" w:cs="宋体"/>
          <w:color w:val="000000" w:themeColor="text1"/>
          <w:sz w:val="24"/>
          <w:highlight w:val="none"/>
          <w14:textFill>
            <w14:solidFill>
              <w14:schemeClr w14:val="tx1"/>
            </w14:solidFill>
          </w14:textFill>
        </w:rPr>
        <w:t>1.9化石、文物</w:t>
      </w:r>
      <w:bookmarkEnd w:id="555"/>
      <w:bookmarkEnd w:id="556"/>
    </w:p>
    <w:p w14:paraId="6B2765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5C607DE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发包人、监理人和承包人应按有关政府行政管理部门要求采取妥善的保护措施，由此增加的费用和（或）延误的工期由发包人承担。</w:t>
      </w:r>
    </w:p>
    <w:p w14:paraId="20479C6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承包人发现文物后不及时报告或隐瞒不报，致使文物丢失或损坏的，应赔偿损失，并承担相应的法律责任。</w:t>
      </w:r>
    </w:p>
    <w:p w14:paraId="6650B2F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7" w:name="_Toc7972552"/>
      <w:bookmarkStart w:id="558" w:name="_Toc7383051"/>
      <w:r>
        <w:rPr>
          <w:rFonts w:hint="eastAsia" w:ascii="宋体" w:hAnsi="宋体" w:cs="宋体"/>
          <w:color w:val="000000" w:themeColor="text1"/>
          <w:sz w:val="24"/>
          <w:highlight w:val="none"/>
          <w14:textFill>
            <w14:solidFill>
              <w14:schemeClr w14:val="tx1"/>
            </w14:solidFill>
          </w14:textFill>
        </w:rPr>
        <w:t>1.10交通运输</w:t>
      </w:r>
      <w:bookmarkEnd w:id="557"/>
      <w:bookmarkEnd w:id="558"/>
    </w:p>
    <w:p w14:paraId="352AC8A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1.10.1 出入现场的权利</w:t>
      </w:r>
    </w:p>
    <w:p w14:paraId="748FE17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3E9DCE4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754070D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1.10.2 场外交通</w:t>
      </w:r>
    </w:p>
    <w:p w14:paraId="2A0CF15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50421ED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1.10.3场内交通</w:t>
      </w:r>
    </w:p>
    <w:p w14:paraId="5D55E4F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4ED44BB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4705E7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场外交通和场内交通的边界由合同当事人在专用合同条款中约定。</w:t>
      </w:r>
    </w:p>
    <w:p w14:paraId="25B287D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1.10.4 超大件和超重件的运输</w:t>
      </w:r>
    </w:p>
    <w:p w14:paraId="41A898C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4BA4CA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1.10.5 道路和桥梁的损坏责任</w:t>
      </w:r>
    </w:p>
    <w:p w14:paraId="0C355ED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因承包人运输造成施工场地内外公共道路和桥梁损坏的，由承包人承担修复损坏的全部费用和可能引起的赔偿。</w:t>
      </w:r>
    </w:p>
    <w:p w14:paraId="56E6A4C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1.10.6 水路和航空运输</w:t>
      </w:r>
    </w:p>
    <w:p w14:paraId="119C570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本款前述各项的内容适用于水路运输和航空运输，其中“道路”一词的涵义包括河道、航线、船闸、机场、码头、堤防以及水路或航空运输中其他相似结构物；“车辆”一词的涵义包括船舶和飞机等。</w:t>
      </w:r>
    </w:p>
    <w:p w14:paraId="25F2E36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9" w:name="_Toc7383052"/>
      <w:bookmarkStart w:id="560" w:name="_Toc7972553"/>
      <w:r>
        <w:rPr>
          <w:rFonts w:hint="eastAsia" w:ascii="宋体" w:hAnsi="宋体" w:cs="宋体"/>
          <w:color w:val="000000" w:themeColor="text1"/>
          <w:sz w:val="24"/>
          <w:highlight w:val="none"/>
          <w14:textFill>
            <w14:solidFill>
              <w14:schemeClr w14:val="tx1"/>
            </w14:solidFill>
          </w14:textFill>
        </w:rPr>
        <w:t>1.11知识产权</w:t>
      </w:r>
      <w:bookmarkEnd w:id="559"/>
      <w:bookmarkEnd w:id="560"/>
    </w:p>
    <w:p w14:paraId="1F20860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50975DE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109E737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20DB913D">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1.11.4 除专用合同条款另有约定外，承包人在合同签订前和签订时已确定采用的专利、专有技术、技术秘密的使用费已包含在签约合同价中。</w:t>
      </w:r>
    </w:p>
    <w:p w14:paraId="00F5BF7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1" w:name="_Toc7383053"/>
      <w:bookmarkStart w:id="562" w:name="_Toc7972554"/>
      <w:r>
        <w:rPr>
          <w:rFonts w:hint="eastAsia" w:ascii="宋体" w:hAnsi="宋体" w:cs="宋体"/>
          <w:color w:val="000000" w:themeColor="text1"/>
          <w:sz w:val="24"/>
          <w:highlight w:val="none"/>
          <w14:textFill>
            <w14:solidFill>
              <w14:schemeClr w14:val="tx1"/>
            </w14:solidFill>
          </w14:textFill>
        </w:rPr>
        <w:t>1.12保密</w:t>
      </w:r>
      <w:bookmarkEnd w:id="561"/>
      <w:bookmarkEnd w:id="562"/>
    </w:p>
    <w:p w14:paraId="73E2D1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40E8B51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除法律规定或合同另有约定外，未经承包人同意，发包人不得将承包人提供的技术秘密及声明需要保密的资料信息等商业秘密泄露给第三方。</w:t>
      </w:r>
    </w:p>
    <w:p w14:paraId="3087234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3" w:name="_Toc7383054"/>
      <w:bookmarkStart w:id="564" w:name="_Toc7972555"/>
      <w:r>
        <w:rPr>
          <w:rFonts w:hint="eastAsia" w:ascii="宋体" w:hAnsi="宋体" w:cs="宋体"/>
          <w:color w:val="000000" w:themeColor="text1"/>
          <w:sz w:val="24"/>
          <w:highlight w:val="none"/>
          <w14:textFill>
            <w14:solidFill>
              <w14:schemeClr w14:val="tx1"/>
            </w14:solidFill>
          </w14:textFill>
        </w:rPr>
        <w:t>1.13工程量清单错误的修正</w:t>
      </w:r>
      <w:bookmarkEnd w:id="563"/>
      <w:bookmarkEnd w:id="564"/>
    </w:p>
    <w:p w14:paraId="68E8591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5A3E305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（1）工程量清单存在缺项、漏项的；</w:t>
      </w:r>
    </w:p>
    <w:p w14:paraId="0B1607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（2）工程量清单偏差超出专用合同条款约定的工程量偏差范围的；</w:t>
      </w:r>
    </w:p>
    <w:p w14:paraId="4C0B9E9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（3）未按照国家现行计量规范强制性规定计量的。</w:t>
      </w:r>
    </w:p>
    <w:p w14:paraId="30B81097">
      <w:pPr>
        <w:pStyle w:val="493"/>
        <w:spacing w:after="0" w:line="360" w:lineRule="auto"/>
        <w:rPr>
          <w:rFonts w:ascii="宋体" w:hAnsi="宋体" w:cs="宋体"/>
          <w:color w:val="000000" w:themeColor="text1"/>
          <w:sz w:val="24"/>
          <w:highlight w:val="none"/>
          <w14:textFill>
            <w14:solidFill>
              <w14:schemeClr w14:val="tx1"/>
            </w14:solidFill>
          </w14:textFill>
        </w:rPr>
      </w:pPr>
      <w:bookmarkStart w:id="565" w:name="_Toc7383055"/>
      <w:bookmarkStart w:id="566" w:name="_Toc7972556"/>
      <w:r>
        <w:rPr>
          <w:rFonts w:hint="eastAsia" w:ascii="宋体" w:hAnsi="宋体" w:cs="宋体"/>
          <w:color w:val="000000" w:themeColor="text1"/>
          <w:sz w:val="24"/>
          <w:highlight w:val="none"/>
          <w14:textFill>
            <w14:solidFill>
              <w14:schemeClr w14:val="tx1"/>
            </w14:solidFill>
          </w14:textFill>
        </w:rPr>
        <w:t>2. 发包人</w:t>
      </w:r>
      <w:bookmarkEnd w:id="565"/>
      <w:bookmarkEnd w:id="566"/>
    </w:p>
    <w:p w14:paraId="78CAEE5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7" w:name="_Toc7972557"/>
      <w:bookmarkStart w:id="568" w:name="_Toc7383056"/>
      <w:r>
        <w:rPr>
          <w:rFonts w:hint="eastAsia" w:ascii="宋体" w:hAnsi="宋体" w:cs="宋体"/>
          <w:color w:val="000000" w:themeColor="text1"/>
          <w:sz w:val="24"/>
          <w:highlight w:val="none"/>
          <w14:textFill>
            <w14:solidFill>
              <w14:schemeClr w14:val="tx1"/>
            </w14:solidFill>
          </w14:textFill>
        </w:rPr>
        <w:t>2.1 许可或批准</w:t>
      </w:r>
      <w:bookmarkEnd w:id="567"/>
      <w:bookmarkEnd w:id="568"/>
    </w:p>
    <w:p w14:paraId="200396A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6E7AB77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因发包人原因未能及时办理完毕前述许可、批准或备案，由发包人承担由此增加的费用和（或）延误的工期，并支付承包人合理的利润。</w:t>
      </w:r>
    </w:p>
    <w:p w14:paraId="34D2051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9" w:name="_Toc7383057"/>
      <w:bookmarkStart w:id="570" w:name="_Toc7972558"/>
      <w:r>
        <w:rPr>
          <w:rFonts w:hint="eastAsia" w:ascii="宋体" w:hAnsi="宋体" w:cs="宋体"/>
          <w:color w:val="000000" w:themeColor="text1"/>
          <w:sz w:val="24"/>
          <w:highlight w:val="none"/>
          <w14:textFill>
            <w14:solidFill>
              <w14:schemeClr w14:val="tx1"/>
            </w14:solidFill>
          </w14:textFill>
        </w:rPr>
        <w:t>2.2 发包人代表</w:t>
      </w:r>
      <w:bookmarkEnd w:id="569"/>
      <w:bookmarkEnd w:id="570"/>
    </w:p>
    <w:p w14:paraId="65751B6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3174FA69">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489BC00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不属于法定必须监理的工程，监理人的职权可以由发包人代表或发包人指定的其他人员行使。</w:t>
      </w:r>
    </w:p>
    <w:p w14:paraId="36E6A12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1" w:name="_Toc7972559"/>
      <w:bookmarkStart w:id="572" w:name="_Toc7383058"/>
      <w:r>
        <w:rPr>
          <w:rFonts w:hint="eastAsia" w:ascii="宋体" w:hAnsi="宋体" w:cs="宋体"/>
          <w:color w:val="000000" w:themeColor="text1"/>
          <w:sz w:val="24"/>
          <w:highlight w:val="none"/>
          <w14:textFill>
            <w14:solidFill>
              <w14:schemeClr w14:val="tx1"/>
            </w14:solidFill>
          </w14:textFill>
        </w:rPr>
        <w:t>2.3 发包人人员</w:t>
      </w:r>
      <w:bookmarkEnd w:id="571"/>
      <w:bookmarkEnd w:id="572"/>
    </w:p>
    <w:p w14:paraId="5DFDA1C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1035CA23">
      <w:pPr>
        <w:pStyle w:val="494"/>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发包人人员包括发包人代表及其他由发包人派驻施工现场的人员。</w:t>
      </w:r>
    </w:p>
    <w:p w14:paraId="379ABCD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3" w:name="_Toc7383059"/>
      <w:bookmarkStart w:id="574" w:name="_Toc7972560"/>
      <w:r>
        <w:rPr>
          <w:rFonts w:hint="eastAsia" w:ascii="宋体" w:hAnsi="宋体" w:cs="宋体"/>
          <w:color w:val="000000" w:themeColor="text1"/>
          <w:sz w:val="24"/>
          <w:highlight w:val="none"/>
          <w14:textFill>
            <w14:solidFill>
              <w14:schemeClr w14:val="tx1"/>
            </w14:solidFill>
          </w14:textFill>
        </w:rPr>
        <w:t>2.4 施工现场、施工条件和基础资料的提供</w:t>
      </w:r>
      <w:bookmarkEnd w:id="573"/>
      <w:bookmarkEnd w:id="574"/>
    </w:p>
    <w:p w14:paraId="6EC1A6D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2.4.1 提供施工现场</w:t>
      </w:r>
    </w:p>
    <w:p w14:paraId="2AD5CBC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除专用合同条款另有约定外，发包人应最迟于开工日期7天前向承包人移交施工现场。</w:t>
      </w:r>
    </w:p>
    <w:p w14:paraId="4E90FE7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2.4.2 提供施工条件</w:t>
      </w:r>
    </w:p>
    <w:p w14:paraId="351D10B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除专用合同条款另有约定外，发包人应负责提供施工所需要的条件，包括：</w:t>
      </w:r>
    </w:p>
    <w:p w14:paraId="2C14FF4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（1）将施工用水、电力、通讯线路等施工所必需的条件接至施工现场内；</w:t>
      </w:r>
    </w:p>
    <w:p w14:paraId="689F682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（2）保证向承包人提供正常施工所需要的进入施工现场的交通条件；</w:t>
      </w:r>
    </w:p>
    <w:p w14:paraId="3DF5E7F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（3）协调处理施工现场周围地下管线和邻近建筑物、构筑物、古树名木的保护工作，并承担相关费用；</w:t>
      </w:r>
    </w:p>
    <w:p w14:paraId="67FFCE4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（4）按照专用合同条款约定应提供的其他设施和条件。</w:t>
      </w:r>
    </w:p>
    <w:p w14:paraId="66682BE9">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2.4.3 提供基础资料</w:t>
      </w:r>
    </w:p>
    <w:p w14:paraId="38120D1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79F4A29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4D9DAC2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2.4.4 逾期提供的责任</w:t>
      </w:r>
    </w:p>
    <w:p w14:paraId="23AF322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因发包人原因未能按合同约定及时向承包人提供施工现场、施工条件、基础资料的，由发包人承担由此增加的费用和（或）延误的工期。</w:t>
      </w:r>
    </w:p>
    <w:p w14:paraId="5D5991F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5" w:name="_Toc7972561"/>
      <w:bookmarkStart w:id="576" w:name="_Toc7383060"/>
      <w:r>
        <w:rPr>
          <w:rFonts w:hint="eastAsia" w:ascii="宋体" w:hAnsi="宋体" w:cs="宋体"/>
          <w:color w:val="000000" w:themeColor="text1"/>
          <w:sz w:val="24"/>
          <w:highlight w:val="none"/>
          <w14:textFill>
            <w14:solidFill>
              <w14:schemeClr w14:val="tx1"/>
            </w14:solidFill>
          </w14:textFill>
        </w:rPr>
        <w:t>2.5 资金来源证明及支付担保</w:t>
      </w:r>
      <w:bookmarkEnd w:id="575"/>
      <w:bookmarkEnd w:id="576"/>
    </w:p>
    <w:p w14:paraId="335C6B1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除专用合同条款另有约定外，发包人应在收到承包人要求提供资金来源证明的书面通知后28天内，向承包人提供能够按照合同约定支付合同价款的相应资金来源证明。</w:t>
      </w:r>
    </w:p>
    <w:p w14:paraId="4052715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31A0F83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7" w:name="_Toc7972562"/>
      <w:bookmarkStart w:id="578" w:name="_Toc7383061"/>
      <w:r>
        <w:rPr>
          <w:rFonts w:hint="eastAsia" w:ascii="宋体" w:hAnsi="宋体" w:cs="宋体"/>
          <w:color w:val="000000" w:themeColor="text1"/>
          <w:sz w:val="24"/>
          <w:highlight w:val="none"/>
          <w14:textFill>
            <w14:solidFill>
              <w14:schemeClr w14:val="tx1"/>
            </w14:solidFill>
          </w14:textFill>
        </w:rPr>
        <w:t>2.6 支付合同价款</w:t>
      </w:r>
      <w:bookmarkEnd w:id="577"/>
      <w:bookmarkEnd w:id="578"/>
    </w:p>
    <w:p w14:paraId="0D156B0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发包人应按合同约定向承包人及时支付合同价款。</w:t>
      </w:r>
    </w:p>
    <w:p w14:paraId="2A29473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9" w:name="_Toc7972563"/>
      <w:bookmarkStart w:id="580" w:name="_Toc7383062"/>
      <w:r>
        <w:rPr>
          <w:rFonts w:hint="eastAsia" w:ascii="宋体" w:hAnsi="宋体" w:cs="宋体"/>
          <w:color w:val="000000" w:themeColor="text1"/>
          <w:sz w:val="24"/>
          <w:highlight w:val="none"/>
          <w14:textFill>
            <w14:solidFill>
              <w14:schemeClr w14:val="tx1"/>
            </w14:solidFill>
          </w14:textFill>
        </w:rPr>
        <w:t>2.7 组织竣工验收</w:t>
      </w:r>
      <w:bookmarkEnd w:id="579"/>
      <w:bookmarkEnd w:id="580"/>
    </w:p>
    <w:p w14:paraId="303421C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发包人应按合同约定及时组织竣工验收。</w:t>
      </w:r>
    </w:p>
    <w:p w14:paraId="28E1496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1" w:name="_Toc7383063"/>
      <w:bookmarkStart w:id="582" w:name="_Toc7972564"/>
      <w:r>
        <w:rPr>
          <w:rFonts w:hint="eastAsia" w:ascii="宋体" w:hAnsi="宋体" w:cs="宋体"/>
          <w:color w:val="000000" w:themeColor="text1"/>
          <w:sz w:val="24"/>
          <w:highlight w:val="none"/>
          <w14:textFill>
            <w14:solidFill>
              <w14:schemeClr w14:val="tx1"/>
            </w14:solidFill>
          </w14:textFill>
        </w:rPr>
        <w:t>2.8 现场统一管理协议</w:t>
      </w:r>
      <w:bookmarkEnd w:id="581"/>
      <w:bookmarkEnd w:id="582"/>
    </w:p>
    <w:p w14:paraId="1C7A3D3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21DABB11">
      <w:pPr>
        <w:pStyle w:val="493"/>
        <w:spacing w:after="0" w:line="360" w:lineRule="auto"/>
        <w:rPr>
          <w:rFonts w:ascii="宋体" w:hAnsi="宋体" w:cs="宋体"/>
          <w:color w:val="000000" w:themeColor="text1"/>
          <w:sz w:val="24"/>
          <w:highlight w:val="none"/>
          <w14:textFill>
            <w14:solidFill>
              <w14:schemeClr w14:val="tx1"/>
            </w14:solidFill>
          </w14:textFill>
        </w:rPr>
      </w:pPr>
      <w:bookmarkStart w:id="583" w:name="_Toc7972565"/>
      <w:bookmarkStart w:id="584" w:name="_Toc7383064"/>
      <w:r>
        <w:rPr>
          <w:rFonts w:hint="eastAsia" w:ascii="宋体" w:hAnsi="宋体" w:cs="宋体"/>
          <w:color w:val="000000" w:themeColor="text1"/>
          <w:sz w:val="24"/>
          <w:highlight w:val="none"/>
          <w14:textFill>
            <w14:solidFill>
              <w14:schemeClr w14:val="tx1"/>
            </w14:solidFill>
          </w14:textFill>
        </w:rPr>
        <w:t>3. 承包人</w:t>
      </w:r>
      <w:bookmarkEnd w:id="583"/>
      <w:bookmarkEnd w:id="584"/>
    </w:p>
    <w:p w14:paraId="78768B9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5" w:name="_Toc7972566"/>
      <w:bookmarkStart w:id="586" w:name="_Toc7383065"/>
      <w:r>
        <w:rPr>
          <w:rFonts w:hint="eastAsia" w:ascii="宋体" w:hAnsi="宋体" w:cs="宋体"/>
          <w:color w:val="000000" w:themeColor="text1"/>
          <w:sz w:val="24"/>
          <w:highlight w:val="none"/>
          <w14:textFill>
            <w14:solidFill>
              <w14:schemeClr w14:val="tx1"/>
            </w14:solidFill>
          </w14:textFill>
        </w:rPr>
        <w:t>3.1 承包人的一般义务</w:t>
      </w:r>
      <w:bookmarkEnd w:id="585"/>
      <w:bookmarkEnd w:id="586"/>
    </w:p>
    <w:p w14:paraId="20E3D12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承包人在履行合同过程中应遵守法律和工程建设标准规范，并履行以下义务：</w:t>
      </w:r>
    </w:p>
    <w:p w14:paraId="559AA222">
      <w:pPr>
        <w:pStyle w:val="494"/>
        <w:numPr>
          <w:ilvl w:val="0"/>
          <w:numId w:val="7"/>
        </w:numPr>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办理法律规定应由承包人办理的许可和批准，并将办理结果书面报送发包人留存；</w:t>
      </w:r>
    </w:p>
    <w:p w14:paraId="33E6E76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（2）按法律规定和合同约定完成工程，并在保修期内承担保修义务；</w:t>
      </w:r>
    </w:p>
    <w:p w14:paraId="2A83A62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（3）按法律规定和合同约定采取施工安全和环境保护措施，办理工伤保险，确保工程及人员、材料、设备和设施的安全；</w:t>
      </w:r>
    </w:p>
    <w:p w14:paraId="5B44B4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（4）按合同约定的工作内容和施工进度要求，编制施工组织设计和施工措施计划，并对所有施工作业和施工方法的完备性和安全可靠性负责；</w:t>
      </w:r>
    </w:p>
    <w:p w14:paraId="44454A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5F564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（6）按照第6.3款〔环境保护〕约定负责施工场地及其周边环境与生态的保护工作；</w:t>
      </w:r>
    </w:p>
    <w:p w14:paraId="60F3825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（7）按第6.1款〔安全文明施工〕约定采取施工安全措施，确保工程及其人员、材料、设备和设施的安全，防止因工程施工造成的人身伤害和财产损失；</w:t>
      </w:r>
    </w:p>
    <w:p w14:paraId="4BAEDF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（8）将发包人按合同约定支付的各项价款专用于合同工程，且应及时支付其雇用人员工资，并及时向分包人支付合同价款；</w:t>
      </w:r>
    </w:p>
    <w:p w14:paraId="34D9805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（9）按照法律规定和合同约定编制竣工资料，完成竣工资料立卷及归档，并按专用合同条款约定的竣工资料的套数、内容、时间等要求移交发包人；</w:t>
      </w:r>
    </w:p>
    <w:p w14:paraId="7DF8BA9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（10）应履行的其他义务。</w:t>
      </w:r>
    </w:p>
    <w:p w14:paraId="25F0CB0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7" w:name="_Toc7383066"/>
      <w:bookmarkStart w:id="588" w:name="_Toc7972567"/>
      <w:r>
        <w:rPr>
          <w:rFonts w:hint="eastAsia" w:ascii="宋体" w:hAnsi="宋体" w:cs="宋体"/>
          <w:color w:val="000000" w:themeColor="text1"/>
          <w:sz w:val="24"/>
          <w:highlight w:val="none"/>
          <w14:textFill>
            <w14:solidFill>
              <w14:schemeClr w14:val="tx1"/>
            </w14:solidFill>
          </w14:textFill>
        </w:rPr>
        <w:t>3.2 项目经理</w:t>
      </w:r>
      <w:bookmarkEnd w:id="587"/>
      <w:bookmarkEnd w:id="588"/>
    </w:p>
    <w:p w14:paraId="1CE2CB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4DAA00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5F0021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承包人违反上述约定的，应按照专用合同条款的约定，承担违约责任。</w:t>
      </w:r>
    </w:p>
    <w:p w14:paraId="2E5B7EF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098304A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02BE57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21A2EFC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1C041D6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9" w:name="_Toc7383067"/>
      <w:bookmarkStart w:id="590" w:name="_Toc7972568"/>
      <w:r>
        <w:rPr>
          <w:rFonts w:hint="eastAsia" w:ascii="宋体" w:hAnsi="宋体" w:cs="宋体"/>
          <w:color w:val="000000" w:themeColor="text1"/>
          <w:sz w:val="24"/>
          <w:highlight w:val="none"/>
          <w14:textFill>
            <w14:solidFill>
              <w14:schemeClr w14:val="tx1"/>
            </w14:solidFill>
          </w14:textFill>
        </w:rPr>
        <w:t>3.3 承包人人员</w:t>
      </w:r>
      <w:bookmarkEnd w:id="589"/>
      <w:bookmarkEnd w:id="590"/>
    </w:p>
    <w:p w14:paraId="436B525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6550D99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518ACFF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特殊工种作业人员均应持有相应的资格证明，监理人可以随时检查。</w:t>
      </w:r>
    </w:p>
    <w:p w14:paraId="265CC6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36846A1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7F1075B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3.3.5 承包人擅自更换主要施工管理人员，或前述人员未经监理人或发包人同意擅自离开施工现场的，应按照专用合同条款约定承担违约责任。</w:t>
      </w:r>
    </w:p>
    <w:p w14:paraId="5FDEA41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1" w:name="_Toc7383068"/>
      <w:bookmarkStart w:id="592" w:name="_Toc7972569"/>
      <w:r>
        <w:rPr>
          <w:rFonts w:hint="eastAsia" w:ascii="宋体" w:hAnsi="宋体" w:cs="宋体"/>
          <w:color w:val="000000" w:themeColor="text1"/>
          <w:sz w:val="24"/>
          <w:highlight w:val="none"/>
          <w14:textFill>
            <w14:solidFill>
              <w14:schemeClr w14:val="tx1"/>
            </w14:solidFill>
          </w14:textFill>
        </w:rPr>
        <w:t>3.4 承包人现场查勘</w:t>
      </w:r>
      <w:bookmarkEnd w:id="591"/>
      <w:bookmarkEnd w:id="592"/>
    </w:p>
    <w:p w14:paraId="46AFC59B">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承包人应对基于发包人按照第2.4.3项〔提供基础资料〕提交的基础资料所做出的解释和推断负责，但因基础资料存在错误、遗漏导致承包人解释或推断失实的，由发包人承担责任。</w:t>
      </w:r>
    </w:p>
    <w:p w14:paraId="6CFBD2B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359A947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3" w:name="_Toc7383069"/>
      <w:bookmarkStart w:id="594" w:name="_Toc7972570"/>
      <w:r>
        <w:rPr>
          <w:rFonts w:hint="eastAsia" w:ascii="宋体" w:hAnsi="宋体" w:cs="宋体"/>
          <w:color w:val="000000" w:themeColor="text1"/>
          <w:sz w:val="24"/>
          <w:highlight w:val="none"/>
          <w14:textFill>
            <w14:solidFill>
              <w14:schemeClr w14:val="tx1"/>
            </w14:solidFill>
          </w14:textFill>
        </w:rPr>
        <w:t>3.5 分包</w:t>
      </w:r>
      <w:bookmarkEnd w:id="593"/>
      <w:bookmarkEnd w:id="594"/>
    </w:p>
    <w:p w14:paraId="5345C3C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3.5.1 分包的一般约定</w:t>
      </w:r>
    </w:p>
    <w:p w14:paraId="426C2B6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523113E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承包人不得以劳务分包的名义转包或违法分包工程。</w:t>
      </w:r>
    </w:p>
    <w:p w14:paraId="66A20B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3.5.2 分包的确定</w:t>
      </w:r>
    </w:p>
    <w:p w14:paraId="141CBD2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3E9A131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3.5.3 分包管理</w:t>
      </w:r>
    </w:p>
    <w:p w14:paraId="766228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1DCDFE4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3.5.4 分包合同价款</w:t>
      </w:r>
    </w:p>
    <w:p w14:paraId="6FAE2B2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277685D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（2）生效法律文书要求发包人向分包人支付分包合同价款的，发包人有权从应付承包人工程款中扣除该部分款项。</w:t>
      </w:r>
    </w:p>
    <w:p w14:paraId="1F6C91B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3.5.5 分包合同权益的转让</w:t>
      </w:r>
    </w:p>
    <w:p w14:paraId="435E74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14:paraId="20373BC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5" w:name="_Toc7383070"/>
      <w:bookmarkStart w:id="596" w:name="_Toc7972571"/>
      <w:r>
        <w:rPr>
          <w:rFonts w:hint="eastAsia" w:ascii="宋体" w:hAnsi="宋体" w:cs="宋体"/>
          <w:color w:val="000000" w:themeColor="text1"/>
          <w:sz w:val="24"/>
          <w:highlight w:val="none"/>
          <w14:textFill>
            <w14:solidFill>
              <w14:schemeClr w14:val="tx1"/>
            </w14:solidFill>
          </w14:textFill>
        </w:rPr>
        <w:t>3.6 工程照管与成品、半成品保护</w:t>
      </w:r>
      <w:bookmarkEnd w:id="595"/>
      <w:bookmarkEnd w:id="596"/>
    </w:p>
    <w:p w14:paraId="5610897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2654167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（2）在承包人负责照管期间，因承包人原因造成工程、材料、工程设备损坏的，由承包人负责修复或更换，并承担由此增加的费用和（或）延误的工期。</w:t>
      </w:r>
    </w:p>
    <w:p w14:paraId="1E6390C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（3）对合同内分期完成的成品和半成品，在工程接收证书颁发前，由承包人承担保护责任。因承包人原因造成成品或半成品损坏的，由承包人负责修复或更换，并承担由此增加的费用和（或）延误的工期。</w:t>
      </w:r>
    </w:p>
    <w:p w14:paraId="24FF479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7" w:name="_Toc7383071"/>
      <w:bookmarkStart w:id="598" w:name="_Toc7972572"/>
      <w:r>
        <w:rPr>
          <w:rFonts w:hint="eastAsia" w:ascii="宋体" w:hAnsi="宋体" w:cs="宋体"/>
          <w:color w:val="000000" w:themeColor="text1"/>
          <w:sz w:val="24"/>
          <w:highlight w:val="none"/>
          <w14:textFill>
            <w14:solidFill>
              <w14:schemeClr w14:val="tx1"/>
            </w14:solidFill>
          </w14:textFill>
        </w:rPr>
        <w:t>3.7 履约担保</w:t>
      </w:r>
      <w:bookmarkEnd w:id="597"/>
      <w:bookmarkEnd w:id="598"/>
    </w:p>
    <w:p w14:paraId="7F47341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55A555D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6F9CBFE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9" w:name="_Toc7383072"/>
      <w:bookmarkStart w:id="600" w:name="_Toc7972573"/>
      <w:r>
        <w:rPr>
          <w:rFonts w:hint="eastAsia" w:ascii="宋体" w:hAnsi="宋体" w:cs="宋体"/>
          <w:color w:val="000000" w:themeColor="text1"/>
          <w:sz w:val="24"/>
          <w:highlight w:val="none"/>
          <w14:textFill>
            <w14:solidFill>
              <w14:schemeClr w14:val="tx1"/>
            </w14:solidFill>
          </w14:textFill>
        </w:rPr>
        <w:t>3.8 联合体</w:t>
      </w:r>
      <w:bookmarkEnd w:id="599"/>
      <w:bookmarkEnd w:id="600"/>
    </w:p>
    <w:p w14:paraId="1DE7CD4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3.8.1 联合体各方应共同与发包人签订合同协议书。联合体各方应为履行合同向发包人承担连带责任。</w:t>
      </w:r>
    </w:p>
    <w:p w14:paraId="0975314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3.8.2 联合体协议经发包人确认后作为合同附件。在履行合同过程中，未经发包人同意，不得修改联合体协议。</w:t>
      </w:r>
    </w:p>
    <w:p w14:paraId="79531AB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3.8.3 联合体牵头人负责与发包人和监理人联系，并接受指示，负责组织联合体各成员全面履行合同。</w:t>
      </w:r>
    </w:p>
    <w:p w14:paraId="03B34C44">
      <w:pPr>
        <w:pStyle w:val="493"/>
        <w:spacing w:after="0" w:line="360" w:lineRule="auto"/>
        <w:rPr>
          <w:rFonts w:ascii="宋体" w:hAnsi="宋体" w:cs="宋体"/>
          <w:color w:val="000000" w:themeColor="text1"/>
          <w:sz w:val="24"/>
          <w:highlight w:val="none"/>
          <w14:textFill>
            <w14:solidFill>
              <w14:schemeClr w14:val="tx1"/>
            </w14:solidFill>
          </w14:textFill>
        </w:rPr>
      </w:pPr>
      <w:bookmarkStart w:id="601" w:name="_Toc7972574"/>
      <w:bookmarkStart w:id="602" w:name="_Toc7383073"/>
      <w:r>
        <w:rPr>
          <w:rFonts w:hint="eastAsia" w:ascii="宋体" w:hAnsi="宋体" w:cs="宋体"/>
          <w:color w:val="000000" w:themeColor="text1"/>
          <w:sz w:val="24"/>
          <w:highlight w:val="none"/>
          <w14:textFill>
            <w14:solidFill>
              <w14:schemeClr w14:val="tx1"/>
            </w14:solidFill>
          </w14:textFill>
        </w:rPr>
        <w:t>4. 监理人</w:t>
      </w:r>
      <w:bookmarkEnd w:id="601"/>
      <w:bookmarkEnd w:id="602"/>
    </w:p>
    <w:p w14:paraId="5D4AA18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3" w:name="_Toc7972575"/>
      <w:bookmarkStart w:id="604" w:name="_Toc7383074"/>
      <w:r>
        <w:rPr>
          <w:rFonts w:hint="eastAsia" w:ascii="宋体" w:hAnsi="宋体" w:cs="宋体"/>
          <w:color w:val="000000" w:themeColor="text1"/>
          <w:sz w:val="24"/>
          <w:highlight w:val="none"/>
          <w14:textFill>
            <w14:solidFill>
              <w14:schemeClr w14:val="tx1"/>
            </w14:solidFill>
          </w14:textFill>
        </w:rPr>
        <w:t>4.1监理人的一般规定</w:t>
      </w:r>
      <w:bookmarkEnd w:id="603"/>
      <w:bookmarkEnd w:id="604"/>
    </w:p>
    <w:p w14:paraId="2B33D34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04FAE12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除专用合同条款另有约定外，监理人在施工现场的办公场所、生活场所由承包人提供，所发生的费用由发包人承担。</w:t>
      </w:r>
    </w:p>
    <w:p w14:paraId="1F8F3F6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5" w:name="_Toc7972576"/>
      <w:bookmarkStart w:id="606" w:name="_Toc7383075"/>
      <w:r>
        <w:rPr>
          <w:rFonts w:hint="eastAsia" w:ascii="宋体" w:hAnsi="宋体" w:cs="宋体"/>
          <w:color w:val="000000" w:themeColor="text1"/>
          <w:sz w:val="24"/>
          <w:highlight w:val="none"/>
          <w14:textFill>
            <w14:solidFill>
              <w14:schemeClr w14:val="tx1"/>
            </w14:solidFill>
          </w14:textFill>
        </w:rPr>
        <w:t>4.2监理人员</w:t>
      </w:r>
      <w:bookmarkEnd w:id="605"/>
      <w:bookmarkEnd w:id="606"/>
    </w:p>
    <w:p w14:paraId="11922D8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7971DAE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7" w:name="_Toc7972577"/>
      <w:bookmarkStart w:id="608" w:name="_Toc7383076"/>
      <w:r>
        <w:rPr>
          <w:rFonts w:hint="eastAsia" w:ascii="宋体" w:hAnsi="宋体" w:cs="宋体"/>
          <w:color w:val="000000" w:themeColor="text1"/>
          <w:sz w:val="24"/>
          <w:highlight w:val="none"/>
          <w14:textFill>
            <w14:solidFill>
              <w14:schemeClr w14:val="tx1"/>
            </w14:solidFill>
          </w14:textFill>
        </w:rPr>
        <w:t>4.3监理人的指示</w:t>
      </w:r>
      <w:bookmarkEnd w:id="607"/>
      <w:bookmarkEnd w:id="608"/>
    </w:p>
    <w:p w14:paraId="16F7891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247DE11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43DBA24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74B18F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7E32903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9" w:name="_Toc7972578"/>
      <w:bookmarkStart w:id="610" w:name="_Toc7383077"/>
      <w:r>
        <w:rPr>
          <w:rFonts w:hint="eastAsia" w:ascii="宋体" w:hAnsi="宋体" w:cs="宋体"/>
          <w:color w:val="000000" w:themeColor="text1"/>
          <w:sz w:val="24"/>
          <w:highlight w:val="none"/>
          <w14:textFill>
            <w14:solidFill>
              <w14:schemeClr w14:val="tx1"/>
            </w14:solidFill>
          </w14:textFill>
        </w:rPr>
        <w:t>4.4 商定或确定</w:t>
      </w:r>
      <w:bookmarkEnd w:id="609"/>
      <w:bookmarkEnd w:id="610"/>
    </w:p>
    <w:p w14:paraId="5BBB678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合同当事人进行商定或确定时，总监理工程师应当会同合同当事人尽量通过协商达成一致，不能达成一致的，由总监理工程师按照合同约定审慎做出公正的确定。</w:t>
      </w:r>
    </w:p>
    <w:p w14:paraId="387EC41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6DA939CE">
      <w:pPr>
        <w:pStyle w:val="493"/>
        <w:spacing w:after="0" w:line="360" w:lineRule="auto"/>
        <w:rPr>
          <w:rFonts w:ascii="宋体" w:hAnsi="宋体" w:cs="宋体"/>
          <w:color w:val="000000" w:themeColor="text1"/>
          <w:sz w:val="24"/>
          <w:highlight w:val="none"/>
          <w14:textFill>
            <w14:solidFill>
              <w14:schemeClr w14:val="tx1"/>
            </w14:solidFill>
          </w14:textFill>
        </w:rPr>
      </w:pPr>
      <w:bookmarkStart w:id="611" w:name="_Toc7383078"/>
      <w:bookmarkStart w:id="612" w:name="_Toc7972579"/>
      <w:r>
        <w:rPr>
          <w:rFonts w:hint="eastAsia" w:ascii="宋体" w:hAnsi="宋体" w:cs="宋体"/>
          <w:color w:val="000000" w:themeColor="text1"/>
          <w:sz w:val="24"/>
          <w:highlight w:val="none"/>
          <w14:textFill>
            <w14:solidFill>
              <w14:schemeClr w14:val="tx1"/>
            </w14:solidFill>
          </w14:textFill>
        </w:rPr>
        <w:t>5. 工程质量</w:t>
      </w:r>
      <w:bookmarkEnd w:id="611"/>
      <w:bookmarkEnd w:id="612"/>
    </w:p>
    <w:p w14:paraId="79DEE35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3" w:name="_Toc7383079"/>
      <w:bookmarkStart w:id="614" w:name="_Toc7972580"/>
      <w:r>
        <w:rPr>
          <w:rFonts w:hint="eastAsia" w:ascii="宋体" w:hAnsi="宋体" w:cs="宋体"/>
          <w:color w:val="000000" w:themeColor="text1"/>
          <w:sz w:val="24"/>
          <w:highlight w:val="none"/>
          <w14:textFill>
            <w14:solidFill>
              <w14:schemeClr w14:val="tx1"/>
            </w14:solidFill>
          </w14:textFill>
        </w:rPr>
        <w:t>5.1质量要求</w:t>
      </w:r>
      <w:bookmarkEnd w:id="613"/>
      <w:bookmarkEnd w:id="614"/>
    </w:p>
    <w:p w14:paraId="49029F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51DEA5B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5.1.2 因发包人原因造成工程质量未达到合同约定标准的，由发包人承担由此增加的费用和（或）延误的工期，并支付承包人合理的利润。</w:t>
      </w:r>
    </w:p>
    <w:p w14:paraId="796D3A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5018B09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5" w:name="_Toc7972581"/>
      <w:bookmarkStart w:id="616" w:name="_Toc7383080"/>
      <w:r>
        <w:rPr>
          <w:rFonts w:hint="eastAsia" w:ascii="宋体" w:hAnsi="宋体" w:cs="宋体"/>
          <w:color w:val="000000" w:themeColor="text1"/>
          <w:sz w:val="24"/>
          <w:highlight w:val="none"/>
          <w14:textFill>
            <w14:solidFill>
              <w14:schemeClr w14:val="tx1"/>
            </w14:solidFill>
          </w14:textFill>
        </w:rPr>
        <w:t>5.2质量保证措施</w:t>
      </w:r>
      <w:bookmarkEnd w:id="615"/>
      <w:bookmarkEnd w:id="616"/>
    </w:p>
    <w:p w14:paraId="6A0A48D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5.2.1 发包人的质量管理</w:t>
      </w:r>
    </w:p>
    <w:p w14:paraId="0B8D132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发包人应按照法律规定及合同约定完成与工程质量有关的各项工作。</w:t>
      </w:r>
    </w:p>
    <w:p w14:paraId="1912C48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5.2.2 承包人的质量管理</w:t>
      </w:r>
    </w:p>
    <w:p w14:paraId="585F99D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0EDC8D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承包人应对施工人员进行质量教育和技术培训，定期考核施工人员的劳动技能，严格执行施工规范和操作规程。</w:t>
      </w:r>
    </w:p>
    <w:p w14:paraId="3EF7FA8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15338B0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5.2.3 监理人的质量检查和检验</w:t>
      </w:r>
    </w:p>
    <w:p w14:paraId="2EE3419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7E3EBB1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295B74D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7" w:name="_Toc7383081"/>
      <w:bookmarkStart w:id="618" w:name="_Toc7972582"/>
      <w:r>
        <w:rPr>
          <w:rFonts w:hint="eastAsia" w:ascii="宋体" w:hAnsi="宋体" w:cs="宋体"/>
          <w:color w:val="000000" w:themeColor="text1"/>
          <w:sz w:val="24"/>
          <w:highlight w:val="none"/>
          <w14:textFill>
            <w14:solidFill>
              <w14:schemeClr w14:val="tx1"/>
            </w14:solidFill>
          </w14:textFill>
        </w:rPr>
        <w:t>5.3 隐蔽工程检查</w:t>
      </w:r>
      <w:bookmarkEnd w:id="617"/>
      <w:bookmarkEnd w:id="618"/>
    </w:p>
    <w:p w14:paraId="343B5E8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5.3.1承包人自检</w:t>
      </w:r>
    </w:p>
    <w:p w14:paraId="7581DA6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承包人应当对工程隐蔽部位进行自检，并经自检确认是否具备覆盖条件。</w:t>
      </w:r>
    </w:p>
    <w:p w14:paraId="1F195B3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5.3.2检查程序</w:t>
      </w:r>
    </w:p>
    <w:p w14:paraId="7E7BF5E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73E173B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1756659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3FA874B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5.3.3 重新检查</w:t>
      </w:r>
    </w:p>
    <w:p w14:paraId="6227347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E204C3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5.3.4 承包人私自覆盖</w:t>
      </w:r>
    </w:p>
    <w:p w14:paraId="3333EB7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1CB5072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9" w:name="_Toc7383082"/>
      <w:bookmarkStart w:id="620" w:name="_Toc7972583"/>
      <w:r>
        <w:rPr>
          <w:rFonts w:hint="eastAsia" w:ascii="宋体" w:hAnsi="宋体" w:cs="宋体"/>
          <w:color w:val="000000" w:themeColor="text1"/>
          <w:sz w:val="24"/>
          <w:highlight w:val="none"/>
          <w14:textFill>
            <w14:solidFill>
              <w14:schemeClr w14:val="tx1"/>
            </w14:solidFill>
          </w14:textFill>
        </w:rPr>
        <w:t>5.4不合格工程的处理</w:t>
      </w:r>
      <w:bookmarkEnd w:id="619"/>
      <w:bookmarkEnd w:id="620"/>
    </w:p>
    <w:p w14:paraId="6820135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5.4.1 因承包人原因造成工程不合格的，发包人有权随时要求承包人采取补救措施，直至达到合同要求的质量标准，由此增加的费用和（或）延误的工期由承包人承担。无法补救的，按照第13.2.4项〔拒绝接收全部或部分工程〕约定执行。</w:t>
      </w:r>
    </w:p>
    <w:p w14:paraId="3589732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5.4.2 因发包人原因造成工程不合格的，由此增加的费用和（或）延误的工期由发包人承担，并支付承包人合理的利润。</w:t>
      </w:r>
    </w:p>
    <w:p w14:paraId="1C99A6B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1" w:name="_Toc7383083"/>
      <w:bookmarkStart w:id="622" w:name="_Toc7972584"/>
      <w:r>
        <w:rPr>
          <w:rFonts w:hint="eastAsia" w:ascii="宋体" w:hAnsi="宋体" w:cs="宋体"/>
          <w:color w:val="000000" w:themeColor="text1"/>
          <w:sz w:val="24"/>
          <w:highlight w:val="none"/>
          <w14:textFill>
            <w14:solidFill>
              <w14:schemeClr w14:val="tx1"/>
            </w14:solidFill>
          </w14:textFill>
        </w:rPr>
        <w:t>5.5 质量争议检测</w:t>
      </w:r>
      <w:bookmarkEnd w:id="621"/>
      <w:bookmarkEnd w:id="622"/>
    </w:p>
    <w:p w14:paraId="61D016F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合同当事人对工程质量有争议的，由双方协商确定的工程质量检测机构鉴定，由此产生的费用及因此造成的损失，由责任方承担。</w:t>
      </w:r>
    </w:p>
    <w:p w14:paraId="620B7E2D">
      <w:pPr>
        <w:pStyle w:val="494"/>
        <w:autoSpaceDE w:val="0"/>
        <w:autoSpaceDN w:val="0"/>
        <w:adjustRightInd w:val="0"/>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合同当事人均有责任的，由双方根据其责任分别承担。合同当事人无法达成一致的，按照第4.4款〔商定或确定〕执行。</w:t>
      </w:r>
    </w:p>
    <w:p w14:paraId="310F2890">
      <w:pPr>
        <w:pStyle w:val="493"/>
        <w:spacing w:after="0" w:line="360" w:lineRule="auto"/>
        <w:rPr>
          <w:rFonts w:ascii="宋体" w:hAnsi="宋体" w:cs="宋体"/>
          <w:color w:val="000000" w:themeColor="text1"/>
          <w:sz w:val="24"/>
          <w:highlight w:val="none"/>
          <w14:textFill>
            <w14:solidFill>
              <w14:schemeClr w14:val="tx1"/>
            </w14:solidFill>
          </w14:textFill>
        </w:rPr>
      </w:pPr>
      <w:bookmarkStart w:id="623" w:name="_Toc7383084"/>
      <w:bookmarkStart w:id="624" w:name="_Toc7972585"/>
      <w:r>
        <w:rPr>
          <w:rFonts w:hint="eastAsia" w:ascii="宋体" w:hAnsi="宋体" w:cs="宋体"/>
          <w:color w:val="000000" w:themeColor="text1"/>
          <w:sz w:val="24"/>
          <w:highlight w:val="none"/>
          <w14:textFill>
            <w14:solidFill>
              <w14:schemeClr w14:val="tx1"/>
            </w14:solidFill>
          </w14:textFill>
        </w:rPr>
        <w:t>6. 安全文明施工与环境保护</w:t>
      </w:r>
      <w:bookmarkEnd w:id="623"/>
      <w:bookmarkEnd w:id="624"/>
    </w:p>
    <w:p w14:paraId="043D64F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5" w:name="_Toc7972586"/>
      <w:bookmarkStart w:id="626" w:name="_Toc7383085"/>
      <w:r>
        <w:rPr>
          <w:rFonts w:hint="eastAsia" w:ascii="宋体" w:hAnsi="宋体" w:cs="宋体"/>
          <w:color w:val="000000" w:themeColor="text1"/>
          <w:sz w:val="24"/>
          <w:highlight w:val="none"/>
          <w14:textFill>
            <w14:solidFill>
              <w14:schemeClr w14:val="tx1"/>
            </w14:solidFill>
          </w14:textFill>
        </w:rPr>
        <w:t>6.1安全文明施工</w:t>
      </w:r>
      <w:bookmarkEnd w:id="625"/>
      <w:bookmarkEnd w:id="626"/>
    </w:p>
    <w:p w14:paraId="2E8B1B8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6.1.1安全生产要求</w:t>
      </w:r>
    </w:p>
    <w:p w14:paraId="07C5696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716BD74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themeColor="text1"/>
          <w:kern w:val="0"/>
          <w:sz w:val="24"/>
          <w:szCs w:val="24"/>
          <w:highlight w:val="none"/>
          <w14:textFill>
            <w14:solidFill>
              <w14:schemeClr w14:val="tx1"/>
            </w14:solidFill>
          </w14:textFill>
        </w:rPr>
        <w:t>政府有关行政管理部门</w:t>
      </w:r>
      <w:r>
        <w:rPr>
          <w:rFonts w:hint="eastAsia" w:ascii="宋体" w:hAnsi="宋体" w:eastAsia="宋体" w:cs="宋体"/>
          <w:color w:val="000000" w:themeColor="text1"/>
          <w:sz w:val="24"/>
          <w:szCs w:val="24"/>
          <w:highlight w:val="none"/>
          <w14:textFill>
            <w14:solidFill>
              <w14:schemeClr w14:val="tx1"/>
            </w14:solidFill>
          </w14:textFill>
        </w:rPr>
        <w:t>采取应急措施。</w:t>
      </w:r>
    </w:p>
    <w:p w14:paraId="36D2E70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因安全生产需要暂停施工的，按照第7.8款〔暂停施工〕的约定执行。</w:t>
      </w:r>
    </w:p>
    <w:p w14:paraId="78168BC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6.1.2 安全生产保证措施</w:t>
      </w:r>
    </w:p>
    <w:p w14:paraId="4F9C47B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承包人应当按照有关</w:t>
      </w:r>
      <w:r>
        <w:rPr>
          <w:rFonts w:hint="eastAsia" w:ascii="宋体" w:hAnsi="宋体" w:eastAsia="宋体" w:cs="宋体"/>
          <w:color w:val="000000" w:themeColor="text1"/>
          <w:kern w:val="0"/>
          <w:sz w:val="24"/>
          <w:szCs w:val="24"/>
          <w:highlight w:val="none"/>
          <w14:textFill>
            <w14:solidFill>
              <w14:schemeClr w14:val="tx1"/>
            </w14:solidFill>
          </w14:textFill>
        </w:rPr>
        <w:t>规定编制安全技术措施或者专项施工方案，</w:t>
      </w:r>
      <w:r>
        <w:rPr>
          <w:rFonts w:hint="eastAsia" w:ascii="宋体" w:hAnsi="宋体" w:eastAsia="宋体" w:cs="宋体"/>
          <w:color w:val="000000" w:themeColor="text1"/>
          <w:sz w:val="24"/>
          <w:szCs w:val="24"/>
          <w:highlight w:val="none"/>
          <w14:textFill>
            <w14:solidFill>
              <w14:schemeClr w14:val="tx1"/>
            </w14:solidFill>
          </w14:textFill>
        </w:rPr>
        <w:t>建立安全生产责任制度、治安保卫制度及安全生产教育培训制度，并</w:t>
      </w:r>
      <w:r>
        <w:rPr>
          <w:rFonts w:hint="eastAsia" w:ascii="宋体" w:hAnsi="宋体" w:eastAsia="宋体" w:cs="宋体"/>
          <w:color w:val="000000" w:themeColor="text1"/>
          <w:kern w:val="0"/>
          <w:sz w:val="24"/>
          <w:szCs w:val="24"/>
          <w:highlight w:val="none"/>
          <w14:textFill>
            <w14:solidFill>
              <w14:schemeClr w14:val="tx1"/>
            </w14:solidFill>
          </w14:textFill>
        </w:rPr>
        <w:t>按安全生产法律规定及合同约定履行安全职责，如实</w:t>
      </w:r>
      <w:r>
        <w:rPr>
          <w:rFonts w:hint="eastAsia" w:ascii="宋体" w:hAnsi="宋体" w:eastAsia="宋体" w:cs="宋体"/>
          <w:color w:val="000000" w:themeColor="text1"/>
          <w:sz w:val="24"/>
          <w:szCs w:val="24"/>
          <w:highlight w:val="none"/>
          <w14:textFill>
            <w14:solidFill>
              <w14:schemeClr w14:val="tx1"/>
            </w14:solidFill>
          </w14:textFill>
        </w:rPr>
        <w:t>编制工程安全生产的有关记录，</w:t>
      </w:r>
      <w:r>
        <w:rPr>
          <w:rFonts w:hint="eastAsia" w:ascii="宋体" w:hAnsi="宋体" w:eastAsia="宋体" w:cs="宋体"/>
          <w:color w:val="000000" w:themeColor="text1"/>
          <w:kern w:val="0"/>
          <w:sz w:val="24"/>
          <w:szCs w:val="24"/>
          <w:highlight w:val="none"/>
          <w14:textFill>
            <w14:solidFill>
              <w14:schemeClr w14:val="tx1"/>
            </w14:solidFill>
          </w14:textFill>
        </w:rPr>
        <w:t>接受发包人、监理人及政府安全监督部门的检查与监督。</w:t>
      </w:r>
    </w:p>
    <w:p w14:paraId="5213E20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6.1.3特别安全生产事项</w:t>
      </w:r>
    </w:p>
    <w:p w14:paraId="0F40018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15DA038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承包人在动力设备、输电线路、地下管道、密封防震车间、易燃易爆地段以及临街交通要道附近施工时，施工开始前应向发包人和监理人提出安全防护措施，经发包人认可后实施。</w:t>
      </w:r>
    </w:p>
    <w:p w14:paraId="129C584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1126581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需单独编制危险性较大分部分项专项工程施工方案的，及要求进行专家论证的超过一定规模的危险性较大的分部分项工程，承包人应及时编制和组织论证。</w:t>
      </w:r>
    </w:p>
    <w:p w14:paraId="3052E7D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6.1.4 治安保卫</w:t>
      </w:r>
    </w:p>
    <w:p w14:paraId="0BC0D37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227F92A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421B3F3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7B5089ED">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6.1.5 文明施工</w:t>
      </w:r>
    </w:p>
    <w:p w14:paraId="0FF9735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72A736F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7640BDA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6.1.6 安全文明施工费</w:t>
      </w:r>
    </w:p>
    <w:p w14:paraId="19889EB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2E94120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5FE5E41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4971647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790D9F7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6.1.7 紧急情况处理</w:t>
      </w:r>
    </w:p>
    <w:p w14:paraId="3CB520F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63F9A8C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6.1.8 事故处理</w:t>
      </w:r>
    </w:p>
    <w:p w14:paraId="43C652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0FF6E0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6.1.9 安全生产责任</w:t>
      </w:r>
    </w:p>
    <w:p w14:paraId="2C8E110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6.1.9.1 发包人的安全责任</w:t>
      </w:r>
    </w:p>
    <w:p w14:paraId="01950CC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发包人应负责赔偿以下各种情况造成的损失：</w:t>
      </w:r>
    </w:p>
    <w:p w14:paraId="73BD200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（1）工程或工程的任何部分对土地的占用所造成的第三者财产损失；</w:t>
      </w:r>
    </w:p>
    <w:p w14:paraId="3EE19F5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（2）由于发包人原因在施工场地及其毗邻地带造成的第三者人身伤亡和财产损失；</w:t>
      </w:r>
    </w:p>
    <w:p w14:paraId="1340A70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（3）由于发包人原因对承包人、监理人造成的人员人身伤亡和财产损失；</w:t>
      </w:r>
    </w:p>
    <w:p w14:paraId="2AF9D96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（4）由于发包人原因造成的发包人自身人员的人身伤害以及财产损失。</w:t>
      </w:r>
    </w:p>
    <w:p w14:paraId="722E15F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6.1.9.2 承包人的安全责任</w:t>
      </w:r>
    </w:p>
    <w:p w14:paraId="5F5DE3D3">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由于承包人原因在施工场地内及其毗邻地带造成的发包人、监理人以及第三者人员伤亡和财产损失，由承包人负责赔偿。</w:t>
      </w:r>
    </w:p>
    <w:p w14:paraId="2958FB0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7" w:name="_Toc7972587"/>
      <w:bookmarkStart w:id="628" w:name="_Toc7383086"/>
      <w:r>
        <w:rPr>
          <w:rFonts w:hint="eastAsia" w:ascii="宋体" w:hAnsi="宋体" w:cs="宋体"/>
          <w:color w:val="000000" w:themeColor="text1"/>
          <w:sz w:val="24"/>
          <w:highlight w:val="none"/>
          <w14:textFill>
            <w14:solidFill>
              <w14:schemeClr w14:val="tx1"/>
            </w14:solidFill>
          </w14:textFill>
        </w:rPr>
        <w:t>6.2 职业健康</w:t>
      </w:r>
      <w:bookmarkEnd w:id="627"/>
      <w:bookmarkEnd w:id="628"/>
    </w:p>
    <w:p w14:paraId="3655EB7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6.2.1 劳动保护</w:t>
      </w:r>
    </w:p>
    <w:p w14:paraId="64D91DD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3132077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2AA89CA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5479018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6.2.2 生活条件</w:t>
      </w:r>
    </w:p>
    <w:p w14:paraId="6139FEA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250C04D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9" w:name="_Toc7972588"/>
      <w:bookmarkStart w:id="630" w:name="_Toc7383087"/>
      <w:r>
        <w:rPr>
          <w:rFonts w:hint="eastAsia" w:ascii="宋体" w:hAnsi="宋体" w:cs="宋体"/>
          <w:color w:val="000000" w:themeColor="text1"/>
          <w:sz w:val="24"/>
          <w:highlight w:val="none"/>
          <w14:textFill>
            <w14:solidFill>
              <w14:schemeClr w14:val="tx1"/>
            </w14:solidFill>
          </w14:textFill>
        </w:rPr>
        <w:t>6.3 环境保护</w:t>
      </w:r>
      <w:bookmarkEnd w:id="629"/>
      <w:bookmarkEnd w:id="630"/>
    </w:p>
    <w:p w14:paraId="18F00A5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28F47B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56418FF0">
      <w:pPr>
        <w:pStyle w:val="493"/>
        <w:spacing w:after="0" w:line="360" w:lineRule="auto"/>
        <w:rPr>
          <w:rFonts w:ascii="宋体" w:hAnsi="宋体" w:cs="宋体"/>
          <w:color w:val="000000" w:themeColor="text1"/>
          <w:sz w:val="24"/>
          <w:highlight w:val="none"/>
          <w14:textFill>
            <w14:solidFill>
              <w14:schemeClr w14:val="tx1"/>
            </w14:solidFill>
          </w14:textFill>
        </w:rPr>
      </w:pPr>
      <w:bookmarkStart w:id="631" w:name="_Toc7383088"/>
      <w:bookmarkStart w:id="632" w:name="_Toc7972589"/>
      <w:r>
        <w:rPr>
          <w:rFonts w:hint="eastAsia" w:ascii="宋体" w:hAnsi="宋体" w:cs="宋体"/>
          <w:color w:val="000000" w:themeColor="text1"/>
          <w:sz w:val="24"/>
          <w:highlight w:val="none"/>
          <w14:textFill>
            <w14:solidFill>
              <w14:schemeClr w14:val="tx1"/>
            </w14:solidFill>
          </w14:textFill>
        </w:rPr>
        <w:t>7. 工期和进度</w:t>
      </w:r>
      <w:bookmarkEnd w:id="631"/>
      <w:bookmarkEnd w:id="632"/>
    </w:p>
    <w:p w14:paraId="3A29064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3" w:name="_Toc7972590"/>
      <w:bookmarkStart w:id="634" w:name="_Toc7383089"/>
      <w:r>
        <w:rPr>
          <w:rFonts w:hint="eastAsia" w:ascii="宋体" w:hAnsi="宋体" w:cs="宋体"/>
          <w:color w:val="000000" w:themeColor="text1"/>
          <w:sz w:val="24"/>
          <w:highlight w:val="none"/>
          <w14:textFill>
            <w14:solidFill>
              <w14:schemeClr w14:val="tx1"/>
            </w14:solidFill>
          </w14:textFill>
        </w:rPr>
        <w:t>7.1施工组织设计</w:t>
      </w:r>
      <w:bookmarkEnd w:id="633"/>
      <w:bookmarkEnd w:id="634"/>
    </w:p>
    <w:p w14:paraId="1818072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7.1.1 </w:t>
      </w:r>
      <w:r>
        <w:rPr>
          <w:rFonts w:hint="eastAsia" w:ascii="宋体" w:hAnsi="宋体" w:eastAsia="宋体" w:cs="宋体"/>
          <w:color w:val="000000" w:themeColor="text1"/>
          <w:kern w:val="0"/>
          <w:sz w:val="24"/>
          <w:szCs w:val="24"/>
          <w:highlight w:val="none"/>
          <w14:textFill>
            <w14:solidFill>
              <w14:schemeClr w14:val="tx1"/>
            </w14:solidFill>
          </w14:textFill>
        </w:rPr>
        <w:t>施工组织设计的内容</w:t>
      </w:r>
    </w:p>
    <w:p w14:paraId="4A3012B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施工组织设计应包含以下内容：</w:t>
      </w:r>
    </w:p>
    <w:p w14:paraId="5F27A4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（1）施工方案；</w:t>
      </w:r>
    </w:p>
    <w:p w14:paraId="3B5426D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（2）施工现场平面布置图；</w:t>
      </w:r>
    </w:p>
    <w:p w14:paraId="6066083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（3）施工进度计划和保证措施；</w:t>
      </w:r>
    </w:p>
    <w:p w14:paraId="7144301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（4）劳动力及材料供应计划；</w:t>
      </w:r>
    </w:p>
    <w:p w14:paraId="4F1A79B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（5）施工机械设备的选用；</w:t>
      </w:r>
    </w:p>
    <w:p w14:paraId="0DB6B6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（6）质量保证体系及措施；</w:t>
      </w:r>
    </w:p>
    <w:p w14:paraId="345323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（7）安全生产、文明施工措施；</w:t>
      </w:r>
    </w:p>
    <w:p w14:paraId="0EF1B62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（8）环境保护、成本控制措施；</w:t>
      </w:r>
    </w:p>
    <w:p w14:paraId="77440A3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（9）合同当事人约定的其他内容。</w:t>
      </w:r>
    </w:p>
    <w:p w14:paraId="7ED8A0E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7.1.2 </w:t>
      </w:r>
      <w:r>
        <w:rPr>
          <w:rFonts w:hint="eastAsia" w:ascii="宋体" w:hAnsi="宋体" w:eastAsia="宋体" w:cs="宋体"/>
          <w:color w:val="000000" w:themeColor="text1"/>
          <w:kern w:val="0"/>
          <w:sz w:val="24"/>
          <w:szCs w:val="24"/>
          <w:highlight w:val="none"/>
          <w14:textFill>
            <w14:solidFill>
              <w14:schemeClr w14:val="tx1"/>
            </w14:solidFill>
          </w14:textFill>
        </w:rPr>
        <w:t>施工组织设计的提交和修改</w:t>
      </w:r>
    </w:p>
    <w:p w14:paraId="05C04327">
      <w:pPr>
        <w:pStyle w:val="494"/>
        <w:autoSpaceDE w:val="0"/>
        <w:autoSpaceDN w:val="0"/>
        <w:adjustRightInd w:val="0"/>
        <w:spacing w:after="0" w:line="360" w:lineRule="auto"/>
        <w:ind w:left="239" w:leftChars="114" w:firstLine="240" w:firstLineChars="1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321B8FD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施工进度计划的编制和修改按照第7.2款〔施工进度计划〕执行。</w:t>
      </w:r>
    </w:p>
    <w:p w14:paraId="60BA5EB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5" w:name="_Toc7972591"/>
      <w:bookmarkStart w:id="636" w:name="_Toc7383090"/>
      <w:r>
        <w:rPr>
          <w:rFonts w:hint="eastAsia" w:ascii="宋体" w:hAnsi="宋体" w:cs="宋体"/>
          <w:color w:val="000000" w:themeColor="text1"/>
          <w:sz w:val="24"/>
          <w:highlight w:val="none"/>
          <w14:textFill>
            <w14:solidFill>
              <w14:schemeClr w14:val="tx1"/>
            </w14:solidFill>
          </w14:textFill>
        </w:rPr>
        <w:t>7.2 施工进度计划</w:t>
      </w:r>
      <w:bookmarkEnd w:id="635"/>
      <w:bookmarkEnd w:id="636"/>
    </w:p>
    <w:p w14:paraId="6195565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7.2.1 施工进度计划的编制</w:t>
      </w:r>
    </w:p>
    <w:p w14:paraId="74752D6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73E0F30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 施工进度计划的修订</w:t>
      </w:r>
    </w:p>
    <w:p w14:paraId="6E4871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0451EA8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7" w:name="_Toc7383091"/>
      <w:bookmarkStart w:id="638" w:name="_Toc7972592"/>
      <w:r>
        <w:rPr>
          <w:rFonts w:hint="eastAsia" w:ascii="宋体" w:hAnsi="宋体" w:cs="宋体"/>
          <w:color w:val="000000" w:themeColor="text1"/>
          <w:sz w:val="24"/>
          <w:highlight w:val="none"/>
          <w14:textFill>
            <w14:solidFill>
              <w14:schemeClr w14:val="tx1"/>
            </w14:solidFill>
          </w14:textFill>
        </w:rPr>
        <w:t>7.3 开工</w:t>
      </w:r>
      <w:bookmarkEnd w:id="637"/>
      <w:bookmarkEnd w:id="638"/>
    </w:p>
    <w:p w14:paraId="68AA27A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7.3.1 开工准备</w:t>
      </w:r>
    </w:p>
    <w:p w14:paraId="53F4D82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3A71A8C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除专用合同条款另有约定外，合同当事人应按约定完成开工准备工作。</w:t>
      </w:r>
    </w:p>
    <w:p w14:paraId="449807C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7.3.2 开工通知</w:t>
      </w:r>
    </w:p>
    <w:p w14:paraId="04ACDEF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249280E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457DB7B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9" w:name="_Toc7383092"/>
      <w:bookmarkStart w:id="640" w:name="_Toc7972593"/>
      <w:r>
        <w:rPr>
          <w:rFonts w:hint="eastAsia" w:ascii="宋体" w:hAnsi="宋体" w:cs="宋体"/>
          <w:color w:val="000000" w:themeColor="text1"/>
          <w:sz w:val="24"/>
          <w:highlight w:val="none"/>
          <w14:textFill>
            <w14:solidFill>
              <w14:schemeClr w14:val="tx1"/>
            </w14:solidFill>
          </w14:textFill>
        </w:rPr>
        <w:t>7.4测量放线</w:t>
      </w:r>
      <w:bookmarkEnd w:id="639"/>
      <w:bookmarkEnd w:id="640"/>
    </w:p>
    <w:p w14:paraId="2C9F2A0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4308366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3562B8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4B24237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施工过程中对施工现场内水准点等测量标志物的保护工作由承包人负责。</w:t>
      </w:r>
    </w:p>
    <w:p w14:paraId="603ADA2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1" w:name="_Toc7383093"/>
      <w:bookmarkStart w:id="642" w:name="_Toc7972594"/>
      <w:r>
        <w:rPr>
          <w:rFonts w:hint="eastAsia" w:ascii="宋体" w:hAnsi="宋体" w:cs="宋体"/>
          <w:color w:val="000000" w:themeColor="text1"/>
          <w:sz w:val="24"/>
          <w:highlight w:val="none"/>
          <w14:textFill>
            <w14:solidFill>
              <w14:schemeClr w14:val="tx1"/>
            </w14:solidFill>
          </w14:textFill>
        </w:rPr>
        <w:t>7.5 工期延误</w:t>
      </w:r>
      <w:bookmarkEnd w:id="641"/>
      <w:bookmarkEnd w:id="642"/>
    </w:p>
    <w:p w14:paraId="0DB7A5D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7.5.1 因发包人原因导致工期延误</w:t>
      </w:r>
    </w:p>
    <w:p w14:paraId="532EE21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在合同履行过程中，因下列情况导致工期延误和（或）费用增加的，由发包人承担由此延误的工期和（或）增加的费用，且发包人应支付承包人合理的利润：</w:t>
      </w:r>
    </w:p>
    <w:p w14:paraId="15A2C26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（1）发包人未能按合同约定提供图纸或所提供图纸不符合合同约定的；</w:t>
      </w:r>
    </w:p>
    <w:p w14:paraId="53092D4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（2）发包人未能按合同约定提供施工现场、施工条件、基础资料、许可、批准等开工条件的；</w:t>
      </w:r>
    </w:p>
    <w:p w14:paraId="10FE6BD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（3）发包人提供的测量基准点、基准线和水准点及其书面资料存在错误或疏漏的；</w:t>
      </w:r>
    </w:p>
    <w:p w14:paraId="2F0B6BF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（4）发包人未能在计划开工日期之日起7天内同意下达开工通知的；</w:t>
      </w:r>
    </w:p>
    <w:p w14:paraId="1E8C9A3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（5）发包人未能按合同约定日期支付工程预付款、进度款或竣工结算款的；</w:t>
      </w:r>
    </w:p>
    <w:p w14:paraId="421F14F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（6）监理人未按合同约定发出指示、批准等文件的；</w:t>
      </w:r>
    </w:p>
    <w:p w14:paraId="23F5F50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（7）专用合同条款中约定的其他情形。</w:t>
      </w:r>
    </w:p>
    <w:p w14:paraId="724637A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08F6A736">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7.5.2 因承包人原因导致工期延误</w:t>
      </w:r>
    </w:p>
    <w:p w14:paraId="1D81D4F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因承包人原因造成工期延误的，可以在专用合同条款中约定逾期竣工违约金的计算方法和逾期竣工违约金的上限。承包人支付逾期竣工违约金后，不免除承包人继续完成工程及修补缺陷的义务。</w:t>
      </w:r>
    </w:p>
    <w:p w14:paraId="1A04049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3" w:name="_Toc7383094"/>
      <w:bookmarkStart w:id="644" w:name="_Toc7972595"/>
      <w:r>
        <w:rPr>
          <w:rFonts w:hint="eastAsia" w:ascii="宋体" w:hAnsi="宋体" w:cs="宋体"/>
          <w:color w:val="000000" w:themeColor="text1"/>
          <w:sz w:val="24"/>
          <w:highlight w:val="none"/>
          <w14:textFill>
            <w14:solidFill>
              <w14:schemeClr w14:val="tx1"/>
            </w14:solidFill>
          </w14:textFill>
        </w:rPr>
        <w:t>7.6 不利物质条件</w:t>
      </w:r>
      <w:bookmarkEnd w:id="643"/>
      <w:bookmarkEnd w:id="644"/>
    </w:p>
    <w:p w14:paraId="111BDAD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63E8BCA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558A3C5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5" w:name="_Toc7383095"/>
      <w:bookmarkStart w:id="646" w:name="_Toc7972596"/>
      <w:r>
        <w:rPr>
          <w:rFonts w:hint="eastAsia" w:ascii="宋体" w:hAnsi="宋体" w:cs="宋体"/>
          <w:color w:val="000000" w:themeColor="text1"/>
          <w:sz w:val="24"/>
          <w:highlight w:val="none"/>
          <w14:textFill>
            <w14:solidFill>
              <w14:schemeClr w14:val="tx1"/>
            </w14:solidFill>
          </w14:textFill>
        </w:rPr>
        <w:t>7.7 异常恶劣的气候条件</w:t>
      </w:r>
      <w:bookmarkEnd w:id="645"/>
      <w:bookmarkEnd w:id="646"/>
    </w:p>
    <w:p w14:paraId="3CC6E80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3FE8D6A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p>
    <w:p w14:paraId="23E1491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7.8 暂停施工</w:t>
      </w:r>
    </w:p>
    <w:p w14:paraId="7662AB9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7.8.1发包人原因引起的暂停施工</w:t>
      </w:r>
    </w:p>
    <w:p w14:paraId="219604E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0064AFD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因发包人原因引起的暂停施工，发包人应承担由此增加的费用和（或）延误的工期，并支付承包人合理的利润。</w:t>
      </w:r>
    </w:p>
    <w:p w14:paraId="4DD7550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7.8.2 承包人原因引起的暂停施工</w:t>
      </w:r>
    </w:p>
    <w:p w14:paraId="6D84166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6328D59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7.8.3 指示暂停施工</w:t>
      </w:r>
    </w:p>
    <w:p w14:paraId="75FCB00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监理人认为有必要时，并经发包人批准后，可向承包人作出暂停施工的指示，承包人应按监理人指示暂停施工。</w:t>
      </w:r>
    </w:p>
    <w:p w14:paraId="690755D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7.8.4 紧急情况下的暂停施工</w:t>
      </w:r>
    </w:p>
    <w:p w14:paraId="7FC26DF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1164010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7.8.5 暂停施工后的复工</w:t>
      </w:r>
    </w:p>
    <w:p w14:paraId="4EEAB52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315D8C7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1C8DE12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7.8.6 暂停施工持续56天以上</w:t>
      </w:r>
    </w:p>
    <w:p w14:paraId="67952B91">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53F66E76">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5AE0F8F1">
      <w:pPr>
        <w:pStyle w:val="494"/>
        <w:spacing w:after="0" w:line="360" w:lineRule="auto"/>
        <w:ind w:left="16"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7.8.7 暂停施工期间的工程照管</w:t>
      </w:r>
    </w:p>
    <w:p w14:paraId="3DA82BA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暂停施工期间，承包人应负责妥善照管工程并提供安全保障，由此增加的费用由责任方承担。</w:t>
      </w:r>
    </w:p>
    <w:p w14:paraId="53D33F4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7.8.8 暂停施工的措施</w:t>
      </w:r>
    </w:p>
    <w:p w14:paraId="1A707D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暂停施工期间，发包人和承包人均应采取必要的措施确保工程质量及安全，防止因暂停施工扩大损失。</w:t>
      </w:r>
    </w:p>
    <w:p w14:paraId="783B14C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7" w:name="_Toc7383096"/>
      <w:bookmarkStart w:id="648" w:name="_Toc7972597"/>
      <w:r>
        <w:rPr>
          <w:rFonts w:hint="eastAsia" w:ascii="宋体" w:hAnsi="宋体" w:cs="宋体"/>
          <w:color w:val="000000" w:themeColor="text1"/>
          <w:sz w:val="24"/>
          <w:highlight w:val="none"/>
          <w14:textFill>
            <w14:solidFill>
              <w14:schemeClr w14:val="tx1"/>
            </w14:solidFill>
          </w14:textFill>
        </w:rPr>
        <w:t>7.9提前竣工</w:t>
      </w:r>
      <w:bookmarkEnd w:id="647"/>
      <w:bookmarkEnd w:id="648"/>
    </w:p>
    <w:p w14:paraId="4DD9456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2DE72B5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6547D0EC">
      <w:pPr>
        <w:pStyle w:val="493"/>
        <w:spacing w:after="0" w:line="360" w:lineRule="auto"/>
        <w:rPr>
          <w:rFonts w:ascii="宋体" w:hAnsi="宋体" w:cs="宋体"/>
          <w:color w:val="000000" w:themeColor="text1"/>
          <w:sz w:val="24"/>
          <w:highlight w:val="none"/>
          <w14:textFill>
            <w14:solidFill>
              <w14:schemeClr w14:val="tx1"/>
            </w14:solidFill>
          </w14:textFill>
        </w:rPr>
      </w:pPr>
      <w:bookmarkStart w:id="649" w:name="_Toc7972598"/>
      <w:bookmarkStart w:id="650" w:name="_Toc7383097"/>
      <w:r>
        <w:rPr>
          <w:rFonts w:hint="eastAsia" w:ascii="宋体" w:hAnsi="宋体" w:cs="宋体"/>
          <w:color w:val="000000" w:themeColor="text1"/>
          <w:sz w:val="24"/>
          <w:highlight w:val="none"/>
          <w14:textFill>
            <w14:solidFill>
              <w14:schemeClr w14:val="tx1"/>
            </w14:solidFill>
          </w14:textFill>
        </w:rPr>
        <w:t>8. 材料与设备</w:t>
      </w:r>
      <w:bookmarkEnd w:id="649"/>
      <w:bookmarkEnd w:id="650"/>
    </w:p>
    <w:p w14:paraId="2E84AE0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1" w:name="_Toc7383098"/>
      <w:bookmarkStart w:id="652" w:name="_Toc7972599"/>
      <w:r>
        <w:rPr>
          <w:rFonts w:hint="eastAsia" w:ascii="宋体" w:hAnsi="宋体" w:cs="宋体"/>
          <w:color w:val="000000" w:themeColor="text1"/>
          <w:sz w:val="24"/>
          <w:highlight w:val="none"/>
          <w14:textFill>
            <w14:solidFill>
              <w14:schemeClr w14:val="tx1"/>
            </w14:solidFill>
          </w14:textFill>
        </w:rPr>
        <w:t>8.1发包人供应材料与工程设备</w:t>
      </w:r>
      <w:bookmarkEnd w:id="651"/>
      <w:bookmarkEnd w:id="652"/>
    </w:p>
    <w:p w14:paraId="6E24BE6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3003DC2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36B78C7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3" w:name="_Toc7383099"/>
      <w:bookmarkStart w:id="654" w:name="_Toc7972600"/>
      <w:r>
        <w:rPr>
          <w:rFonts w:hint="eastAsia" w:ascii="宋体" w:hAnsi="宋体" w:cs="宋体"/>
          <w:color w:val="000000" w:themeColor="text1"/>
          <w:sz w:val="24"/>
          <w:highlight w:val="none"/>
          <w14:textFill>
            <w14:solidFill>
              <w14:schemeClr w14:val="tx1"/>
            </w14:solidFill>
          </w14:textFill>
        </w:rPr>
        <w:t>8.2承包人采购材料与工程设备</w:t>
      </w:r>
      <w:bookmarkEnd w:id="653"/>
      <w:bookmarkEnd w:id="654"/>
    </w:p>
    <w:p w14:paraId="6A93D2D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7DBE280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5" w:name="_Toc7972601"/>
      <w:bookmarkStart w:id="656" w:name="_Toc7383100"/>
      <w:r>
        <w:rPr>
          <w:rFonts w:hint="eastAsia" w:ascii="宋体" w:hAnsi="宋体" w:cs="宋体"/>
          <w:color w:val="000000" w:themeColor="text1"/>
          <w:sz w:val="24"/>
          <w:highlight w:val="none"/>
          <w14:textFill>
            <w14:solidFill>
              <w14:schemeClr w14:val="tx1"/>
            </w14:solidFill>
          </w14:textFill>
        </w:rPr>
        <w:t>8.3材料与工程设备的接收与拒收</w:t>
      </w:r>
      <w:bookmarkEnd w:id="655"/>
      <w:bookmarkEnd w:id="656"/>
    </w:p>
    <w:p w14:paraId="759D113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69D6AB4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6BC6B5B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p>
    <w:p w14:paraId="56160A4A">
      <w:pPr>
        <w:pStyle w:val="494"/>
        <w:autoSpaceDE w:val="0"/>
        <w:autoSpaceDN w:val="0"/>
        <w:adjustRightInd w:val="0"/>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48BBAB7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7" w:name="_Toc7383101"/>
      <w:bookmarkStart w:id="658" w:name="_Toc7972602"/>
      <w:r>
        <w:rPr>
          <w:rFonts w:hint="eastAsia" w:ascii="宋体" w:hAnsi="宋体" w:cs="宋体"/>
          <w:color w:val="000000" w:themeColor="text1"/>
          <w:sz w:val="24"/>
          <w:highlight w:val="none"/>
          <w14:textFill>
            <w14:solidFill>
              <w14:schemeClr w14:val="tx1"/>
            </w14:solidFill>
          </w14:textFill>
        </w:rPr>
        <w:t>8.4材料与工程设备的保管与使用</w:t>
      </w:r>
      <w:bookmarkEnd w:id="657"/>
      <w:bookmarkEnd w:id="658"/>
    </w:p>
    <w:p w14:paraId="4F8C85A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8.4.1 发包人供应</w:t>
      </w:r>
      <w:r>
        <w:rPr>
          <w:rFonts w:hint="eastAsia" w:ascii="宋体" w:hAnsi="宋体" w:eastAsia="宋体" w:cs="宋体"/>
          <w:color w:val="000000" w:themeColor="text1"/>
          <w:sz w:val="24"/>
          <w:szCs w:val="24"/>
          <w:highlight w:val="none"/>
          <w14:textFill>
            <w14:solidFill>
              <w14:schemeClr w14:val="tx1"/>
            </w14:solidFill>
          </w14:textFill>
        </w:rPr>
        <w:t>材料与</w:t>
      </w:r>
      <w:r>
        <w:rPr>
          <w:rFonts w:hint="eastAsia" w:ascii="宋体" w:hAnsi="宋体" w:eastAsia="宋体" w:cs="宋体"/>
          <w:color w:val="000000" w:themeColor="text1"/>
          <w:kern w:val="0"/>
          <w:sz w:val="24"/>
          <w:szCs w:val="24"/>
          <w:highlight w:val="none"/>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设备的保管与使用</w:t>
      </w:r>
    </w:p>
    <w:p w14:paraId="1B198B3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710B50D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发包人供应的材料和工程设备使用前，由承包人负责检验，检验费用由发包人承担，不合格的不得使用。</w:t>
      </w:r>
    </w:p>
    <w:p w14:paraId="48E278F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8.4.2 承包人采购</w:t>
      </w:r>
      <w:r>
        <w:rPr>
          <w:rFonts w:hint="eastAsia" w:ascii="宋体" w:hAnsi="宋体" w:eastAsia="宋体" w:cs="宋体"/>
          <w:color w:val="000000" w:themeColor="text1"/>
          <w:sz w:val="24"/>
          <w:szCs w:val="24"/>
          <w:highlight w:val="none"/>
          <w14:textFill>
            <w14:solidFill>
              <w14:schemeClr w14:val="tx1"/>
            </w14:solidFill>
          </w14:textFill>
        </w:rPr>
        <w:t>材料与</w:t>
      </w:r>
      <w:r>
        <w:rPr>
          <w:rFonts w:hint="eastAsia" w:ascii="宋体" w:hAnsi="宋体" w:eastAsia="宋体" w:cs="宋体"/>
          <w:color w:val="000000" w:themeColor="text1"/>
          <w:kern w:val="0"/>
          <w:sz w:val="24"/>
          <w:szCs w:val="24"/>
          <w:highlight w:val="none"/>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设备的保管与使用</w:t>
      </w:r>
    </w:p>
    <w:p w14:paraId="235F696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09A223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106BA96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9" w:name="_Toc7972603"/>
      <w:bookmarkStart w:id="660" w:name="_Toc7383102"/>
      <w:r>
        <w:rPr>
          <w:rFonts w:hint="eastAsia" w:ascii="宋体" w:hAnsi="宋体" w:cs="宋体"/>
          <w:color w:val="000000" w:themeColor="text1"/>
          <w:sz w:val="24"/>
          <w:highlight w:val="none"/>
          <w14:textFill>
            <w14:solidFill>
              <w14:schemeClr w14:val="tx1"/>
            </w14:solidFill>
          </w14:textFill>
        </w:rPr>
        <w:t>8.5禁止使用不合格的材料和工程设备</w:t>
      </w:r>
      <w:bookmarkEnd w:id="659"/>
      <w:bookmarkEnd w:id="660"/>
    </w:p>
    <w:p w14:paraId="4DB1F7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38B0440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162D1B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8.5.3 发包人提供的材料或工程设备不符合合同要求的，承包人有权拒绝，并可要求发包人更换，由此增加的费用和（或）延误的工期由发包人承担，并支付承包人合理的利润。</w:t>
      </w:r>
    </w:p>
    <w:p w14:paraId="3B0DB50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1" w:name="_Toc7383103"/>
      <w:bookmarkStart w:id="662" w:name="_Toc7972604"/>
      <w:r>
        <w:rPr>
          <w:rFonts w:hint="eastAsia" w:ascii="宋体" w:hAnsi="宋体" w:cs="宋体"/>
          <w:color w:val="000000" w:themeColor="text1"/>
          <w:sz w:val="24"/>
          <w:highlight w:val="none"/>
          <w14:textFill>
            <w14:solidFill>
              <w14:schemeClr w14:val="tx1"/>
            </w14:solidFill>
          </w14:textFill>
        </w:rPr>
        <w:t>8.6 样品</w:t>
      </w:r>
      <w:bookmarkEnd w:id="661"/>
      <w:bookmarkEnd w:id="662"/>
    </w:p>
    <w:p w14:paraId="4FA088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8.6.1</w:t>
      </w:r>
      <w:r>
        <w:rPr>
          <w:rFonts w:hint="eastAsia" w:ascii="宋体" w:hAnsi="宋体" w:eastAsia="宋体" w:cs="宋体"/>
          <w:color w:val="000000" w:themeColor="text1"/>
          <w:kern w:val="0"/>
          <w:sz w:val="24"/>
          <w:szCs w:val="24"/>
          <w:highlight w:val="none"/>
          <w14:textFill>
            <w14:solidFill>
              <w14:schemeClr w14:val="tx1"/>
            </w14:solidFill>
          </w14:textFill>
        </w:rPr>
        <w:tab/>
      </w:r>
      <w:r>
        <w:rPr>
          <w:rFonts w:hint="eastAsia" w:ascii="宋体" w:hAnsi="宋体" w:eastAsia="宋体" w:cs="宋体"/>
          <w:color w:val="000000" w:themeColor="text1"/>
          <w:kern w:val="0"/>
          <w:sz w:val="24"/>
          <w:szCs w:val="24"/>
          <w:highlight w:val="none"/>
          <w14:textFill>
            <w14:solidFill>
              <w14:schemeClr w14:val="tx1"/>
            </w14:solidFill>
          </w14:textFill>
        </w:rPr>
        <w:t>样品的报送与封存</w:t>
      </w:r>
    </w:p>
    <w:p w14:paraId="66C9EBC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需要承包人报送样品的材料或工程设备，样品的种类、名称、规格、数量等要求均应在专用合同条款中约定。样品的报送程序如下：</w:t>
      </w:r>
    </w:p>
    <w:p w14:paraId="7C42FDD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216E667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251969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1FFF43B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2F7E44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8.6.2 样品的保管</w:t>
      </w:r>
    </w:p>
    <w:p w14:paraId="61426D1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经批准的样品应由监理人负责封存于现场，承包人应在现场为保存样品提供适当和固定的场所并保持适当和良好的存储环境条件。</w:t>
      </w:r>
    </w:p>
    <w:p w14:paraId="12FAFEE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3" w:name="_Toc7383104"/>
      <w:bookmarkStart w:id="664" w:name="_Toc7972605"/>
      <w:r>
        <w:rPr>
          <w:rFonts w:hint="eastAsia" w:ascii="宋体" w:hAnsi="宋体" w:cs="宋体"/>
          <w:color w:val="000000" w:themeColor="text1"/>
          <w:sz w:val="24"/>
          <w:highlight w:val="none"/>
          <w14:textFill>
            <w14:solidFill>
              <w14:schemeClr w14:val="tx1"/>
            </w14:solidFill>
          </w14:textFill>
        </w:rPr>
        <w:t>8.7材料与工程设备的替代</w:t>
      </w:r>
      <w:bookmarkEnd w:id="663"/>
      <w:bookmarkEnd w:id="664"/>
    </w:p>
    <w:p w14:paraId="20A287A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8.7.1 出现下列情况需要使用替代材料和工程设备的，承包人应按照第8.7.2项约定的程序执行：</w:t>
      </w:r>
    </w:p>
    <w:p w14:paraId="2C9B214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（1）基准日期后生效的法律规定禁止使用的；</w:t>
      </w:r>
    </w:p>
    <w:p w14:paraId="226973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（2）发包人要求使用替代品的；</w:t>
      </w:r>
    </w:p>
    <w:p w14:paraId="7045931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（3）因其他原因必须使用替代品的。</w:t>
      </w:r>
    </w:p>
    <w:p w14:paraId="71EEA5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8.7.2 承包人应在使用替代材料和工程设备28天前书面通知监理人，并附下列文件：</w:t>
      </w:r>
    </w:p>
    <w:p w14:paraId="331CB16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（1）被替代的材料和工程设备的名称、数量、规格、型号、品牌、性能、价格及其他相关资料；</w:t>
      </w:r>
    </w:p>
    <w:p w14:paraId="391314F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（2）替代品的名称、数量、规格、型号、品牌、性能、价格及其他相关资料；</w:t>
      </w:r>
    </w:p>
    <w:p w14:paraId="55B2811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（3）替代品与被替代产品之间的差异以及使用替代品可能对工程产生的影响；</w:t>
      </w:r>
    </w:p>
    <w:p w14:paraId="2E2EE71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（4）替代品与被替代产品的价格差异；</w:t>
      </w:r>
    </w:p>
    <w:p w14:paraId="7F5EF1D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（5）使用替代品的理由和原因说明；</w:t>
      </w:r>
    </w:p>
    <w:p w14:paraId="11824F6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（6）监理人要求的其他文件。</w:t>
      </w:r>
    </w:p>
    <w:p w14:paraId="15CECAC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监理人应在收到通知后14天内向承包人发出经发包人签认的书面指示；监理人逾期发出书面指示的，视为发包人和监理人同意使用替代品。</w:t>
      </w:r>
    </w:p>
    <w:p w14:paraId="1AEA3D9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1854693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5" w:name="_Toc7972606"/>
      <w:bookmarkStart w:id="666" w:name="_Toc7383105"/>
      <w:r>
        <w:rPr>
          <w:rFonts w:hint="eastAsia" w:ascii="宋体" w:hAnsi="宋体" w:cs="宋体"/>
          <w:color w:val="000000" w:themeColor="text1"/>
          <w:sz w:val="24"/>
          <w:highlight w:val="none"/>
          <w14:textFill>
            <w14:solidFill>
              <w14:schemeClr w14:val="tx1"/>
            </w14:solidFill>
          </w14:textFill>
        </w:rPr>
        <w:t>8.8施工设备和临时设施</w:t>
      </w:r>
      <w:bookmarkEnd w:id="665"/>
      <w:bookmarkEnd w:id="666"/>
    </w:p>
    <w:p w14:paraId="024AD30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8.8.1 承包人提供的施工设备和临时设施</w:t>
      </w:r>
    </w:p>
    <w:p w14:paraId="52A9B97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3C7356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除专用合同条款另有约定外，承包人应自行承担修建临时设施的费用，需要临时占地的，应由发包人办理申请手续并承担相应费用。</w:t>
      </w:r>
    </w:p>
    <w:p w14:paraId="2F281B7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8.8.2发包人提供的施工设备和临时设施</w:t>
      </w:r>
    </w:p>
    <w:p w14:paraId="166B2DF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发包人提供的施工设备或临时设施在专用合同条款中约定。</w:t>
      </w:r>
    </w:p>
    <w:p w14:paraId="79CB166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8.8.3要求承包人增加或更换施工设备</w:t>
      </w:r>
    </w:p>
    <w:p w14:paraId="21F2674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06929E7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7" w:name="_Toc7972607"/>
      <w:bookmarkStart w:id="668" w:name="_Toc7383106"/>
      <w:r>
        <w:rPr>
          <w:rFonts w:hint="eastAsia" w:ascii="宋体" w:hAnsi="宋体" w:cs="宋体"/>
          <w:color w:val="000000" w:themeColor="text1"/>
          <w:sz w:val="24"/>
          <w:highlight w:val="none"/>
          <w14:textFill>
            <w14:solidFill>
              <w14:schemeClr w14:val="tx1"/>
            </w14:solidFill>
          </w14:textFill>
        </w:rPr>
        <w:t>8.9材料与设备专用要求</w:t>
      </w:r>
      <w:bookmarkEnd w:id="667"/>
      <w:bookmarkEnd w:id="668"/>
    </w:p>
    <w:p w14:paraId="587161A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715C8EC6">
      <w:pPr>
        <w:pStyle w:val="493"/>
        <w:spacing w:after="0" w:line="360" w:lineRule="auto"/>
        <w:rPr>
          <w:rFonts w:ascii="宋体" w:hAnsi="宋体" w:cs="宋体"/>
          <w:color w:val="000000" w:themeColor="text1"/>
          <w:sz w:val="24"/>
          <w:highlight w:val="none"/>
          <w14:textFill>
            <w14:solidFill>
              <w14:schemeClr w14:val="tx1"/>
            </w14:solidFill>
          </w14:textFill>
        </w:rPr>
      </w:pPr>
      <w:bookmarkStart w:id="669" w:name="_Toc7972608"/>
      <w:bookmarkStart w:id="670" w:name="_Toc7383107"/>
      <w:r>
        <w:rPr>
          <w:rFonts w:hint="eastAsia" w:ascii="宋体" w:hAnsi="宋体" w:cs="宋体"/>
          <w:color w:val="000000" w:themeColor="text1"/>
          <w:sz w:val="24"/>
          <w:highlight w:val="none"/>
          <w14:textFill>
            <w14:solidFill>
              <w14:schemeClr w14:val="tx1"/>
            </w14:solidFill>
          </w14:textFill>
        </w:rPr>
        <w:t>9. 试验与检验</w:t>
      </w:r>
      <w:bookmarkEnd w:id="669"/>
      <w:bookmarkEnd w:id="670"/>
    </w:p>
    <w:p w14:paraId="2F71E03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1" w:name="_Toc7383108"/>
      <w:bookmarkStart w:id="672" w:name="_Toc7972609"/>
      <w:r>
        <w:rPr>
          <w:rFonts w:hint="eastAsia" w:ascii="宋体" w:hAnsi="宋体" w:cs="宋体"/>
          <w:color w:val="000000" w:themeColor="text1"/>
          <w:sz w:val="24"/>
          <w:highlight w:val="none"/>
          <w14:textFill>
            <w14:solidFill>
              <w14:schemeClr w14:val="tx1"/>
            </w14:solidFill>
          </w14:textFill>
        </w:rPr>
        <w:t>9.1试验设备与试验人员</w:t>
      </w:r>
      <w:bookmarkEnd w:id="671"/>
      <w:bookmarkEnd w:id="672"/>
    </w:p>
    <w:p w14:paraId="0F0FD4B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94379F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9.1.2 承包人应按专用合同条款的约定提供试验设备、取样装置、试验场所和试验条件，并向监理人提交相应进场计划表。</w:t>
      </w:r>
    </w:p>
    <w:p w14:paraId="42E0502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446068C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075E5C6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3" w:name="_Toc7383109"/>
      <w:bookmarkStart w:id="674" w:name="_Toc7972610"/>
      <w:r>
        <w:rPr>
          <w:rFonts w:hint="eastAsia" w:ascii="宋体" w:hAnsi="宋体" w:cs="宋体"/>
          <w:color w:val="000000" w:themeColor="text1"/>
          <w:sz w:val="24"/>
          <w:highlight w:val="none"/>
          <w14:textFill>
            <w14:solidFill>
              <w14:schemeClr w14:val="tx1"/>
            </w14:solidFill>
          </w14:textFill>
        </w:rPr>
        <w:t>9.2取样</w:t>
      </w:r>
      <w:bookmarkEnd w:id="673"/>
      <w:bookmarkEnd w:id="674"/>
    </w:p>
    <w:p w14:paraId="659AC7A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试验属于自检性质的，承包人可以单独取样。试验属于监理人抽检性质的，可由监理人取样，也可由承包人的试验人员在监理人的监督下取样。</w:t>
      </w:r>
    </w:p>
    <w:p w14:paraId="7C46FD7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5" w:name="_Toc7972611"/>
      <w:bookmarkStart w:id="676" w:name="_Toc7383110"/>
      <w:r>
        <w:rPr>
          <w:rFonts w:hint="eastAsia" w:ascii="宋体" w:hAnsi="宋体" w:cs="宋体"/>
          <w:color w:val="000000" w:themeColor="text1"/>
          <w:sz w:val="24"/>
          <w:highlight w:val="none"/>
          <w14:textFill>
            <w14:solidFill>
              <w14:schemeClr w14:val="tx1"/>
            </w14:solidFill>
          </w14:textFill>
        </w:rPr>
        <w:t>9.3材料、工程设备和工程的试验和检验</w:t>
      </w:r>
      <w:bookmarkEnd w:id="675"/>
      <w:bookmarkEnd w:id="676"/>
    </w:p>
    <w:p w14:paraId="7BA23DC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AF4A48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126F63C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F46D84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7" w:name="_Toc7383111"/>
      <w:bookmarkStart w:id="678" w:name="_Toc7972612"/>
      <w:r>
        <w:rPr>
          <w:rFonts w:hint="eastAsia" w:ascii="宋体" w:hAnsi="宋体" w:cs="宋体"/>
          <w:color w:val="000000" w:themeColor="text1"/>
          <w:sz w:val="24"/>
          <w:highlight w:val="none"/>
          <w14:textFill>
            <w14:solidFill>
              <w14:schemeClr w14:val="tx1"/>
            </w14:solidFill>
          </w14:textFill>
        </w:rPr>
        <w:t>9.4现场工艺试验</w:t>
      </w:r>
      <w:bookmarkEnd w:id="677"/>
      <w:bookmarkEnd w:id="678"/>
    </w:p>
    <w:p w14:paraId="564D9E2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56DC7383">
      <w:pPr>
        <w:pStyle w:val="493"/>
        <w:spacing w:after="0" w:line="360" w:lineRule="auto"/>
        <w:rPr>
          <w:rFonts w:ascii="宋体" w:hAnsi="宋体" w:cs="宋体"/>
          <w:color w:val="000000" w:themeColor="text1"/>
          <w:sz w:val="24"/>
          <w:highlight w:val="none"/>
          <w14:textFill>
            <w14:solidFill>
              <w14:schemeClr w14:val="tx1"/>
            </w14:solidFill>
          </w14:textFill>
        </w:rPr>
      </w:pPr>
      <w:bookmarkStart w:id="679" w:name="_Toc7972613"/>
      <w:bookmarkStart w:id="680" w:name="_Toc7383112"/>
      <w:r>
        <w:rPr>
          <w:rFonts w:hint="eastAsia" w:ascii="宋体" w:hAnsi="宋体" w:cs="宋体"/>
          <w:color w:val="000000" w:themeColor="text1"/>
          <w:sz w:val="24"/>
          <w:highlight w:val="none"/>
          <w14:textFill>
            <w14:solidFill>
              <w14:schemeClr w14:val="tx1"/>
            </w14:solidFill>
          </w14:textFill>
        </w:rPr>
        <w:t>10. 变更</w:t>
      </w:r>
      <w:bookmarkEnd w:id="679"/>
      <w:bookmarkEnd w:id="680"/>
    </w:p>
    <w:p w14:paraId="68E4B45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1" w:name="_Toc7972614"/>
      <w:bookmarkStart w:id="682" w:name="_Toc7383113"/>
      <w:r>
        <w:rPr>
          <w:rFonts w:hint="eastAsia" w:ascii="宋体" w:hAnsi="宋体" w:cs="宋体"/>
          <w:color w:val="000000" w:themeColor="text1"/>
          <w:sz w:val="24"/>
          <w:highlight w:val="none"/>
          <w14:textFill>
            <w14:solidFill>
              <w14:schemeClr w14:val="tx1"/>
            </w14:solidFill>
          </w14:textFill>
        </w:rPr>
        <w:t>10.1变更的范围</w:t>
      </w:r>
      <w:bookmarkEnd w:id="681"/>
      <w:bookmarkEnd w:id="682"/>
    </w:p>
    <w:p w14:paraId="3D75687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除专用合同条款另有约定外，合同履行过程中发生以下情形的，应按照本条约定进行变更：</w:t>
      </w:r>
    </w:p>
    <w:p w14:paraId="5EF934B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（1）增加或减少合同中任何工作，或追加额外的工作；</w:t>
      </w:r>
    </w:p>
    <w:p w14:paraId="4F8A88B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（2）取消合同中任何工作，但转由他人实施的工作除外；</w:t>
      </w:r>
    </w:p>
    <w:p w14:paraId="1D9053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（3）改变合同中任何工作的质量标准或其他特性；</w:t>
      </w:r>
    </w:p>
    <w:p w14:paraId="15E18BF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（4）改变工程的基线、标高、位置和尺寸；</w:t>
      </w:r>
    </w:p>
    <w:p w14:paraId="385939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（5）改变工程的时间安排或实施顺序。</w:t>
      </w:r>
    </w:p>
    <w:p w14:paraId="7153AB1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3" w:name="_Toc7972615"/>
      <w:bookmarkStart w:id="684" w:name="_Toc7383114"/>
      <w:r>
        <w:rPr>
          <w:rFonts w:hint="eastAsia" w:ascii="宋体" w:hAnsi="宋体" w:cs="宋体"/>
          <w:color w:val="000000" w:themeColor="text1"/>
          <w:sz w:val="24"/>
          <w:highlight w:val="none"/>
          <w14:textFill>
            <w14:solidFill>
              <w14:schemeClr w14:val="tx1"/>
            </w14:solidFill>
          </w14:textFill>
        </w:rPr>
        <w:t>10.2变更权</w:t>
      </w:r>
      <w:bookmarkEnd w:id="683"/>
      <w:bookmarkEnd w:id="684"/>
    </w:p>
    <w:p w14:paraId="5FEF24E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5DD4BD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69EAE07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5" w:name="_Toc7972616"/>
      <w:bookmarkStart w:id="686" w:name="_Toc7383115"/>
      <w:r>
        <w:rPr>
          <w:rFonts w:hint="eastAsia" w:ascii="宋体" w:hAnsi="宋体" w:cs="宋体"/>
          <w:color w:val="000000" w:themeColor="text1"/>
          <w:sz w:val="24"/>
          <w:highlight w:val="none"/>
          <w14:textFill>
            <w14:solidFill>
              <w14:schemeClr w14:val="tx1"/>
            </w14:solidFill>
          </w14:textFill>
        </w:rPr>
        <w:t>10.3变更程序</w:t>
      </w:r>
      <w:bookmarkEnd w:id="685"/>
      <w:bookmarkEnd w:id="686"/>
    </w:p>
    <w:p w14:paraId="3F4AF0E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kern w:val="0"/>
          <w:sz w:val="24"/>
          <w:szCs w:val="24"/>
          <w:highlight w:val="none"/>
          <w14:textFill>
            <w14:solidFill>
              <w14:schemeClr w14:val="tx1"/>
            </w14:solidFill>
          </w14:textFill>
        </w:rPr>
        <w:t>.3.1 发包人提出变更</w:t>
      </w:r>
    </w:p>
    <w:p w14:paraId="410025F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发包人提出变更的，应通过监理人向承包人发出变更指示，变更指示应说明计划变更的工程范围和变更的内容。</w:t>
      </w:r>
    </w:p>
    <w:p w14:paraId="39D5F63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kern w:val="0"/>
          <w:sz w:val="24"/>
          <w:szCs w:val="24"/>
          <w:highlight w:val="none"/>
          <w14:textFill>
            <w14:solidFill>
              <w14:schemeClr w14:val="tx1"/>
            </w14:solidFill>
          </w14:textFill>
        </w:rPr>
        <w:t>.3.2 监理人提出变更建议</w:t>
      </w:r>
    </w:p>
    <w:p w14:paraId="1780C08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4F6F0843">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10.3.3 变更执行</w:t>
      </w:r>
    </w:p>
    <w:p w14:paraId="7B671B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5253838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7" w:name="_Toc7972617"/>
      <w:bookmarkStart w:id="688" w:name="_Toc7383116"/>
      <w:r>
        <w:rPr>
          <w:rFonts w:hint="eastAsia" w:ascii="宋体" w:hAnsi="宋体" w:cs="宋体"/>
          <w:color w:val="000000" w:themeColor="text1"/>
          <w:sz w:val="24"/>
          <w:highlight w:val="none"/>
          <w14:textFill>
            <w14:solidFill>
              <w14:schemeClr w14:val="tx1"/>
            </w14:solidFill>
          </w14:textFill>
        </w:rPr>
        <w:t>10.4变更估价</w:t>
      </w:r>
      <w:bookmarkEnd w:id="687"/>
      <w:bookmarkEnd w:id="688"/>
    </w:p>
    <w:p w14:paraId="4B7DA1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10.4.1 变更估价原则</w:t>
      </w:r>
    </w:p>
    <w:p w14:paraId="52FBE7B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除专用合同条款另有约定外，变更估价按照本款约定处理：</w:t>
      </w:r>
    </w:p>
    <w:p w14:paraId="33BA8DF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（1）已标价工程量清单或预算书有相同项目的，按照相同项目单价认定；</w:t>
      </w:r>
    </w:p>
    <w:p w14:paraId="312AE15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（2）已标价工程量清单或预算书中无相同项目，但有类似项目的，参照类似项目的单价认定；</w:t>
      </w:r>
    </w:p>
    <w:p w14:paraId="28947C6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4D39A05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10.4.2 变更估价程序</w:t>
      </w:r>
    </w:p>
    <w:p w14:paraId="2A1A7C8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41551C5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因变更引起的价格调整应计入最近一期的进度款中支付。</w:t>
      </w:r>
    </w:p>
    <w:p w14:paraId="21CF6CA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9" w:name="_Toc7972618"/>
      <w:bookmarkStart w:id="690" w:name="_Toc7383117"/>
      <w:r>
        <w:rPr>
          <w:rFonts w:hint="eastAsia" w:ascii="宋体" w:hAnsi="宋体" w:cs="宋体"/>
          <w:color w:val="000000" w:themeColor="text1"/>
          <w:sz w:val="24"/>
          <w:highlight w:val="none"/>
          <w14:textFill>
            <w14:solidFill>
              <w14:schemeClr w14:val="tx1"/>
            </w14:solidFill>
          </w14:textFill>
        </w:rPr>
        <w:t>10.5承包人的合理化建议</w:t>
      </w:r>
      <w:bookmarkEnd w:id="689"/>
      <w:bookmarkEnd w:id="690"/>
    </w:p>
    <w:p w14:paraId="0F16D0C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承包人提出合理化建议的，应向监理人提交合理化建议说明，说明建议的内容和理由，以及实施该建议对合同价格和工期的影响。</w:t>
      </w:r>
    </w:p>
    <w:p w14:paraId="27D738D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567E43D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合理化建议降低了合同价格或者提高了工程经济效益的，发包人可对承包人给予奖励，奖励的方法和金额在专用合同条款中约定。</w:t>
      </w:r>
    </w:p>
    <w:p w14:paraId="0C94DD2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1" w:name="_Toc7972619"/>
      <w:bookmarkStart w:id="692" w:name="_Toc7383118"/>
      <w:r>
        <w:rPr>
          <w:rFonts w:hint="eastAsia" w:ascii="宋体" w:hAnsi="宋体" w:cs="宋体"/>
          <w:color w:val="000000" w:themeColor="text1"/>
          <w:sz w:val="24"/>
          <w:highlight w:val="none"/>
          <w14:textFill>
            <w14:solidFill>
              <w14:schemeClr w14:val="tx1"/>
            </w14:solidFill>
          </w14:textFill>
        </w:rPr>
        <w:t>10.6变更引起的工期调整</w:t>
      </w:r>
      <w:bookmarkEnd w:id="691"/>
      <w:bookmarkEnd w:id="692"/>
    </w:p>
    <w:p w14:paraId="686BF34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789FBD1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3" w:name="_Toc7972620"/>
      <w:bookmarkStart w:id="694" w:name="_Toc7383119"/>
      <w:r>
        <w:rPr>
          <w:rFonts w:hint="eastAsia" w:ascii="宋体" w:hAnsi="宋体" w:cs="宋体"/>
          <w:color w:val="000000" w:themeColor="text1"/>
          <w:sz w:val="24"/>
          <w:highlight w:val="none"/>
          <w14:textFill>
            <w14:solidFill>
              <w14:schemeClr w14:val="tx1"/>
            </w14:solidFill>
          </w14:textFill>
        </w:rPr>
        <w:t>10.7暂估价</w:t>
      </w:r>
      <w:bookmarkEnd w:id="693"/>
      <w:bookmarkEnd w:id="694"/>
    </w:p>
    <w:p w14:paraId="416EC6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暂估价专业分包工程、服务、材料和工程设备的明细由合同当事人在专用合同条款中约定。</w:t>
      </w:r>
    </w:p>
    <w:p w14:paraId="35B5407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10.7.1</w:t>
      </w:r>
      <w:r>
        <w:rPr>
          <w:rFonts w:hint="eastAsia" w:ascii="宋体" w:hAnsi="宋体" w:eastAsia="宋体" w:cs="宋体"/>
          <w:color w:val="000000" w:themeColor="text1"/>
          <w:kern w:val="0"/>
          <w:sz w:val="24"/>
          <w:szCs w:val="24"/>
          <w:highlight w:val="none"/>
          <w14:textFill>
            <w14:solidFill>
              <w14:schemeClr w14:val="tx1"/>
            </w14:solidFill>
          </w14:textFill>
        </w:rPr>
        <w:t>依法必须招标的暂估价项目</w:t>
      </w:r>
    </w:p>
    <w:p w14:paraId="2A106F9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对于依法必须招标的暂估价项目，采取以下第1种方式确定。合同当事人也可以在专用合同条款中选择其他招标方式。</w:t>
      </w:r>
    </w:p>
    <w:p w14:paraId="358D3B5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第1种方式：对于依法必须招标的暂估价项目，由承包人招标，对该暂估价项目的确认和批准按照以下约定执行：</w:t>
      </w:r>
    </w:p>
    <w:p w14:paraId="7926B9D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4A01D19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3333FDEF">
      <w:pPr>
        <w:pStyle w:val="494"/>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284484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27DDA3F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10.7.2</w:t>
      </w:r>
      <w:r>
        <w:rPr>
          <w:rFonts w:hint="eastAsia" w:ascii="宋体" w:hAnsi="宋体" w:eastAsia="宋体" w:cs="宋体"/>
          <w:color w:val="000000" w:themeColor="text1"/>
          <w:kern w:val="0"/>
          <w:sz w:val="24"/>
          <w:szCs w:val="24"/>
          <w:highlight w:val="none"/>
          <w14:textFill>
            <w14:solidFill>
              <w14:schemeClr w14:val="tx1"/>
            </w14:solidFill>
          </w14:textFill>
        </w:rPr>
        <w:t>不属于依法必须招标的暂估价项目</w:t>
      </w:r>
    </w:p>
    <w:p w14:paraId="2DA022E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除专用合同条款另有约定外，对于不属于依法必须招标的暂估价项目，采取以下第1种方式确定：</w:t>
      </w:r>
    </w:p>
    <w:p w14:paraId="7F304A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第1种方式：对于不属于依法必须招标的暂估价项目，按本项约定确认和批准：</w:t>
      </w:r>
    </w:p>
    <w:p w14:paraId="6207B17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3CC67A2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（2）发包人认为承包人确定的供应商、分包人无法满足工程质量或合同要求的，发包人可以要求承包人重新确定暂估价项目的供应商、分包人;</w:t>
      </w:r>
    </w:p>
    <w:p w14:paraId="15D450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（3）承包人应当在签订暂估价合同后7天内，将暂估价合同副本报送发包人留存。</w:t>
      </w:r>
    </w:p>
    <w:p w14:paraId="4559B0D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第2种方式：承包人按照第10.7.1项〔依法必须招标的暂估价项目〕约定的第1种方式确定暂估价项目。</w:t>
      </w:r>
    </w:p>
    <w:p w14:paraId="5E2BD2D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w:t>
      </w:r>
      <w:r>
        <w:rPr>
          <w:rFonts w:hint="eastAsia" w:ascii="宋体" w:hAnsi="宋体" w:eastAsia="宋体" w:cs="宋体"/>
          <w:color w:val="000000" w:themeColor="text1"/>
          <w:kern w:val="0"/>
          <w:sz w:val="24"/>
          <w:szCs w:val="24"/>
          <w:highlight w:val="none"/>
          <w14:textFill>
            <w14:solidFill>
              <w14:schemeClr w14:val="tx1"/>
            </w14:solidFill>
          </w14:textFill>
        </w:rPr>
        <w:t>承包人直接实施的暂估价项目</w:t>
      </w:r>
    </w:p>
    <w:p w14:paraId="79044A9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承包人具备实施暂估价项目的资格和条件的，经发包人和承包人协商一致后，可由承包人自行实施暂估价项目，合同当事人可以在专用合同条款约定具体事项。</w:t>
      </w:r>
    </w:p>
    <w:p w14:paraId="71BFD7F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66D0441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5" w:name="_Toc7972621"/>
      <w:bookmarkStart w:id="696" w:name="_Toc7383120"/>
      <w:r>
        <w:rPr>
          <w:rFonts w:hint="eastAsia" w:ascii="宋体" w:hAnsi="宋体" w:cs="宋体"/>
          <w:color w:val="000000" w:themeColor="text1"/>
          <w:sz w:val="24"/>
          <w:highlight w:val="none"/>
          <w14:textFill>
            <w14:solidFill>
              <w14:schemeClr w14:val="tx1"/>
            </w14:solidFill>
          </w14:textFill>
        </w:rPr>
        <w:t>10.8暂列金额</w:t>
      </w:r>
      <w:bookmarkEnd w:id="695"/>
      <w:bookmarkEnd w:id="696"/>
    </w:p>
    <w:p w14:paraId="5182497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暂列金额应按照发包人的要求使用，发包人的要求应通过监理人发出。合同当事人可以在专用合同条款中协商确定有关事项。</w:t>
      </w:r>
    </w:p>
    <w:p w14:paraId="2C521FD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7" w:name="_Toc7972622"/>
      <w:bookmarkStart w:id="698" w:name="_Toc7383121"/>
      <w:r>
        <w:rPr>
          <w:rFonts w:hint="eastAsia" w:ascii="宋体" w:hAnsi="宋体" w:cs="宋体"/>
          <w:color w:val="000000" w:themeColor="text1"/>
          <w:sz w:val="24"/>
          <w:highlight w:val="none"/>
          <w14:textFill>
            <w14:solidFill>
              <w14:schemeClr w14:val="tx1"/>
            </w14:solidFill>
          </w14:textFill>
        </w:rPr>
        <w:t>10.9计日工</w:t>
      </w:r>
      <w:bookmarkEnd w:id="697"/>
      <w:bookmarkEnd w:id="698"/>
    </w:p>
    <w:p w14:paraId="607E4E3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5040489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采用计日工计价的任何一项工作，承包人应在该项工作实施过程中，每天提交以下报表和有关凭证报送监理人审查：</w:t>
      </w:r>
    </w:p>
    <w:p w14:paraId="1213B00E">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（1）工作名称、内容和数量；</w:t>
      </w:r>
    </w:p>
    <w:p w14:paraId="114976C4">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（2）投入该工作的所有人员的姓名、专业、工种、级别和耗用工时；</w:t>
      </w:r>
    </w:p>
    <w:p w14:paraId="7497FDCA">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（3）投入该工作的材料类别和数量；</w:t>
      </w:r>
    </w:p>
    <w:p w14:paraId="078C2740">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（4）投入该工作的施工设备型号、台数和耗用台时；</w:t>
      </w:r>
    </w:p>
    <w:p w14:paraId="24248D3E">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（5）其他有关资料和凭证。</w:t>
      </w:r>
    </w:p>
    <w:p w14:paraId="34AF16C8">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计日工由承包人汇总后，列入最近一期进度付款申请单，由监理人审查并经发包人批准后列入进度付款。</w:t>
      </w:r>
    </w:p>
    <w:p w14:paraId="12E25B97">
      <w:pPr>
        <w:pStyle w:val="493"/>
        <w:spacing w:after="0" w:line="360" w:lineRule="auto"/>
        <w:rPr>
          <w:rFonts w:ascii="宋体" w:hAnsi="宋体" w:cs="宋体"/>
          <w:color w:val="000000" w:themeColor="text1"/>
          <w:sz w:val="24"/>
          <w:highlight w:val="none"/>
          <w14:textFill>
            <w14:solidFill>
              <w14:schemeClr w14:val="tx1"/>
            </w14:solidFill>
          </w14:textFill>
        </w:rPr>
      </w:pPr>
      <w:bookmarkStart w:id="699" w:name="_Toc7383122"/>
      <w:bookmarkStart w:id="700" w:name="_Toc7972623"/>
      <w:r>
        <w:rPr>
          <w:rFonts w:hint="eastAsia" w:ascii="宋体" w:hAnsi="宋体" w:cs="宋体"/>
          <w:color w:val="000000" w:themeColor="text1"/>
          <w:sz w:val="24"/>
          <w:highlight w:val="none"/>
          <w14:textFill>
            <w14:solidFill>
              <w14:schemeClr w14:val="tx1"/>
            </w14:solidFill>
          </w14:textFill>
        </w:rPr>
        <w:t>11. 价格调整</w:t>
      </w:r>
      <w:bookmarkEnd w:id="699"/>
      <w:bookmarkEnd w:id="700"/>
    </w:p>
    <w:p w14:paraId="48EA449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1" w:name="_Toc7972624"/>
      <w:bookmarkStart w:id="702" w:name="_Toc7383123"/>
      <w:r>
        <w:rPr>
          <w:rFonts w:hint="eastAsia" w:ascii="宋体" w:hAnsi="宋体" w:cs="宋体"/>
          <w:color w:val="000000" w:themeColor="text1"/>
          <w:sz w:val="24"/>
          <w:highlight w:val="none"/>
          <w14:textFill>
            <w14:solidFill>
              <w14:schemeClr w14:val="tx1"/>
            </w14:solidFill>
          </w14:textFill>
        </w:rPr>
        <w:t>11.1市场价格波动引起的调整</w:t>
      </w:r>
      <w:bookmarkEnd w:id="701"/>
      <w:bookmarkEnd w:id="702"/>
    </w:p>
    <w:p w14:paraId="2271077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083D05D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第1种方式：采用价格指数进行价格调整。</w:t>
      </w:r>
    </w:p>
    <w:p w14:paraId="565AC46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（1）价格调整公式</w:t>
      </w:r>
    </w:p>
    <w:p w14:paraId="3A3E9C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因人工、材料和设备等价格波动影响合同价格时，根据专用合同条款中约定的数据，按以下公式计算差额并调整合同价格：</w:t>
      </w:r>
    </w:p>
    <w:p w14:paraId="3B09B0D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4580890" cy="548640"/>
            <wp:effectExtent l="0" t="0" r="10160" b="381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6" r:link="rId17" cstate="print"/>
                    <a:stretch>
                      <a:fillRect/>
                    </a:stretch>
                  </pic:blipFill>
                  <pic:spPr>
                    <a:xfrm>
                      <a:off x="0" y="0"/>
                      <a:ext cx="4580890" cy="548640"/>
                    </a:xfrm>
                    <a:prstGeom prst="rect">
                      <a:avLst/>
                    </a:prstGeom>
                    <a:noFill/>
                    <a:ln w="9525">
                      <a:noFill/>
                    </a:ln>
                  </pic:spPr>
                </pic:pic>
              </a:graphicData>
            </a:graphic>
          </wp:inline>
        </w:drawing>
      </w:r>
    </w:p>
    <w:p w14:paraId="361C329A">
      <w:pPr>
        <w:pStyle w:val="494"/>
        <w:spacing w:after="0" w:line="360" w:lineRule="auto"/>
        <w:ind w:firstLine="64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公式中：ΔP——需调整的价格差额；</w:t>
      </w:r>
    </w:p>
    <w:p w14:paraId="525172BD">
      <w:pPr>
        <w:pStyle w:val="494"/>
        <w:spacing w:after="0" w:line="360" w:lineRule="auto"/>
        <w:ind w:firstLine="1440" w:firstLineChars="6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238760" cy="238760"/>
            <wp:effectExtent l="0" t="0" r="889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8" r:link="rId19" cstate="print"/>
                    <a:stretch>
                      <a:fillRect/>
                    </a:stretch>
                  </pic:blipFill>
                  <pic:spPr>
                    <a:xfrm>
                      <a:off x="0" y="0"/>
                      <a:ext cx="238760" cy="23876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29537EE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A——定值权重（即不调部分的权重）；</w:t>
      </w:r>
    </w:p>
    <w:p w14:paraId="0BF2DA0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1280160" cy="261620"/>
            <wp:effectExtent l="0" t="0" r="152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0" r:link="rId21" cstate="print"/>
                    <a:stretch>
                      <a:fillRect/>
                    </a:stretch>
                  </pic:blipFill>
                  <pic:spPr>
                    <a:xfrm>
                      <a:off x="0" y="0"/>
                      <a:ext cx="1280160" cy="26162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——各可调因子的变值权重（即可调部分的权重），为各可调因子在签约合同价中所占的比例；</w:t>
      </w:r>
    </w:p>
    <w:p w14:paraId="52006E0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1295400" cy="261620"/>
            <wp:effectExtent l="0" t="0" r="0" b="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22" r:link="rId23" cstate="print"/>
                    <a:stretch>
                      <a:fillRect/>
                    </a:stretch>
                  </pic:blipFill>
                  <pic:spPr>
                    <a:xfrm>
                      <a:off x="0" y="0"/>
                      <a:ext cx="1295400" cy="26162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——各可调因子的现行价格指数，指约定的付款证书相关周期最后一天的前42天的各可调因子的价格指数；</w:t>
      </w:r>
    </w:p>
    <w:p w14:paraId="632BFAD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1367155" cy="261620"/>
            <wp:effectExtent l="0" t="0" r="4445" b="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24" r:link="rId25" cstate="print"/>
                    <a:stretch>
                      <a:fillRect/>
                    </a:stretch>
                  </pic:blipFill>
                  <pic:spPr>
                    <a:xfrm>
                      <a:off x="0" y="0"/>
                      <a:ext cx="1367155" cy="26162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——各可调因子的基本价格指数，指基准日期的各可调因子的价格指数。</w:t>
      </w:r>
    </w:p>
    <w:p w14:paraId="592DFCC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75A7FFD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（2）暂时确定调整差额</w:t>
      </w:r>
    </w:p>
    <w:p w14:paraId="6B40DFD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在计算调整差额时无现行价格指数的，合同当事人同意暂用前次价格指数计算。实际价格指数有调整的，合同当事人进行相应调整。</w:t>
      </w:r>
    </w:p>
    <w:p w14:paraId="7656161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（3）权重的调整</w:t>
      </w:r>
    </w:p>
    <w:p w14:paraId="53DFF6B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因变更导致合同约定的权重不合理时，按照第4.4款〔商定或确定〕执行。</w:t>
      </w:r>
    </w:p>
    <w:p w14:paraId="29EA0DE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（4）因承包人原因工期延误后的价格调整</w:t>
      </w:r>
    </w:p>
    <w:p w14:paraId="647EA46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2A8AB44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第2种方式：采用造价信息进行价格调整。</w:t>
      </w:r>
    </w:p>
    <w:p w14:paraId="0372727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20EEDFC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5EC1257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（2）材料、工程设备价格变化的价款调整按照发包人提供的基准价格，按以下风险范围规定执行:</w:t>
      </w:r>
    </w:p>
    <w:p w14:paraId="3FD6AFD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1185034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7726A87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③承包人在已标价工程量清单或预算书中载明材料单价等于基准价格的：除专用合同条款另有约定外，合同履行期间材料单价涨跌幅以基准价格为基础超过±5%时，其超过部分据实调整。</w:t>
      </w:r>
    </w:p>
    <w:p w14:paraId="1428AF3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21737B4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前述基准价格是指由发包人在招标文件或专用合同条款中给定的材料、工程设备的价格，该价格原则上应当按照省级或行业建设主管部门或其授权的工程造价管理机构发布的信息价编制。</w:t>
      </w:r>
    </w:p>
    <w:p w14:paraId="11675D7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0118F78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第3种方式：专用合同条款约定的其他方式。</w:t>
      </w:r>
    </w:p>
    <w:p w14:paraId="476D4DD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3" w:name="_Toc7383124"/>
      <w:bookmarkStart w:id="704" w:name="_Toc7972625"/>
      <w:r>
        <w:rPr>
          <w:rFonts w:hint="eastAsia" w:ascii="宋体" w:hAnsi="宋体" w:cs="宋体"/>
          <w:color w:val="000000" w:themeColor="text1"/>
          <w:sz w:val="24"/>
          <w:highlight w:val="none"/>
          <w14:textFill>
            <w14:solidFill>
              <w14:schemeClr w14:val="tx1"/>
            </w14:solidFill>
          </w14:textFill>
        </w:rPr>
        <w:t>11.2法律变化引起的调整</w:t>
      </w:r>
      <w:bookmarkEnd w:id="703"/>
      <w:bookmarkEnd w:id="704"/>
    </w:p>
    <w:p w14:paraId="65A04A8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45ED584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因法律变化引起的合同价格和工期调整，合同当事人无法达成一致的，由总监理工程师按第4.4款〔商定或确定〕的约定处理。</w:t>
      </w:r>
    </w:p>
    <w:p w14:paraId="623E81C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因承包人原因造成工期延误，在工期延误期间出现法律变化的，由此增加的费用和（或）延误的工期由承包人承担。</w:t>
      </w:r>
    </w:p>
    <w:p w14:paraId="5243F760">
      <w:pPr>
        <w:pStyle w:val="493"/>
        <w:spacing w:after="0" w:line="360" w:lineRule="auto"/>
        <w:rPr>
          <w:rFonts w:ascii="宋体" w:hAnsi="宋体" w:cs="宋体"/>
          <w:color w:val="000000" w:themeColor="text1"/>
          <w:sz w:val="24"/>
          <w:highlight w:val="none"/>
          <w14:textFill>
            <w14:solidFill>
              <w14:schemeClr w14:val="tx1"/>
            </w14:solidFill>
          </w14:textFill>
        </w:rPr>
      </w:pPr>
      <w:bookmarkStart w:id="705" w:name="_Toc7383125"/>
      <w:bookmarkStart w:id="706" w:name="_Toc7972626"/>
      <w:r>
        <w:rPr>
          <w:rFonts w:hint="eastAsia" w:ascii="宋体" w:hAnsi="宋体" w:cs="宋体"/>
          <w:color w:val="000000" w:themeColor="text1"/>
          <w:sz w:val="24"/>
          <w:highlight w:val="none"/>
          <w14:textFill>
            <w14:solidFill>
              <w14:schemeClr w14:val="tx1"/>
            </w14:solidFill>
          </w14:textFill>
        </w:rPr>
        <w:t>12. 合同价格、计量与支付</w:t>
      </w:r>
      <w:bookmarkEnd w:id="705"/>
      <w:bookmarkEnd w:id="706"/>
    </w:p>
    <w:p w14:paraId="306507D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7" w:name="_Toc7972627"/>
      <w:bookmarkStart w:id="708" w:name="_Toc7383126"/>
      <w:r>
        <w:rPr>
          <w:rFonts w:hint="eastAsia" w:ascii="宋体" w:hAnsi="宋体" w:cs="宋体"/>
          <w:color w:val="000000" w:themeColor="text1"/>
          <w:sz w:val="24"/>
          <w:highlight w:val="none"/>
          <w14:textFill>
            <w14:solidFill>
              <w14:schemeClr w14:val="tx1"/>
            </w14:solidFill>
          </w14:textFill>
        </w:rPr>
        <w:t>12.1 合同价格形式</w:t>
      </w:r>
      <w:bookmarkEnd w:id="707"/>
      <w:bookmarkEnd w:id="708"/>
    </w:p>
    <w:p w14:paraId="173F593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发包人和承包人应在合同协议书中选择下列一种合同价格形式：</w:t>
      </w:r>
    </w:p>
    <w:p w14:paraId="2B5BCE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1、单价合同</w:t>
      </w:r>
    </w:p>
    <w:p w14:paraId="578AC43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单价合同是指合同当事人约定以工程量清单及其综合单价进行合同价格计算、调整和确认的建设工程施工合同，</w:t>
      </w:r>
      <w:r>
        <w:rPr>
          <w:rFonts w:hint="eastAsia" w:ascii="宋体" w:hAnsi="宋体" w:eastAsia="宋体" w:cs="宋体"/>
          <w:color w:val="000000" w:themeColor="text1"/>
          <w:sz w:val="24"/>
          <w:szCs w:val="24"/>
          <w:highlight w:val="none"/>
          <w14:textFill>
            <w14:solidFill>
              <w14:schemeClr w14:val="tx1"/>
            </w14:solidFill>
          </w14:textFill>
        </w:rPr>
        <w:t>在约定的范围内合同单价不作调整</w:t>
      </w:r>
      <w:r>
        <w:rPr>
          <w:rFonts w:hint="eastAsia" w:ascii="宋体" w:hAnsi="宋体" w:eastAsia="宋体" w:cs="宋体"/>
          <w:color w:val="000000" w:themeColor="text1"/>
          <w:kern w:val="0"/>
          <w:sz w:val="24"/>
          <w:szCs w:val="24"/>
          <w:highlight w:val="none"/>
          <w14:textFill>
            <w14:solidFill>
              <w14:schemeClr w14:val="tx1"/>
            </w14:solidFill>
          </w14:textFill>
        </w:rPr>
        <w:t>。合同当事人应在专用合同条款中约定综合单价包含的风险范围和风险费用的计算方法</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并约定风险范围以外的合同价格的调整方法，其中因市场价格波动引起的调整按第11.1款〔市场价格波动引起的调整〕约定执行。</w:t>
      </w:r>
    </w:p>
    <w:p w14:paraId="5387DC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2、总价合同</w:t>
      </w:r>
    </w:p>
    <w:p w14:paraId="6952B96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总价合同是指合同当事人约定以施工图、已标价工程量清单或预算书及有关条件进行合同价格计算、调整和确认的建设工程施工合同，</w:t>
      </w:r>
      <w:r>
        <w:rPr>
          <w:rFonts w:hint="eastAsia" w:ascii="宋体" w:hAnsi="宋体" w:eastAsia="宋体" w:cs="宋体"/>
          <w:color w:val="000000" w:themeColor="text1"/>
          <w:sz w:val="24"/>
          <w:szCs w:val="24"/>
          <w:highlight w:val="none"/>
          <w14:textFill>
            <w14:solidFill>
              <w14:schemeClr w14:val="tx1"/>
            </w14:solidFill>
          </w14:textFill>
        </w:rPr>
        <w:t>在约定的范围内合同总价不作调整</w:t>
      </w:r>
      <w:r>
        <w:rPr>
          <w:rFonts w:hint="eastAsia" w:ascii="宋体" w:hAnsi="宋体" w:eastAsia="宋体" w:cs="宋体"/>
          <w:color w:val="000000" w:themeColor="text1"/>
          <w:kern w:val="0"/>
          <w:sz w:val="24"/>
          <w:szCs w:val="24"/>
          <w:highlight w:val="none"/>
          <w14:textFill>
            <w14:solidFill>
              <w14:schemeClr w14:val="tx1"/>
            </w14:solidFill>
          </w14:textFill>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4DCF264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3、其它价格形式</w:t>
      </w:r>
    </w:p>
    <w:p w14:paraId="21C7931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合同当事人可在专用合同条款中约定其他合同价格形式。</w:t>
      </w:r>
    </w:p>
    <w:p w14:paraId="141A744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9" w:name="_Toc7972628"/>
      <w:bookmarkStart w:id="710" w:name="_Toc7383127"/>
      <w:r>
        <w:rPr>
          <w:rFonts w:hint="eastAsia" w:ascii="宋体" w:hAnsi="宋体" w:cs="宋体"/>
          <w:color w:val="000000" w:themeColor="text1"/>
          <w:sz w:val="24"/>
          <w:highlight w:val="none"/>
          <w14:textFill>
            <w14:solidFill>
              <w14:schemeClr w14:val="tx1"/>
            </w14:solidFill>
          </w14:textFill>
        </w:rPr>
        <w:t>12.2预付款</w:t>
      </w:r>
      <w:bookmarkEnd w:id="709"/>
      <w:bookmarkEnd w:id="710"/>
    </w:p>
    <w:p w14:paraId="7BA9A2F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w:t>
      </w:r>
      <w:r>
        <w:rPr>
          <w:rFonts w:hint="eastAsia" w:ascii="宋体" w:hAnsi="宋体" w:eastAsia="宋体" w:cs="宋体"/>
          <w:color w:val="000000" w:themeColor="text1"/>
          <w:kern w:val="0"/>
          <w:sz w:val="24"/>
          <w:szCs w:val="24"/>
          <w:highlight w:val="none"/>
          <w14:textFill>
            <w14:solidFill>
              <w14:schemeClr w14:val="tx1"/>
            </w14:solidFill>
          </w14:textFill>
        </w:rPr>
        <w:t>1预付款的支付</w:t>
      </w:r>
    </w:p>
    <w:p w14:paraId="06DC274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11A063D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除专用合同条款另有约定外，预付款在进度付款中同比例扣回。在颁发工程接收证书前，提前解除合同的，尚未扣完的预付款应与合同价款一并结算。</w:t>
      </w:r>
    </w:p>
    <w:p w14:paraId="4A63F08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3D6C0E8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12.2.2 预付款担保</w:t>
      </w:r>
    </w:p>
    <w:p w14:paraId="74B9D73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6578888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56ABBAA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1" w:name="_Toc7383128"/>
      <w:bookmarkStart w:id="712" w:name="_Toc7972629"/>
      <w:r>
        <w:rPr>
          <w:rFonts w:hint="eastAsia" w:ascii="宋体" w:hAnsi="宋体" w:cs="宋体"/>
          <w:color w:val="000000" w:themeColor="text1"/>
          <w:sz w:val="24"/>
          <w:highlight w:val="none"/>
          <w14:textFill>
            <w14:solidFill>
              <w14:schemeClr w14:val="tx1"/>
            </w14:solidFill>
          </w14:textFill>
        </w:rPr>
        <w:t>12.3计量</w:t>
      </w:r>
      <w:bookmarkEnd w:id="711"/>
      <w:bookmarkEnd w:id="712"/>
    </w:p>
    <w:p w14:paraId="5A3BF86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12.3.1 计量原则</w:t>
      </w:r>
    </w:p>
    <w:p w14:paraId="4ACD911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112A6AC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12.3.2 计量周期</w:t>
      </w:r>
    </w:p>
    <w:p w14:paraId="457B8DB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除专用合同条款另有约定外，工程量的计量按月进行。</w:t>
      </w:r>
    </w:p>
    <w:p w14:paraId="5476B08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12.3.3 单价合同的计量</w:t>
      </w:r>
    </w:p>
    <w:p w14:paraId="3CF8850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除专用合同条款另有约定外，单价合同的计量按照本项约定执行：</w:t>
      </w:r>
    </w:p>
    <w:p w14:paraId="3A01579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640C6FE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01D3378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559390A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12.3.4 总价合同的计量</w:t>
      </w:r>
    </w:p>
    <w:p w14:paraId="17E457C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除专用合同条款另有约定外，按月计量支付的总价合同，按照本项约定执行：</w:t>
      </w:r>
    </w:p>
    <w:p w14:paraId="7E8EBA1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3A85219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2331557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（3）监理人未在收到承包人提交的工程量报表后的7天内完成复核的，承包人提交的工程量报告中的工程量视为承包人实际完成的工程量。</w:t>
      </w:r>
    </w:p>
    <w:p w14:paraId="4A5D206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12.3.5 总价合同采用支付分解表计量支付的，可以按照第12.3.4项〔总价合同的计量〕约定进行计量，但合同价款按照支付分解表进行支付。</w:t>
      </w:r>
    </w:p>
    <w:p w14:paraId="58F0964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12.3.6 其他价格形式合同的计量</w:t>
      </w:r>
    </w:p>
    <w:p w14:paraId="34AD5AC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合同当事人可在专用合同条款中约定其他价格形式合同的计量方式和程序。</w:t>
      </w:r>
    </w:p>
    <w:p w14:paraId="27D9A88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3" w:name="_Toc7383129"/>
      <w:bookmarkStart w:id="714" w:name="_Toc7972630"/>
      <w:r>
        <w:rPr>
          <w:rFonts w:hint="eastAsia" w:ascii="宋体" w:hAnsi="宋体" w:cs="宋体"/>
          <w:color w:val="000000" w:themeColor="text1"/>
          <w:sz w:val="24"/>
          <w:highlight w:val="none"/>
          <w14:textFill>
            <w14:solidFill>
              <w14:schemeClr w14:val="tx1"/>
            </w14:solidFill>
          </w14:textFill>
        </w:rPr>
        <w:t>12.4工程进度款支付</w:t>
      </w:r>
      <w:bookmarkEnd w:id="713"/>
      <w:bookmarkEnd w:id="714"/>
    </w:p>
    <w:p w14:paraId="3B254AE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w:t>
      </w:r>
      <w:r>
        <w:rPr>
          <w:rFonts w:hint="eastAsia" w:ascii="宋体" w:hAnsi="宋体" w:eastAsia="宋体" w:cs="宋体"/>
          <w:color w:val="000000" w:themeColor="text1"/>
          <w:kern w:val="0"/>
          <w:sz w:val="24"/>
          <w:szCs w:val="24"/>
          <w:highlight w:val="none"/>
          <w14:textFill>
            <w14:solidFill>
              <w14:schemeClr w14:val="tx1"/>
            </w14:solidFill>
          </w14:textFill>
        </w:rPr>
        <w:t>.1 付款周期</w:t>
      </w:r>
    </w:p>
    <w:p w14:paraId="7E68D72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除专用合同条款另有约定外，付款周期应按照第12.3.2项〔计量周期〕的约定与计量周期保持一致。</w:t>
      </w:r>
    </w:p>
    <w:p w14:paraId="4C7E5DE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w:t>
      </w:r>
      <w:r>
        <w:rPr>
          <w:rFonts w:hint="eastAsia" w:ascii="宋体" w:hAnsi="宋体" w:eastAsia="宋体" w:cs="宋体"/>
          <w:color w:val="000000" w:themeColor="text1"/>
          <w:kern w:val="0"/>
          <w:sz w:val="24"/>
          <w:szCs w:val="24"/>
          <w:highlight w:val="none"/>
          <w14:textFill>
            <w14:solidFill>
              <w14:schemeClr w14:val="tx1"/>
            </w14:solidFill>
          </w14:textFill>
        </w:rPr>
        <w:t>.2 进度付款申请单的编制</w:t>
      </w:r>
    </w:p>
    <w:p w14:paraId="10A0B4B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除专用合同条款另有约定外，进度付款申请单应包括下列内容：</w:t>
      </w:r>
    </w:p>
    <w:p w14:paraId="5BF6EE3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（1）截至本次付款周期已完成工作对应的金额；</w:t>
      </w:r>
    </w:p>
    <w:p w14:paraId="214C02B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（2）根据第10条〔变更〕应增加和扣减的变更金额；</w:t>
      </w:r>
    </w:p>
    <w:p w14:paraId="6B9CB11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（3）根据第12.2款〔预付款〕约定应支付的预付款和扣减的返还预付款；</w:t>
      </w:r>
    </w:p>
    <w:p w14:paraId="5CBE1DA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（4）根据第15.3款〔质量保证金〕约定应扣减的质量保证金；</w:t>
      </w:r>
    </w:p>
    <w:p w14:paraId="16CEFFB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（5）根据第19条〔索赔〕应增加和扣减的索赔金额；</w:t>
      </w:r>
    </w:p>
    <w:p w14:paraId="42EC7D1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（6）对已签发的进度款支付证书中出现错误的修正，应在本次进度付款中支付或扣除的金额；</w:t>
      </w:r>
    </w:p>
    <w:p w14:paraId="4AA956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（7）根据合同约定应增加和扣减的其他金额。</w:t>
      </w:r>
    </w:p>
    <w:p w14:paraId="7C4233B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12.4.3 进度付款申请单的提交</w:t>
      </w:r>
    </w:p>
    <w:p w14:paraId="1560210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（1）单价合同进度付款申请单的提交</w:t>
      </w:r>
    </w:p>
    <w:p w14:paraId="52512EE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7E189B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（2）总价合同进度付款申请单的提交</w:t>
      </w:r>
    </w:p>
    <w:p w14:paraId="2475140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754DDCE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总价合同按支付分解表支付的，承包人应按照第12.4.6项〔支付分解表〕及第12.4.2项〔进度付款申请单的编制〕的约定向监理人提交进度付款申请单。</w:t>
      </w:r>
    </w:p>
    <w:p w14:paraId="78B2D44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（3）其他价格形式合同的进度付款申请单的提交</w:t>
      </w:r>
    </w:p>
    <w:p w14:paraId="595AD50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合同当事人可在专用合同条款中约定其他价格形式合同的进度付款申请单的编制和提交程序。</w:t>
      </w:r>
    </w:p>
    <w:p w14:paraId="390716E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w:t>
      </w:r>
      <w:r>
        <w:rPr>
          <w:rFonts w:hint="eastAsia" w:ascii="宋体" w:hAnsi="宋体" w:eastAsia="宋体" w:cs="宋体"/>
          <w:color w:val="000000" w:themeColor="text1"/>
          <w:kern w:val="0"/>
          <w:sz w:val="24"/>
          <w:szCs w:val="24"/>
          <w:highlight w:val="none"/>
          <w14:textFill>
            <w14:solidFill>
              <w14:schemeClr w14:val="tx1"/>
            </w14:solidFill>
          </w14:textFill>
        </w:rPr>
        <w:t>.4 进度款审核和支付</w:t>
      </w:r>
    </w:p>
    <w:p w14:paraId="661672B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35B5C22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4A2D7AF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3636258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（3）发包人签发进度款支付证书或临时进度款支付证书，不表明发包人已同意、批准或接受了承包人完成的相应部分的工作。</w:t>
      </w:r>
    </w:p>
    <w:p w14:paraId="0D004E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12.4.5 进度付款的修正</w:t>
      </w:r>
    </w:p>
    <w:p w14:paraId="580FFB2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5C6CC76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12.4.6 支付分解表</w:t>
      </w:r>
    </w:p>
    <w:p w14:paraId="1751FB4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1、支付分解表的编制要求</w:t>
      </w:r>
    </w:p>
    <w:p w14:paraId="773FF18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（1）支付分解表中所列的每期付款金额，应为第12.4.2项〔进度付款申请单的编制〕第（1）目的估算金额；</w:t>
      </w:r>
    </w:p>
    <w:p w14:paraId="64EE9F4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（2）实际进度与施工进度计划不一致的，合同当事人可按照第4.4款〔商定或确定〕修改支付分解表；</w:t>
      </w:r>
    </w:p>
    <w:p w14:paraId="7C4F6DB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（3）不采用支付分解表的，承包人应向发包人和监理人提交按季度编制的支付估算分解表，用于支付参考。</w:t>
      </w:r>
    </w:p>
    <w:p w14:paraId="76A42B5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2、总价合同支付分解表的编制与审批</w:t>
      </w:r>
    </w:p>
    <w:p w14:paraId="1422CB4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13287B0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74E4DD62">
      <w:pPr>
        <w:pStyle w:val="494"/>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（3）发包人逾期未完成支付分解表审批的，也未及时要求承包人进行修正和提供补充资料的，则承包人提交的支付分解表视为已经获得发包人批准。</w:t>
      </w:r>
    </w:p>
    <w:p w14:paraId="156C37C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3、单价合同的总价项目支付分解表的编制与审批</w:t>
      </w:r>
    </w:p>
    <w:p w14:paraId="7BA6AA4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6FCFD50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5" w:name="_Toc7383130"/>
      <w:bookmarkStart w:id="716" w:name="_Toc7972631"/>
      <w:r>
        <w:rPr>
          <w:rFonts w:hint="eastAsia" w:ascii="宋体" w:hAnsi="宋体" w:cs="宋体"/>
          <w:color w:val="000000" w:themeColor="text1"/>
          <w:sz w:val="24"/>
          <w:highlight w:val="none"/>
          <w14:textFill>
            <w14:solidFill>
              <w14:schemeClr w14:val="tx1"/>
            </w14:solidFill>
          </w14:textFill>
        </w:rPr>
        <w:t>12.5支付账户</w:t>
      </w:r>
      <w:bookmarkEnd w:id="715"/>
      <w:bookmarkEnd w:id="716"/>
    </w:p>
    <w:p w14:paraId="2A38E26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发包人应将合同价款支付至合同协议书中约定的承包人账户。</w:t>
      </w:r>
    </w:p>
    <w:p w14:paraId="15CD256C">
      <w:pPr>
        <w:pStyle w:val="493"/>
        <w:spacing w:after="0" w:line="360" w:lineRule="auto"/>
        <w:rPr>
          <w:rFonts w:ascii="宋体" w:hAnsi="宋体" w:cs="宋体"/>
          <w:color w:val="000000" w:themeColor="text1"/>
          <w:sz w:val="24"/>
          <w:highlight w:val="none"/>
          <w14:textFill>
            <w14:solidFill>
              <w14:schemeClr w14:val="tx1"/>
            </w14:solidFill>
          </w14:textFill>
        </w:rPr>
      </w:pPr>
      <w:bookmarkStart w:id="717" w:name="_Toc7383131"/>
      <w:bookmarkStart w:id="718" w:name="_Toc7972632"/>
      <w:r>
        <w:rPr>
          <w:rFonts w:hint="eastAsia" w:ascii="宋体" w:hAnsi="宋体" w:cs="宋体"/>
          <w:color w:val="000000" w:themeColor="text1"/>
          <w:sz w:val="24"/>
          <w:highlight w:val="none"/>
          <w14:textFill>
            <w14:solidFill>
              <w14:schemeClr w14:val="tx1"/>
            </w14:solidFill>
          </w14:textFill>
        </w:rPr>
        <w:t>13. 验收和工程试车</w:t>
      </w:r>
      <w:bookmarkEnd w:id="717"/>
      <w:bookmarkEnd w:id="718"/>
    </w:p>
    <w:p w14:paraId="1111785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9" w:name="_Toc7383132"/>
      <w:bookmarkStart w:id="720" w:name="_Toc7972633"/>
      <w:r>
        <w:rPr>
          <w:rFonts w:hint="eastAsia" w:ascii="宋体" w:hAnsi="宋体" w:cs="宋体"/>
          <w:color w:val="000000" w:themeColor="text1"/>
          <w:sz w:val="24"/>
          <w:highlight w:val="none"/>
          <w14:textFill>
            <w14:solidFill>
              <w14:schemeClr w14:val="tx1"/>
            </w14:solidFill>
          </w14:textFill>
        </w:rPr>
        <w:t>13.1分部分项工程验收</w:t>
      </w:r>
      <w:bookmarkEnd w:id="719"/>
      <w:bookmarkEnd w:id="720"/>
    </w:p>
    <w:p w14:paraId="737100C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13.1.1 分部分项工程质量应符合国家有关工程施工验收规范、标准及合同约定，承包人应按照施工组织设计的要求完成分部分项工程施工。</w:t>
      </w:r>
    </w:p>
    <w:p w14:paraId="7B43E9C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13.1.2 除专用合同条款另有约定外，分部分项工程经承包人自检合格并具备验收条件的，承包人应提前48小时通知监理人进行验收。</w:t>
      </w:r>
      <w:r>
        <w:rPr>
          <w:rFonts w:hint="eastAsia" w:ascii="宋体" w:hAnsi="宋体" w:eastAsia="宋体" w:cs="宋体"/>
          <w:color w:val="000000" w:themeColor="text1"/>
          <w:kern w:val="0"/>
          <w:sz w:val="24"/>
          <w:szCs w:val="24"/>
          <w:highlight w:val="none"/>
          <w14:textFill>
            <w14:solidFill>
              <w14:schemeClr w14:val="tx1"/>
            </w14:solidFill>
          </w14:textFill>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themeColor="text1"/>
          <w:sz w:val="24"/>
          <w:szCs w:val="24"/>
          <w:highlight w:val="none"/>
          <w14:textFill>
            <w14:solidFill>
              <w14:schemeClr w14:val="tx1"/>
            </w14:solidFill>
          </w14:textFill>
        </w:rPr>
        <w:t>分部分项工程未经验收的，不得进入下一道工序施工。</w:t>
      </w:r>
    </w:p>
    <w:p w14:paraId="6E58889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分部分项工程的验收资料应当作为竣工资料的组成部分。</w:t>
      </w:r>
    </w:p>
    <w:p w14:paraId="291CCD1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1" w:name="_Toc7972634"/>
      <w:bookmarkStart w:id="722" w:name="_Toc7383133"/>
      <w:r>
        <w:rPr>
          <w:rFonts w:hint="eastAsia" w:ascii="宋体" w:hAnsi="宋体" w:cs="宋体"/>
          <w:color w:val="000000" w:themeColor="text1"/>
          <w:sz w:val="24"/>
          <w:highlight w:val="none"/>
          <w14:textFill>
            <w14:solidFill>
              <w14:schemeClr w14:val="tx1"/>
            </w14:solidFill>
          </w14:textFill>
        </w:rPr>
        <w:t>13.2竣工验收</w:t>
      </w:r>
      <w:bookmarkEnd w:id="721"/>
      <w:bookmarkEnd w:id="722"/>
    </w:p>
    <w:p w14:paraId="143C593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13.2.1竣工验收条件</w:t>
      </w:r>
    </w:p>
    <w:p w14:paraId="7F48D91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工程具备以下条件的，承包人可以申请竣工验收：</w:t>
      </w:r>
    </w:p>
    <w:p w14:paraId="732AE45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（1）除发包人同意的甩项工作和缺陷修补工作外，合同范围内的全部工程以及有关工作，包括合同要求的试验、试运行以及检验均已完成，并符合合同要求；</w:t>
      </w:r>
    </w:p>
    <w:p w14:paraId="206F812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（2）已按合同约定编制了甩项工作和缺陷修补工作清单以及相应的施工计划；</w:t>
      </w:r>
    </w:p>
    <w:p w14:paraId="625B899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（3）已按合同约定的内容和份数备齐竣工资料。</w:t>
      </w:r>
    </w:p>
    <w:p w14:paraId="4430F22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13.2.2竣工验收程序</w:t>
      </w:r>
    </w:p>
    <w:p w14:paraId="7295481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除专用合同条款另有约定外，承包人申请竣工验收的，应当按照以下程序进行：</w:t>
      </w:r>
    </w:p>
    <w:p w14:paraId="2C54C51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0AD4065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4826DE1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31B71F9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24053BD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3446110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3DF75BD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13.2.3竣工日期</w:t>
      </w:r>
    </w:p>
    <w:p w14:paraId="3BA5E7F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14:paraId="72141BF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13.2.4 拒绝接收全部或部分工程</w:t>
      </w:r>
    </w:p>
    <w:p w14:paraId="68F4B8B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231C93E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13.2.5 移交、接收全部与部分工程</w:t>
      </w:r>
    </w:p>
    <w:p w14:paraId="69CE90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除专用合同条款另有约定外，合同当事人应当在颁发工程接收证书后7天内完成工程的移交。</w:t>
      </w:r>
    </w:p>
    <w:p w14:paraId="177C5D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2C43452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113A713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3" w:name="_Toc7383134"/>
      <w:bookmarkStart w:id="724" w:name="_Toc7972635"/>
      <w:r>
        <w:rPr>
          <w:rFonts w:hint="eastAsia" w:ascii="宋体" w:hAnsi="宋体" w:cs="宋体"/>
          <w:color w:val="000000" w:themeColor="text1"/>
          <w:sz w:val="24"/>
          <w:highlight w:val="none"/>
          <w14:textFill>
            <w14:solidFill>
              <w14:schemeClr w14:val="tx1"/>
            </w14:solidFill>
          </w14:textFill>
        </w:rPr>
        <w:t>13.3工程试车</w:t>
      </w:r>
      <w:bookmarkEnd w:id="723"/>
      <w:bookmarkEnd w:id="724"/>
    </w:p>
    <w:p w14:paraId="5991F9A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13.3.1试车程序</w:t>
      </w:r>
    </w:p>
    <w:p w14:paraId="03CEB51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工程需要试车的，除专用合同条款另有约定外，试车内容应与承包人承包范围相一致，试车费用由承包人承担。工程试车应按如下程序进行：</w:t>
      </w:r>
    </w:p>
    <w:p w14:paraId="104ED71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719563A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312ADFF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76A1107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13.3.2 试车中的责任</w:t>
      </w:r>
    </w:p>
    <w:p w14:paraId="3717565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3EF705E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04454AC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13.3.3 投料试车</w:t>
      </w:r>
    </w:p>
    <w:p w14:paraId="059010C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4064726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58F68094">
      <w:pPr>
        <w:pStyle w:val="493"/>
        <w:spacing w:after="0" w:line="360" w:lineRule="auto"/>
        <w:rPr>
          <w:rFonts w:ascii="宋体" w:hAnsi="宋体" w:cs="宋体"/>
          <w:color w:val="000000" w:themeColor="text1"/>
          <w:sz w:val="24"/>
          <w:highlight w:val="none"/>
          <w14:textFill>
            <w14:solidFill>
              <w14:schemeClr w14:val="tx1"/>
            </w14:solidFill>
          </w14:textFill>
        </w:rPr>
      </w:pPr>
      <w:bookmarkStart w:id="725" w:name="_Toc7972636"/>
      <w:bookmarkStart w:id="726" w:name="_Toc7383135"/>
      <w:r>
        <w:rPr>
          <w:rFonts w:hint="eastAsia" w:ascii="宋体" w:hAnsi="宋体" w:cs="宋体"/>
          <w:color w:val="000000" w:themeColor="text1"/>
          <w:sz w:val="24"/>
          <w:highlight w:val="none"/>
          <w14:textFill>
            <w14:solidFill>
              <w14:schemeClr w14:val="tx1"/>
            </w14:solidFill>
          </w14:textFill>
        </w:rPr>
        <w:t>13.4提前交付单位工程的验收</w:t>
      </w:r>
      <w:bookmarkEnd w:id="725"/>
      <w:bookmarkEnd w:id="726"/>
    </w:p>
    <w:p w14:paraId="508EFC5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13.4.1 发包人需要在工程竣工前使用单位工程的，或承包人提出提前交付已经竣工的单位工程且经发包人同意的，可进行单位工程验收，验收的程序按照第13.2款〔竣工验收〕的约定进行。</w:t>
      </w:r>
    </w:p>
    <w:p w14:paraId="1E0C639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69E5715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13.4.2 发包人要求在工程竣工前交付单位工程，由此导致承包人费用增加和（或）工期延误的，由发包人承担由此增加的费用和（或）延误的工期，并支付承包人合理的利润。</w:t>
      </w:r>
    </w:p>
    <w:p w14:paraId="01CB997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7" w:name="_Toc7383136"/>
      <w:bookmarkStart w:id="728" w:name="_Toc7972637"/>
      <w:r>
        <w:rPr>
          <w:rFonts w:hint="eastAsia" w:ascii="宋体" w:hAnsi="宋体" w:cs="宋体"/>
          <w:color w:val="000000" w:themeColor="text1"/>
          <w:sz w:val="24"/>
          <w:highlight w:val="none"/>
          <w14:textFill>
            <w14:solidFill>
              <w14:schemeClr w14:val="tx1"/>
            </w14:solidFill>
          </w14:textFill>
        </w:rPr>
        <w:t>13.5 施工期运行</w:t>
      </w:r>
      <w:bookmarkEnd w:id="727"/>
      <w:bookmarkEnd w:id="728"/>
    </w:p>
    <w:p w14:paraId="5D49B7B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05A9CEC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13.5.2 在施工期运行中发现工程或工程设备损坏或存在缺陷的，由承包人按第15.2款〔缺陷责任期〕约定进行修复。</w:t>
      </w:r>
    </w:p>
    <w:p w14:paraId="4C4F491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9" w:name="_Toc7383137"/>
      <w:bookmarkStart w:id="730" w:name="_Toc7972638"/>
      <w:r>
        <w:rPr>
          <w:rFonts w:hint="eastAsia" w:ascii="宋体" w:hAnsi="宋体" w:cs="宋体"/>
          <w:color w:val="000000" w:themeColor="text1"/>
          <w:sz w:val="24"/>
          <w:highlight w:val="none"/>
          <w14:textFill>
            <w14:solidFill>
              <w14:schemeClr w14:val="tx1"/>
            </w14:solidFill>
          </w14:textFill>
        </w:rPr>
        <w:t>13.6 竣工退场</w:t>
      </w:r>
      <w:bookmarkEnd w:id="729"/>
      <w:bookmarkEnd w:id="730"/>
    </w:p>
    <w:p w14:paraId="3F1F2C3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13.6.1 竣工退场</w:t>
      </w:r>
    </w:p>
    <w:p w14:paraId="66FF48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颁发工程接收证书后，承包人应按以下要求对施工现场进行清理：</w:t>
      </w:r>
    </w:p>
    <w:p w14:paraId="729EF77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（1）施工现场内残留的垃圾已全部清除出场；</w:t>
      </w:r>
    </w:p>
    <w:p w14:paraId="302F7C5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（2）临时工程已拆除，场地已进行清理、平整或复原；</w:t>
      </w:r>
    </w:p>
    <w:p w14:paraId="622F081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（3）按合同约定应撤离的人员、承包人施工设备和剩余的材料，包括废弃的施工设备和材料，已按计划撤离施工现场；</w:t>
      </w:r>
    </w:p>
    <w:p w14:paraId="3514973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（4）施工现场周边及其附近道路、河道的施工堆积物，已全部清理；</w:t>
      </w:r>
    </w:p>
    <w:p w14:paraId="0BFD9A1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（5）施工现场其他场地清理工作已全部完成。</w:t>
      </w:r>
    </w:p>
    <w:p w14:paraId="069E76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025F12C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13.6.2 地表还原</w:t>
      </w:r>
    </w:p>
    <w:p w14:paraId="66A3037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0A64263A">
      <w:pPr>
        <w:pStyle w:val="493"/>
        <w:spacing w:after="0" w:line="360" w:lineRule="auto"/>
        <w:rPr>
          <w:rFonts w:ascii="宋体" w:hAnsi="宋体" w:cs="宋体"/>
          <w:color w:val="000000" w:themeColor="text1"/>
          <w:sz w:val="24"/>
          <w:highlight w:val="none"/>
          <w14:textFill>
            <w14:solidFill>
              <w14:schemeClr w14:val="tx1"/>
            </w14:solidFill>
          </w14:textFill>
        </w:rPr>
      </w:pPr>
      <w:bookmarkStart w:id="731" w:name="_Toc7972639"/>
      <w:bookmarkStart w:id="732" w:name="_Toc7383138"/>
      <w:r>
        <w:rPr>
          <w:rFonts w:hint="eastAsia" w:ascii="宋体" w:hAnsi="宋体" w:cs="宋体"/>
          <w:color w:val="000000" w:themeColor="text1"/>
          <w:sz w:val="24"/>
          <w:highlight w:val="none"/>
          <w14:textFill>
            <w14:solidFill>
              <w14:schemeClr w14:val="tx1"/>
            </w14:solidFill>
          </w14:textFill>
        </w:rPr>
        <w:t>14. 竣工结算</w:t>
      </w:r>
      <w:bookmarkEnd w:id="731"/>
      <w:bookmarkEnd w:id="732"/>
    </w:p>
    <w:p w14:paraId="28DAE1C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3" w:name="_Toc7383139"/>
      <w:bookmarkStart w:id="734" w:name="_Toc7972640"/>
      <w:r>
        <w:rPr>
          <w:rFonts w:hint="eastAsia" w:ascii="宋体" w:hAnsi="宋体" w:cs="宋体"/>
          <w:color w:val="000000" w:themeColor="text1"/>
          <w:sz w:val="24"/>
          <w:highlight w:val="none"/>
          <w14:textFill>
            <w14:solidFill>
              <w14:schemeClr w14:val="tx1"/>
            </w14:solidFill>
          </w14:textFill>
        </w:rPr>
        <w:t>14.1 竣工结算申请</w:t>
      </w:r>
      <w:bookmarkEnd w:id="733"/>
      <w:bookmarkEnd w:id="734"/>
    </w:p>
    <w:p w14:paraId="04E435CF">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w:t>
      </w:r>
      <w:r>
        <w:rPr>
          <w:rFonts w:hint="eastAsia" w:ascii="宋体" w:hAnsi="宋体" w:eastAsia="宋体" w:cs="宋体"/>
          <w:color w:val="000000" w:themeColor="text1"/>
          <w:sz w:val="24"/>
          <w:szCs w:val="24"/>
          <w:highlight w:val="none"/>
          <w14:textFill>
            <w14:solidFill>
              <w14:schemeClr w14:val="tx1"/>
            </w14:solidFill>
          </w14:textFill>
        </w:rPr>
        <w:t>承包人应在工程竣工验收合格后28天内向发包人和监理人提交竣工结算申请单，并提交完整的结算资料，有关竣工结算申请单的资料清单和份数等要求由合同当事人在专用合同条款中约定。</w:t>
      </w:r>
    </w:p>
    <w:p w14:paraId="3D9A28D9">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除专用合同条款另有约定外，竣工结算申请单应包括以下内容：</w:t>
      </w:r>
    </w:p>
    <w:p w14:paraId="05B2EF0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（1）竣工结算合同价格；</w:t>
      </w:r>
    </w:p>
    <w:p w14:paraId="626DA2A9">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（2）发包人已支付承包人的款项；</w:t>
      </w:r>
    </w:p>
    <w:p w14:paraId="3EE84EB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（3）应扣留的质量保证金；</w:t>
      </w:r>
    </w:p>
    <w:p w14:paraId="341C05BC">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（4）发包人应支付承包人的合同价款。</w:t>
      </w:r>
    </w:p>
    <w:p w14:paraId="351F125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5" w:name="_Toc7383140"/>
      <w:bookmarkStart w:id="736" w:name="_Toc7972641"/>
      <w:r>
        <w:rPr>
          <w:rFonts w:hint="eastAsia" w:ascii="宋体" w:hAnsi="宋体" w:cs="宋体"/>
          <w:color w:val="000000" w:themeColor="text1"/>
          <w:sz w:val="24"/>
          <w:highlight w:val="none"/>
          <w14:textFill>
            <w14:solidFill>
              <w14:schemeClr w14:val="tx1"/>
            </w14:solidFill>
          </w14:textFill>
        </w:rPr>
        <w:t>14.2 竣工结算审核</w:t>
      </w:r>
      <w:bookmarkEnd w:id="735"/>
      <w:bookmarkEnd w:id="736"/>
    </w:p>
    <w:p w14:paraId="22EE49E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themeColor="text1"/>
          <w:sz w:val="24"/>
          <w:szCs w:val="24"/>
          <w:highlight w:val="none"/>
          <w14:textFill>
            <w14:solidFill>
              <w14:schemeClr w14:val="tx1"/>
            </w14:solidFill>
          </w14:textFill>
        </w:rPr>
        <w:t>发包人对竣工</w:t>
      </w:r>
      <w:r>
        <w:rPr>
          <w:rFonts w:hint="eastAsia" w:ascii="宋体" w:hAnsi="宋体" w:eastAsia="宋体" w:cs="宋体"/>
          <w:color w:val="000000" w:themeColor="text1"/>
          <w:kern w:val="0"/>
          <w:sz w:val="24"/>
          <w:szCs w:val="24"/>
          <w:highlight w:val="none"/>
          <w14:textFill>
            <w14:solidFill>
              <w14:schemeClr w14:val="tx1"/>
            </w14:solidFill>
          </w14:textFill>
        </w:rPr>
        <w:t>结算</w:t>
      </w:r>
      <w:r>
        <w:rPr>
          <w:rFonts w:hint="eastAsia" w:ascii="宋体" w:hAnsi="宋体" w:eastAsia="宋体" w:cs="宋体"/>
          <w:color w:val="000000" w:themeColor="text1"/>
          <w:sz w:val="24"/>
          <w:szCs w:val="24"/>
          <w:highlight w:val="none"/>
          <w14:textFill>
            <w14:solidFill>
              <w14:schemeClr w14:val="tx1"/>
            </w14:solidFill>
          </w14:textFill>
        </w:rPr>
        <w:t>申请单有异议的，有权要求承包人进行修正和提供补充资料，承包人应提交修正后的竣工</w:t>
      </w:r>
      <w:r>
        <w:rPr>
          <w:rFonts w:hint="eastAsia" w:ascii="宋体" w:hAnsi="宋体" w:eastAsia="宋体" w:cs="宋体"/>
          <w:color w:val="000000" w:themeColor="text1"/>
          <w:kern w:val="0"/>
          <w:sz w:val="24"/>
          <w:szCs w:val="24"/>
          <w:highlight w:val="none"/>
          <w14:textFill>
            <w14:solidFill>
              <w14:schemeClr w14:val="tx1"/>
            </w14:solidFill>
          </w14:textFill>
        </w:rPr>
        <w:t>结算</w:t>
      </w:r>
      <w:r>
        <w:rPr>
          <w:rFonts w:hint="eastAsia" w:ascii="宋体" w:hAnsi="宋体" w:eastAsia="宋体" w:cs="宋体"/>
          <w:color w:val="000000" w:themeColor="text1"/>
          <w:sz w:val="24"/>
          <w:szCs w:val="24"/>
          <w:highlight w:val="none"/>
          <w14:textFill>
            <w14:solidFill>
              <w14:schemeClr w14:val="tx1"/>
            </w14:solidFill>
          </w14:textFill>
        </w:rPr>
        <w:t>申请单。</w:t>
      </w:r>
    </w:p>
    <w:p w14:paraId="7AFA770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1B40465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6EFB92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6B5257A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7" w:name="_Toc7383141"/>
      <w:bookmarkStart w:id="738" w:name="_Toc7972642"/>
      <w:r>
        <w:rPr>
          <w:rFonts w:hint="eastAsia" w:ascii="宋体" w:hAnsi="宋体" w:cs="宋体"/>
          <w:color w:val="000000" w:themeColor="text1"/>
          <w:sz w:val="24"/>
          <w:highlight w:val="none"/>
          <w14:textFill>
            <w14:solidFill>
              <w14:schemeClr w14:val="tx1"/>
            </w14:solidFill>
          </w14:textFill>
        </w:rPr>
        <w:t>14.3 甩项竣工协议</w:t>
      </w:r>
      <w:bookmarkEnd w:id="737"/>
      <w:bookmarkEnd w:id="738"/>
    </w:p>
    <w:p w14:paraId="38F31221">
      <w:pPr>
        <w:pStyle w:val="494"/>
        <w:autoSpaceDE w:val="0"/>
        <w:autoSpaceDN w:val="0"/>
        <w:adjustRightInd w:val="0"/>
        <w:spacing w:after="0" w:line="360" w:lineRule="auto"/>
        <w:ind w:firstLine="470" w:firstLineChars="196"/>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要求甩项竣工的，合同当事人应签订甩项竣工协议。在甩项竣工协议中应明确，合同当事人按照第14.1款〔竣工结算申请〕及14.2款〔竣工结算审核〕的约定，对已完合格工程进行结算，并支付相应合同价款。</w:t>
      </w:r>
    </w:p>
    <w:p w14:paraId="309294E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9" w:name="_Toc7383142"/>
      <w:bookmarkStart w:id="740" w:name="_Toc7972643"/>
      <w:r>
        <w:rPr>
          <w:rFonts w:hint="eastAsia" w:ascii="宋体" w:hAnsi="宋体" w:cs="宋体"/>
          <w:color w:val="000000" w:themeColor="text1"/>
          <w:sz w:val="24"/>
          <w:highlight w:val="none"/>
          <w14:textFill>
            <w14:solidFill>
              <w14:schemeClr w14:val="tx1"/>
            </w14:solidFill>
          </w14:textFill>
        </w:rPr>
        <w:t>14.4 最终结清</w:t>
      </w:r>
      <w:bookmarkEnd w:id="739"/>
      <w:bookmarkEnd w:id="740"/>
    </w:p>
    <w:p w14:paraId="3BDBFA3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14.4.1 最终结清申请单</w:t>
      </w:r>
    </w:p>
    <w:p w14:paraId="78963B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45A1774C">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w:t>
      </w:r>
      <w:r>
        <w:rPr>
          <w:rFonts w:hint="eastAsia" w:ascii="宋体" w:hAnsi="宋体" w:eastAsia="宋体" w:cs="宋体"/>
          <w:color w:val="000000" w:themeColor="text1"/>
          <w:kern w:val="0"/>
          <w:sz w:val="24"/>
          <w:szCs w:val="24"/>
          <w:highlight w:val="none"/>
          <w14:textFill>
            <w14:solidFill>
              <w14:schemeClr w14:val="tx1"/>
            </w14:solidFill>
          </w14:textFill>
        </w:rPr>
        <w:t>最终结清申请单</w:t>
      </w:r>
      <w:r>
        <w:rPr>
          <w:rFonts w:hint="eastAsia" w:ascii="宋体" w:hAnsi="宋体" w:eastAsia="宋体" w:cs="宋体"/>
          <w:color w:val="000000" w:themeColor="text1"/>
          <w:sz w:val="24"/>
          <w:szCs w:val="24"/>
          <w:highlight w:val="none"/>
          <w14:textFill>
            <w14:solidFill>
              <w14:schemeClr w14:val="tx1"/>
            </w14:solidFill>
          </w14:textFill>
        </w:rPr>
        <w:t>应列明质量保证金、应扣除的质量保证金、缺陷责任期内发生的增减费用。</w:t>
      </w:r>
    </w:p>
    <w:p w14:paraId="1EE148A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（2）发包人对最终结清申请单内容有异议的，有权要求承包人进行修正和提供补充资料，承包人应向发包人提交修正后的最终结清申请单。</w:t>
      </w:r>
    </w:p>
    <w:p w14:paraId="4C07F2C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14.4.2 最终结清证书和支付</w:t>
      </w:r>
    </w:p>
    <w:p w14:paraId="6DE13D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1A3063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026D5D6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（3）承包人对发包人颁发的最终结清证书有异议的，按第20条〔争议解决〕的约定办理。</w:t>
      </w:r>
    </w:p>
    <w:p w14:paraId="271CF1AA">
      <w:pPr>
        <w:pStyle w:val="493"/>
        <w:spacing w:after="0" w:line="360" w:lineRule="auto"/>
        <w:rPr>
          <w:rFonts w:ascii="宋体" w:hAnsi="宋体" w:cs="宋体"/>
          <w:color w:val="000000" w:themeColor="text1"/>
          <w:sz w:val="24"/>
          <w:highlight w:val="none"/>
          <w14:textFill>
            <w14:solidFill>
              <w14:schemeClr w14:val="tx1"/>
            </w14:solidFill>
          </w14:textFill>
        </w:rPr>
      </w:pPr>
      <w:bookmarkStart w:id="741" w:name="_Toc7383143"/>
      <w:bookmarkStart w:id="742" w:name="_Toc7972644"/>
      <w:r>
        <w:rPr>
          <w:rFonts w:hint="eastAsia" w:ascii="宋体" w:hAnsi="宋体" w:cs="宋体"/>
          <w:color w:val="000000" w:themeColor="text1"/>
          <w:sz w:val="24"/>
          <w:highlight w:val="none"/>
          <w14:textFill>
            <w14:solidFill>
              <w14:schemeClr w14:val="tx1"/>
            </w14:solidFill>
          </w14:textFill>
        </w:rPr>
        <w:t>15. 缺陷责任与保修</w:t>
      </w:r>
      <w:bookmarkEnd w:id="741"/>
      <w:bookmarkEnd w:id="742"/>
    </w:p>
    <w:p w14:paraId="0CEBB2B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3" w:name="_Toc7972645"/>
      <w:bookmarkStart w:id="744" w:name="_Toc7383144"/>
      <w:r>
        <w:rPr>
          <w:rFonts w:hint="eastAsia" w:ascii="宋体" w:hAnsi="宋体" w:cs="宋体"/>
          <w:color w:val="000000" w:themeColor="text1"/>
          <w:sz w:val="24"/>
          <w:highlight w:val="none"/>
          <w14:textFill>
            <w14:solidFill>
              <w14:schemeClr w14:val="tx1"/>
            </w14:solidFill>
          </w14:textFill>
        </w:rPr>
        <w:t>15.1 工程保修的原则</w:t>
      </w:r>
      <w:bookmarkEnd w:id="743"/>
      <w:bookmarkEnd w:id="744"/>
    </w:p>
    <w:p w14:paraId="1C6CAAD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0A41366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5" w:name="_Toc7383145"/>
      <w:bookmarkStart w:id="746" w:name="_Toc7972646"/>
      <w:r>
        <w:rPr>
          <w:rFonts w:hint="eastAsia" w:ascii="宋体" w:hAnsi="宋体" w:cs="宋体"/>
          <w:color w:val="000000" w:themeColor="text1"/>
          <w:sz w:val="24"/>
          <w:highlight w:val="none"/>
          <w14:textFill>
            <w14:solidFill>
              <w14:schemeClr w14:val="tx1"/>
            </w14:solidFill>
          </w14:textFill>
        </w:rPr>
        <w:t>15.2 缺陷责任期</w:t>
      </w:r>
      <w:bookmarkEnd w:id="745"/>
      <w:bookmarkEnd w:id="746"/>
    </w:p>
    <w:p w14:paraId="3FAA457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15.2.1 缺陷责任期自实际竣工日期起计算，合同当事人应在专用合同条款约定缺陷责任期的具体期限，但该期限最长不超过24个月。</w:t>
      </w:r>
    </w:p>
    <w:p w14:paraId="052BD18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14:paraId="3DB59F4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15.2.2 工程竣工验收合格后，因承包人原因导致的缺陷或损坏致使工程、单位工程或某项主要设备不能按原定目的使用的，则发包人有权要求承</w:t>
      </w:r>
      <w:r>
        <w:rPr>
          <w:rFonts w:hint="eastAsia" w:ascii="宋体" w:hAnsi="宋体" w:eastAsia="宋体" w:cs="宋体"/>
          <w:color w:val="000000" w:themeColor="text1"/>
          <w:sz w:val="24"/>
          <w:szCs w:val="24"/>
          <w:highlight w:val="none"/>
          <w14:textFill>
            <w14:solidFill>
              <w14:schemeClr w14:val="tx1"/>
            </w14:solidFill>
          </w14:textFill>
        </w:rPr>
        <w:t>包人延长缺陷责任期，</w:t>
      </w:r>
      <w:r>
        <w:rPr>
          <w:rFonts w:hint="eastAsia" w:ascii="宋体" w:hAnsi="宋体" w:eastAsia="宋体" w:cs="宋体"/>
          <w:color w:val="000000" w:themeColor="text1"/>
          <w:kern w:val="0"/>
          <w:sz w:val="24"/>
          <w:szCs w:val="24"/>
          <w:highlight w:val="none"/>
          <w14:textFill>
            <w14:solidFill>
              <w14:schemeClr w14:val="tx1"/>
            </w14:solidFill>
          </w14:textFill>
        </w:rPr>
        <w:t>并应在原缺陷责任期届满前发出延长通知，</w:t>
      </w:r>
      <w:r>
        <w:rPr>
          <w:rFonts w:hint="eastAsia" w:ascii="宋体" w:hAnsi="宋体" w:eastAsia="宋体" w:cs="宋体"/>
          <w:color w:val="000000" w:themeColor="text1"/>
          <w:sz w:val="24"/>
          <w:szCs w:val="24"/>
          <w:highlight w:val="none"/>
          <w14:textFill>
            <w14:solidFill>
              <w14:schemeClr w14:val="tx1"/>
            </w14:solidFill>
          </w14:textFill>
        </w:rPr>
        <w:t>但缺陷责任期最长</w:t>
      </w:r>
      <w:r>
        <w:rPr>
          <w:rFonts w:hint="eastAsia" w:ascii="宋体" w:hAnsi="宋体" w:eastAsia="宋体" w:cs="宋体"/>
          <w:color w:val="000000" w:themeColor="text1"/>
          <w:kern w:val="0"/>
          <w:sz w:val="24"/>
          <w:szCs w:val="24"/>
          <w:highlight w:val="none"/>
          <w14:textFill>
            <w14:solidFill>
              <w14:schemeClr w14:val="tx1"/>
            </w14:solidFill>
          </w14:textFill>
        </w:rPr>
        <w:t>不能超过24个月。</w:t>
      </w:r>
    </w:p>
    <w:p w14:paraId="73FF3B9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15.2.3 任何一项缺陷或损坏修复后，经检查证明其影响了工程或工程设备的使用性能，承包人应重新进行合同约定的试验和试运行，试验和试运行的全部费用应由责任方承担。</w:t>
      </w:r>
    </w:p>
    <w:p w14:paraId="1ED95D3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5F19421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7" w:name="_Toc7972647"/>
      <w:bookmarkStart w:id="748" w:name="_Toc7383146"/>
      <w:r>
        <w:rPr>
          <w:rFonts w:hint="eastAsia" w:ascii="宋体" w:hAnsi="宋体" w:cs="宋体"/>
          <w:color w:val="000000" w:themeColor="text1"/>
          <w:sz w:val="24"/>
          <w:highlight w:val="none"/>
          <w14:textFill>
            <w14:solidFill>
              <w14:schemeClr w14:val="tx1"/>
            </w14:solidFill>
          </w14:textFill>
        </w:rPr>
        <w:t>15.3 质量保证金</w:t>
      </w:r>
      <w:bookmarkEnd w:id="747"/>
      <w:bookmarkEnd w:id="748"/>
    </w:p>
    <w:p w14:paraId="3822B47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经合同当事人协商一致扣留质量保证金的，应在专用合同条款中予以明确。</w:t>
      </w:r>
    </w:p>
    <w:p w14:paraId="7747C28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15.3.1 承包人提供质量保证金的方式</w:t>
      </w:r>
    </w:p>
    <w:p w14:paraId="17F81AC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承包人提供质量保证金有以下三种方式：</w:t>
      </w:r>
    </w:p>
    <w:p w14:paraId="21FAD4D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（1）质量保证金保函；</w:t>
      </w:r>
    </w:p>
    <w:p w14:paraId="390798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（2）相应比例的工程款；</w:t>
      </w:r>
    </w:p>
    <w:p w14:paraId="0EBD3C3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（3）双方约定的其他方式。</w:t>
      </w:r>
    </w:p>
    <w:p w14:paraId="5E7FD8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除专用合同条款另有约定外，质量保证金原则上采用上述第（1）种方式。</w:t>
      </w:r>
    </w:p>
    <w:p w14:paraId="1187F46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15.3.2 质量保证金的扣留</w:t>
      </w:r>
    </w:p>
    <w:p w14:paraId="42B2AAB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质量保证金的扣留有以下三种方式：</w:t>
      </w:r>
    </w:p>
    <w:p w14:paraId="0BCC16E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5957665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（2）工程竣工结算时一次性扣留质量保证金；</w:t>
      </w:r>
    </w:p>
    <w:p w14:paraId="386AE6C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（3）双方约定的其他扣留方式。</w:t>
      </w:r>
    </w:p>
    <w:p w14:paraId="491E3E4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除专用合同条款另有约定外，质量保证金的扣留原则上采用上述第（1）种方式。</w:t>
      </w:r>
    </w:p>
    <w:p w14:paraId="527EA45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发包人累计扣留的质量保证金不得超过结算合同价格的5%，如承包人在发包人签发竣工付款证书后28天内提交质量保证金保函，发包人应同时退还扣留的作为质量保证金的工程价款。</w:t>
      </w:r>
    </w:p>
    <w:p w14:paraId="1049A99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15.3.3 </w:t>
      </w:r>
      <w:r>
        <w:rPr>
          <w:rFonts w:hint="eastAsia" w:ascii="宋体" w:hAnsi="宋体" w:eastAsia="宋体" w:cs="宋体"/>
          <w:color w:val="000000" w:themeColor="text1"/>
          <w:sz w:val="24"/>
          <w:szCs w:val="24"/>
          <w:highlight w:val="none"/>
          <w14:textFill>
            <w14:solidFill>
              <w14:schemeClr w14:val="tx1"/>
            </w14:solidFill>
          </w14:textFill>
        </w:rPr>
        <w:t>质量保证金</w:t>
      </w:r>
      <w:r>
        <w:rPr>
          <w:rFonts w:hint="eastAsia" w:ascii="宋体" w:hAnsi="宋体" w:eastAsia="宋体" w:cs="宋体"/>
          <w:color w:val="000000" w:themeColor="text1"/>
          <w:kern w:val="0"/>
          <w:sz w:val="24"/>
          <w:szCs w:val="24"/>
          <w:highlight w:val="none"/>
          <w14:textFill>
            <w14:solidFill>
              <w14:schemeClr w14:val="tx1"/>
            </w14:solidFill>
          </w14:textFill>
        </w:rPr>
        <w:t>的退还</w:t>
      </w:r>
    </w:p>
    <w:p w14:paraId="00ADAFC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发包人应按14.4款〔最终结清〕的约定退还质量保证金。</w:t>
      </w:r>
    </w:p>
    <w:p w14:paraId="78A38CC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9" w:name="_Toc7972648"/>
      <w:bookmarkStart w:id="750" w:name="_Toc7383147"/>
      <w:r>
        <w:rPr>
          <w:rFonts w:hint="eastAsia" w:ascii="宋体" w:hAnsi="宋体" w:cs="宋体"/>
          <w:color w:val="000000" w:themeColor="text1"/>
          <w:sz w:val="24"/>
          <w:highlight w:val="none"/>
          <w14:textFill>
            <w14:solidFill>
              <w14:schemeClr w14:val="tx1"/>
            </w14:solidFill>
          </w14:textFill>
        </w:rPr>
        <w:t>15.4 保修</w:t>
      </w:r>
      <w:bookmarkEnd w:id="749"/>
      <w:bookmarkEnd w:id="750"/>
    </w:p>
    <w:p w14:paraId="5ED002E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15.4.1保修责任</w:t>
      </w:r>
    </w:p>
    <w:p w14:paraId="17DD2F1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2DF719D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发包人未经竣工验收擅自使用工程的，保修期自</w:t>
      </w:r>
      <w:r>
        <w:rPr>
          <w:rFonts w:hint="eastAsia" w:ascii="宋体" w:hAnsi="宋体" w:eastAsia="宋体" w:cs="宋体"/>
          <w:color w:val="000000" w:themeColor="text1"/>
          <w:kern w:val="0"/>
          <w:sz w:val="24"/>
          <w:szCs w:val="24"/>
          <w:highlight w:val="none"/>
          <w14:textFill>
            <w14:solidFill>
              <w14:schemeClr w14:val="tx1"/>
            </w14:solidFill>
          </w14:textFill>
        </w:rPr>
        <w:t>转移占有之日起算</w:t>
      </w:r>
      <w:r>
        <w:rPr>
          <w:rFonts w:hint="eastAsia" w:ascii="宋体" w:hAnsi="宋体" w:eastAsia="宋体" w:cs="宋体"/>
          <w:color w:val="000000" w:themeColor="text1"/>
          <w:sz w:val="24"/>
          <w:szCs w:val="24"/>
          <w:highlight w:val="none"/>
          <w14:textFill>
            <w14:solidFill>
              <w14:schemeClr w14:val="tx1"/>
            </w14:solidFill>
          </w14:textFill>
        </w:rPr>
        <w:t>。</w:t>
      </w:r>
    </w:p>
    <w:p w14:paraId="06E479C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15.4.2 修复费用</w:t>
      </w:r>
    </w:p>
    <w:p w14:paraId="3FBE3E9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保修期内，修复的费用按照以下约定处理：</w:t>
      </w:r>
    </w:p>
    <w:p w14:paraId="342ACD1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（1）保修期内，因承包人原因造成工程的缺陷、损坏，承包人应负责修复，并承担修复的费用以及因工程的缺陷、损坏造成的人身伤害和财产损失；</w:t>
      </w:r>
    </w:p>
    <w:p w14:paraId="210D64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（2）保修期内，因发包人使用不当造成工程的缺陷、损坏，可以委托承包人修复，但发包人应承担修复的费用，并支付承包人合理利润；</w:t>
      </w:r>
    </w:p>
    <w:p w14:paraId="74059FA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（3）因其他原因造成工程的缺陷、损坏，可以委托承包人修复，发包人应承担修复的费用，并支付承包人合理的利润，因工程的缺陷、损坏造成的人身伤害和财产损失由责任方承担。</w:t>
      </w:r>
    </w:p>
    <w:p w14:paraId="3C1B0F1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15.4.3 修复通知</w:t>
      </w:r>
    </w:p>
    <w:p w14:paraId="5220E12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2A55C68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15.4.4 未能修复</w:t>
      </w:r>
    </w:p>
    <w:p w14:paraId="571575E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3160E5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15.4.5 承包人出入权</w:t>
      </w:r>
    </w:p>
    <w:p w14:paraId="439F078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5E90CD7E">
      <w:pPr>
        <w:pStyle w:val="493"/>
        <w:spacing w:after="0" w:line="360" w:lineRule="auto"/>
        <w:rPr>
          <w:rFonts w:ascii="宋体" w:hAnsi="宋体" w:cs="宋体"/>
          <w:color w:val="000000" w:themeColor="text1"/>
          <w:sz w:val="24"/>
          <w:highlight w:val="none"/>
          <w14:textFill>
            <w14:solidFill>
              <w14:schemeClr w14:val="tx1"/>
            </w14:solidFill>
          </w14:textFill>
        </w:rPr>
      </w:pPr>
      <w:bookmarkStart w:id="751" w:name="_Toc7383148"/>
      <w:bookmarkStart w:id="752" w:name="_Toc7972649"/>
      <w:r>
        <w:rPr>
          <w:rFonts w:hint="eastAsia" w:ascii="宋体" w:hAnsi="宋体" w:cs="宋体"/>
          <w:color w:val="000000" w:themeColor="text1"/>
          <w:sz w:val="24"/>
          <w:highlight w:val="none"/>
          <w14:textFill>
            <w14:solidFill>
              <w14:schemeClr w14:val="tx1"/>
            </w14:solidFill>
          </w14:textFill>
        </w:rPr>
        <w:t>16. 违约</w:t>
      </w:r>
      <w:bookmarkEnd w:id="751"/>
      <w:bookmarkEnd w:id="752"/>
    </w:p>
    <w:p w14:paraId="021D6C1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53" w:name="_Toc7972650"/>
      <w:bookmarkStart w:id="754" w:name="_Toc7383149"/>
      <w:r>
        <w:rPr>
          <w:rFonts w:hint="eastAsia" w:ascii="宋体" w:hAnsi="宋体" w:cs="宋体"/>
          <w:color w:val="000000" w:themeColor="text1"/>
          <w:sz w:val="24"/>
          <w:highlight w:val="none"/>
          <w14:textFill>
            <w14:solidFill>
              <w14:schemeClr w14:val="tx1"/>
            </w14:solidFill>
          </w14:textFill>
        </w:rPr>
        <w:t>16.1 发包人违约</w:t>
      </w:r>
      <w:bookmarkEnd w:id="753"/>
      <w:bookmarkEnd w:id="754"/>
    </w:p>
    <w:p w14:paraId="50C8535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16.1.1 发包人违约的情形</w:t>
      </w:r>
    </w:p>
    <w:p w14:paraId="5E22AF9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在合同履行过程中发生的下列情形，属于发包人违约：</w:t>
      </w:r>
    </w:p>
    <w:p w14:paraId="162049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（1）因发包人原因未能在计划开工日期前7天内下达开工通知的；</w:t>
      </w:r>
    </w:p>
    <w:p w14:paraId="6598CA4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（2）因发包人原因未能按合同约定支付合同价款的；</w:t>
      </w:r>
    </w:p>
    <w:p w14:paraId="50B8D0E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w:t>
      </w:r>
    </w:p>
    <w:p w14:paraId="7366832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w:t>
      </w:r>
    </w:p>
    <w:p w14:paraId="312DF8B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（5）因发包人违反合同约定造成暂停施工的；</w:t>
      </w:r>
    </w:p>
    <w:p w14:paraId="5BEF758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w:t>
      </w:r>
    </w:p>
    <w:p w14:paraId="65F7DD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（7）发包人明确表示或者以其行为表明不履行合同主要义务的；</w:t>
      </w:r>
    </w:p>
    <w:p w14:paraId="7EC107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（8）发包人未能按照合同约定履行其他义务的。</w:t>
      </w:r>
    </w:p>
    <w:p w14:paraId="4C910E1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096F16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16.1.2 发包人违约的责任</w:t>
      </w:r>
    </w:p>
    <w:p w14:paraId="0B3B742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发包人应承担因其违约给承包人增加的费用和（或）延误的工期，并支付承包人合理的利润。此外，合同当事人可在专用合同条款中另行约定发包人违约责任的承担方式和计算方法。</w:t>
      </w:r>
    </w:p>
    <w:p w14:paraId="40E156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16.1.3 因发包人违约解除合同</w:t>
      </w:r>
    </w:p>
    <w:p w14:paraId="455B104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609220DD">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16.1.4 因发包人违约解除合同后的付款</w:t>
      </w:r>
    </w:p>
    <w:p w14:paraId="57910DC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承包人按照本款约定解除合同的，发包人应在解除合同后28天内支付下列款项，并解除履约担保：</w:t>
      </w:r>
    </w:p>
    <w:p w14:paraId="673757A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（1）合同解除前所完成工作的价款；</w:t>
      </w:r>
    </w:p>
    <w:p w14:paraId="034AD6C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（2）承包人为工程施工订购并已付款的材料、工程设备和其他物品的价款；</w:t>
      </w:r>
    </w:p>
    <w:p w14:paraId="59C74BE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（3）承包人撤离施工现场以及遣散承包人人员的款项；</w:t>
      </w:r>
    </w:p>
    <w:p w14:paraId="6A1DE22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（4）按照合同约定在合同解除前应支付的违约金；</w:t>
      </w:r>
    </w:p>
    <w:p w14:paraId="7DE2773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（5）按照合同约定应当支付给承包人的其他款项；</w:t>
      </w:r>
    </w:p>
    <w:p w14:paraId="3DBFFD9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（6）按照合同约定应退还的质量保证金；</w:t>
      </w:r>
    </w:p>
    <w:p w14:paraId="65E8177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（7）因解除合同给承包人造成的损失。</w:t>
      </w:r>
    </w:p>
    <w:p w14:paraId="484879E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合同当事人未能就解除合同后的结清达成一致的，按照第20条〔争议解决〕的约定处理。</w:t>
      </w:r>
    </w:p>
    <w:p w14:paraId="127F4E5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745500A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55" w:name="_Toc7383150"/>
      <w:bookmarkStart w:id="756" w:name="_Toc7972651"/>
      <w:r>
        <w:rPr>
          <w:rFonts w:hint="eastAsia" w:ascii="宋体" w:hAnsi="宋体" w:cs="宋体"/>
          <w:color w:val="000000" w:themeColor="text1"/>
          <w:sz w:val="24"/>
          <w:highlight w:val="none"/>
          <w14:textFill>
            <w14:solidFill>
              <w14:schemeClr w14:val="tx1"/>
            </w14:solidFill>
          </w14:textFill>
        </w:rPr>
        <w:t>16.2 承包人违约</w:t>
      </w:r>
      <w:bookmarkEnd w:id="755"/>
      <w:bookmarkEnd w:id="756"/>
    </w:p>
    <w:p w14:paraId="274F8CD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16.2.1 承包人违约的情形</w:t>
      </w:r>
    </w:p>
    <w:p w14:paraId="1E685DD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在合同履行过程中发生的下列情形，属于承包人违约：</w:t>
      </w:r>
    </w:p>
    <w:p w14:paraId="6B6CAEB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（1）承包人违反合同约定进行转包或违法分包的；</w:t>
      </w:r>
    </w:p>
    <w:p w14:paraId="1381452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（2）承包人违反合同约定采购和使用不合格的材料和工程设备的；</w:t>
      </w:r>
    </w:p>
    <w:p w14:paraId="36F9A95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（3）因承包人原因导致工程质量不符合合同要求的；</w:t>
      </w:r>
    </w:p>
    <w:p w14:paraId="22526F5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441C960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（5）承包人未能按施工进度计划及时完成合同约定的工作，造成工期延误的；</w:t>
      </w:r>
    </w:p>
    <w:p w14:paraId="487C4A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41F1C43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（7）承包人明确表示或者以其行为表明不履行合同主要义务的；</w:t>
      </w:r>
    </w:p>
    <w:p w14:paraId="5345F3E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（8）承包人未能按照合同约定履行其他义务的。</w:t>
      </w:r>
    </w:p>
    <w:p w14:paraId="11496FB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承包人发生除本项第（7）目约定以外的其他违约情况时，监理人可向承包人发出整改通知，要求其在指定的期限内改正。</w:t>
      </w:r>
    </w:p>
    <w:p w14:paraId="2389BBE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16.2.2 承包人违约的责任</w:t>
      </w:r>
    </w:p>
    <w:p w14:paraId="41F7C37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0091144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16.2.3 因承包人违约解除合同</w:t>
      </w:r>
    </w:p>
    <w:p w14:paraId="2A835AD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0E8A839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16.2.4因承包人违约解除合同后的处理</w:t>
      </w:r>
    </w:p>
    <w:p w14:paraId="68D2559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因承包人原因导致合同解除的，则合同当事人应在合同解除后28天内完成估价、付款和清算，并按以下约定执行：</w:t>
      </w:r>
    </w:p>
    <w:p w14:paraId="21291B1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44FA347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（2）合同解除后，承包人应支付的违约金；</w:t>
      </w:r>
    </w:p>
    <w:p w14:paraId="0C4ED1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（3）合同解除后，因解除合同给发包人造成的损失；</w:t>
      </w:r>
    </w:p>
    <w:p w14:paraId="76CA0B4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（4）合同解除后，承包人应按照发包人要求和监理人的指示完成现场的清理和撤离；</w:t>
      </w:r>
    </w:p>
    <w:p w14:paraId="3769C9F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（5）发包人和承包人应在合同解除后进行清算，出具最终结清付款证书，结清全部款项。</w:t>
      </w:r>
    </w:p>
    <w:p w14:paraId="561E6F4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因承包人违约解除合同的，发包人有权暂停对承包人的付款，查清各项付款和已扣款项。发包人和承包人未能就合同解除后的清算和款项支付达成一致的，按照第20条〔争议解决〕的约定处理。</w:t>
      </w:r>
    </w:p>
    <w:p w14:paraId="2FE04FE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16.2.5采购合同权益转让</w:t>
      </w:r>
    </w:p>
    <w:p w14:paraId="6314A37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4A29FFF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57" w:name="_Toc7383151"/>
      <w:bookmarkStart w:id="758" w:name="_Toc7972652"/>
      <w:r>
        <w:rPr>
          <w:rFonts w:hint="eastAsia" w:ascii="宋体" w:hAnsi="宋体" w:cs="宋体"/>
          <w:color w:val="000000" w:themeColor="text1"/>
          <w:sz w:val="24"/>
          <w:highlight w:val="none"/>
          <w14:textFill>
            <w14:solidFill>
              <w14:schemeClr w14:val="tx1"/>
            </w14:solidFill>
          </w14:textFill>
        </w:rPr>
        <w:t>16.3 第三人造成的违约</w:t>
      </w:r>
      <w:bookmarkEnd w:id="757"/>
      <w:bookmarkEnd w:id="758"/>
    </w:p>
    <w:p w14:paraId="350599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6D86FDD7">
      <w:pPr>
        <w:pStyle w:val="493"/>
        <w:spacing w:after="0" w:line="360" w:lineRule="auto"/>
        <w:rPr>
          <w:rFonts w:ascii="宋体" w:hAnsi="宋体" w:cs="宋体"/>
          <w:color w:val="000000" w:themeColor="text1"/>
          <w:sz w:val="24"/>
          <w:highlight w:val="none"/>
          <w14:textFill>
            <w14:solidFill>
              <w14:schemeClr w14:val="tx1"/>
            </w14:solidFill>
          </w14:textFill>
        </w:rPr>
      </w:pPr>
      <w:bookmarkStart w:id="759" w:name="_Toc7972653"/>
      <w:bookmarkStart w:id="760" w:name="_Toc7383152"/>
      <w:r>
        <w:rPr>
          <w:rFonts w:hint="eastAsia" w:ascii="宋体" w:hAnsi="宋体" w:cs="宋体"/>
          <w:color w:val="000000" w:themeColor="text1"/>
          <w:sz w:val="24"/>
          <w:highlight w:val="none"/>
          <w14:textFill>
            <w14:solidFill>
              <w14:schemeClr w14:val="tx1"/>
            </w14:solidFill>
          </w14:textFill>
        </w:rPr>
        <w:t>17. 不可抗力</w:t>
      </w:r>
      <w:bookmarkEnd w:id="759"/>
      <w:bookmarkEnd w:id="760"/>
    </w:p>
    <w:p w14:paraId="12B2B1C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1" w:name="_Toc7383153"/>
      <w:bookmarkStart w:id="762" w:name="_Toc7972654"/>
      <w:r>
        <w:rPr>
          <w:rFonts w:hint="eastAsia" w:ascii="宋体" w:hAnsi="宋体" w:cs="宋体"/>
          <w:color w:val="000000" w:themeColor="text1"/>
          <w:sz w:val="24"/>
          <w:highlight w:val="none"/>
          <w14:textFill>
            <w14:solidFill>
              <w14:schemeClr w14:val="tx1"/>
            </w14:solidFill>
          </w14:textFill>
        </w:rPr>
        <w:t>17.1 不可抗力的确认</w:t>
      </w:r>
      <w:bookmarkEnd w:id="761"/>
      <w:bookmarkEnd w:id="762"/>
    </w:p>
    <w:p w14:paraId="0909954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76D14EE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18666F3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3" w:name="_Toc7383154"/>
      <w:bookmarkStart w:id="764" w:name="_Toc7972655"/>
      <w:r>
        <w:rPr>
          <w:rFonts w:hint="eastAsia" w:ascii="宋体" w:hAnsi="宋体" w:cs="宋体"/>
          <w:color w:val="000000" w:themeColor="text1"/>
          <w:sz w:val="24"/>
          <w:highlight w:val="none"/>
          <w14:textFill>
            <w14:solidFill>
              <w14:schemeClr w14:val="tx1"/>
            </w14:solidFill>
          </w14:textFill>
        </w:rPr>
        <w:t>17.2 不可抗力的通知</w:t>
      </w:r>
      <w:bookmarkEnd w:id="763"/>
      <w:bookmarkEnd w:id="764"/>
    </w:p>
    <w:p w14:paraId="5E7901E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32AA55B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不可抗力持续发生的，合同一方当事人应及时向合同另一方当事人和监理人提交中间报告，说明不可抗力和履行合同受阻的情况，并于不可抗力事件结束后28天内提交最终报告及有关资料。</w:t>
      </w:r>
    </w:p>
    <w:p w14:paraId="5EB683C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5" w:name="_Toc7972656"/>
      <w:bookmarkStart w:id="766" w:name="_Toc7383155"/>
      <w:r>
        <w:rPr>
          <w:rFonts w:hint="eastAsia" w:ascii="宋体" w:hAnsi="宋体" w:cs="宋体"/>
          <w:color w:val="000000" w:themeColor="text1"/>
          <w:sz w:val="24"/>
          <w:highlight w:val="none"/>
          <w14:textFill>
            <w14:solidFill>
              <w14:schemeClr w14:val="tx1"/>
            </w14:solidFill>
          </w14:textFill>
        </w:rPr>
        <w:t>17.3 不可抗力后果的承担</w:t>
      </w:r>
      <w:bookmarkEnd w:id="765"/>
      <w:bookmarkEnd w:id="766"/>
    </w:p>
    <w:p w14:paraId="36D397C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17.3.1 不可抗力引起的后果及造成的损失由合同当事人按照法律规定及合同约定各自承担。不可抗力发生前已完成的工程应当按照合同约定进行计量支付。</w:t>
      </w:r>
    </w:p>
    <w:p w14:paraId="7FB79B9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17.3.2 不可抗力导致的人员伤亡、财产损失、费用增加和（或）工期延误等后果，由合同当事人按以下原则承担：</w:t>
      </w:r>
    </w:p>
    <w:p w14:paraId="1993881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（1）永久工程、已运至施工现场的材料和工程设备的损坏，以及因工程损坏造成的第三人人员伤亡和财产损失由发包人承担；</w:t>
      </w:r>
    </w:p>
    <w:p w14:paraId="6C65A02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（2）承包人施工设备的损坏由承包人承担；</w:t>
      </w:r>
    </w:p>
    <w:p w14:paraId="402CFC7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（3）发包人和承包人承担各自人员伤亡和财产的损失；</w:t>
      </w:r>
    </w:p>
    <w:p w14:paraId="27624F4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1B00580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（5）因不可抗力引起或将引起工期延误，发包人要求赶工的，由此增加的赶工费用由发包人承担；</w:t>
      </w:r>
    </w:p>
    <w:p w14:paraId="5717757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（6）承包人在停工期间按照发包人要求照管、清理和修复工程的费用由发包人承担。</w:t>
      </w:r>
    </w:p>
    <w:p w14:paraId="3D599D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351CB6B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因合同一方迟延履行合同义务，在迟延履行期间遭遇不可抗力的，不免除其违约责任。</w:t>
      </w:r>
    </w:p>
    <w:p w14:paraId="4636EF7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7" w:name="_Toc7383156"/>
      <w:bookmarkStart w:id="768" w:name="_Toc7972657"/>
      <w:r>
        <w:rPr>
          <w:rFonts w:hint="eastAsia" w:ascii="宋体" w:hAnsi="宋体" w:cs="宋体"/>
          <w:color w:val="000000" w:themeColor="text1"/>
          <w:sz w:val="24"/>
          <w:highlight w:val="none"/>
          <w14:textFill>
            <w14:solidFill>
              <w14:schemeClr w14:val="tx1"/>
            </w14:solidFill>
          </w14:textFill>
        </w:rPr>
        <w:t>17.4 因不可抗力解除合同</w:t>
      </w:r>
      <w:bookmarkEnd w:id="767"/>
      <w:bookmarkEnd w:id="768"/>
    </w:p>
    <w:p w14:paraId="74C1E22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因不可抗力导致合同无法履行连续超过84天或累计超过140天的，发包人和承包人均有权解除合同。合同解除后，由双方当事人按照第4.4款〔商定或确定〕商定或确定发包人应支付的款项，该款项包括：</w:t>
      </w:r>
    </w:p>
    <w:p w14:paraId="687433C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（1）合同解除前承包人已完成工作的价款；</w:t>
      </w:r>
    </w:p>
    <w:p w14:paraId="01BEA0E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（2）承包人为工程订购的并已交付给承包人，或承包人有责任接受交付的材料、工程设备和其他物品的价款；</w:t>
      </w:r>
    </w:p>
    <w:p w14:paraId="5D3933B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（3）发包人要求承包人退货或解除订货合同而产生的费用，或因不能退货或解除合同而产生的损失；</w:t>
      </w:r>
    </w:p>
    <w:p w14:paraId="3FBF8C3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（4）承包人撤离施工现场以及遣散承包人人员的费用；</w:t>
      </w:r>
    </w:p>
    <w:p w14:paraId="51EA964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（5）按照合同约定在合同解除前应支付给承包人的其他款项；</w:t>
      </w:r>
    </w:p>
    <w:p w14:paraId="26C4BA8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（6）扣减承包人按照合同约定应向发包人支付的款项；</w:t>
      </w:r>
    </w:p>
    <w:p w14:paraId="05B236F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（7）双方商定或确定的其他款项。</w:t>
      </w:r>
    </w:p>
    <w:p w14:paraId="4D480D9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除专用合同条款另有约定外，合同解除后，发包人应在商定或确定上述款项后28天内完成上述款项的支付。</w:t>
      </w:r>
    </w:p>
    <w:p w14:paraId="09456A41">
      <w:pPr>
        <w:pStyle w:val="493"/>
        <w:spacing w:after="0" w:line="360" w:lineRule="auto"/>
        <w:rPr>
          <w:rFonts w:ascii="宋体" w:hAnsi="宋体" w:cs="宋体"/>
          <w:color w:val="000000" w:themeColor="text1"/>
          <w:sz w:val="24"/>
          <w:highlight w:val="none"/>
          <w14:textFill>
            <w14:solidFill>
              <w14:schemeClr w14:val="tx1"/>
            </w14:solidFill>
          </w14:textFill>
        </w:rPr>
      </w:pPr>
      <w:bookmarkStart w:id="769" w:name="_Toc7972658"/>
      <w:bookmarkStart w:id="770" w:name="_Toc7383157"/>
      <w:r>
        <w:rPr>
          <w:rFonts w:hint="eastAsia" w:ascii="宋体" w:hAnsi="宋体" w:cs="宋体"/>
          <w:color w:val="000000" w:themeColor="text1"/>
          <w:sz w:val="24"/>
          <w:highlight w:val="none"/>
          <w14:textFill>
            <w14:solidFill>
              <w14:schemeClr w14:val="tx1"/>
            </w14:solidFill>
          </w14:textFill>
        </w:rPr>
        <w:t>18. 保险</w:t>
      </w:r>
      <w:bookmarkEnd w:id="769"/>
      <w:bookmarkEnd w:id="770"/>
    </w:p>
    <w:p w14:paraId="3FE79CA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1" w:name="_Toc7972659"/>
      <w:bookmarkStart w:id="772" w:name="_Toc7383158"/>
      <w:r>
        <w:rPr>
          <w:rFonts w:hint="eastAsia" w:ascii="宋体" w:hAnsi="宋体" w:cs="宋体"/>
          <w:color w:val="000000" w:themeColor="text1"/>
          <w:sz w:val="24"/>
          <w:highlight w:val="none"/>
          <w14:textFill>
            <w14:solidFill>
              <w14:schemeClr w14:val="tx1"/>
            </w14:solidFill>
          </w14:textFill>
        </w:rPr>
        <w:t>18.1 工程保险</w:t>
      </w:r>
      <w:bookmarkEnd w:id="771"/>
      <w:bookmarkEnd w:id="772"/>
    </w:p>
    <w:p w14:paraId="266AB6E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1673E85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3" w:name="_Toc7383159"/>
      <w:bookmarkStart w:id="774" w:name="_Toc7972660"/>
      <w:r>
        <w:rPr>
          <w:rFonts w:hint="eastAsia" w:ascii="宋体" w:hAnsi="宋体" w:cs="宋体"/>
          <w:color w:val="000000" w:themeColor="text1"/>
          <w:sz w:val="24"/>
          <w:highlight w:val="none"/>
          <w14:textFill>
            <w14:solidFill>
              <w14:schemeClr w14:val="tx1"/>
            </w14:solidFill>
          </w14:textFill>
        </w:rPr>
        <w:t>18.2 工伤保险</w:t>
      </w:r>
      <w:bookmarkEnd w:id="773"/>
      <w:bookmarkEnd w:id="774"/>
    </w:p>
    <w:p w14:paraId="2214337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18.2.1 发包人应依照法律规定参加工伤保险，并为在施工现场的全部员工办理工伤保险，缴纳工伤保险费，并要求监理人及由发包人为履行合同聘请的第三方依法参加工伤保险。</w:t>
      </w:r>
    </w:p>
    <w:p w14:paraId="435B50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18.2.2 承包人应依照法律规定参加工伤保险，并为其履行合同的全部员工办理工伤保险，缴纳工伤保险费，并要求分包人及由承包人为履行合同聘请的第三方依法参加工伤保险。</w:t>
      </w:r>
    </w:p>
    <w:p w14:paraId="3DEF405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5" w:name="_Toc7383160"/>
      <w:bookmarkStart w:id="776" w:name="_Toc7972661"/>
      <w:r>
        <w:rPr>
          <w:rFonts w:hint="eastAsia" w:ascii="宋体" w:hAnsi="宋体" w:cs="宋体"/>
          <w:color w:val="000000" w:themeColor="text1"/>
          <w:sz w:val="24"/>
          <w:highlight w:val="none"/>
          <w14:textFill>
            <w14:solidFill>
              <w14:schemeClr w14:val="tx1"/>
            </w14:solidFill>
          </w14:textFill>
        </w:rPr>
        <w:t>18.3其他保险</w:t>
      </w:r>
      <w:bookmarkEnd w:id="775"/>
      <w:bookmarkEnd w:id="776"/>
    </w:p>
    <w:p w14:paraId="6556003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发包人和承包人可以为其施工现场的全部人员办理意外伤害保险并支付保险费，包括其员工及为履行合同聘请的第三方的人员，具体事项由合同当事人在专用合同条款约定。</w:t>
      </w:r>
    </w:p>
    <w:p w14:paraId="0959D8C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除专用合同条款另有约定外，承包人应为其施工设备等办理财产保险。</w:t>
      </w:r>
    </w:p>
    <w:p w14:paraId="1A111F9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7" w:name="_Toc7972662"/>
      <w:bookmarkStart w:id="778" w:name="_Toc7383161"/>
      <w:r>
        <w:rPr>
          <w:rFonts w:hint="eastAsia" w:ascii="宋体" w:hAnsi="宋体" w:cs="宋体"/>
          <w:color w:val="000000" w:themeColor="text1"/>
          <w:sz w:val="24"/>
          <w:highlight w:val="none"/>
          <w14:textFill>
            <w14:solidFill>
              <w14:schemeClr w14:val="tx1"/>
            </w14:solidFill>
          </w14:textFill>
        </w:rPr>
        <w:t>18.4持续保险</w:t>
      </w:r>
      <w:bookmarkEnd w:id="777"/>
      <w:bookmarkEnd w:id="778"/>
    </w:p>
    <w:p w14:paraId="316CDEE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686347F4">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9" w:name="_Toc7972663"/>
      <w:bookmarkStart w:id="780" w:name="_Toc7383162"/>
      <w:r>
        <w:rPr>
          <w:rFonts w:hint="eastAsia" w:ascii="宋体" w:hAnsi="宋体" w:cs="宋体"/>
          <w:color w:val="000000" w:themeColor="text1"/>
          <w:sz w:val="24"/>
          <w:highlight w:val="none"/>
          <w14:textFill>
            <w14:solidFill>
              <w14:schemeClr w14:val="tx1"/>
            </w14:solidFill>
          </w14:textFill>
        </w:rPr>
        <w:t>18.5 保险凭证</w:t>
      </w:r>
      <w:bookmarkEnd w:id="779"/>
      <w:bookmarkEnd w:id="780"/>
    </w:p>
    <w:p w14:paraId="33C91AC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合同当事人应及时向另一方当事人提交其已投保的各项保险的凭证和保险单复印件。</w:t>
      </w:r>
    </w:p>
    <w:p w14:paraId="71F84F8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1" w:name="_Toc7972664"/>
      <w:bookmarkStart w:id="782" w:name="_Toc7383163"/>
      <w:r>
        <w:rPr>
          <w:rFonts w:hint="eastAsia" w:ascii="宋体" w:hAnsi="宋体" w:cs="宋体"/>
          <w:color w:val="000000" w:themeColor="text1"/>
          <w:sz w:val="24"/>
          <w:highlight w:val="none"/>
          <w14:textFill>
            <w14:solidFill>
              <w14:schemeClr w14:val="tx1"/>
            </w14:solidFill>
          </w14:textFill>
        </w:rPr>
        <w:t>18.6 未按约定投保的补救</w:t>
      </w:r>
      <w:bookmarkEnd w:id="781"/>
      <w:bookmarkEnd w:id="782"/>
    </w:p>
    <w:p w14:paraId="41DC2EA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61C8DEE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78F282B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3" w:name="_Toc7383164"/>
      <w:bookmarkStart w:id="784" w:name="_Toc7972665"/>
      <w:r>
        <w:rPr>
          <w:rFonts w:hint="eastAsia" w:ascii="宋体" w:hAnsi="宋体" w:cs="宋体"/>
          <w:color w:val="000000" w:themeColor="text1"/>
          <w:sz w:val="24"/>
          <w:highlight w:val="none"/>
          <w14:textFill>
            <w14:solidFill>
              <w14:schemeClr w14:val="tx1"/>
            </w14:solidFill>
          </w14:textFill>
        </w:rPr>
        <w:t>18.7 通知义务</w:t>
      </w:r>
      <w:bookmarkEnd w:id="783"/>
      <w:bookmarkEnd w:id="784"/>
    </w:p>
    <w:p w14:paraId="10E38A1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163BE4D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129B2A80">
      <w:pPr>
        <w:pStyle w:val="493"/>
        <w:spacing w:after="0" w:line="360" w:lineRule="auto"/>
        <w:rPr>
          <w:rFonts w:ascii="宋体" w:hAnsi="宋体" w:cs="宋体"/>
          <w:color w:val="000000" w:themeColor="text1"/>
          <w:sz w:val="24"/>
          <w:highlight w:val="none"/>
          <w14:textFill>
            <w14:solidFill>
              <w14:schemeClr w14:val="tx1"/>
            </w14:solidFill>
          </w14:textFill>
        </w:rPr>
      </w:pPr>
      <w:bookmarkStart w:id="785" w:name="_Toc7972666"/>
      <w:bookmarkStart w:id="786" w:name="_Toc7383165"/>
      <w:r>
        <w:rPr>
          <w:rFonts w:hint="eastAsia" w:ascii="宋体" w:hAnsi="宋体" w:cs="宋体"/>
          <w:color w:val="000000" w:themeColor="text1"/>
          <w:sz w:val="24"/>
          <w:highlight w:val="none"/>
          <w14:textFill>
            <w14:solidFill>
              <w14:schemeClr w14:val="tx1"/>
            </w14:solidFill>
          </w14:textFill>
        </w:rPr>
        <w:t>19. 索赔</w:t>
      </w:r>
      <w:bookmarkEnd w:id="785"/>
      <w:bookmarkEnd w:id="786"/>
    </w:p>
    <w:p w14:paraId="6BE88EA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7" w:name="_Toc7383166"/>
      <w:bookmarkStart w:id="788" w:name="_Toc7972667"/>
      <w:r>
        <w:rPr>
          <w:rFonts w:hint="eastAsia" w:ascii="宋体" w:hAnsi="宋体" w:cs="宋体"/>
          <w:color w:val="000000" w:themeColor="text1"/>
          <w:sz w:val="24"/>
          <w:highlight w:val="none"/>
          <w14:textFill>
            <w14:solidFill>
              <w14:schemeClr w14:val="tx1"/>
            </w14:solidFill>
          </w14:textFill>
        </w:rPr>
        <w:t>19.1承包人的索赔</w:t>
      </w:r>
      <w:bookmarkEnd w:id="787"/>
      <w:bookmarkEnd w:id="788"/>
    </w:p>
    <w:p w14:paraId="649A4EA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根据合同约定，承包人认为有权得到追加付款和（或）延长工期的，应按以下程序向发包人提出索赔：</w:t>
      </w:r>
    </w:p>
    <w:p w14:paraId="2EAF7E7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678F4B6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3B01541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0C982C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23BFF06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9" w:name="_Toc7972668"/>
      <w:bookmarkStart w:id="790" w:name="_Toc7383167"/>
      <w:r>
        <w:rPr>
          <w:rFonts w:hint="eastAsia" w:ascii="宋体" w:hAnsi="宋体" w:cs="宋体"/>
          <w:color w:val="000000" w:themeColor="text1"/>
          <w:sz w:val="24"/>
          <w:highlight w:val="none"/>
          <w14:textFill>
            <w14:solidFill>
              <w14:schemeClr w14:val="tx1"/>
            </w14:solidFill>
          </w14:textFill>
        </w:rPr>
        <w:t>19.2 对承包人索赔的处理</w:t>
      </w:r>
      <w:bookmarkEnd w:id="789"/>
      <w:bookmarkEnd w:id="790"/>
    </w:p>
    <w:p w14:paraId="3BABCFF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对承包人索赔的处理如下：</w:t>
      </w:r>
    </w:p>
    <w:p w14:paraId="47CF94B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（1）监理人应在收到索赔报告后14天内完成审查并报送发包人。监理人对索赔报告存在异议的，有权要求承包人提交全部原始记录副本；</w:t>
      </w:r>
    </w:p>
    <w:p w14:paraId="0215C4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3AB9FFF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（3）承包人接受索赔处理结果的，索赔款项在当期进度款中进行支付；承包人不接受索赔处理结果的，按照第20条〔争议解决〕约定处理。</w:t>
      </w:r>
    </w:p>
    <w:p w14:paraId="346DB7D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1" w:name="_Toc7383168"/>
      <w:bookmarkStart w:id="792" w:name="_Toc7972669"/>
      <w:r>
        <w:rPr>
          <w:rFonts w:hint="eastAsia" w:ascii="宋体" w:hAnsi="宋体" w:cs="宋体"/>
          <w:color w:val="000000" w:themeColor="text1"/>
          <w:sz w:val="24"/>
          <w:highlight w:val="none"/>
          <w14:textFill>
            <w14:solidFill>
              <w14:schemeClr w14:val="tx1"/>
            </w14:solidFill>
          </w14:textFill>
        </w:rPr>
        <w:t>19.3发包人的索赔</w:t>
      </w:r>
      <w:bookmarkEnd w:id="791"/>
      <w:bookmarkEnd w:id="792"/>
    </w:p>
    <w:p w14:paraId="60A74F4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根据合同约定，发包人认为有权得到赔付金额和（或）延长缺陷责任期的，监理人应向承包人发出通知并附有详细的证明。</w:t>
      </w:r>
    </w:p>
    <w:p w14:paraId="5B3364F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5584E46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3" w:name="_Toc7383169"/>
      <w:bookmarkStart w:id="794" w:name="_Toc7972670"/>
      <w:r>
        <w:rPr>
          <w:rFonts w:hint="eastAsia" w:ascii="宋体" w:hAnsi="宋体" w:cs="宋体"/>
          <w:color w:val="000000" w:themeColor="text1"/>
          <w:sz w:val="24"/>
          <w:highlight w:val="none"/>
          <w14:textFill>
            <w14:solidFill>
              <w14:schemeClr w14:val="tx1"/>
            </w14:solidFill>
          </w14:textFill>
        </w:rPr>
        <w:t>19.4 对发包人索赔的处理</w:t>
      </w:r>
      <w:bookmarkEnd w:id="793"/>
      <w:bookmarkEnd w:id="794"/>
    </w:p>
    <w:p w14:paraId="3CDB8DA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对发包人索赔的处理如下：</w:t>
      </w:r>
    </w:p>
    <w:p w14:paraId="726981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（1）承包人收到发包人提交的索赔报告后，应及时审查索赔报告的内容、查验发包人证明材料；</w:t>
      </w:r>
    </w:p>
    <w:p w14:paraId="445B317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5E6F9FC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5B41E0D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5" w:name="_Toc7383170"/>
      <w:bookmarkStart w:id="796" w:name="_Toc7972671"/>
      <w:r>
        <w:rPr>
          <w:rFonts w:hint="eastAsia" w:ascii="宋体" w:hAnsi="宋体" w:cs="宋体"/>
          <w:color w:val="000000" w:themeColor="text1"/>
          <w:sz w:val="24"/>
          <w:highlight w:val="none"/>
          <w14:textFill>
            <w14:solidFill>
              <w14:schemeClr w14:val="tx1"/>
            </w14:solidFill>
          </w14:textFill>
        </w:rPr>
        <w:t>19.5 提出索赔的期限</w:t>
      </w:r>
      <w:bookmarkEnd w:id="795"/>
      <w:bookmarkEnd w:id="796"/>
    </w:p>
    <w:p w14:paraId="3CC0F3F2">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（1）承包人按第14.2款〔竣工结算审核〕约定接收竣工付款证书后，应被视为已无权再提出在工程接收证书颁发前所发生的任何索赔。</w:t>
      </w:r>
    </w:p>
    <w:p w14:paraId="6FD1DF58">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34BDDF8A">
      <w:pPr>
        <w:pStyle w:val="493"/>
        <w:spacing w:after="0" w:line="360" w:lineRule="auto"/>
        <w:rPr>
          <w:rFonts w:ascii="宋体" w:hAnsi="宋体" w:cs="宋体"/>
          <w:color w:val="000000" w:themeColor="text1"/>
          <w:sz w:val="24"/>
          <w:highlight w:val="none"/>
          <w14:textFill>
            <w14:solidFill>
              <w14:schemeClr w14:val="tx1"/>
            </w14:solidFill>
          </w14:textFill>
        </w:rPr>
      </w:pPr>
      <w:bookmarkStart w:id="797" w:name="_Toc7972672"/>
      <w:bookmarkStart w:id="798" w:name="_Toc7383171"/>
      <w:r>
        <w:rPr>
          <w:rFonts w:hint="eastAsia" w:ascii="宋体" w:hAnsi="宋体" w:cs="宋体"/>
          <w:color w:val="000000" w:themeColor="text1"/>
          <w:sz w:val="24"/>
          <w:highlight w:val="none"/>
          <w14:textFill>
            <w14:solidFill>
              <w14:schemeClr w14:val="tx1"/>
            </w14:solidFill>
          </w14:textFill>
        </w:rPr>
        <w:t>20. 争议解决</w:t>
      </w:r>
      <w:bookmarkEnd w:id="797"/>
      <w:bookmarkEnd w:id="798"/>
    </w:p>
    <w:p w14:paraId="7225D90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9" w:name="_Toc7383172"/>
      <w:bookmarkStart w:id="800" w:name="_Toc7972673"/>
      <w:r>
        <w:rPr>
          <w:rFonts w:hint="eastAsia" w:ascii="宋体" w:hAnsi="宋体" w:cs="宋体"/>
          <w:color w:val="000000" w:themeColor="text1"/>
          <w:sz w:val="24"/>
          <w:highlight w:val="none"/>
          <w14:textFill>
            <w14:solidFill>
              <w14:schemeClr w14:val="tx1"/>
            </w14:solidFill>
          </w14:textFill>
        </w:rPr>
        <w:t>20.1和解</w:t>
      </w:r>
      <w:bookmarkEnd w:id="799"/>
      <w:bookmarkEnd w:id="800"/>
    </w:p>
    <w:p w14:paraId="62B7643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7ADD2B8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1" w:name="_Toc7383173"/>
      <w:bookmarkStart w:id="802" w:name="_Toc7972674"/>
      <w:r>
        <w:rPr>
          <w:rFonts w:hint="eastAsia" w:ascii="宋体" w:hAnsi="宋体" w:cs="宋体"/>
          <w:color w:val="000000" w:themeColor="text1"/>
          <w:sz w:val="24"/>
          <w:highlight w:val="none"/>
          <w14:textFill>
            <w14:solidFill>
              <w14:schemeClr w14:val="tx1"/>
            </w14:solidFill>
          </w14:textFill>
        </w:rPr>
        <w:t>20.2调解</w:t>
      </w:r>
      <w:bookmarkEnd w:id="801"/>
      <w:bookmarkEnd w:id="802"/>
    </w:p>
    <w:p w14:paraId="082A63A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1D6DEA8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3" w:name="_Toc7972675"/>
      <w:bookmarkStart w:id="804" w:name="_Toc7383174"/>
      <w:r>
        <w:rPr>
          <w:rFonts w:hint="eastAsia" w:ascii="宋体" w:hAnsi="宋体" w:cs="宋体"/>
          <w:color w:val="000000" w:themeColor="text1"/>
          <w:sz w:val="24"/>
          <w:highlight w:val="none"/>
          <w14:textFill>
            <w14:solidFill>
              <w14:schemeClr w14:val="tx1"/>
            </w14:solidFill>
          </w14:textFill>
        </w:rPr>
        <w:t>20.3争议评审</w:t>
      </w:r>
      <w:bookmarkEnd w:id="803"/>
      <w:bookmarkEnd w:id="804"/>
    </w:p>
    <w:p w14:paraId="2EFD8E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合同当事人在专用合同条款中约定采取争议评审方式解决争议以及评审规则，并按下列约定执行：</w:t>
      </w:r>
    </w:p>
    <w:p w14:paraId="71DE1B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20.3.1 争议评审小组的确定</w:t>
      </w:r>
    </w:p>
    <w:p w14:paraId="6EC6D21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合同当事人可以共同选择一名或三名争议评审员，组成争议评审小组。除专用合同条款另有约定外，合同当事人应当自合同签订后28天内，或者争议发生后14天内，选定争议评审员。</w:t>
      </w:r>
    </w:p>
    <w:p w14:paraId="390A04F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p>
    <w:p w14:paraId="39BA38C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除专用合同条款另有约定外，评审员报酬由发包人和承包人各承担一半。</w:t>
      </w:r>
    </w:p>
    <w:p w14:paraId="674D582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20.3.2 争议评审小组的决定</w:t>
      </w:r>
    </w:p>
    <w:p w14:paraId="6EE5429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31334A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20.3.3 争议评审小组决定的效力</w:t>
      </w:r>
    </w:p>
    <w:p w14:paraId="2FDE37E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争议评审小组作出的书面决定经合同当事人签字确认后，对双方具有约束力，双方应遵照执行。</w:t>
      </w:r>
    </w:p>
    <w:p w14:paraId="1AF1FE3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2549C48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5" w:name="_Toc7972676"/>
      <w:bookmarkStart w:id="806" w:name="_Toc7383175"/>
      <w:r>
        <w:rPr>
          <w:rFonts w:hint="eastAsia" w:ascii="宋体" w:hAnsi="宋体" w:cs="宋体"/>
          <w:color w:val="000000" w:themeColor="text1"/>
          <w:sz w:val="24"/>
          <w:highlight w:val="none"/>
          <w14:textFill>
            <w14:solidFill>
              <w14:schemeClr w14:val="tx1"/>
            </w14:solidFill>
          </w14:textFill>
        </w:rPr>
        <w:t>20.4仲裁或诉讼</w:t>
      </w:r>
      <w:bookmarkEnd w:id="805"/>
      <w:bookmarkEnd w:id="806"/>
    </w:p>
    <w:p w14:paraId="04109E8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因合同及合同有关事项产生的争议，合同当事人可以在专用合同条款中约定以下一种方式解决争议：</w:t>
      </w:r>
    </w:p>
    <w:p w14:paraId="5DB8176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（1）向约定的仲裁委员会申请仲裁；</w:t>
      </w:r>
    </w:p>
    <w:p w14:paraId="70BB90C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（2）向有管辖权的人民法院起诉。</w:t>
      </w:r>
    </w:p>
    <w:p w14:paraId="110BB2F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7" w:name="_Toc7972677"/>
      <w:bookmarkStart w:id="808" w:name="_Toc7383176"/>
      <w:r>
        <w:rPr>
          <w:rFonts w:hint="eastAsia" w:ascii="宋体" w:hAnsi="宋体" w:cs="宋体"/>
          <w:color w:val="000000" w:themeColor="text1"/>
          <w:sz w:val="24"/>
          <w:highlight w:val="none"/>
          <w14:textFill>
            <w14:solidFill>
              <w14:schemeClr w14:val="tx1"/>
            </w14:solidFill>
          </w14:textFill>
        </w:rPr>
        <w:t>20.5争议解决条款效力</w:t>
      </w:r>
      <w:bookmarkEnd w:id="807"/>
      <w:bookmarkEnd w:id="808"/>
    </w:p>
    <w:p w14:paraId="0C8A2FA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合同有关争议解决的条款独立存在，合同的变更、解除、终止、无效或者被撤销均不影响其效力。</w:t>
      </w:r>
    </w:p>
    <w:p w14:paraId="64093881">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p>
    <w:p w14:paraId="53715ED3">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20EA70B7">
      <w:pPr>
        <w:pStyle w:val="493"/>
        <w:spacing w:after="0" w:line="360" w:lineRule="auto"/>
        <w:jc w:val="center"/>
        <w:outlineLvl w:val="1"/>
        <w:rPr>
          <w:rFonts w:ascii="宋体" w:hAnsi="宋体" w:cs="宋体"/>
          <w:b/>
          <w:color w:val="000000" w:themeColor="text1"/>
          <w:sz w:val="24"/>
          <w:highlight w:val="none"/>
          <w14:textFill>
            <w14:solidFill>
              <w14:schemeClr w14:val="tx1"/>
            </w14:solidFill>
          </w14:textFill>
        </w:rPr>
      </w:pPr>
      <w:bookmarkStart w:id="809" w:name="_Toc7383177"/>
      <w:bookmarkStart w:id="810" w:name="_Toc18323"/>
      <w:bookmarkStart w:id="811" w:name="_Toc26218"/>
      <w:bookmarkStart w:id="812" w:name="_Toc7972678"/>
      <w:bookmarkStart w:id="813" w:name="_Toc18995"/>
      <w:r>
        <w:rPr>
          <w:rFonts w:hint="eastAsia" w:ascii="宋体" w:hAnsi="宋体" w:cs="宋体"/>
          <w:b/>
          <w:color w:val="000000" w:themeColor="text1"/>
          <w:sz w:val="24"/>
          <w:highlight w:val="none"/>
          <w14:textFill>
            <w14:solidFill>
              <w14:schemeClr w14:val="tx1"/>
            </w14:solidFill>
          </w14:textFill>
        </w:rPr>
        <w:t>第三部分 专用合同条款</w:t>
      </w:r>
      <w:bookmarkEnd w:id="809"/>
      <w:bookmarkEnd w:id="810"/>
      <w:bookmarkEnd w:id="811"/>
      <w:bookmarkEnd w:id="812"/>
      <w:bookmarkEnd w:id="813"/>
    </w:p>
    <w:bookmarkEnd w:id="505"/>
    <w:p w14:paraId="17BF07B9">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14" w:name="_Toc7972679"/>
      <w:bookmarkStart w:id="815" w:name="_Toc7383178"/>
      <w:r>
        <w:rPr>
          <w:rFonts w:hint="eastAsia" w:ascii="宋体" w:hAnsi="宋体" w:eastAsia="宋体" w:cs="宋体"/>
          <w:color w:val="000000" w:themeColor="text1"/>
          <w:sz w:val="24"/>
          <w:szCs w:val="24"/>
          <w:highlight w:val="none"/>
          <w14:textFill>
            <w14:solidFill>
              <w14:schemeClr w14:val="tx1"/>
            </w14:solidFill>
          </w14:textFill>
        </w:rPr>
        <w:t>1. 一般约定</w:t>
      </w:r>
      <w:bookmarkEnd w:id="814"/>
      <w:bookmarkEnd w:id="815"/>
    </w:p>
    <w:p w14:paraId="38D7105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词语定义</w:t>
      </w:r>
    </w:p>
    <w:p w14:paraId="28A97F34">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1.1.1合同</w:t>
      </w:r>
    </w:p>
    <w:p w14:paraId="1285AB19">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eastAsia="宋体" w:cs="宋体"/>
          <w:color w:val="000000" w:themeColor="text1"/>
          <w:sz w:val="24"/>
          <w:szCs w:val="24"/>
          <w:highlight w:val="none"/>
          <w:u w:val="single"/>
          <w14:textFill>
            <w14:solidFill>
              <w14:schemeClr w14:val="tx1"/>
            </w14:solidFill>
          </w14:textFill>
        </w:rPr>
        <w:t>补充协议、当事人双方以及设计人和监理人共同签字确认的会议纪要</w:t>
      </w:r>
      <w:r>
        <w:rPr>
          <w:rFonts w:hint="eastAsia" w:ascii="宋体" w:hAnsi="宋体" w:eastAsia="宋体" w:cs="宋体"/>
          <w:color w:val="000000" w:themeColor="text1"/>
          <w:sz w:val="24"/>
          <w:szCs w:val="24"/>
          <w:highlight w:val="none"/>
          <w14:textFill>
            <w14:solidFill>
              <w14:schemeClr w14:val="tx1"/>
            </w14:solidFill>
          </w14:textFill>
        </w:rPr>
        <w:t>。</w:t>
      </w:r>
    </w:p>
    <w:p w14:paraId="1DB6AF9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1.1.2合同当事人及其他相关方</w:t>
      </w:r>
    </w:p>
    <w:p w14:paraId="6ADEC1B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1.1.2.4监理人：</w:t>
      </w:r>
    </w:p>
    <w:p w14:paraId="64EFF9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p>
    <w:p w14:paraId="24428E1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资质类别和等级：；</w:t>
      </w:r>
    </w:p>
    <w:p w14:paraId="6A7E53C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2AD9A50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12D7378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2875391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1.1.2.5 设计人：</w:t>
      </w:r>
    </w:p>
    <w:p w14:paraId="68EB8CA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p>
    <w:p w14:paraId="51321D2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资质类别和等级：；</w:t>
      </w:r>
    </w:p>
    <w:p w14:paraId="0971238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4F1DB7A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5DEF6EE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44F62FE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1.1.3工程和设备</w:t>
      </w:r>
    </w:p>
    <w:p w14:paraId="1DA6ECB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eastAsia="宋体" w:cs="宋体"/>
          <w:color w:val="000000" w:themeColor="text1"/>
          <w:sz w:val="24"/>
          <w:szCs w:val="24"/>
          <w:highlight w:val="none"/>
          <w:u w:val="single"/>
          <w14:textFill>
            <w14:solidFill>
              <w14:schemeClr w14:val="tx1"/>
            </w14:solidFill>
          </w14:textFill>
        </w:rPr>
        <w:t>符合通用条款规定的发包方提供的施工场地</w:t>
      </w:r>
      <w:r>
        <w:rPr>
          <w:rFonts w:hint="eastAsia" w:ascii="宋体" w:hAnsi="宋体" w:eastAsia="宋体" w:cs="宋体"/>
          <w:color w:val="000000" w:themeColor="text1"/>
          <w:sz w:val="24"/>
          <w:szCs w:val="24"/>
          <w:highlight w:val="none"/>
          <w14:textFill>
            <w14:solidFill>
              <w14:schemeClr w14:val="tx1"/>
            </w14:solidFill>
          </w14:textFill>
        </w:rPr>
        <w:t>。</w:t>
      </w:r>
    </w:p>
    <w:p w14:paraId="2FCC10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1.1.3.9 永久占地包括：</w:t>
      </w:r>
      <w:r>
        <w:rPr>
          <w:rFonts w:hint="eastAsia" w:ascii="宋体" w:hAnsi="宋体" w:eastAsia="宋体" w:cs="宋体"/>
          <w:color w:val="000000" w:themeColor="text1"/>
          <w:sz w:val="24"/>
          <w:szCs w:val="24"/>
          <w:highlight w:val="none"/>
          <w:u w:val="single"/>
          <w14:textFill>
            <w14:solidFill>
              <w14:schemeClr w14:val="tx1"/>
            </w14:solidFill>
          </w14:textFill>
        </w:rPr>
        <w:t>依据设计图纸确定</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D0A8D5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1.1.3.10 临时占地包括：</w:t>
      </w:r>
      <w:r>
        <w:rPr>
          <w:rFonts w:hint="eastAsia" w:ascii="宋体" w:hAnsi="宋体" w:eastAsia="宋体" w:cs="宋体"/>
          <w:color w:val="000000" w:themeColor="text1"/>
          <w:sz w:val="24"/>
          <w:szCs w:val="24"/>
          <w:highlight w:val="none"/>
          <w:u w:val="single"/>
          <w14:textFill>
            <w14:solidFill>
              <w14:schemeClr w14:val="tx1"/>
            </w14:solidFill>
          </w14:textFill>
        </w:rPr>
        <w:t>双方在合同履行过程中确定，费用由承包人自行承担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F385DE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1.3法律</w:t>
      </w:r>
    </w:p>
    <w:p w14:paraId="6931B46C">
      <w:pPr>
        <w:pStyle w:val="494"/>
        <w:autoSpaceDE w:val="0"/>
        <w:autoSpaceDN w:val="0"/>
        <w:adjustRightInd w:val="0"/>
        <w:spacing w:after="0" w:line="360" w:lineRule="auto"/>
        <w:ind w:left="596" w:leftChars="284"/>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适用于合同的其他规范性文件：</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0522167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 标准和规范</w:t>
      </w:r>
    </w:p>
    <w:p w14:paraId="2D7976B2">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1.4.1适用于工程的标准规范包括：</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69E03A86">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1.4.2发包人提供国外标准、规范的名称：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4F6EEC7">
      <w:pPr>
        <w:pStyle w:val="494"/>
        <w:spacing w:after="0" w:line="360" w:lineRule="auto"/>
        <w:ind w:firstLine="720" w:firstLineChars="3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D158558">
      <w:pPr>
        <w:pStyle w:val="494"/>
        <w:spacing w:after="0" w:line="360" w:lineRule="auto"/>
        <w:ind w:firstLine="720" w:firstLineChars="3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2EADD2D">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1.4.3发包人对工程的技术标准和功能要求的特殊要求：</w:t>
      </w:r>
    </w:p>
    <w:p w14:paraId="79ECCE71">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（适用</w:t>
      </w:r>
      <w:r>
        <w:rPr>
          <w:rFonts w:hint="eastAsia" w:ascii="宋体" w:hAnsi="宋体" w:eastAsia="宋体" w:cs="宋体"/>
          <w:color w:val="000000" w:themeColor="text1"/>
          <w:kern w:val="0"/>
          <w:sz w:val="24"/>
          <w:szCs w:val="24"/>
          <w:highlight w:val="none"/>
          <w:u w:val="single"/>
          <w14:textFill>
            <w14:solidFill>
              <w14:schemeClr w14:val="tx1"/>
            </w14:solidFill>
          </w14:textFill>
        </w:rPr>
        <w:t>国家标准以及发包人制定的相关质量管理办法，并将发包人的质量管理办法作为本合同的附件。当本工程部分内容无国家标准适用时，按以下优先顺序选用适用的专业标准、规范；（1）没有国家标准、规范，适用行业标准、规范；（2）没有行业标准、规范的，适用部门标准、规范；（3）强制性标准优先适用于推荐性标准；（4）以上标准均没有的，可以参照工程所在地地方标准、规范；（5）发包人和承包方双方协商。）</w:t>
      </w:r>
      <w:r>
        <w:rPr>
          <w:rFonts w:hint="eastAsia" w:ascii="宋体" w:hAnsi="宋体" w:eastAsia="宋体" w:cs="宋体"/>
          <w:color w:val="000000" w:themeColor="text1"/>
          <w:sz w:val="24"/>
          <w:szCs w:val="24"/>
          <w:highlight w:val="none"/>
          <w14:textFill>
            <w14:solidFill>
              <w14:schemeClr w14:val="tx1"/>
            </w14:solidFill>
          </w14:textFill>
        </w:rPr>
        <w:t>。</w:t>
      </w:r>
    </w:p>
    <w:p w14:paraId="77F83DB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 合同文件的优先顺序</w:t>
      </w:r>
    </w:p>
    <w:p w14:paraId="2F84D99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合同文件组成及优先顺序为：</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0722DAE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 图纸和承包人文件</w:t>
      </w:r>
      <w:r>
        <w:rPr>
          <w:rFonts w:hint="eastAsia" w:ascii="宋体" w:hAnsi="宋体" w:eastAsia="宋体" w:cs="宋体"/>
          <w:color w:val="000000" w:themeColor="text1"/>
          <w:sz w:val="24"/>
          <w:szCs w:val="24"/>
          <w:highlight w:val="none"/>
          <w14:textFill>
            <w14:solidFill>
              <w14:schemeClr w14:val="tx1"/>
            </w14:solidFill>
          </w14:textFill>
        </w:rPr>
        <w:tab/>
      </w:r>
    </w:p>
    <w:p w14:paraId="33611A7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1.6.1图纸的提供</w:t>
      </w:r>
    </w:p>
    <w:p w14:paraId="1B268B2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eastAsia="宋体" w:cs="宋体"/>
          <w:color w:val="000000" w:themeColor="text1"/>
          <w:sz w:val="24"/>
          <w:szCs w:val="24"/>
          <w:highlight w:val="none"/>
          <w:u w:val="single"/>
          <w14:textFill>
            <w14:solidFill>
              <w14:schemeClr w14:val="tx1"/>
            </w14:solidFill>
          </w14:textFill>
        </w:rPr>
        <w:t>按照施工阶段性需求逐步提供</w:t>
      </w:r>
      <w:r>
        <w:rPr>
          <w:rFonts w:hint="eastAsia" w:ascii="宋体" w:hAnsi="宋体" w:eastAsia="宋体" w:cs="宋体"/>
          <w:color w:val="000000" w:themeColor="text1"/>
          <w:sz w:val="24"/>
          <w:szCs w:val="24"/>
          <w:highlight w:val="none"/>
          <w14:textFill>
            <w14:solidFill>
              <w14:schemeClr w14:val="tx1"/>
            </w14:solidFill>
          </w14:textFill>
        </w:rPr>
        <w:t>；承包人同意发包人按照专用条款约定的期限提供图纸，并删除通用条款第1.6.1条约定“</w:t>
      </w:r>
      <w:r>
        <w:rPr>
          <w:rFonts w:hint="eastAsia" w:ascii="宋体" w:hAnsi="宋体" w:eastAsia="宋体" w:cs="宋体"/>
          <w:color w:val="000000" w:themeColor="text1"/>
          <w:kern w:val="0"/>
          <w:sz w:val="24"/>
          <w:szCs w:val="24"/>
          <w:highlight w:val="none"/>
          <w14:textFill>
            <w14:solidFill>
              <w14:schemeClr w14:val="tx1"/>
            </w14:solidFill>
          </w14:textFill>
        </w:rPr>
        <w:t>发包人至迟不得晚于第7.3.2项〔开工通知〕载明的开工日期前14天向承包人提供图纸。</w:t>
      </w:r>
      <w:r>
        <w:rPr>
          <w:rFonts w:hint="eastAsia" w:ascii="宋体" w:hAnsi="宋体" w:eastAsia="宋体" w:cs="宋体"/>
          <w:color w:val="000000" w:themeColor="text1"/>
          <w:sz w:val="24"/>
          <w:szCs w:val="24"/>
          <w:highlight w:val="none"/>
          <w14:textFill>
            <w14:solidFill>
              <w14:schemeClr w14:val="tx1"/>
            </w14:solidFill>
          </w14:textFill>
        </w:rPr>
        <w:t>”</w:t>
      </w:r>
    </w:p>
    <w:p w14:paraId="2F0D8B1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eastAsia="宋体" w:cs="宋体"/>
          <w:color w:val="000000" w:themeColor="text1"/>
          <w:sz w:val="24"/>
          <w:szCs w:val="24"/>
          <w:highlight w:val="none"/>
          <w:u w:val="single"/>
          <w14:textFill>
            <w14:solidFill>
              <w14:schemeClr w14:val="tx1"/>
            </w14:solidFill>
          </w14:textFill>
        </w:rPr>
        <w:t>4套（包括竣工图）</w:t>
      </w:r>
      <w:r>
        <w:rPr>
          <w:rFonts w:hint="eastAsia" w:ascii="宋体" w:hAnsi="宋体" w:eastAsia="宋体" w:cs="宋体"/>
          <w:color w:val="000000" w:themeColor="text1"/>
          <w:sz w:val="24"/>
          <w:szCs w:val="24"/>
          <w:highlight w:val="none"/>
          <w14:textFill>
            <w14:solidFill>
              <w14:schemeClr w14:val="tx1"/>
            </w14:solidFill>
          </w14:textFill>
        </w:rPr>
        <w:t>；</w:t>
      </w:r>
    </w:p>
    <w:p w14:paraId="18D0D4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eastAsia="宋体" w:cs="宋体"/>
          <w:color w:val="000000" w:themeColor="text1"/>
          <w:sz w:val="24"/>
          <w:szCs w:val="24"/>
          <w:highlight w:val="none"/>
          <w:u w:val="single"/>
          <w14:textFill>
            <w14:solidFill>
              <w14:schemeClr w14:val="tx1"/>
            </w14:solidFill>
          </w14:textFill>
        </w:rPr>
        <w:t>施工图</w:t>
      </w:r>
      <w:r>
        <w:rPr>
          <w:rFonts w:hint="eastAsia" w:ascii="宋体" w:hAnsi="宋体" w:eastAsia="宋体" w:cs="宋体"/>
          <w:color w:val="000000" w:themeColor="text1"/>
          <w:sz w:val="24"/>
          <w:szCs w:val="24"/>
          <w:highlight w:val="none"/>
          <w14:textFill>
            <w14:solidFill>
              <w14:schemeClr w14:val="tx1"/>
            </w14:solidFill>
          </w14:textFill>
        </w:rPr>
        <w:t>。</w:t>
      </w:r>
    </w:p>
    <w:p w14:paraId="3DD1B45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1.6.4承包人文件</w:t>
      </w:r>
    </w:p>
    <w:p w14:paraId="33C8A29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需要由承包人提供的文件，包括：；</w:t>
      </w:r>
    </w:p>
    <w:p w14:paraId="671404F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承包人提供的文件的期限为：</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22FBE7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承包人提供的文件的数量为：</w:t>
      </w:r>
      <w:r>
        <w:rPr>
          <w:rFonts w:hint="eastAsia" w:ascii="宋体" w:hAnsi="宋体" w:eastAsia="宋体" w:cs="宋体"/>
          <w:color w:val="000000" w:themeColor="text1"/>
          <w:kern w:val="0"/>
          <w:sz w:val="24"/>
          <w:szCs w:val="24"/>
          <w:highlight w:val="none"/>
          <w:u w:val="single"/>
          <w14:textFill>
            <w14:solidFill>
              <w14:schemeClr w14:val="tx1"/>
            </w14:solidFill>
          </w14:textFill>
        </w:rPr>
        <w:t>8</w:t>
      </w:r>
      <w:r>
        <w:rPr>
          <w:rFonts w:hint="eastAsia" w:ascii="宋体" w:hAnsi="宋体" w:eastAsia="宋体" w:cs="宋体"/>
          <w:color w:val="000000" w:themeColor="text1"/>
          <w:kern w:val="0"/>
          <w:sz w:val="24"/>
          <w:szCs w:val="24"/>
          <w:highlight w:val="none"/>
          <w14:textFill>
            <w14:solidFill>
              <w14:schemeClr w14:val="tx1"/>
            </w14:solidFill>
          </w14:textFill>
        </w:rPr>
        <w:t>套</w:t>
      </w:r>
      <w:r>
        <w:rPr>
          <w:rFonts w:hint="eastAsia" w:ascii="宋体" w:hAnsi="宋体" w:eastAsia="宋体" w:cs="宋体"/>
          <w:color w:val="000000" w:themeColor="text1"/>
          <w:sz w:val="24"/>
          <w:szCs w:val="24"/>
          <w:highlight w:val="none"/>
          <w14:textFill>
            <w14:solidFill>
              <w14:schemeClr w14:val="tx1"/>
            </w14:solidFill>
          </w14:textFill>
        </w:rPr>
        <w:t>；</w:t>
      </w:r>
    </w:p>
    <w:p w14:paraId="5067A1A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承包人提供的文件的形式为：</w:t>
      </w:r>
      <w:r>
        <w:rPr>
          <w:rFonts w:hint="eastAsia" w:ascii="宋体" w:hAnsi="宋体" w:eastAsia="宋体" w:cs="宋体"/>
          <w:color w:val="000000" w:themeColor="text1"/>
          <w:sz w:val="24"/>
          <w:szCs w:val="24"/>
          <w:highlight w:val="none"/>
          <w:u w:val="single"/>
          <w14:textFill>
            <w14:solidFill>
              <w14:schemeClr w14:val="tx1"/>
            </w14:solidFill>
          </w14:textFill>
        </w:rPr>
        <w:t>纸质文档及电子文档</w:t>
      </w:r>
      <w:r>
        <w:rPr>
          <w:rFonts w:hint="eastAsia" w:ascii="宋体" w:hAnsi="宋体" w:eastAsia="宋体" w:cs="宋体"/>
          <w:color w:val="000000" w:themeColor="text1"/>
          <w:sz w:val="24"/>
          <w:szCs w:val="24"/>
          <w:highlight w:val="none"/>
          <w14:textFill>
            <w14:solidFill>
              <w14:schemeClr w14:val="tx1"/>
            </w14:solidFill>
          </w14:textFill>
        </w:rPr>
        <w:t>；</w:t>
      </w:r>
    </w:p>
    <w:p w14:paraId="3B81001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发包人审批承包人文件的期限：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收到相应文件15天内</w:t>
      </w:r>
      <w:r>
        <w:rPr>
          <w:rFonts w:hint="eastAsia" w:ascii="宋体" w:hAnsi="宋体" w:eastAsia="宋体" w:cs="宋体"/>
          <w:color w:val="000000" w:themeColor="text1"/>
          <w:sz w:val="24"/>
          <w:szCs w:val="24"/>
          <w:highlight w:val="none"/>
          <w14:textFill>
            <w14:solidFill>
              <w14:schemeClr w14:val="tx1"/>
            </w14:solidFill>
          </w14:textFill>
        </w:rPr>
        <w:t>。</w:t>
      </w:r>
    </w:p>
    <w:p w14:paraId="7B11227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1.6.5现场图纸准备</w:t>
      </w:r>
    </w:p>
    <w:p w14:paraId="4CFC021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关于现场图纸准备的约定：</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7636F8F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 联络</w:t>
      </w:r>
    </w:p>
    <w:p w14:paraId="1366B96F">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eastAsia="宋体" w:cs="宋体"/>
          <w:color w:val="000000" w:themeColor="text1"/>
          <w:sz w:val="24"/>
          <w:szCs w:val="24"/>
          <w:highlight w:val="none"/>
          <w:u w:val="single"/>
          <w14:textFill>
            <w14:solidFill>
              <w14:schemeClr w14:val="tx1"/>
            </w14:solidFill>
          </w14:textFill>
        </w:rPr>
        <w:t>7</w:t>
      </w:r>
      <w:r>
        <w:rPr>
          <w:rFonts w:hint="eastAsia" w:ascii="宋体" w:hAnsi="宋体" w:eastAsia="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4F6AAB33">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1.7.2发包人接收文件的地点：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工程现场项目部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AD57207">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发包人指定的接收人为：。</w:t>
      </w:r>
    </w:p>
    <w:p w14:paraId="2A2A2452">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工程现场项目部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063CACF">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承包人指定的接收人为：。</w:t>
      </w:r>
    </w:p>
    <w:p w14:paraId="0BC7EE46">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现场项目监理部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879D3F8">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监理人指定的接收人为：。</w:t>
      </w:r>
    </w:p>
    <w:p w14:paraId="33FC4B3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 交通运输</w:t>
      </w:r>
    </w:p>
    <w:p w14:paraId="2E36771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1.10.1出入现场的权利</w:t>
      </w:r>
    </w:p>
    <w:p w14:paraId="4266C80A">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关于出入现场的权利的约定：</w:t>
      </w:r>
      <w:r>
        <w:rPr>
          <w:rFonts w:hint="eastAsia" w:ascii="宋体" w:hAnsi="宋体" w:eastAsia="宋体" w:cs="宋体"/>
          <w:color w:val="000000" w:themeColor="text1"/>
          <w:sz w:val="24"/>
          <w:szCs w:val="24"/>
          <w:highlight w:val="none"/>
          <w:u w:val="single"/>
          <w14:textFill>
            <w14:solidFill>
              <w14:schemeClr w14:val="tx1"/>
            </w14:solidFill>
          </w14:textFill>
        </w:rPr>
        <w:t>由承包人按发包人要求负责取得出入施工现场所需的批准手续和全部权利，以及取得因施工所需修建道路以及其他基础设施的权利，并由承包人承担相关手续费用和建设费用</w:t>
      </w:r>
      <w:r>
        <w:rPr>
          <w:rFonts w:hint="eastAsia" w:ascii="宋体" w:hAnsi="宋体" w:eastAsia="宋体" w:cs="宋体"/>
          <w:color w:val="000000" w:themeColor="text1"/>
          <w:sz w:val="24"/>
          <w:szCs w:val="24"/>
          <w:highlight w:val="none"/>
          <w14:textFill>
            <w14:solidFill>
              <w14:schemeClr w14:val="tx1"/>
            </w14:solidFill>
          </w14:textFill>
        </w:rPr>
        <w:t>。</w:t>
      </w:r>
    </w:p>
    <w:p w14:paraId="55D1163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1.10.3场内交通</w:t>
      </w:r>
    </w:p>
    <w:p w14:paraId="594E905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eastAsia="宋体" w:cs="宋体"/>
          <w:color w:val="000000" w:themeColor="text1"/>
          <w:sz w:val="24"/>
          <w:szCs w:val="24"/>
          <w:highlight w:val="none"/>
          <w:u w:val="single"/>
          <w14:textFill>
            <w14:solidFill>
              <w14:schemeClr w14:val="tx1"/>
            </w14:solidFill>
          </w14:textFill>
        </w:rPr>
        <w:t>项目净用地红线</w:t>
      </w:r>
      <w:r>
        <w:rPr>
          <w:rFonts w:hint="eastAsia" w:ascii="宋体" w:hAnsi="宋体" w:eastAsia="宋体" w:cs="宋体"/>
          <w:color w:val="000000" w:themeColor="text1"/>
          <w:sz w:val="24"/>
          <w:szCs w:val="24"/>
          <w:highlight w:val="none"/>
          <w14:textFill>
            <w14:solidFill>
              <w14:schemeClr w14:val="tx1"/>
            </w14:solidFill>
          </w14:textFill>
        </w:rPr>
        <w:t>。</w:t>
      </w:r>
    </w:p>
    <w:p w14:paraId="302B85B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eastAsia="宋体" w:cs="宋体"/>
          <w:color w:val="000000" w:themeColor="text1"/>
          <w:sz w:val="24"/>
          <w:szCs w:val="24"/>
          <w:highlight w:val="none"/>
          <w:u w:val="single"/>
          <w14:textFill>
            <w14:solidFill>
              <w14:schemeClr w14:val="tx1"/>
            </w14:solidFill>
          </w14:textFill>
        </w:rPr>
        <w:t>承包人负责，并承担相应费用</w:t>
      </w:r>
      <w:r>
        <w:rPr>
          <w:rFonts w:hint="eastAsia" w:ascii="宋体" w:hAnsi="宋体" w:eastAsia="宋体" w:cs="宋体"/>
          <w:color w:val="000000" w:themeColor="text1"/>
          <w:sz w:val="24"/>
          <w:szCs w:val="24"/>
          <w:highlight w:val="none"/>
          <w14:textFill>
            <w14:solidFill>
              <w14:schemeClr w14:val="tx1"/>
            </w14:solidFill>
          </w14:textFill>
        </w:rPr>
        <w:t>。</w:t>
      </w:r>
    </w:p>
    <w:p w14:paraId="7DA9CAF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1.10.4超大件和超重件的运输</w:t>
      </w:r>
    </w:p>
    <w:p w14:paraId="0A23139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eastAsia="宋体" w:cs="宋体"/>
          <w:color w:val="000000" w:themeColor="text1"/>
          <w:sz w:val="24"/>
          <w:szCs w:val="24"/>
          <w:highlight w:val="none"/>
          <w:u w:val="single"/>
          <w14:textFill>
            <w14:solidFill>
              <w14:schemeClr w14:val="tx1"/>
            </w14:solidFill>
          </w14:textFill>
        </w:rPr>
        <w:t>承包人</w:t>
      </w:r>
      <w:r>
        <w:rPr>
          <w:rFonts w:hint="eastAsia" w:ascii="宋体" w:hAnsi="宋体" w:eastAsia="宋体" w:cs="宋体"/>
          <w:color w:val="000000" w:themeColor="text1"/>
          <w:sz w:val="24"/>
          <w:szCs w:val="24"/>
          <w:highlight w:val="none"/>
          <w14:textFill>
            <w14:solidFill>
              <w14:schemeClr w14:val="tx1"/>
            </w14:solidFill>
          </w14:textFill>
        </w:rPr>
        <w:t>承担。</w:t>
      </w:r>
    </w:p>
    <w:p w14:paraId="6E81FC7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知识产权</w:t>
      </w:r>
    </w:p>
    <w:p w14:paraId="5E86235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szCs w:val="24"/>
          <w:highlight w:val="none"/>
          <w:u w:val="single"/>
          <w14:textFill>
            <w14:solidFill>
              <w14:schemeClr w14:val="tx1"/>
            </w14:solidFill>
          </w14:textFill>
        </w:rPr>
        <w:t>由发包人享有</w:t>
      </w:r>
      <w:r>
        <w:rPr>
          <w:rFonts w:hint="eastAsia" w:ascii="宋体" w:hAnsi="宋体" w:eastAsia="宋体" w:cs="宋体"/>
          <w:color w:val="000000" w:themeColor="text1"/>
          <w:sz w:val="24"/>
          <w:szCs w:val="24"/>
          <w:highlight w:val="none"/>
          <w14:textFill>
            <w14:solidFill>
              <w14:schemeClr w14:val="tx1"/>
            </w14:solidFill>
          </w14:textFill>
        </w:rPr>
        <w:t>。</w:t>
      </w:r>
    </w:p>
    <w:p w14:paraId="21E6B1A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eastAsia="宋体" w:cs="宋体"/>
          <w:color w:val="000000" w:themeColor="text1"/>
          <w:sz w:val="24"/>
          <w:szCs w:val="24"/>
          <w:highlight w:val="none"/>
          <w:u w:val="single"/>
          <w14:textFill>
            <w14:solidFill>
              <w14:schemeClr w14:val="tx1"/>
            </w14:solidFill>
          </w14:textFill>
        </w:rPr>
        <w:t>未经发包人书面同意，承包人不得擅自复制、传送或向第三人转让、传播、泄露</w:t>
      </w:r>
      <w:r>
        <w:rPr>
          <w:rFonts w:hint="eastAsia" w:ascii="宋体" w:hAnsi="宋体" w:eastAsia="宋体" w:cs="宋体"/>
          <w:color w:val="000000" w:themeColor="text1"/>
          <w:sz w:val="24"/>
          <w:szCs w:val="24"/>
          <w:highlight w:val="none"/>
          <w14:textFill>
            <w14:solidFill>
              <w14:schemeClr w14:val="tx1"/>
            </w14:solidFill>
          </w14:textFill>
        </w:rPr>
        <w:t>。</w:t>
      </w:r>
    </w:p>
    <w:p w14:paraId="760251C7">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1.11.2关于承包人为实施工程所编制文件的著作权的归属：</w:t>
      </w:r>
      <w:r>
        <w:rPr>
          <w:rFonts w:hint="eastAsia" w:ascii="宋体" w:hAnsi="宋体" w:eastAsia="宋体" w:cs="宋体"/>
          <w:color w:val="000000" w:themeColor="text1"/>
          <w:sz w:val="24"/>
          <w:szCs w:val="24"/>
          <w:highlight w:val="none"/>
          <w:u w:val="single"/>
          <w14:textFill>
            <w14:solidFill>
              <w14:schemeClr w14:val="tx1"/>
            </w14:solidFill>
          </w14:textFill>
        </w:rPr>
        <w:t>由发包人享有</w:t>
      </w:r>
      <w:r>
        <w:rPr>
          <w:rFonts w:hint="eastAsia" w:ascii="宋体" w:hAnsi="宋体" w:eastAsia="宋体" w:cs="宋体"/>
          <w:color w:val="000000" w:themeColor="text1"/>
          <w:sz w:val="24"/>
          <w:szCs w:val="24"/>
          <w:highlight w:val="none"/>
          <w14:textFill>
            <w14:solidFill>
              <w14:schemeClr w14:val="tx1"/>
            </w14:solidFill>
          </w14:textFill>
        </w:rPr>
        <w:t>。</w:t>
      </w:r>
    </w:p>
    <w:p w14:paraId="1F6C97A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eastAsia="宋体" w:cs="宋体"/>
          <w:color w:val="000000" w:themeColor="text1"/>
          <w:sz w:val="24"/>
          <w:szCs w:val="24"/>
          <w:highlight w:val="none"/>
          <w:u w:val="single"/>
          <w14:textFill>
            <w14:solidFill>
              <w14:schemeClr w14:val="tx1"/>
            </w14:solidFill>
          </w14:textFill>
        </w:rPr>
        <w:t>未经发包人书面同意，承包人不得擅自复制、传送或向第三人转让、传播、泄露</w:t>
      </w:r>
      <w:r>
        <w:rPr>
          <w:rFonts w:hint="eastAsia" w:ascii="宋体" w:hAnsi="宋体" w:eastAsia="宋体" w:cs="宋体"/>
          <w:color w:val="000000" w:themeColor="text1"/>
          <w:sz w:val="24"/>
          <w:szCs w:val="24"/>
          <w:highlight w:val="none"/>
          <w14:textFill>
            <w14:solidFill>
              <w14:schemeClr w14:val="tx1"/>
            </w14:solidFill>
          </w14:textFill>
        </w:rPr>
        <w:t>。</w:t>
      </w:r>
    </w:p>
    <w:p w14:paraId="3B3B8E89">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1.11.4承包人在施工过程中所采用的专利、专有技术、技术秘密的使用费的承担方式：</w:t>
      </w:r>
      <w:r>
        <w:rPr>
          <w:rFonts w:hint="eastAsia" w:ascii="宋体" w:hAnsi="宋体" w:eastAsia="宋体" w:cs="宋体"/>
          <w:color w:val="000000" w:themeColor="text1"/>
          <w:sz w:val="24"/>
          <w:szCs w:val="24"/>
          <w:highlight w:val="none"/>
          <w:u w:val="single"/>
          <w14:textFill>
            <w14:solidFill>
              <w14:schemeClr w14:val="tx1"/>
            </w14:solidFill>
          </w14:textFill>
        </w:rPr>
        <w:t>已包含在合同价款中</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B4B694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1.13工程量清单错误的修正</w:t>
      </w:r>
    </w:p>
    <w:p w14:paraId="579B4FD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eastAsia="宋体" w:cs="宋体"/>
          <w:color w:val="000000" w:themeColor="text1"/>
          <w:sz w:val="24"/>
          <w:szCs w:val="24"/>
          <w:highlight w:val="none"/>
          <w:u w:val="single"/>
          <w14:textFill>
            <w14:solidFill>
              <w14:schemeClr w14:val="tx1"/>
            </w14:solidFill>
          </w14:textFill>
        </w:rPr>
        <w:t>按下述约定调整</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0A49BAF">
      <w:pPr>
        <w:pStyle w:val="494"/>
        <w:spacing w:after="0" w:line="360" w:lineRule="auto"/>
        <w:ind w:firstLine="480" w:firstLineChars="200"/>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eastAsia="宋体" w:cs="宋体"/>
          <w:b/>
          <w:bCs/>
          <w:color w:val="000000" w:themeColor="text1"/>
          <w:sz w:val="24"/>
          <w:szCs w:val="24"/>
          <w:highlight w:val="none"/>
          <w:u w:val="single"/>
          <w14:textFill>
            <w14:solidFill>
              <w14:schemeClr w14:val="tx1"/>
            </w14:solidFill>
          </w14:textFill>
        </w:rPr>
        <w:t>根据施工图纸（含设计变更）和相关工程现行国家计量规范规定的工程量计算规则、按实际完成、发包人予以认可的工程量进行计算，清单范围内的综合单价不作调整。</w:t>
      </w:r>
    </w:p>
    <w:p w14:paraId="11FF1532">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16" w:name="_Toc7383179"/>
      <w:bookmarkStart w:id="817" w:name="_Toc7972680"/>
      <w:r>
        <w:rPr>
          <w:rFonts w:hint="eastAsia" w:ascii="宋体" w:hAnsi="宋体" w:eastAsia="宋体" w:cs="宋体"/>
          <w:color w:val="000000" w:themeColor="text1"/>
          <w:sz w:val="24"/>
          <w:szCs w:val="24"/>
          <w:highlight w:val="none"/>
          <w14:textFill>
            <w14:solidFill>
              <w14:schemeClr w14:val="tx1"/>
            </w14:solidFill>
          </w14:textFill>
        </w:rPr>
        <w:t>2. 发包人</w:t>
      </w:r>
      <w:bookmarkEnd w:id="816"/>
      <w:bookmarkEnd w:id="817"/>
    </w:p>
    <w:p w14:paraId="64C8E6B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发包人代表</w:t>
      </w:r>
    </w:p>
    <w:p w14:paraId="66A289C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发包人代表：</w:t>
      </w:r>
    </w:p>
    <w:p w14:paraId="6455EAE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p w14:paraId="5DB8C50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p>
    <w:p w14:paraId="4784DB8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p>
    <w:p w14:paraId="2ADA63D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76522D8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7AE716D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44D5D213">
      <w:pPr>
        <w:pStyle w:val="494"/>
        <w:spacing w:after="0" w:line="360" w:lineRule="auto"/>
        <w:ind w:firstLine="480" w:firstLineChars="20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eastAsia="宋体" w:cs="宋体"/>
          <w:color w:val="000000" w:themeColor="text1"/>
          <w:sz w:val="24"/>
          <w:szCs w:val="24"/>
          <w:highlight w:val="none"/>
          <w:u w:val="single"/>
          <w14:textFill>
            <w14:solidFill>
              <w14:schemeClr w14:val="tx1"/>
            </w14:solidFill>
          </w14:textFill>
        </w:rPr>
        <w:t>督促指导监理工程师行使职权，协调施工现场各方面的关系，协调工程质量，进度和安全文明施工中存在的问题，解决有关设计和技术签证，办理、签认现场经济技术签证，审核工程进度报表</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下列事项需经发包人盖章核实认可，否则对发包人不产生法律效力：①开工令；②停工令；③复工令；④工程材料及设备的选定和认定；⑤工程设计变更；⑥工程量的增减及工程量的认定；⑦工期顺延；⑧工程结算、工程进度款支付、批报工程量月报、材料计划表及本《建设工程施工合同》中没有明确、需在施工过程中认定的价格及其他一切有可能引起合同价款和工期变动的原始测量、记录及最终认定等；⑨其他涉及有关索赔事项和造价增减等事项。就上述事项若承包人未取得发包人盖章核实认可就开展相关工作的，承包人承担由此产生的一切责任，同时，造成发包人损失的，还应赔偿发包人损失。</w:t>
      </w:r>
    </w:p>
    <w:p w14:paraId="5425FA8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 施工现场、施工条件和基础资料的提供</w:t>
      </w:r>
    </w:p>
    <w:p w14:paraId="3D4F36B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2.4.1提供施工现场</w:t>
      </w:r>
    </w:p>
    <w:p w14:paraId="4A4541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eastAsia="宋体" w:cs="宋体"/>
          <w:color w:val="000000" w:themeColor="text1"/>
          <w:kern w:val="0"/>
          <w:sz w:val="24"/>
          <w:szCs w:val="24"/>
          <w:highlight w:val="none"/>
          <w:u w:val="single"/>
          <w14:textFill>
            <w14:solidFill>
              <w14:schemeClr w14:val="tx1"/>
            </w14:solidFill>
          </w14:textFill>
        </w:rPr>
        <w:t>合同签订后，施工单位根据属地单位提供的用地情况组织施工</w:t>
      </w:r>
      <w:r>
        <w:rPr>
          <w:rFonts w:hint="eastAsia" w:ascii="宋体" w:hAnsi="宋体" w:eastAsia="宋体" w:cs="宋体"/>
          <w:color w:val="000000" w:themeColor="text1"/>
          <w:sz w:val="24"/>
          <w:szCs w:val="24"/>
          <w:highlight w:val="none"/>
          <w14:textFill>
            <w14:solidFill>
              <w14:schemeClr w14:val="tx1"/>
            </w14:solidFill>
          </w14:textFill>
        </w:rPr>
        <w:t>。</w:t>
      </w:r>
    </w:p>
    <w:p w14:paraId="129FF2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2.4.2提供施工条件</w:t>
      </w:r>
    </w:p>
    <w:p w14:paraId="0B456617">
      <w:pPr>
        <w:pStyle w:val="494"/>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eastAsia="宋体" w:cs="宋体"/>
          <w:color w:val="000000" w:themeColor="text1"/>
          <w:sz w:val="24"/>
          <w:szCs w:val="24"/>
          <w:highlight w:val="none"/>
          <w:u w:val="single"/>
          <w14:textFill>
            <w14:solidFill>
              <w14:schemeClr w14:val="tx1"/>
            </w14:solidFill>
          </w14:textFill>
        </w:rPr>
        <w:t>发包人负责在开工前协调水电接入点，施工过程中相应水、电费由承包人承担。如果发包人提供的条件不满足施工需要，承包人在施工现场移交后的15日内书面提出调整要求，双方再协商解决。如承包人未在上述期限内提出调整要求,则视为发包人已提供符合本合同约定及承包人要求的水源接口及供水量、电源接口容量，工期不会因任何设备的更换和（或）供电增容延误而获得延长，无论发包人实际提供的水源、电源接口位置是否有变化，承包人调整及采取相应的措施而增加的任何费用，均已包含在合同价款内</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施工场地内地下管线和地下设施等有关资料由发包人提供，承包人应进行现场核实，并承担相应的复查义务和责任。承包人设置办公用房、生活用房所需的临建场地及费用由承包人自行解决</w:t>
      </w:r>
      <w:r>
        <w:rPr>
          <w:rFonts w:hint="eastAsia" w:ascii="宋体" w:hAnsi="宋体" w:eastAsia="宋体" w:cs="宋体"/>
          <w:color w:val="000000" w:themeColor="text1"/>
          <w:sz w:val="24"/>
          <w:szCs w:val="24"/>
          <w:highlight w:val="none"/>
          <w14:textFill>
            <w14:solidFill>
              <w14:schemeClr w14:val="tx1"/>
            </w14:solidFill>
          </w14:textFill>
        </w:rPr>
        <w:t>。</w:t>
      </w:r>
    </w:p>
    <w:p w14:paraId="6AF5EC6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 资金来源证明及支付担保</w:t>
      </w:r>
    </w:p>
    <w:p w14:paraId="1502D81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E42255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发包人是否提供支付担保：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25E9469">
      <w:pPr>
        <w:pStyle w:val="494"/>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发包人提供支付担保的形式：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7CE7501">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18" w:name="_Toc7383180"/>
      <w:bookmarkStart w:id="819" w:name="_Toc7972681"/>
      <w:r>
        <w:rPr>
          <w:rFonts w:hint="eastAsia" w:ascii="宋体" w:hAnsi="宋体" w:eastAsia="宋体" w:cs="宋体"/>
          <w:color w:val="000000" w:themeColor="text1"/>
          <w:sz w:val="24"/>
          <w:szCs w:val="24"/>
          <w:highlight w:val="none"/>
          <w14:textFill>
            <w14:solidFill>
              <w14:schemeClr w14:val="tx1"/>
            </w14:solidFill>
          </w14:textFill>
        </w:rPr>
        <w:t>3. 承包人</w:t>
      </w:r>
      <w:bookmarkEnd w:id="818"/>
      <w:bookmarkEnd w:id="819"/>
    </w:p>
    <w:p w14:paraId="2FACCE3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 承包人的一般义务</w:t>
      </w:r>
    </w:p>
    <w:p w14:paraId="650EBB19">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承包人提交的竣工资料的内容：</w:t>
      </w:r>
      <w:r>
        <w:rPr>
          <w:rFonts w:hint="eastAsia" w:ascii="宋体" w:hAnsi="宋体" w:eastAsia="宋体" w:cs="宋体"/>
          <w:color w:val="000000" w:themeColor="text1"/>
          <w:sz w:val="24"/>
          <w:szCs w:val="24"/>
          <w:highlight w:val="none"/>
          <w:u w:val="single"/>
          <w14:textFill>
            <w14:solidFill>
              <w14:schemeClr w14:val="tx1"/>
            </w14:solidFill>
          </w14:textFill>
        </w:rPr>
        <w:t>承包人按</w:t>
      </w:r>
      <w:r>
        <w:rPr>
          <w:rFonts w:hint="eastAsia" w:ascii="宋体" w:hAnsi="宋体" w:eastAsia="宋体" w:cs="宋体"/>
          <w:color w:val="000000" w:themeColor="text1"/>
          <w:kern w:val="0"/>
          <w:sz w:val="24"/>
          <w:szCs w:val="24"/>
          <w:highlight w:val="none"/>
          <w:u w:val="single"/>
          <w14:textFill>
            <w14:solidFill>
              <w14:schemeClr w14:val="tx1"/>
            </w14:solidFill>
          </w14:textFill>
        </w:rPr>
        <w:t>《云南省建筑工程资料管理规程》（DBJ53/T-2011）、云南省关于工程建设档案管理的规定、规范及城建档案部门的要求，包含全部工程竣工资料及声像资料，</w:t>
      </w:r>
      <w:r>
        <w:rPr>
          <w:rFonts w:hint="eastAsia" w:ascii="宋体" w:hAnsi="宋体" w:eastAsia="宋体" w:cs="宋体"/>
          <w:color w:val="000000" w:themeColor="text1"/>
          <w:sz w:val="24"/>
          <w:szCs w:val="24"/>
          <w:highlight w:val="none"/>
          <w:u w:val="single"/>
          <w14:textFill>
            <w14:solidFill>
              <w14:schemeClr w14:val="tx1"/>
            </w14:solidFill>
          </w14:textFill>
        </w:rPr>
        <w:t>向发包人提交完整竣工图纸及以竣工图一致的电子文档。竣工资料包括但不仅限于①工程实施概况和大事记；②已完工程移交清单；③工程竣工图；④列入保修期继续施工的尾工工程项目清单；⑤需缺陷修复项目清单⑥施工期的观测资料；⑦监理人指示应列入竣工报告的各类施工文件、施工原始记录以及其它补充的竣工资料；⑧合同项目竣工财务结算资料；⑨按相关档案管理单位需要及发包人工程档案收集整理要求的其他资料。若承包人不按规定提交竣工资料的，发包人将不予结算合同价款</w:t>
      </w:r>
      <w:r>
        <w:rPr>
          <w:rFonts w:hint="eastAsia" w:ascii="宋体" w:hAnsi="宋体" w:eastAsia="宋体" w:cs="宋体"/>
          <w:color w:val="000000" w:themeColor="text1"/>
          <w:sz w:val="24"/>
          <w:szCs w:val="24"/>
          <w:highlight w:val="none"/>
          <w14:textFill>
            <w14:solidFill>
              <w14:schemeClr w14:val="tx1"/>
            </w14:solidFill>
          </w14:textFill>
        </w:rPr>
        <w:t>。</w:t>
      </w:r>
    </w:p>
    <w:p w14:paraId="1F5FC78E">
      <w:pPr>
        <w:pStyle w:val="494"/>
        <w:spacing w:after="0" w:line="360" w:lineRule="auto"/>
        <w:ind w:firstLine="720" w:firstLineChars="3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eastAsia="宋体" w:cs="宋体"/>
          <w:color w:val="000000" w:themeColor="text1"/>
          <w:sz w:val="24"/>
          <w:szCs w:val="24"/>
          <w:highlight w:val="none"/>
          <w:u w:val="single"/>
          <w14:textFill>
            <w14:solidFill>
              <w14:schemeClr w14:val="tx1"/>
            </w14:solidFill>
          </w14:textFill>
        </w:rPr>
        <w:t>8套</w:t>
      </w:r>
      <w:r>
        <w:rPr>
          <w:rFonts w:hint="eastAsia" w:ascii="宋体" w:hAnsi="宋体" w:eastAsia="宋体" w:cs="宋体"/>
          <w:color w:val="000000" w:themeColor="text1"/>
          <w:sz w:val="24"/>
          <w:szCs w:val="24"/>
          <w:highlight w:val="none"/>
          <w14:textFill>
            <w14:solidFill>
              <w14:schemeClr w14:val="tx1"/>
            </w14:solidFill>
          </w14:textFill>
        </w:rPr>
        <w:t>。</w:t>
      </w:r>
    </w:p>
    <w:p w14:paraId="4A3F7C09">
      <w:pPr>
        <w:pStyle w:val="494"/>
        <w:spacing w:after="0" w:line="360" w:lineRule="auto"/>
        <w:ind w:left="638" w:leftChars="304"/>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eastAsia="宋体" w:cs="宋体"/>
          <w:color w:val="000000" w:themeColor="text1"/>
          <w:sz w:val="24"/>
          <w:szCs w:val="24"/>
          <w:highlight w:val="none"/>
          <w:u w:val="single"/>
          <w14:textFill>
            <w14:solidFill>
              <w14:schemeClr w14:val="tx1"/>
            </w14:solidFill>
          </w14:textFill>
        </w:rPr>
        <w:t>由承包人承担</w:t>
      </w:r>
      <w:r>
        <w:rPr>
          <w:rFonts w:hint="eastAsia" w:ascii="宋体" w:hAnsi="宋体" w:eastAsia="宋体" w:cs="宋体"/>
          <w:color w:val="000000" w:themeColor="text1"/>
          <w:sz w:val="24"/>
          <w:szCs w:val="24"/>
          <w:highlight w:val="none"/>
          <w14:textFill>
            <w14:solidFill>
              <w14:schemeClr w14:val="tx1"/>
            </w14:solidFill>
          </w14:textFill>
        </w:rPr>
        <w:t>。</w:t>
      </w:r>
    </w:p>
    <w:p w14:paraId="43974A75">
      <w:pPr>
        <w:pStyle w:val="494"/>
        <w:spacing w:after="0" w:line="360" w:lineRule="auto"/>
        <w:ind w:left="638" w:leftChars="304"/>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eastAsia="宋体" w:cs="宋体"/>
          <w:color w:val="000000" w:themeColor="text1"/>
          <w:sz w:val="24"/>
          <w:szCs w:val="24"/>
          <w:highlight w:val="none"/>
          <w:u w:val="single"/>
          <w14:textFill>
            <w14:solidFill>
              <w14:schemeClr w14:val="tx1"/>
            </w14:solidFill>
          </w14:textFill>
        </w:rPr>
        <w:t>工程竣工验收合格后2个月内。</w:t>
      </w:r>
    </w:p>
    <w:p w14:paraId="13AB0329">
      <w:pPr>
        <w:pStyle w:val="494"/>
        <w:spacing w:after="0" w:line="360" w:lineRule="auto"/>
        <w:ind w:firstLine="720" w:firstLineChars="3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eastAsia="宋体" w:cs="宋体"/>
          <w:color w:val="000000" w:themeColor="text1"/>
          <w:sz w:val="24"/>
          <w:szCs w:val="24"/>
          <w:highlight w:val="none"/>
          <w:u w:val="single"/>
          <w14:textFill>
            <w14:solidFill>
              <w14:schemeClr w14:val="tx1"/>
            </w14:solidFill>
          </w14:textFill>
        </w:rPr>
        <w:t>书面及电子文档</w:t>
      </w:r>
      <w:r>
        <w:rPr>
          <w:rFonts w:hint="eastAsia" w:ascii="宋体" w:hAnsi="宋体" w:eastAsia="宋体" w:cs="宋体"/>
          <w:color w:val="000000" w:themeColor="text1"/>
          <w:sz w:val="24"/>
          <w:szCs w:val="24"/>
          <w:highlight w:val="none"/>
          <w14:textFill>
            <w14:solidFill>
              <w14:schemeClr w14:val="tx1"/>
            </w14:solidFill>
          </w14:textFill>
        </w:rPr>
        <w:t>。</w:t>
      </w:r>
    </w:p>
    <w:p w14:paraId="2F3B63D4">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（6）承包人应履行的其他义务：</w:t>
      </w:r>
      <w:r>
        <w:rPr>
          <w:rFonts w:hint="eastAsia" w:ascii="宋体" w:hAnsi="宋体" w:eastAsia="宋体" w:cs="宋体"/>
          <w:color w:val="000000" w:themeColor="text1"/>
          <w:sz w:val="24"/>
          <w:szCs w:val="24"/>
          <w:highlight w:val="none"/>
          <w:u w:val="single"/>
          <w14:textFill>
            <w14:solidFill>
              <w14:schemeClr w14:val="tx1"/>
            </w14:solidFill>
          </w14:textFill>
        </w:rPr>
        <w:t>1、承包人应按发包人或者监理人的指示为第三方在施工场地或者附近实施与合同工程有关的其他工作提供可能的条件，可能发生费用由第三方承担。2、承包人在实施和完成合同工程及修复缺陷过程中的一切作业应保证发包人免于承担因承包人借用、占用、进出进入其他单位的工区或影响作业等所引起的索赔、诉讼费、损害赔偿及其它开支，承包人有义务提供与其它承包人之间的施工配合与协调，所产生的费用由承包人与其他承包人自行协商解决。因承包人原因造成发包人或其它第三方损失或额外支付费用由承包人承担，发包人与监理人核实后有权从应支付承包人的价款中扣除</w:t>
      </w:r>
      <w:r>
        <w:rPr>
          <w:rFonts w:hint="eastAsia" w:ascii="宋体" w:hAnsi="宋体" w:eastAsia="宋体" w:cs="宋体"/>
          <w:color w:val="000000" w:themeColor="text1"/>
          <w:sz w:val="24"/>
          <w:szCs w:val="24"/>
          <w:highlight w:val="none"/>
          <w14:textFill>
            <w14:solidFill>
              <w14:schemeClr w14:val="tx1"/>
            </w14:solidFill>
          </w14:textFill>
        </w:rPr>
        <w:t>。</w:t>
      </w:r>
    </w:p>
    <w:p w14:paraId="289EFDE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 项目经理</w:t>
      </w:r>
    </w:p>
    <w:p w14:paraId="6A8534A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3.2.1</w:t>
      </w:r>
      <w:r>
        <w:rPr>
          <w:rFonts w:hint="eastAsia" w:ascii="宋体" w:hAnsi="宋体" w:eastAsia="宋体" w:cs="宋体"/>
          <w:color w:val="000000" w:themeColor="text1"/>
          <w:sz w:val="24"/>
          <w:szCs w:val="24"/>
          <w:highlight w:val="none"/>
          <w14:textFill>
            <w14:solidFill>
              <w14:schemeClr w14:val="tx1"/>
            </w14:solidFill>
          </w14:textFill>
        </w:rPr>
        <w:t>项目经理：</w:t>
      </w:r>
    </w:p>
    <w:p w14:paraId="77D96C0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 ；</w:t>
      </w:r>
    </w:p>
    <w:p w14:paraId="73BCAC8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p>
    <w:p w14:paraId="482951F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建造师执业资格等级：；</w:t>
      </w:r>
    </w:p>
    <w:p w14:paraId="0B2FFBC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建造师注册证书号：；</w:t>
      </w:r>
    </w:p>
    <w:p w14:paraId="3201E79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建造师执业印章号：；</w:t>
      </w:r>
    </w:p>
    <w:p w14:paraId="4163F32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安全生产考核合格证书号：；</w:t>
      </w:r>
    </w:p>
    <w:p w14:paraId="69A864C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30CFFA3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53CDA49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18BF452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eastAsia="宋体" w:cs="宋体"/>
          <w:color w:val="000000" w:themeColor="text1"/>
          <w:sz w:val="24"/>
          <w:szCs w:val="24"/>
          <w:highlight w:val="none"/>
          <w:u w:val="single"/>
          <w14:textFill>
            <w14:solidFill>
              <w14:schemeClr w14:val="tx1"/>
            </w14:solidFill>
          </w14:textFill>
        </w:rPr>
        <w:t>对该工程实施组织管理，依据国家有关法律法规及标准规范履行职责</w:t>
      </w:r>
      <w:r>
        <w:rPr>
          <w:rFonts w:hint="eastAsia" w:ascii="宋体" w:hAnsi="宋体" w:eastAsia="宋体" w:cs="宋体"/>
          <w:color w:val="000000" w:themeColor="text1"/>
          <w:sz w:val="24"/>
          <w:szCs w:val="24"/>
          <w:highlight w:val="none"/>
          <w14:textFill>
            <w14:solidFill>
              <w14:schemeClr w14:val="tx1"/>
            </w14:solidFill>
          </w14:textFill>
        </w:rPr>
        <w:t>。</w:t>
      </w:r>
    </w:p>
    <w:p w14:paraId="345EAFB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关于项目经理每月在施工现场的时间要求：</w:t>
      </w:r>
    </w:p>
    <w:p w14:paraId="7F10CC25">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承包人向发包人支付3万元的违约金，责令限期提交劳动合同并补缴社会保险</w:t>
      </w:r>
      <w:r>
        <w:rPr>
          <w:rFonts w:hint="eastAsia" w:ascii="宋体" w:hAnsi="宋体" w:eastAsia="宋体" w:cs="宋体"/>
          <w:color w:val="000000" w:themeColor="text1"/>
          <w:sz w:val="24"/>
          <w:szCs w:val="24"/>
          <w:highlight w:val="none"/>
          <w14:textFill>
            <w14:solidFill>
              <w14:schemeClr w14:val="tx1"/>
            </w14:solidFill>
          </w14:textFill>
        </w:rPr>
        <w:t>。</w:t>
      </w:r>
    </w:p>
    <w:p w14:paraId="3860D7B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项目经理未经批准，擅自离开施工现场的违约责任：发包人、</w:t>
      </w:r>
      <w:r>
        <w:rPr>
          <w:rFonts w:hint="eastAsia" w:ascii="宋体" w:hAnsi="宋体" w:eastAsia="宋体" w:cs="宋体"/>
          <w:color w:val="000000" w:themeColor="text1"/>
          <w:sz w:val="24"/>
          <w:szCs w:val="24"/>
          <w:highlight w:val="none"/>
          <w14:textFill>
            <w14:solidFill>
              <w14:schemeClr w14:val="tx1"/>
            </w14:solidFill>
          </w14:textFill>
        </w:rPr>
        <w:t>监理人有权对承包人项目经理进行考勤纪录，若项目经理未到现场或到现场未能满足时间要求，</w:t>
      </w:r>
      <w:r>
        <w:rPr>
          <w:rFonts w:hint="eastAsia" w:ascii="宋体" w:hAnsi="宋体" w:eastAsia="宋体" w:cs="宋体"/>
          <w:color w:val="000000" w:themeColor="text1"/>
          <w:sz w:val="24"/>
          <w:szCs w:val="24"/>
          <w:highlight w:val="none"/>
          <w:u w:val="single"/>
          <w14:textFill>
            <w14:solidFill>
              <w14:schemeClr w14:val="tx1"/>
            </w14:solidFill>
          </w14:textFill>
        </w:rPr>
        <w:t>擅自离开未获监理以及发包人许可的，视为承包人违约，承包人向发包人支付5000元/天违约金；如因项目经理擅离值守造成项目损失的，一切损失由承包人承担，追究承包人违约责任</w:t>
      </w:r>
      <w:r>
        <w:rPr>
          <w:rFonts w:hint="eastAsia" w:ascii="宋体" w:hAnsi="宋体" w:eastAsia="宋体" w:cs="宋体"/>
          <w:color w:val="000000" w:themeColor="text1"/>
          <w:sz w:val="24"/>
          <w:szCs w:val="24"/>
          <w:highlight w:val="none"/>
          <w14:textFill>
            <w14:solidFill>
              <w14:schemeClr w14:val="tx1"/>
            </w14:solidFill>
          </w14:textFill>
        </w:rPr>
        <w:t>。</w:t>
      </w:r>
    </w:p>
    <w:p w14:paraId="2685F6D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3.2.3承包人擅自更换项目经理的违约责任：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擅自更换项目经理的未获监理以及发包方许可的，将视为违约，发包方有权解除合同，并不退还承包人的履约保证金。如因为擅自更换项目经理而造成项目损失的，一切损失由承包人承担，并追究承包人违约责任，违约金为签约合同价的30%</w:t>
      </w:r>
      <w:r>
        <w:rPr>
          <w:rFonts w:hint="eastAsia" w:ascii="宋体" w:hAnsi="宋体" w:eastAsia="宋体" w:cs="宋体"/>
          <w:color w:val="000000" w:themeColor="text1"/>
          <w:sz w:val="24"/>
          <w:szCs w:val="24"/>
          <w:highlight w:val="none"/>
          <w14:textFill>
            <w14:solidFill>
              <w14:schemeClr w14:val="tx1"/>
            </w14:solidFill>
          </w14:textFill>
        </w:rPr>
        <w:t>。</w:t>
      </w:r>
    </w:p>
    <w:p w14:paraId="7B6A1F3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3.2.4承包人无正当理由拒绝更换项目经理的违约责任：</w:t>
      </w:r>
      <w:r>
        <w:rPr>
          <w:rFonts w:hint="eastAsia" w:ascii="宋体" w:hAnsi="宋体" w:eastAsia="宋体" w:cs="宋体"/>
          <w:color w:val="000000" w:themeColor="text1"/>
          <w:sz w:val="24"/>
          <w:szCs w:val="24"/>
          <w:highlight w:val="none"/>
          <w:u w:val="single"/>
          <w14:textFill>
            <w14:solidFill>
              <w14:schemeClr w14:val="tx1"/>
            </w14:solidFill>
          </w14:textFill>
        </w:rPr>
        <w:t>将视为违约，发包方有权解除合同，一切损失由承包人承担，发包人不退还承包人的履约保证金并追究承包人违约责任，违约金为签约合同价的30%</w:t>
      </w:r>
      <w:r>
        <w:rPr>
          <w:rFonts w:hint="eastAsia" w:ascii="宋体" w:hAnsi="宋体" w:eastAsia="宋体" w:cs="宋体"/>
          <w:color w:val="000000" w:themeColor="text1"/>
          <w:sz w:val="24"/>
          <w:szCs w:val="24"/>
          <w:highlight w:val="none"/>
          <w14:textFill>
            <w14:solidFill>
              <w14:schemeClr w14:val="tx1"/>
            </w14:solidFill>
          </w14:textFill>
        </w:rPr>
        <w:t>。</w:t>
      </w:r>
    </w:p>
    <w:p w14:paraId="2D2072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 承包人人员</w:t>
      </w:r>
    </w:p>
    <w:p w14:paraId="33ED23F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3.3.1承包人提交项目管理机构及施工现场管理人员安排报告的期限：</w:t>
      </w:r>
      <w:r>
        <w:rPr>
          <w:rFonts w:hint="eastAsia" w:ascii="宋体" w:hAnsi="宋体" w:eastAsia="宋体" w:cs="宋体"/>
          <w:color w:val="000000" w:themeColor="text1"/>
          <w:sz w:val="24"/>
          <w:szCs w:val="24"/>
          <w:highlight w:val="none"/>
          <w:u w:val="single"/>
          <w14:textFill>
            <w14:solidFill>
              <w14:schemeClr w14:val="tx1"/>
            </w14:solidFill>
          </w14:textFill>
        </w:rPr>
        <w:t>工程开工前2天</w:t>
      </w:r>
      <w:r>
        <w:rPr>
          <w:rFonts w:hint="eastAsia" w:ascii="宋体" w:hAnsi="宋体" w:eastAsia="宋体" w:cs="宋体"/>
          <w:color w:val="000000" w:themeColor="text1"/>
          <w:sz w:val="24"/>
          <w:szCs w:val="24"/>
          <w:highlight w:val="none"/>
          <w14:textFill>
            <w14:solidFill>
              <w14:schemeClr w14:val="tx1"/>
            </w14:solidFill>
          </w14:textFill>
        </w:rPr>
        <w:t>。</w:t>
      </w:r>
    </w:p>
    <w:p w14:paraId="537CEEB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3.3.3承包人无正当理由拒绝撤换主要施工管理人员的违约责任：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承包人向发包人支付3万元的违约金，承包人承担上述违约给发包人造成的一切损失</w:t>
      </w:r>
      <w:r>
        <w:rPr>
          <w:rFonts w:hint="eastAsia" w:ascii="宋体" w:hAnsi="宋体" w:eastAsia="宋体" w:cs="宋体"/>
          <w:color w:val="000000" w:themeColor="text1"/>
          <w:sz w:val="24"/>
          <w:szCs w:val="24"/>
          <w:highlight w:val="none"/>
          <w14:textFill>
            <w14:solidFill>
              <w14:schemeClr w14:val="tx1"/>
            </w14:solidFill>
          </w14:textFill>
        </w:rPr>
        <w:t>。</w:t>
      </w:r>
    </w:p>
    <w:p w14:paraId="7A7FF37B">
      <w:pPr>
        <w:pStyle w:val="494"/>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3.3.4承包人主要施工管理人员离开施工现场的批准要求：</w:t>
      </w:r>
      <w:r>
        <w:rPr>
          <w:rFonts w:hint="eastAsia" w:ascii="宋体" w:hAnsi="宋体" w:eastAsia="宋体" w:cs="宋体"/>
          <w:color w:val="000000" w:themeColor="text1"/>
          <w:sz w:val="24"/>
          <w:szCs w:val="24"/>
          <w:highlight w:val="none"/>
          <w:u w:val="single"/>
          <w14:textFill>
            <w14:solidFill>
              <w14:schemeClr w14:val="tx1"/>
            </w14:solidFill>
          </w14:textFill>
        </w:rPr>
        <w:t>由总监理工程师批准，发包人认可后方可离开</w:t>
      </w:r>
      <w:r>
        <w:rPr>
          <w:rFonts w:hint="eastAsia" w:ascii="宋体" w:hAnsi="宋体" w:eastAsia="宋体" w:cs="宋体"/>
          <w:color w:val="000000" w:themeColor="text1"/>
          <w:sz w:val="24"/>
          <w:szCs w:val="24"/>
          <w:highlight w:val="none"/>
          <w14:textFill>
            <w14:solidFill>
              <w14:schemeClr w14:val="tx1"/>
            </w14:solidFill>
          </w14:textFill>
        </w:rPr>
        <w:t>。</w:t>
      </w:r>
    </w:p>
    <w:p w14:paraId="5ED283A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承包人向发包人支付3万元的违约金，承包人承担上述违约给发包人造成的一切损失</w:t>
      </w:r>
      <w:r>
        <w:rPr>
          <w:rFonts w:hint="eastAsia" w:ascii="宋体" w:hAnsi="宋体" w:eastAsia="宋体" w:cs="宋体"/>
          <w:color w:val="000000" w:themeColor="text1"/>
          <w:sz w:val="24"/>
          <w:szCs w:val="24"/>
          <w:highlight w:val="none"/>
          <w14:textFill>
            <w14:solidFill>
              <w14:schemeClr w14:val="tx1"/>
            </w14:solidFill>
          </w14:textFill>
        </w:rPr>
        <w:t>。</w:t>
      </w:r>
    </w:p>
    <w:p w14:paraId="345D522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承包人向发包人支付1万元的违约金，承包人承担上述违约给发包人造成的一切损失</w:t>
      </w:r>
      <w:r>
        <w:rPr>
          <w:rFonts w:hint="eastAsia" w:ascii="宋体" w:hAnsi="宋体" w:eastAsia="宋体" w:cs="宋体"/>
          <w:color w:val="000000" w:themeColor="text1"/>
          <w:sz w:val="24"/>
          <w:szCs w:val="24"/>
          <w:highlight w:val="none"/>
          <w14:textFill>
            <w14:solidFill>
              <w14:schemeClr w14:val="tx1"/>
            </w14:solidFill>
          </w14:textFill>
        </w:rPr>
        <w:t>。</w:t>
      </w:r>
    </w:p>
    <w:p w14:paraId="1020035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 分包</w:t>
      </w:r>
    </w:p>
    <w:p w14:paraId="14A2C4C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3.5.1分包的一般约定</w:t>
      </w:r>
    </w:p>
    <w:p w14:paraId="36077DB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禁止分包的工程包括：</w:t>
      </w:r>
      <w:r>
        <w:rPr>
          <w:rFonts w:hint="eastAsia" w:ascii="宋体" w:hAnsi="宋体" w:eastAsia="宋体" w:cs="宋体"/>
          <w:color w:val="000000" w:themeColor="text1"/>
          <w:sz w:val="24"/>
          <w:szCs w:val="24"/>
          <w:highlight w:val="none"/>
          <w:u w:val="single"/>
          <w14:textFill>
            <w14:solidFill>
              <w14:schemeClr w14:val="tx1"/>
            </w14:solidFill>
          </w14:textFill>
        </w:rPr>
        <w:t>本工程不得分包</w:t>
      </w:r>
      <w:r>
        <w:rPr>
          <w:rFonts w:hint="eastAsia" w:ascii="宋体" w:hAnsi="宋体" w:eastAsia="宋体" w:cs="宋体"/>
          <w:color w:val="000000" w:themeColor="text1"/>
          <w:sz w:val="24"/>
          <w:szCs w:val="24"/>
          <w:highlight w:val="none"/>
          <w14:textFill>
            <w14:solidFill>
              <w14:schemeClr w14:val="tx1"/>
            </w14:solidFill>
          </w14:textFill>
        </w:rPr>
        <w:t>。</w:t>
      </w:r>
    </w:p>
    <w:p w14:paraId="77AED3B8">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主体结构、关键性工作范围：</w:t>
      </w:r>
      <w:r>
        <w:rPr>
          <w:rFonts w:hint="eastAsia" w:ascii="宋体" w:hAnsi="宋体" w:eastAsia="宋体" w:cs="宋体"/>
          <w:color w:val="000000" w:themeColor="text1"/>
          <w:sz w:val="24"/>
          <w:szCs w:val="24"/>
          <w:highlight w:val="none"/>
          <w:u w:val="single"/>
          <w14:textFill>
            <w14:solidFill>
              <w14:schemeClr w14:val="tx1"/>
            </w14:solidFill>
          </w14:textFill>
        </w:rPr>
        <w:t>不允许分包</w:t>
      </w:r>
      <w:r>
        <w:rPr>
          <w:rFonts w:hint="eastAsia" w:ascii="宋体" w:hAnsi="宋体" w:eastAsia="宋体" w:cs="宋体"/>
          <w:color w:val="000000" w:themeColor="text1"/>
          <w:sz w:val="24"/>
          <w:szCs w:val="24"/>
          <w:highlight w:val="none"/>
          <w14:textFill>
            <w14:solidFill>
              <w14:schemeClr w14:val="tx1"/>
            </w14:solidFill>
          </w14:textFill>
        </w:rPr>
        <w:t>。</w:t>
      </w:r>
    </w:p>
    <w:p w14:paraId="58A5A56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3.6 工程照管与成品、半成品保护</w:t>
      </w:r>
    </w:p>
    <w:p w14:paraId="3E5F014D">
      <w:pPr>
        <w:pStyle w:val="494"/>
        <w:spacing w:after="0" w:line="360" w:lineRule="auto"/>
        <w:ind w:firstLine="480" w:firstLineChars="200"/>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eastAsia="宋体" w:cs="宋体"/>
          <w:color w:val="000000" w:themeColor="text1"/>
          <w:kern w:val="0"/>
          <w:sz w:val="24"/>
          <w:szCs w:val="24"/>
          <w:highlight w:val="none"/>
          <w:u w:val="single"/>
          <w14:textFill>
            <w14:solidFill>
              <w14:schemeClr w14:val="tx1"/>
            </w14:solidFill>
          </w14:textFill>
        </w:rPr>
        <w:t>设备、人员进场至验收交付使用前由承包人负责保修，无其它特殊要求的，费用由承包人承担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5F32C0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3.7 履约担保</w:t>
      </w:r>
    </w:p>
    <w:p w14:paraId="3EBAD55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承包人是否提供履约担保：</w:t>
      </w:r>
      <w:r>
        <w:rPr>
          <w:rFonts w:hint="eastAsia" w:ascii="宋体" w:hAnsi="宋体" w:eastAsia="宋体" w:cs="宋体"/>
          <w:color w:val="000000" w:themeColor="text1"/>
          <w:sz w:val="24"/>
          <w:szCs w:val="24"/>
          <w:highlight w:val="none"/>
          <w:u w:val="single"/>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w:t>
      </w:r>
    </w:p>
    <w:p w14:paraId="6B7455B7">
      <w:pPr>
        <w:pStyle w:val="21"/>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eastAsia="宋体" w:cs="宋体"/>
          <w:color w:val="000000" w:themeColor="text1"/>
          <w:sz w:val="24"/>
          <w:szCs w:val="24"/>
          <w:highlight w:val="none"/>
          <w:u w:val="single"/>
          <w14:textFill>
            <w14:solidFill>
              <w14:schemeClr w14:val="tx1"/>
            </w14:solidFill>
          </w14:textFill>
        </w:rPr>
        <w:t>A.承包人交纳中标价5%的履约保证金。B.承包人应当在合同签署前向发包人提交履约担保。C.履约担保的退还：工程竣工验收合格，提交完整的竣工资料、结算资料，发包人签发验收备案证后，且承包人无任何违约情形，一次性无息退还。</w:t>
      </w:r>
    </w:p>
    <w:p w14:paraId="1CBAE19F">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0" w:name="_Toc7972682"/>
      <w:r>
        <w:rPr>
          <w:rFonts w:hint="eastAsia" w:ascii="宋体" w:hAnsi="宋体" w:eastAsia="宋体" w:cs="宋体"/>
          <w:color w:val="000000" w:themeColor="text1"/>
          <w:sz w:val="24"/>
          <w:szCs w:val="24"/>
          <w:highlight w:val="none"/>
          <w14:textFill>
            <w14:solidFill>
              <w14:schemeClr w14:val="tx1"/>
            </w14:solidFill>
          </w14:textFill>
        </w:rPr>
        <w:t>4. 监理人</w:t>
      </w:r>
      <w:bookmarkEnd w:id="820"/>
    </w:p>
    <w:p w14:paraId="527998E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4.1监理人的一般规定</w:t>
      </w:r>
    </w:p>
    <w:p w14:paraId="76A8624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关于监理人的监理内容：</w:t>
      </w:r>
      <w:r>
        <w:rPr>
          <w:rFonts w:hint="eastAsia" w:ascii="宋体" w:hAnsi="宋体" w:eastAsia="宋体" w:cs="宋体"/>
          <w:color w:val="000000" w:themeColor="text1"/>
          <w:sz w:val="24"/>
          <w:szCs w:val="24"/>
          <w:highlight w:val="none"/>
          <w:u w:val="single"/>
          <w14:textFill>
            <w14:solidFill>
              <w14:schemeClr w14:val="tx1"/>
            </w14:solidFill>
          </w14:textFill>
        </w:rPr>
        <w:t>见监理合同（具体内容以监理合同为准）</w:t>
      </w:r>
      <w:r>
        <w:rPr>
          <w:rFonts w:hint="eastAsia" w:ascii="宋体" w:hAnsi="宋体" w:eastAsia="宋体" w:cs="宋体"/>
          <w:color w:val="000000" w:themeColor="text1"/>
          <w:sz w:val="24"/>
          <w:szCs w:val="24"/>
          <w:highlight w:val="none"/>
          <w14:textFill>
            <w14:solidFill>
              <w14:schemeClr w14:val="tx1"/>
            </w14:solidFill>
          </w14:textFill>
        </w:rPr>
        <w:t>。</w:t>
      </w:r>
    </w:p>
    <w:p w14:paraId="4914FA6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关于监理人的监理权限：（具体内容</w:t>
      </w:r>
      <w:r>
        <w:rPr>
          <w:rFonts w:hint="eastAsia" w:ascii="宋体" w:hAnsi="宋体" w:eastAsia="宋体" w:cs="宋体"/>
          <w:color w:val="000000" w:themeColor="text1"/>
          <w:sz w:val="24"/>
          <w:szCs w:val="24"/>
          <w:highlight w:val="none"/>
          <w:u w:val="single"/>
          <w14:textFill>
            <w14:solidFill>
              <w14:schemeClr w14:val="tx1"/>
            </w14:solidFill>
          </w14:textFill>
        </w:rPr>
        <w:t>以监理合同为准）。但以下权限须经发包人批准方能行使：（1）变更合同的范围；（2）变更合同单价或合价或合同价格；（3）合同分包；（4）重大设计或技术方案的变更；（5）发布开工令、停工令或复工令；（6）影响工期、质量、合同价格等其它重大决定。监理人履行须经发包人批准行使的权限时，应当向承包人出示其行使该权限已经取得发包人批准的文件或者其他合法有效的证明</w:t>
      </w:r>
      <w:r>
        <w:rPr>
          <w:rFonts w:hint="eastAsia" w:ascii="宋体" w:hAnsi="宋体" w:eastAsia="宋体" w:cs="宋体"/>
          <w:color w:val="000000" w:themeColor="text1"/>
          <w:sz w:val="24"/>
          <w:szCs w:val="24"/>
          <w:highlight w:val="none"/>
          <w14:textFill>
            <w14:solidFill>
              <w14:schemeClr w14:val="tx1"/>
            </w14:solidFill>
          </w14:textFill>
        </w:rPr>
        <w:t>。</w:t>
      </w:r>
    </w:p>
    <w:p w14:paraId="2E59ABE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eastAsia="宋体" w:cs="宋体"/>
          <w:color w:val="000000" w:themeColor="text1"/>
          <w:sz w:val="24"/>
          <w:szCs w:val="24"/>
          <w:highlight w:val="none"/>
          <w:u w:val="single"/>
          <w14:textFill>
            <w14:solidFill>
              <w14:schemeClr w14:val="tx1"/>
            </w14:solidFill>
          </w14:textFill>
        </w:rPr>
        <w:t>见监理合同</w:t>
      </w:r>
      <w:r>
        <w:rPr>
          <w:rFonts w:hint="eastAsia" w:ascii="宋体" w:hAnsi="宋体" w:eastAsia="宋体" w:cs="宋体"/>
          <w:color w:val="000000" w:themeColor="text1"/>
          <w:sz w:val="24"/>
          <w:szCs w:val="24"/>
          <w:highlight w:val="none"/>
          <w14:textFill>
            <w14:solidFill>
              <w14:schemeClr w14:val="tx1"/>
            </w14:solidFill>
          </w14:textFill>
        </w:rPr>
        <w:t>。</w:t>
      </w:r>
    </w:p>
    <w:p w14:paraId="78F4AC0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 监理人员</w:t>
      </w:r>
    </w:p>
    <w:p w14:paraId="055D70B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总监理工程师：</w:t>
      </w:r>
    </w:p>
    <w:p w14:paraId="07D56C0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p w14:paraId="29BAFB3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p>
    <w:p w14:paraId="215F438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监理工程师执业资格证书号：；</w:t>
      </w:r>
    </w:p>
    <w:p w14:paraId="19B4C10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690440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46C09BD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0C56FC7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关于监理人的其他约定：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E91E7A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4.4 商定或确定</w:t>
      </w:r>
    </w:p>
    <w:p w14:paraId="5481A2E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1D818A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36B7ACC">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1" w:name="_Toc7383181"/>
      <w:bookmarkStart w:id="822" w:name="_Toc7972683"/>
      <w:r>
        <w:rPr>
          <w:rFonts w:hint="eastAsia" w:ascii="宋体" w:hAnsi="宋体" w:eastAsia="宋体" w:cs="宋体"/>
          <w:color w:val="000000" w:themeColor="text1"/>
          <w:sz w:val="24"/>
          <w:szCs w:val="24"/>
          <w:highlight w:val="none"/>
          <w14:textFill>
            <w14:solidFill>
              <w14:schemeClr w14:val="tx1"/>
            </w14:solidFill>
          </w14:textFill>
        </w:rPr>
        <w:t>5. 工程质量</w:t>
      </w:r>
      <w:bookmarkEnd w:id="821"/>
      <w:bookmarkEnd w:id="822"/>
    </w:p>
    <w:p w14:paraId="01E388F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 质量要求</w:t>
      </w:r>
    </w:p>
    <w:p w14:paraId="5603C08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5.1.1特殊质量标准和要求：</w:t>
      </w:r>
    </w:p>
    <w:p w14:paraId="0A4EA54D">
      <w:pPr>
        <w:pStyle w:val="494"/>
        <w:spacing w:after="0" w:line="360" w:lineRule="auto"/>
        <w:ind w:firstLine="482"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工程质量应当达到协议书约定的质量标准，质量标准的评定以国家或行业现行的质量检验评定标准为依据。若因承包人不按设计图纸和规范要求施工，达不到一次性验收合格的，承包人无条件进行返工以达到合格，且返工发生的一切费用自理，且还需向发包人支付签约合同价的5％作为质量违约金，工期不予顺延。若其中分部分项工程达不到一次性验收合格，承包人按照投标文件执行，向发包人支付签约合同价的5%违约金并承担全部返工费用。竣工验收时，如发现存在不可修补的缺陷，发包人将对缺陷进行综合评价，并折合成相应的费用，此费用为承包人向发包人的赔偿金额</w:t>
      </w:r>
      <w:r>
        <w:rPr>
          <w:rFonts w:hint="eastAsia" w:ascii="宋体" w:hAnsi="宋体" w:eastAsia="宋体" w:cs="宋体"/>
          <w:color w:val="000000" w:themeColor="text1"/>
          <w:sz w:val="24"/>
          <w:szCs w:val="24"/>
          <w:highlight w:val="none"/>
          <w14:textFill>
            <w14:solidFill>
              <w14:schemeClr w14:val="tx1"/>
            </w14:solidFill>
          </w14:textFill>
        </w:rPr>
        <w:t>。</w:t>
      </w:r>
    </w:p>
    <w:p w14:paraId="2D676B90">
      <w:pPr>
        <w:pStyle w:val="494"/>
        <w:spacing w:after="0" w:line="360" w:lineRule="auto"/>
        <w:ind w:firstLine="482" w:firstLineChars="200"/>
        <w:jc w:val="left"/>
        <w:rPr>
          <w:rFonts w:ascii="宋体" w:hAnsi="宋体" w:eastAsia="宋体" w:cs="宋体"/>
          <w:b/>
          <w:bCs/>
          <w:color w:val="000000" w:themeColor="text1"/>
          <w:kern w:val="2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双方对工程质量有争议，由相关建设工程质量安全监督管理站鉴定，所需费用及因此造成的损失，由责任方承担。因质量鉴定影响工程施工的，经鉴定质量符合合同约定标准的，鉴定期间可以顺延工期，若鉴定质量不符合合同约定标准的，鉴定期间应计算在工期内，工期不予顺延，并由承包人承担相应责任。</w:t>
      </w:r>
    </w:p>
    <w:p w14:paraId="38F6B606">
      <w:pPr>
        <w:pStyle w:val="494"/>
        <w:spacing w:after="0" w:line="360" w:lineRule="auto"/>
        <w:ind w:firstLine="482" w:firstLineChars="200"/>
        <w:jc w:val="left"/>
        <w:rPr>
          <w:rFonts w:ascii="宋体" w:hAnsi="宋体" w:eastAsia="宋体" w:cs="宋体"/>
          <w:b/>
          <w:bCs/>
          <w:color w:val="000000" w:themeColor="text1"/>
          <w:kern w:val="2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工程质量应满足国家及行业现行相关要求。</w:t>
      </w:r>
    </w:p>
    <w:p w14:paraId="11329DCA">
      <w:pPr>
        <w:pStyle w:val="494"/>
        <w:spacing w:after="0" w:line="360" w:lineRule="auto"/>
        <w:ind w:firstLine="482" w:firstLineChars="200"/>
        <w:jc w:val="left"/>
        <w:rPr>
          <w:rFonts w:ascii="宋体" w:hAnsi="宋体" w:eastAsia="宋体" w:cs="宋体"/>
          <w:b/>
          <w:bCs/>
          <w:color w:val="000000" w:themeColor="text1"/>
          <w:kern w:val="0"/>
          <w:sz w:val="24"/>
          <w:szCs w:val="24"/>
          <w:highlight w:val="none"/>
          <w:u w:val="single"/>
          <w14:textFill>
            <w14:solidFill>
              <w14:schemeClr w14:val="tx1"/>
            </w14:solidFill>
          </w14:textFill>
        </w:rPr>
      </w:pPr>
      <w:r>
        <w:rPr>
          <w:rFonts w:hint="eastAsia" w:ascii="宋体" w:hAnsi="宋体" w:eastAsia="宋体" w:cs="宋体"/>
          <w:b/>
          <w:bCs/>
          <w:color w:val="000000" w:themeColor="text1"/>
          <w:kern w:val="21"/>
          <w:sz w:val="24"/>
          <w:szCs w:val="24"/>
          <w:highlight w:val="none"/>
          <w14:textFill>
            <w14:solidFill>
              <w14:schemeClr w14:val="tx1"/>
            </w14:solidFill>
          </w14:textFill>
        </w:rPr>
        <w:t>（4）</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承包人</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应认真按照标准、规范和设计图纸及有关文件等依据合同施工，随时接受工程师的检查检验，为检查检验提供便利条件。</w:t>
      </w:r>
    </w:p>
    <w:p w14:paraId="41F3CBD9">
      <w:pPr>
        <w:pStyle w:val="494"/>
        <w:spacing w:after="0" w:line="360" w:lineRule="auto"/>
        <w:ind w:firstLine="482" w:firstLineChars="20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（5）</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工程质量达不到约定标准的部分，工程师一经发现，应要求</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承包人</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拆除和重新施工，直到符合约定标准。因乙方原因达不到约定标准，由</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承包人</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承担拆除和重新施工的费用，工期不予顺延。</w:t>
      </w:r>
    </w:p>
    <w:p w14:paraId="21FDE72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关于工程奖项的约定：。</w:t>
      </w:r>
    </w:p>
    <w:p w14:paraId="7040957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 隐蔽工程检查</w:t>
      </w:r>
    </w:p>
    <w:p w14:paraId="06F310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eastAsia="宋体" w:cs="宋体"/>
          <w:color w:val="000000" w:themeColor="text1"/>
          <w:sz w:val="24"/>
          <w:szCs w:val="24"/>
          <w:highlight w:val="none"/>
          <w:u w:val="single"/>
          <w14:textFill>
            <w14:solidFill>
              <w14:schemeClr w14:val="tx1"/>
            </w14:solidFill>
          </w14:textFill>
        </w:rPr>
        <w:t>共同检查前48小时书面通知监理人</w:t>
      </w:r>
      <w:r>
        <w:rPr>
          <w:rFonts w:hint="eastAsia" w:ascii="宋体" w:hAnsi="宋体" w:eastAsia="宋体" w:cs="宋体"/>
          <w:color w:val="000000" w:themeColor="text1"/>
          <w:sz w:val="24"/>
          <w:szCs w:val="24"/>
          <w:highlight w:val="none"/>
          <w14:textFill>
            <w14:solidFill>
              <w14:schemeClr w14:val="tx1"/>
            </w14:solidFill>
          </w14:textFill>
        </w:rPr>
        <w:t>。</w:t>
      </w:r>
    </w:p>
    <w:p w14:paraId="6818BA8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w:t>
      </w:r>
      <w:r>
        <w:rPr>
          <w:rFonts w:hint="eastAsia" w:ascii="宋体" w:hAnsi="宋体" w:eastAsia="宋体" w:cs="宋体"/>
          <w:color w:val="000000" w:themeColor="text1"/>
          <w:sz w:val="24"/>
          <w:szCs w:val="24"/>
          <w:highlight w:val="none"/>
          <w14:textFill>
            <w14:solidFill>
              <w14:schemeClr w14:val="tx1"/>
            </w14:solidFill>
          </w14:textFill>
        </w:rPr>
        <w:t>小时提交书面延期要求。</w:t>
      </w:r>
    </w:p>
    <w:p w14:paraId="7F16594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关于延期最长不得超过：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48</w:t>
      </w:r>
      <w:r>
        <w:rPr>
          <w:rFonts w:hint="eastAsia" w:ascii="宋体" w:hAnsi="宋体" w:eastAsia="宋体" w:cs="宋体"/>
          <w:color w:val="000000" w:themeColor="text1"/>
          <w:sz w:val="24"/>
          <w:szCs w:val="24"/>
          <w:highlight w:val="none"/>
          <w14:textFill>
            <w14:solidFill>
              <w14:schemeClr w14:val="tx1"/>
            </w14:solidFill>
          </w14:textFill>
        </w:rPr>
        <w:t>小时。</w:t>
      </w:r>
    </w:p>
    <w:p w14:paraId="67CA29E6">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3" w:name="_Toc7383182"/>
      <w:bookmarkStart w:id="824" w:name="_Toc7972684"/>
      <w:r>
        <w:rPr>
          <w:rFonts w:hint="eastAsia" w:ascii="宋体" w:hAnsi="宋体" w:eastAsia="宋体" w:cs="宋体"/>
          <w:color w:val="000000" w:themeColor="text1"/>
          <w:sz w:val="24"/>
          <w:szCs w:val="24"/>
          <w:highlight w:val="none"/>
          <w14:textFill>
            <w14:solidFill>
              <w14:schemeClr w14:val="tx1"/>
            </w14:solidFill>
          </w14:textFill>
        </w:rPr>
        <w:t>6. 安全文明施工与环境保护</w:t>
      </w:r>
      <w:bookmarkEnd w:id="823"/>
      <w:bookmarkEnd w:id="824"/>
    </w:p>
    <w:p w14:paraId="43E825F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6.1安全文明施工</w:t>
      </w:r>
    </w:p>
    <w:p w14:paraId="1F9A10F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6.1.1项目安全生产的达标目标及相应事项的约定：</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56BC8ED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6.1.4关于治安保卫的特别约定：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375F000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eastAsia="宋体" w:cs="宋体"/>
          <w:color w:val="000000" w:themeColor="text1"/>
          <w:sz w:val="24"/>
          <w:szCs w:val="24"/>
          <w:highlight w:val="none"/>
          <w:u w:val="single"/>
          <w14:textFill>
            <w14:solidFill>
              <w14:schemeClr w14:val="tx1"/>
            </w14:solidFill>
          </w14:textFill>
        </w:rPr>
        <w:t>开工前提供施工场地治安管理计划</w:t>
      </w:r>
      <w:r>
        <w:rPr>
          <w:rFonts w:hint="eastAsia" w:ascii="宋体" w:hAnsi="宋体" w:eastAsia="宋体" w:cs="宋体"/>
          <w:color w:val="000000" w:themeColor="text1"/>
          <w:sz w:val="24"/>
          <w:szCs w:val="24"/>
          <w:highlight w:val="none"/>
          <w14:textFill>
            <w14:solidFill>
              <w14:schemeClr w14:val="tx1"/>
            </w14:solidFill>
          </w14:textFill>
        </w:rPr>
        <w:t>。</w:t>
      </w:r>
    </w:p>
    <w:p w14:paraId="5603A47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6.1.5 文明施工</w:t>
      </w:r>
    </w:p>
    <w:p w14:paraId="7B6CA12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合同当事人对文明施工的要求：</w:t>
      </w:r>
      <w:r>
        <w:rPr>
          <w:rFonts w:hint="eastAsia" w:ascii="宋体" w:hAnsi="宋体" w:eastAsia="宋体" w:cs="宋体"/>
          <w:color w:val="000000" w:themeColor="text1"/>
          <w:sz w:val="24"/>
          <w:szCs w:val="24"/>
          <w:highlight w:val="none"/>
          <w:u w:val="single"/>
          <w14:textFill>
            <w14:solidFill>
              <w14:schemeClr w14:val="tx1"/>
            </w14:solidFill>
          </w14:textFill>
        </w:rPr>
        <w:t>达到《建筑施工现场环境与卫生标准》（JGJ146-2004）。承包人在工程施工、竣工及保修的整个过程中，应当：（1）对各种可能扰民的施工行为按规定做好防范措施并办理各项报批手续。临时设施（包括临时房屋、场地硬化、道路、排水、围墙、围挡等）的设计或方案，先申报发包人批准后才能实施。工程成品保护、场地清洁卫生必须满足合同规定以及有关规定。（2）承包人有责任维护发包人的形象。若由于承包人安全、文明施工问题而造成发包人被他人索赔，发包人保留向承包人索赔的权利。（3）施工中出现因承包人违反合同规定或措施不当造成环境影响及纠纷，由承包人自行承担责任及自费处理由此引起的后果。（4）承包人应遵守政府有关主管部门对施工场地交通、施工噪音以及环境保护和安全生产等的管理规定，按规定办理有关手续，并以书面形式通知发包人。（5）对于来自施工机械和运输车辆的施工噪声，应遵守相关规定，尽量使其噪声降低到最低水平。对居民区施工现场的施工时间应加以控制。（6）对于施工中粉尘污染的主要污染源、施工车辆和施工机械运行和运输产生的扬尘，应采取有效措施减轻施工现场的污染。（7）承包人应在工地现场和生活区设置足够的临时卫生设施，定期清扫处理，做到文明施工。（8）承包人负责施工场地内及周围地下管线和邻近建筑物、构筑物（包括文物保护建筑）、古树名木的保护。（9）承包人采取上述文明施工及环境保护措施的费用均已包括在合同价款中，发包人不另行支付。</w:t>
      </w:r>
    </w:p>
    <w:p w14:paraId="09E001A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6.1.6 关于安全文明施工费支付比例和支付期限的约定：。</w:t>
      </w:r>
    </w:p>
    <w:p w14:paraId="6B238728">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5" w:name="_Toc7972685"/>
      <w:bookmarkStart w:id="826" w:name="_Toc7383183"/>
      <w:r>
        <w:rPr>
          <w:rFonts w:hint="eastAsia" w:ascii="宋体" w:hAnsi="宋体" w:eastAsia="宋体" w:cs="宋体"/>
          <w:color w:val="000000" w:themeColor="text1"/>
          <w:sz w:val="24"/>
          <w:szCs w:val="24"/>
          <w:highlight w:val="none"/>
          <w14:textFill>
            <w14:solidFill>
              <w14:schemeClr w14:val="tx1"/>
            </w14:solidFill>
          </w14:textFill>
        </w:rPr>
        <w:t>7. 工期和进度</w:t>
      </w:r>
      <w:bookmarkEnd w:id="825"/>
      <w:bookmarkEnd w:id="826"/>
    </w:p>
    <w:p w14:paraId="7772DDC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 施工组织设计</w:t>
      </w:r>
    </w:p>
    <w:p w14:paraId="31D6A5B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7.1.1 合</w:t>
      </w:r>
      <w:r>
        <w:rPr>
          <w:rFonts w:hint="eastAsia" w:ascii="宋体" w:hAnsi="宋体" w:eastAsia="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eastAsia="宋体" w:cs="宋体"/>
          <w:color w:val="000000" w:themeColor="text1"/>
          <w:sz w:val="24"/>
          <w:szCs w:val="24"/>
          <w:highlight w:val="none"/>
          <w:u w:val="single"/>
          <w14:textFill>
            <w14:solidFill>
              <w14:schemeClr w14:val="tx1"/>
            </w14:solidFill>
          </w14:textFill>
        </w:rPr>
        <w:t>按招标文件约定，招标文件无约定的按通用条款或双方另行约定</w:t>
      </w:r>
      <w:r>
        <w:rPr>
          <w:rFonts w:hint="eastAsia" w:ascii="宋体" w:hAnsi="宋体" w:eastAsia="宋体" w:cs="宋体"/>
          <w:color w:val="000000" w:themeColor="text1"/>
          <w:sz w:val="24"/>
          <w:szCs w:val="24"/>
          <w:highlight w:val="none"/>
          <w14:textFill>
            <w14:solidFill>
              <w14:schemeClr w14:val="tx1"/>
            </w14:solidFill>
          </w14:textFill>
        </w:rPr>
        <w:t>。</w:t>
      </w:r>
    </w:p>
    <w:p w14:paraId="0102C37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7.1.2 </w:t>
      </w:r>
      <w:r>
        <w:rPr>
          <w:rFonts w:hint="eastAsia" w:ascii="宋体" w:hAnsi="宋体" w:eastAsia="宋体" w:cs="宋体"/>
          <w:color w:val="000000" w:themeColor="text1"/>
          <w:kern w:val="0"/>
          <w:sz w:val="24"/>
          <w:szCs w:val="24"/>
          <w:highlight w:val="none"/>
          <w14:textFill>
            <w14:solidFill>
              <w14:schemeClr w14:val="tx1"/>
            </w14:solidFill>
          </w14:textFill>
        </w:rPr>
        <w:t>施工组织设计的提交和修改</w:t>
      </w:r>
    </w:p>
    <w:p w14:paraId="595EF1F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eastAsia="宋体" w:cs="宋体"/>
          <w:color w:val="000000" w:themeColor="text1"/>
          <w:sz w:val="24"/>
          <w:szCs w:val="24"/>
          <w:highlight w:val="none"/>
          <w:u w:val="single"/>
          <w14:textFill>
            <w14:solidFill>
              <w14:schemeClr w14:val="tx1"/>
            </w14:solidFill>
          </w14:textFill>
        </w:rPr>
        <w:t>开工前</w:t>
      </w:r>
      <w:r>
        <w:rPr>
          <w:rFonts w:hint="eastAsia" w:ascii="宋体" w:hAnsi="宋体" w:eastAsia="宋体" w:cs="宋体"/>
          <w:color w:val="000000" w:themeColor="text1"/>
          <w:sz w:val="24"/>
          <w:szCs w:val="24"/>
          <w:highlight w:val="none"/>
          <w14:textFill>
            <w14:solidFill>
              <w14:schemeClr w14:val="tx1"/>
            </w14:solidFill>
          </w14:textFill>
        </w:rPr>
        <w:t>。</w:t>
      </w:r>
    </w:p>
    <w:p w14:paraId="127948F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收到后7天内</w:t>
      </w:r>
      <w:r>
        <w:rPr>
          <w:rFonts w:hint="eastAsia" w:ascii="宋体" w:hAnsi="宋体" w:eastAsia="宋体" w:cs="宋体"/>
          <w:color w:val="000000" w:themeColor="text1"/>
          <w:sz w:val="24"/>
          <w:szCs w:val="24"/>
          <w:highlight w:val="none"/>
          <w14:textFill>
            <w14:solidFill>
              <w14:schemeClr w14:val="tx1"/>
            </w14:solidFill>
          </w14:textFill>
        </w:rPr>
        <w:t>。</w:t>
      </w:r>
    </w:p>
    <w:p w14:paraId="7673D54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 施工进度计划</w:t>
      </w:r>
    </w:p>
    <w:p w14:paraId="5D21372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 施工进度计划的修订</w:t>
      </w:r>
    </w:p>
    <w:p w14:paraId="29E53FE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收到后5天内</w:t>
      </w:r>
      <w:r>
        <w:rPr>
          <w:rFonts w:hint="eastAsia" w:ascii="宋体" w:hAnsi="宋体" w:eastAsia="宋体" w:cs="宋体"/>
          <w:color w:val="000000" w:themeColor="text1"/>
          <w:sz w:val="24"/>
          <w:szCs w:val="24"/>
          <w:highlight w:val="none"/>
          <w14:textFill>
            <w14:solidFill>
              <w14:schemeClr w14:val="tx1"/>
            </w14:solidFill>
          </w14:textFill>
        </w:rPr>
        <w:t>。</w:t>
      </w:r>
    </w:p>
    <w:p w14:paraId="55994CB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 开工</w:t>
      </w:r>
    </w:p>
    <w:p w14:paraId="501779C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7.3.1 开工准备</w:t>
      </w:r>
    </w:p>
    <w:p w14:paraId="03C2EBB7">
      <w:pPr>
        <w:pStyle w:val="494"/>
        <w:spacing w:after="0" w:line="360" w:lineRule="auto"/>
        <w:ind w:firstLine="645"/>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关于承包人提交</w:t>
      </w:r>
      <w:r>
        <w:rPr>
          <w:rFonts w:hint="eastAsia" w:ascii="宋体" w:hAnsi="宋体" w:eastAsia="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eastAsia="宋体" w:cs="宋体"/>
          <w:color w:val="000000" w:themeColor="text1"/>
          <w:sz w:val="24"/>
          <w:szCs w:val="24"/>
          <w:highlight w:val="none"/>
          <w:u w:val="single"/>
          <w14:textFill>
            <w14:solidFill>
              <w14:schemeClr w14:val="tx1"/>
            </w14:solidFill>
          </w14:textFill>
        </w:rPr>
        <w:t>合同签订后、开工前</w:t>
      </w:r>
      <w:r>
        <w:rPr>
          <w:rFonts w:hint="eastAsia" w:ascii="宋体" w:hAnsi="宋体" w:eastAsia="宋体" w:cs="宋体"/>
          <w:color w:val="000000" w:themeColor="text1"/>
          <w:sz w:val="24"/>
          <w:szCs w:val="24"/>
          <w:highlight w:val="none"/>
          <w14:textFill>
            <w14:solidFill>
              <w14:schemeClr w14:val="tx1"/>
            </w14:solidFill>
          </w14:textFill>
        </w:rPr>
        <w:t>。</w:t>
      </w:r>
    </w:p>
    <w:p w14:paraId="37AA3CD7">
      <w:pPr>
        <w:pStyle w:val="494"/>
        <w:spacing w:after="0" w:line="360" w:lineRule="auto"/>
        <w:ind w:firstLine="64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6548839">
      <w:pPr>
        <w:pStyle w:val="494"/>
        <w:spacing w:after="0" w:line="360" w:lineRule="auto"/>
        <w:ind w:firstLine="720" w:firstLineChars="3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开工后15天   </w:t>
      </w:r>
      <w:r>
        <w:rPr>
          <w:rFonts w:hint="eastAsia" w:ascii="宋体" w:hAnsi="宋体" w:eastAsia="宋体" w:cs="宋体"/>
          <w:color w:val="000000" w:themeColor="text1"/>
          <w:sz w:val="24"/>
          <w:szCs w:val="24"/>
          <w:highlight w:val="none"/>
          <w14:textFill>
            <w14:solidFill>
              <w14:schemeClr w14:val="tx1"/>
            </w14:solidFill>
          </w14:textFill>
        </w:rPr>
        <w:t>。</w:t>
      </w:r>
    </w:p>
    <w:p w14:paraId="5D7777A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7.3.2开工通知</w:t>
      </w:r>
    </w:p>
    <w:p w14:paraId="400F43C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60  </w:t>
      </w:r>
      <w:r>
        <w:rPr>
          <w:rFonts w:hint="eastAsia" w:ascii="宋体" w:hAnsi="宋体" w:eastAsia="宋体" w:cs="宋体"/>
          <w:color w:val="000000" w:themeColor="text1"/>
          <w:sz w:val="24"/>
          <w:szCs w:val="24"/>
          <w:highlight w:val="none"/>
          <w14:textFill>
            <w14:solidFill>
              <w14:schemeClr w14:val="tx1"/>
            </w14:solidFill>
          </w14:textFill>
        </w:rPr>
        <w:t>天内发出开工通知的，承包人有权提出工期调整要求，或者解除合同。</w:t>
      </w:r>
    </w:p>
    <w:p w14:paraId="6259787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 测量放线</w:t>
      </w:r>
    </w:p>
    <w:p w14:paraId="2F4D3019">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eastAsia="宋体" w:cs="宋体"/>
          <w:color w:val="000000" w:themeColor="text1"/>
          <w:sz w:val="24"/>
          <w:szCs w:val="24"/>
          <w:highlight w:val="none"/>
          <w:u w:val="single"/>
          <w14:textFill>
            <w14:solidFill>
              <w14:schemeClr w14:val="tx1"/>
            </w14:solidFill>
          </w14:textFill>
        </w:rPr>
        <w:t>合同签订后、开工前</w:t>
      </w:r>
      <w:r>
        <w:rPr>
          <w:rFonts w:hint="eastAsia" w:ascii="宋体" w:hAnsi="宋体" w:eastAsia="宋体" w:cs="宋体"/>
          <w:color w:val="000000" w:themeColor="text1"/>
          <w:sz w:val="24"/>
          <w:szCs w:val="24"/>
          <w:highlight w:val="none"/>
          <w14:textFill>
            <w14:solidFill>
              <w14:schemeClr w14:val="tx1"/>
            </w14:solidFill>
          </w14:textFill>
        </w:rPr>
        <w:t>。</w:t>
      </w:r>
    </w:p>
    <w:p w14:paraId="4C6820E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 工期延误</w:t>
      </w:r>
    </w:p>
    <w:p w14:paraId="1C571CA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7.5.1 因发包人原因导致工期延误</w:t>
      </w:r>
    </w:p>
    <w:p w14:paraId="0C41B0EE">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（1）因发包人原因导致工期延误的其他情形：</w:t>
      </w:r>
      <w:r>
        <w:rPr>
          <w:rFonts w:hint="eastAsia" w:ascii="宋体" w:hAnsi="宋体" w:eastAsia="宋体" w:cs="宋体"/>
          <w:b/>
          <w:color w:val="000000" w:themeColor="text1"/>
          <w:sz w:val="24"/>
          <w:szCs w:val="24"/>
          <w:highlight w:val="none"/>
          <w:u w:val="single"/>
          <w14:textFill>
            <w14:solidFill>
              <w14:schemeClr w14:val="tx1"/>
            </w14:solidFill>
          </w14:textFill>
        </w:rPr>
        <w:t>①重大设计变更而影响施工进度；②不可抗力，此延误工期须在发生后七天内办理签证，逾期不予认可；③连续</w:t>
      </w:r>
      <w:r>
        <w:rPr>
          <w:rFonts w:hint="eastAsia" w:ascii="宋体" w:hAnsi="宋体" w:eastAsia="宋体" w:cs="宋体"/>
          <w:b/>
          <w:bCs/>
          <w:color w:val="000000" w:themeColor="text1"/>
          <w:sz w:val="24"/>
          <w:szCs w:val="24"/>
          <w:highlight w:val="none"/>
          <w:u w:val="single"/>
          <w14:textFill>
            <w14:solidFill>
              <w14:schemeClr w14:val="tx1"/>
            </w14:solidFill>
          </w14:textFill>
        </w:rPr>
        <w:t>一周内非承包人原因停水、停电造成停工累计超过48小时，工期相应顺延</w:t>
      </w:r>
      <w:r>
        <w:rPr>
          <w:rFonts w:hint="eastAsia" w:ascii="宋体" w:hAnsi="宋体" w:eastAsia="宋体" w:cs="宋体"/>
          <w:b/>
          <w:color w:val="000000" w:themeColor="text1"/>
          <w:sz w:val="24"/>
          <w:szCs w:val="24"/>
          <w:highlight w:val="none"/>
          <w:u w:val="single"/>
          <w14:textFill>
            <w14:solidFill>
              <w14:schemeClr w14:val="tx1"/>
            </w14:solidFill>
          </w14:textFill>
        </w:rPr>
        <w:t>；④</w:t>
      </w:r>
      <w:r>
        <w:rPr>
          <w:rFonts w:hint="eastAsia" w:ascii="宋体" w:hAnsi="宋体" w:eastAsia="宋体" w:cs="宋体"/>
          <w:b/>
          <w:bCs/>
          <w:color w:val="000000" w:themeColor="text1"/>
          <w:sz w:val="24"/>
          <w:szCs w:val="24"/>
          <w:highlight w:val="none"/>
          <w:u w:val="single"/>
          <w14:textFill>
            <w14:solidFill>
              <w14:schemeClr w14:val="tx1"/>
            </w14:solidFill>
          </w14:textFill>
        </w:rPr>
        <w:t>发包人未能按约定日期支付工程进度款时，承包人不能停工</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u w:val="single"/>
          <w14:textFill>
            <w14:solidFill>
              <w14:schemeClr w14:val="tx1"/>
            </w14:solidFill>
          </w14:textFill>
        </w:rPr>
        <w:t>⑤任何工期延误，须承包人向发包人提出书面请求且发包人同意后，才可作为延长的依据。</w:t>
      </w:r>
    </w:p>
    <w:p w14:paraId="76B2863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7.5.2 因承包人原因导致工期延误</w:t>
      </w:r>
    </w:p>
    <w:p w14:paraId="3461AFD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（1）若承包人未能按照施工进度计划、约定的工期总日历天数完成施工，或者未能按照施工进度计划明确的关键时间节点完成相应工程，均视为工期延误，应当承担违约责任。</w:t>
      </w:r>
    </w:p>
    <w:p w14:paraId="77A69C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（2）承、发包双方同意将通用条款第</w:t>
      </w:r>
      <w:r>
        <w:rPr>
          <w:rFonts w:hint="eastAsia" w:ascii="宋体" w:hAnsi="宋体" w:eastAsia="宋体" w:cs="宋体"/>
          <w:color w:val="000000" w:themeColor="text1"/>
          <w:kern w:val="0"/>
          <w:sz w:val="24"/>
          <w:szCs w:val="24"/>
          <w:highlight w:val="none"/>
          <w14:textFill>
            <w14:solidFill>
              <w14:schemeClr w14:val="tx1"/>
            </w14:solidFill>
          </w14:textFill>
        </w:rPr>
        <w:t>7.8.2 条约定的“因承包人原因引起的暂停施工，承包人应承担由此增加的费用和（或）延误的工期，且承包人在收到监理人复工指示后84天内仍未复工的，视为第16.2.1项〔承包人违约的情形〕第（7）目约定的承包人无法继续履行合同的情形”中“84天”修改为：30天。</w:t>
      </w:r>
    </w:p>
    <w:p w14:paraId="48D6FB3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（3）因承包人原因造成工期延误，逾期竣工违约金的计算方法为：</w:t>
      </w:r>
      <w:r>
        <w:rPr>
          <w:rFonts w:hint="eastAsia" w:ascii="宋体" w:hAnsi="宋体" w:eastAsia="宋体" w:cs="宋体"/>
          <w:b/>
          <w:bCs/>
          <w:color w:val="000000" w:themeColor="text1"/>
          <w:sz w:val="24"/>
          <w:szCs w:val="24"/>
          <w:highlight w:val="none"/>
          <w:u w:val="single"/>
          <w14:textFill>
            <w14:solidFill>
              <w14:schemeClr w14:val="tx1"/>
            </w14:solidFill>
          </w14:textFill>
        </w:rPr>
        <w:t>向发包人支付人民币20000元/天的违约金，累计计算。逾期累计超过30天，发包人可单方面解除合同并不予退还承包人履约保证金，同时，承包人还须向发包人支付签约合同价5%的违约金，并承担给发包人造成的损失。发包人认为因承包人原因至使施工进度过慢，其延误可能会对整个项目的竣工产生影响，发包人可解除合同，将本合同工程交其他人完成。发包人不予退还承包人履约保证金，且承包人还需赔偿由此给发包人造成的损失。</w:t>
      </w:r>
    </w:p>
    <w:p w14:paraId="72D88E7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（4）因承包人原因造成工期延误，逾期竣工违约金的上限：</w:t>
      </w:r>
      <w:r>
        <w:rPr>
          <w:rFonts w:hint="eastAsia" w:ascii="宋体" w:hAnsi="宋体" w:eastAsia="宋体" w:cs="宋体"/>
          <w:color w:val="000000" w:themeColor="text1"/>
          <w:sz w:val="24"/>
          <w:szCs w:val="24"/>
          <w:highlight w:val="none"/>
          <w:u w:val="single"/>
          <w14:textFill>
            <w14:solidFill>
              <w14:schemeClr w14:val="tx1"/>
            </w14:solidFill>
          </w14:textFill>
        </w:rPr>
        <w:t>合同价的10%</w:t>
      </w:r>
      <w:r>
        <w:rPr>
          <w:rFonts w:hint="eastAsia" w:ascii="宋体" w:hAnsi="宋体" w:eastAsia="宋体" w:cs="宋体"/>
          <w:color w:val="000000" w:themeColor="text1"/>
          <w:sz w:val="24"/>
          <w:szCs w:val="24"/>
          <w:highlight w:val="none"/>
          <w14:textFill>
            <w14:solidFill>
              <w14:schemeClr w14:val="tx1"/>
            </w14:solidFill>
          </w14:textFill>
        </w:rPr>
        <w:t>。</w:t>
      </w:r>
    </w:p>
    <w:p w14:paraId="696B43B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7.6 不利物质条件</w:t>
      </w:r>
    </w:p>
    <w:p w14:paraId="072A76B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B0466F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7.7异常恶劣的气候条件</w:t>
      </w:r>
    </w:p>
    <w:p w14:paraId="5E0E5D2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发包人和承包人同意以下情形视为异常恶劣的气候条件：</w:t>
      </w:r>
    </w:p>
    <w:p w14:paraId="19DA969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3C7EAD4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0EB81C0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129CB76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7.9 提前竣工的奖励</w:t>
      </w:r>
    </w:p>
    <w:p w14:paraId="24CFAF4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7.9.2提前竣工的奖励：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ACBF5B3">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7" w:name="_Toc7383184"/>
      <w:bookmarkStart w:id="828" w:name="_Toc7972686"/>
      <w:r>
        <w:rPr>
          <w:rFonts w:hint="eastAsia" w:ascii="宋体" w:hAnsi="宋体" w:eastAsia="宋体" w:cs="宋体"/>
          <w:color w:val="000000" w:themeColor="text1"/>
          <w:sz w:val="24"/>
          <w:szCs w:val="24"/>
          <w:highlight w:val="none"/>
          <w14:textFill>
            <w14:solidFill>
              <w14:schemeClr w14:val="tx1"/>
            </w14:solidFill>
          </w14:textFill>
        </w:rPr>
        <w:t>8. 材料与设备</w:t>
      </w:r>
      <w:bookmarkEnd w:id="827"/>
      <w:bookmarkEnd w:id="828"/>
    </w:p>
    <w:p w14:paraId="422A09A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8.4材料与工程设备的保管与使用</w:t>
      </w:r>
    </w:p>
    <w:p w14:paraId="7EB6E69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6F24EAE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8.4.2 承包人采购的材料设备：</w:t>
      </w:r>
    </w:p>
    <w:p w14:paraId="1B0D9F6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工程所使用的材料由承包人自行采购，所购材料必须符合设计要求和质量验收标准，并经监理验收合格后方可使用。发包人对承包人所申报范围内（不少于三家）所采购的材料品牌、厂家保留最终决定的权利。对主要材料、设备等大宗材料和建材制品，承包人必须提供生产厂家相关产品的生产许可证、强制认证书、质量证书和产品材料清单，提供相应的检测报告，并经发包人、监理方看样，书面认可后方可订货使用，以确保工程质量，杜绝不合格材料进场，承包人在材料设备到货前以书面形式提前 24 小时通知监理工程师清点。若不及时送样或连续二次送样都未能取得发包人、监理方确认的，发包人有权按合同违约进行处罚。</w:t>
      </w:r>
    </w:p>
    <w:p w14:paraId="6026D24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对不符合设计和质量标准要求的材料或未经发包人、监理方看样确认的，发包人代表和监理工程师将拒绝验收，并由承包人按发包人代表和监理工程师要求的时间退出施工现场，重新采购符合要求的材料，承担由此产生的费用，工期不予顺延。</w:t>
      </w:r>
    </w:p>
    <w:p w14:paraId="6160AB9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3．承包人应按设计图纸要求规定的设备、材料的质量、规格、型号等进行采购，承包人不得擅自更改；承包人若需更改，必须经发包人书面认可。</w:t>
      </w:r>
    </w:p>
    <w:p w14:paraId="4194B34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4．承包人采购的材料、设备在使用前，承包人应按规范、标准及工程师的要求进行检验或试验，检验或试验费用由承包人承担，不合格的不得使用。</w:t>
      </w:r>
    </w:p>
    <w:p w14:paraId="446B4F3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5.承包人需要使用代用材料时，应报监理工程师审核及设计单位、发包人同意后才能使用，由此增减的合同价款双方以书面形式议定。</w:t>
      </w:r>
    </w:p>
    <w:p w14:paraId="1BE2AA4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6.承包方原则上自行负责设备、材料的采购，但发包方对承包方所申报范围内（不少于三家）的设备、材料品牌拥有最终的决定权。</w:t>
      </w:r>
    </w:p>
    <w:p w14:paraId="42C26FE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8.6.1</w:t>
      </w:r>
      <w:r>
        <w:rPr>
          <w:rFonts w:hint="eastAsia" w:ascii="宋体" w:hAnsi="宋体" w:eastAsia="宋体" w:cs="宋体"/>
          <w:color w:val="000000" w:themeColor="text1"/>
          <w:kern w:val="0"/>
          <w:sz w:val="24"/>
          <w:szCs w:val="24"/>
          <w:highlight w:val="none"/>
          <w14:textFill>
            <w14:solidFill>
              <w14:schemeClr w14:val="tx1"/>
            </w14:solidFill>
          </w14:textFill>
        </w:rPr>
        <w:tab/>
      </w:r>
      <w:r>
        <w:rPr>
          <w:rFonts w:hint="eastAsia" w:ascii="宋体" w:hAnsi="宋体" w:eastAsia="宋体" w:cs="宋体"/>
          <w:color w:val="000000" w:themeColor="text1"/>
          <w:kern w:val="0"/>
          <w:sz w:val="24"/>
          <w:szCs w:val="24"/>
          <w:highlight w:val="none"/>
          <w14:textFill>
            <w14:solidFill>
              <w14:schemeClr w14:val="tx1"/>
            </w14:solidFill>
          </w14:textFill>
        </w:rPr>
        <w:t>样品的报送与封存</w:t>
      </w:r>
    </w:p>
    <w:p w14:paraId="2344107F">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eastAsia="宋体" w:cs="宋体"/>
          <w:color w:val="000000" w:themeColor="text1"/>
          <w:sz w:val="24"/>
          <w:szCs w:val="24"/>
          <w:highlight w:val="none"/>
          <w:u w:val="single"/>
          <w14:textFill>
            <w14:solidFill>
              <w14:schemeClr w14:val="tx1"/>
            </w14:solidFill>
          </w14:textFill>
        </w:rPr>
        <w:t>按管理部门要求和发包人需求确定</w:t>
      </w:r>
      <w:r>
        <w:rPr>
          <w:rFonts w:hint="eastAsia" w:ascii="宋体" w:hAnsi="宋体" w:eastAsia="宋体" w:cs="宋体"/>
          <w:color w:val="000000" w:themeColor="text1"/>
          <w:sz w:val="24"/>
          <w:szCs w:val="24"/>
          <w:highlight w:val="none"/>
          <w14:textFill>
            <w14:solidFill>
              <w14:schemeClr w14:val="tx1"/>
            </w14:solidFill>
          </w14:textFill>
        </w:rPr>
        <w:t>。</w:t>
      </w:r>
    </w:p>
    <w:p w14:paraId="24A7886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8.8 施工设备和临时设施</w:t>
      </w:r>
    </w:p>
    <w:p w14:paraId="43B8ED14">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8.8.1 承包人提供的施工设备和临时设施</w:t>
      </w:r>
    </w:p>
    <w:p w14:paraId="0FEA8163">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eastAsia="宋体" w:cs="宋体"/>
          <w:color w:val="000000" w:themeColor="text1"/>
          <w:sz w:val="24"/>
          <w:szCs w:val="24"/>
          <w:highlight w:val="none"/>
          <w:u w:val="single"/>
          <w14:textFill>
            <w14:solidFill>
              <w14:schemeClr w14:val="tx1"/>
            </w14:solidFill>
          </w14:textFill>
        </w:rPr>
        <w:t>由承包人承担</w:t>
      </w:r>
      <w:r>
        <w:rPr>
          <w:rFonts w:hint="eastAsia" w:ascii="宋体" w:hAnsi="宋体" w:eastAsia="宋体" w:cs="宋体"/>
          <w:color w:val="000000" w:themeColor="text1"/>
          <w:sz w:val="24"/>
          <w:szCs w:val="24"/>
          <w:highlight w:val="none"/>
          <w14:textFill>
            <w14:solidFill>
              <w14:schemeClr w14:val="tx1"/>
            </w14:solidFill>
          </w14:textFill>
        </w:rPr>
        <w:t>。</w:t>
      </w:r>
    </w:p>
    <w:p w14:paraId="4DCD76C0">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9" w:name="_Toc7972687"/>
      <w:bookmarkStart w:id="830" w:name="_Toc7383185"/>
      <w:r>
        <w:rPr>
          <w:rFonts w:hint="eastAsia" w:ascii="宋体" w:hAnsi="宋体" w:eastAsia="宋体" w:cs="宋体"/>
          <w:color w:val="000000" w:themeColor="text1"/>
          <w:sz w:val="24"/>
          <w:szCs w:val="24"/>
          <w:highlight w:val="none"/>
          <w14:textFill>
            <w14:solidFill>
              <w14:schemeClr w14:val="tx1"/>
            </w14:solidFill>
          </w14:textFill>
        </w:rPr>
        <w:t>9. 试验与检验</w:t>
      </w:r>
      <w:bookmarkEnd w:id="829"/>
      <w:bookmarkEnd w:id="830"/>
    </w:p>
    <w:p w14:paraId="5093074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9.1试验设备与试验人员</w:t>
      </w:r>
    </w:p>
    <w:p w14:paraId="6D8B663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9.1.2 试验设备</w:t>
      </w:r>
    </w:p>
    <w:p w14:paraId="19C512A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施工现场需要配置的试验场所：</w:t>
      </w:r>
      <w:r>
        <w:rPr>
          <w:rFonts w:hint="eastAsia" w:ascii="宋体" w:hAnsi="宋体" w:eastAsia="宋体" w:cs="宋体"/>
          <w:color w:val="000000" w:themeColor="text1"/>
          <w:sz w:val="24"/>
          <w:szCs w:val="24"/>
          <w:highlight w:val="none"/>
          <w:u w:val="single"/>
          <w14:textFill>
            <w14:solidFill>
              <w14:schemeClr w14:val="tx1"/>
            </w14:solidFill>
          </w14:textFill>
        </w:rPr>
        <w:t>按有关规定执行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562B81E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施工现场需要配备的试验设备：</w:t>
      </w:r>
      <w:r>
        <w:rPr>
          <w:rFonts w:hint="eastAsia" w:ascii="宋体" w:hAnsi="宋体" w:eastAsia="宋体" w:cs="宋体"/>
          <w:color w:val="000000" w:themeColor="text1"/>
          <w:sz w:val="24"/>
          <w:szCs w:val="24"/>
          <w:highlight w:val="none"/>
          <w:u w:val="single"/>
          <w14:textFill>
            <w14:solidFill>
              <w14:schemeClr w14:val="tx1"/>
            </w14:solidFill>
          </w14:textFill>
        </w:rPr>
        <w:t>按有关规定执行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7E86FD8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2AEB43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 现场工艺试验</w:t>
      </w:r>
    </w:p>
    <w:p w14:paraId="6CEC280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现场工艺试验的有关约定：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015F2D4">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1" w:name="_Toc7972688"/>
      <w:bookmarkStart w:id="832" w:name="_Toc7383186"/>
      <w:r>
        <w:rPr>
          <w:rFonts w:hint="eastAsia" w:ascii="宋体" w:hAnsi="宋体" w:eastAsia="宋体" w:cs="宋体"/>
          <w:color w:val="000000" w:themeColor="text1"/>
          <w:sz w:val="24"/>
          <w:szCs w:val="24"/>
          <w:highlight w:val="none"/>
          <w14:textFill>
            <w14:solidFill>
              <w14:schemeClr w14:val="tx1"/>
            </w14:solidFill>
          </w14:textFill>
        </w:rPr>
        <w:t>10. 变更</w:t>
      </w:r>
      <w:bookmarkEnd w:id="831"/>
      <w:bookmarkEnd w:id="832"/>
    </w:p>
    <w:p w14:paraId="393D8B3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10.1变更的范围</w:t>
      </w:r>
    </w:p>
    <w:p w14:paraId="5E0035C4">
      <w:pPr>
        <w:pStyle w:val="494"/>
        <w:spacing w:after="0" w:line="360" w:lineRule="auto"/>
        <w:ind w:firstLine="6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关于变更的范围的约定：</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11EF3AE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10.3.2 监理人提出的变更应提供下列详细的完整资料：（1）监理人对变更的技术核定单、变更项目的设计通知单、变更项目的会议纪要、发包人提出变更的文件等；（2）变更项目部位的设计图纸、工程照片、现场测量资料、工程量核算资料、检测资料；（3）每天的施工原始记录（或施工日志），劳力、材料、施工设备使用的记录，如有新增加的资源应提供这些资源合法证明或原始发票复印件；（4）工程量详细计算书；（5）变更范围的说明、合同变更依据、原因；（6）发包人要求的其它资料。如果监理人没有上述完整的资料，发包人就有充分的理由拒收此项变更，由此引起的一切后果由监理人、承包人承担责任。</w:t>
      </w:r>
    </w:p>
    <w:p w14:paraId="4E57144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10.4.1 变更估价原则</w:t>
      </w:r>
    </w:p>
    <w:p w14:paraId="172A2CB9">
      <w:pPr>
        <w:pStyle w:val="494"/>
        <w:spacing w:after="0" w:line="360" w:lineRule="auto"/>
        <w:ind w:firstLine="480" w:firstLineChars="200"/>
        <w:jc w:val="left"/>
        <w:rPr>
          <w:rFonts w:ascii="宋体" w:hAnsi="宋体" w:eastAsia="宋体" w:cs="宋体"/>
          <w:b/>
          <w:bCs/>
          <w:color w:val="auto"/>
          <w:sz w:val="24"/>
          <w:szCs w:val="24"/>
          <w:highlight w:val="none"/>
          <w:u w:val="single"/>
        </w:rPr>
      </w:pPr>
      <w:r>
        <w:rPr>
          <w:rFonts w:hint="eastAsia" w:ascii="宋体" w:hAnsi="宋体" w:eastAsia="宋体" w:cs="宋体"/>
          <w:color w:val="000000" w:themeColor="text1"/>
          <w:sz w:val="24"/>
          <w:szCs w:val="24"/>
          <w:highlight w:val="none"/>
          <w14:textFill>
            <w14:solidFill>
              <w14:schemeClr w14:val="tx1"/>
            </w14:solidFill>
          </w14:textFill>
        </w:rPr>
        <w:t>关于变更估价的约定:</w:t>
      </w:r>
      <w:r>
        <w:rPr>
          <w:rFonts w:hint="eastAsia" w:ascii="宋体" w:hAnsi="宋体" w:eastAsia="宋体" w:cs="宋体"/>
          <w:b/>
          <w:bCs/>
          <w:color w:val="auto"/>
          <w:sz w:val="24"/>
          <w:szCs w:val="24"/>
          <w:highlight w:val="none"/>
          <w:u w:val="single"/>
        </w:rPr>
        <w:t>固定综合单价不予以调整，在施工过程中，出现因投标清单与审定的施工图差异、非承包人原因造成的工程设计变更、原工程量清单漏项等原因而导致的新增及变更项目，按以下原则执行：</w:t>
      </w:r>
    </w:p>
    <w:p w14:paraId="7CB4CD44">
      <w:pPr>
        <w:pStyle w:val="495"/>
        <w:spacing w:after="0" w:line="360" w:lineRule="auto"/>
        <w:ind w:firstLine="241" w:firstLineChars="100"/>
        <w:jc w:val="left"/>
        <w:rPr>
          <w:rFonts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（1）新增项目按照</w:t>
      </w:r>
      <w:r>
        <w:rPr>
          <w:rFonts w:hint="eastAsia" w:ascii="宋体" w:hAnsi="宋体" w:eastAsia="宋体"/>
          <w:b/>
          <w:bCs/>
          <w:color w:val="auto"/>
          <w:sz w:val="24"/>
          <w:szCs w:val="24"/>
          <w:highlight w:val="none"/>
          <w:u w:val="single"/>
          <w:lang w:eastAsia="zh-CN"/>
        </w:rPr>
        <w:t>《建设工程工程量清单计价标准》（GB/T 50500-2024）</w:t>
      </w:r>
      <w:r>
        <w:rPr>
          <w:rFonts w:hint="eastAsia" w:ascii="宋体" w:hAnsi="宋体" w:eastAsia="宋体"/>
          <w:b/>
          <w:bCs/>
          <w:color w:val="auto"/>
          <w:sz w:val="24"/>
          <w:szCs w:val="24"/>
          <w:highlight w:val="none"/>
          <w:u w:val="single"/>
        </w:rPr>
        <w:t>、及投标截止日前云南省住建厅发布的配套计价文件执行，由承包人提出新组综合单价后，经监理单位及发包人确认结算，最终以审计部门审核确定后的单价执行</w:t>
      </w:r>
      <w:r>
        <w:rPr>
          <w:rFonts w:hint="eastAsia" w:ascii="宋体" w:hAnsi="宋体" w:eastAsia="宋体"/>
          <w:color w:val="auto"/>
          <w:sz w:val="24"/>
          <w:szCs w:val="24"/>
          <w:highlight w:val="none"/>
        </w:rPr>
        <w:t>。</w:t>
      </w:r>
    </w:p>
    <w:p w14:paraId="45CBC096">
      <w:pPr>
        <w:pStyle w:val="495"/>
        <w:spacing w:after="0" w:line="360" w:lineRule="auto"/>
        <w:ind w:firstLine="241" w:firstLineChars="100"/>
        <w:jc w:val="left"/>
        <w:rPr>
          <w:rFonts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2）新增及变更等项目综合单价中主材价格（设备）的确定：如果投标书已有相同的材料，价格按投标报价执行；如果投标书中没有相同的材料，按投标当期的楚雄州《建设工程价格指导》（营改版）中对应的除税主材（设备）单价计取，如楚雄州《建设工程价格指导》中没有的材料，参照同期云南省《价格信息》中（营改版）中对应的除税主材（设备）单价进行组价；如楚雄州《建设工程价格指导》、云南省《价格信息》均没有的材料，以项目业主方、发包方、监理方、发包人委托的全过程造价控制单位、承包人五方共同询价后报发包人审核认定的除税单价。产生的新增单价（不含审核认定的除税主材（设备）单价），最终以审计部门审核确定后的单价执行</w:t>
      </w:r>
      <w:r>
        <w:rPr>
          <w:rFonts w:hint="eastAsia" w:ascii="宋体" w:hAnsi="宋体" w:eastAsia="宋体"/>
          <w:color w:val="auto"/>
          <w:sz w:val="24"/>
          <w:szCs w:val="24"/>
          <w:highlight w:val="none"/>
        </w:rPr>
        <w:t>。</w:t>
      </w:r>
    </w:p>
    <w:p w14:paraId="752BD213">
      <w:pPr>
        <w:pStyle w:val="495"/>
        <w:spacing w:after="0" w:line="360" w:lineRule="auto"/>
        <w:ind w:left="284" w:firstLine="0" w:firstLineChars="0"/>
        <w:jc w:val="left"/>
        <w:rPr>
          <w:rFonts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3）承包人按合同约定提交的变更报价资料必须完整、真实可靠。如发现承包人的变更报价资料有弄虚作假，监理人有权不予办理，由此引起的一切后果由承包人负责。由于承包人过错、违约或承包人原因而必须做出的变更，由于变更引起的费用增加和工期延误责任应由承包人承担。</w:t>
      </w:r>
    </w:p>
    <w:p w14:paraId="123C0AF4">
      <w:pPr>
        <w:pStyle w:val="494"/>
        <w:spacing w:after="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10.5承包人的合理化建议</w:t>
      </w:r>
    </w:p>
    <w:p w14:paraId="179AE6A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48F063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0EFDE25B">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E9EB0D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 暂估价</w:t>
      </w:r>
    </w:p>
    <w:p w14:paraId="0C742FC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暂估价材料和工程设备的明细详见附件11：《</w:t>
      </w:r>
      <w:r>
        <w:rPr>
          <w:rFonts w:hint="eastAsia" w:ascii="宋体" w:hAnsi="宋体" w:eastAsia="宋体" w:cs="宋体"/>
          <w:color w:val="000000" w:themeColor="text1"/>
          <w:sz w:val="24"/>
          <w:szCs w:val="24"/>
          <w:highlight w:val="none"/>
          <w14:textFill>
            <w14:solidFill>
              <w14:schemeClr w14:val="tx1"/>
            </w14:solidFill>
          </w14:textFill>
        </w:rPr>
        <w:t>暂估价一览表》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4C98AC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10.7.1 依法必须招标的暂估价项目</w:t>
      </w:r>
    </w:p>
    <w:p w14:paraId="39D094F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对于依法必须招标的暂估价项目的确认和批准采取第种方式确定。</w:t>
      </w:r>
    </w:p>
    <w:p w14:paraId="57B1439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10.7.2 不属于依法必须招标的暂估价项目</w:t>
      </w:r>
    </w:p>
    <w:p w14:paraId="3380D55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对于不属于依法必须招标的暂估价项目的确认和批准采取第种方式确定。</w:t>
      </w:r>
    </w:p>
    <w:p w14:paraId="3F8285A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w:t>
      </w:r>
      <w:r>
        <w:rPr>
          <w:rFonts w:hint="eastAsia" w:ascii="宋体" w:hAnsi="宋体" w:eastAsia="宋体" w:cs="宋体"/>
          <w:color w:val="000000" w:themeColor="text1"/>
          <w:kern w:val="0"/>
          <w:sz w:val="24"/>
          <w:szCs w:val="24"/>
          <w:highlight w:val="none"/>
          <w14:textFill>
            <w14:solidFill>
              <w14:schemeClr w14:val="tx1"/>
            </w14:solidFill>
          </w14:textFill>
        </w:rPr>
        <w:t>承包人直接实施的暂估价项目</w:t>
      </w:r>
    </w:p>
    <w:p w14:paraId="6E1CFE9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07D370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10.8 暂列金额</w:t>
      </w:r>
    </w:p>
    <w:p w14:paraId="35F8619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eastAsia="宋体" w:cs="宋体"/>
          <w:color w:val="000000" w:themeColor="text1"/>
          <w:sz w:val="24"/>
          <w:szCs w:val="24"/>
          <w:highlight w:val="none"/>
          <w:u w:val="single"/>
          <w14:textFill>
            <w14:solidFill>
              <w14:schemeClr w14:val="tx1"/>
            </w14:solidFill>
          </w14:textFill>
        </w:rPr>
        <w:t>暂列金是指发包人为可能发生工程变更而暂列的金额，包括因发包人提供的工程量清单漏项、清单有误引起的工程数量增加和施工过程中设计变更引起新的清单项目或工程数量增加等需要增加的金额，发包人委托具有建设行政主管部门颁发资质的造价咨询机构审定后，按照审定造价支付部分暂列金。暂列金是发包人自行确定设立的，承包人无权使用此笔费用。此费用按实际发生经发包人签证后确定全部使用、部分使用或不使用。暂列金不计入工程款付款的基数。</w:t>
      </w:r>
    </w:p>
    <w:p w14:paraId="44479699">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3" w:name="_Toc7972689"/>
      <w:bookmarkStart w:id="834" w:name="_Toc7383187"/>
      <w:r>
        <w:rPr>
          <w:rFonts w:hint="eastAsia" w:ascii="宋体" w:hAnsi="宋体" w:eastAsia="宋体" w:cs="宋体"/>
          <w:color w:val="000000" w:themeColor="text1"/>
          <w:sz w:val="24"/>
          <w:szCs w:val="24"/>
          <w:highlight w:val="none"/>
          <w14:textFill>
            <w14:solidFill>
              <w14:schemeClr w14:val="tx1"/>
            </w14:solidFill>
          </w14:textFill>
        </w:rPr>
        <w:t>11. 价格调整</w:t>
      </w:r>
      <w:bookmarkEnd w:id="833"/>
      <w:bookmarkEnd w:id="834"/>
    </w:p>
    <w:p w14:paraId="10DDE87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市场价格波动引起的调整</w:t>
      </w:r>
    </w:p>
    <w:p w14:paraId="5C0EEDA5">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市场价格波动是否调整合同价格的约定：</w:t>
      </w:r>
      <w:r>
        <w:rPr>
          <w:rFonts w:hint="eastAsia" w:ascii="宋体" w:hAnsi="宋体" w:eastAsia="宋体" w:cs="宋体"/>
          <w:color w:val="000000" w:themeColor="text1"/>
          <w:sz w:val="24"/>
          <w:szCs w:val="24"/>
          <w:highlight w:val="none"/>
          <w:u w:val="single"/>
          <w14:textFill>
            <w14:solidFill>
              <w14:schemeClr w14:val="tx1"/>
            </w14:solidFill>
          </w14:textFill>
        </w:rPr>
        <w:t>按国家相关政策、法规、条例、文件执行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A893BA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因市场价格波动调整合同价格，采用以下第种方式对合同价格进行调整：</w:t>
      </w:r>
    </w:p>
    <w:p w14:paraId="7AEDAD7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第1种方式：采用价格指数进行价格调整。</w:t>
      </w:r>
    </w:p>
    <w:p w14:paraId="06DACD3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第2种方式：采用造价信息进行价格调整。</w:t>
      </w:r>
    </w:p>
    <w:p w14:paraId="00622BF1">
      <w:pPr>
        <w:pStyle w:val="495"/>
        <w:spacing w:after="0" w:line="360" w:lineRule="auto"/>
        <w:ind w:left="422" w:firstLine="0" w:firstLineChars="0"/>
        <w:jc w:val="left"/>
        <w:rPr>
          <w:rFonts w:ascii="宋体" w:hAnsi="宋体" w:eastAsia="宋体"/>
          <w:b/>
          <w:bCs/>
          <w:color w:val="000000" w:themeColor="text1"/>
          <w:sz w:val="24"/>
          <w:szCs w:val="24"/>
          <w:highlight w:val="none"/>
          <w:u w:val="singl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（2）关于基准价格的约定：</w:t>
      </w:r>
    </w:p>
    <w:p w14:paraId="67A99478">
      <w:pPr>
        <w:pStyle w:val="494"/>
        <w:spacing w:after="0" w:line="360" w:lineRule="auto"/>
        <w:ind w:firstLine="64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第3种方式：其他价格调整方式：</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7C353C2B">
      <w:pPr>
        <w:pStyle w:val="494"/>
        <w:keepNext/>
        <w:keepLines/>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bookmarkStart w:id="835" w:name="_Toc7972690"/>
      <w:bookmarkStart w:id="836" w:name="_Toc7383188"/>
      <w:r>
        <w:rPr>
          <w:rFonts w:hint="eastAsia" w:ascii="宋体" w:hAnsi="宋体" w:eastAsia="宋体" w:cs="宋体"/>
          <w:color w:val="000000" w:themeColor="text1"/>
          <w:sz w:val="24"/>
          <w:szCs w:val="24"/>
          <w:highlight w:val="none"/>
          <w14:textFill>
            <w14:solidFill>
              <w14:schemeClr w14:val="tx1"/>
            </w14:solidFill>
          </w14:textFill>
        </w:rPr>
        <w:t>12. 合同价格、计量与支付</w:t>
      </w:r>
      <w:bookmarkEnd w:id="835"/>
      <w:bookmarkEnd w:id="836"/>
    </w:p>
    <w:p w14:paraId="6CF647B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 合同价格形式</w:t>
      </w:r>
    </w:p>
    <w:p w14:paraId="23CE702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1、固定综合单价合同。</w:t>
      </w:r>
    </w:p>
    <w:p w14:paraId="537FBBBE">
      <w:pPr>
        <w:pStyle w:val="494"/>
        <w:spacing w:after="0" w:line="360" w:lineRule="auto"/>
        <w:ind w:firstLine="480" w:firstLineChars="200"/>
        <w:jc w:val="left"/>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综合单价包含的风险范围：</w:t>
      </w:r>
      <w:r>
        <w:rPr>
          <w:rFonts w:hint="eastAsia" w:ascii="宋体" w:hAnsi="宋体" w:eastAsia="宋体" w:cs="宋体"/>
          <w:b/>
          <w:bCs/>
          <w:color w:val="000000" w:themeColor="text1"/>
          <w:sz w:val="24"/>
          <w:szCs w:val="24"/>
          <w:highlight w:val="none"/>
          <w:u w:val="single"/>
          <w14:textFill>
            <w14:solidFill>
              <w14:schemeClr w14:val="tx1"/>
            </w14:solidFill>
          </w14:textFill>
        </w:rPr>
        <w:t>工程量清单综合单价均应包括完成一个规定清单项目所需人工、材料、机械、管理费、利润、保险，并综合考虑风险费等全部费用，以及合同明示或暗示的所有责任、义务和一般风险，结算时以合同综合单价支付。合同内综合单价不因任何原因而调整。</w:t>
      </w:r>
    </w:p>
    <w:p w14:paraId="20FFBDC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风险费用的计算方法：</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已含在投标综合单价中</w:t>
      </w:r>
      <w:r>
        <w:rPr>
          <w:rFonts w:hint="eastAsia" w:ascii="宋体" w:hAnsi="宋体" w:eastAsia="宋体" w:cs="宋体"/>
          <w:color w:val="000000" w:themeColor="text1"/>
          <w:sz w:val="24"/>
          <w:szCs w:val="24"/>
          <w:highlight w:val="none"/>
          <w14:textFill>
            <w14:solidFill>
              <w14:schemeClr w14:val="tx1"/>
            </w14:solidFill>
          </w14:textFill>
        </w:rPr>
        <w:t>。</w:t>
      </w:r>
    </w:p>
    <w:p w14:paraId="0EC74994">
      <w:pPr>
        <w:pStyle w:val="494"/>
        <w:spacing w:after="0" w:line="360" w:lineRule="auto"/>
        <w:ind w:firstLine="480" w:firstLineChars="200"/>
        <w:jc w:val="left"/>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w:t>
      </w:r>
      <w:r>
        <w:rPr>
          <w:rFonts w:hint="eastAsia" w:ascii="宋体" w:hAnsi="宋体" w:eastAsia="宋体" w:cs="宋体"/>
          <w:bCs/>
          <w:color w:val="000000" w:themeColor="text1"/>
          <w:kern w:val="0"/>
          <w:sz w:val="24"/>
          <w:szCs w:val="24"/>
          <w:highlight w:val="none"/>
          <w14:textFill>
            <w14:solidFill>
              <w14:schemeClr w14:val="tx1"/>
            </w14:solidFill>
          </w14:textFill>
        </w:rPr>
        <w:t>。</w:t>
      </w:r>
    </w:p>
    <w:p w14:paraId="0E9149D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w:t>
      </w:r>
    </w:p>
    <w:p w14:paraId="7DEB5C2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总价包含的风险范围：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9EC52A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风险费用的计算方法：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B86362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D9FE6A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3、其他价格方式：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E09B7E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 预付款</w:t>
      </w:r>
    </w:p>
    <w:p w14:paraId="4CF444E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12.2.1 预付款的支付</w:t>
      </w:r>
    </w:p>
    <w:p w14:paraId="45AE77C5">
      <w:pPr>
        <w:pStyle w:val="21"/>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预付款支付比例或金额： </w:t>
      </w:r>
      <w:r>
        <w:rPr>
          <w:rFonts w:hint="eastAsia" w:ascii="宋体" w:hAnsi="宋体" w:eastAsia="宋体" w:cs="宋体"/>
          <w:color w:val="000000" w:themeColor="text1"/>
          <w:sz w:val="24"/>
          <w:szCs w:val="24"/>
          <w:highlight w:val="none"/>
          <w:u w:val="single"/>
          <w14:textFill>
            <w14:solidFill>
              <w14:schemeClr w14:val="tx1"/>
            </w14:solidFill>
          </w14:textFill>
        </w:rPr>
        <w:t>在签订正式施工合同时约定</w:t>
      </w:r>
      <w:r>
        <w:rPr>
          <w:rFonts w:hint="eastAsia" w:ascii="宋体" w:hAnsi="宋体" w:eastAsia="宋体" w:cs="宋体"/>
          <w:color w:val="000000" w:themeColor="text1"/>
          <w:sz w:val="24"/>
          <w:szCs w:val="24"/>
          <w:highlight w:val="none"/>
          <w14:textFill>
            <w14:solidFill>
              <w14:schemeClr w14:val="tx1"/>
            </w14:solidFill>
          </w14:textFill>
        </w:rPr>
        <w:t>。</w:t>
      </w:r>
    </w:p>
    <w:p w14:paraId="6CFE74B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预付款支付期限：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7B2A85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预付款扣回的方式：</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01D5F80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12.2.2 预付款担保</w:t>
      </w:r>
    </w:p>
    <w:p w14:paraId="25D319D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承包人提交预付款担保的期限：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1184BE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预付款担保的形式为：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DA4DA3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 计量</w:t>
      </w:r>
    </w:p>
    <w:p w14:paraId="55FD869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12.3.1 计量原则</w:t>
      </w:r>
    </w:p>
    <w:p w14:paraId="71E266B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工程量计算规则：。</w:t>
      </w:r>
    </w:p>
    <w:p w14:paraId="0206E06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12.3.2 计量周期</w:t>
      </w:r>
    </w:p>
    <w:p w14:paraId="1FD3687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关于计量周期的约定：</w:t>
      </w:r>
      <w:r>
        <w:rPr>
          <w:rFonts w:hint="eastAsia" w:ascii="宋体" w:hAnsi="宋体" w:eastAsia="宋体" w:cs="宋体"/>
          <w:color w:val="000000" w:themeColor="text1"/>
          <w:sz w:val="24"/>
          <w:szCs w:val="24"/>
          <w:highlight w:val="none"/>
          <w:u w:val="single"/>
          <w14:textFill>
            <w14:solidFill>
              <w14:schemeClr w14:val="tx1"/>
            </w14:solidFill>
          </w14:textFill>
        </w:rPr>
        <w:t>按月计量</w:t>
      </w:r>
      <w:r>
        <w:rPr>
          <w:rFonts w:hint="eastAsia" w:ascii="宋体" w:hAnsi="宋体" w:eastAsia="宋体" w:cs="宋体"/>
          <w:color w:val="000000" w:themeColor="text1"/>
          <w:sz w:val="24"/>
          <w:szCs w:val="24"/>
          <w:highlight w:val="none"/>
          <w14:textFill>
            <w14:solidFill>
              <w14:schemeClr w14:val="tx1"/>
            </w14:solidFill>
          </w14:textFill>
        </w:rPr>
        <w:t>。</w:t>
      </w:r>
    </w:p>
    <w:p w14:paraId="2FC9892D">
      <w:pPr>
        <w:pStyle w:val="494"/>
        <w:spacing w:after="0"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12.3.3 单价合同的计</w:t>
      </w:r>
      <w:r>
        <w:rPr>
          <w:rFonts w:hint="eastAsia" w:ascii="宋体" w:hAnsi="宋体" w:eastAsia="宋体" w:cs="宋体"/>
          <w:color w:val="auto"/>
          <w:sz w:val="24"/>
          <w:szCs w:val="24"/>
          <w:highlight w:val="none"/>
        </w:rPr>
        <w:t>量</w:t>
      </w:r>
    </w:p>
    <w:p w14:paraId="4E0CED6A">
      <w:pPr>
        <w:pStyle w:val="494"/>
        <w:spacing w:after="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b/>
          <w:bCs/>
          <w:color w:val="auto"/>
          <w:sz w:val="24"/>
          <w:szCs w:val="24"/>
          <w:highlight w:val="none"/>
          <w:u w:val="single"/>
        </w:rPr>
        <w:t>每月20日提供</w:t>
      </w:r>
      <w:r>
        <w:rPr>
          <w:rFonts w:hint="eastAsia" w:ascii="宋体" w:hAnsi="宋体" w:eastAsia="宋体" w:cs="宋体"/>
          <w:b/>
          <w:bCs/>
          <w:color w:val="auto"/>
          <w:kern w:val="0"/>
          <w:sz w:val="24"/>
          <w:szCs w:val="24"/>
          <w:highlight w:val="none"/>
          <w:u w:val="single"/>
        </w:rPr>
        <w:t>当月《工程进度完成情况及计量支付报表》和下月《工程进度计划报表》及质量安全报表一式六份提</w:t>
      </w:r>
      <w:r>
        <w:rPr>
          <w:rFonts w:hint="eastAsia" w:ascii="宋体" w:hAnsi="宋体" w:eastAsia="宋体" w:cs="宋体"/>
          <w:b/>
          <w:bCs/>
          <w:color w:val="auto"/>
          <w:sz w:val="24"/>
          <w:szCs w:val="24"/>
          <w:highlight w:val="none"/>
          <w:u w:val="single"/>
        </w:rPr>
        <w:t>交监理工程师审核，监理工程师5日内完成审核后于每月25日前报至发包人审核，审核完成后按相关流程上报审批，审批完成后支付。</w:t>
      </w:r>
      <w:r>
        <w:rPr>
          <w:rFonts w:hint="eastAsia" w:ascii="宋体" w:hAnsi="宋体" w:eastAsia="宋体" w:cs="宋体"/>
          <w:b/>
          <w:bCs/>
          <w:color w:val="auto"/>
          <w:kern w:val="0"/>
          <w:sz w:val="24"/>
          <w:szCs w:val="24"/>
          <w:highlight w:val="none"/>
          <w:u w:val="single"/>
        </w:rPr>
        <w:t>20日前提交当月的设计变更和签证、新增单价送审相关资料，次月计量。</w:t>
      </w:r>
    </w:p>
    <w:p w14:paraId="4B6E8F45">
      <w:pPr>
        <w:pStyle w:val="494"/>
        <w:spacing w:after="0"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12.3.4 总价合同的计量</w:t>
      </w:r>
    </w:p>
    <w:p w14:paraId="0826FDB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按月计</w:t>
      </w:r>
      <w:r>
        <w:rPr>
          <w:rFonts w:hint="eastAsia" w:ascii="宋体" w:hAnsi="宋体" w:eastAsia="宋体" w:cs="宋体"/>
          <w:color w:val="000000" w:themeColor="text1"/>
          <w:sz w:val="24"/>
          <w:szCs w:val="24"/>
          <w:highlight w:val="none"/>
          <w:u w:val="single"/>
          <w14:textFill>
            <w14:solidFill>
              <w14:schemeClr w14:val="tx1"/>
            </w14:solidFill>
          </w14:textFill>
        </w:rPr>
        <w:t>量</w:t>
      </w:r>
      <w:r>
        <w:rPr>
          <w:rFonts w:hint="eastAsia" w:ascii="宋体" w:hAnsi="宋体" w:eastAsia="宋体" w:cs="宋体"/>
          <w:color w:val="000000" w:themeColor="text1"/>
          <w:sz w:val="24"/>
          <w:szCs w:val="24"/>
          <w:highlight w:val="none"/>
          <w14:textFill>
            <w14:solidFill>
              <w14:schemeClr w14:val="tx1"/>
            </w14:solidFill>
          </w14:textFill>
        </w:rPr>
        <w:t>。</w:t>
      </w:r>
    </w:p>
    <w:p w14:paraId="16BBA07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eastAsia="宋体" w:cs="宋体"/>
          <w:color w:val="000000" w:themeColor="text1"/>
          <w:kern w:val="0"/>
          <w:sz w:val="24"/>
          <w:szCs w:val="24"/>
          <w:highlight w:val="none"/>
          <w14:textFill>
            <w14:solidFill>
              <w14:schemeClr w14:val="tx1"/>
            </w14:solidFill>
          </w14:textFill>
        </w:rPr>
        <w:t xml:space="preserve">12.3.4 </w:t>
      </w:r>
      <w:r>
        <w:rPr>
          <w:rFonts w:hint="eastAsia" w:ascii="宋体" w:hAnsi="宋体" w:eastAsia="宋体" w:cs="宋体"/>
          <w:color w:val="000000" w:themeColor="text1"/>
          <w:sz w:val="24"/>
          <w:szCs w:val="24"/>
          <w:highlight w:val="none"/>
          <w14:textFill>
            <w14:solidFill>
              <w14:schemeClr w14:val="tx1"/>
            </w14:solidFill>
          </w14:textFill>
        </w:rPr>
        <w:t>项</w:t>
      </w:r>
      <w:r>
        <w:rPr>
          <w:rFonts w:hint="eastAsia" w:ascii="宋体" w:hAnsi="宋体" w:eastAsia="宋体" w:cs="宋体"/>
          <w:color w:val="000000" w:themeColor="text1"/>
          <w:kern w:val="0"/>
          <w:sz w:val="24"/>
          <w:szCs w:val="24"/>
          <w:highlight w:val="none"/>
          <w14:textFill>
            <w14:solidFill>
              <w14:schemeClr w14:val="tx1"/>
            </w14:solidFill>
          </w14:textFill>
        </w:rPr>
        <w:t>〔总价合同的计量〕</w:t>
      </w:r>
      <w:r>
        <w:rPr>
          <w:rFonts w:hint="eastAsia" w:ascii="宋体" w:hAnsi="宋体" w:eastAsia="宋体" w:cs="宋体"/>
          <w:color w:val="000000" w:themeColor="text1"/>
          <w:sz w:val="24"/>
          <w:szCs w:val="24"/>
          <w:highlight w:val="none"/>
          <w14:textFill>
            <w14:solidFill>
              <w14:schemeClr w14:val="tx1"/>
            </w14:solidFill>
          </w14:textFill>
        </w:rPr>
        <w:t>约定进行计量：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0BF10F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12.3.6 其他价格形式合同的计量</w:t>
      </w:r>
    </w:p>
    <w:p w14:paraId="4D7E5D3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D10A0A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 工程进度款支付</w:t>
      </w:r>
    </w:p>
    <w:p w14:paraId="490251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12.4.1 付款周期</w:t>
      </w:r>
    </w:p>
    <w:p w14:paraId="02199D60">
      <w:pPr>
        <w:pStyle w:val="73"/>
        <w:spacing w:after="0" w:line="360" w:lineRule="auto"/>
        <w:ind w:firstLine="480" w:firstLineChars="200"/>
        <w:jc w:val="left"/>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关于付款周期的约定：</w:t>
      </w:r>
      <w:r>
        <w:rPr>
          <w:rFonts w:hint="eastAsia" w:ascii="宋体" w:hAnsi="宋体" w:eastAsia="宋体" w:cs="宋体"/>
          <w:b/>
          <w:bCs/>
          <w:color w:val="000000" w:themeColor="text1"/>
          <w:sz w:val="24"/>
          <w:szCs w:val="24"/>
          <w:highlight w:val="none"/>
          <w:u w:val="single"/>
          <w14:textFill>
            <w14:solidFill>
              <w14:schemeClr w14:val="tx1"/>
            </w14:solidFill>
          </w14:textFill>
        </w:rPr>
        <w:t>。</w:t>
      </w:r>
    </w:p>
    <w:p w14:paraId="3F2BDF0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12.4.2 进度付款申请单的编制</w:t>
      </w:r>
    </w:p>
    <w:p w14:paraId="768E8BC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eastAsia="宋体" w:cs="宋体"/>
          <w:b/>
          <w:bCs/>
          <w:color w:val="000000" w:themeColor="text1"/>
          <w:sz w:val="24"/>
          <w:szCs w:val="24"/>
          <w:highlight w:val="none"/>
          <w:u w:val="single"/>
          <w14:textFill>
            <w14:solidFill>
              <w14:schemeClr w14:val="tx1"/>
            </w14:solidFill>
          </w14:textFill>
        </w:rPr>
        <w:t>参照付款周期约定</w:t>
      </w:r>
    </w:p>
    <w:p w14:paraId="24A6F59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12.4.3 进度付款申请单的提交</w:t>
      </w:r>
    </w:p>
    <w:p w14:paraId="7F7DCB6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按月提交</w:t>
      </w:r>
      <w:r>
        <w:rPr>
          <w:rFonts w:hint="eastAsia" w:ascii="宋体" w:hAnsi="宋体" w:eastAsia="宋体" w:cs="宋体"/>
          <w:color w:val="000000" w:themeColor="text1"/>
          <w:sz w:val="24"/>
          <w:szCs w:val="24"/>
          <w:highlight w:val="none"/>
          <w14:textFill>
            <w14:solidFill>
              <w14:schemeClr w14:val="tx1"/>
            </w14:solidFill>
          </w14:textFill>
        </w:rPr>
        <w:t>。</w:t>
      </w:r>
    </w:p>
    <w:p w14:paraId="4532DDD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0E415CC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7FCBCA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12.4.4 进度款审核和支付</w:t>
      </w:r>
    </w:p>
    <w:p w14:paraId="3F2D0842">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eastAsia="宋体" w:cs="宋体"/>
          <w:color w:val="000000" w:themeColor="text1"/>
          <w:sz w:val="24"/>
          <w:szCs w:val="24"/>
          <w:highlight w:val="none"/>
          <w:u w:val="single"/>
          <w14:textFill>
            <w14:solidFill>
              <w14:schemeClr w14:val="tx1"/>
            </w14:solidFill>
          </w14:textFill>
        </w:rPr>
        <w:t>收到申请3天内</w:t>
      </w:r>
      <w:r>
        <w:rPr>
          <w:rFonts w:hint="eastAsia" w:ascii="宋体" w:hAnsi="宋体" w:eastAsia="宋体" w:cs="宋体"/>
          <w:color w:val="000000" w:themeColor="text1"/>
          <w:sz w:val="24"/>
          <w:szCs w:val="24"/>
          <w:highlight w:val="none"/>
          <w14:textFill>
            <w14:solidFill>
              <w14:schemeClr w14:val="tx1"/>
            </w14:solidFill>
          </w14:textFill>
        </w:rPr>
        <w:t>。</w:t>
      </w:r>
    </w:p>
    <w:p w14:paraId="7A8A2EE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eastAsia="宋体" w:cs="宋体"/>
          <w:color w:val="000000" w:themeColor="text1"/>
          <w:sz w:val="24"/>
          <w:szCs w:val="24"/>
          <w:highlight w:val="none"/>
          <w:u w:val="single"/>
          <w14:textFill>
            <w14:solidFill>
              <w14:schemeClr w14:val="tx1"/>
            </w14:solidFill>
          </w14:textFill>
        </w:rPr>
        <w:t>项目资金拨付到发包人后，发包人审批完成后7天</w:t>
      </w:r>
      <w:r>
        <w:rPr>
          <w:rFonts w:hint="eastAsia" w:ascii="宋体" w:hAnsi="宋体" w:eastAsia="宋体" w:cs="宋体"/>
          <w:color w:val="000000" w:themeColor="text1"/>
          <w:sz w:val="24"/>
          <w:szCs w:val="24"/>
          <w:highlight w:val="none"/>
          <w14:textFill>
            <w14:solidFill>
              <w14:schemeClr w14:val="tx1"/>
            </w14:solidFill>
          </w14:textFill>
        </w:rPr>
        <w:t>。</w:t>
      </w:r>
    </w:p>
    <w:p w14:paraId="3A33938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（2）发包人支付进度款的期限：</w:t>
      </w:r>
      <w:r>
        <w:rPr>
          <w:rFonts w:hint="eastAsia" w:ascii="宋体" w:hAnsi="宋体" w:eastAsia="宋体" w:cs="宋体"/>
          <w:color w:val="000000" w:themeColor="text1"/>
          <w:sz w:val="24"/>
          <w:szCs w:val="24"/>
          <w:highlight w:val="none"/>
          <w:u w:val="single"/>
          <w14:textFill>
            <w14:solidFill>
              <w14:schemeClr w14:val="tx1"/>
            </w14:solidFill>
          </w14:textFill>
        </w:rPr>
        <w:t>项目资金拨付到发包人后，发包人审批完成后15天内</w:t>
      </w:r>
      <w:r>
        <w:rPr>
          <w:rFonts w:hint="eastAsia" w:ascii="宋体" w:hAnsi="宋体" w:eastAsia="宋体" w:cs="宋体"/>
          <w:color w:val="000000" w:themeColor="text1"/>
          <w:sz w:val="24"/>
          <w:szCs w:val="24"/>
          <w:highlight w:val="none"/>
          <w14:textFill>
            <w14:solidFill>
              <w14:schemeClr w14:val="tx1"/>
            </w14:solidFill>
          </w14:textFill>
        </w:rPr>
        <w:t>。承、发包双方同意删除通用条款第12.4.4条第（2）项的约定。</w:t>
      </w:r>
    </w:p>
    <w:p w14:paraId="48484638">
      <w:pPr>
        <w:pStyle w:val="494"/>
        <w:spacing w:after="0" w:line="360" w:lineRule="auto"/>
        <w:ind w:firstLine="600" w:firstLineChars="25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发包人逾期支付进度款的违约金的计算方式：发包人不承担违约责任。</w:t>
      </w:r>
    </w:p>
    <w:p w14:paraId="102CAF9B">
      <w:pPr>
        <w:pStyle w:val="494"/>
        <w:spacing w:after="0" w:line="360" w:lineRule="auto"/>
        <w:ind w:firstLine="600" w:firstLineChars="25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12.4.6 支付分解表的编制</w:t>
      </w:r>
    </w:p>
    <w:p w14:paraId="227E791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6F0F2B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CEE365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7" w:name="_Toc7972691"/>
      <w:bookmarkStart w:id="838" w:name="_Toc7383189"/>
      <w:r>
        <w:rPr>
          <w:rFonts w:hint="eastAsia" w:ascii="宋体" w:hAnsi="宋体" w:eastAsia="宋体" w:cs="宋体"/>
          <w:color w:val="000000" w:themeColor="text1"/>
          <w:sz w:val="24"/>
          <w:szCs w:val="24"/>
          <w:highlight w:val="none"/>
          <w14:textFill>
            <w14:solidFill>
              <w14:schemeClr w14:val="tx1"/>
            </w14:solidFill>
          </w14:textFill>
        </w:rPr>
        <w:t>13. 验收和工程试车</w:t>
      </w:r>
      <w:bookmarkEnd w:id="837"/>
      <w:bookmarkEnd w:id="838"/>
    </w:p>
    <w:p w14:paraId="5534446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 分部分项工程验收</w:t>
      </w:r>
    </w:p>
    <w:p w14:paraId="70FABC1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color w:val="000000" w:themeColor="text1"/>
          <w:sz w:val="24"/>
          <w:szCs w:val="24"/>
          <w:highlight w:val="none"/>
          <w14:textFill>
            <w14:solidFill>
              <w14:schemeClr w14:val="tx1"/>
            </w14:solidFill>
          </w14:textFill>
        </w:rPr>
        <w:t>小时提交书面延期要求。</w:t>
      </w:r>
    </w:p>
    <w:p w14:paraId="48FAD76E">
      <w:pPr>
        <w:pStyle w:val="494"/>
        <w:spacing w:after="0" w:line="360" w:lineRule="auto"/>
        <w:ind w:firstLine="480" w:firstLineChars="20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关于延期最长不得超过：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48 </w:t>
      </w:r>
      <w:r>
        <w:rPr>
          <w:rFonts w:hint="eastAsia" w:ascii="宋体" w:hAnsi="宋体" w:eastAsia="宋体" w:cs="宋体"/>
          <w:color w:val="000000" w:themeColor="text1"/>
          <w:sz w:val="24"/>
          <w:szCs w:val="24"/>
          <w:highlight w:val="none"/>
          <w14:textFill>
            <w14:solidFill>
              <w14:schemeClr w14:val="tx1"/>
            </w14:solidFill>
          </w14:textFill>
        </w:rPr>
        <w:t>小时。</w:t>
      </w:r>
    </w:p>
    <w:p w14:paraId="7266AB0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 竣工验收</w:t>
      </w:r>
    </w:p>
    <w:p w14:paraId="7499653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13.2.2竣工验收程序</w:t>
      </w:r>
    </w:p>
    <w:p w14:paraId="6A99E22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5FA7D50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4706F5C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13.2.5移交、接收全部与部分工程</w:t>
      </w:r>
    </w:p>
    <w:p w14:paraId="44C0C3E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eastAsia="宋体" w:cs="宋体"/>
          <w:color w:val="000000" w:themeColor="text1"/>
          <w:sz w:val="24"/>
          <w:szCs w:val="24"/>
          <w:highlight w:val="none"/>
          <w:u w:val="single"/>
          <w14:textFill>
            <w14:solidFill>
              <w14:schemeClr w14:val="tx1"/>
            </w14:solidFill>
          </w14:textFill>
        </w:rPr>
        <w:t>颁发工程接收证书后7天内</w:t>
      </w:r>
      <w:r>
        <w:rPr>
          <w:rFonts w:hint="eastAsia" w:ascii="宋体" w:hAnsi="宋体" w:eastAsia="宋体" w:cs="宋体"/>
          <w:color w:val="000000" w:themeColor="text1"/>
          <w:sz w:val="24"/>
          <w:szCs w:val="24"/>
          <w:highlight w:val="none"/>
          <w14:textFill>
            <w14:solidFill>
              <w14:schemeClr w14:val="tx1"/>
            </w14:solidFill>
          </w14:textFill>
        </w:rPr>
        <w:t>。</w:t>
      </w:r>
    </w:p>
    <w:p w14:paraId="06E5170D">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D55047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2D8151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13.3 工程试车</w:t>
      </w:r>
    </w:p>
    <w:p w14:paraId="1706BFF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13.3.1 试车程序</w:t>
      </w:r>
    </w:p>
    <w:p w14:paraId="4839B46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工程试车内容：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615D08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承担；</w:t>
      </w:r>
    </w:p>
    <w:p w14:paraId="572DB0A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承担。</w:t>
      </w:r>
    </w:p>
    <w:p w14:paraId="4D27E13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13.3.3 投料试车</w:t>
      </w:r>
    </w:p>
    <w:p w14:paraId="7E044DE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26F3DA8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13.6 竣工退场</w:t>
      </w:r>
    </w:p>
    <w:p w14:paraId="7AEAA97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13.6.1 竣工退场</w:t>
      </w:r>
    </w:p>
    <w:p w14:paraId="15E7A5D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eastAsia="宋体" w:cs="宋体"/>
          <w:color w:val="000000" w:themeColor="text1"/>
          <w:sz w:val="24"/>
          <w:szCs w:val="24"/>
          <w:highlight w:val="none"/>
          <w:u w:val="single"/>
          <w14:textFill>
            <w14:solidFill>
              <w14:schemeClr w14:val="tx1"/>
            </w14:solidFill>
          </w14:textFill>
        </w:rPr>
        <w:t>颁发工程接收证书后3天内。承包人未按监理人或发包人通知规定的时间清场、撤离，发包人有权没收履约保证金，并强制清退，发生的费用将从承包人的合同余款或质保金中扣回。承包人进行的竣工清场以及人员、施工设备和临时工程的撤离、场地平整和环境恢复等工作所需的费用由承包人承担。该费用已包含在合同价款中，发包人不再支付</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72C9048">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9" w:name="_Toc7972692"/>
      <w:bookmarkStart w:id="840" w:name="_Toc7383190"/>
      <w:r>
        <w:rPr>
          <w:rFonts w:hint="eastAsia" w:ascii="宋体" w:hAnsi="宋体" w:eastAsia="宋体" w:cs="宋体"/>
          <w:color w:val="000000" w:themeColor="text1"/>
          <w:sz w:val="24"/>
          <w:szCs w:val="24"/>
          <w:highlight w:val="none"/>
          <w14:textFill>
            <w14:solidFill>
              <w14:schemeClr w14:val="tx1"/>
            </w14:solidFill>
          </w14:textFill>
        </w:rPr>
        <w:t>14. 竣工结算</w:t>
      </w:r>
      <w:bookmarkEnd w:id="839"/>
      <w:bookmarkEnd w:id="840"/>
    </w:p>
    <w:p w14:paraId="0C3B5A95">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 竣工结算申请</w:t>
      </w:r>
    </w:p>
    <w:p w14:paraId="50224812">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竣工结算申请单的期限：工程竣工验收合格后一个月，承包人应完成工程结算的编制工作并提交发包人。工程竣工验收合格后发包人要求交付工程的，承包人应予以交付；发包人不要求交付工程的，承包人应承担保管义务。</w:t>
      </w:r>
    </w:p>
    <w:p w14:paraId="17E93DF7">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工程通过发包人竣工验收并取得主管部门验收合格证后一个月内，承包人向发包人提交竣工结算报告及完整的结算资料。工程结算资料包括：结算备忘录、送审资料清单、工程结算书、各项结算调整的依据、内容及费用等。</w:t>
      </w:r>
    </w:p>
    <w:p w14:paraId="57396921">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单位将先行对承包人提交的竣工结算报告和结算资料的完整性和准确性进行预检，如承包人送审资料与实际情况不符或缺乏充分依据，监理单位有权要求承包人进行补充和修正。经发包人及监理单位确认后的竣工结算报告和结算资料方可进入正式结算审核程序。</w:t>
      </w:r>
    </w:p>
    <w:p w14:paraId="616247F9">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14.2 竣工结算确认</w:t>
      </w:r>
    </w:p>
    <w:p w14:paraId="2F56F369">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过程审核。全过程造价控制单位在收到上述经各方确认的完整资料后60天内，应根据审核结果出具初审报告，报发包人和承包人。发包人和承包人收到初审报告后，应在30天内提出修改、补充意见，任何一方逾期未提出修改意见的，视为对初审报告的认可。全过程造价控制单位收到发包人和承包人的修改补充意见后，应在30天内对初审报告进行完善、补充、修改（不予修改、补充的应说明理由）并提交经各方确认的审核结算报告。经各方签字盖章确认的审核结算报告是发包方提交政府审计部门进行最终结算审计的依据。若承包人对审核结算报告仍有异议的，应对无争议的部分先进行确认，有争议部分可进一步协商或提请政府审计部门作出最终审定。任何一方不得因对审核报告存有部分争议而影响合同其他条款的履行，争议期造成的工程款利息为零。</w:t>
      </w:r>
    </w:p>
    <w:p w14:paraId="7CA098CA">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最终审计。全过程造价控制单位提交的结算审核报告作为给政府审计部门审计的基础，以最终政府审计部门的审计结果作为准，作为发包人最终付款依据。承包方对最终审计结果存有异议，签章与否，均不影响最终审计的效力。</w:t>
      </w:r>
    </w:p>
    <w:p w14:paraId="6DC51D0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发包人审批竣工付款申请单的期限：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422D1B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发包人完成竣工付款的期限：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68F7702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关于竣工付款证书异议部分复核的方式和程序：</w:t>
      </w:r>
      <w:r>
        <w:rPr>
          <w:rFonts w:hint="eastAsia" w:ascii="宋体" w:hAnsi="宋体" w:eastAsia="宋体" w:cs="宋体"/>
          <w:color w:val="000000" w:themeColor="text1"/>
          <w:kern w:val="0"/>
          <w:sz w:val="24"/>
          <w:szCs w:val="24"/>
          <w:highlight w:val="none"/>
          <w:u w:val="single"/>
          <w14:textFill>
            <w14:solidFill>
              <w14:schemeClr w14:val="tx1"/>
            </w14:solidFill>
          </w14:textFill>
        </w:rPr>
        <w:t>执行通用条款。</w:t>
      </w:r>
    </w:p>
    <w:p w14:paraId="5B861340">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 最终结清</w:t>
      </w:r>
    </w:p>
    <w:p w14:paraId="7B4F1EA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14.4.1 最终结清申请单</w:t>
      </w:r>
    </w:p>
    <w:p w14:paraId="6CA6E98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eastAsia="宋体" w:cs="宋体"/>
          <w:color w:val="000000" w:themeColor="text1"/>
          <w:kern w:val="0"/>
          <w:sz w:val="24"/>
          <w:szCs w:val="24"/>
          <w:highlight w:val="none"/>
          <w:u w:val="single"/>
          <w14:textFill>
            <w14:solidFill>
              <w14:schemeClr w14:val="tx1"/>
            </w14:solidFill>
          </w14:textFill>
        </w:rPr>
        <w:t>叁份</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DA91EC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4CF5B05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14.4.2 最终结清证书和支付</w:t>
      </w:r>
    </w:p>
    <w:p w14:paraId="6A1FB3F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（1）发包人完成最终结清申请单的审批并颁发最终结清证书的期限：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1B58B4B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（2）发包人完成支付的期限：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70D2E38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1" w:name="_Toc7972693"/>
      <w:bookmarkStart w:id="842" w:name="_Toc7383191"/>
      <w:r>
        <w:rPr>
          <w:rFonts w:hint="eastAsia" w:ascii="宋体" w:hAnsi="宋体" w:eastAsia="宋体" w:cs="宋体"/>
          <w:color w:val="000000" w:themeColor="text1"/>
          <w:sz w:val="24"/>
          <w:szCs w:val="24"/>
          <w:highlight w:val="none"/>
          <w14:textFill>
            <w14:solidFill>
              <w14:schemeClr w14:val="tx1"/>
            </w14:solidFill>
          </w14:textFill>
        </w:rPr>
        <w:t>15. 缺陷责任期与保修</w:t>
      </w:r>
      <w:bookmarkEnd w:id="841"/>
      <w:bookmarkEnd w:id="842"/>
    </w:p>
    <w:p w14:paraId="3EE90F2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15.2缺陷责任期</w:t>
      </w:r>
    </w:p>
    <w:p w14:paraId="49A7698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缺陷责任期的具体期限：。</w:t>
      </w:r>
    </w:p>
    <w:p w14:paraId="686D8DD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 质量保证金</w:t>
      </w:r>
    </w:p>
    <w:p w14:paraId="4B107FE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eastAsia="宋体" w:cs="宋体"/>
          <w:color w:val="000000" w:themeColor="text1"/>
          <w:sz w:val="24"/>
          <w:szCs w:val="24"/>
          <w:highlight w:val="none"/>
          <w:u w:val="single"/>
          <w14:textFill>
            <w14:solidFill>
              <w14:schemeClr w14:val="tx1"/>
            </w14:solidFill>
          </w14:textFill>
        </w:rPr>
        <w:t>扣留</w:t>
      </w:r>
      <w:r>
        <w:rPr>
          <w:rFonts w:hint="eastAsia" w:ascii="宋体" w:hAnsi="宋体" w:eastAsia="宋体" w:cs="宋体"/>
          <w:color w:val="000000" w:themeColor="text1"/>
          <w:sz w:val="24"/>
          <w:szCs w:val="24"/>
          <w:highlight w:val="none"/>
          <w14:textFill>
            <w14:solidFill>
              <w14:schemeClr w14:val="tx1"/>
            </w14:solidFill>
          </w14:textFill>
        </w:rPr>
        <w:t>。</w:t>
      </w:r>
    </w:p>
    <w:p w14:paraId="477E9B6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15.3.1 承包人提供质量保证金的方式</w:t>
      </w:r>
    </w:p>
    <w:p w14:paraId="46B5459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质量保证金采用以下第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种方式：</w:t>
      </w:r>
    </w:p>
    <w:p w14:paraId="5C14A13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AE3B16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5 </w:t>
      </w:r>
      <w:r>
        <w:rPr>
          <w:rFonts w:hint="eastAsia" w:ascii="宋体" w:hAnsi="宋体" w:eastAsia="宋体" w:cs="宋体"/>
          <w:color w:val="000000" w:themeColor="text1"/>
          <w:kern w:val="0"/>
          <w:sz w:val="24"/>
          <w:szCs w:val="24"/>
          <w:highlight w:val="none"/>
          <w14:textFill>
            <w14:solidFill>
              <w14:schemeClr w14:val="tx1"/>
            </w14:solidFill>
          </w14:textFill>
        </w:rPr>
        <w:t>%的工程款；</w:t>
      </w:r>
    </w:p>
    <w:p w14:paraId="05340B9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（3）其他方式:</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019605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15.3.2 质量保证金的扣留</w:t>
      </w:r>
    </w:p>
    <w:p w14:paraId="5D87545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质量保证金的扣留采取以下第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种方式：</w:t>
      </w:r>
    </w:p>
    <w:p w14:paraId="140BDDB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5CFD78D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r>
        <w:rPr>
          <w:rFonts w:hint="eastAsia" w:ascii="宋体" w:hAnsi="宋体" w:eastAsia="宋体" w:cs="宋体"/>
          <w:b/>
          <w:bCs/>
          <w:color w:val="000000" w:themeColor="text1"/>
          <w:kern w:val="0"/>
          <w:sz w:val="24"/>
          <w:szCs w:val="24"/>
          <w:highlight w:val="none"/>
          <w14:textFill>
            <w14:solidFill>
              <w14:schemeClr w14:val="tx1"/>
            </w14:solidFill>
          </w14:textFill>
        </w:rPr>
        <w:t>工程竣工结算完后一次性扣留质量保证金</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6DDAF6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（3）其他扣留方式:</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C85B49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关于质量保证金的补充约定：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3E80EC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15.4保修</w:t>
      </w:r>
    </w:p>
    <w:p w14:paraId="687965B1">
      <w:pPr>
        <w:pStyle w:val="494"/>
        <w:spacing w:after="0" w:line="360" w:lineRule="auto"/>
        <w:ind w:firstLine="468" w:firstLineChars="19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15.4.1 保修责任</w:t>
      </w:r>
    </w:p>
    <w:p w14:paraId="7A2790BE">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工程保修期为：</w:t>
      </w:r>
      <w:r>
        <w:rPr>
          <w:rFonts w:hint="eastAsia" w:ascii="宋体" w:hAnsi="宋体" w:eastAsia="宋体" w:cs="宋体"/>
          <w:color w:val="000000" w:themeColor="text1"/>
          <w:kern w:val="0"/>
          <w:sz w:val="24"/>
          <w:szCs w:val="24"/>
          <w:highlight w:val="none"/>
          <w:u w:val="single"/>
          <w14:textFill>
            <w14:solidFill>
              <w14:schemeClr w14:val="tx1"/>
            </w14:solidFill>
          </w14:textFill>
        </w:rPr>
        <w:t>见工程质量保修书</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EFA4BAC">
      <w:pPr>
        <w:pStyle w:val="494"/>
        <w:spacing w:after="0" w:line="360" w:lineRule="auto"/>
        <w:ind w:firstLine="468" w:firstLineChars="19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15.4.3 修复通知</w:t>
      </w:r>
    </w:p>
    <w:p w14:paraId="679629CE">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eastAsia="宋体" w:cs="宋体"/>
          <w:color w:val="000000" w:themeColor="text1"/>
          <w:kern w:val="0"/>
          <w:sz w:val="24"/>
          <w:szCs w:val="24"/>
          <w:highlight w:val="none"/>
          <w:u w:val="single"/>
          <w14:textFill>
            <w14:solidFill>
              <w14:schemeClr w14:val="tx1"/>
            </w14:solidFill>
          </w14:textFill>
        </w:rPr>
        <w:t>24小时内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D30985A">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3" w:name="_Toc7383192"/>
      <w:bookmarkStart w:id="844" w:name="_Toc7972694"/>
      <w:r>
        <w:rPr>
          <w:rFonts w:hint="eastAsia" w:ascii="宋体" w:hAnsi="宋体" w:eastAsia="宋体" w:cs="宋体"/>
          <w:color w:val="000000" w:themeColor="text1"/>
          <w:sz w:val="24"/>
          <w:szCs w:val="24"/>
          <w:highlight w:val="none"/>
          <w14:textFill>
            <w14:solidFill>
              <w14:schemeClr w14:val="tx1"/>
            </w14:solidFill>
          </w14:textFill>
        </w:rPr>
        <w:t>16. 违约</w:t>
      </w:r>
      <w:bookmarkEnd w:id="843"/>
      <w:bookmarkEnd w:id="844"/>
    </w:p>
    <w:p w14:paraId="0E1F8EC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 发包人违约</w:t>
      </w:r>
    </w:p>
    <w:p w14:paraId="436C9C1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16.1.1发包人违约的情形</w:t>
      </w:r>
    </w:p>
    <w:p w14:paraId="2DACFB5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DBA296E">
      <w:pPr>
        <w:pStyle w:val="494"/>
        <w:spacing w:after="0" w:line="360" w:lineRule="auto"/>
        <w:ind w:left="1200" w:hanging="1200" w:hangingChars="5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16.1.2 发包人违约的责任</w:t>
      </w:r>
    </w:p>
    <w:p w14:paraId="0A02DDB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发包人违约责任的承担方式和计算方法：</w:t>
      </w:r>
    </w:p>
    <w:p w14:paraId="390F6E3E">
      <w:pPr>
        <w:pStyle w:val="494"/>
        <w:spacing w:after="0" w:line="360" w:lineRule="auto"/>
        <w:ind w:firstLine="480" w:firstLineChars="200"/>
        <w:jc w:val="left"/>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工期顺延</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3F8C0B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6D236E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A7D25E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1D9564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8397DD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B08F1A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（7）其他：</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无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E90302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16.1.3 因发包人违约解除合同</w:t>
      </w:r>
    </w:p>
    <w:p w14:paraId="66BCCFC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60 </w:t>
      </w:r>
      <w:r>
        <w:rPr>
          <w:rFonts w:hint="eastAsia" w:ascii="宋体" w:hAnsi="宋体" w:eastAsia="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0230C59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 承包人违约</w:t>
      </w:r>
    </w:p>
    <w:p w14:paraId="514F8ED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16.2.1 承包人违约的情形</w:t>
      </w:r>
    </w:p>
    <w:p w14:paraId="72A45E4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6C69B06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16.2.2承包人违约的责任</w:t>
      </w:r>
    </w:p>
    <w:p w14:paraId="610BDC4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承包人违约责任的承担方式和计算方法：。</w:t>
      </w:r>
    </w:p>
    <w:p w14:paraId="7A34A7A3">
      <w:pPr>
        <w:pStyle w:val="494"/>
        <w:spacing w:after="0" w:line="360" w:lineRule="auto"/>
        <w:ind w:firstLine="480" w:firstLineChars="200"/>
        <w:jc w:val="left"/>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若承包人违反通用条款第16.2.1条第（1）至（8）项的约定，则发包人有权不予退还全额履约保证金和质量保修金（若违反第6项）；同时，承包人还应当向发包人支付签约合同价10%的违约金，并承担因此而给发包人造成的损失，发包人有权直接从工程价款中扣除违约金和损失赔偿金。除承担此项违约责任外，本合同有其他具体违约情形及违约责任约定的，一律并处。</w:t>
      </w:r>
    </w:p>
    <w:p w14:paraId="2682385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16.2.3 因承包人违约解除合同</w:t>
      </w:r>
    </w:p>
    <w:p w14:paraId="4B80F72C">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关于承包人违约解除合同的特别约定：。</w:t>
      </w:r>
    </w:p>
    <w:p w14:paraId="58CA666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若发生下列情形之一，则发包人有权单方解除本合同，并要求承包人承担违约责任；自发包人发出解除通知之日起本合同解除：</w:t>
      </w:r>
    </w:p>
    <w:p w14:paraId="7EB4023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（1）承包人违反合同约定进行转包或违法分包的；</w:t>
      </w:r>
    </w:p>
    <w:p w14:paraId="201A7F3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（2）承包人违反合同约定采购和使用不合格的材料和工程设备的；</w:t>
      </w:r>
    </w:p>
    <w:p w14:paraId="3FB3741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（3）因承包人原因导致工程质量不符合合同要求的；</w:t>
      </w:r>
    </w:p>
    <w:p w14:paraId="6A649B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6956F90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（5）承包人未能按施工进度计划及时完成合同约定的工作，造成工期延误累计达30日；</w:t>
      </w:r>
    </w:p>
    <w:p w14:paraId="11B28F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341196D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（7）承包人明确表示或者以其行为表明不履行合同主要义务的。</w:t>
      </w:r>
    </w:p>
    <w:p w14:paraId="1504E66B">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kern w:val="0"/>
          <w:sz w:val="24"/>
          <w:szCs w:val="24"/>
          <w:highlight w:val="none"/>
          <w:u w:val="single"/>
          <w14:textFill>
            <w14:solidFill>
              <w14:schemeClr w14:val="tx1"/>
            </w14:solidFill>
          </w14:textFill>
        </w:rPr>
        <w:t>双方另行确定</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E44F6B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5" w:name="_Toc7383193"/>
      <w:bookmarkStart w:id="846" w:name="_Toc7972695"/>
      <w:r>
        <w:rPr>
          <w:rFonts w:hint="eastAsia" w:ascii="宋体" w:hAnsi="宋体" w:eastAsia="宋体" w:cs="宋体"/>
          <w:color w:val="000000" w:themeColor="text1"/>
          <w:sz w:val="24"/>
          <w:szCs w:val="24"/>
          <w:highlight w:val="none"/>
          <w14:textFill>
            <w14:solidFill>
              <w14:schemeClr w14:val="tx1"/>
            </w14:solidFill>
          </w14:textFill>
        </w:rPr>
        <w:t>17. 不可抗力</w:t>
      </w:r>
      <w:bookmarkEnd w:id="845"/>
      <w:bookmarkEnd w:id="846"/>
    </w:p>
    <w:p w14:paraId="4364DAE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 不可抗力的确认</w:t>
      </w:r>
    </w:p>
    <w:p w14:paraId="2172E0B4">
      <w:pPr>
        <w:pStyle w:val="494"/>
        <w:spacing w:after="0" w:line="360" w:lineRule="auto"/>
        <w:ind w:firstLine="480" w:firstLineChars="200"/>
        <w:jc w:val="left"/>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64C213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17.4 因不可抗力解除合同</w:t>
      </w:r>
    </w:p>
    <w:p w14:paraId="02D7FB5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60 </w:t>
      </w:r>
      <w:r>
        <w:rPr>
          <w:rFonts w:hint="eastAsia" w:ascii="宋体" w:hAnsi="宋体" w:eastAsia="宋体" w:cs="宋体"/>
          <w:color w:val="000000" w:themeColor="text1"/>
          <w:sz w:val="24"/>
          <w:szCs w:val="24"/>
          <w:highlight w:val="none"/>
          <w14:textFill>
            <w14:solidFill>
              <w14:schemeClr w14:val="tx1"/>
            </w14:solidFill>
          </w14:textFill>
        </w:rPr>
        <w:t>天内完成款项的支付。</w:t>
      </w:r>
    </w:p>
    <w:p w14:paraId="4400844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7" w:name="_Toc7383194"/>
      <w:bookmarkStart w:id="848" w:name="_Toc7972696"/>
      <w:r>
        <w:rPr>
          <w:rFonts w:hint="eastAsia" w:ascii="宋体" w:hAnsi="宋体" w:eastAsia="宋体" w:cs="宋体"/>
          <w:color w:val="000000" w:themeColor="text1"/>
          <w:sz w:val="24"/>
          <w:szCs w:val="24"/>
          <w:highlight w:val="none"/>
          <w14:textFill>
            <w14:solidFill>
              <w14:schemeClr w14:val="tx1"/>
            </w14:solidFill>
          </w14:textFill>
        </w:rPr>
        <w:t>18. 保险</w:t>
      </w:r>
      <w:bookmarkEnd w:id="847"/>
      <w:bookmarkEnd w:id="848"/>
    </w:p>
    <w:p w14:paraId="5116373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18.1 工程保险</w:t>
      </w:r>
    </w:p>
    <w:p w14:paraId="3239342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关于工程保险的特别约定：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5B436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18.3 其他保险</w:t>
      </w:r>
    </w:p>
    <w:p w14:paraId="0647B1B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关于其他保险的约定：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承包人应当为其施工现场的全部人员办理意外伤害保险并支付保险费</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02C8BA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eastAsia="宋体" w:cs="宋体"/>
          <w:color w:val="000000" w:themeColor="text1"/>
          <w:sz w:val="24"/>
          <w:szCs w:val="24"/>
          <w:highlight w:val="none"/>
          <w:u w:val="single"/>
          <w14:textFill>
            <w14:solidFill>
              <w14:schemeClr w14:val="tx1"/>
            </w14:solidFill>
          </w14:textFill>
        </w:rPr>
        <w:t>是</w:t>
      </w:r>
      <w:r>
        <w:rPr>
          <w:rFonts w:hint="eastAsia" w:ascii="宋体" w:hAnsi="宋体" w:eastAsia="宋体" w:cs="宋体"/>
          <w:color w:val="000000" w:themeColor="text1"/>
          <w:sz w:val="24"/>
          <w:szCs w:val="24"/>
          <w:highlight w:val="none"/>
          <w14:textFill>
            <w14:solidFill>
              <w14:schemeClr w14:val="tx1"/>
            </w14:solidFill>
          </w14:textFill>
        </w:rPr>
        <w:t>。</w:t>
      </w:r>
    </w:p>
    <w:p w14:paraId="104A761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18.7 通知义务</w:t>
      </w:r>
    </w:p>
    <w:p w14:paraId="753D0DA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715B8D4D">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9" w:name="_Toc7383195"/>
      <w:bookmarkStart w:id="850" w:name="_Toc7972697"/>
      <w:r>
        <w:rPr>
          <w:rFonts w:hint="eastAsia" w:ascii="宋体" w:hAnsi="宋体" w:eastAsia="宋体" w:cs="宋体"/>
          <w:color w:val="000000" w:themeColor="text1"/>
          <w:sz w:val="24"/>
          <w:szCs w:val="24"/>
          <w:highlight w:val="none"/>
          <w14:textFill>
            <w14:solidFill>
              <w14:schemeClr w14:val="tx1"/>
            </w14:solidFill>
          </w14:textFill>
        </w:rPr>
        <w:t>20. 争议解决</w:t>
      </w:r>
      <w:bookmarkEnd w:id="849"/>
      <w:bookmarkEnd w:id="850"/>
    </w:p>
    <w:p w14:paraId="206E5E0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 争议评审</w:t>
      </w:r>
    </w:p>
    <w:p w14:paraId="35827F77">
      <w:pPr>
        <w:pStyle w:val="494"/>
        <w:spacing w:after="0" w:line="360" w:lineRule="auto"/>
        <w:ind w:left="149" w:leftChars="71" w:firstLine="360" w:firstLineChars="15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F179B4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20.3.1 争议评审小组的确定</w:t>
      </w:r>
    </w:p>
    <w:p w14:paraId="7B585095">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争议评审小组成员的确定：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E682D0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选定争议评审员的期限：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2ED3BE3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A6BFFE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其他事项的约定：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0320D3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20.3.2 争议评审小组的决定</w:t>
      </w:r>
    </w:p>
    <w:p w14:paraId="36C362D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合同当事人关于本项的约定：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9D16B5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20.4仲裁或诉讼</w:t>
      </w:r>
    </w:p>
    <w:p w14:paraId="03A1D1B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种方式解决：</w:t>
      </w:r>
    </w:p>
    <w:p w14:paraId="6F82AD4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仲裁委员会申请仲裁；</w:t>
      </w:r>
    </w:p>
    <w:p w14:paraId="730641E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（2）向</w:t>
      </w:r>
      <w:r>
        <w:rPr>
          <w:rFonts w:hint="eastAsia" w:ascii="宋体" w:hAnsi="宋体" w:eastAsia="宋体" w:cs="宋体"/>
          <w:color w:val="000000" w:themeColor="text1"/>
          <w:sz w:val="24"/>
          <w:szCs w:val="24"/>
          <w:highlight w:val="none"/>
          <w:u w:val="single"/>
          <w14:textFill>
            <w14:solidFill>
              <w14:schemeClr w14:val="tx1"/>
            </w14:solidFill>
          </w14:textFill>
        </w:rPr>
        <w:t>工程项目所在地的</w:t>
      </w:r>
      <w:r>
        <w:rPr>
          <w:rFonts w:hint="eastAsia" w:ascii="宋体" w:hAnsi="宋体" w:eastAsia="宋体" w:cs="宋体"/>
          <w:color w:val="000000" w:themeColor="text1"/>
          <w:sz w:val="24"/>
          <w:szCs w:val="24"/>
          <w:highlight w:val="none"/>
          <w14:textFill>
            <w14:solidFill>
              <w14:schemeClr w14:val="tx1"/>
            </w14:solidFill>
          </w14:textFill>
        </w:rPr>
        <w:t>人民法院起诉。</w:t>
      </w:r>
    </w:p>
    <w:p w14:paraId="2E746D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20.5 补充条款</w:t>
      </w:r>
    </w:p>
    <w:p w14:paraId="0043DB2E">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承包人在合同履行中要求变更合同承诺或变更投标报价的，发包人不予调整；承包人据此拒不履行合同约定义务，并给发包人造成损失的，承包人应承担由此造成发包人的实际损失，发包人有权单方面解除合同并不予退还承包人全额履约保证金。此外，发包人可将有关情况报建设行政主管部门及招标监管部门，由建设行政主管部门或招标监管部门依照有关法律、法规给予相应处罚，并作为不良市场行为记录。</w:t>
      </w:r>
    </w:p>
    <w:p w14:paraId="477B54DE">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2、承包人须保证发包方拨付的资金专款专用，绝不挪作他用，在收到工程进度款前必须列出开支计划，确保民工工资的支付，并接受发包人的监督。若发生挪作他用或不按开支计划合理使用工程资金，发包人有权停止支付款项，并有权直接支付相应开支，且承包人不能因此而停止工程的施工。</w:t>
      </w:r>
    </w:p>
    <w:p w14:paraId="5FC66288">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3、承包人通过对现场考察，应结合本工程的实际情况，对施工现场作周密布置，除充分考虑上述规定外，还应对现场施工用水的排放及排污做统一安排。执行省、市及当地行政主管部门对现场管理的相关规定，且服从发包人的相关管理规定。若因排水、排污妨碍沿线居民正常生活或工农业生产，一切责任由承包人承担。</w:t>
      </w:r>
    </w:p>
    <w:p w14:paraId="49E5F870">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4、施工单位必须积极配合过程造价咨询单位的工作，不按照规定配合工作的，建设行政主管部门将对相关责任单位进行处罚。</w:t>
      </w:r>
    </w:p>
    <w:p w14:paraId="63AE1264">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5、现场签证的要求：承包人应当在签证事项发生后7天内，将书面确认材料报送监理工程师、过程造价咨询单位代表及发包人代表签字确认，逾期监理工程师、过程造价咨询单位代表及发包人代表有权拒绝签认。</w:t>
      </w:r>
    </w:p>
    <w:p w14:paraId="459E873B">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6、工程施工时，承包人项目经理及质量安全管理人员应当实施现场管理和监督。</w:t>
      </w:r>
    </w:p>
    <w:p w14:paraId="3AC616B3">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7、承包人的平面布置、运输通道的设置，需经业主及监理单位许可后才能实施，运输通道的使用必须服从发包人及监理工程师现场管理，否则发包人及监理工程师有权进行处罚。</w:t>
      </w:r>
    </w:p>
    <w:p w14:paraId="1422E187">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8、在合同履行过程中，发包人向承包人支付工程款项前，承包人需按《中华人民共和国税法》以及《通知》等相关规定向发包人开具发票并提供相应材料，否则发包人有权拒绝支付工程款，且不视为发包人违约，由此造成的一切损失由承包人自行承担。国家税收政策变化的，按照新政策执行。</w:t>
      </w:r>
    </w:p>
    <w:p w14:paraId="2DAA1551">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9、承包人应按照相关规定对施工工地进行扬尘治理防护，如因承包人扬尘治理防护不符合要求被相关部门要求整改或处罚的，由承包人承担由此产生的全部责任及费用；若发包人因此需承担相关责任的，发包人向承包人进行追偿。</w:t>
      </w:r>
    </w:p>
    <w:p w14:paraId="2ADBB4DB">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10、承包人应保证农民工工资的足额、按时支付，如因承包人原因导致拖欠农民工工资，农民工上访、诉讼的，承包人应赔偿发包人由此产生的全部损失，包括但不限于发包人代为支付的农民工工资、诉讼费、律师费、鉴定费、保全费等全部费用。</w:t>
      </w:r>
    </w:p>
    <w:p w14:paraId="322B812C">
      <w:pPr>
        <w:pStyle w:val="494"/>
        <w:spacing w:after="0"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br w:type="page"/>
      </w:r>
      <w:r>
        <w:rPr>
          <w:rFonts w:hint="eastAsia" w:ascii="宋体" w:hAnsi="宋体" w:eastAsia="宋体" w:cs="宋体"/>
          <w:b/>
          <w:color w:val="000000" w:themeColor="text1"/>
          <w:sz w:val="24"/>
          <w:szCs w:val="24"/>
          <w:highlight w:val="none"/>
          <w14:textFill>
            <w14:solidFill>
              <w14:schemeClr w14:val="tx1"/>
            </w14:solidFill>
          </w14:textFill>
        </w:rPr>
        <w:t>附件</w:t>
      </w:r>
    </w:p>
    <w:p w14:paraId="51C134C2">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协议书附件：</w:t>
      </w:r>
    </w:p>
    <w:p w14:paraId="334B93DF">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附件1：承包人承揽工程项目一览表</w:t>
      </w:r>
    </w:p>
    <w:p w14:paraId="62A20D0F">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专用合同条款附件：</w:t>
      </w:r>
    </w:p>
    <w:p w14:paraId="7D7C5D7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附件2：发包人供应材料设备一览表</w:t>
      </w:r>
    </w:p>
    <w:p w14:paraId="1992C548">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附件3：工程质量保修书</w:t>
      </w:r>
    </w:p>
    <w:p w14:paraId="1CFDD11C">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附件4：主要建设工程文件目录</w:t>
      </w:r>
    </w:p>
    <w:p w14:paraId="7A52055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附件5：承包人用于本工程施工的机械设备表</w:t>
      </w:r>
    </w:p>
    <w:p w14:paraId="349720FA">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附件6：承包人主要施工管理人员表</w:t>
      </w:r>
    </w:p>
    <w:p w14:paraId="7AC1F1B4">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附件7：分包人主要施工管理人员表</w:t>
      </w:r>
    </w:p>
    <w:p w14:paraId="21B8E107">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附件8：履约担保</w:t>
      </w:r>
    </w:p>
    <w:p w14:paraId="75BE9FEA">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附件9：预付款担保</w:t>
      </w:r>
    </w:p>
    <w:p w14:paraId="79DF04A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附件10：支付担保</w:t>
      </w:r>
    </w:p>
    <w:p w14:paraId="1A8FBA83">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附件11：暂估价一览表</w:t>
      </w:r>
    </w:p>
    <w:p w14:paraId="23FC5A67">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附件12：建设工程廉政合同</w:t>
      </w:r>
    </w:p>
    <w:p w14:paraId="168236DA">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附件13：安全生产责任书</w:t>
      </w:r>
    </w:p>
    <w:p w14:paraId="2DC1ECC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sectPr>
          <w:footerReference r:id="rId8" w:type="first"/>
          <w:headerReference r:id="rId6" w:type="default"/>
          <w:footerReference r:id="rId7" w:type="default"/>
          <w:pgSz w:w="11906" w:h="16838"/>
          <w:pgMar w:top="1418" w:right="1555" w:bottom="1418" w:left="1531" w:header="851" w:footer="992" w:gutter="0"/>
          <w:pgNumType w:fmt="numberInDash"/>
          <w:cols w:space="720" w:num="1"/>
          <w:titlePg/>
          <w:docGrid w:type="lines" w:linePitch="312" w:charSpace="0"/>
        </w:sectPr>
      </w:pPr>
    </w:p>
    <w:p w14:paraId="4861299E">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51" w:name="_Toc17050"/>
      <w:bookmarkStart w:id="852" w:name="_Toc7972698"/>
      <w:bookmarkStart w:id="853" w:name="_Toc7383196"/>
      <w:r>
        <w:rPr>
          <w:rFonts w:hint="eastAsia" w:ascii="宋体" w:hAnsi="宋体" w:cs="宋体"/>
          <w:color w:val="000000" w:themeColor="text1"/>
          <w:sz w:val="24"/>
          <w:highlight w:val="none"/>
          <w14:textFill>
            <w14:solidFill>
              <w14:schemeClr w14:val="tx1"/>
            </w14:solidFill>
          </w14:textFill>
        </w:rPr>
        <w:t>附件1：承包人承揽工程项目一览表</w:t>
      </w:r>
      <w:bookmarkEnd w:id="851"/>
      <w:bookmarkEnd w:id="852"/>
      <w:bookmarkEnd w:id="853"/>
    </w:p>
    <w:p w14:paraId="493405E3">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承包人承揽工程项目一览表</w:t>
      </w:r>
    </w:p>
    <w:tbl>
      <w:tblPr>
        <w:tblStyle w:val="58"/>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482E4A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5658AD1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单位工程名称</w:t>
            </w:r>
          </w:p>
        </w:tc>
        <w:tc>
          <w:tcPr>
            <w:tcW w:w="1843" w:type="dxa"/>
            <w:tcBorders>
              <w:top w:val="single" w:color="auto" w:sz="12" w:space="0"/>
              <w:bottom w:val="double" w:color="auto" w:sz="6" w:space="0"/>
            </w:tcBorders>
            <w:vAlign w:val="center"/>
          </w:tcPr>
          <w:p w14:paraId="51AE93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建设规模</w:t>
            </w:r>
          </w:p>
        </w:tc>
        <w:tc>
          <w:tcPr>
            <w:tcW w:w="1417" w:type="dxa"/>
            <w:tcBorders>
              <w:top w:val="single" w:color="auto" w:sz="12" w:space="0"/>
              <w:bottom w:val="double" w:color="auto" w:sz="6" w:space="0"/>
            </w:tcBorders>
            <w:vAlign w:val="center"/>
          </w:tcPr>
          <w:p w14:paraId="6FF6488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建筑面积(平方米)</w:t>
            </w:r>
          </w:p>
        </w:tc>
        <w:tc>
          <w:tcPr>
            <w:tcW w:w="2410" w:type="dxa"/>
            <w:tcBorders>
              <w:top w:val="single" w:color="auto" w:sz="12" w:space="0"/>
              <w:bottom w:val="double" w:color="auto" w:sz="6" w:space="0"/>
            </w:tcBorders>
            <w:vAlign w:val="center"/>
          </w:tcPr>
          <w:p w14:paraId="3D37AF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结构形式</w:t>
            </w:r>
          </w:p>
        </w:tc>
        <w:tc>
          <w:tcPr>
            <w:tcW w:w="850" w:type="dxa"/>
            <w:tcBorders>
              <w:top w:val="single" w:color="auto" w:sz="12" w:space="0"/>
              <w:bottom w:val="double" w:color="auto" w:sz="6" w:space="0"/>
            </w:tcBorders>
            <w:vAlign w:val="center"/>
          </w:tcPr>
          <w:p w14:paraId="0735B62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层数</w:t>
            </w:r>
          </w:p>
        </w:tc>
        <w:tc>
          <w:tcPr>
            <w:tcW w:w="1560" w:type="dxa"/>
            <w:tcBorders>
              <w:top w:val="single" w:color="auto" w:sz="12" w:space="0"/>
              <w:bottom w:val="double" w:color="auto" w:sz="6" w:space="0"/>
            </w:tcBorders>
            <w:vAlign w:val="center"/>
          </w:tcPr>
          <w:p w14:paraId="239A054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生产能力</w:t>
            </w:r>
          </w:p>
        </w:tc>
        <w:tc>
          <w:tcPr>
            <w:tcW w:w="2126" w:type="dxa"/>
            <w:tcBorders>
              <w:top w:val="single" w:color="auto" w:sz="12" w:space="0"/>
              <w:bottom w:val="double" w:color="auto" w:sz="6" w:space="0"/>
            </w:tcBorders>
            <w:vAlign w:val="center"/>
          </w:tcPr>
          <w:p w14:paraId="73833C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设备安装内容</w:t>
            </w:r>
          </w:p>
        </w:tc>
        <w:tc>
          <w:tcPr>
            <w:tcW w:w="1417" w:type="dxa"/>
            <w:tcBorders>
              <w:top w:val="single" w:color="auto" w:sz="12" w:space="0"/>
              <w:bottom w:val="double" w:color="auto" w:sz="6" w:space="0"/>
            </w:tcBorders>
            <w:vAlign w:val="center"/>
          </w:tcPr>
          <w:p w14:paraId="23D0FF5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合同价格（元）</w:t>
            </w:r>
          </w:p>
        </w:tc>
        <w:tc>
          <w:tcPr>
            <w:tcW w:w="851" w:type="dxa"/>
            <w:tcBorders>
              <w:top w:val="single" w:color="auto" w:sz="12" w:space="0"/>
              <w:bottom w:val="double" w:color="auto" w:sz="6" w:space="0"/>
            </w:tcBorders>
            <w:vAlign w:val="center"/>
          </w:tcPr>
          <w:p w14:paraId="55A6F5A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开工日期</w:t>
            </w:r>
          </w:p>
        </w:tc>
        <w:tc>
          <w:tcPr>
            <w:tcW w:w="850" w:type="dxa"/>
            <w:tcBorders>
              <w:top w:val="single" w:color="auto" w:sz="12" w:space="0"/>
              <w:bottom w:val="double" w:color="auto" w:sz="6" w:space="0"/>
            </w:tcBorders>
            <w:vAlign w:val="center"/>
          </w:tcPr>
          <w:p w14:paraId="13C92F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竣工日期</w:t>
            </w:r>
          </w:p>
        </w:tc>
      </w:tr>
      <w:tr w14:paraId="45FD5D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14:paraId="1C32125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double" w:color="auto" w:sz="6" w:space="0"/>
              <w:bottom w:val="single" w:color="auto" w:sz="6" w:space="0"/>
            </w:tcBorders>
            <w:vAlign w:val="center"/>
          </w:tcPr>
          <w:p w14:paraId="7EABBAF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double" w:color="auto" w:sz="6" w:space="0"/>
              <w:bottom w:val="single" w:color="auto" w:sz="6" w:space="0"/>
            </w:tcBorders>
            <w:vAlign w:val="center"/>
          </w:tcPr>
          <w:p w14:paraId="5CF9EF3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double" w:color="auto" w:sz="6" w:space="0"/>
              <w:bottom w:val="single" w:color="auto" w:sz="6" w:space="0"/>
            </w:tcBorders>
            <w:vAlign w:val="center"/>
          </w:tcPr>
          <w:p w14:paraId="418C07D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03B802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double" w:color="auto" w:sz="6" w:space="0"/>
              <w:bottom w:val="single" w:color="auto" w:sz="6" w:space="0"/>
            </w:tcBorders>
            <w:vAlign w:val="center"/>
          </w:tcPr>
          <w:p w14:paraId="616F9B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double" w:color="auto" w:sz="6" w:space="0"/>
              <w:bottom w:val="single" w:color="auto" w:sz="6" w:space="0"/>
            </w:tcBorders>
            <w:vAlign w:val="center"/>
          </w:tcPr>
          <w:p w14:paraId="4B4AB65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double" w:color="auto" w:sz="6" w:space="0"/>
              <w:bottom w:val="single" w:color="auto" w:sz="6" w:space="0"/>
            </w:tcBorders>
            <w:vAlign w:val="center"/>
          </w:tcPr>
          <w:p w14:paraId="1FA0188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double" w:color="auto" w:sz="6" w:space="0"/>
              <w:bottom w:val="single" w:color="auto" w:sz="6" w:space="0"/>
            </w:tcBorders>
            <w:vAlign w:val="center"/>
          </w:tcPr>
          <w:p w14:paraId="773F59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21E303E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C155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F82D9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3E3F577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10C146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012BEF5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485D448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4130503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3725FD2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33D138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4DF67B5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2A65460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7FC06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94811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7E63ADB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7FBDE34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509ABA1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6857A55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1E1E158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58E1C52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69C624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159403E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440DC95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B7BB3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40D7246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535045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24AD2D3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3A4B269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62EED2C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5227107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4B2C57F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3EDB65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3F2334B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45E265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65DCB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3A1582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204023B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06A0572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7E9157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7E465D9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3F77F7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5A779E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12D65EF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54CC035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391691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A1725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7E1B72B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248E640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6821339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1367355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3EC9671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39422A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7EA166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3A5C9E1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074C5C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5AD717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91BEA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741692C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5854D0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0B2D536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199FFD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0059275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52FAB43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0B80DD5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70C997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25FBEF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7C0CEA6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67622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3BE26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66CB4EB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57077D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364636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5EF89EC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6B99FA0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1B8201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1CD43B5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321EF4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799DD27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3EAC0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7B85B3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3AAF17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4F8B258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6BDAA9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0075CA8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797A48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5F2C28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50527C7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F3DF1B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56D5016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bl>
    <w:p w14:paraId="2210ACED">
      <w:pPr>
        <w:pStyle w:val="496"/>
        <w:spacing w:after="0" w:line="360" w:lineRule="auto"/>
        <w:rPr>
          <w:rFonts w:ascii="宋体" w:hAnsi="宋体" w:cs="宋体"/>
          <w:b/>
          <w:color w:val="000000" w:themeColor="text1"/>
          <w:sz w:val="24"/>
          <w:szCs w:val="24"/>
          <w:highlight w:val="none"/>
          <w14:textFill>
            <w14:solidFill>
              <w14:schemeClr w14:val="tx1"/>
            </w14:solidFill>
          </w14:textFill>
        </w:rPr>
        <w:sectPr>
          <w:headerReference r:id="rId9" w:type="default"/>
          <w:pgSz w:w="16838" w:h="11906" w:orient="landscape"/>
          <w:pgMar w:top="1554" w:right="1418" w:bottom="1531" w:left="1418" w:header="851" w:footer="992" w:gutter="0"/>
          <w:pgNumType w:fmt="numberInDash"/>
          <w:cols w:space="720" w:num="1"/>
          <w:titlePg/>
          <w:docGrid w:type="linesAndChars" w:linePitch="312" w:charSpace="0"/>
        </w:sectPr>
      </w:pPr>
    </w:p>
    <w:p w14:paraId="548BB77A">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54" w:name="_Toc24526"/>
      <w:bookmarkStart w:id="855" w:name="_Toc7383197"/>
      <w:bookmarkStart w:id="856" w:name="_Toc7972699"/>
      <w:r>
        <w:rPr>
          <w:rFonts w:hint="eastAsia" w:ascii="宋体" w:hAnsi="宋体" w:cs="宋体"/>
          <w:color w:val="000000" w:themeColor="text1"/>
          <w:sz w:val="24"/>
          <w:highlight w:val="none"/>
          <w14:textFill>
            <w14:solidFill>
              <w14:schemeClr w14:val="tx1"/>
            </w14:solidFill>
          </w14:textFill>
        </w:rPr>
        <w:t>附件2：发包人供应材料设备一览表</w:t>
      </w:r>
      <w:bookmarkEnd w:id="854"/>
      <w:bookmarkEnd w:id="855"/>
      <w:bookmarkEnd w:id="856"/>
    </w:p>
    <w:p w14:paraId="3D9C5219">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发包人供应材料设备一览表</w:t>
      </w:r>
    </w:p>
    <w:tbl>
      <w:tblPr>
        <w:tblStyle w:val="58"/>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4CCD2F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1EB169E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276" w:type="dxa"/>
            <w:tcBorders>
              <w:top w:val="single" w:color="auto" w:sz="12" w:space="0"/>
              <w:bottom w:val="double" w:color="auto" w:sz="6" w:space="0"/>
            </w:tcBorders>
            <w:vAlign w:val="center"/>
          </w:tcPr>
          <w:p w14:paraId="098CFF1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材料、</w:t>
            </w:r>
          </w:p>
          <w:p w14:paraId="265811CA">
            <w:pPr>
              <w:pStyle w:val="2"/>
              <w:keepNext/>
              <w:spacing w:after="0" w:line="360" w:lineRule="auto"/>
              <w:ind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设备品种</w:t>
            </w:r>
          </w:p>
        </w:tc>
        <w:tc>
          <w:tcPr>
            <w:tcW w:w="1418" w:type="dxa"/>
            <w:tcBorders>
              <w:top w:val="single" w:color="auto" w:sz="12" w:space="0"/>
              <w:bottom w:val="double" w:color="auto" w:sz="6" w:space="0"/>
            </w:tcBorders>
            <w:vAlign w:val="center"/>
          </w:tcPr>
          <w:p w14:paraId="09BFBAA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规格型号</w:t>
            </w:r>
          </w:p>
        </w:tc>
        <w:tc>
          <w:tcPr>
            <w:tcW w:w="940" w:type="dxa"/>
            <w:tcBorders>
              <w:top w:val="single" w:color="auto" w:sz="12" w:space="0"/>
              <w:bottom w:val="double" w:color="auto" w:sz="6" w:space="0"/>
            </w:tcBorders>
            <w:vAlign w:val="center"/>
          </w:tcPr>
          <w:p w14:paraId="0C7ED5E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w:t>
            </w:r>
          </w:p>
        </w:tc>
        <w:tc>
          <w:tcPr>
            <w:tcW w:w="851" w:type="dxa"/>
            <w:tcBorders>
              <w:top w:val="single" w:color="auto" w:sz="12" w:space="0"/>
              <w:bottom w:val="double" w:color="auto" w:sz="6" w:space="0"/>
            </w:tcBorders>
            <w:vAlign w:val="center"/>
          </w:tcPr>
          <w:p w14:paraId="51BD092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数量</w:t>
            </w:r>
          </w:p>
        </w:tc>
        <w:tc>
          <w:tcPr>
            <w:tcW w:w="1044" w:type="dxa"/>
            <w:tcBorders>
              <w:top w:val="single" w:color="auto" w:sz="12" w:space="0"/>
              <w:bottom w:val="double" w:color="auto" w:sz="6" w:space="0"/>
            </w:tcBorders>
            <w:vAlign w:val="center"/>
          </w:tcPr>
          <w:p w14:paraId="25ED0AA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单价（元）</w:t>
            </w:r>
          </w:p>
        </w:tc>
        <w:tc>
          <w:tcPr>
            <w:tcW w:w="992" w:type="dxa"/>
            <w:tcBorders>
              <w:top w:val="single" w:color="auto" w:sz="12" w:space="0"/>
              <w:bottom w:val="double" w:color="auto" w:sz="6" w:space="0"/>
            </w:tcBorders>
            <w:vAlign w:val="center"/>
          </w:tcPr>
          <w:p w14:paraId="3514A96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质量等级</w:t>
            </w:r>
          </w:p>
        </w:tc>
        <w:tc>
          <w:tcPr>
            <w:tcW w:w="851" w:type="dxa"/>
            <w:tcBorders>
              <w:top w:val="single" w:color="auto" w:sz="12" w:space="0"/>
              <w:bottom w:val="double" w:color="auto" w:sz="6" w:space="0"/>
            </w:tcBorders>
            <w:vAlign w:val="center"/>
          </w:tcPr>
          <w:p w14:paraId="2DBE60A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供应时间</w:t>
            </w:r>
          </w:p>
        </w:tc>
        <w:tc>
          <w:tcPr>
            <w:tcW w:w="1487" w:type="dxa"/>
            <w:tcBorders>
              <w:top w:val="single" w:color="auto" w:sz="12" w:space="0"/>
              <w:bottom w:val="double" w:color="auto" w:sz="6" w:space="0"/>
            </w:tcBorders>
            <w:vAlign w:val="center"/>
          </w:tcPr>
          <w:p w14:paraId="1452E0A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送达地点</w:t>
            </w:r>
          </w:p>
        </w:tc>
        <w:tc>
          <w:tcPr>
            <w:tcW w:w="992" w:type="dxa"/>
            <w:tcBorders>
              <w:top w:val="single" w:color="auto" w:sz="12" w:space="0"/>
              <w:bottom w:val="double" w:color="auto" w:sz="6" w:space="0"/>
            </w:tcBorders>
            <w:vAlign w:val="center"/>
          </w:tcPr>
          <w:p w14:paraId="69825E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3480B0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30C46DC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double" w:color="auto" w:sz="6" w:space="0"/>
              <w:bottom w:val="single" w:color="auto" w:sz="6" w:space="0"/>
            </w:tcBorders>
            <w:vAlign w:val="center"/>
          </w:tcPr>
          <w:p w14:paraId="6067D4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29AD0D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tcBorders>
              <w:top w:val="double" w:color="auto" w:sz="6" w:space="0"/>
              <w:bottom w:val="single" w:color="auto" w:sz="6" w:space="0"/>
            </w:tcBorders>
            <w:vAlign w:val="center"/>
          </w:tcPr>
          <w:p w14:paraId="2D187C2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double" w:color="auto" w:sz="6" w:space="0"/>
              <w:bottom w:val="single" w:color="auto" w:sz="6" w:space="0"/>
            </w:tcBorders>
            <w:vAlign w:val="center"/>
          </w:tcPr>
          <w:p w14:paraId="3FF5F03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tcBorders>
              <w:top w:val="double" w:color="auto" w:sz="6" w:space="0"/>
              <w:bottom w:val="single" w:color="auto" w:sz="6" w:space="0"/>
            </w:tcBorders>
            <w:vAlign w:val="center"/>
          </w:tcPr>
          <w:p w14:paraId="4661C4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double" w:color="auto" w:sz="6" w:space="0"/>
              <w:bottom w:val="single" w:color="auto" w:sz="6" w:space="0"/>
            </w:tcBorders>
            <w:vAlign w:val="center"/>
          </w:tcPr>
          <w:p w14:paraId="0A00759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double" w:color="auto" w:sz="6" w:space="0"/>
              <w:bottom w:val="single" w:color="auto" w:sz="6" w:space="0"/>
            </w:tcBorders>
            <w:vAlign w:val="center"/>
          </w:tcPr>
          <w:p w14:paraId="231A64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tcBorders>
              <w:top w:val="double" w:color="auto" w:sz="6" w:space="0"/>
              <w:bottom w:val="single" w:color="auto" w:sz="6" w:space="0"/>
            </w:tcBorders>
            <w:vAlign w:val="center"/>
          </w:tcPr>
          <w:p w14:paraId="21F6D26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double" w:color="auto" w:sz="6" w:space="0"/>
              <w:bottom w:val="single" w:color="auto" w:sz="6" w:space="0"/>
            </w:tcBorders>
            <w:vAlign w:val="center"/>
          </w:tcPr>
          <w:p w14:paraId="30B235D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C26B5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5A355A2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nil"/>
            </w:tcBorders>
            <w:vAlign w:val="center"/>
          </w:tcPr>
          <w:p w14:paraId="1F56190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nil"/>
            </w:tcBorders>
            <w:vAlign w:val="center"/>
          </w:tcPr>
          <w:p w14:paraId="4F0A776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tcBorders>
              <w:top w:val="nil"/>
            </w:tcBorders>
            <w:vAlign w:val="center"/>
          </w:tcPr>
          <w:p w14:paraId="0E9C1A5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6710337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tcBorders>
              <w:top w:val="nil"/>
            </w:tcBorders>
            <w:vAlign w:val="center"/>
          </w:tcPr>
          <w:p w14:paraId="1F90BD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nil"/>
            </w:tcBorders>
            <w:vAlign w:val="center"/>
          </w:tcPr>
          <w:p w14:paraId="2E3A10D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39D489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tcBorders>
              <w:top w:val="nil"/>
            </w:tcBorders>
            <w:vAlign w:val="center"/>
          </w:tcPr>
          <w:p w14:paraId="0992232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nil"/>
            </w:tcBorders>
            <w:vAlign w:val="center"/>
          </w:tcPr>
          <w:p w14:paraId="2665F57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4C06A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DA1FED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1F5436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649C0A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7168C7B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FC6F0E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29356BA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34A6714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7E95B5B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700D3E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59ED0B8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B0D18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E1D01E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70F1D60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15D45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3CC9D0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6AB5F8E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0610B03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AFDDA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7969B54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2EEBAF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742BC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8B760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DFAC70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231B75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770AC63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3E205B8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088C800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1C92B0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2857E76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0E8080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32EF433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43100A9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8C3A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665E43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5AF3BB9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077FDE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02AC99D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4FD5966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090D48D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238FBC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4E01DD4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2CE525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419BBE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9F869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F473A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6BAF7C0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3082F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782DAF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6484868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2A997EB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064F6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2DE64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2F423D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3911EB3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CD04C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59596E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6CE709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FF478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18A9324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3CFEB9E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60328E8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89930A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3CC3CD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7F944D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03FF2E5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A0AE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95DC29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74F0793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176B118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448B5A7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C1666E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2A1CE5F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37701A6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3C31575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32C307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53FF769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7D835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EABC5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36379AE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3B7E1D2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416FE2D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227AC91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5258E7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45B9B87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203DE21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62982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7BF3BAC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BA3DD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9FD5F6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6B69C1F6">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4E26252C">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1737E0DC">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64D572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00E7661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4CCA212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271C60F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1C2A29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24312B8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5564D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E7EE08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76C98D7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35F67CF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563FFEA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0F7DFB7A">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724EE8F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2105EBA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21E509C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7D01EC7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766A5B4">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08A679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CF1CDE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40C62DD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202FE9F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795B456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7E9E68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136CF3C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6BD3C1F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733F82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CF856D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7A7CFA6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75572F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89950E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7A00122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7A24D68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6207D6F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5F562FD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1D7A3B5C">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13676CA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E2445F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4172A14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21C1A87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5B0C25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8D208F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34E54874">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5C75A3A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02520C5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9DD3A4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099CA4C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536E23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6BAE22B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07DB565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9D7AE2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56704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5691FF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5FC8684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1092518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6F6CE16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4B2F17A">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0A74715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31384A6">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F72FFB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2C7C8DE4">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7EAC94F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520C3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67C069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65BC915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402A744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7EF016D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1D498B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52C5AF7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321E544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58C663A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563A17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4C1C40F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4889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D0F409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5E80D77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6348A12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373DDE8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0B12B36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766488C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7D7E163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079566C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62A3DBA">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33A606B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bl>
    <w:p w14:paraId="4703CC89">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57" w:name="_Toc13462"/>
      <w:bookmarkStart w:id="858" w:name="_Toc7383198"/>
      <w:bookmarkStart w:id="859" w:name="_Toc7972700"/>
    </w:p>
    <w:p w14:paraId="190F85F5">
      <w:pPr>
        <w:pStyle w:val="493"/>
        <w:spacing w:after="0" w:line="360" w:lineRule="auto"/>
        <w:jc w:val="left"/>
        <w:rPr>
          <w:rFonts w:ascii="宋体" w:hAnsi="宋体" w:cs="宋体"/>
          <w:color w:val="000000" w:themeColor="text1"/>
          <w:sz w:val="24"/>
          <w:highlight w:val="none"/>
          <w14:textFill>
            <w14:solidFill>
              <w14:schemeClr w14:val="tx1"/>
            </w14:solidFill>
          </w14:textFill>
        </w:rPr>
      </w:pPr>
    </w:p>
    <w:p w14:paraId="48DC6AE2">
      <w:pPr>
        <w:pStyle w:val="493"/>
        <w:spacing w:after="0" w:line="360" w:lineRule="auto"/>
        <w:jc w:val="left"/>
        <w:rPr>
          <w:rFonts w:ascii="宋体" w:hAnsi="宋体" w:cs="宋体"/>
          <w:color w:val="000000" w:themeColor="text1"/>
          <w:sz w:val="24"/>
          <w:highlight w:val="none"/>
          <w14:textFill>
            <w14:solidFill>
              <w14:schemeClr w14:val="tx1"/>
            </w14:solidFill>
          </w14:textFill>
        </w:rPr>
      </w:pPr>
    </w:p>
    <w:p w14:paraId="22FBC85E">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附件3：工程质量保修书</w:t>
      </w:r>
      <w:bookmarkEnd w:id="857"/>
      <w:bookmarkEnd w:id="858"/>
      <w:bookmarkEnd w:id="859"/>
    </w:p>
    <w:p w14:paraId="1969A8B6">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工程质量保修书</w:t>
      </w:r>
    </w:p>
    <w:p w14:paraId="1A67A57C">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发包人（全称）：</w:t>
      </w:r>
    </w:p>
    <w:p w14:paraId="32793D21">
      <w:pPr>
        <w:pStyle w:val="73"/>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承包人（全称）：</w:t>
      </w:r>
    </w:p>
    <w:p w14:paraId="71BAB3E1">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发包人和承包人根据《中华人民共和国建筑法》和《建设工程质量管理条例》，经协商一致就（工程全称）签订工程质量保修书。</w:t>
      </w:r>
    </w:p>
    <w:p w14:paraId="55DA5810">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一、工程质量保修范围和内容</w:t>
      </w:r>
    </w:p>
    <w:p w14:paraId="676D81E0">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承包人在质量保修期内，按照有关法律规定和合同约定，承担工程质量保修责任。</w:t>
      </w:r>
    </w:p>
    <w:p w14:paraId="7F73837A">
      <w:pPr>
        <w:pStyle w:val="73"/>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D816D03">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二、质量保修</w:t>
      </w:r>
    </w:p>
    <w:p w14:paraId="542CC68B">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根据《建设工程质量管理条例》及有关规定，工程的质量保修期如下：</w:t>
      </w:r>
    </w:p>
    <w:p w14:paraId="7ADD8C06">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1.地基基础工程和主体结构工程为设计文件规定的该工程合理使用年限；</w:t>
      </w:r>
    </w:p>
    <w:p w14:paraId="78B77281">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2.层面防水工程、有防水要求的卫生间、房间和外墙面的防渗漏为5年；</w:t>
      </w:r>
    </w:p>
    <w:p w14:paraId="7F04F908">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3.装修工程为2年；</w:t>
      </w:r>
    </w:p>
    <w:p w14:paraId="6BCF22C1">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4.电气管线、给排水管道、设备安装工程为2年；</w:t>
      </w:r>
    </w:p>
    <w:p w14:paraId="5623BF94">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5.供热与供冷系统为2个采暖期、供冷期；</w:t>
      </w:r>
    </w:p>
    <w:p w14:paraId="4E2AE27E">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6.住宅小区内的给排水设施、道路等配套工程为2年；</w:t>
      </w:r>
    </w:p>
    <w:p w14:paraId="2755A4C3">
      <w:pPr>
        <w:pStyle w:val="73"/>
        <w:spacing w:after="0" w:line="360" w:lineRule="auto"/>
        <w:ind w:firstLine="240" w:firstLineChars="1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7.其他项目保修期限约定如下：按国家相关规定</w:t>
      </w:r>
    </w:p>
    <w:p w14:paraId="60B56286">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质量保修期自工程竣工验收合格之日起计算。</w:t>
      </w:r>
    </w:p>
    <w:p w14:paraId="492A15A0">
      <w:pPr>
        <w:pStyle w:val="73"/>
        <w:spacing w:after="0" w:line="360" w:lineRule="auto"/>
        <w:ind w:firstLine="240" w:firstLineChars="1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三、缺陷责任期</w:t>
      </w:r>
    </w:p>
    <w:p w14:paraId="21148A91">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工程缺陷责任期为</w:t>
      </w:r>
      <w:r>
        <w:rPr>
          <w:rFonts w:hint="eastAsia" w:ascii="宋体" w:hAnsi="宋体" w:eastAsia="宋体" w:cs="宋体"/>
          <w:color w:val="000000" w:themeColor="text1"/>
          <w:sz w:val="24"/>
          <w:szCs w:val="24"/>
          <w:highlight w:val="none"/>
          <w:u w:val="single"/>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765DDDEB">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四、质量保修责任</w:t>
      </w:r>
    </w:p>
    <w:p w14:paraId="18A3310E">
      <w:pPr>
        <w:pStyle w:val="73"/>
        <w:spacing w:after="0" w:line="360" w:lineRule="auto"/>
        <w:ind w:left="105" w:leftChars="50" w:firstLine="491" w:firstLineChars="20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属于保修范围、内容的项目，承包人应当在接到保修通知之日起7天内派人保修。承包人不在约定期限内派人保修的，发包人可以委托他人修理，且不视为免除承包人的保修责任。委托他人修理产生的相关修理费用，发包人可从承包人的质量保证金中予以扣除，质量保证金不足以扣减的，由承包人负责向发包人补足，发包人委托他人修理的费用由承包人负责承担。</w:t>
      </w:r>
    </w:p>
    <w:p w14:paraId="6BCBA085">
      <w:pPr>
        <w:pStyle w:val="73"/>
        <w:spacing w:after="0" w:line="360" w:lineRule="auto"/>
        <w:ind w:left="105" w:leftChars="50" w:firstLine="491" w:firstLineChars="20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2．发生紧急事故需抢修的，承包人在接到事故通知后，应当立即到达事故现场抢修。</w:t>
      </w:r>
    </w:p>
    <w:p w14:paraId="6AAA57FE">
      <w:pPr>
        <w:pStyle w:val="73"/>
        <w:spacing w:after="0" w:line="360" w:lineRule="auto"/>
        <w:ind w:left="105" w:leftChars="50" w:firstLine="491" w:firstLineChars="20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D374576">
      <w:pPr>
        <w:pStyle w:val="73"/>
        <w:spacing w:after="0" w:line="360" w:lineRule="auto"/>
        <w:ind w:left="420" w:leftChars="200" w:firstLine="120" w:firstLineChars="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4．质量保修完成后，由发包人组织验收。</w:t>
      </w:r>
    </w:p>
    <w:p w14:paraId="603F3199">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五、保修费用</w:t>
      </w:r>
    </w:p>
    <w:p w14:paraId="139D9278">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保修费用由造成质量问题的责任方承担。</w:t>
      </w:r>
    </w:p>
    <w:p w14:paraId="551084F7">
      <w:pPr>
        <w:pStyle w:val="73"/>
        <w:spacing w:after="0" w:line="360" w:lineRule="auto"/>
        <w:ind w:firstLine="456" w:firstLineChars="19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六、双方约定的其他工程质量保修事项：</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7489D238">
      <w:pPr>
        <w:pStyle w:val="73"/>
        <w:spacing w:after="0" w:line="360" w:lineRule="auto"/>
        <w:ind w:firstLine="456" w:firstLineChars="19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工程质量保修书由发包人、承包人在工程竣工验收前共同签署，作为施工合同附件，其有效期限至保修期满。</w:t>
      </w:r>
    </w:p>
    <w:p w14:paraId="558B7FA9">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p>
    <w:p w14:paraId="11D3E64C">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发包人(公章)：  承包人(公章)：</w:t>
      </w:r>
    </w:p>
    <w:p w14:paraId="66D3149F">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                 地  址：</w:t>
      </w:r>
    </w:p>
    <w:p w14:paraId="18DE0845">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法定代表人(签字)：                        法定代表人(签字)：</w:t>
      </w:r>
    </w:p>
    <w:p w14:paraId="59CC4BF5">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授权代理人(签字)：                        授权代理人(签字)：</w:t>
      </w:r>
    </w:p>
    <w:p w14:paraId="060479E9">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                    电  话：</w:t>
      </w:r>
    </w:p>
    <w:p w14:paraId="0AAAA044">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                    传  真：</w:t>
      </w:r>
    </w:p>
    <w:p w14:paraId="485E95A8">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         开户银行：</w:t>
      </w:r>
    </w:p>
    <w:p w14:paraId="4FFF954B">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账  号：账  号：</w:t>
      </w:r>
    </w:p>
    <w:p w14:paraId="5AD9B857">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p>
    <w:p w14:paraId="445B5161">
      <w:pPr>
        <w:pStyle w:val="496"/>
        <w:spacing w:after="0" w:line="360" w:lineRule="auto"/>
        <w:rPr>
          <w:rFonts w:ascii="宋体" w:hAnsi="宋体" w:cs="宋体"/>
          <w:color w:val="000000" w:themeColor="text1"/>
          <w:sz w:val="24"/>
          <w:szCs w:val="24"/>
          <w:highlight w:val="none"/>
          <w14:textFill>
            <w14:solidFill>
              <w14:schemeClr w14:val="tx1"/>
            </w14:solidFill>
          </w14:textFill>
        </w:rPr>
      </w:pPr>
    </w:p>
    <w:p w14:paraId="3FED964D">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60" w:name="_Toc11272"/>
      <w:bookmarkStart w:id="861" w:name="_Toc7383205"/>
      <w:bookmarkStart w:id="862" w:name="_Toc7972701"/>
      <w:r>
        <w:rPr>
          <w:rFonts w:hint="eastAsia" w:ascii="宋体" w:hAnsi="宋体" w:cs="宋体"/>
          <w:color w:val="000000" w:themeColor="text1"/>
          <w:sz w:val="24"/>
          <w:highlight w:val="none"/>
          <w14:textFill>
            <w14:solidFill>
              <w14:schemeClr w14:val="tx1"/>
            </w14:solidFill>
          </w14:textFill>
        </w:rPr>
        <w:t>附件4：主要建设工程文件目录</w:t>
      </w:r>
      <w:bookmarkEnd w:id="860"/>
      <w:bookmarkEnd w:id="861"/>
      <w:bookmarkEnd w:id="862"/>
    </w:p>
    <w:p w14:paraId="4C21475E">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主要建设工程文件目录</w:t>
      </w:r>
    </w:p>
    <w:tbl>
      <w:tblPr>
        <w:tblStyle w:val="5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56CEE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center"/>
        </w:trPr>
        <w:tc>
          <w:tcPr>
            <w:tcW w:w="1953" w:type="dxa"/>
            <w:tcBorders>
              <w:top w:val="single" w:color="auto" w:sz="12" w:space="0"/>
              <w:bottom w:val="double" w:color="auto" w:sz="6" w:space="0"/>
            </w:tcBorders>
            <w:vAlign w:val="center"/>
          </w:tcPr>
          <w:p w14:paraId="2C84097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68CB750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2859AC3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费用（元）</w:t>
            </w:r>
          </w:p>
        </w:tc>
        <w:tc>
          <w:tcPr>
            <w:tcW w:w="1243" w:type="dxa"/>
            <w:tcBorders>
              <w:top w:val="single" w:color="auto" w:sz="12" w:space="0"/>
              <w:bottom w:val="double" w:color="auto" w:sz="6" w:space="0"/>
            </w:tcBorders>
            <w:vAlign w:val="center"/>
          </w:tcPr>
          <w:p w14:paraId="6377B5D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w:t>
            </w:r>
          </w:p>
        </w:tc>
        <w:tc>
          <w:tcPr>
            <w:tcW w:w="1450" w:type="dxa"/>
            <w:tcBorders>
              <w:top w:val="single" w:color="auto" w:sz="12" w:space="0"/>
              <w:bottom w:val="double" w:color="auto" w:sz="6" w:space="0"/>
            </w:tcBorders>
          </w:tcPr>
          <w:p w14:paraId="2AB77766">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移交时间</w:t>
            </w:r>
          </w:p>
        </w:tc>
        <w:tc>
          <w:tcPr>
            <w:tcW w:w="1667" w:type="dxa"/>
            <w:tcBorders>
              <w:top w:val="single" w:color="auto" w:sz="12" w:space="0"/>
              <w:bottom w:val="double" w:color="auto" w:sz="6" w:space="0"/>
            </w:tcBorders>
          </w:tcPr>
          <w:p w14:paraId="4ACC9A6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责任人</w:t>
            </w:r>
          </w:p>
        </w:tc>
      </w:tr>
      <w:tr w14:paraId="0422EE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765FB7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double" w:color="auto" w:sz="6" w:space="0"/>
              <w:bottom w:val="single" w:color="auto" w:sz="6" w:space="0"/>
            </w:tcBorders>
            <w:vAlign w:val="center"/>
          </w:tcPr>
          <w:p w14:paraId="6C3E65C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5FC8A4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3326DA7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20B19D8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tcBorders>
              <w:top w:val="double" w:color="auto" w:sz="6" w:space="0"/>
              <w:bottom w:val="single" w:color="auto" w:sz="6" w:space="0"/>
            </w:tcBorders>
            <w:vAlign w:val="center"/>
          </w:tcPr>
          <w:p w14:paraId="62F86AE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687F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768F42A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nil"/>
            </w:tcBorders>
            <w:vAlign w:val="center"/>
          </w:tcPr>
          <w:p w14:paraId="130E7A7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nil"/>
            </w:tcBorders>
            <w:vAlign w:val="center"/>
          </w:tcPr>
          <w:p w14:paraId="3E90A20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tcBorders>
              <w:top w:val="nil"/>
            </w:tcBorders>
            <w:vAlign w:val="center"/>
          </w:tcPr>
          <w:p w14:paraId="4493E26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nil"/>
            </w:tcBorders>
            <w:vAlign w:val="center"/>
          </w:tcPr>
          <w:p w14:paraId="72B96A5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tcBorders>
              <w:top w:val="nil"/>
            </w:tcBorders>
            <w:vAlign w:val="center"/>
          </w:tcPr>
          <w:p w14:paraId="5DD5591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12A8E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DDA1A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147B34B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211B1AA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2C86AF6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07F7D65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5E3B93E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FB851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8CA02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16C4870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31A04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00F9B0A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28F15A2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339980F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07919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3AC17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0DA196C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40D972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094219E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469E34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1668BE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BF645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00C11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538B713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321CBA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2C04F7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4AFCFB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0F6DC1C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DD847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F19218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5B5EFA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C2B16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4E5F749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4DC0CAD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29CB88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96D7F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26616D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48261E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2143B6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51D43BF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8CAA05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5F5ED5A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57725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A6D51F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38454E3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555D9F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27541D5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569C311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2D42435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3F1A9F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D41C01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0ABDA6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52C25A9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71BEAC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C07143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70C06A9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7CE0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27CEC4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71417BC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19349CB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46194EE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5A9FD64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4B5EBE2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2E0C03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7583B4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2742AC7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D30082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29D7EBA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01223A7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6A14477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3412F1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073A42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3CE845A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CF2792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4821F8F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0049D80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070BD23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70D4A5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549C00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7F4D484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6D71FEF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5BFEBA1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B538DE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4B34420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50FBBD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F9EE1F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4CDC611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0D8D6F6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5A52205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5DF954A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45FB112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5D8247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FC4FCB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7C7ABB5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19E52B5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045D864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06AD9C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1592981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6C2CDC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CDE833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0D1F54C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343FA81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7636370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AA8667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7C9BAA7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4EE74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804ADD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0334C5D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A019A4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1D11A18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5DCB54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149AA19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16C78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CF0F5D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2CC0920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69E3F17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547D56B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6223370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7F4B65B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bl>
    <w:p w14:paraId="7221BFC7">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63" w:name="_Toc7383206"/>
      <w:bookmarkStart w:id="864" w:name="_Toc7972702"/>
      <w:bookmarkStart w:id="865" w:name="_Toc13187"/>
      <w:r>
        <w:rPr>
          <w:rFonts w:hint="eastAsia" w:ascii="宋体" w:hAnsi="宋体" w:cs="宋体"/>
          <w:color w:val="000000" w:themeColor="text1"/>
          <w:sz w:val="24"/>
          <w:highlight w:val="none"/>
          <w14:textFill>
            <w14:solidFill>
              <w14:schemeClr w14:val="tx1"/>
            </w14:solidFill>
          </w14:textFill>
        </w:rPr>
        <w:t>附件5：承包人用于本工程施工的机械设备表</w:t>
      </w:r>
      <w:bookmarkEnd w:id="863"/>
      <w:bookmarkEnd w:id="864"/>
      <w:bookmarkEnd w:id="865"/>
    </w:p>
    <w:p w14:paraId="73129632">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承包人用于本工程施工的机械设备表</w:t>
      </w:r>
    </w:p>
    <w:tbl>
      <w:tblPr>
        <w:tblStyle w:val="5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04989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8B8F29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418" w:type="dxa"/>
            <w:tcBorders>
              <w:top w:val="single" w:color="auto" w:sz="12" w:space="0"/>
              <w:bottom w:val="double" w:color="auto" w:sz="6" w:space="0"/>
            </w:tcBorders>
            <w:vAlign w:val="center"/>
          </w:tcPr>
          <w:p w14:paraId="21AD77E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机械或设备名称</w:t>
            </w:r>
          </w:p>
        </w:tc>
        <w:tc>
          <w:tcPr>
            <w:tcW w:w="850" w:type="dxa"/>
            <w:tcBorders>
              <w:top w:val="single" w:color="auto" w:sz="12" w:space="0"/>
              <w:bottom w:val="double" w:color="auto" w:sz="6" w:space="0"/>
            </w:tcBorders>
            <w:vAlign w:val="center"/>
          </w:tcPr>
          <w:p w14:paraId="63CBE29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规格型号</w:t>
            </w:r>
          </w:p>
        </w:tc>
        <w:tc>
          <w:tcPr>
            <w:tcW w:w="1058" w:type="dxa"/>
            <w:tcBorders>
              <w:top w:val="single" w:color="auto" w:sz="12" w:space="0"/>
              <w:bottom w:val="double" w:color="auto" w:sz="6" w:space="0"/>
            </w:tcBorders>
            <w:vAlign w:val="center"/>
          </w:tcPr>
          <w:p w14:paraId="4CD1C36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数量</w:t>
            </w:r>
          </w:p>
        </w:tc>
        <w:tc>
          <w:tcPr>
            <w:tcW w:w="880" w:type="dxa"/>
            <w:tcBorders>
              <w:top w:val="single" w:color="auto" w:sz="12" w:space="0"/>
              <w:bottom w:val="double" w:color="auto" w:sz="6" w:space="0"/>
            </w:tcBorders>
            <w:vAlign w:val="center"/>
          </w:tcPr>
          <w:p w14:paraId="1B5055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产地</w:t>
            </w:r>
          </w:p>
        </w:tc>
        <w:tc>
          <w:tcPr>
            <w:tcW w:w="1020" w:type="dxa"/>
            <w:tcBorders>
              <w:top w:val="single" w:color="auto" w:sz="12" w:space="0"/>
              <w:bottom w:val="double" w:color="auto" w:sz="6" w:space="0"/>
            </w:tcBorders>
            <w:vAlign w:val="center"/>
          </w:tcPr>
          <w:p w14:paraId="502F1B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制造年份</w:t>
            </w:r>
          </w:p>
        </w:tc>
        <w:tc>
          <w:tcPr>
            <w:tcW w:w="1480" w:type="dxa"/>
            <w:tcBorders>
              <w:top w:val="single" w:color="auto" w:sz="12" w:space="0"/>
              <w:bottom w:val="double" w:color="auto" w:sz="6" w:space="0"/>
            </w:tcBorders>
            <w:vAlign w:val="center"/>
          </w:tcPr>
          <w:p w14:paraId="2ACFBD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额定功率(kW)</w:t>
            </w:r>
          </w:p>
        </w:tc>
        <w:tc>
          <w:tcPr>
            <w:tcW w:w="1020" w:type="dxa"/>
            <w:tcBorders>
              <w:top w:val="single" w:color="auto" w:sz="12" w:space="0"/>
              <w:bottom w:val="double" w:color="auto" w:sz="6" w:space="0"/>
            </w:tcBorders>
            <w:vAlign w:val="center"/>
          </w:tcPr>
          <w:p w14:paraId="23E6582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生产能力</w:t>
            </w:r>
          </w:p>
        </w:tc>
        <w:tc>
          <w:tcPr>
            <w:tcW w:w="921" w:type="dxa"/>
            <w:tcBorders>
              <w:top w:val="single" w:color="auto" w:sz="12" w:space="0"/>
              <w:bottom w:val="double" w:color="auto" w:sz="6" w:space="0"/>
            </w:tcBorders>
            <w:vAlign w:val="center"/>
          </w:tcPr>
          <w:p w14:paraId="0EA90F0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35735D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3146060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738683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26D993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tcBorders>
              <w:top w:val="double" w:color="auto" w:sz="6" w:space="0"/>
              <w:bottom w:val="single" w:color="auto" w:sz="6" w:space="0"/>
            </w:tcBorders>
            <w:vAlign w:val="center"/>
          </w:tcPr>
          <w:p w14:paraId="207BA19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tcBorders>
              <w:top w:val="double" w:color="auto" w:sz="6" w:space="0"/>
              <w:bottom w:val="single" w:color="auto" w:sz="6" w:space="0"/>
            </w:tcBorders>
            <w:vAlign w:val="center"/>
          </w:tcPr>
          <w:p w14:paraId="02D9E2F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2A9D293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tcBorders>
              <w:top w:val="double" w:color="auto" w:sz="6" w:space="0"/>
              <w:bottom w:val="single" w:color="auto" w:sz="6" w:space="0"/>
            </w:tcBorders>
            <w:vAlign w:val="center"/>
          </w:tcPr>
          <w:p w14:paraId="39B780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00D64D8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tcBorders>
              <w:top w:val="double" w:color="auto" w:sz="6" w:space="0"/>
              <w:bottom w:val="single" w:color="auto" w:sz="6" w:space="0"/>
            </w:tcBorders>
            <w:vAlign w:val="center"/>
          </w:tcPr>
          <w:p w14:paraId="2E84491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DE3B1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5D8FD5F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nil"/>
            </w:tcBorders>
            <w:vAlign w:val="center"/>
          </w:tcPr>
          <w:p w14:paraId="6E4C808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1CFBF87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tcBorders>
              <w:top w:val="nil"/>
            </w:tcBorders>
            <w:vAlign w:val="center"/>
          </w:tcPr>
          <w:p w14:paraId="263FEE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tcBorders>
              <w:top w:val="nil"/>
            </w:tcBorders>
            <w:vAlign w:val="center"/>
          </w:tcPr>
          <w:p w14:paraId="23CD513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nil"/>
            </w:tcBorders>
            <w:vAlign w:val="center"/>
          </w:tcPr>
          <w:p w14:paraId="06070D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tcBorders>
              <w:top w:val="nil"/>
            </w:tcBorders>
            <w:vAlign w:val="center"/>
          </w:tcPr>
          <w:p w14:paraId="603A2D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nil"/>
            </w:tcBorders>
            <w:vAlign w:val="center"/>
          </w:tcPr>
          <w:p w14:paraId="7041352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tcBorders>
              <w:top w:val="nil"/>
            </w:tcBorders>
            <w:vAlign w:val="center"/>
          </w:tcPr>
          <w:p w14:paraId="378E2C9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BE376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DAA01F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5C52E0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1B4494E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27CC4ED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4C12E1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58013F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0C10C5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6A58148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04863B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BFF5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209586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74845E3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23C399D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627451E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1D8BC1A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3BD962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3A0B36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036B351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5B31F2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B9ED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E754C3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5AFD62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380DFB3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5330DAF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0051D66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466AC52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6BA4E17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51E3C4A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0963EEE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65780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21B076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7080F3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006EC0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1C539F9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2255035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7AD1F38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3D918D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4556D8E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3EB2796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D1788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01C032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11E67DE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55D0EB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3E82651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19FB27D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2184C04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714AB9F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283FBAA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27B9C6C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1C912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A8CB64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BE8B0A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2B6B68B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5471D3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6ECF1A7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75155CB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62BB7D4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70528F9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339FC25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C7374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CB3C61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0D4E620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6F33983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41B933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07D5847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2AB1705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41E6A06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8A6ADC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4079DC0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4EA993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A45772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8EB05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17AA457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426230A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00F5DFC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4D71EBC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5081C8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314BDBE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7B7E2E3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C1487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A05724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0886C26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384A4BB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1A034C4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679AC2C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93CABF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6587A81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10C019D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4D35C55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6FE31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ECDD0B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59E9C32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7DFCA8C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96AC05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27A332E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8E2354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507464C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E035A8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1806CDA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3858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B97FFC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445F649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36C69EB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74C1BCD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451CD13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21D707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4C38F66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D50DAC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6411395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A4FD1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F99257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4CAFB46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33654D8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3BB0CEC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082D236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020FB4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1684281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86AE04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2A22A1B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2F1A9B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56140B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7BB5458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79E342C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4244461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1149D0B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FCCAC7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5CCF650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4FA78C1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1FCC193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4017B9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40BBB8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4BF22A3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575ECCA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0B800E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42E1715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1A44BE2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16CC0CD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3E6DAF7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1C888B9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662995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DDC22E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5E4CACE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2F5BDD1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6DD586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4DDB19E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6D30FDE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30DBE9A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350DECD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7025130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475709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435B63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306FF96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5D18961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5980383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7027720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63C6A18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3A8AB2B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45450A1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0F5C404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bl>
    <w:p w14:paraId="2C1574F9">
      <w:pPr>
        <w:pStyle w:val="497"/>
        <w:spacing w:after="0" w:line="360" w:lineRule="auto"/>
        <w:rPr>
          <w:rFonts w:ascii="宋体" w:hAnsi="宋体" w:cs="宋体"/>
          <w:color w:val="000000" w:themeColor="text1"/>
          <w:sz w:val="24"/>
          <w:szCs w:val="24"/>
          <w:highlight w:val="none"/>
          <w14:textFill>
            <w14:solidFill>
              <w14:schemeClr w14:val="tx1"/>
            </w14:solidFill>
          </w14:textFill>
        </w:rPr>
      </w:pPr>
    </w:p>
    <w:p w14:paraId="3E072FFF">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66" w:name="_Toc7383207"/>
      <w:bookmarkStart w:id="867" w:name="_Toc7972703"/>
    </w:p>
    <w:p w14:paraId="11602C4F">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68" w:name="_Toc9740"/>
    </w:p>
    <w:p w14:paraId="730CE7DB">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附件6：承包人主要施工管理人员表</w:t>
      </w:r>
      <w:bookmarkEnd w:id="866"/>
      <w:bookmarkEnd w:id="867"/>
      <w:bookmarkEnd w:id="868"/>
    </w:p>
    <w:p w14:paraId="54FBD79B">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承包人主要施工管理人员表</w:t>
      </w:r>
    </w:p>
    <w:tbl>
      <w:tblPr>
        <w:tblStyle w:val="5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18F3D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904DC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1EE5D2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07202F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2F4D0F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6B6EB95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主要资历、经验及承担过的项目</w:t>
            </w:r>
          </w:p>
        </w:tc>
      </w:tr>
      <w:tr w14:paraId="643986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3CCC45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一、总部人员</w:t>
            </w:r>
          </w:p>
        </w:tc>
      </w:tr>
      <w:tr w14:paraId="02117A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A13D4C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项目主管</w:t>
            </w:r>
          </w:p>
        </w:tc>
        <w:tc>
          <w:tcPr>
            <w:tcW w:w="1418" w:type="dxa"/>
            <w:tcBorders>
              <w:top w:val="nil"/>
            </w:tcBorders>
            <w:vAlign w:val="center"/>
          </w:tcPr>
          <w:p w14:paraId="329D25E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66B7CA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3E32891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top w:val="nil"/>
            </w:tcBorders>
            <w:vAlign w:val="center"/>
          </w:tcPr>
          <w:p w14:paraId="2C164BD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A1E35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6CD7812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C4FCA5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B96484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81A866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C96C82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BF882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F6294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27AAD77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0ECAB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74216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FE0095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D7600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48914C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7C3FE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1C22A4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DA3E23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E49A5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87E2F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1A7ED5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二、现场人员</w:t>
            </w:r>
          </w:p>
        </w:tc>
      </w:tr>
      <w:tr w14:paraId="322F3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936C66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项目经理</w:t>
            </w:r>
          </w:p>
        </w:tc>
        <w:tc>
          <w:tcPr>
            <w:tcW w:w="1418" w:type="dxa"/>
            <w:vAlign w:val="center"/>
          </w:tcPr>
          <w:p w14:paraId="4EDD7B3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9CEAE2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71ABEC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1AD142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31690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C5B698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项目副经理</w:t>
            </w:r>
          </w:p>
        </w:tc>
        <w:tc>
          <w:tcPr>
            <w:tcW w:w="1418" w:type="dxa"/>
            <w:vAlign w:val="center"/>
          </w:tcPr>
          <w:p w14:paraId="74A0B4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0A424F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4FDE6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E46E3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523A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06E65D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技术负责人</w:t>
            </w:r>
          </w:p>
        </w:tc>
        <w:tc>
          <w:tcPr>
            <w:tcW w:w="1418" w:type="dxa"/>
            <w:vAlign w:val="center"/>
          </w:tcPr>
          <w:p w14:paraId="3A13085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91F4C7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DB86AC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EC123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3AB2E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6F4971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造价管理</w:t>
            </w:r>
          </w:p>
        </w:tc>
        <w:tc>
          <w:tcPr>
            <w:tcW w:w="1418" w:type="dxa"/>
            <w:vAlign w:val="center"/>
          </w:tcPr>
          <w:p w14:paraId="685B1DD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466911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77561F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51445A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8FF40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D7B800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质量管理</w:t>
            </w:r>
          </w:p>
        </w:tc>
        <w:tc>
          <w:tcPr>
            <w:tcW w:w="1418" w:type="dxa"/>
            <w:vAlign w:val="center"/>
          </w:tcPr>
          <w:p w14:paraId="57B0F7A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16366F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ACBC6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7EB9F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4A1D8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501FFF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材料管理</w:t>
            </w:r>
          </w:p>
        </w:tc>
        <w:tc>
          <w:tcPr>
            <w:tcW w:w="1418" w:type="dxa"/>
            <w:vAlign w:val="center"/>
          </w:tcPr>
          <w:p w14:paraId="467B414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C62F7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6E1A81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D2AE7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12703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3502B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计划管理</w:t>
            </w:r>
          </w:p>
        </w:tc>
        <w:tc>
          <w:tcPr>
            <w:tcW w:w="1418" w:type="dxa"/>
            <w:vAlign w:val="center"/>
          </w:tcPr>
          <w:p w14:paraId="0108CF2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C2CBB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A0D331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2C797E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034F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C8DAB1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安全管理</w:t>
            </w:r>
          </w:p>
        </w:tc>
        <w:tc>
          <w:tcPr>
            <w:tcW w:w="1418" w:type="dxa"/>
            <w:vAlign w:val="center"/>
          </w:tcPr>
          <w:p w14:paraId="73D608E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E8E160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40DF0D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3651F7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AF3CB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2D74077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523BD30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A7E18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74C6BD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5E4B36A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4C69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AD8347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nil"/>
            </w:tcBorders>
            <w:vAlign w:val="center"/>
          </w:tcPr>
          <w:p w14:paraId="20A701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177506B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7BCC2BB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nil"/>
            </w:tcBorders>
            <w:vAlign w:val="center"/>
          </w:tcPr>
          <w:p w14:paraId="5803C4F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C0E85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61A0D4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146E92A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4A8C97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6E49DD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3BFC43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53A4B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319B05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052288D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0DD88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3BC307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7537F5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E66BD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F1286D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5B74F8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894DEB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F85043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22C05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B8ACC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3F48A74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single" w:color="auto" w:sz="12" w:space="0"/>
            </w:tcBorders>
            <w:vAlign w:val="center"/>
          </w:tcPr>
          <w:p w14:paraId="0EECF70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37D5107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37B2B91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single" w:color="auto" w:sz="12" w:space="0"/>
            </w:tcBorders>
            <w:vAlign w:val="center"/>
          </w:tcPr>
          <w:p w14:paraId="65EA7D9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bl>
    <w:p w14:paraId="54BBB0DE">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69" w:name="_Toc7383208"/>
      <w:bookmarkStart w:id="870" w:name="_Toc7972704"/>
      <w:bookmarkStart w:id="871" w:name="_Toc31795"/>
      <w:r>
        <w:rPr>
          <w:rFonts w:hint="eastAsia" w:ascii="宋体" w:hAnsi="宋体" w:cs="宋体"/>
          <w:color w:val="000000" w:themeColor="text1"/>
          <w:sz w:val="24"/>
          <w:highlight w:val="none"/>
          <w14:textFill>
            <w14:solidFill>
              <w14:schemeClr w14:val="tx1"/>
            </w14:solidFill>
          </w14:textFill>
        </w:rPr>
        <w:t>附件7：分包人主要施工管理人员表</w:t>
      </w:r>
      <w:bookmarkEnd w:id="869"/>
      <w:bookmarkEnd w:id="870"/>
      <w:bookmarkEnd w:id="871"/>
    </w:p>
    <w:p w14:paraId="3F92DD0A">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分包人主要施工管理人员表</w:t>
      </w:r>
    </w:p>
    <w:tbl>
      <w:tblPr>
        <w:tblStyle w:val="5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C4422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346231A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361FDC3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005660E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7AED80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4CCFB7C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主要资历、经验及承担过的项目</w:t>
            </w:r>
          </w:p>
        </w:tc>
      </w:tr>
      <w:tr w14:paraId="1BEC5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0C82948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一、总部人员</w:t>
            </w:r>
          </w:p>
        </w:tc>
      </w:tr>
      <w:tr w14:paraId="7AB244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A6D27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项目主管</w:t>
            </w:r>
          </w:p>
        </w:tc>
        <w:tc>
          <w:tcPr>
            <w:tcW w:w="1418" w:type="dxa"/>
            <w:tcBorders>
              <w:top w:val="nil"/>
            </w:tcBorders>
            <w:vAlign w:val="center"/>
          </w:tcPr>
          <w:p w14:paraId="364E987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042A72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7DDC7F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top w:val="nil"/>
            </w:tcBorders>
            <w:vAlign w:val="center"/>
          </w:tcPr>
          <w:p w14:paraId="4F572C1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53773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06577C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08DC59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7F51A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D2E87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ADD92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CA6F9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0CE811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12861DD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15845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27DAF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1565E9F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DC187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E9E13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09F6D21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D3D51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27D39B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ADB2F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5E687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6337B87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二、现场人员</w:t>
            </w:r>
          </w:p>
        </w:tc>
      </w:tr>
      <w:tr w14:paraId="5F0F75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8B2D29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项目经理</w:t>
            </w:r>
          </w:p>
        </w:tc>
        <w:tc>
          <w:tcPr>
            <w:tcW w:w="1418" w:type="dxa"/>
            <w:vAlign w:val="center"/>
          </w:tcPr>
          <w:p w14:paraId="1DB8768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74F289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6E31C0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D6312D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E05E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D3EBE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项目副经理</w:t>
            </w:r>
          </w:p>
        </w:tc>
        <w:tc>
          <w:tcPr>
            <w:tcW w:w="1418" w:type="dxa"/>
            <w:vAlign w:val="center"/>
          </w:tcPr>
          <w:p w14:paraId="42BE5A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9EE09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18DC1E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5ACDA93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7E57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E42A2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技术负责人</w:t>
            </w:r>
          </w:p>
        </w:tc>
        <w:tc>
          <w:tcPr>
            <w:tcW w:w="1418" w:type="dxa"/>
            <w:vAlign w:val="center"/>
          </w:tcPr>
          <w:p w14:paraId="484B7F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204D3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640334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E2E762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109EA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EEF8B4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造价管理</w:t>
            </w:r>
          </w:p>
        </w:tc>
        <w:tc>
          <w:tcPr>
            <w:tcW w:w="1418" w:type="dxa"/>
            <w:vAlign w:val="center"/>
          </w:tcPr>
          <w:p w14:paraId="483C1F5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7B9E5F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A49CF6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2653437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9A2F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7D8A06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质量管理</w:t>
            </w:r>
          </w:p>
        </w:tc>
        <w:tc>
          <w:tcPr>
            <w:tcW w:w="1418" w:type="dxa"/>
            <w:vAlign w:val="center"/>
          </w:tcPr>
          <w:p w14:paraId="2CD4BFF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CDC6B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AE5C0D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F00127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72F1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1E2744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材料管理</w:t>
            </w:r>
          </w:p>
        </w:tc>
        <w:tc>
          <w:tcPr>
            <w:tcW w:w="1418" w:type="dxa"/>
            <w:vAlign w:val="center"/>
          </w:tcPr>
          <w:p w14:paraId="4E25355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730F92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696E99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17C81D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14B29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714DF4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计划管理</w:t>
            </w:r>
          </w:p>
        </w:tc>
        <w:tc>
          <w:tcPr>
            <w:tcW w:w="1418" w:type="dxa"/>
            <w:vAlign w:val="center"/>
          </w:tcPr>
          <w:p w14:paraId="0D837D1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E20CF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898202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24F3A7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17C85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474B45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安全管理</w:t>
            </w:r>
          </w:p>
        </w:tc>
        <w:tc>
          <w:tcPr>
            <w:tcW w:w="1418" w:type="dxa"/>
            <w:vAlign w:val="center"/>
          </w:tcPr>
          <w:p w14:paraId="56CD93C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7488DC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3BAA91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249C814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8C42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1EC1C5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50A35D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AAA158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086D1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26C6F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6648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5FABF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nil"/>
            </w:tcBorders>
            <w:vAlign w:val="center"/>
          </w:tcPr>
          <w:p w14:paraId="471E3CE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35E099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34EE15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nil"/>
            </w:tcBorders>
            <w:vAlign w:val="center"/>
          </w:tcPr>
          <w:p w14:paraId="473AD2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253E2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90FE37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E0351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FA8681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27D541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A39121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47192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FED7D8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3A0C4B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F549AD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3A6B87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243609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FB6B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14BBBD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389EB6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F6A64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3B714B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E48651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0CFDA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A1FF77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single" w:color="auto" w:sz="12" w:space="0"/>
            </w:tcBorders>
            <w:vAlign w:val="center"/>
          </w:tcPr>
          <w:p w14:paraId="4F0D2C8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608BC14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2BEB87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single" w:color="auto" w:sz="12" w:space="0"/>
            </w:tcBorders>
            <w:vAlign w:val="center"/>
          </w:tcPr>
          <w:p w14:paraId="176B91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bl>
    <w:p w14:paraId="7F9392E4">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72" w:name="_Toc7383209"/>
      <w:bookmarkStart w:id="873" w:name="_Toc22124"/>
      <w:bookmarkStart w:id="874" w:name="_Toc7972705"/>
      <w:r>
        <w:rPr>
          <w:rFonts w:hint="eastAsia" w:ascii="宋体" w:hAnsi="宋体" w:cs="宋体"/>
          <w:color w:val="000000" w:themeColor="text1"/>
          <w:sz w:val="24"/>
          <w:highlight w:val="none"/>
          <w14:textFill>
            <w14:solidFill>
              <w14:schemeClr w14:val="tx1"/>
            </w14:solidFill>
          </w14:textFill>
        </w:rPr>
        <w:t>附件8：履约担保</w:t>
      </w:r>
      <w:bookmarkEnd w:id="872"/>
      <w:bookmarkEnd w:id="873"/>
      <w:bookmarkEnd w:id="874"/>
    </w:p>
    <w:p w14:paraId="2B03B187">
      <w:pPr>
        <w:pStyle w:val="494"/>
        <w:spacing w:after="0" w:line="360" w:lineRule="auto"/>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履约保函</w:t>
      </w:r>
    </w:p>
    <w:p w14:paraId="61338C57">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（发包人名称）: </w:t>
      </w:r>
    </w:p>
    <w:p w14:paraId="5FF06AEA">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鉴于（发包人名称，以下简称“发包人”）接受（承包人名称）（以下称“承包人”）于年月日参加（项目名称）的投标。我方愿意无条件地、不可撤销地就承包人履行与你方订立的合同，向你方提供担保。</w:t>
      </w:r>
    </w:p>
    <w:p w14:paraId="06BF2E10">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1．担保金额人民币（大写）元（￥）。</w:t>
      </w:r>
    </w:p>
    <w:p w14:paraId="30F086EE">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2．担保有效期自发包人与承包人签订的合同生效之日起至发包人签发工程接收证书之日止。</w:t>
      </w:r>
    </w:p>
    <w:p w14:paraId="60632F3C">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3．在本担保有效期内，因承包人违反合同约定的义务给你方造成经济损失时，我方在收到你方以书面形式提出的在担保金额内的赔偿要求后，在7天内无条件支付，无须承包人同意。</w:t>
      </w:r>
    </w:p>
    <w:p w14:paraId="7EE9C652">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4．发包人和承包人按《通用合同条款》第15条变更合同时，我方承担本担保规定的义务不变。</w:t>
      </w:r>
    </w:p>
    <w:p w14:paraId="667D1DEB">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p>
    <w:p w14:paraId="0E7812E4">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担保人：（盖单位章）</w:t>
      </w:r>
    </w:p>
    <w:p w14:paraId="60A31926">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法定代表人或其授权代理人：（签字）</w:t>
      </w:r>
    </w:p>
    <w:p w14:paraId="076B3D77">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p>
    <w:p w14:paraId="2D2EF8B6">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p>
    <w:p w14:paraId="77AA44E2">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w:t>
      </w:r>
    </w:p>
    <w:p w14:paraId="4DAF8C96">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w:t>
      </w:r>
    </w:p>
    <w:p w14:paraId="007CF14A">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年月日</w:t>
      </w:r>
    </w:p>
    <w:p w14:paraId="0BCF6F55">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注：履约保函是在确定中标人后，由中标人向招标人提供，此处仅为提供格式，投标文件中不需提供。</w:t>
      </w:r>
    </w:p>
    <w:p w14:paraId="0378CE2E">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75" w:name="_Toc7972706"/>
      <w:bookmarkStart w:id="876" w:name="_Toc16359"/>
      <w:bookmarkStart w:id="877" w:name="_Toc7383210"/>
      <w:r>
        <w:rPr>
          <w:rFonts w:hint="eastAsia" w:ascii="宋体" w:hAnsi="宋体" w:cs="宋体"/>
          <w:color w:val="000000" w:themeColor="text1"/>
          <w:sz w:val="24"/>
          <w:highlight w:val="none"/>
          <w14:textFill>
            <w14:solidFill>
              <w14:schemeClr w14:val="tx1"/>
            </w14:solidFill>
          </w14:textFill>
        </w:rPr>
        <w:t>附件9 ：预付款担保</w:t>
      </w:r>
      <w:bookmarkEnd w:id="875"/>
      <w:bookmarkEnd w:id="876"/>
      <w:bookmarkEnd w:id="877"/>
    </w:p>
    <w:p w14:paraId="44DC5F28">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预付款担保</w:t>
      </w:r>
    </w:p>
    <w:p w14:paraId="079F78BC">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 （发包人名称）：</w:t>
      </w:r>
    </w:p>
    <w:p w14:paraId="3A257C3F">
      <w:pPr>
        <w:pStyle w:val="496"/>
        <w:spacing w:after="0" w:line="360" w:lineRule="auto"/>
        <w:rPr>
          <w:rFonts w:ascii="宋体" w:hAnsi="宋体" w:cs="宋体"/>
          <w:color w:val="000000" w:themeColor="text1"/>
          <w:sz w:val="24"/>
          <w:szCs w:val="24"/>
          <w:highlight w:val="none"/>
          <w14:textFill>
            <w14:solidFill>
              <w14:schemeClr w14:val="tx1"/>
            </w14:solidFill>
          </w14:textFill>
        </w:rPr>
      </w:pPr>
    </w:p>
    <w:p w14:paraId="336483E8">
      <w:pPr>
        <w:pStyle w:val="496"/>
        <w:spacing w:after="0"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根据（承包人名称）（以下称“承包人”）与（发包人名称）（以下简称“发包人”）</w:t>
      </w:r>
    </w:p>
    <w:p w14:paraId="2D4798C0">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于年月日签订的（工程名称）《建设工程施工合同》，承包人按约定的金额向你方提交一份预付款担保，即有权得到你方支付相等金额的预付款。我方愿意就你方提供给承包人的预付款为承包人提供连带责任担保。</w:t>
      </w:r>
    </w:p>
    <w:p w14:paraId="0BF4F3B0">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担保金额人民币（大写）元（¥）。</w:t>
      </w:r>
    </w:p>
    <w:p w14:paraId="65AEC658">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担保有效期自预付款支付给承包人起生效，至你方签发的进度款支付证书说明已完全扣清止。</w:t>
      </w:r>
    </w:p>
    <w:p w14:paraId="33FB5B06">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690EB581">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你方和承包人按合同约定变更合同时，我方承担本保函规定的义务不变。</w:t>
      </w:r>
    </w:p>
    <w:p w14:paraId="310E638A">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 因本保函发生的纠纷，可由双方协商解决，协商不成的，任何一方均可提请仲裁委员会仲裁。</w:t>
      </w:r>
    </w:p>
    <w:p w14:paraId="14D062B7">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 本保函自我方法定代表人（或其授权代理人）签字并加盖公章之日起生效。</w:t>
      </w:r>
    </w:p>
    <w:p w14:paraId="69777760">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担保人：（盖单位章）</w:t>
      </w:r>
    </w:p>
    <w:p w14:paraId="78BD7C5E">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法定代表人或其授权代理人：（签字）</w:t>
      </w:r>
    </w:p>
    <w:p w14:paraId="4AFE3E18">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580B2A8D">
      <w:pPr>
        <w:pStyle w:val="496"/>
        <w:spacing w:after="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65FDEF97">
      <w:pPr>
        <w:pStyle w:val="496"/>
        <w:spacing w:after="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02C91C3A">
      <w:pPr>
        <w:pStyle w:val="496"/>
        <w:spacing w:after="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291C8B56">
      <w:pPr>
        <w:pStyle w:val="496"/>
        <w:spacing w:after="0" w:line="360" w:lineRule="auto"/>
        <w:ind w:firstLine="360" w:firstLineChars="1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年   月   日</w:t>
      </w:r>
    </w:p>
    <w:p w14:paraId="26DDDCDF">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78" w:name="_Toc12402"/>
      <w:bookmarkStart w:id="879" w:name="_Toc7972707"/>
      <w:bookmarkStart w:id="880" w:name="_Toc7383211"/>
      <w:r>
        <w:rPr>
          <w:rFonts w:hint="eastAsia" w:ascii="宋体" w:hAnsi="宋体" w:cs="宋体"/>
          <w:color w:val="000000" w:themeColor="text1"/>
          <w:sz w:val="24"/>
          <w:highlight w:val="none"/>
          <w14:textFill>
            <w14:solidFill>
              <w14:schemeClr w14:val="tx1"/>
            </w14:solidFill>
          </w14:textFill>
        </w:rPr>
        <w:t>附件10:  支付担保</w:t>
      </w:r>
      <w:bookmarkEnd w:id="878"/>
      <w:bookmarkEnd w:id="879"/>
      <w:bookmarkEnd w:id="880"/>
    </w:p>
    <w:p w14:paraId="1586D8E4">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支付担保</w:t>
      </w:r>
    </w:p>
    <w:p w14:paraId="0EF3573B">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w:t>
      </w:r>
    </w:p>
    <w:p w14:paraId="7ED5F8CB">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p>
    <w:p w14:paraId="022A6A99">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p>
    <w:p w14:paraId="2EFA8068">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1" w:name="_Toc7383212"/>
      <w:bookmarkStart w:id="882" w:name="_Toc7972708"/>
      <w:r>
        <w:rPr>
          <w:rFonts w:hint="eastAsia" w:ascii="宋体" w:hAnsi="宋体" w:cs="宋体"/>
          <w:color w:val="000000" w:themeColor="text1"/>
          <w:sz w:val="24"/>
          <w:highlight w:val="none"/>
          <w14:textFill>
            <w14:solidFill>
              <w14:schemeClr w14:val="tx1"/>
            </w14:solidFill>
          </w14:textFill>
        </w:rPr>
        <w:t>一、保证的范围及保证金额</w:t>
      </w:r>
      <w:bookmarkEnd w:id="881"/>
      <w:bookmarkEnd w:id="882"/>
    </w:p>
    <w:p w14:paraId="79D491AD">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我方的保证范围是主合同约定的工程款。</w:t>
      </w:r>
    </w:p>
    <w:p w14:paraId="0351F52D">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本保函所称主合同约定的工程款是指主合同约定的除工程质量保证金以外的合同价款。</w:t>
      </w:r>
    </w:p>
    <w:p w14:paraId="4526832D">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我方保证的金额是主合同约定的工程款的%，数额最高不超过人民币元（大写：）。</w:t>
      </w:r>
    </w:p>
    <w:p w14:paraId="35669238">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3" w:name="_Toc7972709"/>
      <w:bookmarkStart w:id="884" w:name="_Toc7383213"/>
      <w:r>
        <w:rPr>
          <w:rFonts w:hint="eastAsia" w:ascii="宋体" w:hAnsi="宋体" w:cs="宋体"/>
          <w:color w:val="000000" w:themeColor="text1"/>
          <w:sz w:val="24"/>
          <w:highlight w:val="none"/>
          <w14:textFill>
            <w14:solidFill>
              <w14:schemeClr w14:val="tx1"/>
            </w14:solidFill>
          </w14:textFill>
        </w:rPr>
        <w:t>二、保证的方式及保证期间</w:t>
      </w:r>
      <w:bookmarkEnd w:id="883"/>
      <w:bookmarkEnd w:id="884"/>
    </w:p>
    <w:p w14:paraId="0F186FA6">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我方保证的方式为：连带责任保证。</w:t>
      </w:r>
    </w:p>
    <w:p w14:paraId="565E8CB2">
      <w:pPr>
        <w:pStyle w:val="496"/>
        <w:spacing w:after="0" w:line="360" w:lineRule="auto"/>
        <w:ind w:left="677" w:leftChars="208" w:hanging="240" w:hangingChars="1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我方保证的期间为：自本合同生效之日起至主合同约定的工程款支付完毕之日后日内。</w:t>
      </w:r>
    </w:p>
    <w:p w14:paraId="6085D89B">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你方与发包人协议变更工程款支付日期的，经我方书面同意后，保证期间按照变更后的支付日期做相应调整。</w:t>
      </w:r>
    </w:p>
    <w:p w14:paraId="2E22972F">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5" w:name="_Toc7383214"/>
      <w:bookmarkStart w:id="886" w:name="_Toc7972710"/>
      <w:r>
        <w:rPr>
          <w:rFonts w:hint="eastAsia" w:ascii="宋体" w:hAnsi="宋体" w:cs="宋体"/>
          <w:color w:val="000000" w:themeColor="text1"/>
          <w:sz w:val="24"/>
          <w:highlight w:val="none"/>
          <w14:textFill>
            <w14:solidFill>
              <w14:schemeClr w14:val="tx1"/>
            </w14:solidFill>
          </w14:textFill>
        </w:rPr>
        <w:t>三、承担保证责任的形式</w:t>
      </w:r>
      <w:bookmarkEnd w:id="885"/>
      <w:bookmarkEnd w:id="886"/>
    </w:p>
    <w:p w14:paraId="6936B270">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我方承担保证责任的形式是代为支付。发包人未按主合同约定向你方支付工程款的，由我方在保证金额内代为支付。</w:t>
      </w:r>
    </w:p>
    <w:p w14:paraId="1E0092C6">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7" w:name="_Toc7383215"/>
      <w:bookmarkStart w:id="888" w:name="_Toc7972711"/>
      <w:r>
        <w:rPr>
          <w:rFonts w:hint="eastAsia" w:ascii="宋体" w:hAnsi="宋体" w:cs="宋体"/>
          <w:color w:val="000000" w:themeColor="text1"/>
          <w:sz w:val="24"/>
          <w:highlight w:val="none"/>
          <w14:textFill>
            <w14:solidFill>
              <w14:schemeClr w14:val="tx1"/>
            </w14:solidFill>
          </w14:textFill>
        </w:rPr>
        <w:t>四、代偿的安排</w:t>
      </w:r>
      <w:bookmarkEnd w:id="887"/>
      <w:bookmarkEnd w:id="888"/>
    </w:p>
    <w:p w14:paraId="3B0E830B">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0AD039E2">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7218E79C">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我方收到你方的书面索赔通知及相应的证明材料后７天内无条件支付。</w:t>
      </w:r>
    </w:p>
    <w:p w14:paraId="5AB4F857">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9" w:name="_Toc7972712"/>
      <w:bookmarkStart w:id="890" w:name="_Toc7383216"/>
      <w:r>
        <w:rPr>
          <w:rFonts w:hint="eastAsia" w:ascii="宋体" w:hAnsi="宋体" w:cs="宋体"/>
          <w:color w:val="000000" w:themeColor="text1"/>
          <w:sz w:val="24"/>
          <w:highlight w:val="none"/>
          <w14:textFill>
            <w14:solidFill>
              <w14:schemeClr w14:val="tx1"/>
            </w14:solidFill>
          </w14:textFill>
        </w:rPr>
        <w:t>五、保证责任的解除</w:t>
      </w:r>
      <w:bookmarkEnd w:id="889"/>
      <w:bookmarkEnd w:id="890"/>
    </w:p>
    <w:p w14:paraId="4AE1B100">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在本保函承诺的保证期间内，你方未书面向我方主张保证责任的，自保证期间届满次日起，我方保证责任解除。</w:t>
      </w:r>
    </w:p>
    <w:p w14:paraId="43BB438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发包人按主合同约定履行了工程款的全部支付义务的，自本保函承诺的保证期间届满次日起，我方保证责任解除。</w:t>
      </w:r>
    </w:p>
    <w:p w14:paraId="1619611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453CF0E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按照法律法规的规定或出现应解除我方保证责任的其他情形的，我方在本保函项下的保证责任亦解除。</w:t>
      </w:r>
    </w:p>
    <w:p w14:paraId="08DBA665">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 我方解除保证责任后，你方应自我方保证责任解除之日起个工作日内，将本保函原件返还我方。</w:t>
      </w:r>
    </w:p>
    <w:p w14:paraId="700523F4">
      <w:pPr>
        <w:pStyle w:val="493"/>
        <w:spacing w:after="0" w:line="360" w:lineRule="auto"/>
        <w:rPr>
          <w:rFonts w:ascii="宋体" w:hAnsi="宋体" w:cs="宋体"/>
          <w:color w:val="000000" w:themeColor="text1"/>
          <w:sz w:val="24"/>
          <w:highlight w:val="none"/>
          <w14:textFill>
            <w14:solidFill>
              <w14:schemeClr w14:val="tx1"/>
            </w14:solidFill>
          </w14:textFill>
        </w:rPr>
      </w:pPr>
      <w:bookmarkStart w:id="891" w:name="_Toc7972713"/>
      <w:bookmarkStart w:id="892" w:name="_Toc7383217"/>
      <w:r>
        <w:rPr>
          <w:rFonts w:hint="eastAsia" w:ascii="宋体" w:hAnsi="宋体" w:cs="宋体"/>
          <w:color w:val="000000" w:themeColor="text1"/>
          <w:sz w:val="24"/>
          <w:highlight w:val="none"/>
          <w14:textFill>
            <w14:solidFill>
              <w14:schemeClr w14:val="tx1"/>
            </w14:solidFill>
          </w14:textFill>
        </w:rPr>
        <w:t>六、免责条款</w:t>
      </w:r>
      <w:bookmarkEnd w:id="891"/>
      <w:bookmarkEnd w:id="892"/>
    </w:p>
    <w:p w14:paraId="6D1FF869">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因你方违约致使发包人不能履行义务的，我方不承担保证责任。</w:t>
      </w:r>
    </w:p>
    <w:p w14:paraId="5D91623C">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依照法律法规的规定或你方与发包人的另行约定，免除发包人部分或全部义务的，我方亦免除其相应的保证责任。</w:t>
      </w:r>
    </w:p>
    <w:p w14:paraId="1EF2242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你方与发包人协议变更主合同的，如加重发包人责任致使我方保证责任加重的，需征得我方书面同意，否则我方不再承担因此而加重部分的保证责任，但主合同第10条〔变更〕约定的变更不受本款限制。</w:t>
      </w:r>
    </w:p>
    <w:p w14:paraId="706A93A0">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因不可抗力造成发包人不能履行义务的，我方不承担保证责任。</w:t>
      </w:r>
    </w:p>
    <w:p w14:paraId="5D0F36FD">
      <w:pPr>
        <w:pStyle w:val="493"/>
        <w:spacing w:after="0" w:line="360" w:lineRule="auto"/>
        <w:rPr>
          <w:rFonts w:ascii="宋体" w:hAnsi="宋体" w:cs="宋体"/>
          <w:color w:val="000000" w:themeColor="text1"/>
          <w:sz w:val="24"/>
          <w:highlight w:val="none"/>
          <w14:textFill>
            <w14:solidFill>
              <w14:schemeClr w14:val="tx1"/>
            </w14:solidFill>
          </w14:textFill>
        </w:rPr>
      </w:pPr>
      <w:bookmarkStart w:id="893" w:name="_Toc7972714"/>
      <w:bookmarkStart w:id="894" w:name="_Toc7383218"/>
      <w:r>
        <w:rPr>
          <w:rFonts w:hint="eastAsia" w:ascii="宋体" w:hAnsi="宋体" w:cs="宋体"/>
          <w:color w:val="000000" w:themeColor="text1"/>
          <w:sz w:val="24"/>
          <w:highlight w:val="none"/>
          <w14:textFill>
            <w14:solidFill>
              <w14:schemeClr w14:val="tx1"/>
            </w14:solidFill>
          </w14:textFill>
        </w:rPr>
        <w:t>七、争议解决</w:t>
      </w:r>
      <w:bookmarkEnd w:id="893"/>
      <w:bookmarkEnd w:id="894"/>
    </w:p>
    <w:p w14:paraId="00018FEE">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因本保函或本保函相关事项发生的纠纷，可由双方协商解决，协商不成的，按下列第（）种方式解决：</w:t>
      </w:r>
    </w:p>
    <w:p w14:paraId="22E89939">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（1）向仲裁委员会申请仲裁；</w:t>
      </w:r>
    </w:p>
    <w:p w14:paraId="5F2BDB0E">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（2）向人民法院起诉。</w:t>
      </w:r>
    </w:p>
    <w:p w14:paraId="3CC5ED92">
      <w:pPr>
        <w:pStyle w:val="493"/>
        <w:spacing w:after="0" w:line="360" w:lineRule="auto"/>
        <w:rPr>
          <w:rFonts w:ascii="宋体" w:hAnsi="宋体" w:cs="宋体"/>
          <w:color w:val="000000" w:themeColor="text1"/>
          <w:sz w:val="24"/>
          <w:highlight w:val="none"/>
          <w14:textFill>
            <w14:solidFill>
              <w14:schemeClr w14:val="tx1"/>
            </w14:solidFill>
          </w14:textFill>
        </w:rPr>
      </w:pPr>
      <w:bookmarkStart w:id="895" w:name="_Toc7972715"/>
      <w:bookmarkStart w:id="896" w:name="_Toc7383219"/>
      <w:r>
        <w:rPr>
          <w:rFonts w:hint="eastAsia" w:ascii="宋体" w:hAnsi="宋体" w:cs="宋体"/>
          <w:color w:val="000000" w:themeColor="text1"/>
          <w:sz w:val="24"/>
          <w:highlight w:val="none"/>
          <w14:textFill>
            <w14:solidFill>
              <w14:schemeClr w14:val="tx1"/>
            </w14:solidFill>
          </w14:textFill>
        </w:rPr>
        <w:t>八、保函的生效</w:t>
      </w:r>
      <w:bookmarkEnd w:id="895"/>
      <w:bookmarkEnd w:id="896"/>
    </w:p>
    <w:p w14:paraId="58CB4555">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本保函自我方法定代表人（或其授权代理人）签字并加盖公章之日起生效。</w:t>
      </w:r>
    </w:p>
    <w:p w14:paraId="1A9520C6">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p>
    <w:p w14:paraId="7C0D9E0C">
      <w:pPr>
        <w:pStyle w:val="496"/>
        <w:spacing w:after="0" w:line="360" w:lineRule="auto"/>
        <w:ind w:right="600"/>
        <w:jc w:val="left"/>
        <w:rPr>
          <w:rFonts w:ascii="宋体" w:hAnsi="宋体" w:cs="宋体"/>
          <w:color w:val="000000" w:themeColor="text1"/>
          <w:sz w:val="24"/>
          <w:szCs w:val="24"/>
          <w:highlight w:val="none"/>
          <w14:textFill>
            <w14:solidFill>
              <w14:schemeClr w14:val="tx1"/>
            </w14:solidFill>
          </w14:textFill>
        </w:rPr>
      </w:pPr>
    </w:p>
    <w:p w14:paraId="5CE46B62">
      <w:pPr>
        <w:pStyle w:val="496"/>
        <w:spacing w:after="0" w:line="360" w:lineRule="auto"/>
        <w:ind w:right="6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担保人：（盖章）</w:t>
      </w:r>
    </w:p>
    <w:p w14:paraId="25D896D5">
      <w:pPr>
        <w:pStyle w:val="496"/>
        <w:spacing w:after="0" w:line="360" w:lineRule="auto"/>
        <w:ind w:right="1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法定代表人或授权代理人：（签字）</w:t>
      </w:r>
    </w:p>
    <w:p w14:paraId="6A57537B">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p>
    <w:p w14:paraId="0BD44209">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p>
    <w:p w14:paraId="36437D10">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p>
    <w:p w14:paraId="5820BF14">
      <w:pPr>
        <w:pStyle w:val="496"/>
        <w:spacing w:after="0" w:line="360" w:lineRule="auto"/>
        <w:ind w:right="150" w:firstLine="480" w:firstLineChars="200"/>
        <w:jc w:val="left"/>
        <w:rPr>
          <w:rFonts w:ascii="宋体" w:hAnsi="宋体" w:cs="宋体"/>
          <w:color w:val="000000" w:themeColor="text1"/>
          <w:sz w:val="24"/>
          <w:szCs w:val="24"/>
          <w:highlight w:val="none"/>
          <w:u w:val="single"/>
          <w14:textFill>
            <w14:solidFill>
              <w14:schemeClr w14:val="tx1"/>
            </w14:solidFill>
          </w14:textFill>
        </w:rPr>
      </w:pPr>
    </w:p>
    <w:p w14:paraId="75E5DD59">
      <w:pPr>
        <w:pStyle w:val="496"/>
        <w:spacing w:after="0" w:line="360" w:lineRule="auto"/>
        <w:ind w:right="150"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年  月  日</w:t>
      </w:r>
    </w:p>
    <w:p w14:paraId="684BA634">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07BEEE61">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97" w:name="_Toc3483"/>
      <w:bookmarkStart w:id="898" w:name="_Toc7972721"/>
      <w:bookmarkStart w:id="899" w:name="_Toc7383225"/>
      <w:r>
        <w:rPr>
          <w:rFonts w:hint="eastAsia" w:ascii="宋体" w:hAnsi="宋体" w:cs="宋体"/>
          <w:color w:val="000000" w:themeColor="text1"/>
          <w:sz w:val="24"/>
          <w:highlight w:val="none"/>
          <w14:textFill>
            <w14:solidFill>
              <w14:schemeClr w14:val="tx1"/>
            </w14:solidFill>
          </w14:textFill>
        </w:rPr>
        <w:t>附件11：安全生产责任书</w:t>
      </w:r>
      <w:bookmarkEnd w:id="897"/>
      <w:bookmarkEnd w:id="898"/>
      <w:bookmarkEnd w:id="899"/>
    </w:p>
    <w:p w14:paraId="1EE91B6B">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安全生产责任书</w:t>
      </w:r>
    </w:p>
    <w:p w14:paraId="4ABE3B5F">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为在施工合同的实施过程中创造安全、高效的施工环境，切实搞好本项目的安全管理工作，项目建设业主单位：，发包人：（以下简称“甲方”)与承包人：(以下简称“乙方”)特此签订安全生产合同：</w:t>
      </w:r>
    </w:p>
    <w:p w14:paraId="06B21C9E">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一、甲方职责</w:t>
      </w:r>
    </w:p>
    <w:p w14:paraId="688EAA88">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1．严格遵守国家有关安全生产的法律法规，认真执行工程承包合同中的有关安全要求。</w:t>
      </w:r>
    </w:p>
    <w:p w14:paraId="3852DD2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2．按照“安全第一、预防为主”和坚持“管生产必须管安全”的原则进行安全生产管理，做到生产与安全工作同时计划、布置、检查、总结和评比。</w:t>
      </w:r>
    </w:p>
    <w:p w14:paraId="1E498460">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3．重要的安全设施必须坚持与主体工程“三同时”的原则，即：同时设计、审批，同时施工，同时验收，投入使用。</w:t>
      </w:r>
    </w:p>
    <w:p w14:paraId="2CDEC7C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4．定期召开安全生产调度会，及时传达中央及地方有关安全生产的精神。</w:t>
      </w:r>
    </w:p>
    <w:p w14:paraId="6B291888">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5．组织对乙方施工现场安全生产检查，监督乙方及时处理发现的各种安全隐患。</w:t>
      </w:r>
    </w:p>
    <w:p w14:paraId="1A11CFB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二、乙方职责</w:t>
      </w:r>
    </w:p>
    <w:p w14:paraId="3154E3AB">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1．严格遵守国家有关安全生产的法律法规及招标文件第三章《工程建设标准》 有关安全生产的规定，认真执行工程承包合同中的有关安全要求。</w:t>
      </w:r>
    </w:p>
    <w:p w14:paraId="192FB0FC">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209E3E1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75EB41E4">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4．乙方在任何时候都应采取各种合理的预防措施，防止其员工发生任何违法、违禁、暴力或妨碍治安的行为。</w:t>
      </w:r>
    </w:p>
    <w:p w14:paraId="377BD92B">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4F15C8C2">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52146235">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37C570F4">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201EED12">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9．施工中采用新技术、新工艺、新设备、新材料时，必须制定相应的安全技术措施，施工现场必须具有相关的安全标志牌。</w:t>
      </w:r>
    </w:p>
    <w:p w14:paraId="48F80B8F">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21038B3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三、违约责任</w:t>
      </w:r>
    </w:p>
    <w:p w14:paraId="1441080C">
      <w:pPr>
        <w:pStyle w:val="493"/>
        <w:widowControl/>
        <w:wordWrap w:val="0"/>
        <w:spacing w:after="0" w:line="360" w:lineRule="auto"/>
        <w:ind w:right="-214"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如因甲方或乙方违约造成安全事故，将依法追究责任。</w:t>
      </w:r>
    </w:p>
    <w:p w14:paraId="6B20B1C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本合同正本一式二份，副本八份，合同双方各执正本一份，副本四份。由双方法定代表人或其授权的代理人签署与加盖公章后生效，全部工程竣工验收后失效。</w:t>
      </w:r>
    </w:p>
    <w:p w14:paraId="222664E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甲    方：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乙    方：</w:t>
      </w:r>
    </w:p>
    <w:p w14:paraId="5F86F8F5">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法定代表人或</w:t>
      </w:r>
    </w:p>
    <w:p w14:paraId="02CAF87A">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其授权的代理人：（签字）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其授权的代理人：（签字）                                     </w:t>
      </w:r>
    </w:p>
    <w:p w14:paraId="67A02A2E">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地    址：</w:t>
      </w:r>
    </w:p>
    <w:p w14:paraId="6F4D4070">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电    话：</w:t>
      </w:r>
    </w:p>
    <w:p w14:paraId="7028540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    期：</w:t>
      </w:r>
    </w:p>
    <w:p w14:paraId="70B979CC">
      <w:pPr>
        <w:spacing w:after="0" w:line="360" w:lineRule="auto"/>
        <w:rPr>
          <w:rFonts w:ascii="宋体" w:hAnsi="宋体"/>
          <w:color w:val="auto"/>
          <w:highlight w:val="none"/>
        </w:rPr>
      </w:pPr>
    </w:p>
    <w:p w14:paraId="65CAAEF7">
      <w:pPr>
        <w:spacing w:after="0" w:line="360" w:lineRule="auto"/>
        <w:rPr>
          <w:rFonts w:ascii="宋体" w:hAnsi="宋体"/>
          <w:color w:val="auto"/>
          <w:highlight w:val="none"/>
        </w:rPr>
      </w:pPr>
    </w:p>
    <w:p w14:paraId="27294251">
      <w:pPr>
        <w:spacing w:after="0" w:line="360" w:lineRule="auto"/>
        <w:rPr>
          <w:rFonts w:ascii="宋体" w:hAnsi="宋体"/>
          <w:color w:val="auto"/>
          <w:highlight w:val="none"/>
        </w:rPr>
      </w:pPr>
    </w:p>
    <w:p w14:paraId="7D8CEF03">
      <w:pPr>
        <w:spacing w:after="0" w:line="360" w:lineRule="auto"/>
        <w:rPr>
          <w:rFonts w:ascii="宋体" w:hAnsi="宋体"/>
          <w:color w:val="auto"/>
          <w:highlight w:val="none"/>
        </w:rPr>
      </w:pPr>
    </w:p>
    <w:p w14:paraId="0A155F9B">
      <w:pPr>
        <w:spacing w:after="0" w:line="360" w:lineRule="auto"/>
        <w:rPr>
          <w:rFonts w:ascii="宋体" w:hAnsi="宋体"/>
          <w:color w:val="auto"/>
          <w:highlight w:val="none"/>
        </w:rPr>
      </w:pPr>
    </w:p>
    <w:bookmarkEnd w:id="490"/>
    <w:p w14:paraId="0BE69631">
      <w:pPr>
        <w:pStyle w:val="317"/>
        <w:spacing w:line="360" w:lineRule="auto"/>
        <w:ind w:firstLine="422"/>
        <w:rPr>
          <w:rFonts w:ascii="宋体" w:hAnsi="宋体"/>
          <w:color w:val="auto"/>
          <w:highlight w:val="none"/>
        </w:rPr>
      </w:pPr>
    </w:p>
    <w:p w14:paraId="17E3C7DA">
      <w:pPr>
        <w:pStyle w:val="317"/>
        <w:spacing w:line="360" w:lineRule="auto"/>
        <w:ind w:firstLine="422"/>
        <w:rPr>
          <w:rFonts w:ascii="宋体" w:hAnsi="宋体"/>
          <w:color w:val="auto"/>
          <w:highlight w:val="none"/>
        </w:rPr>
      </w:pPr>
    </w:p>
    <w:p w14:paraId="342191DF">
      <w:pPr>
        <w:pStyle w:val="317"/>
        <w:spacing w:line="360" w:lineRule="auto"/>
        <w:ind w:firstLine="422"/>
        <w:rPr>
          <w:rFonts w:ascii="宋体" w:hAnsi="宋体"/>
          <w:color w:val="auto"/>
          <w:highlight w:val="none"/>
        </w:rPr>
      </w:pPr>
    </w:p>
    <w:p w14:paraId="6B454C8B">
      <w:pPr>
        <w:pStyle w:val="317"/>
        <w:spacing w:line="360" w:lineRule="auto"/>
        <w:ind w:firstLine="422"/>
        <w:rPr>
          <w:rFonts w:ascii="宋体" w:hAnsi="宋体"/>
          <w:color w:val="auto"/>
          <w:highlight w:val="none"/>
        </w:rPr>
      </w:pPr>
    </w:p>
    <w:p w14:paraId="7997A30C">
      <w:pPr>
        <w:pStyle w:val="317"/>
        <w:spacing w:line="360" w:lineRule="auto"/>
        <w:ind w:firstLine="422"/>
        <w:rPr>
          <w:rFonts w:ascii="宋体" w:hAnsi="宋体"/>
          <w:color w:val="auto"/>
          <w:highlight w:val="none"/>
        </w:rPr>
      </w:pPr>
    </w:p>
    <w:p w14:paraId="1811ECA3">
      <w:pPr>
        <w:pStyle w:val="317"/>
        <w:spacing w:line="360" w:lineRule="auto"/>
        <w:ind w:firstLine="422"/>
        <w:rPr>
          <w:rFonts w:ascii="宋体" w:hAnsi="宋体"/>
          <w:color w:val="auto"/>
          <w:highlight w:val="none"/>
        </w:rPr>
      </w:pPr>
    </w:p>
    <w:p w14:paraId="5C3925B9">
      <w:pPr>
        <w:widowControl/>
        <w:spacing w:after="0" w:line="240" w:lineRule="auto"/>
        <w:jc w:val="left"/>
        <w:rPr>
          <w:rFonts w:ascii="宋体" w:hAnsi="宋体"/>
          <w:b/>
          <w:bCs/>
          <w:color w:val="auto"/>
          <w:kern w:val="0"/>
          <w:sz w:val="44"/>
          <w:szCs w:val="44"/>
          <w:highlight w:val="none"/>
          <w:lang w:val="zh-CN"/>
        </w:rPr>
      </w:pPr>
      <w:r>
        <w:rPr>
          <w:rFonts w:ascii="宋体" w:hAnsi="宋体"/>
          <w:color w:val="auto"/>
          <w:sz w:val="44"/>
          <w:szCs w:val="44"/>
          <w:highlight w:val="none"/>
        </w:rPr>
        <w:br w:type="page"/>
      </w:r>
    </w:p>
    <w:p w14:paraId="53A038A5">
      <w:pPr>
        <w:pStyle w:val="5"/>
        <w:spacing w:before="0" w:after="0" w:line="360" w:lineRule="auto"/>
        <w:jc w:val="center"/>
        <w:outlineLvl w:val="0"/>
        <w:rPr>
          <w:rFonts w:ascii="宋体" w:hAnsi="宋体" w:eastAsia="宋体"/>
          <w:color w:val="auto"/>
          <w:sz w:val="44"/>
          <w:szCs w:val="44"/>
          <w:highlight w:val="none"/>
        </w:rPr>
      </w:pPr>
      <w:bookmarkStart w:id="900" w:name="_Toc16627"/>
      <w:bookmarkStart w:id="901" w:name="_Toc95257502"/>
      <w:bookmarkStart w:id="902" w:name="_Toc23007"/>
      <w:bookmarkStart w:id="903" w:name="_Toc6063"/>
      <w:r>
        <w:rPr>
          <w:rFonts w:hint="eastAsia" w:ascii="宋体" w:hAnsi="宋体" w:eastAsia="宋体"/>
          <w:color w:val="auto"/>
          <w:sz w:val="44"/>
          <w:szCs w:val="44"/>
          <w:highlight w:val="none"/>
        </w:rPr>
        <w:t>第五章  工程量清单</w:t>
      </w:r>
      <w:bookmarkEnd w:id="900"/>
      <w:bookmarkEnd w:id="901"/>
      <w:bookmarkEnd w:id="902"/>
      <w:bookmarkEnd w:id="903"/>
    </w:p>
    <w:p w14:paraId="6B182EAB">
      <w:pPr>
        <w:spacing w:after="0" w:line="360" w:lineRule="auto"/>
        <w:jc w:val="center"/>
        <w:rPr>
          <w:rFonts w:ascii="宋体" w:hAnsi="宋体"/>
          <w:color w:val="auto"/>
          <w:szCs w:val="20"/>
          <w:highlight w:val="none"/>
        </w:rPr>
      </w:pPr>
      <w:r>
        <w:rPr>
          <w:rFonts w:hint="eastAsia" w:ascii="宋体" w:hAnsi="宋体"/>
          <w:color w:val="auto"/>
          <w:szCs w:val="20"/>
          <w:highlight w:val="none"/>
        </w:rPr>
        <w:t>（另册提供，投标人自行登录全国公共资源交易平台(云南省)云南省公共资源交易信息网（网址：http://ggzy.yn.gov.cn/#/homePage）选择“楚雄州”</w:t>
      </w:r>
      <w:r>
        <w:rPr>
          <w:rFonts w:hint="eastAsia" w:ascii="宋体" w:hAnsi="宋体"/>
          <w:color w:val="auto"/>
          <w:kern w:val="0"/>
          <w:szCs w:val="28"/>
          <w:highlight w:val="none"/>
        </w:rPr>
        <w:t>下载使用</w:t>
      </w:r>
      <w:r>
        <w:rPr>
          <w:rFonts w:hint="eastAsia" w:ascii="宋体" w:hAnsi="宋体"/>
          <w:color w:val="auto"/>
          <w:szCs w:val="20"/>
          <w:highlight w:val="none"/>
        </w:rPr>
        <w:t>）</w:t>
      </w:r>
    </w:p>
    <w:p w14:paraId="08CF3C6E">
      <w:pPr>
        <w:spacing w:after="0" w:line="360" w:lineRule="auto"/>
        <w:jc w:val="center"/>
        <w:rPr>
          <w:rFonts w:ascii="宋体" w:hAnsi="宋体"/>
          <w:color w:val="auto"/>
          <w:szCs w:val="20"/>
          <w:highlight w:val="none"/>
        </w:rPr>
      </w:pPr>
    </w:p>
    <w:p w14:paraId="3BC2BC94">
      <w:pPr>
        <w:spacing w:after="0" w:line="360" w:lineRule="auto"/>
        <w:jc w:val="center"/>
        <w:rPr>
          <w:rFonts w:ascii="宋体" w:hAnsi="宋体"/>
          <w:color w:val="auto"/>
          <w:szCs w:val="20"/>
          <w:highlight w:val="none"/>
        </w:rPr>
      </w:pPr>
    </w:p>
    <w:p w14:paraId="17C176A7">
      <w:pPr>
        <w:spacing w:after="0" w:line="360" w:lineRule="auto"/>
        <w:jc w:val="center"/>
        <w:rPr>
          <w:rFonts w:ascii="宋体" w:hAnsi="宋体"/>
          <w:color w:val="auto"/>
          <w:szCs w:val="20"/>
          <w:highlight w:val="none"/>
        </w:rPr>
        <w:sectPr>
          <w:footerReference r:id="rId10" w:type="default"/>
          <w:pgSz w:w="11906" w:h="16838"/>
          <w:pgMar w:top="1418" w:right="1418" w:bottom="1418" w:left="1701" w:header="851" w:footer="992" w:gutter="0"/>
          <w:pgNumType w:fmt="decimal"/>
          <w:cols w:space="720" w:num="1"/>
          <w:docGrid w:linePitch="312" w:charSpace="0"/>
        </w:sectPr>
      </w:pPr>
    </w:p>
    <w:p w14:paraId="4DCFDBD0">
      <w:pPr>
        <w:spacing w:after="0" w:line="360" w:lineRule="auto"/>
        <w:rPr>
          <w:rFonts w:ascii="宋体" w:hAnsi="宋体"/>
          <w:color w:val="auto"/>
          <w:sz w:val="20"/>
          <w:szCs w:val="20"/>
          <w:highlight w:val="none"/>
        </w:rPr>
      </w:pPr>
    </w:p>
    <w:p w14:paraId="117194CB">
      <w:pPr>
        <w:spacing w:after="0" w:line="360" w:lineRule="auto"/>
        <w:rPr>
          <w:rFonts w:ascii="宋体" w:hAnsi="宋体"/>
          <w:color w:val="auto"/>
          <w:sz w:val="20"/>
          <w:szCs w:val="20"/>
          <w:highlight w:val="none"/>
        </w:rPr>
      </w:pPr>
    </w:p>
    <w:p w14:paraId="6BA53E45">
      <w:pPr>
        <w:pStyle w:val="4"/>
        <w:spacing w:before="0" w:after="0" w:line="360" w:lineRule="auto"/>
        <w:jc w:val="center"/>
        <w:rPr>
          <w:rFonts w:hint="eastAsia" w:ascii="宋体" w:hAnsi="宋体"/>
          <w:color w:val="auto"/>
          <w:sz w:val="52"/>
          <w:szCs w:val="52"/>
          <w:highlight w:val="none"/>
        </w:rPr>
      </w:pPr>
      <w:bookmarkStart w:id="904" w:name="_Toc95257503"/>
      <w:bookmarkStart w:id="905" w:name="_Toc27629"/>
      <w:bookmarkStart w:id="906" w:name="_Toc11638"/>
      <w:r>
        <w:rPr>
          <w:rFonts w:hint="eastAsia" w:ascii="宋体" w:hAnsi="宋体"/>
          <w:color w:val="auto"/>
          <w:sz w:val="52"/>
          <w:szCs w:val="52"/>
          <w:highlight w:val="none"/>
        </w:rPr>
        <w:t>第 二 卷</w:t>
      </w:r>
      <w:bookmarkEnd w:id="904"/>
      <w:bookmarkEnd w:id="905"/>
      <w:bookmarkEnd w:id="906"/>
    </w:p>
    <w:p w14:paraId="0343389D">
      <w:pPr>
        <w:spacing w:after="0" w:line="360" w:lineRule="auto"/>
        <w:rPr>
          <w:rFonts w:ascii="宋体" w:hAnsi="宋体"/>
          <w:color w:val="auto"/>
          <w:sz w:val="20"/>
          <w:szCs w:val="20"/>
          <w:highlight w:val="none"/>
        </w:rPr>
      </w:pPr>
    </w:p>
    <w:p w14:paraId="45C31A96">
      <w:pPr>
        <w:spacing w:after="0" w:line="360" w:lineRule="auto"/>
        <w:rPr>
          <w:rFonts w:ascii="宋体" w:hAnsi="宋体"/>
          <w:color w:val="auto"/>
          <w:sz w:val="20"/>
          <w:szCs w:val="20"/>
          <w:highlight w:val="none"/>
        </w:rPr>
      </w:pPr>
    </w:p>
    <w:p w14:paraId="38354FB4">
      <w:pPr>
        <w:spacing w:after="0" w:line="360" w:lineRule="auto"/>
        <w:rPr>
          <w:rFonts w:ascii="宋体" w:hAnsi="宋体"/>
          <w:color w:val="auto"/>
          <w:sz w:val="20"/>
          <w:szCs w:val="20"/>
          <w:highlight w:val="none"/>
        </w:rPr>
      </w:pPr>
    </w:p>
    <w:p w14:paraId="0DD29FBD">
      <w:pPr>
        <w:spacing w:after="0" w:line="360" w:lineRule="auto"/>
        <w:rPr>
          <w:rFonts w:ascii="宋体" w:hAnsi="宋体"/>
          <w:color w:val="auto"/>
          <w:sz w:val="20"/>
          <w:szCs w:val="20"/>
          <w:highlight w:val="none"/>
        </w:rPr>
      </w:pPr>
    </w:p>
    <w:p w14:paraId="54681FA0">
      <w:pPr>
        <w:spacing w:after="0" w:line="360" w:lineRule="auto"/>
        <w:rPr>
          <w:rFonts w:ascii="宋体" w:hAnsi="宋体"/>
          <w:color w:val="auto"/>
          <w:sz w:val="20"/>
          <w:szCs w:val="20"/>
          <w:highlight w:val="none"/>
        </w:rPr>
      </w:pPr>
    </w:p>
    <w:p w14:paraId="6EAE8DBD">
      <w:pPr>
        <w:spacing w:after="0" w:line="360" w:lineRule="auto"/>
        <w:rPr>
          <w:rFonts w:ascii="宋体" w:hAnsi="宋体"/>
          <w:color w:val="auto"/>
          <w:sz w:val="20"/>
          <w:szCs w:val="20"/>
          <w:highlight w:val="none"/>
        </w:rPr>
      </w:pPr>
    </w:p>
    <w:p w14:paraId="3C0269D5">
      <w:pPr>
        <w:spacing w:after="0" w:line="360" w:lineRule="auto"/>
        <w:rPr>
          <w:rFonts w:ascii="宋体" w:hAnsi="宋体"/>
          <w:color w:val="auto"/>
          <w:sz w:val="20"/>
          <w:szCs w:val="20"/>
          <w:highlight w:val="none"/>
        </w:rPr>
      </w:pPr>
    </w:p>
    <w:p w14:paraId="2E4183E7">
      <w:pPr>
        <w:spacing w:after="0" w:line="360" w:lineRule="auto"/>
        <w:rPr>
          <w:rFonts w:ascii="宋体" w:hAnsi="宋体"/>
          <w:color w:val="auto"/>
          <w:sz w:val="20"/>
          <w:szCs w:val="20"/>
          <w:highlight w:val="none"/>
        </w:rPr>
      </w:pPr>
    </w:p>
    <w:p w14:paraId="3723FB7D">
      <w:pPr>
        <w:spacing w:after="0" w:line="360" w:lineRule="auto"/>
        <w:rPr>
          <w:rFonts w:ascii="宋体" w:hAnsi="宋体"/>
          <w:color w:val="auto"/>
          <w:sz w:val="20"/>
          <w:szCs w:val="20"/>
          <w:highlight w:val="none"/>
        </w:rPr>
      </w:pPr>
    </w:p>
    <w:p w14:paraId="27E6E5FC">
      <w:pPr>
        <w:spacing w:after="0" w:line="360" w:lineRule="auto"/>
        <w:rPr>
          <w:rFonts w:ascii="宋体" w:hAnsi="宋体"/>
          <w:color w:val="auto"/>
          <w:sz w:val="20"/>
          <w:szCs w:val="20"/>
          <w:highlight w:val="none"/>
        </w:rPr>
      </w:pPr>
    </w:p>
    <w:p w14:paraId="38503AFD">
      <w:pPr>
        <w:spacing w:after="0" w:line="360" w:lineRule="auto"/>
        <w:rPr>
          <w:rFonts w:ascii="宋体" w:hAnsi="宋体"/>
          <w:color w:val="auto"/>
          <w:sz w:val="20"/>
          <w:szCs w:val="20"/>
          <w:highlight w:val="none"/>
        </w:rPr>
      </w:pPr>
    </w:p>
    <w:p w14:paraId="60D68974">
      <w:pPr>
        <w:widowControl/>
        <w:spacing w:after="0" w:line="240" w:lineRule="auto"/>
        <w:jc w:val="left"/>
        <w:rPr>
          <w:rFonts w:ascii="宋体" w:hAnsi="宋体"/>
          <w:b/>
          <w:bCs/>
          <w:color w:val="auto"/>
          <w:kern w:val="0"/>
          <w:sz w:val="44"/>
          <w:szCs w:val="44"/>
          <w:highlight w:val="none"/>
          <w:lang w:val="zh-CN"/>
        </w:rPr>
      </w:pPr>
      <w:bookmarkStart w:id="907" w:name="_Toc229305436"/>
      <w:bookmarkStart w:id="908" w:name="_Toc221948392"/>
      <w:bookmarkStart w:id="909" w:name="_Toc221952224"/>
      <w:bookmarkStart w:id="910" w:name="_Toc222033927"/>
      <w:bookmarkStart w:id="911" w:name="_Toc222029576"/>
      <w:bookmarkStart w:id="912" w:name="_Toc222031078"/>
      <w:bookmarkStart w:id="913" w:name="_Toc222032745"/>
      <w:r>
        <w:rPr>
          <w:rFonts w:ascii="宋体" w:hAnsi="宋体"/>
          <w:color w:val="auto"/>
          <w:sz w:val="44"/>
          <w:szCs w:val="44"/>
          <w:highlight w:val="none"/>
        </w:rPr>
        <w:br w:type="page"/>
      </w:r>
    </w:p>
    <w:p w14:paraId="2AC63530">
      <w:pPr>
        <w:pStyle w:val="5"/>
        <w:spacing w:before="0" w:after="0" w:line="360" w:lineRule="auto"/>
        <w:jc w:val="center"/>
        <w:outlineLvl w:val="0"/>
        <w:rPr>
          <w:rFonts w:ascii="宋体" w:hAnsi="宋体" w:eastAsia="宋体"/>
          <w:color w:val="auto"/>
          <w:sz w:val="44"/>
          <w:szCs w:val="44"/>
          <w:highlight w:val="none"/>
        </w:rPr>
      </w:pPr>
      <w:bookmarkStart w:id="914" w:name="_Toc13537"/>
      <w:bookmarkStart w:id="915" w:name="_Toc16210"/>
      <w:bookmarkStart w:id="916" w:name="_Toc14560"/>
      <w:bookmarkStart w:id="917" w:name="_Toc95257504"/>
      <w:r>
        <w:rPr>
          <w:rFonts w:hint="eastAsia" w:ascii="宋体" w:hAnsi="宋体" w:eastAsia="宋体"/>
          <w:color w:val="auto"/>
          <w:sz w:val="44"/>
          <w:szCs w:val="44"/>
          <w:highlight w:val="none"/>
        </w:rPr>
        <w:t xml:space="preserve">第六章 </w:t>
      </w:r>
      <w:r>
        <w:rPr>
          <w:rFonts w:ascii="宋体" w:hAnsi="宋体" w:eastAsia="宋体"/>
          <w:color w:val="auto"/>
          <w:sz w:val="44"/>
          <w:szCs w:val="44"/>
          <w:highlight w:val="none"/>
        </w:rPr>
        <w:t xml:space="preserve"> </w:t>
      </w:r>
      <w:r>
        <w:rPr>
          <w:rFonts w:hint="eastAsia" w:ascii="宋体" w:hAnsi="宋体" w:eastAsia="宋体"/>
          <w:color w:val="auto"/>
          <w:sz w:val="44"/>
          <w:szCs w:val="44"/>
          <w:highlight w:val="none"/>
        </w:rPr>
        <w:t>技术条款（详见设计图纸资料）</w:t>
      </w:r>
      <w:bookmarkEnd w:id="914"/>
      <w:bookmarkEnd w:id="915"/>
      <w:bookmarkEnd w:id="916"/>
      <w:bookmarkEnd w:id="917"/>
    </w:p>
    <w:bookmarkEnd w:id="907"/>
    <w:bookmarkEnd w:id="908"/>
    <w:bookmarkEnd w:id="909"/>
    <w:bookmarkEnd w:id="910"/>
    <w:bookmarkEnd w:id="911"/>
    <w:bookmarkEnd w:id="912"/>
    <w:bookmarkEnd w:id="913"/>
    <w:p w14:paraId="0396F980">
      <w:pPr>
        <w:spacing w:after="0" w:line="360" w:lineRule="auto"/>
        <w:ind w:firstLine="2409" w:firstLineChars="1000"/>
        <w:outlineLvl w:val="1"/>
        <w:rPr>
          <w:rFonts w:hint="eastAsia" w:ascii="宋体" w:hAnsi="宋体"/>
          <w:color w:val="auto"/>
          <w:sz w:val="24"/>
          <w:highlight w:val="none"/>
          <w:lang w:val="en-US" w:eastAsia="zh-CN"/>
        </w:rPr>
      </w:pPr>
      <w:bookmarkStart w:id="918" w:name="_Toc23291_WPSOffice_Level2"/>
      <w:bookmarkStart w:id="919" w:name="_Toc3791"/>
      <w:bookmarkStart w:id="920" w:name="_Toc26251"/>
      <w:r>
        <w:rPr>
          <w:rFonts w:hint="eastAsia" w:ascii="宋体" w:hAnsi="宋体"/>
          <w:b/>
          <w:bCs/>
          <w:color w:val="auto"/>
          <w:sz w:val="24"/>
          <w:highlight w:val="none"/>
          <w:lang w:eastAsia="zh-CN"/>
        </w:rPr>
        <w:t>设计图纸资料投标人自行下载使用（如有）</w:t>
      </w:r>
      <w:bookmarkEnd w:id="918"/>
      <w:bookmarkEnd w:id="919"/>
      <w:bookmarkEnd w:id="920"/>
    </w:p>
    <w:p w14:paraId="3666BE63">
      <w:pPr>
        <w:spacing w:after="0" w:line="360" w:lineRule="auto"/>
        <w:rPr>
          <w:rFonts w:ascii="宋体" w:hAnsi="宋体"/>
          <w:b/>
          <w:color w:val="auto"/>
          <w:sz w:val="27"/>
          <w:szCs w:val="27"/>
          <w:highlight w:val="none"/>
        </w:rPr>
      </w:pPr>
    </w:p>
    <w:p w14:paraId="30A541E7">
      <w:pPr>
        <w:spacing w:after="0" w:line="360" w:lineRule="auto"/>
        <w:rPr>
          <w:rFonts w:ascii="宋体" w:hAnsi="宋体"/>
          <w:b/>
          <w:color w:val="auto"/>
          <w:sz w:val="27"/>
          <w:szCs w:val="27"/>
          <w:highlight w:val="none"/>
        </w:rPr>
      </w:pPr>
    </w:p>
    <w:p w14:paraId="35926B02">
      <w:pPr>
        <w:spacing w:after="0" w:line="360" w:lineRule="auto"/>
        <w:rPr>
          <w:rFonts w:ascii="宋体" w:hAnsi="宋体"/>
          <w:b/>
          <w:color w:val="auto"/>
          <w:sz w:val="27"/>
          <w:szCs w:val="27"/>
          <w:highlight w:val="none"/>
        </w:rPr>
      </w:pPr>
    </w:p>
    <w:p w14:paraId="40932D4F">
      <w:pPr>
        <w:spacing w:after="0" w:line="360" w:lineRule="auto"/>
        <w:rPr>
          <w:rFonts w:ascii="宋体" w:hAnsi="宋体"/>
          <w:b/>
          <w:color w:val="auto"/>
          <w:sz w:val="27"/>
          <w:szCs w:val="27"/>
          <w:highlight w:val="none"/>
        </w:rPr>
      </w:pPr>
    </w:p>
    <w:p w14:paraId="5FC5AC65">
      <w:pPr>
        <w:spacing w:after="0" w:line="360" w:lineRule="auto"/>
        <w:rPr>
          <w:rFonts w:ascii="宋体" w:hAnsi="宋体"/>
          <w:b/>
          <w:color w:val="auto"/>
          <w:sz w:val="27"/>
          <w:szCs w:val="27"/>
          <w:highlight w:val="none"/>
        </w:rPr>
      </w:pPr>
    </w:p>
    <w:p w14:paraId="3490D8CD">
      <w:pPr>
        <w:spacing w:after="0" w:line="360" w:lineRule="auto"/>
        <w:rPr>
          <w:rFonts w:ascii="宋体" w:hAnsi="宋体"/>
          <w:b/>
          <w:color w:val="auto"/>
          <w:sz w:val="27"/>
          <w:szCs w:val="27"/>
          <w:highlight w:val="none"/>
        </w:rPr>
      </w:pPr>
    </w:p>
    <w:p w14:paraId="32CD7E45">
      <w:pPr>
        <w:spacing w:after="0" w:line="360" w:lineRule="auto"/>
        <w:rPr>
          <w:rFonts w:ascii="宋体" w:hAnsi="宋体"/>
          <w:color w:val="auto"/>
          <w:highlight w:val="none"/>
        </w:rPr>
      </w:pPr>
    </w:p>
    <w:p w14:paraId="3CFEE19C">
      <w:pPr>
        <w:spacing w:after="0" w:line="360" w:lineRule="auto"/>
        <w:rPr>
          <w:rFonts w:ascii="宋体" w:hAnsi="宋体"/>
          <w:color w:val="auto"/>
          <w:highlight w:val="none"/>
        </w:rPr>
      </w:pPr>
    </w:p>
    <w:p w14:paraId="023A25C7">
      <w:pPr>
        <w:spacing w:after="0" w:line="360" w:lineRule="auto"/>
        <w:rPr>
          <w:rFonts w:ascii="宋体" w:hAnsi="宋体"/>
          <w:color w:val="auto"/>
          <w:highlight w:val="none"/>
        </w:rPr>
      </w:pPr>
    </w:p>
    <w:p w14:paraId="7EC4DD86">
      <w:pPr>
        <w:widowControl/>
        <w:spacing w:after="0" w:line="240" w:lineRule="auto"/>
        <w:jc w:val="left"/>
        <w:rPr>
          <w:rFonts w:ascii="宋体" w:hAnsi="宋体"/>
          <w:b/>
          <w:bCs/>
          <w:color w:val="auto"/>
          <w:kern w:val="44"/>
          <w:sz w:val="52"/>
          <w:szCs w:val="52"/>
          <w:highlight w:val="none"/>
          <w:lang w:val="zh-CN"/>
        </w:rPr>
      </w:pPr>
      <w:bookmarkStart w:id="921" w:name="_Toc229408535"/>
      <w:r>
        <w:rPr>
          <w:rFonts w:ascii="宋体" w:hAnsi="宋体"/>
          <w:color w:val="auto"/>
          <w:sz w:val="52"/>
          <w:szCs w:val="52"/>
          <w:highlight w:val="none"/>
        </w:rPr>
        <w:br w:type="page"/>
      </w:r>
    </w:p>
    <w:p w14:paraId="52CE6D69">
      <w:pPr>
        <w:pStyle w:val="4"/>
        <w:spacing w:before="0" w:after="0" w:line="360" w:lineRule="auto"/>
        <w:jc w:val="center"/>
        <w:rPr>
          <w:rFonts w:ascii="宋体" w:hAnsi="宋体"/>
          <w:color w:val="auto"/>
          <w:sz w:val="52"/>
          <w:szCs w:val="52"/>
          <w:highlight w:val="none"/>
        </w:rPr>
      </w:pPr>
      <w:bookmarkStart w:id="922" w:name="_Toc4711"/>
      <w:bookmarkStart w:id="923" w:name="_Toc95257505"/>
      <w:bookmarkStart w:id="924" w:name="_Toc11996"/>
      <w:bookmarkStart w:id="925" w:name="_Toc27476"/>
      <w:r>
        <w:rPr>
          <w:rFonts w:hint="eastAsia" w:ascii="宋体" w:hAnsi="宋体"/>
          <w:color w:val="auto"/>
          <w:sz w:val="52"/>
          <w:szCs w:val="52"/>
          <w:highlight w:val="none"/>
        </w:rPr>
        <w:t>第 三 卷</w:t>
      </w:r>
      <w:bookmarkEnd w:id="921"/>
      <w:bookmarkEnd w:id="922"/>
      <w:bookmarkEnd w:id="923"/>
      <w:bookmarkEnd w:id="924"/>
      <w:bookmarkEnd w:id="925"/>
    </w:p>
    <w:p w14:paraId="59ABA839">
      <w:pPr>
        <w:spacing w:after="0" w:line="360" w:lineRule="auto"/>
        <w:rPr>
          <w:rFonts w:ascii="宋体" w:hAnsi="宋体"/>
          <w:color w:val="auto"/>
          <w:sz w:val="20"/>
          <w:szCs w:val="20"/>
          <w:highlight w:val="none"/>
        </w:rPr>
      </w:pPr>
    </w:p>
    <w:p w14:paraId="582D51D5">
      <w:pPr>
        <w:spacing w:after="0" w:line="360" w:lineRule="auto"/>
        <w:rPr>
          <w:rFonts w:ascii="宋体" w:hAnsi="宋体"/>
          <w:color w:val="auto"/>
          <w:sz w:val="20"/>
          <w:szCs w:val="20"/>
          <w:highlight w:val="none"/>
        </w:rPr>
      </w:pPr>
    </w:p>
    <w:p w14:paraId="4E3B459D">
      <w:pPr>
        <w:spacing w:after="0" w:line="360" w:lineRule="auto"/>
        <w:rPr>
          <w:rFonts w:ascii="宋体" w:hAnsi="宋体"/>
          <w:color w:val="auto"/>
          <w:sz w:val="20"/>
          <w:szCs w:val="20"/>
          <w:highlight w:val="none"/>
        </w:rPr>
      </w:pPr>
    </w:p>
    <w:p w14:paraId="3C557118">
      <w:pPr>
        <w:spacing w:after="0" w:line="360" w:lineRule="auto"/>
        <w:rPr>
          <w:rFonts w:ascii="宋体" w:hAnsi="宋体"/>
          <w:color w:val="auto"/>
          <w:highlight w:val="none"/>
        </w:rPr>
      </w:pPr>
    </w:p>
    <w:p w14:paraId="2129C921">
      <w:pPr>
        <w:spacing w:after="0" w:line="360" w:lineRule="auto"/>
        <w:rPr>
          <w:rFonts w:ascii="宋体" w:hAnsi="宋体"/>
          <w:color w:val="auto"/>
          <w:highlight w:val="none"/>
        </w:rPr>
      </w:pPr>
    </w:p>
    <w:p w14:paraId="020A49C7">
      <w:pPr>
        <w:spacing w:after="0" w:line="360" w:lineRule="auto"/>
        <w:rPr>
          <w:rFonts w:ascii="宋体" w:hAnsi="宋体"/>
          <w:color w:val="auto"/>
          <w:highlight w:val="none"/>
        </w:rPr>
      </w:pPr>
    </w:p>
    <w:p w14:paraId="190FAAC0">
      <w:pPr>
        <w:spacing w:after="0" w:line="360" w:lineRule="auto"/>
        <w:rPr>
          <w:rFonts w:ascii="宋体" w:hAnsi="宋体"/>
          <w:color w:val="auto"/>
          <w:highlight w:val="none"/>
        </w:rPr>
      </w:pPr>
    </w:p>
    <w:p w14:paraId="2DE51634">
      <w:pPr>
        <w:spacing w:after="0" w:line="360" w:lineRule="auto"/>
        <w:rPr>
          <w:rFonts w:ascii="宋体" w:hAnsi="宋体"/>
          <w:color w:val="auto"/>
          <w:highlight w:val="none"/>
        </w:rPr>
      </w:pPr>
    </w:p>
    <w:p w14:paraId="4EC84D56">
      <w:pPr>
        <w:widowControl/>
        <w:spacing w:after="0" w:line="240" w:lineRule="auto"/>
        <w:jc w:val="left"/>
        <w:rPr>
          <w:rFonts w:ascii="宋体" w:hAnsi="宋体"/>
          <w:b/>
          <w:bCs/>
          <w:color w:val="auto"/>
          <w:kern w:val="0"/>
          <w:sz w:val="44"/>
          <w:szCs w:val="44"/>
          <w:highlight w:val="none"/>
          <w:lang w:val="zh-CN"/>
        </w:rPr>
      </w:pPr>
      <w:bookmarkStart w:id="926" w:name="_Toc274933711"/>
      <w:r>
        <w:rPr>
          <w:rFonts w:ascii="宋体" w:hAnsi="宋体"/>
          <w:color w:val="auto"/>
          <w:sz w:val="44"/>
          <w:szCs w:val="44"/>
          <w:highlight w:val="none"/>
        </w:rPr>
        <w:br w:type="page"/>
      </w:r>
    </w:p>
    <w:p w14:paraId="01DF0CDD">
      <w:pPr>
        <w:pStyle w:val="5"/>
        <w:spacing w:before="0" w:after="0" w:line="360" w:lineRule="auto"/>
        <w:jc w:val="center"/>
        <w:outlineLvl w:val="0"/>
        <w:rPr>
          <w:rFonts w:ascii="宋体" w:hAnsi="宋体" w:eastAsia="宋体"/>
          <w:color w:val="auto"/>
          <w:sz w:val="44"/>
          <w:szCs w:val="44"/>
          <w:highlight w:val="none"/>
        </w:rPr>
      </w:pPr>
      <w:bookmarkStart w:id="927" w:name="_Toc17001"/>
      <w:bookmarkStart w:id="928" w:name="_Toc16750"/>
      <w:bookmarkStart w:id="929" w:name="_Toc15555"/>
      <w:bookmarkStart w:id="930" w:name="_Toc95257506"/>
      <w:r>
        <w:rPr>
          <w:rFonts w:hint="eastAsia" w:ascii="宋体" w:hAnsi="宋体" w:eastAsia="宋体"/>
          <w:color w:val="auto"/>
          <w:sz w:val="44"/>
          <w:szCs w:val="44"/>
          <w:highlight w:val="none"/>
        </w:rPr>
        <w:t>第七章 技术标准和要求（合同技术条款）</w:t>
      </w:r>
      <w:bookmarkEnd w:id="926"/>
      <w:bookmarkEnd w:id="927"/>
      <w:bookmarkEnd w:id="928"/>
      <w:bookmarkEnd w:id="929"/>
      <w:bookmarkEnd w:id="930"/>
    </w:p>
    <w:p w14:paraId="1752A72C">
      <w:pPr>
        <w:spacing w:after="0" w:line="360" w:lineRule="auto"/>
        <w:ind w:firstLine="480" w:firstLineChars="200"/>
        <w:jc w:val="left"/>
        <w:rPr>
          <w:rFonts w:ascii="宋体" w:hAnsi="宋体"/>
          <w:color w:val="auto"/>
          <w:sz w:val="24"/>
          <w:szCs w:val="21"/>
          <w:highlight w:val="none"/>
        </w:rPr>
      </w:pPr>
      <w:r>
        <w:rPr>
          <w:rFonts w:hint="eastAsia" w:ascii="宋体" w:hAnsi="宋体"/>
          <w:color w:val="auto"/>
          <w:sz w:val="24"/>
          <w:szCs w:val="21"/>
          <w:highlight w:val="none"/>
          <w:lang w:eastAsia="zh-CN"/>
        </w:rPr>
        <w:t>满足</w:t>
      </w:r>
      <w:r>
        <w:rPr>
          <w:rFonts w:hint="eastAsia" w:ascii="宋体" w:hAnsi="宋体"/>
          <w:color w:val="auto"/>
          <w:sz w:val="24"/>
          <w:szCs w:val="21"/>
          <w:highlight w:val="none"/>
        </w:rPr>
        <w:t>本项目规划设计</w:t>
      </w:r>
      <w:r>
        <w:rPr>
          <w:rFonts w:hint="eastAsia" w:ascii="宋体" w:hAnsi="宋体"/>
          <w:color w:val="auto"/>
          <w:sz w:val="24"/>
          <w:szCs w:val="21"/>
          <w:highlight w:val="none"/>
          <w:lang w:eastAsia="zh-CN"/>
        </w:rPr>
        <w:t>标准</w:t>
      </w:r>
      <w:r>
        <w:rPr>
          <w:rFonts w:hint="eastAsia" w:ascii="宋体" w:hAnsi="宋体"/>
          <w:color w:val="auto"/>
          <w:sz w:val="24"/>
          <w:szCs w:val="21"/>
          <w:highlight w:val="none"/>
        </w:rPr>
        <w:t>及招标人要求，满足国家及云南省相关技术规范要求，中标后在施工承包合同中进行明确。</w:t>
      </w:r>
    </w:p>
    <w:p w14:paraId="41F59966">
      <w:pPr>
        <w:spacing w:after="0" w:line="360" w:lineRule="auto"/>
        <w:jc w:val="center"/>
        <w:rPr>
          <w:rFonts w:ascii="宋体" w:hAnsi="宋体"/>
          <w:color w:val="auto"/>
          <w:szCs w:val="21"/>
          <w:highlight w:val="none"/>
        </w:rPr>
      </w:pPr>
    </w:p>
    <w:p w14:paraId="2E67F502">
      <w:pPr>
        <w:spacing w:after="0" w:line="360" w:lineRule="auto"/>
        <w:jc w:val="center"/>
        <w:rPr>
          <w:rFonts w:ascii="宋体" w:hAnsi="宋体"/>
          <w:color w:val="auto"/>
          <w:szCs w:val="21"/>
          <w:highlight w:val="none"/>
        </w:rPr>
      </w:pPr>
    </w:p>
    <w:p w14:paraId="35306046">
      <w:pPr>
        <w:spacing w:after="0" w:line="360" w:lineRule="auto"/>
        <w:rPr>
          <w:rFonts w:ascii="宋体" w:hAnsi="宋体"/>
          <w:color w:val="auto"/>
          <w:szCs w:val="21"/>
          <w:highlight w:val="none"/>
        </w:rPr>
      </w:pPr>
    </w:p>
    <w:p w14:paraId="39215A63">
      <w:pPr>
        <w:spacing w:after="0" w:line="360" w:lineRule="auto"/>
        <w:jc w:val="center"/>
        <w:rPr>
          <w:rFonts w:ascii="宋体" w:hAnsi="宋体"/>
          <w:color w:val="auto"/>
          <w:szCs w:val="21"/>
          <w:highlight w:val="none"/>
        </w:rPr>
      </w:pPr>
    </w:p>
    <w:p w14:paraId="6E233B5B">
      <w:pPr>
        <w:spacing w:after="0" w:line="360" w:lineRule="auto"/>
        <w:jc w:val="center"/>
        <w:rPr>
          <w:rFonts w:ascii="宋体" w:hAnsi="宋体"/>
          <w:color w:val="auto"/>
          <w:szCs w:val="21"/>
          <w:highlight w:val="none"/>
        </w:rPr>
      </w:pPr>
    </w:p>
    <w:p w14:paraId="0EBAC879">
      <w:pPr>
        <w:spacing w:after="0" w:line="360" w:lineRule="auto"/>
        <w:jc w:val="center"/>
        <w:rPr>
          <w:rFonts w:ascii="宋体" w:hAnsi="宋体"/>
          <w:color w:val="auto"/>
          <w:szCs w:val="21"/>
          <w:highlight w:val="none"/>
        </w:rPr>
      </w:pPr>
    </w:p>
    <w:p w14:paraId="63ECAFE7">
      <w:pPr>
        <w:spacing w:after="0" w:line="360" w:lineRule="auto"/>
        <w:jc w:val="center"/>
        <w:rPr>
          <w:rFonts w:ascii="宋体" w:hAnsi="宋体"/>
          <w:color w:val="auto"/>
          <w:szCs w:val="21"/>
          <w:highlight w:val="none"/>
        </w:rPr>
      </w:pPr>
    </w:p>
    <w:p w14:paraId="1B4849D3">
      <w:pPr>
        <w:spacing w:after="0" w:line="360" w:lineRule="auto"/>
        <w:jc w:val="center"/>
        <w:rPr>
          <w:rFonts w:ascii="宋体" w:hAnsi="宋体"/>
          <w:color w:val="auto"/>
          <w:szCs w:val="21"/>
          <w:highlight w:val="none"/>
        </w:rPr>
      </w:pPr>
    </w:p>
    <w:p w14:paraId="013C03F5">
      <w:pPr>
        <w:spacing w:after="0" w:line="360" w:lineRule="auto"/>
        <w:rPr>
          <w:rFonts w:ascii="宋体" w:hAnsi="宋体"/>
          <w:color w:val="auto"/>
          <w:highlight w:val="none"/>
        </w:rPr>
      </w:pPr>
    </w:p>
    <w:p w14:paraId="508745B9">
      <w:pPr>
        <w:pStyle w:val="317"/>
        <w:spacing w:line="360" w:lineRule="auto"/>
        <w:ind w:firstLine="422"/>
        <w:rPr>
          <w:rFonts w:ascii="宋体" w:hAnsi="宋体"/>
          <w:color w:val="auto"/>
          <w:highlight w:val="none"/>
        </w:rPr>
      </w:pPr>
      <w:bookmarkStart w:id="931" w:name="_Toc229408537"/>
    </w:p>
    <w:p w14:paraId="1F5731B8">
      <w:pPr>
        <w:pStyle w:val="317"/>
        <w:spacing w:line="360" w:lineRule="auto"/>
        <w:ind w:firstLine="422"/>
        <w:rPr>
          <w:rFonts w:ascii="宋体" w:hAnsi="宋体"/>
          <w:color w:val="auto"/>
          <w:highlight w:val="none"/>
        </w:rPr>
      </w:pPr>
    </w:p>
    <w:p w14:paraId="55616F23">
      <w:pPr>
        <w:pStyle w:val="317"/>
        <w:spacing w:line="360" w:lineRule="auto"/>
        <w:ind w:firstLine="422"/>
        <w:rPr>
          <w:rFonts w:ascii="宋体" w:hAnsi="宋体"/>
          <w:color w:val="auto"/>
          <w:highlight w:val="none"/>
        </w:rPr>
      </w:pPr>
    </w:p>
    <w:p w14:paraId="73823896">
      <w:pPr>
        <w:pStyle w:val="317"/>
        <w:spacing w:line="360" w:lineRule="auto"/>
        <w:ind w:firstLine="422"/>
        <w:rPr>
          <w:rFonts w:ascii="宋体" w:hAnsi="宋体"/>
          <w:color w:val="auto"/>
          <w:highlight w:val="none"/>
        </w:rPr>
      </w:pPr>
    </w:p>
    <w:p w14:paraId="1108BEEB">
      <w:pPr>
        <w:pStyle w:val="317"/>
        <w:spacing w:line="360" w:lineRule="auto"/>
        <w:ind w:firstLine="422"/>
        <w:rPr>
          <w:rFonts w:ascii="宋体" w:hAnsi="宋体"/>
          <w:color w:val="auto"/>
          <w:highlight w:val="none"/>
        </w:rPr>
      </w:pPr>
    </w:p>
    <w:p w14:paraId="14175C61">
      <w:pPr>
        <w:pStyle w:val="317"/>
        <w:spacing w:line="360" w:lineRule="auto"/>
        <w:ind w:firstLine="422"/>
        <w:rPr>
          <w:rFonts w:ascii="宋体" w:hAnsi="宋体"/>
          <w:color w:val="auto"/>
          <w:highlight w:val="none"/>
        </w:rPr>
      </w:pPr>
    </w:p>
    <w:p w14:paraId="168D66DB">
      <w:pPr>
        <w:widowControl/>
        <w:spacing w:after="0" w:line="240" w:lineRule="auto"/>
        <w:jc w:val="left"/>
        <w:rPr>
          <w:rFonts w:ascii="宋体" w:hAnsi="宋体"/>
          <w:b/>
          <w:bCs/>
          <w:color w:val="auto"/>
          <w:kern w:val="44"/>
          <w:sz w:val="52"/>
          <w:szCs w:val="52"/>
          <w:highlight w:val="none"/>
          <w:lang w:val="zh-CN"/>
        </w:rPr>
      </w:pPr>
      <w:r>
        <w:rPr>
          <w:rFonts w:ascii="宋体" w:hAnsi="宋体"/>
          <w:color w:val="auto"/>
          <w:sz w:val="52"/>
          <w:szCs w:val="52"/>
          <w:highlight w:val="none"/>
        </w:rPr>
        <w:br w:type="page"/>
      </w:r>
    </w:p>
    <w:p w14:paraId="4ABAEEE5">
      <w:pPr>
        <w:pStyle w:val="4"/>
        <w:spacing w:before="0" w:after="0" w:line="360" w:lineRule="auto"/>
        <w:jc w:val="center"/>
        <w:outlineLvl w:val="1"/>
        <w:rPr>
          <w:rFonts w:ascii="宋体" w:hAnsi="宋体"/>
          <w:color w:val="auto"/>
          <w:sz w:val="52"/>
          <w:szCs w:val="52"/>
          <w:highlight w:val="none"/>
        </w:rPr>
      </w:pPr>
      <w:bookmarkStart w:id="932" w:name="_Toc95257507"/>
      <w:bookmarkStart w:id="933" w:name="_Toc25007"/>
      <w:bookmarkStart w:id="934" w:name="_Toc3854"/>
      <w:r>
        <w:rPr>
          <w:rFonts w:hint="eastAsia" w:ascii="宋体" w:hAnsi="宋体"/>
          <w:color w:val="auto"/>
          <w:sz w:val="52"/>
          <w:szCs w:val="52"/>
          <w:highlight w:val="none"/>
        </w:rPr>
        <w:t>第 四 卷</w:t>
      </w:r>
      <w:bookmarkEnd w:id="931"/>
      <w:bookmarkEnd w:id="932"/>
      <w:bookmarkEnd w:id="933"/>
      <w:bookmarkEnd w:id="934"/>
    </w:p>
    <w:p w14:paraId="4533AFF7">
      <w:pPr>
        <w:spacing w:after="0" w:line="360" w:lineRule="auto"/>
        <w:rPr>
          <w:rFonts w:ascii="宋体" w:hAnsi="宋体"/>
          <w:color w:val="auto"/>
          <w:sz w:val="20"/>
          <w:szCs w:val="20"/>
          <w:highlight w:val="none"/>
        </w:rPr>
      </w:pPr>
    </w:p>
    <w:p w14:paraId="2437E148">
      <w:pPr>
        <w:spacing w:after="0" w:line="360" w:lineRule="auto"/>
        <w:rPr>
          <w:rFonts w:ascii="宋体" w:hAnsi="宋体"/>
          <w:color w:val="auto"/>
          <w:sz w:val="20"/>
          <w:szCs w:val="20"/>
          <w:highlight w:val="none"/>
        </w:rPr>
      </w:pPr>
    </w:p>
    <w:p w14:paraId="60EF7C42">
      <w:pPr>
        <w:spacing w:after="0" w:line="360" w:lineRule="auto"/>
        <w:rPr>
          <w:rFonts w:ascii="宋体" w:hAnsi="宋体"/>
          <w:color w:val="auto"/>
          <w:sz w:val="20"/>
          <w:szCs w:val="20"/>
          <w:highlight w:val="none"/>
        </w:rPr>
      </w:pPr>
    </w:p>
    <w:p w14:paraId="61B15BB8">
      <w:pPr>
        <w:spacing w:after="0" w:line="360" w:lineRule="auto"/>
        <w:rPr>
          <w:rFonts w:ascii="宋体" w:hAnsi="宋体"/>
          <w:color w:val="auto"/>
          <w:sz w:val="20"/>
          <w:szCs w:val="20"/>
          <w:highlight w:val="none"/>
        </w:rPr>
      </w:pPr>
    </w:p>
    <w:p w14:paraId="16A97852">
      <w:pPr>
        <w:spacing w:after="0" w:line="360" w:lineRule="auto"/>
        <w:rPr>
          <w:rFonts w:ascii="宋体" w:hAnsi="宋体"/>
          <w:color w:val="auto"/>
          <w:sz w:val="20"/>
          <w:szCs w:val="20"/>
          <w:highlight w:val="none"/>
        </w:rPr>
      </w:pPr>
    </w:p>
    <w:p w14:paraId="5F634615">
      <w:pPr>
        <w:spacing w:after="0" w:line="360" w:lineRule="auto"/>
        <w:rPr>
          <w:rFonts w:ascii="宋体" w:hAnsi="宋体"/>
          <w:color w:val="auto"/>
          <w:sz w:val="20"/>
          <w:szCs w:val="20"/>
          <w:highlight w:val="none"/>
        </w:rPr>
      </w:pPr>
    </w:p>
    <w:p w14:paraId="502F9F71">
      <w:pPr>
        <w:spacing w:after="0" w:line="360" w:lineRule="auto"/>
        <w:rPr>
          <w:rFonts w:ascii="宋体" w:hAnsi="宋体"/>
          <w:color w:val="auto"/>
          <w:sz w:val="20"/>
          <w:szCs w:val="20"/>
          <w:highlight w:val="none"/>
        </w:rPr>
      </w:pPr>
    </w:p>
    <w:p w14:paraId="237D4E5D">
      <w:pPr>
        <w:spacing w:after="0" w:line="360" w:lineRule="auto"/>
        <w:rPr>
          <w:rFonts w:ascii="宋体" w:hAnsi="宋体"/>
          <w:color w:val="auto"/>
          <w:sz w:val="20"/>
          <w:szCs w:val="20"/>
          <w:highlight w:val="none"/>
        </w:rPr>
      </w:pPr>
    </w:p>
    <w:p w14:paraId="1AC2852A">
      <w:pPr>
        <w:spacing w:after="0" w:line="360" w:lineRule="auto"/>
        <w:rPr>
          <w:rFonts w:ascii="宋体" w:hAnsi="宋体"/>
          <w:color w:val="auto"/>
          <w:sz w:val="20"/>
          <w:szCs w:val="20"/>
          <w:highlight w:val="none"/>
        </w:rPr>
      </w:pPr>
    </w:p>
    <w:p w14:paraId="5A6E96DA">
      <w:pPr>
        <w:spacing w:after="0" w:line="360" w:lineRule="auto"/>
        <w:rPr>
          <w:rFonts w:ascii="宋体" w:hAnsi="宋体"/>
          <w:color w:val="auto"/>
          <w:sz w:val="20"/>
          <w:szCs w:val="20"/>
          <w:highlight w:val="none"/>
        </w:rPr>
      </w:pPr>
    </w:p>
    <w:p w14:paraId="6B9A89AC">
      <w:pPr>
        <w:spacing w:after="0" w:line="360" w:lineRule="auto"/>
        <w:rPr>
          <w:rFonts w:ascii="宋体" w:hAnsi="宋体"/>
          <w:color w:val="auto"/>
          <w:highlight w:val="none"/>
        </w:rPr>
      </w:pPr>
    </w:p>
    <w:p w14:paraId="369D28B4">
      <w:pPr>
        <w:spacing w:after="0" w:line="360" w:lineRule="auto"/>
        <w:rPr>
          <w:rFonts w:ascii="宋体" w:hAnsi="宋体"/>
          <w:color w:val="auto"/>
          <w:highlight w:val="none"/>
        </w:rPr>
      </w:pPr>
    </w:p>
    <w:p w14:paraId="6DACDCBB">
      <w:pPr>
        <w:spacing w:after="0" w:line="360" w:lineRule="auto"/>
        <w:rPr>
          <w:rFonts w:ascii="宋体" w:hAnsi="宋体"/>
          <w:color w:val="auto"/>
          <w:highlight w:val="none"/>
        </w:rPr>
      </w:pPr>
    </w:p>
    <w:p w14:paraId="484F7E6B">
      <w:pPr>
        <w:spacing w:after="0" w:line="360" w:lineRule="auto"/>
        <w:rPr>
          <w:rFonts w:ascii="宋体" w:hAnsi="宋体"/>
          <w:color w:val="auto"/>
          <w:highlight w:val="none"/>
        </w:rPr>
      </w:pPr>
    </w:p>
    <w:p w14:paraId="30997B00">
      <w:pPr>
        <w:spacing w:after="0" w:line="360" w:lineRule="auto"/>
        <w:rPr>
          <w:rFonts w:ascii="宋体" w:hAnsi="宋体"/>
          <w:color w:val="auto"/>
          <w:highlight w:val="none"/>
        </w:rPr>
      </w:pPr>
    </w:p>
    <w:p w14:paraId="00EED687">
      <w:pPr>
        <w:widowControl/>
        <w:spacing w:after="0" w:line="240" w:lineRule="auto"/>
        <w:jc w:val="left"/>
        <w:rPr>
          <w:rFonts w:ascii="宋体" w:hAnsi="宋体"/>
          <w:b/>
          <w:bCs/>
          <w:color w:val="auto"/>
          <w:kern w:val="0"/>
          <w:sz w:val="44"/>
          <w:szCs w:val="44"/>
          <w:highlight w:val="none"/>
          <w:lang w:val="zh-CN"/>
        </w:rPr>
      </w:pPr>
      <w:r>
        <w:rPr>
          <w:rFonts w:ascii="宋体" w:hAnsi="宋体"/>
          <w:color w:val="auto"/>
          <w:sz w:val="44"/>
          <w:szCs w:val="44"/>
          <w:highlight w:val="none"/>
        </w:rPr>
        <w:br w:type="page"/>
      </w:r>
    </w:p>
    <w:p w14:paraId="0F9D342D">
      <w:pPr>
        <w:pStyle w:val="5"/>
        <w:spacing w:before="0" w:after="0" w:line="360" w:lineRule="auto"/>
        <w:jc w:val="center"/>
        <w:outlineLvl w:val="0"/>
        <w:rPr>
          <w:rFonts w:ascii="宋体" w:hAnsi="宋体" w:eastAsia="宋体"/>
          <w:color w:val="auto"/>
          <w:szCs w:val="21"/>
          <w:highlight w:val="none"/>
        </w:rPr>
      </w:pPr>
      <w:bookmarkStart w:id="935" w:name="_Toc31927"/>
      <w:bookmarkStart w:id="936" w:name="_Toc27856"/>
      <w:bookmarkStart w:id="937" w:name="_Toc26777"/>
      <w:bookmarkStart w:id="938" w:name="_Toc95257508"/>
      <w:r>
        <w:rPr>
          <w:rFonts w:hint="eastAsia" w:ascii="宋体" w:hAnsi="宋体" w:eastAsia="宋体"/>
          <w:color w:val="auto"/>
          <w:sz w:val="44"/>
          <w:szCs w:val="44"/>
          <w:highlight w:val="none"/>
        </w:rPr>
        <w:t>第八章  投标文件格式</w:t>
      </w:r>
      <w:bookmarkEnd w:id="491"/>
      <w:bookmarkEnd w:id="492"/>
      <w:bookmarkEnd w:id="493"/>
      <w:bookmarkEnd w:id="494"/>
      <w:bookmarkEnd w:id="495"/>
      <w:bookmarkEnd w:id="496"/>
      <w:bookmarkEnd w:id="497"/>
      <w:bookmarkEnd w:id="498"/>
      <w:bookmarkEnd w:id="499"/>
      <w:bookmarkEnd w:id="935"/>
      <w:bookmarkEnd w:id="936"/>
      <w:bookmarkEnd w:id="937"/>
      <w:bookmarkEnd w:id="938"/>
    </w:p>
    <w:p w14:paraId="0CE7F088">
      <w:pPr>
        <w:spacing w:after="0" w:line="360" w:lineRule="auto"/>
        <w:ind w:firstLine="960" w:firstLineChars="300"/>
        <w:jc w:val="left"/>
        <w:rPr>
          <w:rFonts w:ascii="宋体" w:hAnsi="宋体"/>
          <w:color w:val="auto"/>
          <w:sz w:val="32"/>
          <w:szCs w:val="32"/>
          <w:highlight w:val="none"/>
          <w:u w:val="single"/>
        </w:rPr>
      </w:pPr>
    </w:p>
    <w:p w14:paraId="763CB320">
      <w:pPr>
        <w:spacing w:after="0" w:line="360" w:lineRule="auto"/>
        <w:ind w:firstLine="960" w:firstLineChars="300"/>
        <w:jc w:val="left"/>
        <w:rPr>
          <w:rFonts w:ascii="宋体" w:hAnsi="宋体"/>
          <w:color w:val="auto"/>
          <w:sz w:val="32"/>
          <w:szCs w:val="32"/>
          <w:highlight w:val="none"/>
          <w:u w:val="single"/>
        </w:rPr>
      </w:pPr>
    </w:p>
    <w:p w14:paraId="3A883600">
      <w:pPr>
        <w:spacing w:after="0" w:line="360" w:lineRule="auto"/>
        <w:ind w:firstLine="843" w:firstLineChars="300"/>
        <w:jc w:val="left"/>
        <w:outlineLvl w:val="1"/>
        <w:rPr>
          <w:rFonts w:ascii="宋体" w:hAnsi="宋体"/>
          <w:b/>
          <w:color w:val="auto"/>
          <w:sz w:val="28"/>
          <w:szCs w:val="28"/>
          <w:highlight w:val="none"/>
        </w:rPr>
      </w:pPr>
      <w:r>
        <w:rPr>
          <w:rFonts w:hint="eastAsia" w:ascii="宋体" w:hAnsi="宋体"/>
          <w:b/>
          <w:color w:val="auto"/>
          <w:sz w:val="28"/>
          <w:szCs w:val="28"/>
          <w:highlight w:val="none"/>
          <w:u w:val="single"/>
        </w:rPr>
        <w:t xml:space="preserve">              </w:t>
      </w:r>
      <w:r>
        <w:rPr>
          <w:rFonts w:ascii="宋体" w:hAnsi="宋体"/>
          <w:b/>
          <w:color w:val="auto"/>
          <w:sz w:val="28"/>
          <w:szCs w:val="28"/>
          <w:highlight w:val="none"/>
          <w:u w:val="single"/>
        </w:rPr>
        <w:t xml:space="preserve">       </w:t>
      </w:r>
      <w:r>
        <w:rPr>
          <w:rFonts w:hint="eastAsia" w:ascii="宋体" w:hAnsi="宋体"/>
          <w:b/>
          <w:color w:val="auto"/>
          <w:sz w:val="28"/>
          <w:szCs w:val="28"/>
          <w:highlight w:val="none"/>
          <w:u w:val="single"/>
        </w:rPr>
        <w:t xml:space="preserve">            </w:t>
      </w:r>
      <w:bookmarkStart w:id="939" w:name="_Toc29023_WPSOffice_Level1"/>
      <w:bookmarkStart w:id="940" w:name="_Toc19944"/>
      <w:bookmarkStart w:id="941" w:name="_Toc15211"/>
      <w:r>
        <w:rPr>
          <w:rFonts w:ascii="宋体" w:hAnsi="宋体"/>
          <w:b/>
          <w:color w:val="auto"/>
          <w:sz w:val="28"/>
          <w:szCs w:val="28"/>
          <w:highlight w:val="none"/>
        </w:rPr>
        <w:t>（</w:t>
      </w:r>
      <w:r>
        <w:rPr>
          <w:rFonts w:hint="eastAsia" w:ascii="宋体" w:hAnsi="宋体"/>
          <w:b/>
          <w:color w:val="auto"/>
          <w:sz w:val="28"/>
          <w:szCs w:val="28"/>
          <w:highlight w:val="none"/>
        </w:rPr>
        <w:t>标段名称）</w:t>
      </w:r>
      <w:bookmarkEnd w:id="939"/>
      <w:bookmarkEnd w:id="940"/>
      <w:bookmarkEnd w:id="941"/>
    </w:p>
    <w:p w14:paraId="61C87569">
      <w:pPr>
        <w:spacing w:after="0" w:line="360" w:lineRule="auto"/>
        <w:jc w:val="center"/>
        <w:rPr>
          <w:rFonts w:ascii="宋体" w:hAnsi="宋体"/>
          <w:b/>
          <w:color w:val="auto"/>
          <w:sz w:val="44"/>
          <w:szCs w:val="44"/>
          <w:highlight w:val="none"/>
        </w:rPr>
      </w:pPr>
    </w:p>
    <w:p w14:paraId="6D73BC89">
      <w:pPr>
        <w:spacing w:after="0" w:line="360" w:lineRule="auto"/>
        <w:jc w:val="center"/>
        <w:rPr>
          <w:rFonts w:ascii="宋体" w:hAnsi="宋体"/>
          <w:b/>
          <w:color w:val="auto"/>
          <w:sz w:val="44"/>
          <w:szCs w:val="44"/>
          <w:highlight w:val="none"/>
        </w:rPr>
      </w:pPr>
    </w:p>
    <w:p w14:paraId="62943DDC">
      <w:pPr>
        <w:spacing w:after="0" w:line="360" w:lineRule="auto"/>
        <w:jc w:val="center"/>
        <w:rPr>
          <w:rFonts w:ascii="宋体" w:hAnsi="宋体"/>
          <w:b/>
          <w:color w:val="auto"/>
          <w:sz w:val="44"/>
          <w:szCs w:val="44"/>
          <w:highlight w:val="none"/>
        </w:rPr>
      </w:pPr>
    </w:p>
    <w:p w14:paraId="1EC01B5D">
      <w:pPr>
        <w:spacing w:after="0" w:line="360" w:lineRule="auto"/>
        <w:jc w:val="center"/>
        <w:rPr>
          <w:rFonts w:ascii="宋体" w:hAnsi="宋体"/>
          <w:b/>
          <w:color w:val="auto"/>
          <w:sz w:val="44"/>
          <w:szCs w:val="44"/>
          <w:highlight w:val="none"/>
        </w:rPr>
      </w:pPr>
    </w:p>
    <w:p w14:paraId="1048ED1D">
      <w:pPr>
        <w:spacing w:after="0" w:line="360" w:lineRule="auto"/>
        <w:jc w:val="center"/>
        <w:rPr>
          <w:rFonts w:ascii="宋体" w:hAnsi="宋体"/>
          <w:b/>
          <w:color w:val="auto"/>
          <w:sz w:val="44"/>
          <w:szCs w:val="44"/>
          <w:highlight w:val="none"/>
        </w:rPr>
      </w:pPr>
      <w:bookmarkStart w:id="942" w:name="_Toc23582_WPSOffice_Level1"/>
      <w:r>
        <w:rPr>
          <w:rFonts w:ascii="宋体" w:hAnsi="宋体"/>
          <w:b/>
          <w:color w:val="auto"/>
          <w:sz w:val="44"/>
          <w:szCs w:val="44"/>
          <w:highlight w:val="none"/>
        </w:rPr>
        <w:t>投 标 文 件</w:t>
      </w:r>
      <w:bookmarkEnd w:id="942"/>
    </w:p>
    <w:p w14:paraId="22C703F1">
      <w:pPr>
        <w:spacing w:after="0" w:line="360" w:lineRule="auto"/>
        <w:jc w:val="center"/>
        <w:rPr>
          <w:rFonts w:ascii="宋体" w:hAnsi="宋体"/>
          <w:color w:val="auto"/>
          <w:sz w:val="28"/>
          <w:szCs w:val="28"/>
          <w:highlight w:val="none"/>
        </w:rPr>
      </w:pPr>
      <w:r>
        <w:rPr>
          <w:rFonts w:ascii="宋体" w:hAnsi="宋体"/>
          <w:color w:val="auto"/>
          <w:sz w:val="28"/>
          <w:szCs w:val="28"/>
          <w:highlight w:val="none"/>
        </w:rPr>
        <w:t xml:space="preserve"> </w:t>
      </w:r>
    </w:p>
    <w:p w14:paraId="351D7562">
      <w:pPr>
        <w:spacing w:after="0" w:line="360" w:lineRule="auto"/>
        <w:jc w:val="center"/>
        <w:rPr>
          <w:rFonts w:ascii="宋体" w:hAnsi="宋体"/>
          <w:color w:val="auto"/>
          <w:sz w:val="27"/>
          <w:szCs w:val="27"/>
          <w:highlight w:val="none"/>
        </w:rPr>
      </w:pPr>
    </w:p>
    <w:p w14:paraId="2FB8A816">
      <w:pPr>
        <w:spacing w:after="0" w:line="360" w:lineRule="auto"/>
        <w:jc w:val="center"/>
        <w:rPr>
          <w:rFonts w:ascii="宋体" w:hAnsi="宋体"/>
          <w:color w:val="auto"/>
          <w:sz w:val="27"/>
          <w:szCs w:val="27"/>
          <w:highlight w:val="none"/>
        </w:rPr>
      </w:pPr>
    </w:p>
    <w:p w14:paraId="35DAEF7A">
      <w:pPr>
        <w:spacing w:after="0" w:line="360" w:lineRule="auto"/>
        <w:jc w:val="center"/>
        <w:rPr>
          <w:rFonts w:ascii="宋体" w:hAnsi="宋体"/>
          <w:color w:val="auto"/>
          <w:sz w:val="27"/>
          <w:szCs w:val="27"/>
          <w:highlight w:val="none"/>
        </w:rPr>
      </w:pPr>
    </w:p>
    <w:p w14:paraId="578459D9">
      <w:pPr>
        <w:spacing w:after="0" w:line="360" w:lineRule="auto"/>
        <w:jc w:val="center"/>
        <w:rPr>
          <w:rFonts w:ascii="宋体" w:hAnsi="宋体"/>
          <w:color w:val="auto"/>
          <w:sz w:val="27"/>
          <w:szCs w:val="27"/>
          <w:highlight w:val="none"/>
        </w:rPr>
      </w:pPr>
    </w:p>
    <w:p w14:paraId="2E322047">
      <w:pPr>
        <w:spacing w:after="0" w:line="360" w:lineRule="auto"/>
        <w:jc w:val="center"/>
        <w:rPr>
          <w:rFonts w:ascii="宋体" w:hAnsi="宋体"/>
          <w:color w:val="auto"/>
          <w:sz w:val="27"/>
          <w:szCs w:val="27"/>
          <w:highlight w:val="none"/>
        </w:rPr>
      </w:pPr>
    </w:p>
    <w:p w14:paraId="275C7B22">
      <w:pPr>
        <w:spacing w:after="0" w:line="360" w:lineRule="auto"/>
        <w:jc w:val="left"/>
        <w:rPr>
          <w:rFonts w:ascii="宋体" w:hAnsi="宋体"/>
          <w:color w:val="auto"/>
          <w:sz w:val="28"/>
          <w:szCs w:val="28"/>
          <w:highlight w:val="none"/>
        </w:rPr>
      </w:pPr>
      <w:bookmarkStart w:id="943" w:name="_Toc18990_WPSOffice_Level1"/>
      <w:r>
        <w:rPr>
          <w:rFonts w:ascii="宋体" w:hAnsi="宋体"/>
          <w:color w:val="auto"/>
          <w:sz w:val="28"/>
          <w:szCs w:val="28"/>
          <w:highlight w:val="none"/>
        </w:rPr>
        <w:t>投</w:t>
      </w:r>
      <w:r>
        <w:rPr>
          <w:rFonts w:hint="eastAsia" w:ascii="宋体" w:hAnsi="宋体"/>
          <w:color w:val="auto"/>
          <w:sz w:val="28"/>
          <w:szCs w:val="28"/>
          <w:highlight w:val="none"/>
        </w:rPr>
        <w:t xml:space="preserve"> </w:t>
      </w:r>
      <w:r>
        <w:rPr>
          <w:rFonts w:ascii="宋体" w:hAnsi="宋体"/>
          <w:color w:val="auto"/>
          <w:sz w:val="28"/>
          <w:szCs w:val="28"/>
          <w:highlight w:val="none"/>
        </w:rPr>
        <w:t>标</w:t>
      </w:r>
      <w:r>
        <w:rPr>
          <w:rFonts w:hint="eastAsia" w:ascii="宋体" w:hAnsi="宋体"/>
          <w:color w:val="auto"/>
          <w:sz w:val="28"/>
          <w:szCs w:val="28"/>
          <w:highlight w:val="none"/>
        </w:rPr>
        <w:t xml:space="preserve"> </w:t>
      </w:r>
      <w:r>
        <w:rPr>
          <w:rFonts w:ascii="宋体" w:hAnsi="宋体"/>
          <w:color w:val="auto"/>
          <w:sz w:val="28"/>
          <w:szCs w:val="28"/>
          <w:highlight w:val="none"/>
        </w:rPr>
        <w:t>人：</w:t>
      </w:r>
      <w:r>
        <w:rPr>
          <w:rFonts w:hint="eastAsia" w:ascii="宋体" w:hAnsi="宋体"/>
          <w:color w:val="auto"/>
          <w:sz w:val="28"/>
          <w:szCs w:val="28"/>
          <w:highlight w:val="none"/>
          <w:u w:val="single"/>
        </w:rPr>
        <w:t xml:space="preserve">                          </w:t>
      </w:r>
      <w:r>
        <w:rPr>
          <w:rFonts w:ascii="宋体" w:hAnsi="宋体"/>
          <w:color w:val="auto"/>
          <w:sz w:val="28"/>
          <w:szCs w:val="28"/>
          <w:highlight w:val="none"/>
        </w:rPr>
        <w:t>（</w:t>
      </w:r>
      <w:r>
        <w:rPr>
          <w:rFonts w:hint="eastAsia" w:ascii="宋体" w:hAnsi="宋体"/>
          <w:color w:val="auto"/>
          <w:sz w:val="28"/>
          <w:szCs w:val="28"/>
          <w:highlight w:val="none"/>
        </w:rPr>
        <w:t>电子签章</w:t>
      </w:r>
      <w:r>
        <w:rPr>
          <w:rFonts w:ascii="宋体" w:hAnsi="宋体"/>
          <w:color w:val="auto"/>
          <w:sz w:val="28"/>
          <w:szCs w:val="28"/>
          <w:highlight w:val="none"/>
        </w:rPr>
        <w:t>）</w:t>
      </w:r>
      <w:bookmarkEnd w:id="943"/>
    </w:p>
    <w:p w14:paraId="67281455">
      <w:pPr>
        <w:spacing w:after="0" w:line="360" w:lineRule="auto"/>
        <w:jc w:val="left"/>
        <w:rPr>
          <w:rFonts w:ascii="宋体" w:hAnsi="宋体"/>
          <w:color w:val="auto"/>
          <w:sz w:val="28"/>
          <w:szCs w:val="28"/>
          <w:highlight w:val="none"/>
        </w:rPr>
      </w:pPr>
      <w:bookmarkStart w:id="944" w:name="_Toc24203_WPSOffice_Level1"/>
      <w:r>
        <w:rPr>
          <w:rFonts w:hint="eastAsia" w:ascii="宋体" w:hAnsi="宋体"/>
          <w:color w:val="auto"/>
          <w:sz w:val="28"/>
          <w:szCs w:val="28"/>
          <w:highlight w:val="none"/>
        </w:rPr>
        <w:t>法定代表人或其委托代理人：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（电子签名）</w:t>
      </w:r>
      <w:bookmarkEnd w:id="944"/>
    </w:p>
    <w:p w14:paraId="34B3E52E">
      <w:pPr>
        <w:spacing w:after="0" w:line="360" w:lineRule="auto"/>
        <w:jc w:val="left"/>
        <w:rPr>
          <w:rFonts w:ascii="宋体" w:hAnsi="宋体"/>
          <w:color w:val="auto"/>
          <w:sz w:val="28"/>
          <w:szCs w:val="28"/>
          <w:highlight w:val="none"/>
        </w:rPr>
      </w:pPr>
      <w:bookmarkStart w:id="945" w:name="_Toc2428_WPSOffice_Level1"/>
      <w:r>
        <w:rPr>
          <w:rFonts w:hint="eastAsia" w:ascii="宋体" w:hAnsi="宋体"/>
          <w:color w:val="auto"/>
          <w:sz w:val="28"/>
          <w:szCs w:val="28"/>
          <w:highlight w:val="none"/>
        </w:rPr>
        <w:t>日    期：</w:t>
      </w:r>
      <w:r>
        <w:rPr>
          <w:rFonts w:hint="eastAsia" w:ascii="宋体" w:hAnsi="宋体"/>
          <w:color w:val="auto"/>
          <w:sz w:val="28"/>
          <w:szCs w:val="28"/>
          <w:highlight w:val="none"/>
          <w:u w:val="single"/>
        </w:rPr>
        <w:t xml:space="preserve">     </w:t>
      </w:r>
      <w:r>
        <w:rPr>
          <w:rFonts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ascii="宋体" w:hAnsi="宋体"/>
          <w:color w:val="auto"/>
          <w:sz w:val="28"/>
          <w:szCs w:val="28"/>
          <w:highlight w:val="none"/>
        </w:rPr>
        <w:t>月</w:t>
      </w:r>
      <w:r>
        <w:rPr>
          <w:rFonts w:hint="eastAsia" w:ascii="宋体" w:hAnsi="宋体"/>
          <w:color w:val="auto"/>
          <w:sz w:val="28"/>
          <w:szCs w:val="28"/>
          <w:highlight w:val="none"/>
          <w:u w:val="single"/>
        </w:rPr>
        <w:t xml:space="preserve">     </w:t>
      </w:r>
      <w:r>
        <w:rPr>
          <w:rFonts w:ascii="宋体" w:hAnsi="宋体"/>
          <w:color w:val="auto"/>
          <w:sz w:val="28"/>
          <w:szCs w:val="28"/>
          <w:highlight w:val="none"/>
        </w:rPr>
        <w:t>日</w:t>
      </w:r>
      <w:bookmarkEnd w:id="945"/>
    </w:p>
    <w:p w14:paraId="269EEF85">
      <w:pPr>
        <w:spacing w:after="0" w:line="360" w:lineRule="auto"/>
        <w:rPr>
          <w:rFonts w:ascii="宋体" w:hAnsi="宋体"/>
          <w:color w:val="auto"/>
          <w:sz w:val="20"/>
          <w:szCs w:val="20"/>
          <w:highlight w:val="none"/>
        </w:rPr>
      </w:pPr>
    </w:p>
    <w:p w14:paraId="77891A8F">
      <w:pPr>
        <w:widowControl/>
        <w:spacing w:after="0" w:line="360" w:lineRule="auto"/>
        <w:jc w:val="left"/>
        <w:rPr>
          <w:rFonts w:ascii="宋体" w:hAnsi="宋体"/>
          <w:color w:val="auto"/>
          <w:sz w:val="23"/>
          <w:szCs w:val="21"/>
          <w:highlight w:val="none"/>
        </w:rPr>
      </w:pPr>
    </w:p>
    <w:p w14:paraId="70BD581C">
      <w:pPr>
        <w:widowControl/>
        <w:spacing w:after="0" w:line="360" w:lineRule="auto"/>
        <w:jc w:val="left"/>
        <w:rPr>
          <w:rFonts w:ascii="宋体" w:hAnsi="宋体"/>
          <w:color w:val="auto"/>
          <w:sz w:val="23"/>
          <w:szCs w:val="21"/>
          <w:highlight w:val="none"/>
        </w:rPr>
      </w:pPr>
    </w:p>
    <w:p w14:paraId="002155B7">
      <w:pPr>
        <w:widowControl/>
        <w:spacing w:after="0" w:line="240" w:lineRule="auto"/>
        <w:jc w:val="left"/>
        <w:rPr>
          <w:rFonts w:ascii="宋体" w:hAnsi="宋体"/>
          <w:color w:val="auto"/>
          <w:sz w:val="23"/>
          <w:szCs w:val="21"/>
          <w:highlight w:val="none"/>
        </w:rPr>
      </w:pPr>
      <w:r>
        <w:rPr>
          <w:rFonts w:ascii="宋体" w:hAnsi="宋体"/>
          <w:color w:val="auto"/>
          <w:sz w:val="23"/>
          <w:szCs w:val="21"/>
          <w:highlight w:val="none"/>
        </w:rPr>
        <w:br w:type="page"/>
      </w:r>
    </w:p>
    <w:p w14:paraId="0854B0C4">
      <w:pPr>
        <w:pStyle w:val="5"/>
        <w:spacing w:before="0" w:after="0" w:line="360" w:lineRule="auto"/>
        <w:jc w:val="center"/>
        <w:rPr>
          <w:rFonts w:ascii="宋体" w:hAnsi="宋体" w:eastAsia="宋体"/>
          <w:color w:val="auto"/>
          <w:sz w:val="24"/>
          <w:highlight w:val="none"/>
        </w:rPr>
      </w:pPr>
      <w:bookmarkStart w:id="946" w:name="_Toc29795"/>
      <w:bookmarkStart w:id="947" w:name="_Toc16168"/>
      <w:bookmarkStart w:id="948" w:name="_Toc95257509"/>
      <w:bookmarkStart w:id="949" w:name="_Toc1407_WPSOffice_Level1"/>
      <w:r>
        <w:rPr>
          <w:rFonts w:hint="eastAsia" w:ascii="宋体" w:hAnsi="宋体" w:eastAsia="宋体"/>
          <w:color w:val="auto"/>
          <w:sz w:val="24"/>
          <w:highlight w:val="none"/>
        </w:rPr>
        <w:t>投标（开标）一览表</w:t>
      </w:r>
      <w:bookmarkEnd w:id="946"/>
      <w:bookmarkEnd w:id="947"/>
      <w:bookmarkEnd w:id="948"/>
      <w:bookmarkEnd w:id="949"/>
    </w:p>
    <w:p w14:paraId="09C4052A">
      <w:pPr>
        <w:spacing w:after="0" w:line="360" w:lineRule="auto"/>
        <w:rPr>
          <w:rFonts w:ascii="宋体" w:hAnsi="宋体"/>
          <w:color w:val="auto"/>
          <w:highlight w:val="none"/>
        </w:rPr>
      </w:pPr>
    </w:p>
    <w:p w14:paraId="503ED22B">
      <w:pPr>
        <w:spacing w:line="420" w:lineRule="exact"/>
        <w:ind w:left="1" w:leftChars="-67" w:hanging="142" w:hangingChars="59"/>
        <w:rPr>
          <w:rFonts w:ascii="宋体" w:hAnsi="宋体" w:cs="宋体"/>
          <w:b/>
          <w:bCs/>
          <w:color w:val="auto"/>
          <w:sz w:val="24"/>
          <w:highlight w:val="none"/>
        </w:rPr>
      </w:pPr>
      <w:r>
        <w:rPr>
          <w:rFonts w:hint="eastAsia" w:ascii="宋体" w:hAnsi="宋体" w:cs="宋体"/>
          <w:b/>
          <w:bCs/>
          <w:color w:val="auto"/>
          <w:sz w:val="24"/>
          <w:highlight w:val="none"/>
        </w:rPr>
        <w:t>标段名称：</w:t>
      </w:r>
    </w:p>
    <w:tbl>
      <w:tblPr>
        <w:tblStyle w:val="58"/>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2651"/>
        <w:gridCol w:w="2693"/>
        <w:gridCol w:w="2828"/>
      </w:tblGrid>
      <w:tr w14:paraId="0E15C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76" w:type="dxa"/>
            <w:vMerge w:val="restart"/>
            <w:noWrap w:val="0"/>
            <w:vAlign w:val="center"/>
          </w:tcPr>
          <w:p w14:paraId="649D674A">
            <w:pPr>
              <w:jc w:val="center"/>
              <w:rPr>
                <w:rFonts w:ascii="宋体"/>
                <w:color w:val="auto"/>
                <w:sz w:val="24"/>
                <w:highlight w:val="none"/>
              </w:rPr>
            </w:pPr>
            <w:r>
              <w:rPr>
                <w:rFonts w:hint="eastAsia" w:ascii="宋体" w:hAnsi="宋体"/>
                <w:color w:val="auto"/>
                <w:sz w:val="24"/>
                <w:highlight w:val="none"/>
              </w:rPr>
              <w:t>序号</w:t>
            </w:r>
          </w:p>
        </w:tc>
        <w:tc>
          <w:tcPr>
            <w:tcW w:w="2651" w:type="dxa"/>
            <w:vMerge w:val="restart"/>
            <w:noWrap w:val="0"/>
            <w:vAlign w:val="center"/>
          </w:tcPr>
          <w:p w14:paraId="0AE0F6BC">
            <w:pPr>
              <w:jc w:val="center"/>
              <w:rPr>
                <w:rFonts w:ascii="宋体"/>
                <w:color w:val="auto"/>
                <w:sz w:val="24"/>
                <w:highlight w:val="none"/>
              </w:rPr>
            </w:pPr>
            <w:r>
              <w:rPr>
                <w:rFonts w:hint="eastAsia" w:ascii="宋体" w:hAnsi="宋体"/>
                <w:color w:val="auto"/>
                <w:sz w:val="24"/>
                <w:highlight w:val="none"/>
              </w:rPr>
              <w:t>项目</w:t>
            </w:r>
          </w:p>
        </w:tc>
        <w:tc>
          <w:tcPr>
            <w:tcW w:w="5521" w:type="dxa"/>
            <w:gridSpan w:val="2"/>
            <w:noWrap w:val="0"/>
            <w:vAlign w:val="bottom"/>
          </w:tcPr>
          <w:p w14:paraId="66F9BF2A">
            <w:pPr>
              <w:ind w:firstLine="240" w:firstLineChars="100"/>
              <w:jc w:val="center"/>
              <w:rPr>
                <w:rFonts w:ascii="宋体"/>
                <w:color w:val="auto"/>
                <w:sz w:val="24"/>
                <w:highlight w:val="none"/>
              </w:rPr>
            </w:pPr>
            <w:r>
              <w:rPr>
                <w:rFonts w:hint="eastAsia" w:ascii="宋体" w:hAnsi="宋体"/>
                <w:color w:val="auto"/>
                <w:sz w:val="24"/>
                <w:highlight w:val="none"/>
              </w:rPr>
              <w:t>金额</w:t>
            </w:r>
          </w:p>
        </w:tc>
      </w:tr>
      <w:tr w14:paraId="48A41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trPr>
        <w:tc>
          <w:tcPr>
            <w:tcW w:w="576" w:type="dxa"/>
            <w:vMerge w:val="continue"/>
            <w:noWrap w:val="0"/>
            <w:vAlign w:val="center"/>
          </w:tcPr>
          <w:p w14:paraId="0D0A727C">
            <w:pPr>
              <w:jc w:val="center"/>
              <w:rPr>
                <w:rFonts w:ascii="宋体"/>
                <w:bCs/>
                <w:color w:val="auto"/>
                <w:sz w:val="28"/>
                <w:szCs w:val="36"/>
                <w:highlight w:val="none"/>
              </w:rPr>
            </w:pPr>
          </w:p>
        </w:tc>
        <w:tc>
          <w:tcPr>
            <w:tcW w:w="2651" w:type="dxa"/>
            <w:vMerge w:val="continue"/>
            <w:noWrap w:val="0"/>
            <w:vAlign w:val="center"/>
          </w:tcPr>
          <w:p w14:paraId="628B473C">
            <w:pPr>
              <w:jc w:val="center"/>
              <w:rPr>
                <w:rFonts w:ascii="宋体"/>
                <w:b/>
                <w:color w:val="auto"/>
                <w:sz w:val="24"/>
                <w:szCs w:val="36"/>
                <w:highlight w:val="none"/>
              </w:rPr>
            </w:pPr>
          </w:p>
        </w:tc>
        <w:tc>
          <w:tcPr>
            <w:tcW w:w="2693" w:type="dxa"/>
            <w:noWrap w:val="0"/>
            <w:vAlign w:val="bottom"/>
          </w:tcPr>
          <w:p w14:paraId="7BB8370F">
            <w:pPr>
              <w:jc w:val="center"/>
              <w:rPr>
                <w:rFonts w:ascii="宋体"/>
                <w:bCs/>
                <w:color w:val="auto"/>
                <w:sz w:val="24"/>
                <w:szCs w:val="36"/>
                <w:highlight w:val="none"/>
              </w:rPr>
            </w:pPr>
            <w:r>
              <w:rPr>
                <w:rFonts w:hint="eastAsia" w:ascii="宋体" w:hAnsi="宋体"/>
                <w:bCs/>
                <w:color w:val="auto"/>
                <w:sz w:val="24"/>
                <w:szCs w:val="36"/>
                <w:highlight w:val="none"/>
              </w:rPr>
              <w:t>小写</w:t>
            </w:r>
          </w:p>
        </w:tc>
        <w:tc>
          <w:tcPr>
            <w:tcW w:w="2828" w:type="dxa"/>
            <w:noWrap w:val="0"/>
            <w:vAlign w:val="bottom"/>
          </w:tcPr>
          <w:p w14:paraId="21A4E620">
            <w:pPr>
              <w:jc w:val="center"/>
              <w:rPr>
                <w:rFonts w:ascii="宋体"/>
                <w:bCs/>
                <w:color w:val="auto"/>
                <w:sz w:val="24"/>
                <w:szCs w:val="36"/>
                <w:highlight w:val="none"/>
              </w:rPr>
            </w:pPr>
            <w:r>
              <w:rPr>
                <w:rFonts w:hint="eastAsia" w:ascii="宋体" w:hAnsi="宋体"/>
                <w:bCs/>
                <w:color w:val="auto"/>
                <w:sz w:val="24"/>
                <w:highlight w:val="none"/>
              </w:rPr>
              <w:t>大写</w:t>
            </w:r>
          </w:p>
        </w:tc>
      </w:tr>
      <w:tr w14:paraId="1309A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trPr>
        <w:tc>
          <w:tcPr>
            <w:tcW w:w="576" w:type="dxa"/>
            <w:noWrap w:val="0"/>
            <w:vAlign w:val="center"/>
          </w:tcPr>
          <w:p w14:paraId="4E582D8E">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2651" w:type="dxa"/>
            <w:noWrap w:val="0"/>
            <w:vAlign w:val="center"/>
          </w:tcPr>
          <w:p w14:paraId="567EC644">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投标报价（元)</w:t>
            </w:r>
          </w:p>
        </w:tc>
        <w:tc>
          <w:tcPr>
            <w:tcW w:w="2693" w:type="dxa"/>
            <w:noWrap w:val="0"/>
            <w:vAlign w:val="center"/>
          </w:tcPr>
          <w:p w14:paraId="41FD0A62">
            <w:pPr>
              <w:spacing w:line="360" w:lineRule="auto"/>
              <w:jc w:val="center"/>
              <w:rPr>
                <w:rFonts w:ascii="宋体"/>
                <w:color w:val="auto"/>
                <w:sz w:val="24"/>
                <w:highlight w:val="none"/>
              </w:rPr>
            </w:pPr>
          </w:p>
        </w:tc>
        <w:tc>
          <w:tcPr>
            <w:tcW w:w="2828" w:type="dxa"/>
            <w:noWrap w:val="0"/>
            <w:vAlign w:val="center"/>
          </w:tcPr>
          <w:p w14:paraId="4EEA995C">
            <w:pPr>
              <w:spacing w:line="360" w:lineRule="auto"/>
              <w:jc w:val="center"/>
              <w:rPr>
                <w:rFonts w:ascii="宋体"/>
                <w:color w:val="auto"/>
                <w:sz w:val="24"/>
                <w:highlight w:val="none"/>
              </w:rPr>
            </w:pPr>
          </w:p>
        </w:tc>
      </w:tr>
      <w:tr w14:paraId="28798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76" w:type="dxa"/>
            <w:noWrap w:val="0"/>
            <w:vAlign w:val="center"/>
          </w:tcPr>
          <w:p w14:paraId="6A39BDB4">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2651" w:type="dxa"/>
            <w:noWrap w:val="0"/>
            <w:vAlign w:val="center"/>
          </w:tcPr>
          <w:p w14:paraId="1F2E11B0">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工期(日历天)</w:t>
            </w:r>
          </w:p>
        </w:tc>
        <w:tc>
          <w:tcPr>
            <w:tcW w:w="5521" w:type="dxa"/>
            <w:gridSpan w:val="2"/>
            <w:noWrap w:val="0"/>
            <w:vAlign w:val="center"/>
          </w:tcPr>
          <w:p w14:paraId="003977CD">
            <w:pPr>
              <w:spacing w:line="360" w:lineRule="auto"/>
              <w:jc w:val="center"/>
              <w:rPr>
                <w:rFonts w:ascii="宋体"/>
                <w:color w:val="auto"/>
                <w:sz w:val="24"/>
                <w:highlight w:val="none"/>
              </w:rPr>
            </w:pPr>
          </w:p>
        </w:tc>
      </w:tr>
      <w:tr w14:paraId="7B29D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76" w:type="dxa"/>
            <w:noWrap w:val="0"/>
            <w:vAlign w:val="center"/>
          </w:tcPr>
          <w:p w14:paraId="0B81CFF0">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2651" w:type="dxa"/>
            <w:noWrap w:val="0"/>
            <w:vAlign w:val="center"/>
          </w:tcPr>
          <w:p w14:paraId="05FA6709">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cs="宋体"/>
                <w:color w:val="auto"/>
                <w:szCs w:val="21"/>
                <w:highlight w:val="none"/>
                <w:lang w:eastAsia="zh-CN"/>
              </w:rPr>
              <w:t>质量目标</w:t>
            </w:r>
          </w:p>
        </w:tc>
        <w:tc>
          <w:tcPr>
            <w:tcW w:w="5521" w:type="dxa"/>
            <w:gridSpan w:val="2"/>
            <w:noWrap w:val="0"/>
            <w:vAlign w:val="center"/>
          </w:tcPr>
          <w:p w14:paraId="1C325D14">
            <w:pPr>
              <w:spacing w:line="360" w:lineRule="auto"/>
              <w:jc w:val="center"/>
              <w:rPr>
                <w:rFonts w:ascii="宋体"/>
                <w:color w:val="auto"/>
                <w:sz w:val="24"/>
                <w:highlight w:val="none"/>
              </w:rPr>
            </w:pPr>
          </w:p>
        </w:tc>
      </w:tr>
      <w:tr w14:paraId="6FCD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trPr>
        <w:tc>
          <w:tcPr>
            <w:tcW w:w="576" w:type="dxa"/>
            <w:noWrap w:val="0"/>
            <w:vAlign w:val="center"/>
          </w:tcPr>
          <w:p w14:paraId="7F9EA00F">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w:t>
            </w:r>
          </w:p>
        </w:tc>
        <w:tc>
          <w:tcPr>
            <w:tcW w:w="2651" w:type="dxa"/>
            <w:noWrap w:val="0"/>
            <w:vAlign w:val="center"/>
          </w:tcPr>
          <w:p w14:paraId="337CF882">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项目经理姓名及证书编号</w:t>
            </w:r>
          </w:p>
        </w:tc>
        <w:tc>
          <w:tcPr>
            <w:tcW w:w="5521" w:type="dxa"/>
            <w:gridSpan w:val="2"/>
            <w:noWrap w:val="0"/>
            <w:vAlign w:val="center"/>
          </w:tcPr>
          <w:p w14:paraId="0CD7E942">
            <w:pPr>
              <w:spacing w:line="360" w:lineRule="auto"/>
              <w:jc w:val="center"/>
              <w:rPr>
                <w:rFonts w:ascii="宋体"/>
                <w:color w:val="auto"/>
                <w:sz w:val="24"/>
                <w:highlight w:val="none"/>
              </w:rPr>
            </w:pPr>
          </w:p>
        </w:tc>
      </w:tr>
      <w:tr w14:paraId="38B2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7" w:hRule="atLeast"/>
        </w:trPr>
        <w:tc>
          <w:tcPr>
            <w:tcW w:w="576" w:type="dxa"/>
            <w:noWrap w:val="0"/>
            <w:vAlign w:val="center"/>
          </w:tcPr>
          <w:p w14:paraId="1C293B96">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p>
        </w:tc>
        <w:tc>
          <w:tcPr>
            <w:tcW w:w="2651" w:type="dxa"/>
            <w:noWrap w:val="0"/>
            <w:vAlign w:val="center"/>
          </w:tcPr>
          <w:p w14:paraId="2EABBC96">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备注</w:t>
            </w:r>
          </w:p>
        </w:tc>
        <w:tc>
          <w:tcPr>
            <w:tcW w:w="5521" w:type="dxa"/>
            <w:gridSpan w:val="2"/>
            <w:noWrap w:val="0"/>
            <w:vAlign w:val="center"/>
          </w:tcPr>
          <w:p w14:paraId="3FB8BA72">
            <w:pPr>
              <w:spacing w:line="360" w:lineRule="auto"/>
              <w:jc w:val="center"/>
              <w:rPr>
                <w:rFonts w:ascii="宋体"/>
                <w:color w:val="auto"/>
                <w:sz w:val="24"/>
                <w:highlight w:val="none"/>
              </w:rPr>
            </w:pPr>
          </w:p>
        </w:tc>
      </w:tr>
    </w:tbl>
    <w:p w14:paraId="04E674DD">
      <w:pPr>
        <w:tabs>
          <w:tab w:val="left" w:pos="4605"/>
        </w:tabs>
        <w:adjustRightInd w:val="0"/>
        <w:snapToGrid w:val="0"/>
        <w:spacing w:after="0" w:line="360" w:lineRule="auto"/>
        <w:jc w:val="left"/>
        <w:rPr>
          <w:rFonts w:hint="eastAsia" w:ascii="宋体" w:hAnsi="宋体"/>
          <w:color w:val="auto"/>
          <w:highlight w:val="none"/>
        </w:rPr>
      </w:pPr>
    </w:p>
    <w:p w14:paraId="427B2FDE">
      <w:pPr>
        <w:tabs>
          <w:tab w:val="left" w:pos="4605"/>
        </w:tabs>
        <w:adjustRightInd w:val="0"/>
        <w:snapToGrid w:val="0"/>
        <w:spacing w:after="0" w:line="360" w:lineRule="auto"/>
        <w:jc w:val="left"/>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6FD1A4B7">
      <w:pPr>
        <w:tabs>
          <w:tab w:val="left" w:pos="4605"/>
        </w:tabs>
        <w:adjustRightInd w:val="0"/>
        <w:snapToGrid w:val="0"/>
        <w:spacing w:after="0" w:line="360" w:lineRule="auto"/>
        <w:jc w:val="left"/>
        <w:rPr>
          <w:rFonts w:ascii="宋体" w:hAnsi="宋体"/>
          <w:color w:val="auto"/>
          <w:highlight w:val="none"/>
          <w:u w:val="singl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p>
    <w:p w14:paraId="327F7856">
      <w:pPr>
        <w:spacing w:after="0" w:line="360" w:lineRule="auto"/>
        <w:jc w:val="left"/>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453EC36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、此表中的内容必须与电子文件中的内容一致，如出现不一致时，后果由投标人自己负责。</w:t>
      </w:r>
    </w:p>
    <w:p w14:paraId="2334A28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、此表附在投标文件封面后的第一页。</w:t>
      </w:r>
    </w:p>
    <w:p w14:paraId="22171397">
      <w:pPr>
        <w:widowControl/>
        <w:spacing w:after="0" w:line="360" w:lineRule="auto"/>
        <w:jc w:val="left"/>
        <w:rPr>
          <w:rFonts w:ascii="宋体" w:hAnsi="宋体"/>
          <w:b/>
          <w:bCs/>
          <w:color w:val="auto"/>
          <w:sz w:val="24"/>
          <w:szCs w:val="20"/>
          <w:highlight w:val="none"/>
        </w:rPr>
      </w:pPr>
      <w:r>
        <w:rPr>
          <w:rFonts w:hint="eastAsia" w:ascii="宋体" w:hAnsi="宋体"/>
          <w:color w:val="auto"/>
          <w:sz w:val="21"/>
          <w:szCs w:val="21"/>
          <w:highlight w:val="none"/>
        </w:rPr>
        <w:t>3、价格单位为“元”，小数点后保留两位，第三位四舍五入。</w:t>
      </w:r>
      <w:r>
        <w:rPr>
          <w:rFonts w:ascii="宋体" w:hAnsi="宋体"/>
          <w:b/>
          <w:bCs/>
          <w:color w:val="auto"/>
          <w:sz w:val="24"/>
          <w:highlight w:val="none"/>
        </w:rPr>
        <w:br w:type="page"/>
      </w:r>
    </w:p>
    <w:p w14:paraId="6C44F48F">
      <w:pPr>
        <w:pStyle w:val="317"/>
        <w:spacing w:line="360" w:lineRule="auto"/>
        <w:ind w:firstLine="562"/>
        <w:jc w:val="center"/>
        <w:rPr>
          <w:rFonts w:ascii="宋体" w:hAnsi="宋体"/>
          <w:b w:val="0"/>
          <w:color w:val="auto"/>
          <w:sz w:val="28"/>
          <w:highlight w:val="none"/>
        </w:rPr>
      </w:pPr>
      <w:bookmarkStart w:id="950" w:name="_Toc229305419"/>
      <w:bookmarkStart w:id="951" w:name="_Toc15395_WPSOffice_Level2"/>
      <w:r>
        <w:rPr>
          <w:rFonts w:hint="eastAsia" w:ascii="宋体" w:hAnsi="宋体"/>
          <w:color w:val="auto"/>
          <w:sz w:val="28"/>
          <w:highlight w:val="none"/>
        </w:rPr>
        <w:t>目  录</w:t>
      </w:r>
      <w:bookmarkEnd w:id="950"/>
      <w:bookmarkEnd w:id="951"/>
    </w:p>
    <w:p w14:paraId="508AC1DB">
      <w:pPr>
        <w:spacing w:after="0" w:line="360" w:lineRule="auto"/>
        <w:ind w:firstLine="420" w:firstLineChars="200"/>
        <w:rPr>
          <w:rFonts w:ascii="宋体" w:hAnsi="宋体"/>
          <w:color w:val="auto"/>
          <w:szCs w:val="21"/>
          <w:highlight w:val="none"/>
        </w:rPr>
      </w:pPr>
      <w:bookmarkStart w:id="952" w:name="_Toc221951916"/>
      <w:r>
        <w:rPr>
          <w:rFonts w:hint="eastAsia" w:ascii="宋体" w:hAnsi="宋体"/>
          <w:color w:val="auto"/>
          <w:szCs w:val="21"/>
          <w:highlight w:val="none"/>
        </w:rPr>
        <w:t>一、投标函及投标函附录</w:t>
      </w:r>
      <w:bookmarkEnd w:id="952"/>
    </w:p>
    <w:p w14:paraId="55B72515">
      <w:pPr>
        <w:spacing w:after="0" w:line="360" w:lineRule="auto"/>
        <w:ind w:firstLine="420" w:firstLineChars="200"/>
        <w:rPr>
          <w:rFonts w:ascii="宋体" w:hAnsi="宋体"/>
          <w:color w:val="auto"/>
          <w:szCs w:val="21"/>
          <w:highlight w:val="none"/>
        </w:rPr>
      </w:pPr>
      <w:bookmarkStart w:id="953" w:name="_Toc221951917"/>
      <w:r>
        <w:rPr>
          <w:rFonts w:hint="eastAsia" w:ascii="宋体" w:hAnsi="宋体"/>
          <w:color w:val="auto"/>
          <w:szCs w:val="21"/>
          <w:highlight w:val="none"/>
        </w:rPr>
        <w:t>二、法定代表人身份证明</w:t>
      </w:r>
    </w:p>
    <w:p w14:paraId="793E495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三、授权委托书</w:t>
      </w:r>
      <w:bookmarkEnd w:id="953"/>
    </w:p>
    <w:p w14:paraId="435AE4D9">
      <w:pPr>
        <w:spacing w:after="0" w:line="360" w:lineRule="auto"/>
        <w:ind w:firstLine="420" w:firstLineChars="200"/>
        <w:rPr>
          <w:rFonts w:ascii="宋体" w:hAnsi="宋体"/>
          <w:color w:val="auto"/>
          <w:szCs w:val="21"/>
          <w:highlight w:val="none"/>
        </w:rPr>
      </w:pPr>
      <w:bookmarkStart w:id="954" w:name="_Toc221951918"/>
      <w:r>
        <w:rPr>
          <w:rFonts w:hint="eastAsia" w:ascii="宋体" w:hAnsi="宋体"/>
          <w:color w:val="auto"/>
          <w:szCs w:val="21"/>
          <w:highlight w:val="none"/>
        </w:rPr>
        <w:t>四、</w:t>
      </w:r>
      <w:bookmarkEnd w:id="954"/>
      <w:bookmarkStart w:id="955" w:name="_Toc221951919"/>
      <w:r>
        <w:rPr>
          <w:rFonts w:hint="eastAsia" w:ascii="宋体" w:hAnsi="宋体"/>
          <w:color w:val="auto"/>
          <w:szCs w:val="21"/>
          <w:highlight w:val="none"/>
        </w:rPr>
        <w:t>投标保证金</w:t>
      </w:r>
    </w:p>
    <w:p w14:paraId="76BA0E6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五、资格审查资料</w:t>
      </w:r>
    </w:p>
    <w:p w14:paraId="6A91DF83">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六、</w:t>
      </w:r>
      <w:bookmarkEnd w:id="955"/>
      <w:r>
        <w:rPr>
          <w:rFonts w:hint="eastAsia" w:ascii="宋体" w:hAnsi="宋体"/>
          <w:color w:val="auto"/>
          <w:szCs w:val="21"/>
          <w:highlight w:val="none"/>
        </w:rPr>
        <w:t>已标价工程量清单</w:t>
      </w:r>
    </w:p>
    <w:p w14:paraId="7717CA9B">
      <w:pPr>
        <w:spacing w:after="0" w:line="360" w:lineRule="auto"/>
        <w:ind w:firstLine="420" w:firstLineChars="200"/>
        <w:rPr>
          <w:rFonts w:ascii="宋体" w:hAnsi="宋体"/>
          <w:color w:val="auto"/>
          <w:szCs w:val="21"/>
          <w:highlight w:val="none"/>
        </w:rPr>
      </w:pPr>
      <w:bookmarkStart w:id="956" w:name="_Toc221951920"/>
      <w:r>
        <w:rPr>
          <w:rFonts w:hint="eastAsia" w:ascii="宋体" w:hAnsi="宋体"/>
          <w:color w:val="auto"/>
          <w:szCs w:val="21"/>
          <w:highlight w:val="none"/>
        </w:rPr>
        <w:t>七、</w:t>
      </w:r>
      <w:bookmarkEnd w:id="956"/>
      <w:r>
        <w:rPr>
          <w:rFonts w:hint="eastAsia" w:ascii="宋体" w:hAnsi="宋体"/>
          <w:color w:val="auto"/>
          <w:szCs w:val="21"/>
          <w:highlight w:val="none"/>
        </w:rPr>
        <w:t>施工组织设计</w:t>
      </w:r>
    </w:p>
    <w:p w14:paraId="7B6FE682">
      <w:pPr>
        <w:spacing w:after="0" w:line="360" w:lineRule="auto"/>
        <w:ind w:firstLine="420" w:firstLineChars="200"/>
        <w:rPr>
          <w:rFonts w:ascii="宋体" w:hAnsi="宋体"/>
          <w:color w:val="auto"/>
          <w:szCs w:val="21"/>
          <w:highlight w:val="none"/>
        </w:rPr>
      </w:pPr>
      <w:bookmarkStart w:id="957" w:name="_Toc221951921"/>
      <w:r>
        <w:rPr>
          <w:rFonts w:hint="eastAsia" w:ascii="宋体" w:hAnsi="宋体"/>
          <w:color w:val="auto"/>
          <w:szCs w:val="21"/>
          <w:highlight w:val="none"/>
        </w:rPr>
        <w:t>八、</w:t>
      </w:r>
      <w:bookmarkEnd w:id="957"/>
      <w:r>
        <w:rPr>
          <w:rFonts w:hint="eastAsia" w:ascii="宋体" w:hAnsi="宋体"/>
          <w:color w:val="auto"/>
          <w:szCs w:val="21"/>
          <w:highlight w:val="none"/>
        </w:rPr>
        <w:t>其他材料</w:t>
      </w:r>
    </w:p>
    <w:p w14:paraId="54D0FA1F">
      <w:pPr>
        <w:spacing w:after="0" w:line="360" w:lineRule="auto"/>
        <w:rPr>
          <w:rFonts w:ascii="宋体" w:hAnsi="宋体"/>
          <w:color w:val="auto"/>
          <w:sz w:val="20"/>
          <w:szCs w:val="20"/>
          <w:highlight w:val="none"/>
        </w:rPr>
      </w:pPr>
    </w:p>
    <w:p w14:paraId="33FD3AD8">
      <w:pPr>
        <w:widowControl/>
        <w:spacing w:after="0" w:line="360" w:lineRule="auto"/>
        <w:jc w:val="left"/>
        <w:rPr>
          <w:rFonts w:ascii="宋体" w:hAnsi="宋体"/>
          <w:b/>
          <w:bCs/>
          <w:color w:val="auto"/>
          <w:sz w:val="30"/>
          <w:szCs w:val="30"/>
          <w:highlight w:val="none"/>
        </w:rPr>
      </w:pPr>
      <w:bookmarkStart w:id="958" w:name="_Toc222032729"/>
      <w:bookmarkStart w:id="959" w:name="_Toc222029560"/>
      <w:bookmarkStart w:id="960" w:name="_Toc144974857"/>
      <w:bookmarkStart w:id="961" w:name="_Toc229305420"/>
      <w:bookmarkStart w:id="962" w:name="_Toc168476318"/>
      <w:bookmarkStart w:id="963" w:name="_Toc221951926"/>
      <w:bookmarkStart w:id="964" w:name="_Toc222033911"/>
      <w:bookmarkStart w:id="965" w:name="_Toc222031062"/>
      <w:bookmarkStart w:id="966" w:name="_Toc168475915"/>
      <w:r>
        <w:rPr>
          <w:rFonts w:ascii="宋体" w:hAnsi="宋体"/>
          <w:color w:val="auto"/>
          <w:sz w:val="30"/>
          <w:szCs w:val="30"/>
          <w:highlight w:val="none"/>
        </w:rPr>
        <w:br w:type="page"/>
      </w:r>
    </w:p>
    <w:p w14:paraId="434BBDE3">
      <w:pPr>
        <w:pStyle w:val="5"/>
        <w:spacing w:before="0" w:after="0" w:line="360" w:lineRule="auto"/>
        <w:jc w:val="center"/>
        <w:rPr>
          <w:rFonts w:ascii="宋体" w:hAnsi="宋体" w:eastAsia="宋体"/>
          <w:color w:val="auto"/>
          <w:sz w:val="24"/>
          <w:highlight w:val="none"/>
        </w:rPr>
      </w:pPr>
      <w:bookmarkStart w:id="967" w:name="_Toc9844_WPSOffice_Level1"/>
      <w:bookmarkStart w:id="968" w:name="_Toc28668"/>
      <w:bookmarkStart w:id="969" w:name="_Toc12209"/>
      <w:bookmarkStart w:id="970" w:name="_Toc95257510"/>
      <w:r>
        <w:rPr>
          <w:rFonts w:ascii="宋体" w:hAnsi="宋体" w:eastAsia="宋体"/>
          <w:color w:val="auto"/>
          <w:sz w:val="24"/>
          <w:highlight w:val="none"/>
        </w:rPr>
        <w:t>一、投标函及投标函附录</w:t>
      </w:r>
      <w:bookmarkEnd w:id="958"/>
      <w:bookmarkEnd w:id="959"/>
      <w:bookmarkEnd w:id="960"/>
      <w:bookmarkEnd w:id="961"/>
      <w:bookmarkEnd w:id="962"/>
      <w:bookmarkEnd w:id="963"/>
      <w:bookmarkEnd w:id="964"/>
      <w:bookmarkEnd w:id="965"/>
      <w:bookmarkEnd w:id="966"/>
      <w:bookmarkEnd w:id="967"/>
      <w:bookmarkEnd w:id="968"/>
      <w:bookmarkEnd w:id="969"/>
      <w:bookmarkEnd w:id="970"/>
    </w:p>
    <w:p w14:paraId="4BD72F17">
      <w:pPr>
        <w:spacing w:after="0" w:line="360" w:lineRule="auto"/>
        <w:jc w:val="center"/>
        <w:rPr>
          <w:rFonts w:ascii="宋体" w:hAnsi="宋体"/>
          <w:b/>
          <w:color w:val="auto"/>
          <w:sz w:val="24"/>
          <w:highlight w:val="none"/>
        </w:rPr>
      </w:pPr>
      <w:bookmarkStart w:id="971" w:name="_Toc168475916"/>
      <w:bookmarkStart w:id="972" w:name="_Toc168476319"/>
      <w:bookmarkStart w:id="973" w:name="_Toc221951927"/>
      <w:bookmarkStart w:id="974" w:name="_Toc2727_WPSOffice_Level2"/>
      <w:bookmarkStart w:id="975" w:name="_Toc144974858"/>
      <w:r>
        <w:rPr>
          <w:rFonts w:hint="eastAsia" w:ascii="宋体" w:hAnsi="宋体"/>
          <w:b/>
          <w:color w:val="auto"/>
          <w:sz w:val="24"/>
          <w:highlight w:val="none"/>
          <w:lang w:eastAsia="zh-CN"/>
        </w:rPr>
        <w:t>1.</w:t>
      </w:r>
      <w:r>
        <w:rPr>
          <w:rFonts w:ascii="宋体" w:hAnsi="宋体"/>
          <w:b/>
          <w:color w:val="auto"/>
          <w:sz w:val="24"/>
          <w:highlight w:val="none"/>
        </w:rPr>
        <w:t>投标函</w:t>
      </w:r>
      <w:bookmarkEnd w:id="971"/>
      <w:bookmarkEnd w:id="972"/>
      <w:bookmarkEnd w:id="973"/>
      <w:bookmarkEnd w:id="974"/>
      <w:bookmarkEnd w:id="975"/>
    </w:p>
    <w:p w14:paraId="17469704">
      <w:pPr>
        <w:spacing w:after="0" w:line="360" w:lineRule="auto"/>
        <w:rPr>
          <w:rFonts w:ascii="宋体" w:hAnsi="宋体"/>
          <w:color w:val="auto"/>
          <w:szCs w:val="21"/>
          <w:highlight w:val="none"/>
        </w:rPr>
      </w:pPr>
      <w:bookmarkStart w:id="976" w:name="_Toc221951928"/>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招标人名称</w:t>
      </w:r>
      <w:r>
        <w:rPr>
          <w:rFonts w:ascii="宋体" w:hAnsi="宋体"/>
          <w:color w:val="auto"/>
          <w:szCs w:val="21"/>
          <w:highlight w:val="none"/>
        </w:rPr>
        <w:t>）：</w:t>
      </w:r>
      <w:bookmarkEnd w:id="976"/>
    </w:p>
    <w:p w14:paraId="08B04C17">
      <w:pPr>
        <w:spacing w:after="0" w:line="360" w:lineRule="auto"/>
        <w:ind w:firstLine="420" w:firstLineChars="200"/>
        <w:jc w:val="left"/>
        <w:rPr>
          <w:rFonts w:ascii="宋体" w:hAnsi="宋体"/>
          <w:color w:val="auto"/>
          <w:szCs w:val="21"/>
          <w:highlight w:val="none"/>
        </w:rPr>
      </w:pPr>
      <w:bookmarkStart w:id="977" w:name="_Toc221951929"/>
      <w:r>
        <w:rPr>
          <w:rFonts w:hint="eastAsia" w:ascii="宋体" w:hAnsi="宋体"/>
          <w:color w:val="auto"/>
          <w:szCs w:val="21"/>
          <w:highlight w:val="none"/>
          <w:lang w:eastAsia="zh-CN"/>
        </w:rPr>
        <w:t>1.</w:t>
      </w:r>
      <w:r>
        <w:rPr>
          <w:rFonts w:ascii="宋体" w:hAnsi="宋体"/>
          <w:color w:val="auto"/>
          <w:szCs w:val="21"/>
          <w:highlight w:val="none"/>
        </w:rPr>
        <w:t xml:space="preserve">我方已仔细研究了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标段名称）    </w:t>
      </w:r>
      <w:r>
        <w:rPr>
          <w:rFonts w:ascii="宋体" w:hAnsi="宋体"/>
          <w:color w:val="auto"/>
          <w:szCs w:val="21"/>
          <w:highlight w:val="none"/>
        </w:rPr>
        <w:t>招标文件</w:t>
      </w:r>
      <w:r>
        <w:rPr>
          <w:rFonts w:hint="eastAsia" w:ascii="宋体" w:hAnsi="宋体"/>
          <w:color w:val="auto"/>
          <w:szCs w:val="21"/>
          <w:highlight w:val="none"/>
        </w:rPr>
        <w:t>（含补遗书</w:t>
      </w:r>
      <w:r>
        <w:rPr>
          <w:rFonts w:hint="eastAsia" w:ascii="宋体" w:hAnsi="宋体"/>
          <w:color w:val="auto"/>
          <w:szCs w:val="21"/>
          <w:highlight w:val="none"/>
          <w:u w:val="single"/>
        </w:rPr>
        <w:t xml:space="preserve">   </w:t>
      </w:r>
      <w:r>
        <w:rPr>
          <w:rFonts w:hint="eastAsia" w:ascii="宋体" w:hAnsi="宋体"/>
          <w:color w:val="auto"/>
          <w:szCs w:val="21"/>
          <w:highlight w:val="none"/>
        </w:rPr>
        <w:t>号到</w:t>
      </w:r>
      <w:r>
        <w:rPr>
          <w:rFonts w:hint="eastAsia" w:ascii="宋体" w:hAnsi="宋体"/>
          <w:color w:val="auto"/>
          <w:szCs w:val="21"/>
          <w:highlight w:val="none"/>
          <w:u w:val="single"/>
        </w:rPr>
        <w:t xml:space="preserve">  </w:t>
      </w:r>
      <w:r>
        <w:rPr>
          <w:rFonts w:hint="eastAsia" w:ascii="宋体" w:hAnsi="宋体"/>
          <w:color w:val="auto"/>
          <w:szCs w:val="21"/>
          <w:highlight w:val="none"/>
        </w:rPr>
        <w:t>号）</w:t>
      </w:r>
      <w:r>
        <w:rPr>
          <w:rFonts w:ascii="宋体" w:hAnsi="宋体"/>
          <w:color w:val="auto"/>
          <w:szCs w:val="21"/>
          <w:highlight w:val="none"/>
        </w:rPr>
        <w:t>的全部内容，愿意以人民币（大写）</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元</w:t>
      </w:r>
      <w:r>
        <w:rPr>
          <w:rFonts w:ascii="宋体" w:hAnsi="宋体"/>
          <w:color w:val="auto"/>
          <w:szCs w:val="21"/>
          <w:highlight w:val="none"/>
          <w:u w:val="single"/>
        </w:rPr>
        <w:t xml:space="preserve"> </w:t>
      </w:r>
      <w:r>
        <w:rPr>
          <w:rFonts w:ascii="宋体" w:hAnsi="宋体"/>
          <w:color w:val="auto"/>
          <w:szCs w:val="21"/>
          <w:highlight w:val="none"/>
        </w:rPr>
        <w:t>）的投标总报价，</w:t>
      </w:r>
      <w:r>
        <w:rPr>
          <w:rFonts w:hint="eastAsia" w:ascii="宋体" w:hAnsi="宋体"/>
          <w:color w:val="auto"/>
          <w:szCs w:val="21"/>
          <w:highlight w:val="none"/>
        </w:rPr>
        <w:t>工期</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ascii="宋体" w:hAnsi="宋体"/>
          <w:color w:val="auto"/>
          <w:szCs w:val="21"/>
          <w:highlight w:val="none"/>
        </w:rPr>
        <w:t xml:space="preserve">按合同约定实施和完成承包工程，修补工程中的任何缺陷，工程质量达到 </w:t>
      </w:r>
      <w:r>
        <w:rPr>
          <w:rFonts w:ascii="宋体" w:hAnsi="宋体"/>
          <w:color w:val="auto"/>
          <w:szCs w:val="21"/>
          <w:highlight w:val="none"/>
          <w:u w:val="single"/>
        </w:rPr>
        <w:t xml:space="preserve">           </w:t>
      </w:r>
      <w:r>
        <w:rPr>
          <w:rFonts w:ascii="宋体" w:hAnsi="宋体"/>
          <w:color w:val="auto"/>
          <w:szCs w:val="21"/>
          <w:highlight w:val="none"/>
        </w:rPr>
        <w:t>。</w:t>
      </w:r>
      <w:bookmarkEnd w:id="977"/>
    </w:p>
    <w:p w14:paraId="3F903EDC">
      <w:pPr>
        <w:spacing w:after="0" w:line="360" w:lineRule="auto"/>
        <w:ind w:firstLine="420" w:firstLineChars="200"/>
        <w:jc w:val="left"/>
        <w:rPr>
          <w:rFonts w:ascii="宋体" w:hAnsi="宋体"/>
          <w:color w:val="auto"/>
          <w:szCs w:val="21"/>
          <w:highlight w:val="none"/>
        </w:rPr>
      </w:pPr>
      <w:bookmarkStart w:id="978" w:name="_Toc221951930"/>
      <w:r>
        <w:rPr>
          <w:rFonts w:hint="eastAsia" w:ascii="宋体" w:hAnsi="宋体"/>
          <w:color w:val="auto"/>
          <w:szCs w:val="21"/>
          <w:highlight w:val="none"/>
          <w:lang w:eastAsia="zh-CN"/>
        </w:rPr>
        <w:t>2.</w:t>
      </w:r>
      <w:r>
        <w:rPr>
          <w:rFonts w:ascii="宋体" w:hAnsi="宋体"/>
          <w:color w:val="auto"/>
          <w:szCs w:val="21"/>
          <w:highlight w:val="none"/>
        </w:rPr>
        <w:t>我方承诺在投标有效期内不</w:t>
      </w:r>
      <w:r>
        <w:rPr>
          <w:rFonts w:hint="eastAsia" w:ascii="宋体" w:hAnsi="宋体"/>
          <w:color w:val="auto"/>
          <w:szCs w:val="21"/>
          <w:highlight w:val="none"/>
        </w:rPr>
        <w:t>补充、</w:t>
      </w:r>
      <w:r>
        <w:rPr>
          <w:rFonts w:ascii="宋体" w:hAnsi="宋体"/>
          <w:color w:val="auto"/>
          <w:szCs w:val="21"/>
          <w:highlight w:val="none"/>
        </w:rPr>
        <w:t>修改、</w:t>
      </w:r>
      <w:r>
        <w:rPr>
          <w:rFonts w:hint="eastAsia" w:ascii="宋体" w:hAnsi="宋体"/>
          <w:color w:val="auto"/>
          <w:szCs w:val="21"/>
          <w:highlight w:val="none"/>
        </w:rPr>
        <w:t>替代或</w:t>
      </w:r>
      <w:r>
        <w:rPr>
          <w:rFonts w:ascii="宋体" w:hAnsi="宋体"/>
          <w:color w:val="auto"/>
          <w:szCs w:val="21"/>
          <w:highlight w:val="none"/>
        </w:rPr>
        <w:t>撤</w:t>
      </w:r>
      <w:r>
        <w:rPr>
          <w:rFonts w:hint="eastAsia" w:ascii="宋体" w:hAnsi="宋体"/>
          <w:color w:val="auto"/>
          <w:szCs w:val="21"/>
          <w:highlight w:val="none"/>
        </w:rPr>
        <w:t>回本</w:t>
      </w:r>
      <w:r>
        <w:rPr>
          <w:rFonts w:ascii="宋体" w:hAnsi="宋体"/>
          <w:color w:val="auto"/>
          <w:szCs w:val="21"/>
          <w:highlight w:val="none"/>
        </w:rPr>
        <w:t>投标文件。</w:t>
      </w:r>
      <w:bookmarkEnd w:id="978"/>
    </w:p>
    <w:p w14:paraId="318E6BAE">
      <w:pPr>
        <w:spacing w:after="0" w:line="360" w:lineRule="auto"/>
        <w:ind w:firstLine="420" w:firstLineChars="200"/>
        <w:jc w:val="left"/>
        <w:rPr>
          <w:rFonts w:ascii="宋体" w:hAnsi="宋体"/>
          <w:color w:val="auto"/>
          <w:szCs w:val="21"/>
          <w:highlight w:val="none"/>
        </w:rPr>
      </w:pPr>
      <w:bookmarkStart w:id="979" w:name="_Toc221951931"/>
      <w:bookmarkStart w:id="980" w:name="_Toc221951932"/>
      <w:r>
        <w:rPr>
          <w:rFonts w:hint="eastAsia" w:ascii="宋体" w:hAnsi="宋体"/>
          <w:color w:val="auto"/>
          <w:szCs w:val="21"/>
          <w:highlight w:val="none"/>
          <w:lang w:eastAsia="zh-CN"/>
        </w:rPr>
        <w:t>3.</w:t>
      </w:r>
      <w:r>
        <w:rPr>
          <w:rFonts w:ascii="宋体" w:hAnsi="宋体"/>
          <w:color w:val="auto"/>
          <w:szCs w:val="21"/>
          <w:highlight w:val="none"/>
        </w:rPr>
        <w:t>随同本投标函提交投标保证金一份，金额为人民币（大写）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元</w:t>
      </w:r>
      <w:r>
        <w:rPr>
          <w:rFonts w:ascii="宋体" w:hAnsi="宋体"/>
          <w:color w:val="auto"/>
          <w:szCs w:val="21"/>
          <w:highlight w:val="none"/>
        </w:rPr>
        <w:t>）。</w:t>
      </w:r>
      <w:bookmarkEnd w:id="979"/>
    </w:p>
    <w:p w14:paraId="655506A7">
      <w:pPr>
        <w:spacing w:after="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4.</w:t>
      </w:r>
      <w:r>
        <w:rPr>
          <w:rFonts w:ascii="宋体" w:hAnsi="宋体"/>
          <w:color w:val="auto"/>
          <w:szCs w:val="21"/>
          <w:highlight w:val="none"/>
        </w:rPr>
        <w:t>如我方中标：</w:t>
      </w:r>
      <w:bookmarkEnd w:id="980"/>
    </w:p>
    <w:p w14:paraId="3D3F1A51">
      <w:pPr>
        <w:spacing w:after="0" w:line="360" w:lineRule="auto"/>
        <w:ind w:firstLine="420" w:firstLineChars="200"/>
        <w:jc w:val="left"/>
        <w:rPr>
          <w:rFonts w:ascii="宋体" w:hAnsi="宋体"/>
          <w:color w:val="auto"/>
          <w:szCs w:val="21"/>
          <w:highlight w:val="none"/>
        </w:rPr>
      </w:pPr>
      <w:bookmarkStart w:id="981" w:name="_Toc221951933"/>
      <w:r>
        <w:rPr>
          <w:rFonts w:ascii="宋体" w:hAnsi="宋体"/>
          <w:color w:val="auto"/>
          <w:szCs w:val="21"/>
          <w:highlight w:val="none"/>
        </w:rPr>
        <w:t>（1）我方承诺在收到中标通知书后，在中标通知书规定的期限内与你方签订合同。</w:t>
      </w:r>
      <w:bookmarkEnd w:id="981"/>
    </w:p>
    <w:p w14:paraId="29F48037">
      <w:pPr>
        <w:spacing w:after="0" w:line="360" w:lineRule="auto"/>
        <w:ind w:firstLine="420" w:firstLineChars="200"/>
        <w:jc w:val="left"/>
        <w:rPr>
          <w:rFonts w:ascii="宋体" w:hAnsi="宋体"/>
          <w:color w:val="auto"/>
          <w:szCs w:val="21"/>
          <w:highlight w:val="none"/>
        </w:rPr>
      </w:pPr>
      <w:bookmarkStart w:id="982" w:name="_Toc221951934"/>
      <w:r>
        <w:rPr>
          <w:rFonts w:ascii="宋体" w:hAnsi="宋体"/>
          <w:color w:val="auto"/>
          <w:szCs w:val="21"/>
          <w:highlight w:val="none"/>
        </w:rPr>
        <w:t>（2）随同本投标函递交的投标函附录属于合同文件的组成部分。</w:t>
      </w:r>
      <w:bookmarkEnd w:id="982"/>
    </w:p>
    <w:p w14:paraId="6A65A08F">
      <w:pPr>
        <w:spacing w:after="0" w:line="360" w:lineRule="auto"/>
        <w:ind w:firstLine="420" w:firstLineChars="200"/>
        <w:jc w:val="left"/>
        <w:rPr>
          <w:rFonts w:ascii="宋体" w:hAnsi="宋体"/>
          <w:color w:val="auto"/>
          <w:szCs w:val="21"/>
          <w:highlight w:val="none"/>
        </w:rPr>
      </w:pPr>
      <w:bookmarkStart w:id="983" w:name="_Toc221951935"/>
      <w:r>
        <w:rPr>
          <w:rFonts w:ascii="宋体" w:hAnsi="宋体"/>
          <w:color w:val="auto"/>
          <w:szCs w:val="21"/>
          <w:highlight w:val="none"/>
        </w:rPr>
        <w:t>（3）我方承诺按照招标文件规定向你方递交履约担保。</w:t>
      </w:r>
      <w:bookmarkEnd w:id="983"/>
    </w:p>
    <w:p w14:paraId="7B13366C">
      <w:pPr>
        <w:spacing w:after="0" w:line="360" w:lineRule="auto"/>
        <w:ind w:firstLine="420" w:firstLineChars="200"/>
        <w:jc w:val="left"/>
        <w:rPr>
          <w:rFonts w:ascii="宋体" w:hAnsi="宋体"/>
          <w:color w:val="auto"/>
          <w:szCs w:val="21"/>
          <w:highlight w:val="none"/>
        </w:rPr>
      </w:pPr>
      <w:bookmarkStart w:id="984" w:name="_Toc221951936"/>
      <w:r>
        <w:rPr>
          <w:rFonts w:ascii="宋体" w:hAnsi="宋体"/>
          <w:color w:val="auto"/>
          <w:szCs w:val="21"/>
          <w:highlight w:val="none"/>
        </w:rPr>
        <w:t>（4）我方承诺在合同约定的期限内完成并移交全部合同工程。</w:t>
      </w:r>
      <w:bookmarkEnd w:id="984"/>
    </w:p>
    <w:p w14:paraId="4599753C">
      <w:pPr>
        <w:spacing w:after="0" w:line="360" w:lineRule="auto"/>
        <w:ind w:firstLine="420" w:firstLineChars="200"/>
        <w:jc w:val="left"/>
        <w:rPr>
          <w:rFonts w:ascii="宋体" w:hAnsi="宋体"/>
          <w:color w:val="auto"/>
          <w:szCs w:val="21"/>
          <w:highlight w:val="none"/>
        </w:rPr>
      </w:pPr>
      <w:bookmarkStart w:id="985" w:name="_Toc221951937"/>
      <w:r>
        <w:rPr>
          <w:rFonts w:hint="eastAsia" w:ascii="宋体" w:hAnsi="宋体"/>
          <w:color w:val="auto"/>
          <w:szCs w:val="21"/>
          <w:highlight w:val="none"/>
          <w:lang w:eastAsia="zh-CN"/>
        </w:rPr>
        <w:t>5.</w:t>
      </w:r>
      <w:r>
        <w:rPr>
          <w:rFonts w:hint="eastAsia" w:ascii="宋体" w:hAnsi="宋体"/>
          <w:color w:val="auto"/>
          <w:szCs w:val="21"/>
          <w:highlight w:val="none"/>
        </w:rPr>
        <w:t>我方在此声明，所递交的投标文件及有关资料内容完整、真实和准确，且不存在第二章“投标人须知”第1.4.3项规定的任何一种情形。</w:t>
      </w:r>
      <w:bookmarkEnd w:id="985"/>
    </w:p>
    <w:p w14:paraId="2C75E235">
      <w:pPr>
        <w:spacing w:after="0" w:line="360" w:lineRule="auto"/>
        <w:ind w:firstLine="420" w:firstLineChars="200"/>
        <w:rPr>
          <w:rFonts w:ascii="宋体" w:hAnsi="宋体"/>
          <w:color w:val="auto"/>
          <w:szCs w:val="21"/>
          <w:highlight w:val="none"/>
        </w:rPr>
      </w:pPr>
      <w:bookmarkStart w:id="986" w:name="_Toc221951938"/>
      <w:r>
        <w:rPr>
          <w:rFonts w:hint="eastAsia" w:ascii="宋体" w:hAnsi="宋体"/>
          <w:color w:val="auto"/>
          <w:szCs w:val="21"/>
          <w:highlight w:val="none"/>
        </w:rPr>
        <w:t>6</w:t>
      </w:r>
      <w:r>
        <w:rPr>
          <w:rFonts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其他</w:t>
      </w:r>
      <w:r>
        <w:rPr>
          <w:rFonts w:ascii="宋体" w:hAnsi="宋体"/>
          <w:color w:val="auto"/>
          <w:szCs w:val="21"/>
          <w:highlight w:val="none"/>
        </w:rPr>
        <w:t>补充说明</w:t>
      </w:r>
      <w:r>
        <w:rPr>
          <w:rFonts w:hint="eastAsia" w:ascii="宋体" w:hAnsi="宋体"/>
          <w:color w:val="auto"/>
          <w:szCs w:val="21"/>
          <w:highlight w:val="none"/>
        </w:rPr>
        <w:t>，如有</w:t>
      </w:r>
      <w:r>
        <w:rPr>
          <w:rFonts w:ascii="宋体" w:hAnsi="宋体"/>
          <w:color w:val="auto"/>
          <w:szCs w:val="21"/>
          <w:highlight w:val="none"/>
        </w:rPr>
        <w:t>）。</w:t>
      </w:r>
      <w:bookmarkEnd w:id="986"/>
    </w:p>
    <w:p w14:paraId="30C9E923">
      <w:pPr>
        <w:spacing w:after="0" w:line="360" w:lineRule="auto"/>
        <w:rPr>
          <w:rFonts w:ascii="宋体" w:hAnsi="宋体"/>
          <w:color w:val="auto"/>
          <w:szCs w:val="21"/>
          <w:highlight w:val="none"/>
        </w:rPr>
      </w:pPr>
    </w:p>
    <w:p w14:paraId="3FF31194">
      <w:pPr>
        <w:tabs>
          <w:tab w:val="left" w:pos="4605"/>
        </w:tabs>
        <w:adjustRightInd w:val="0"/>
        <w:snapToGrid w:val="0"/>
        <w:spacing w:after="0" w:line="360" w:lineRule="auto"/>
        <w:ind w:firstLine="3045" w:firstLineChars="1450"/>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4F19ADD5">
      <w:pPr>
        <w:tabs>
          <w:tab w:val="left" w:pos="4605"/>
        </w:tabs>
        <w:adjustRightInd w:val="0"/>
        <w:snapToGrid w:val="0"/>
        <w:spacing w:after="0" w:line="360" w:lineRule="auto"/>
        <w:ind w:firstLine="3045" w:firstLineChars="1450"/>
        <w:rPr>
          <w:rFonts w:ascii="宋体" w:hAnsi="宋体"/>
          <w:color w:val="auto"/>
          <w:highlight w:val="none"/>
          <w:u w:val="singl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p>
    <w:p w14:paraId="586CB1A8">
      <w:pPr>
        <w:spacing w:after="0" w:line="360" w:lineRule="auto"/>
        <w:ind w:firstLine="3045" w:firstLineChars="1450"/>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51730E30">
      <w:pPr>
        <w:spacing w:after="0" w:line="360" w:lineRule="auto"/>
        <w:ind w:firstLine="5000" w:firstLineChars="2500"/>
        <w:rPr>
          <w:rFonts w:ascii="宋体" w:hAnsi="宋体"/>
          <w:color w:val="auto"/>
          <w:sz w:val="20"/>
          <w:szCs w:val="20"/>
          <w:highlight w:val="none"/>
        </w:rPr>
      </w:pPr>
    </w:p>
    <w:p w14:paraId="0CA80FD0">
      <w:pPr>
        <w:spacing w:after="0" w:line="360" w:lineRule="auto"/>
        <w:rPr>
          <w:rFonts w:ascii="宋体" w:hAnsi="宋体"/>
          <w:color w:val="auto"/>
          <w:sz w:val="19"/>
          <w:szCs w:val="19"/>
          <w:highlight w:val="none"/>
        </w:rPr>
      </w:pPr>
      <w:r>
        <w:rPr>
          <w:rFonts w:ascii="宋体" w:hAnsi="宋体"/>
          <w:color w:val="auto"/>
          <w:sz w:val="19"/>
          <w:szCs w:val="19"/>
          <w:highlight w:val="none"/>
        </w:rPr>
        <w:br w:type="page"/>
      </w:r>
    </w:p>
    <w:p w14:paraId="2563F42F">
      <w:pPr>
        <w:spacing w:after="0" w:line="360" w:lineRule="auto"/>
        <w:jc w:val="center"/>
        <w:rPr>
          <w:rFonts w:ascii="宋体" w:hAnsi="宋体"/>
          <w:b/>
          <w:color w:val="auto"/>
          <w:sz w:val="24"/>
          <w:highlight w:val="none"/>
        </w:rPr>
      </w:pPr>
      <w:bookmarkStart w:id="987" w:name="_Toc11276_WPSOffice_Level2"/>
      <w:bookmarkStart w:id="988" w:name="_Toc168476320"/>
      <w:bookmarkStart w:id="989" w:name="_Toc168475917"/>
      <w:bookmarkStart w:id="990" w:name="_Toc144974859"/>
      <w:bookmarkStart w:id="991" w:name="_Toc221951947"/>
      <w:bookmarkStart w:id="992" w:name="_Toc221951979"/>
      <w:r>
        <w:rPr>
          <w:rFonts w:hint="eastAsia" w:ascii="宋体" w:hAnsi="宋体"/>
          <w:b/>
          <w:color w:val="auto"/>
          <w:sz w:val="24"/>
          <w:highlight w:val="none"/>
          <w:lang w:eastAsia="zh-CN"/>
        </w:rPr>
        <w:t>2.</w:t>
      </w:r>
      <w:r>
        <w:rPr>
          <w:rFonts w:ascii="宋体" w:hAnsi="宋体"/>
          <w:b/>
          <w:color w:val="auto"/>
          <w:sz w:val="24"/>
          <w:highlight w:val="none"/>
        </w:rPr>
        <w:t>投标函附录</w:t>
      </w:r>
      <w:bookmarkEnd w:id="987"/>
      <w:bookmarkEnd w:id="988"/>
      <w:bookmarkEnd w:id="989"/>
      <w:bookmarkEnd w:id="990"/>
      <w:bookmarkEnd w:id="991"/>
    </w:p>
    <w:tbl>
      <w:tblPr>
        <w:tblStyle w:val="5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32"/>
        <w:gridCol w:w="2568"/>
        <w:gridCol w:w="3745"/>
        <w:gridCol w:w="2223"/>
      </w:tblGrid>
      <w:tr w14:paraId="69E3B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6" w:hRule="atLeast"/>
        </w:trPr>
        <w:tc>
          <w:tcPr>
            <w:tcW w:w="832" w:type="dxa"/>
            <w:noWrap w:val="0"/>
            <w:vAlign w:val="center"/>
          </w:tcPr>
          <w:p w14:paraId="4063773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序号</w:t>
            </w:r>
          </w:p>
        </w:tc>
        <w:tc>
          <w:tcPr>
            <w:tcW w:w="2568" w:type="dxa"/>
            <w:noWrap w:val="0"/>
            <w:vAlign w:val="center"/>
          </w:tcPr>
          <w:p w14:paraId="2C14F300">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条款名称</w:t>
            </w:r>
          </w:p>
        </w:tc>
        <w:tc>
          <w:tcPr>
            <w:tcW w:w="3745" w:type="dxa"/>
            <w:noWrap w:val="0"/>
            <w:vAlign w:val="center"/>
          </w:tcPr>
          <w:p w14:paraId="3C4B1F3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招标人约定内容</w:t>
            </w:r>
          </w:p>
        </w:tc>
        <w:tc>
          <w:tcPr>
            <w:tcW w:w="2223" w:type="dxa"/>
            <w:noWrap w:val="0"/>
            <w:vAlign w:val="center"/>
          </w:tcPr>
          <w:p w14:paraId="4C1D1237">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投标人承诺内容</w:t>
            </w:r>
          </w:p>
        </w:tc>
      </w:tr>
      <w:tr w14:paraId="46BEA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6" w:hRule="atLeast"/>
        </w:trPr>
        <w:tc>
          <w:tcPr>
            <w:tcW w:w="832" w:type="dxa"/>
            <w:noWrap w:val="0"/>
            <w:vAlign w:val="center"/>
          </w:tcPr>
          <w:p w14:paraId="53A2EC7E">
            <w:pPr>
              <w:spacing w:after="0" w:line="360" w:lineRule="auto"/>
              <w:rPr>
                <w:rFonts w:ascii="宋体" w:hAnsi="宋体"/>
                <w:color w:val="auto"/>
                <w:highlight w:val="none"/>
              </w:rPr>
            </w:pPr>
            <w:r>
              <w:rPr>
                <w:rFonts w:ascii="宋体" w:hAnsi="宋体"/>
                <w:color w:val="auto"/>
                <w:highlight w:val="none"/>
              </w:rPr>
              <w:t>1</w:t>
            </w:r>
          </w:p>
        </w:tc>
        <w:tc>
          <w:tcPr>
            <w:tcW w:w="2568" w:type="dxa"/>
            <w:noWrap w:val="0"/>
            <w:vAlign w:val="center"/>
          </w:tcPr>
          <w:p w14:paraId="7D831319">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项目经理</w:t>
            </w:r>
          </w:p>
        </w:tc>
        <w:tc>
          <w:tcPr>
            <w:tcW w:w="3745" w:type="dxa"/>
            <w:noWrap w:val="0"/>
            <w:vAlign w:val="center"/>
          </w:tcPr>
          <w:p w14:paraId="36CCAB05">
            <w:pPr>
              <w:pStyle w:val="52"/>
              <w:spacing w:before="0" w:beforeAutospacing="0" w:after="0" w:afterAutospacing="0" w:line="360" w:lineRule="auto"/>
              <w:jc w:val="both"/>
              <w:rPr>
                <w:rFonts w:ascii="宋体" w:hAnsi="宋体" w:cs="仿宋"/>
                <w:color w:val="auto"/>
                <w:sz w:val="21"/>
                <w:szCs w:val="21"/>
                <w:highlight w:val="none"/>
                <w:u w:val="single"/>
              </w:rPr>
            </w:pPr>
            <w:r>
              <w:rPr>
                <w:rFonts w:hint="eastAsia" w:ascii="宋体" w:hAnsi="宋体" w:cs="仿宋"/>
                <w:color w:val="auto"/>
                <w:sz w:val="21"/>
                <w:szCs w:val="21"/>
                <w:highlight w:val="none"/>
              </w:rPr>
              <w:t>姓名</w:t>
            </w:r>
            <w:r>
              <w:rPr>
                <w:rFonts w:hint="eastAsia" w:ascii="宋体" w:hAnsi="宋体" w:cs="仿宋"/>
                <w:color w:val="auto"/>
                <w:sz w:val="21"/>
                <w:szCs w:val="21"/>
                <w:highlight w:val="none"/>
                <w:lang w:eastAsia="zh-CN"/>
              </w:rPr>
              <w:t>：</w:t>
            </w:r>
            <w:r>
              <w:rPr>
                <w:rFonts w:hint="eastAsia" w:ascii="宋体" w:hAnsi="宋体" w:cs="仿宋"/>
                <w:color w:val="auto"/>
                <w:sz w:val="21"/>
                <w:szCs w:val="21"/>
                <w:highlight w:val="none"/>
              </w:rPr>
              <w:t xml:space="preserve"> </w:t>
            </w:r>
            <w:r>
              <w:rPr>
                <w:rFonts w:hint="eastAsia" w:ascii="宋体" w:hAnsi="宋体" w:cs="仿宋"/>
                <w:color w:val="auto"/>
                <w:sz w:val="21"/>
                <w:szCs w:val="21"/>
                <w:highlight w:val="none"/>
                <w:u w:val="single"/>
              </w:rPr>
              <w:t xml:space="preserve">     </w:t>
            </w:r>
            <w:r>
              <w:rPr>
                <w:rFonts w:hint="eastAsia" w:ascii="宋体" w:hAnsi="宋体" w:cs="仿宋"/>
                <w:color w:val="auto"/>
                <w:sz w:val="21"/>
                <w:szCs w:val="21"/>
                <w:highlight w:val="none"/>
              </w:rPr>
              <w:t xml:space="preserve">  注册证书号</w:t>
            </w:r>
            <w:r>
              <w:rPr>
                <w:rFonts w:hint="eastAsia" w:ascii="宋体" w:hAnsi="宋体" w:cs="仿宋"/>
                <w:color w:val="auto"/>
                <w:sz w:val="21"/>
                <w:szCs w:val="21"/>
                <w:highlight w:val="none"/>
                <w:lang w:eastAsia="zh-CN"/>
              </w:rPr>
              <w:t>：</w:t>
            </w:r>
          </w:p>
        </w:tc>
        <w:tc>
          <w:tcPr>
            <w:tcW w:w="2223" w:type="dxa"/>
            <w:noWrap w:val="0"/>
            <w:vAlign w:val="center"/>
          </w:tcPr>
          <w:p w14:paraId="7ECE2B5A">
            <w:pPr>
              <w:pStyle w:val="52"/>
              <w:spacing w:before="0" w:beforeAutospacing="0" w:after="0" w:afterAutospacing="0" w:line="360" w:lineRule="auto"/>
              <w:jc w:val="both"/>
              <w:rPr>
                <w:rFonts w:ascii="宋体" w:hAnsi="宋体" w:cs="仿宋"/>
                <w:color w:val="auto"/>
                <w:sz w:val="21"/>
                <w:szCs w:val="21"/>
                <w:highlight w:val="none"/>
              </w:rPr>
            </w:pPr>
          </w:p>
        </w:tc>
      </w:tr>
      <w:tr w14:paraId="5B778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02BFA0BC">
            <w:pPr>
              <w:spacing w:after="0" w:line="360" w:lineRule="auto"/>
              <w:rPr>
                <w:rFonts w:ascii="宋体" w:hAnsi="宋体"/>
                <w:color w:val="auto"/>
                <w:highlight w:val="none"/>
              </w:rPr>
            </w:pPr>
            <w:r>
              <w:rPr>
                <w:rFonts w:ascii="宋体" w:hAnsi="宋体"/>
                <w:color w:val="auto"/>
                <w:highlight w:val="none"/>
              </w:rPr>
              <w:t>2</w:t>
            </w:r>
          </w:p>
        </w:tc>
        <w:tc>
          <w:tcPr>
            <w:tcW w:w="2568" w:type="dxa"/>
            <w:noWrap w:val="0"/>
            <w:vAlign w:val="center"/>
          </w:tcPr>
          <w:p w14:paraId="22FC3AB1">
            <w:pPr>
              <w:spacing w:after="0" w:line="360" w:lineRule="auto"/>
              <w:rPr>
                <w:rFonts w:ascii="宋体" w:hAnsi="宋体" w:cs="仿宋"/>
                <w:color w:val="auto"/>
                <w:szCs w:val="21"/>
                <w:highlight w:val="none"/>
              </w:rPr>
            </w:pPr>
            <w:r>
              <w:rPr>
                <w:rFonts w:hint="eastAsia" w:ascii="宋体" w:hAnsi="宋体" w:cs="仿宋"/>
                <w:color w:val="auto"/>
                <w:szCs w:val="21"/>
                <w:highlight w:val="none"/>
              </w:rPr>
              <w:t>工期</w:t>
            </w:r>
          </w:p>
        </w:tc>
        <w:tc>
          <w:tcPr>
            <w:tcW w:w="3745" w:type="dxa"/>
            <w:noWrap w:val="0"/>
            <w:vAlign w:val="center"/>
          </w:tcPr>
          <w:p w14:paraId="086FBFE7">
            <w:pPr>
              <w:spacing w:after="0" w:line="360" w:lineRule="auto"/>
              <w:rPr>
                <w:rFonts w:ascii="宋体" w:hAnsi="宋体" w:cs="仿宋"/>
                <w:color w:val="auto"/>
                <w:szCs w:val="21"/>
                <w:highlight w:val="none"/>
              </w:rPr>
            </w:pPr>
            <w:r>
              <w:rPr>
                <w:rFonts w:hint="eastAsia" w:ascii="宋体" w:hAnsi="宋体" w:cs="仿宋"/>
                <w:color w:val="auto"/>
                <w:szCs w:val="21"/>
                <w:highlight w:val="none"/>
              </w:rPr>
              <w:t>工期</w:t>
            </w:r>
            <w:r>
              <w:rPr>
                <w:rFonts w:ascii="宋体" w:hAnsi="宋体" w:cs="仿宋"/>
                <w:color w:val="auto"/>
                <w:szCs w:val="21"/>
                <w:highlight w:val="none"/>
                <w:u w:val="single"/>
              </w:rPr>
              <w:t xml:space="preserve"> </w:t>
            </w:r>
            <w:r>
              <w:rPr>
                <w:rFonts w:hint="eastAsia" w:ascii="宋体" w:hAnsi="宋体" w:cs="仿宋"/>
                <w:color w:val="auto"/>
                <w:szCs w:val="21"/>
                <w:highlight w:val="none"/>
                <w:u w:val="single"/>
              </w:rPr>
              <w:t xml:space="preserve">   </w:t>
            </w:r>
            <w:r>
              <w:rPr>
                <w:rFonts w:ascii="宋体" w:hAnsi="宋体" w:cs="仿宋"/>
                <w:color w:val="auto"/>
                <w:szCs w:val="21"/>
                <w:highlight w:val="none"/>
                <w:u w:val="single"/>
              </w:rPr>
              <w:t xml:space="preserve"> </w:t>
            </w:r>
            <w:r>
              <w:rPr>
                <w:rFonts w:hint="eastAsia" w:ascii="宋体" w:hAnsi="宋体" w:cs="仿宋"/>
                <w:color w:val="auto"/>
                <w:szCs w:val="21"/>
                <w:highlight w:val="none"/>
              </w:rPr>
              <w:t>日历天以内，并提交合格的完工资料。</w:t>
            </w:r>
          </w:p>
        </w:tc>
        <w:tc>
          <w:tcPr>
            <w:tcW w:w="2223" w:type="dxa"/>
            <w:noWrap w:val="0"/>
            <w:vAlign w:val="center"/>
          </w:tcPr>
          <w:p w14:paraId="5AC4D10A">
            <w:pPr>
              <w:spacing w:after="0" w:line="360" w:lineRule="auto"/>
              <w:rPr>
                <w:rFonts w:ascii="宋体" w:hAnsi="宋体" w:cs="仿宋"/>
                <w:color w:val="auto"/>
                <w:szCs w:val="21"/>
                <w:highlight w:val="none"/>
              </w:rPr>
            </w:pPr>
          </w:p>
        </w:tc>
      </w:tr>
      <w:tr w14:paraId="6C838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306E712E">
            <w:pPr>
              <w:spacing w:after="0" w:line="360" w:lineRule="auto"/>
              <w:rPr>
                <w:rFonts w:ascii="宋体" w:hAnsi="宋体"/>
                <w:color w:val="auto"/>
                <w:highlight w:val="none"/>
              </w:rPr>
            </w:pPr>
            <w:r>
              <w:rPr>
                <w:rFonts w:ascii="宋体" w:hAnsi="宋体"/>
                <w:color w:val="auto"/>
                <w:highlight w:val="none"/>
              </w:rPr>
              <w:t>3</w:t>
            </w:r>
          </w:p>
        </w:tc>
        <w:tc>
          <w:tcPr>
            <w:tcW w:w="2568" w:type="dxa"/>
            <w:noWrap w:val="0"/>
            <w:vAlign w:val="center"/>
          </w:tcPr>
          <w:p w14:paraId="471741B6">
            <w:pPr>
              <w:spacing w:after="0" w:line="360" w:lineRule="auto"/>
              <w:rPr>
                <w:rFonts w:ascii="宋体" w:hAnsi="宋体" w:cs="仿宋"/>
                <w:color w:val="auto"/>
                <w:szCs w:val="21"/>
                <w:highlight w:val="none"/>
              </w:rPr>
            </w:pPr>
            <w:r>
              <w:rPr>
                <w:rFonts w:hint="eastAsia" w:ascii="宋体" w:hAnsi="宋体" w:cs="仿宋"/>
                <w:color w:val="auto"/>
                <w:szCs w:val="21"/>
                <w:highlight w:val="none"/>
              </w:rPr>
              <w:t>缺陷责任期</w:t>
            </w:r>
          </w:p>
          <w:p w14:paraId="6FD8F50C">
            <w:pPr>
              <w:spacing w:after="0" w:line="360" w:lineRule="auto"/>
              <w:rPr>
                <w:rFonts w:ascii="宋体" w:hAnsi="宋体" w:cs="仿宋"/>
                <w:color w:val="auto"/>
                <w:szCs w:val="21"/>
                <w:highlight w:val="none"/>
              </w:rPr>
            </w:pPr>
            <w:r>
              <w:rPr>
                <w:rFonts w:hint="eastAsia" w:ascii="宋体" w:hAnsi="宋体" w:cs="仿宋"/>
                <w:color w:val="auto"/>
                <w:szCs w:val="21"/>
                <w:highlight w:val="none"/>
              </w:rPr>
              <w:t>工程质量保修期</w:t>
            </w:r>
          </w:p>
        </w:tc>
        <w:tc>
          <w:tcPr>
            <w:tcW w:w="3745" w:type="dxa"/>
            <w:noWrap w:val="0"/>
            <w:vAlign w:val="center"/>
          </w:tcPr>
          <w:p w14:paraId="74817050">
            <w:pPr>
              <w:spacing w:after="0" w:line="360" w:lineRule="auto"/>
              <w:ind w:left="840" w:hanging="840" w:hangingChars="400"/>
              <w:rPr>
                <w:rFonts w:ascii="宋体" w:hAnsi="宋体" w:cs="仿宋"/>
                <w:color w:val="auto"/>
                <w:szCs w:val="21"/>
                <w:highlight w:val="none"/>
              </w:rPr>
            </w:pPr>
            <w:r>
              <w:rPr>
                <w:rFonts w:hint="eastAsia" w:ascii="宋体" w:hAnsi="宋体" w:cs="仿宋"/>
                <w:color w:val="auto"/>
                <w:szCs w:val="21"/>
                <w:highlight w:val="none"/>
              </w:rPr>
              <w:t>本合同工程质量保修期为一年</w:t>
            </w:r>
          </w:p>
          <w:p w14:paraId="0A80D9FD">
            <w:pPr>
              <w:spacing w:after="0" w:line="360" w:lineRule="auto"/>
              <w:ind w:left="840" w:hanging="840" w:hangingChars="400"/>
              <w:rPr>
                <w:rFonts w:ascii="宋体" w:hAnsi="宋体" w:cs="仿宋"/>
                <w:color w:val="auto"/>
                <w:szCs w:val="21"/>
                <w:highlight w:val="none"/>
              </w:rPr>
            </w:pPr>
            <w:r>
              <w:rPr>
                <w:rFonts w:hint="eastAsia" w:ascii="宋体" w:hAnsi="宋体" w:cs="仿宋"/>
                <w:color w:val="auto"/>
                <w:szCs w:val="21"/>
                <w:highlight w:val="none"/>
              </w:rPr>
              <w:t>质保金为工程结算价的</w:t>
            </w:r>
            <w:r>
              <w:rPr>
                <w:rFonts w:hint="eastAsia" w:ascii="宋体" w:hAnsi="宋体" w:cs="仿宋"/>
                <w:color w:val="auto"/>
                <w:szCs w:val="21"/>
                <w:highlight w:val="none"/>
                <w:u w:val="single"/>
              </w:rPr>
              <w:t>3%</w:t>
            </w:r>
          </w:p>
        </w:tc>
        <w:tc>
          <w:tcPr>
            <w:tcW w:w="2223" w:type="dxa"/>
            <w:noWrap w:val="0"/>
            <w:vAlign w:val="center"/>
          </w:tcPr>
          <w:p w14:paraId="3951ADD4">
            <w:pPr>
              <w:spacing w:after="0" w:line="360" w:lineRule="auto"/>
              <w:rPr>
                <w:rFonts w:ascii="宋体" w:hAnsi="宋体" w:cs="仿宋"/>
                <w:color w:val="auto"/>
                <w:szCs w:val="21"/>
                <w:highlight w:val="none"/>
              </w:rPr>
            </w:pPr>
          </w:p>
        </w:tc>
      </w:tr>
      <w:tr w14:paraId="0EE83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6A8ADADD">
            <w:pPr>
              <w:spacing w:after="0" w:line="360" w:lineRule="auto"/>
              <w:rPr>
                <w:rFonts w:ascii="宋体" w:hAnsi="宋体"/>
                <w:color w:val="auto"/>
                <w:highlight w:val="none"/>
              </w:rPr>
            </w:pPr>
            <w:r>
              <w:rPr>
                <w:rFonts w:ascii="宋体" w:hAnsi="宋体"/>
                <w:color w:val="auto"/>
                <w:highlight w:val="none"/>
              </w:rPr>
              <w:t>4</w:t>
            </w:r>
          </w:p>
        </w:tc>
        <w:tc>
          <w:tcPr>
            <w:tcW w:w="2568" w:type="dxa"/>
            <w:noWrap w:val="0"/>
            <w:vAlign w:val="center"/>
          </w:tcPr>
          <w:p w14:paraId="2E7AE224">
            <w:pPr>
              <w:spacing w:after="0" w:line="360" w:lineRule="auto"/>
              <w:rPr>
                <w:rFonts w:ascii="宋体" w:hAnsi="宋体" w:cs="仿宋"/>
                <w:color w:val="auto"/>
                <w:szCs w:val="21"/>
                <w:highlight w:val="none"/>
              </w:rPr>
            </w:pPr>
            <w:r>
              <w:rPr>
                <w:rFonts w:hint="eastAsia" w:ascii="宋体" w:hAnsi="宋体" w:cs="仿宋"/>
                <w:color w:val="auto"/>
                <w:szCs w:val="21"/>
                <w:highlight w:val="none"/>
              </w:rPr>
              <w:t>质量要求</w:t>
            </w:r>
          </w:p>
        </w:tc>
        <w:tc>
          <w:tcPr>
            <w:tcW w:w="3745" w:type="dxa"/>
            <w:noWrap w:val="0"/>
            <w:vAlign w:val="center"/>
          </w:tcPr>
          <w:p w14:paraId="2017279E">
            <w:pPr>
              <w:spacing w:after="0" w:line="360" w:lineRule="auto"/>
              <w:rPr>
                <w:rFonts w:hint="eastAsia" w:ascii="宋体" w:hAnsi="宋体" w:eastAsia="宋体" w:cs="仿宋"/>
                <w:color w:val="auto"/>
                <w:szCs w:val="21"/>
                <w:highlight w:val="none"/>
                <w:lang w:eastAsia="zh-CN"/>
              </w:rPr>
            </w:pPr>
            <w:r>
              <w:rPr>
                <w:rFonts w:hint="eastAsia" w:ascii="宋体" w:hAnsi="宋体" w:cs="仿宋"/>
                <w:color w:val="auto"/>
                <w:szCs w:val="21"/>
                <w:highlight w:val="none"/>
              </w:rPr>
              <w:t>符合国家及相关行业验收标准及规范，一次性验收合格</w:t>
            </w:r>
            <w:r>
              <w:rPr>
                <w:rFonts w:hint="eastAsia" w:ascii="宋体" w:hAnsi="宋体" w:cs="仿宋"/>
                <w:color w:val="auto"/>
                <w:szCs w:val="21"/>
                <w:highlight w:val="none"/>
                <w:lang w:eastAsia="zh-CN"/>
              </w:rPr>
              <w:t>。</w:t>
            </w:r>
          </w:p>
        </w:tc>
        <w:tc>
          <w:tcPr>
            <w:tcW w:w="2223" w:type="dxa"/>
            <w:noWrap w:val="0"/>
            <w:vAlign w:val="center"/>
          </w:tcPr>
          <w:p w14:paraId="11B49943">
            <w:pPr>
              <w:spacing w:after="0" w:line="360" w:lineRule="auto"/>
              <w:rPr>
                <w:rFonts w:ascii="宋体" w:hAnsi="宋体" w:cs="仿宋"/>
                <w:color w:val="auto"/>
                <w:szCs w:val="21"/>
                <w:highlight w:val="none"/>
              </w:rPr>
            </w:pPr>
          </w:p>
        </w:tc>
      </w:tr>
      <w:tr w14:paraId="3A5C6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3328880D">
            <w:pPr>
              <w:spacing w:after="0" w:line="360" w:lineRule="auto"/>
              <w:rPr>
                <w:rFonts w:ascii="宋体" w:hAnsi="宋体"/>
                <w:color w:val="auto"/>
                <w:highlight w:val="none"/>
              </w:rPr>
            </w:pPr>
            <w:r>
              <w:rPr>
                <w:rFonts w:ascii="宋体" w:hAnsi="宋体"/>
                <w:color w:val="auto"/>
                <w:highlight w:val="none"/>
              </w:rPr>
              <w:t>5</w:t>
            </w:r>
          </w:p>
        </w:tc>
        <w:tc>
          <w:tcPr>
            <w:tcW w:w="2568" w:type="dxa"/>
            <w:noWrap w:val="0"/>
            <w:vAlign w:val="center"/>
          </w:tcPr>
          <w:p w14:paraId="4465A9CF">
            <w:pPr>
              <w:spacing w:after="0" w:line="360" w:lineRule="auto"/>
              <w:rPr>
                <w:rFonts w:ascii="宋体" w:hAnsi="宋体" w:cs="仿宋"/>
                <w:color w:val="auto"/>
                <w:szCs w:val="21"/>
                <w:highlight w:val="none"/>
              </w:rPr>
            </w:pPr>
            <w:r>
              <w:rPr>
                <w:rFonts w:ascii="宋体" w:hAnsi="宋体" w:cs="仿宋"/>
                <w:color w:val="auto"/>
                <w:szCs w:val="21"/>
                <w:highlight w:val="none"/>
              </w:rPr>
              <w:t>投标保证金</w:t>
            </w:r>
          </w:p>
        </w:tc>
        <w:tc>
          <w:tcPr>
            <w:tcW w:w="3745" w:type="dxa"/>
            <w:noWrap w:val="0"/>
            <w:vAlign w:val="center"/>
          </w:tcPr>
          <w:p w14:paraId="4A04D0FB">
            <w:pPr>
              <w:spacing w:after="0" w:line="360" w:lineRule="auto"/>
              <w:rPr>
                <w:rFonts w:ascii="宋体" w:hAnsi="宋体" w:cs="仿宋"/>
                <w:color w:val="auto"/>
                <w:szCs w:val="21"/>
                <w:highlight w:val="none"/>
                <w:u w:val="single"/>
              </w:rPr>
            </w:pPr>
            <w:r>
              <w:rPr>
                <w:rFonts w:hint="eastAsia" w:ascii="宋体" w:hAnsi="宋体" w:cs="仿宋"/>
                <w:color w:val="auto"/>
                <w:szCs w:val="21"/>
                <w:highlight w:val="none"/>
              </w:rPr>
              <w:t>人民币：</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万元</w:t>
            </w:r>
          </w:p>
        </w:tc>
        <w:tc>
          <w:tcPr>
            <w:tcW w:w="2223" w:type="dxa"/>
            <w:noWrap w:val="0"/>
            <w:vAlign w:val="center"/>
          </w:tcPr>
          <w:p w14:paraId="7D879393">
            <w:pPr>
              <w:spacing w:after="0" w:line="360" w:lineRule="auto"/>
              <w:rPr>
                <w:rFonts w:ascii="宋体" w:hAnsi="宋体" w:cs="仿宋"/>
                <w:color w:val="auto"/>
                <w:szCs w:val="21"/>
                <w:highlight w:val="none"/>
              </w:rPr>
            </w:pPr>
          </w:p>
        </w:tc>
      </w:tr>
      <w:tr w14:paraId="1EB44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43A33E39">
            <w:pPr>
              <w:spacing w:after="0" w:line="360" w:lineRule="auto"/>
              <w:rPr>
                <w:rFonts w:ascii="宋体" w:hAnsi="宋体"/>
                <w:color w:val="auto"/>
                <w:highlight w:val="none"/>
              </w:rPr>
            </w:pPr>
            <w:r>
              <w:rPr>
                <w:rFonts w:ascii="宋体" w:hAnsi="宋体"/>
                <w:color w:val="auto"/>
                <w:highlight w:val="none"/>
              </w:rPr>
              <w:t>6</w:t>
            </w:r>
          </w:p>
        </w:tc>
        <w:tc>
          <w:tcPr>
            <w:tcW w:w="2568" w:type="dxa"/>
            <w:noWrap w:val="0"/>
            <w:vAlign w:val="center"/>
          </w:tcPr>
          <w:p w14:paraId="6BBA2080">
            <w:pPr>
              <w:spacing w:after="0" w:line="360" w:lineRule="auto"/>
              <w:rPr>
                <w:rFonts w:ascii="宋体" w:hAnsi="宋体" w:cs="仿宋"/>
                <w:color w:val="auto"/>
                <w:szCs w:val="21"/>
                <w:highlight w:val="none"/>
              </w:rPr>
            </w:pPr>
            <w:r>
              <w:rPr>
                <w:rFonts w:hint="eastAsia" w:ascii="宋体" w:hAnsi="宋体" w:cs="仿宋"/>
                <w:color w:val="auto"/>
                <w:szCs w:val="21"/>
                <w:highlight w:val="none"/>
              </w:rPr>
              <w:t>履约担保金额</w:t>
            </w:r>
          </w:p>
        </w:tc>
        <w:tc>
          <w:tcPr>
            <w:tcW w:w="3745" w:type="dxa"/>
            <w:noWrap w:val="0"/>
            <w:vAlign w:val="center"/>
          </w:tcPr>
          <w:p w14:paraId="3AA20AD3">
            <w:pPr>
              <w:spacing w:after="0" w:line="360" w:lineRule="auto"/>
              <w:rPr>
                <w:rFonts w:ascii="宋体" w:hAnsi="宋体" w:cs="仿宋"/>
                <w:color w:val="auto"/>
                <w:szCs w:val="21"/>
                <w:highlight w:val="none"/>
              </w:rPr>
            </w:pPr>
            <w:r>
              <w:rPr>
                <w:rFonts w:hint="eastAsia" w:ascii="宋体" w:hAnsi="宋体" w:cs="仿宋"/>
                <w:color w:val="auto"/>
                <w:szCs w:val="21"/>
                <w:highlight w:val="none"/>
              </w:rPr>
              <w:t>缴纳中标总金额5</w:t>
            </w:r>
            <w:r>
              <w:rPr>
                <w:rFonts w:ascii="宋体" w:hAnsi="宋体" w:cs="仿宋"/>
                <w:color w:val="auto"/>
                <w:szCs w:val="21"/>
                <w:highlight w:val="none"/>
              </w:rPr>
              <w:t>%</w:t>
            </w:r>
            <w:r>
              <w:rPr>
                <w:rFonts w:hint="eastAsia" w:ascii="宋体" w:hAnsi="宋体" w:cs="仿宋"/>
                <w:color w:val="auto"/>
                <w:szCs w:val="21"/>
                <w:highlight w:val="none"/>
              </w:rPr>
              <w:t>的履约保证金，中标总金额</w:t>
            </w:r>
            <w:r>
              <w:rPr>
                <w:rFonts w:ascii="宋体" w:hAnsi="宋体" w:cs="仿宋"/>
                <w:color w:val="auto"/>
                <w:szCs w:val="21"/>
                <w:highlight w:val="none"/>
              </w:rPr>
              <w:t>3%</w:t>
            </w:r>
            <w:r>
              <w:rPr>
                <w:rFonts w:hint="eastAsia" w:ascii="宋体" w:hAnsi="宋体" w:cs="仿宋"/>
                <w:color w:val="auto"/>
                <w:szCs w:val="21"/>
                <w:highlight w:val="none"/>
              </w:rPr>
              <w:t>的农民工工资保证金。</w:t>
            </w:r>
          </w:p>
        </w:tc>
        <w:tc>
          <w:tcPr>
            <w:tcW w:w="2223" w:type="dxa"/>
            <w:noWrap w:val="0"/>
            <w:vAlign w:val="center"/>
          </w:tcPr>
          <w:p w14:paraId="1782C26D">
            <w:pPr>
              <w:spacing w:after="0" w:line="360" w:lineRule="auto"/>
              <w:rPr>
                <w:rFonts w:ascii="宋体" w:hAnsi="宋体" w:cs="仿宋"/>
                <w:color w:val="auto"/>
                <w:szCs w:val="21"/>
                <w:highlight w:val="none"/>
              </w:rPr>
            </w:pPr>
          </w:p>
        </w:tc>
      </w:tr>
      <w:tr w14:paraId="302FA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66920339">
            <w:pPr>
              <w:spacing w:after="0" w:line="360" w:lineRule="auto"/>
              <w:rPr>
                <w:rFonts w:ascii="宋体" w:hAnsi="宋体"/>
                <w:color w:val="auto"/>
                <w:highlight w:val="none"/>
              </w:rPr>
            </w:pPr>
            <w:r>
              <w:rPr>
                <w:rFonts w:ascii="宋体" w:hAnsi="宋体"/>
                <w:color w:val="auto"/>
                <w:highlight w:val="none"/>
              </w:rPr>
              <w:t>7</w:t>
            </w:r>
          </w:p>
        </w:tc>
        <w:tc>
          <w:tcPr>
            <w:tcW w:w="2568" w:type="dxa"/>
            <w:noWrap w:val="0"/>
            <w:vAlign w:val="center"/>
          </w:tcPr>
          <w:p w14:paraId="3100E30D">
            <w:pPr>
              <w:spacing w:after="0" w:line="360" w:lineRule="auto"/>
              <w:rPr>
                <w:rFonts w:ascii="宋体" w:hAnsi="宋体" w:cs="仿宋"/>
                <w:color w:val="auto"/>
                <w:szCs w:val="21"/>
                <w:highlight w:val="none"/>
              </w:rPr>
            </w:pPr>
            <w:r>
              <w:rPr>
                <w:rFonts w:hint="eastAsia" w:ascii="宋体" w:hAnsi="宋体" w:cs="仿宋"/>
                <w:color w:val="auto"/>
                <w:szCs w:val="21"/>
                <w:highlight w:val="none"/>
              </w:rPr>
              <w:t>未付款额的利率</w:t>
            </w:r>
          </w:p>
        </w:tc>
        <w:tc>
          <w:tcPr>
            <w:tcW w:w="3745" w:type="dxa"/>
            <w:noWrap w:val="0"/>
            <w:vAlign w:val="center"/>
          </w:tcPr>
          <w:p w14:paraId="46DA3C51">
            <w:pPr>
              <w:spacing w:after="0" w:line="360" w:lineRule="auto"/>
              <w:rPr>
                <w:rFonts w:ascii="宋体" w:hAnsi="宋体" w:cs="仿宋"/>
                <w:color w:val="auto"/>
                <w:szCs w:val="21"/>
                <w:highlight w:val="none"/>
              </w:rPr>
            </w:pPr>
            <w:r>
              <w:rPr>
                <w:rFonts w:hint="eastAsia" w:ascii="宋体" w:hAnsi="宋体" w:cs="仿宋"/>
                <w:color w:val="auto"/>
                <w:szCs w:val="21"/>
                <w:highlight w:val="none"/>
              </w:rPr>
              <w:t>不支付利息</w:t>
            </w:r>
          </w:p>
        </w:tc>
        <w:tc>
          <w:tcPr>
            <w:tcW w:w="2223" w:type="dxa"/>
            <w:noWrap w:val="0"/>
            <w:vAlign w:val="center"/>
          </w:tcPr>
          <w:p w14:paraId="15C0DBB3">
            <w:pPr>
              <w:spacing w:after="0" w:line="360" w:lineRule="auto"/>
              <w:rPr>
                <w:rFonts w:ascii="宋体" w:hAnsi="宋体" w:cs="仿宋"/>
                <w:color w:val="auto"/>
                <w:szCs w:val="21"/>
                <w:highlight w:val="none"/>
              </w:rPr>
            </w:pPr>
          </w:p>
        </w:tc>
      </w:tr>
      <w:tr w14:paraId="282719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4D85F2FD">
            <w:pPr>
              <w:spacing w:after="0" w:line="360" w:lineRule="auto"/>
              <w:rPr>
                <w:rFonts w:ascii="宋体" w:hAnsi="宋体"/>
                <w:color w:val="auto"/>
                <w:highlight w:val="none"/>
              </w:rPr>
            </w:pPr>
            <w:r>
              <w:rPr>
                <w:rFonts w:ascii="宋体" w:hAnsi="宋体"/>
                <w:color w:val="auto"/>
                <w:highlight w:val="none"/>
              </w:rPr>
              <w:t>8</w:t>
            </w:r>
          </w:p>
        </w:tc>
        <w:tc>
          <w:tcPr>
            <w:tcW w:w="2568" w:type="dxa"/>
            <w:noWrap w:val="0"/>
            <w:vAlign w:val="center"/>
          </w:tcPr>
          <w:p w14:paraId="0A71E39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逾期完工违约金</w:t>
            </w:r>
          </w:p>
        </w:tc>
        <w:tc>
          <w:tcPr>
            <w:tcW w:w="3745" w:type="dxa"/>
            <w:noWrap w:val="0"/>
            <w:vAlign w:val="center"/>
          </w:tcPr>
          <w:p w14:paraId="5E8B29C6">
            <w:pPr>
              <w:pStyle w:val="52"/>
              <w:spacing w:before="0" w:beforeAutospacing="0" w:after="0" w:afterAutospacing="0" w:line="360" w:lineRule="auto"/>
              <w:jc w:val="both"/>
              <w:rPr>
                <w:rFonts w:ascii="宋体" w:hAnsi="宋体" w:cs="仿宋"/>
                <w:color w:val="auto"/>
                <w:sz w:val="21"/>
                <w:szCs w:val="21"/>
                <w:highlight w:val="none"/>
              </w:rPr>
            </w:pPr>
            <w:r>
              <w:rPr>
                <w:rFonts w:ascii="宋体" w:hAnsi="宋体" w:cs="仿宋"/>
                <w:color w:val="auto"/>
                <w:sz w:val="21"/>
                <w:szCs w:val="21"/>
                <w:highlight w:val="none"/>
                <w:u w:val="single"/>
              </w:rPr>
              <w:t>2</w:t>
            </w:r>
            <w:r>
              <w:rPr>
                <w:rFonts w:hint="eastAsia" w:ascii="宋体" w:hAnsi="宋体" w:cs="仿宋"/>
                <w:color w:val="auto"/>
                <w:sz w:val="21"/>
                <w:szCs w:val="21"/>
                <w:highlight w:val="none"/>
                <w:u w:val="single"/>
              </w:rPr>
              <w:t>0</w:t>
            </w:r>
            <w:r>
              <w:rPr>
                <w:rFonts w:ascii="宋体" w:hAnsi="宋体" w:cs="仿宋"/>
                <w:color w:val="auto"/>
                <w:sz w:val="21"/>
                <w:szCs w:val="21"/>
                <w:highlight w:val="none"/>
                <w:u w:val="single"/>
              </w:rPr>
              <w:t>00</w:t>
            </w:r>
            <w:r>
              <w:rPr>
                <w:rFonts w:hint="eastAsia" w:ascii="宋体" w:hAnsi="宋体" w:cs="仿宋"/>
                <w:color w:val="auto"/>
                <w:sz w:val="21"/>
                <w:szCs w:val="21"/>
                <w:highlight w:val="none"/>
              </w:rPr>
              <w:t>元</w:t>
            </w:r>
            <w:r>
              <w:rPr>
                <w:rFonts w:ascii="宋体" w:hAnsi="宋体" w:cs="仿宋"/>
                <w:color w:val="auto"/>
                <w:sz w:val="21"/>
                <w:szCs w:val="21"/>
                <w:highlight w:val="none"/>
              </w:rPr>
              <w:t>/</w:t>
            </w:r>
            <w:r>
              <w:rPr>
                <w:rFonts w:hint="eastAsia" w:ascii="宋体" w:hAnsi="宋体" w:cs="仿宋"/>
                <w:color w:val="auto"/>
                <w:sz w:val="21"/>
                <w:szCs w:val="21"/>
                <w:highlight w:val="none"/>
              </w:rPr>
              <w:t>天</w:t>
            </w:r>
          </w:p>
        </w:tc>
        <w:tc>
          <w:tcPr>
            <w:tcW w:w="2223" w:type="dxa"/>
            <w:noWrap w:val="0"/>
            <w:vAlign w:val="center"/>
          </w:tcPr>
          <w:p w14:paraId="092E076A">
            <w:pPr>
              <w:pStyle w:val="52"/>
              <w:spacing w:before="0" w:beforeAutospacing="0" w:after="0" w:afterAutospacing="0" w:line="360" w:lineRule="auto"/>
              <w:jc w:val="both"/>
              <w:rPr>
                <w:rFonts w:ascii="宋体" w:hAnsi="宋体" w:cs="仿宋"/>
                <w:color w:val="auto"/>
                <w:sz w:val="21"/>
                <w:szCs w:val="21"/>
                <w:highlight w:val="none"/>
              </w:rPr>
            </w:pPr>
          </w:p>
        </w:tc>
      </w:tr>
      <w:tr w14:paraId="23AD7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772A7B8E">
            <w:pPr>
              <w:spacing w:after="0" w:line="360" w:lineRule="auto"/>
              <w:rPr>
                <w:rFonts w:ascii="宋体" w:hAnsi="宋体"/>
                <w:color w:val="auto"/>
                <w:highlight w:val="none"/>
              </w:rPr>
            </w:pPr>
            <w:r>
              <w:rPr>
                <w:rFonts w:ascii="宋体" w:hAnsi="宋体"/>
                <w:color w:val="auto"/>
                <w:highlight w:val="none"/>
              </w:rPr>
              <w:t>9</w:t>
            </w:r>
          </w:p>
        </w:tc>
        <w:tc>
          <w:tcPr>
            <w:tcW w:w="2568" w:type="dxa"/>
            <w:noWrap w:val="0"/>
            <w:vAlign w:val="center"/>
          </w:tcPr>
          <w:p w14:paraId="4C1BD0B4">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逾期完工违约金限额</w:t>
            </w:r>
          </w:p>
        </w:tc>
        <w:tc>
          <w:tcPr>
            <w:tcW w:w="3745" w:type="dxa"/>
            <w:noWrap w:val="0"/>
            <w:vAlign w:val="center"/>
          </w:tcPr>
          <w:p w14:paraId="09342569">
            <w:pPr>
              <w:pStyle w:val="52"/>
              <w:spacing w:before="0" w:beforeAutospacing="0" w:after="0" w:afterAutospacing="0" w:line="360" w:lineRule="auto"/>
              <w:jc w:val="both"/>
              <w:rPr>
                <w:rFonts w:ascii="宋体" w:hAnsi="宋体" w:cs="仿宋"/>
                <w:color w:val="auto"/>
                <w:sz w:val="21"/>
                <w:szCs w:val="21"/>
                <w:highlight w:val="none"/>
              </w:rPr>
            </w:pPr>
            <w:r>
              <w:rPr>
                <w:rFonts w:ascii="宋体" w:hAnsi="宋体" w:cs="仿宋"/>
                <w:color w:val="auto"/>
                <w:sz w:val="21"/>
                <w:szCs w:val="21"/>
                <w:highlight w:val="none"/>
              </w:rPr>
              <w:t>5%</w:t>
            </w:r>
            <w:r>
              <w:rPr>
                <w:rFonts w:hint="eastAsia" w:ascii="宋体" w:hAnsi="宋体" w:cs="仿宋"/>
                <w:color w:val="auto"/>
                <w:sz w:val="21"/>
                <w:szCs w:val="21"/>
                <w:highlight w:val="none"/>
              </w:rPr>
              <w:t>签约合同价</w:t>
            </w:r>
          </w:p>
        </w:tc>
        <w:tc>
          <w:tcPr>
            <w:tcW w:w="2223" w:type="dxa"/>
            <w:noWrap w:val="0"/>
            <w:vAlign w:val="center"/>
          </w:tcPr>
          <w:p w14:paraId="339AAF30">
            <w:pPr>
              <w:pStyle w:val="52"/>
              <w:spacing w:before="0" w:beforeAutospacing="0" w:after="0" w:afterAutospacing="0" w:line="360" w:lineRule="auto"/>
              <w:jc w:val="both"/>
              <w:rPr>
                <w:rFonts w:ascii="宋体" w:hAnsi="宋体" w:cs="仿宋"/>
                <w:color w:val="auto"/>
                <w:sz w:val="21"/>
                <w:szCs w:val="21"/>
                <w:highlight w:val="none"/>
              </w:rPr>
            </w:pPr>
          </w:p>
        </w:tc>
      </w:tr>
      <w:tr w14:paraId="3DC93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51A26041">
            <w:pPr>
              <w:spacing w:after="0" w:line="360" w:lineRule="auto"/>
              <w:rPr>
                <w:rFonts w:ascii="宋体" w:hAnsi="宋体"/>
                <w:color w:val="auto"/>
                <w:highlight w:val="none"/>
              </w:rPr>
            </w:pPr>
            <w:r>
              <w:rPr>
                <w:rFonts w:ascii="宋体" w:hAnsi="宋体"/>
                <w:color w:val="auto"/>
                <w:highlight w:val="none"/>
              </w:rPr>
              <w:t>10</w:t>
            </w:r>
          </w:p>
        </w:tc>
        <w:tc>
          <w:tcPr>
            <w:tcW w:w="2568" w:type="dxa"/>
            <w:noWrap w:val="0"/>
            <w:vAlign w:val="center"/>
          </w:tcPr>
          <w:p w14:paraId="547650C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价格调整的差额计算</w:t>
            </w:r>
          </w:p>
        </w:tc>
        <w:tc>
          <w:tcPr>
            <w:tcW w:w="3745" w:type="dxa"/>
            <w:noWrap w:val="0"/>
            <w:vAlign w:val="center"/>
          </w:tcPr>
          <w:p w14:paraId="103E7C10">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合同期内不调价差</w:t>
            </w:r>
          </w:p>
        </w:tc>
        <w:tc>
          <w:tcPr>
            <w:tcW w:w="2223" w:type="dxa"/>
            <w:noWrap w:val="0"/>
            <w:vAlign w:val="center"/>
          </w:tcPr>
          <w:p w14:paraId="2750177C">
            <w:pPr>
              <w:pStyle w:val="52"/>
              <w:spacing w:before="0" w:beforeAutospacing="0" w:after="0" w:afterAutospacing="0" w:line="360" w:lineRule="auto"/>
              <w:jc w:val="both"/>
              <w:rPr>
                <w:rFonts w:ascii="宋体" w:hAnsi="宋体" w:cs="仿宋"/>
                <w:color w:val="auto"/>
                <w:sz w:val="21"/>
                <w:szCs w:val="21"/>
                <w:highlight w:val="none"/>
              </w:rPr>
            </w:pPr>
          </w:p>
        </w:tc>
      </w:tr>
      <w:tr w14:paraId="11E28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04FA0D26">
            <w:pPr>
              <w:spacing w:after="0" w:line="360" w:lineRule="auto"/>
              <w:rPr>
                <w:rFonts w:ascii="宋体" w:hAnsi="宋体"/>
                <w:color w:val="auto"/>
                <w:highlight w:val="none"/>
              </w:rPr>
            </w:pPr>
            <w:r>
              <w:rPr>
                <w:rFonts w:ascii="宋体" w:hAnsi="宋体"/>
                <w:color w:val="auto"/>
                <w:highlight w:val="none"/>
              </w:rPr>
              <w:t>11</w:t>
            </w:r>
          </w:p>
        </w:tc>
        <w:tc>
          <w:tcPr>
            <w:tcW w:w="2568" w:type="dxa"/>
            <w:noWrap w:val="0"/>
            <w:vAlign w:val="center"/>
          </w:tcPr>
          <w:p w14:paraId="4AA403B5">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开工预付款金额</w:t>
            </w:r>
          </w:p>
        </w:tc>
        <w:tc>
          <w:tcPr>
            <w:tcW w:w="3745" w:type="dxa"/>
            <w:noWrap w:val="0"/>
            <w:vAlign w:val="center"/>
          </w:tcPr>
          <w:p w14:paraId="6498C129">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按发包方及中标人签署的施工承包合同约定执行。</w:t>
            </w:r>
          </w:p>
        </w:tc>
        <w:tc>
          <w:tcPr>
            <w:tcW w:w="2223" w:type="dxa"/>
            <w:noWrap w:val="0"/>
            <w:vAlign w:val="center"/>
          </w:tcPr>
          <w:p w14:paraId="4F0719AD">
            <w:pPr>
              <w:pStyle w:val="52"/>
              <w:spacing w:before="0" w:beforeAutospacing="0" w:after="0" w:afterAutospacing="0" w:line="360" w:lineRule="auto"/>
              <w:jc w:val="both"/>
              <w:rPr>
                <w:rFonts w:ascii="宋体" w:hAnsi="宋体" w:cs="仿宋"/>
                <w:color w:val="auto"/>
                <w:sz w:val="21"/>
                <w:szCs w:val="21"/>
                <w:highlight w:val="none"/>
              </w:rPr>
            </w:pPr>
          </w:p>
        </w:tc>
      </w:tr>
      <w:tr w14:paraId="7802B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6B1C6B68">
            <w:pPr>
              <w:spacing w:after="0" w:line="360" w:lineRule="auto"/>
              <w:rPr>
                <w:rFonts w:ascii="宋体" w:hAnsi="宋体"/>
                <w:color w:val="auto"/>
                <w:highlight w:val="none"/>
              </w:rPr>
            </w:pPr>
            <w:r>
              <w:rPr>
                <w:rFonts w:ascii="宋体" w:hAnsi="宋体"/>
                <w:color w:val="auto"/>
                <w:highlight w:val="none"/>
              </w:rPr>
              <w:t>12</w:t>
            </w:r>
          </w:p>
        </w:tc>
        <w:tc>
          <w:tcPr>
            <w:tcW w:w="2568" w:type="dxa"/>
            <w:noWrap w:val="0"/>
            <w:vAlign w:val="center"/>
          </w:tcPr>
          <w:p w14:paraId="70C19B29">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工程材料预付款比例</w:t>
            </w:r>
          </w:p>
        </w:tc>
        <w:tc>
          <w:tcPr>
            <w:tcW w:w="3745" w:type="dxa"/>
            <w:noWrap w:val="0"/>
            <w:vAlign w:val="center"/>
          </w:tcPr>
          <w:p w14:paraId="4A7DD5FB">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不支付</w:t>
            </w:r>
          </w:p>
        </w:tc>
        <w:tc>
          <w:tcPr>
            <w:tcW w:w="2223" w:type="dxa"/>
            <w:noWrap w:val="0"/>
            <w:vAlign w:val="center"/>
          </w:tcPr>
          <w:p w14:paraId="44A2ACDE">
            <w:pPr>
              <w:pStyle w:val="52"/>
              <w:spacing w:before="0" w:beforeAutospacing="0" w:after="0" w:afterAutospacing="0" w:line="360" w:lineRule="auto"/>
              <w:jc w:val="both"/>
              <w:rPr>
                <w:rFonts w:ascii="宋体" w:hAnsi="宋体" w:cs="仿宋"/>
                <w:color w:val="auto"/>
                <w:sz w:val="21"/>
                <w:szCs w:val="21"/>
                <w:highlight w:val="none"/>
              </w:rPr>
            </w:pPr>
          </w:p>
        </w:tc>
      </w:tr>
    </w:tbl>
    <w:p w14:paraId="6BBED911">
      <w:pPr>
        <w:spacing w:after="0" w:line="360" w:lineRule="auto"/>
        <w:jc w:val="center"/>
        <w:rPr>
          <w:rFonts w:ascii="宋体" w:hAnsi="宋体"/>
          <w:b/>
          <w:color w:val="auto"/>
          <w:sz w:val="24"/>
          <w:highlight w:val="none"/>
        </w:rPr>
      </w:pPr>
    </w:p>
    <w:p w14:paraId="70C0CCE5">
      <w:pPr>
        <w:tabs>
          <w:tab w:val="left" w:pos="4605"/>
        </w:tabs>
        <w:adjustRightInd w:val="0"/>
        <w:snapToGrid w:val="0"/>
        <w:spacing w:after="0" w:line="360" w:lineRule="auto"/>
        <w:ind w:firstLine="3045" w:firstLineChars="1450"/>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6933F930">
      <w:pPr>
        <w:tabs>
          <w:tab w:val="left" w:pos="4605"/>
        </w:tabs>
        <w:adjustRightInd w:val="0"/>
        <w:snapToGrid w:val="0"/>
        <w:spacing w:after="0" w:line="360" w:lineRule="auto"/>
        <w:ind w:firstLine="3045" w:firstLineChars="1450"/>
        <w:outlineLvl w:val="1"/>
        <w:rPr>
          <w:rFonts w:ascii="宋体" w:hAnsi="宋体"/>
          <w:color w:val="auto"/>
          <w:highlight w:val="none"/>
          <w:u w:val="single"/>
        </w:rPr>
      </w:pPr>
      <w:bookmarkStart w:id="993" w:name="_Toc19334"/>
      <w:bookmarkStart w:id="994" w:name="_Toc14474"/>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bookmarkEnd w:id="993"/>
      <w:bookmarkEnd w:id="994"/>
    </w:p>
    <w:p w14:paraId="7FA90B80">
      <w:pPr>
        <w:spacing w:after="0" w:line="360" w:lineRule="auto"/>
        <w:ind w:firstLine="3045" w:firstLineChars="1450"/>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695D9F7D">
      <w:pPr>
        <w:pStyle w:val="52"/>
        <w:spacing w:before="0" w:beforeAutospacing="0" w:after="0" w:afterAutospacing="0" w:line="360" w:lineRule="auto"/>
        <w:rPr>
          <w:rFonts w:ascii="宋体" w:hAnsi="宋体"/>
          <w:b/>
          <w:bCs/>
          <w:color w:val="auto"/>
          <w:kern w:val="0"/>
          <w:sz w:val="24"/>
          <w:szCs w:val="32"/>
          <w:highlight w:val="none"/>
          <w:lang w:val="zh-CN"/>
        </w:rPr>
      </w:pPr>
      <w:r>
        <w:rPr>
          <w:rFonts w:hint="eastAsia" w:ascii="宋体" w:hAnsi="宋体" w:cs="仿宋"/>
          <w:color w:val="auto"/>
          <w:sz w:val="21"/>
          <w:szCs w:val="21"/>
          <w:highlight w:val="none"/>
        </w:rPr>
        <w:t>注：①招标人已在“招标人约定内容”作出明确约定的，投标人应在“投标人承诺内容”应填写“同意”或“响应”；②招标人未作明确约定的，投标人应在“投标人承诺内容”应作出具体承诺；③不按要求填写将视为不通过形式评审。</w:t>
      </w:r>
      <w:bookmarkEnd w:id="992"/>
      <w:bookmarkStart w:id="995" w:name="_Toc222029561"/>
      <w:bookmarkStart w:id="996" w:name="_Toc222032730"/>
      <w:bookmarkStart w:id="997" w:name="_Toc168476321"/>
      <w:bookmarkStart w:id="998" w:name="_Toc229305421"/>
      <w:bookmarkStart w:id="999" w:name="_Toc168475918"/>
      <w:bookmarkStart w:id="1000" w:name="_Toc222031063"/>
      <w:bookmarkStart w:id="1001" w:name="_Toc222033912"/>
      <w:bookmarkStart w:id="1002" w:name="_Toc144974860"/>
      <w:bookmarkStart w:id="1003" w:name="_Toc221952013"/>
      <w:r>
        <w:rPr>
          <w:rFonts w:ascii="宋体" w:hAnsi="宋体"/>
          <w:color w:val="auto"/>
          <w:sz w:val="24"/>
          <w:highlight w:val="none"/>
        </w:rPr>
        <w:br w:type="page"/>
      </w:r>
    </w:p>
    <w:p w14:paraId="788DC957">
      <w:pPr>
        <w:pStyle w:val="5"/>
        <w:spacing w:before="0" w:after="0" w:line="360" w:lineRule="auto"/>
        <w:jc w:val="center"/>
        <w:rPr>
          <w:rFonts w:ascii="宋体" w:hAnsi="宋体" w:eastAsia="宋体"/>
          <w:color w:val="auto"/>
          <w:sz w:val="24"/>
          <w:highlight w:val="none"/>
        </w:rPr>
      </w:pPr>
      <w:bookmarkStart w:id="1004" w:name="_Toc11283_WPSOffice_Level1"/>
      <w:bookmarkStart w:id="1005" w:name="_Toc95257511"/>
      <w:bookmarkStart w:id="1006" w:name="_Toc19884"/>
      <w:bookmarkStart w:id="1007" w:name="_Toc21378"/>
      <w:r>
        <w:rPr>
          <w:rFonts w:hint="eastAsia" w:ascii="宋体" w:hAnsi="宋体" w:eastAsia="宋体"/>
          <w:color w:val="auto"/>
          <w:sz w:val="24"/>
          <w:highlight w:val="none"/>
        </w:rPr>
        <w:t>二</w:t>
      </w:r>
      <w:r>
        <w:rPr>
          <w:rFonts w:ascii="宋体" w:hAnsi="宋体" w:eastAsia="宋体"/>
          <w:color w:val="auto"/>
          <w:sz w:val="24"/>
          <w:highlight w:val="none"/>
        </w:rPr>
        <w:t>、法定代表人身份证明</w:t>
      </w:r>
      <w:bookmarkEnd w:id="995"/>
      <w:bookmarkEnd w:id="996"/>
      <w:bookmarkEnd w:id="997"/>
      <w:bookmarkEnd w:id="998"/>
      <w:bookmarkEnd w:id="999"/>
      <w:bookmarkEnd w:id="1000"/>
      <w:bookmarkEnd w:id="1001"/>
      <w:bookmarkEnd w:id="1002"/>
      <w:bookmarkEnd w:id="1003"/>
      <w:bookmarkEnd w:id="1004"/>
      <w:bookmarkEnd w:id="1005"/>
      <w:bookmarkEnd w:id="1006"/>
      <w:bookmarkEnd w:id="1007"/>
    </w:p>
    <w:p w14:paraId="6A0867A1">
      <w:pPr>
        <w:spacing w:after="0" w:line="360" w:lineRule="auto"/>
        <w:rPr>
          <w:rFonts w:ascii="宋体" w:hAnsi="宋体"/>
          <w:color w:val="auto"/>
          <w:highlight w:val="none"/>
        </w:rPr>
      </w:pPr>
    </w:p>
    <w:p w14:paraId="3C342715">
      <w:pPr>
        <w:spacing w:after="0" w:line="360" w:lineRule="auto"/>
        <w:ind w:firstLine="420" w:firstLineChars="200"/>
        <w:rPr>
          <w:rFonts w:ascii="宋体" w:hAnsi="宋体"/>
          <w:color w:val="auto"/>
          <w:szCs w:val="21"/>
          <w:highlight w:val="none"/>
        </w:rPr>
      </w:pPr>
      <w:bookmarkStart w:id="1008" w:name="_Toc221952014"/>
      <w:r>
        <w:rPr>
          <w:rFonts w:ascii="宋体" w:hAnsi="宋体"/>
          <w:color w:val="auto"/>
          <w:szCs w:val="21"/>
          <w:highlight w:val="none"/>
        </w:rPr>
        <w:t>投标人名称：</w:t>
      </w:r>
      <w:bookmarkEnd w:id="1008"/>
      <w:r>
        <w:rPr>
          <w:rFonts w:ascii="宋体" w:hAnsi="宋体"/>
          <w:color w:val="auto"/>
          <w:szCs w:val="21"/>
          <w:highlight w:val="none"/>
          <w:u w:val="single"/>
        </w:rPr>
        <w:t xml:space="preserve">                            </w:t>
      </w:r>
      <w:r>
        <w:rPr>
          <w:rFonts w:ascii="宋体" w:hAnsi="宋体"/>
          <w:color w:val="auto"/>
          <w:szCs w:val="21"/>
          <w:highlight w:val="none"/>
        </w:rPr>
        <w:t xml:space="preserve"> </w:t>
      </w:r>
    </w:p>
    <w:p w14:paraId="5F2CCB8A">
      <w:pPr>
        <w:spacing w:after="0" w:line="360" w:lineRule="auto"/>
        <w:ind w:firstLine="420" w:firstLineChars="200"/>
        <w:rPr>
          <w:rFonts w:ascii="宋体" w:hAnsi="宋体"/>
          <w:color w:val="auto"/>
          <w:szCs w:val="21"/>
          <w:highlight w:val="none"/>
        </w:rPr>
      </w:pPr>
      <w:bookmarkStart w:id="1009" w:name="_Toc221952015"/>
      <w:r>
        <w:rPr>
          <w:rFonts w:ascii="宋体" w:hAnsi="宋体"/>
          <w:color w:val="auto"/>
          <w:szCs w:val="21"/>
          <w:highlight w:val="none"/>
        </w:rPr>
        <w:t>单位性质：</w:t>
      </w:r>
      <w:bookmarkEnd w:id="1009"/>
      <w:r>
        <w:rPr>
          <w:rFonts w:ascii="宋体" w:hAnsi="宋体"/>
          <w:color w:val="auto"/>
          <w:szCs w:val="21"/>
          <w:highlight w:val="none"/>
          <w:u w:val="single"/>
        </w:rPr>
        <w:t xml:space="preserve">                               </w:t>
      </w:r>
      <w:r>
        <w:rPr>
          <w:rFonts w:ascii="宋体" w:hAnsi="宋体"/>
          <w:color w:val="auto"/>
          <w:szCs w:val="21"/>
          <w:highlight w:val="none"/>
        </w:rPr>
        <w:t xml:space="preserve"> </w:t>
      </w:r>
    </w:p>
    <w:p w14:paraId="21B08503">
      <w:pPr>
        <w:spacing w:after="0" w:line="360" w:lineRule="auto"/>
        <w:ind w:firstLine="420" w:firstLineChars="200"/>
        <w:rPr>
          <w:rFonts w:ascii="宋体" w:hAnsi="宋体"/>
          <w:color w:val="auto"/>
          <w:szCs w:val="21"/>
          <w:highlight w:val="none"/>
        </w:rPr>
      </w:pPr>
      <w:bookmarkStart w:id="1010" w:name="_Toc221952016"/>
      <w:r>
        <w:rPr>
          <w:rFonts w:ascii="宋体" w:hAnsi="宋体"/>
          <w:color w:val="auto"/>
          <w:szCs w:val="21"/>
          <w:highlight w:val="none"/>
        </w:rPr>
        <w:t>地址：</w:t>
      </w:r>
      <w:bookmarkEnd w:id="1010"/>
      <w:r>
        <w:rPr>
          <w:rFonts w:ascii="宋体" w:hAnsi="宋体"/>
          <w:color w:val="auto"/>
          <w:szCs w:val="21"/>
          <w:highlight w:val="none"/>
          <w:u w:val="single"/>
        </w:rPr>
        <w:t xml:space="preserve">                                   </w:t>
      </w:r>
    </w:p>
    <w:p w14:paraId="3422C482">
      <w:pPr>
        <w:spacing w:after="0" w:line="360" w:lineRule="auto"/>
        <w:ind w:firstLine="420" w:firstLineChars="200"/>
        <w:rPr>
          <w:rFonts w:ascii="宋体" w:hAnsi="宋体"/>
          <w:color w:val="auto"/>
          <w:szCs w:val="21"/>
          <w:highlight w:val="none"/>
        </w:rPr>
      </w:pPr>
      <w:bookmarkStart w:id="1011" w:name="_Toc221952017"/>
      <w:r>
        <w:rPr>
          <w:rFonts w:ascii="宋体" w:hAnsi="宋体"/>
          <w:color w:val="auto"/>
          <w:szCs w:val="21"/>
          <w:highlight w:val="none"/>
        </w:rPr>
        <w:t>成立时间：</w:t>
      </w:r>
      <w:r>
        <w:rPr>
          <w:rFonts w:ascii="宋体" w:hAnsi="宋体"/>
          <w:color w:val="auto"/>
          <w:szCs w:val="21"/>
          <w:highlight w:val="none"/>
          <w:u w:val="single"/>
        </w:rPr>
        <w:t xml:space="preserve">         </w:t>
      </w:r>
      <w:r>
        <w:rPr>
          <w:rFonts w:ascii="宋体" w:hAnsi="宋体"/>
          <w:color w:val="auto"/>
          <w:szCs w:val="21"/>
          <w:highlight w:val="none"/>
        </w:rPr>
        <w:t xml:space="preserve"> 年</w:t>
      </w:r>
      <w:r>
        <w:rPr>
          <w:rFonts w:ascii="宋体" w:hAnsi="宋体"/>
          <w:color w:val="auto"/>
          <w:szCs w:val="21"/>
          <w:highlight w:val="none"/>
          <w:u w:val="single"/>
        </w:rPr>
        <w:t xml:space="preserve">       </w:t>
      </w:r>
      <w:r>
        <w:rPr>
          <w:rFonts w:ascii="宋体" w:hAnsi="宋体"/>
          <w:color w:val="auto"/>
          <w:szCs w:val="21"/>
          <w:highlight w:val="none"/>
        </w:rPr>
        <w:t xml:space="preserve"> 月</w:t>
      </w:r>
      <w:r>
        <w:rPr>
          <w:rFonts w:ascii="宋体" w:hAnsi="宋体"/>
          <w:color w:val="auto"/>
          <w:szCs w:val="21"/>
          <w:highlight w:val="none"/>
          <w:u w:val="single"/>
        </w:rPr>
        <w:t xml:space="preserve">       </w:t>
      </w:r>
      <w:r>
        <w:rPr>
          <w:rFonts w:ascii="宋体" w:hAnsi="宋体"/>
          <w:color w:val="auto"/>
          <w:szCs w:val="21"/>
          <w:highlight w:val="none"/>
        </w:rPr>
        <w:t xml:space="preserve"> 日</w:t>
      </w:r>
      <w:bookmarkEnd w:id="1011"/>
    </w:p>
    <w:p w14:paraId="77F409DE">
      <w:pPr>
        <w:spacing w:after="0" w:line="360" w:lineRule="auto"/>
        <w:ind w:firstLine="420" w:firstLineChars="200"/>
        <w:rPr>
          <w:rFonts w:ascii="宋体" w:hAnsi="宋体"/>
          <w:color w:val="auto"/>
          <w:szCs w:val="21"/>
          <w:highlight w:val="none"/>
        </w:rPr>
      </w:pPr>
      <w:bookmarkStart w:id="1012" w:name="_Toc221952018"/>
      <w:r>
        <w:rPr>
          <w:rFonts w:ascii="宋体" w:hAnsi="宋体"/>
          <w:color w:val="auto"/>
          <w:szCs w:val="21"/>
          <w:highlight w:val="none"/>
        </w:rPr>
        <w:t>经营期限：</w:t>
      </w:r>
      <w:bookmarkEnd w:id="1012"/>
      <w:r>
        <w:rPr>
          <w:rFonts w:ascii="宋体" w:hAnsi="宋体"/>
          <w:color w:val="auto"/>
          <w:szCs w:val="21"/>
          <w:highlight w:val="none"/>
          <w:u w:val="single"/>
        </w:rPr>
        <w:t xml:space="preserve">                               </w:t>
      </w:r>
    </w:p>
    <w:p w14:paraId="020AEAFE">
      <w:pPr>
        <w:spacing w:after="0" w:line="360" w:lineRule="auto"/>
        <w:ind w:firstLine="420" w:firstLineChars="200"/>
        <w:rPr>
          <w:rFonts w:ascii="宋体" w:hAnsi="宋体"/>
          <w:color w:val="auto"/>
          <w:szCs w:val="21"/>
          <w:highlight w:val="none"/>
          <w:u w:val="single"/>
        </w:rPr>
      </w:pPr>
      <w:bookmarkStart w:id="1013" w:name="_Toc221952019"/>
      <w:r>
        <w:rPr>
          <w:rFonts w:ascii="宋体" w:hAnsi="宋体"/>
          <w:color w:val="auto"/>
          <w:szCs w:val="21"/>
          <w:highlight w:val="none"/>
        </w:rPr>
        <w:t>姓名：</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 性别：</w:t>
      </w:r>
      <w:r>
        <w:rPr>
          <w:rFonts w:ascii="宋体" w:hAnsi="宋体"/>
          <w:color w:val="auto"/>
          <w:szCs w:val="21"/>
          <w:highlight w:val="none"/>
          <w:u w:val="single"/>
        </w:rPr>
        <w:t xml:space="preserve">         </w:t>
      </w:r>
      <w:r>
        <w:rPr>
          <w:rFonts w:ascii="宋体" w:hAnsi="宋体"/>
          <w:color w:val="auto"/>
          <w:szCs w:val="21"/>
          <w:highlight w:val="none"/>
        </w:rPr>
        <w:t>年龄：</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p>
    <w:p w14:paraId="0A12A2BD">
      <w:pPr>
        <w:spacing w:after="0"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身份证号码：</w:t>
      </w:r>
      <w:r>
        <w:rPr>
          <w:rFonts w:hint="eastAsia" w:ascii="宋体" w:hAnsi="宋体"/>
          <w:color w:val="auto"/>
          <w:szCs w:val="21"/>
          <w:highlight w:val="none"/>
          <w:u w:val="single"/>
        </w:rPr>
        <w:t xml:space="preserve">                    </w:t>
      </w:r>
      <w:r>
        <w:rPr>
          <w:rFonts w:ascii="宋体" w:hAnsi="宋体"/>
          <w:color w:val="auto"/>
          <w:szCs w:val="21"/>
          <w:highlight w:val="none"/>
        </w:rPr>
        <w:t>职务：</w:t>
      </w:r>
      <w:bookmarkEnd w:id="1013"/>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bookmarkStart w:id="1014" w:name="_Toc221952020"/>
    </w:p>
    <w:p w14:paraId="0F2DA3AF">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(投标人名称</w:t>
      </w:r>
      <w:r>
        <w:rPr>
          <w:rFonts w:hint="eastAsia" w:ascii="宋体" w:hAnsi="宋体"/>
          <w:color w:val="auto"/>
          <w:szCs w:val="21"/>
          <w:highlight w:val="none"/>
          <w:lang w:eastAsia="zh-CN"/>
        </w:rPr>
        <w:t>）</w:t>
      </w:r>
      <w:r>
        <w:rPr>
          <w:rFonts w:ascii="宋体" w:hAnsi="宋体"/>
          <w:color w:val="auto"/>
          <w:szCs w:val="21"/>
          <w:highlight w:val="none"/>
        </w:rPr>
        <w:t>的法定代表人。</w:t>
      </w:r>
      <w:bookmarkEnd w:id="1014"/>
    </w:p>
    <w:p w14:paraId="33C69FB3">
      <w:pPr>
        <w:spacing w:after="0" w:line="360" w:lineRule="auto"/>
        <w:ind w:firstLine="420" w:firstLineChars="200"/>
        <w:rPr>
          <w:rFonts w:ascii="宋体" w:hAnsi="宋体"/>
          <w:color w:val="auto"/>
          <w:szCs w:val="21"/>
          <w:highlight w:val="none"/>
        </w:rPr>
      </w:pPr>
      <w:bookmarkStart w:id="1015" w:name="_Toc221952021"/>
      <w:r>
        <w:rPr>
          <w:rFonts w:ascii="宋体" w:hAnsi="宋体"/>
          <w:color w:val="auto"/>
          <w:szCs w:val="21"/>
          <w:highlight w:val="none"/>
        </w:rPr>
        <w:t>特此证明。</w:t>
      </w:r>
      <w:bookmarkEnd w:id="1015"/>
    </w:p>
    <w:p w14:paraId="3B08AA14">
      <w:pPr>
        <w:spacing w:after="0"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bookmarkStart w:id="1016" w:name="_Toc221952022"/>
      <w:r>
        <w:rPr>
          <w:rFonts w:ascii="宋体" w:hAnsi="宋体"/>
          <w:color w:val="auto"/>
          <w:szCs w:val="21"/>
          <w:highlight w:val="none"/>
        </w:rPr>
        <w:t>投标人：</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电子签章</w:t>
      </w:r>
      <w:r>
        <w:rPr>
          <w:rFonts w:ascii="宋体" w:hAnsi="宋体"/>
          <w:color w:val="auto"/>
          <w:szCs w:val="21"/>
          <w:highlight w:val="none"/>
        </w:rPr>
        <w:t>）</w:t>
      </w:r>
      <w:bookmarkEnd w:id="1016"/>
    </w:p>
    <w:p w14:paraId="69CDB1AF">
      <w:pPr>
        <w:spacing w:after="0"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日期：</w:t>
      </w:r>
      <w:r>
        <w:rPr>
          <w:rFonts w:ascii="宋体" w:hAnsi="宋体"/>
          <w:color w:val="auto"/>
          <w:szCs w:val="21"/>
          <w:highlight w:val="none"/>
          <w:u w:val="single"/>
        </w:rPr>
        <w:t xml:space="preserve">      </w:t>
      </w:r>
      <w:bookmarkStart w:id="1017" w:name="_Toc221952023"/>
      <w:r>
        <w:rPr>
          <w:rFonts w:ascii="宋体" w:hAnsi="宋体"/>
          <w:color w:val="auto"/>
          <w:szCs w:val="21"/>
          <w:highlight w:val="none"/>
        </w:rPr>
        <w:t>年</w:t>
      </w:r>
      <w:r>
        <w:rPr>
          <w:rFonts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ascii="宋体" w:hAnsi="宋体"/>
          <w:color w:val="auto"/>
          <w:szCs w:val="21"/>
          <w:highlight w:val="none"/>
        </w:rPr>
        <w:t>日</w:t>
      </w:r>
      <w:bookmarkEnd w:id="1017"/>
    </w:p>
    <w:p w14:paraId="595D7882">
      <w:pPr>
        <w:tabs>
          <w:tab w:val="left" w:pos="720"/>
          <w:tab w:val="left" w:pos="900"/>
        </w:tabs>
        <w:spacing w:after="0" w:line="360" w:lineRule="auto"/>
        <w:rPr>
          <w:rFonts w:ascii="宋体" w:hAnsi="宋体"/>
          <w:color w:val="auto"/>
          <w:highlight w:val="none"/>
        </w:rPr>
      </w:pPr>
      <w:r>
        <w:rPr>
          <w:rFonts w:hint="eastAsia" w:ascii="宋体" w:hAnsi="宋体"/>
          <w:color w:val="auto"/>
          <w:highlight w:val="none"/>
        </w:rPr>
        <w:t>附：法定代表人身份证扫描件</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8"/>
        <w:gridCol w:w="4500"/>
      </w:tblGrid>
      <w:tr w14:paraId="53D4F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0" w:hRule="atLeast"/>
          <w:jc w:val="center"/>
        </w:trPr>
        <w:tc>
          <w:tcPr>
            <w:tcW w:w="4428" w:type="dxa"/>
            <w:tcBorders>
              <w:top w:val="thinThickSmallGap" w:color="auto" w:sz="24" w:space="0"/>
              <w:left w:val="thinThickSmallGap" w:color="auto" w:sz="24" w:space="0"/>
              <w:bottom w:val="thickThinSmallGap" w:color="auto" w:sz="24" w:space="0"/>
              <w:right w:val="thinThickThinSmallGap" w:color="auto" w:sz="24" w:space="0"/>
            </w:tcBorders>
            <w:noWrap w:val="0"/>
            <w:vAlign w:val="center"/>
          </w:tcPr>
          <w:p w14:paraId="507F3A7D">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034E66D4">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正面</w:t>
            </w:r>
          </w:p>
        </w:tc>
        <w:tc>
          <w:tcPr>
            <w:tcW w:w="4500" w:type="dxa"/>
            <w:tcBorders>
              <w:top w:val="thinThickSmallGap" w:color="auto" w:sz="24" w:space="0"/>
              <w:left w:val="thinThickThinSmallGap" w:color="auto" w:sz="24" w:space="0"/>
              <w:bottom w:val="thickThinSmallGap" w:color="auto" w:sz="24" w:space="0"/>
              <w:right w:val="thickThinSmallGap" w:color="auto" w:sz="24" w:space="0"/>
            </w:tcBorders>
            <w:noWrap w:val="0"/>
            <w:vAlign w:val="center"/>
          </w:tcPr>
          <w:p w14:paraId="0E8A1A95">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134E79B8">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反面</w:t>
            </w:r>
          </w:p>
        </w:tc>
      </w:tr>
    </w:tbl>
    <w:p w14:paraId="5DFBF5A3">
      <w:pPr>
        <w:spacing w:after="0" w:line="360" w:lineRule="auto"/>
        <w:rPr>
          <w:rFonts w:ascii="宋体" w:hAnsi="宋体"/>
          <w:color w:val="auto"/>
          <w:szCs w:val="21"/>
          <w:highlight w:val="none"/>
        </w:rPr>
      </w:pPr>
      <w:r>
        <w:rPr>
          <w:rFonts w:ascii="宋体" w:hAnsi="宋体"/>
          <w:color w:val="auto"/>
          <w:szCs w:val="21"/>
          <w:highlight w:val="none"/>
        </w:rPr>
        <w:br w:type="page"/>
      </w:r>
    </w:p>
    <w:p w14:paraId="41E29F06">
      <w:pPr>
        <w:pStyle w:val="5"/>
        <w:spacing w:before="0" w:after="0" w:line="360" w:lineRule="auto"/>
        <w:jc w:val="center"/>
        <w:rPr>
          <w:rFonts w:ascii="宋体" w:hAnsi="宋体" w:eastAsia="宋体"/>
          <w:color w:val="auto"/>
          <w:sz w:val="24"/>
          <w:highlight w:val="none"/>
        </w:rPr>
      </w:pPr>
      <w:bookmarkStart w:id="1018" w:name="_Toc28834"/>
      <w:bookmarkStart w:id="1019" w:name="_Toc288638158"/>
      <w:bookmarkStart w:id="1020" w:name="_Toc406504130"/>
      <w:bookmarkStart w:id="1021" w:name="_Toc11390"/>
      <w:bookmarkStart w:id="1022" w:name="_Toc21705_WPSOffice_Level1"/>
      <w:bookmarkStart w:id="1023" w:name="_Toc9"/>
      <w:bookmarkStart w:id="1024" w:name="_Toc95257512"/>
      <w:r>
        <w:rPr>
          <w:rFonts w:hint="eastAsia" w:ascii="宋体" w:hAnsi="宋体" w:eastAsia="宋体"/>
          <w:color w:val="auto"/>
          <w:sz w:val="24"/>
          <w:highlight w:val="none"/>
        </w:rPr>
        <w:t>三、授权委托书</w:t>
      </w:r>
      <w:bookmarkEnd w:id="1018"/>
      <w:bookmarkEnd w:id="1019"/>
      <w:bookmarkEnd w:id="1020"/>
      <w:bookmarkEnd w:id="1021"/>
      <w:bookmarkEnd w:id="1022"/>
      <w:bookmarkEnd w:id="1023"/>
      <w:bookmarkEnd w:id="1024"/>
    </w:p>
    <w:p w14:paraId="36AE35B3">
      <w:pPr>
        <w:autoSpaceDE w:val="0"/>
        <w:autoSpaceDN w:val="0"/>
        <w:adjustRightInd w:val="0"/>
        <w:snapToGrid w:val="0"/>
        <w:spacing w:after="0" w:line="360" w:lineRule="auto"/>
        <w:ind w:firstLine="420"/>
        <w:rPr>
          <w:rFonts w:ascii="宋体" w:hAnsi="宋体"/>
          <w:color w:val="auto"/>
          <w:szCs w:val="21"/>
          <w:highlight w:val="none"/>
        </w:rPr>
      </w:pPr>
      <w:r>
        <w:rPr>
          <w:rFonts w:hint="eastAsia" w:ascii="宋体" w:hAnsi="宋体" w:cs="宋体"/>
          <w:color w:val="auto"/>
          <w:szCs w:val="21"/>
          <w:highlight w:val="none"/>
          <w:lang w:val="zh-CN"/>
        </w:rPr>
        <w:t>本人</w:t>
      </w:r>
      <w:r>
        <w:rPr>
          <w:rFonts w:ascii="宋体" w:hAnsi="宋体"/>
          <w:color w:val="auto"/>
          <w:szCs w:val="21"/>
          <w:highlight w:val="none"/>
          <w:u w:val="single"/>
        </w:rPr>
        <w:t xml:space="preserve">         </w:t>
      </w:r>
      <w:r>
        <w:rPr>
          <w:rFonts w:hint="eastAsia" w:ascii="宋体" w:hAnsi="宋体" w:cs="宋体"/>
          <w:color w:val="auto"/>
          <w:szCs w:val="21"/>
          <w:highlight w:val="none"/>
          <w:lang w:val="zh-CN"/>
        </w:rPr>
        <w:t>（姓名）系</w:t>
      </w:r>
      <w:r>
        <w:rPr>
          <w:rFonts w:ascii="宋体" w:hAnsi="宋体"/>
          <w:color w:val="auto"/>
          <w:szCs w:val="21"/>
          <w:highlight w:val="none"/>
          <w:u w:val="single"/>
        </w:rPr>
        <w:t xml:space="preserve">              </w:t>
      </w:r>
      <w:r>
        <w:rPr>
          <w:rFonts w:hint="eastAsia" w:ascii="宋体" w:hAnsi="宋体" w:cs="宋体"/>
          <w:color w:val="auto"/>
          <w:szCs w:val="21"/>
          <w:highlight w:val="none"/>
          <w:lang w:val="zh-CN"/>
        </w:rPr>
        <w:t>（投标人名称）的法定代表人，现委托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s="宋体"/>
          <w:color w:val="auto"/>
          <w:szCs w:val="21"/>
          <w:highlight w:val="none"/>
          <w:lang w:val="zh-CN"/>
        </w:rPr>
        <w:t>（姓名）为我方代理人。代理人根据授权，以我方名义签署、澄清、说明、补正、递交、撤回、修改</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标段名称）    </w:t>
      </w:r>
      <w:r>
        <w:rPr>
          <w:rFonts w:hint="eastAsia" w:ascii="宋体" w:hAnsi="宋体" w:cs="宋体"/>
          <w:color w:val="auto"/>
          <w:szCs w:val="21"/>
          <w:highlight w:val="none"/>
          <w:lang w:val="zh-CN"/>
        </w:rPr>
        <w:t>投标文件、签订合同和处理有关事宜，其法律后果由我方承担。</w:t>
      </w:r>
    </w:p>
    <w:p w14:paraId="452BDE4A">
      <w:pPr>
        <w:autoSpaceDE w:val="0"/>
        <w:autoSpaceDN w:val="0"/>
        <w:adjustRightInd w:val="0"/>
        <w:snapToGrid w:val="0"/>
        <w:spacing w:after="0"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s="宋体"/>
          <w:color w:val="auto"/>
          <w:szCs w:val="21"/>
          <w:highlight w:val="none"/>
          <w:lang w:val="zh-CN"/>
        </w:rPr>
        <w:t>委托期限</w:t>
      </w:r>
      <w:r>
        <w:rPr>
          <w:rFonts w:hint="eastAsia" w:ascii="宋体" w:hAnsi="宋体" w:cs="宋体"/>
          <w:color w:val="auto"/>
          <w:szCs w:val="21"/>
          <w:highlight w:val="none"/>
        </w:rPr>
        <w:t>：</w:t>
      </w:r>
      <w:r>
        <w:rPr>
          <w:rFonts w:hint="eastAsia" w:ascii="宋体" w:hAnsi="宋体" w:cs="宋体"/>
          <w:color w:val="auto"/>
          <w:szCs w:val="21"/>
          <w:highlight w:val="none"/>
          <w:u w:val="single"/>
          <w:lang w:val="zh-CN"/>
        </w:rPr>
        <w:t>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日至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日</w:t>
      </w:r>
      <w:r>
        <w:rPr>
          <w:rFonts w:hint="eastAsia" w:ascii="宋体" w:hAnsi="宋体" w:cs="宋体"/>
          <w:color w:val="auto"/>
          <w:szCs w:val="21"/>
          <w:highlight w:val="none"/>
          <w:lang w:val="zh-CN"/>
        </w:rPr>
        <w:t>。</w:t>
      </w:r>
    </w:p>
    <w:p w14:paraId="665E90DD">
      <w:pPr>
        <w:autoSpaceDE w:val="0"/>
        <w:autoSpaceDN w:val="0"/>
        <w:adjustRightInd w:val="0"/>
        <w:spacing w:after="0" w:line="360" w:lineRule="auto"/>
        <w:ind w:firstLine="420"/>
        <w:jc w:val="left"/>
        <w:rPr>
          <w:rFonts w:ascii="宋体" w:hAnsi="宋体" w:cs="HiddenHorzOCR"/>
          <w:color w:val="auto"/>
          <w:kern w:val="0"/>
          <w:szCs w:val="21"/>
          <w:highlight w:val="none"/>
        </w:rPr>
      </w:pPr>
      <w:r>
        <w:rPr>
          <w:rFonts w:ascii="宋体" w:hAnsi="宋体" w:cs="HiddenHorzOCR"/>
          <w:color w:val="auto"/>
          <w:kern w:val="0"/>
          <w:szCs w:val="21"/>
          <w:highlight w:val="none"/>
        </w:rPr>
        <w:t>代理人无</w:t>
      </w:r>
      <w:r>
        <w:rPr>
          <w:rFonts w:hint="eastAsia" w:ascii="宋体" w:hAnsi="宋体" w:cs="宋体"/>
          <w:color w:val="auto"/>
          <w:kern w:val="0"/>
          <w:szCs w:val="21"/>
          <w:highlight w:val="none"/>
        </w:rPr>
        <w:t>转</w:t>
      </w:r>
      <w:r>
        <w:rPr>
          <w:rFonts w:ascii="宋体" w:hAnsi="宋体" w:cs="HiddenHorzOCR"/>
          <w:color w:val="auto"/>
          <w:kern w:val="0"/>
          <w:szCs w:val="21"/>
          <w:highlight w:val="none"/>
        </w:rPr>
        <w:t>委托</w:t>
      </w:r>
      <w:r>
        <w:rPr>
          <w:rFonts w:hint="eastAsia" w:ascii="宋体" w:hAnsi="宋体" w:cs="宋体"/>
          <w:color w:val="auto"/>
          <w:kern w:val="0"/>
          <w:szCs w:val="21"/>
          <w:highlight w:val="none"/>
        </w:rPr>
        <w:t>权</w:t>
      </w:r>
      <w:r>
        <w:rPr>
          <w:rFonts w:ascii="宋体" w:hAnsi="宋体" w:cs="HiddenHorzOCR"/>
          <w:color w:val="auto"/>
          <w:kern w:val="0"/>
          <w:szCs w:val="21"/>
          <w:highlight w:val="none"/>
        </w:rPr>
        <w:t>。</w:t>
      </w:r>
    </w:p>
    <w:p w14:paraId="58020385">
      <w:pPr>
        <w:autoSpaceDE w:val="0"/>
        <w:autoSpaceDN w:val="0"/>
        <w:adjustRightInd w:val="0"/>
        <w:spacing w:after="0" w:line="360" w:lineRule="auto"/>
        <w:ind w:firstLine="420"/>
        <w:jc w:val="left"/>
        <w:rPr>
          <w:rFonts w:ascii="宋体" w:hAnsi="宋体" w:cs="HiddenHorzOCR"/>
          <w:color w:val="auto"/>
          <w:kern w:val="0"/>
          <w:szCs w:val="21"/>
          <w:highlight w:val="none"/>
        </w:rPr>
      </w:pPr>
      <w:r>
        <w:rPr>
          <w:rFonts w:ascii="宋体" w:hAnsi="宋体" w:cs="HiddenHorzOCR"/>
          <w:color w:val="auto"/>
          <w:kern w:val="0"/>
          <w:szCs w:val="21"/>
          <w:highlight w:val="none"/>
        </w:rPr>
        <w:t>附：</w:t>
      </w:r>
      <w:r>
        <w:rPr>
          <w:rFonts w:hint="eastAsia" w:ascii="宋体" w:hAnsi="宋体" w:cs="HiddenHorzOCR"/>
          <w:color w:val="auto"/>
          <w:kern w:val="0"/>
          <w:szCs w:val="21"/>
          <w:highlight w:val="none"/>
        </w:rPr>
        <w:t>委托代理人</w:t>
      </w:r>
      <w:r>
        <w:rPr>
          <w:rFonts w:ascii="宋体" w:hAnsi="宋体" w:cs="HiddenHorzOCR"/>
          <w:color w:val="auto"/>
          <w:kern w:val="0"/>
          <w:szCs w:val="21"/>
          <w:highlight w:val="none"/>
        </w:rPr>
        <w:t>身份</w:t>
      </w:r>
      <w:r>
        <w:rPr>
          <w:rFonts w:hint="eastAsia" w:ascii="宋体" w:hAnsi="宋体" w:cs="宋体"/>
          <w:color w:val="auto"/>
          <w:kern w:val="0"/>
          <w:szCs w:val="21"/>
          <w:highlight w:val="none"/>
        </w:rPr>
        <w:t>证</w:t>
      </w:r>
      <w:r>
        <w:rPr>
          <w:rFonts w:hint="eastAsia" w:ascii="宋体" w:hAnsi="宋体" w:cs="HiddenHorzOCR"/>
          <w:color w:val="auto"/>
          <w:kern w:val="0"/>
          <w:szCs w:val="21"/>
          <w:highlight w:val="none"/>
        </w:rPr>
        <w:t>扫描件</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8"/>
        <w:gridCol w:w="4500"/>
      </w:tblGrid>
      <w:tr w14:paraId="67A52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0" w:hRule="atLeast"/>
          <w:jc w:val="center"/>
        </w:trPr>
        <w:tc>
          <w:tcPr>
            <w:tcW w:w="4428" w:type="dxa"/>
            <w:tcBorders>
              <w:top w:val="thinThickSmallGap" w:color="auto" w:sz="24" w:space="0"/>
              <w:left w:val="thinThickSmallGap" w:color="auto" w:sz="24" w:space="0"/>
              <w:bottom w:val="thickThinSmallGap" w:color="auto" w:sz="24" w:space="0"/>
              <w:right w:val="thinThickThinSmallGap" w:color="auto" w:sz="24" w:space="0"/>
            </w:tcBorders>
            <w:noWrap w:val="0"/>
            <w:vAlign w:val="center"/>
          </w:tcPr>
          <w:p w14:paraId="6B16D50D">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460AACAA">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正面</w:t>
            </w:r>
          </w:p>
        </w:tc>
        <w:tc>
          <w:tcPr>
            <w:tcW w:w="4500" w:type="dxa"/>
            <w:tcBorders>
              <w:top w:val="thinThickSmallGap" w:color="auto" w:sz="24" w:space="0"/>
              <w:left w:val="thinThickThinSmallGap" w:color="auto" w:sz="24" w:space="0"/>
              <w:bottom w:val="thickThinSmallGap" w:color="auto" w:sz="24" w:space="0"/>
              <w:right w:val="thickThinSmallGap" w:color="auto" w:sz="24" w:space="0"/>
            </w:tcBorders>
            <w:noWrap w:val="0"/>
            <w:vAlign w:val="center"/>
          </w:tcPr>
          <w:p w14:paraId="33565FDD">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26AA9A9A">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反面</w:t>
            </w:r>
          </w:p>
        </w:tc>
      </w:tr>
    </w:tbl>
    <w:p w14:paraId="45E1F933">
      <w:pPr>
        <w:autoSpaceDE w:val="0"/>
        <w:autoSpaceDN w:val="0"/>
        <w:adjustRightInd w:val="0"/>
        <w:spacing w:after="0" w:line="360" w:lineRule="auto"/>
        <w:ind w:right="1470"/>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 xml:space="preserve">                        </w:t>
      </w:r>
    </w:p>
    <w:p w14:paraId="14839CCC">
      <w:pPr>
        <w:autoSpaceDE w:val="0"/>
        <w:autoSpaceDN w:val="0"/>
        <w:adjustRightInd w:val="0"/>
        <w:spacing w:after="0" w:line="360" w:lineRule="auto"/>
        <w:ind w:right="707"/>
        <w:jc w:val="center"/>
        <w:rPr>
          <w:rFonts w:ascii="宋体" w:hAnsi="宋体" w:cs="HiddenHorzOCR"/>
          <w:color w:val="auto"/>
          <w:kern w:val="0"/>
          <w:szCs w:val="21"/>
          <w:highlight w:val="none"/>
        </w:rPr>
      </w:pPr>
      <w:r>
        <w:rPr>
          <w:rFonts w:ascii="宋体" w:hAnsi="宋体" w:cs="HiddenHorzOCR"/>
          <w:color w:val="auto"/>
          <w:kern w:val="0"/>
          <w:szCs w:val="21"/>
          <w:highlight w:val="none"/>
        </w:rPr>
        <w:t xml:space="preserve">                        </w:t>
      </w:r>
      <w:r>
        <w:rPr>
          <w:rFonts w:hint="eastAsia" w:ascii="宋体" w:hAnsi="宋体" w:cs="HiddenHorzOCR"/>
          <w:color w:val="auto"/>
          <w:kern w:val="0"/>
          <w:szCs w:val="21"/>
          <w:highlight w:val="none"/>
        </w:rPr>
        <w:t xml:space="preserve"> </w:t>
      </w:r>
      <w:r>
        <w:rPr>
          <w:rFonts w:ascii="宋体" w:hAnsi="宋体" w:cs="HiddenHorzOCR"/>
          <w:color w:val="auto"/>
          <w:kern w:val="0"/>
          <w:szCs w:val="21"/>
          <w:highlight w:val="none"/>
        </w:rPr>
        <w:t xml:space="preserve"> </w:t>
      </w:r>
      <w:r>
        <w:rPr>
          <w:rFonts w:hint="eastAsia" w:ascii="宋体" w:hAnsi="宋体" w:cs="HiddenHorzOCR"/>
          <w:color w:val="auto"/>
          <w:kern w:val="0"/>
          <w:szCs w:val="21"/>
          <w:highlight w:val="none"/>
        </w:rPr>
        <w:t>投</w:t>
      </w:r>
      <w:r>
        <w:rPr>
          <w:rFonts w:hint="eastAsia" w:ascii="宋体" w:hAnsi="宋体" w:cs="宋体"/>
          <w:color w:val="auto"/>
          <w:kern w:val="0"/>
          <w:szCs w:val="21"/>
          <w:highlight w:val="none"/>
        </w:rPr>
        <w:t>标</w:t>
      </w:r>
      <w:r>
        <w:rPr>
          <w:rFonts w:hint="eastAsia" w:ascii="宋体" w:hAnsi="宋体" w:cs="HiddenHorzOCR"/>
          <w:color w:val="auto"/>
          <w:kern w:val="0"/>
          <w:szCs w:val="21"/>
          <w:highlight w:val="none"/>
        </w:rPr>
        <w:t>人：</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w:t>
      </w:r>
      <w:r>
        <w:rPr>
          <w:rFonts w:hint="eastAsia" w:ascii="宋体" w:hAnsi="宋体"/>
          <w:color w:val="auto"/>
          <w:szCs w:val="21"/>
          <w:highlight w:val="none"/>
        </w:rPr>
        <w:t>电子签章</w:t>
      </w:r>
      <w:r>
        <w:rPr>
          <w:rFonts w:hint="eastAsia" w:ascii="宋体" w:hAnsi="宋体" w:cs="HiddenHorzOCR"/>
          <w:color w:val="auto"/>
          <w:kern w:val="0"/>
          <w:szCs w:val="21"/>
          <w:highlight w:val="none"/>
        </w:rPr>
        <w:t>)</w:t>
      </w:r>
    </w:p>
    <w:p w14:paraId="6E3D9722">
      <w:pPr>
        <w:autoSpaceDE w:val="0"/>
        <w:autoSpaceDN w:val="0"/>
        <w:adjustRightInd w:val="0"/>
        <w:spacing w:after="0" w:line="360" w:lineRule="auto"/>
        <w:ind w:firstLine="3066" w:firstLineChars="1460"/>
        <w:jc w:val="left"/>
        <w:rPr>
          <w:rFonts w:ascii="宋体" w:hAnsi="宋体" w:cs="HiddenHorzOCR"/>
          <w:color w:val="auto"/>
          <w:kern w:val="0"/>
          <w:szCs w:val="21"/>
          <w:highlight w:val="none"/>
        </w:rPr>
      </w:pPr>
      <w:r>
        <w:rPr>
          <w:rFonts w:hint="eastAsia" w:ascii="宋体" w:hAnsi="宋体" w:cs="HiddenHorzOCR"/>
          <w:color w:val="auto"/>
          <w:kern w:val="0"/>
          <w:szCs w:val="21"/>
          <w:highlight w:val="none"/>
        </w:rPr>
        <w:t>法定代表人：</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 xml:space="preserve"> (</w:t>
      </w:r>
      <w:r>
        <w:rPr>
          <w:rFonts w:hint="eastAsia" w:ascii="宋体" w:hAnsi="宋体" w:cs="宋体"/>
          <w:color w:val="auto"/>
          <w:kern w:val="0"/>
          <w:szCs w:val="21"/>
          <w:highlight w:val="none"/>
        </w:rPr>
        <w:t>电子签名</w:t>
      </w:r>
      <w:r>
        <w:rPr>
          <w:rFonts w:hint="eastAsia" w:ascii="宋体" w:hAnsi="宋体" w:cs="HiddenHorzOCR"/>
          <w:color w:val="auto"/>
          <w:kern w:val="0"/>
          <w:szCs w:val="21"/>
          <w:highlight w:val="none"/>
        </w:rPr>
        <w:t>)</w:t>
      </w:r>
    </w:p>
    <w:p w14:paraId="139C4859">
      <w:pPr>
        <w:autoSpaceDE w:val="0"/>
        <w:autoSpaceDN w:val="0"/>
        <w:adjustRightInd w:val="0"/>
        <w:spacing w:after="0" w:line="360" w:lineRule="auto"/>
        <w:ind w:firstLine="3066" w:firstLineChars="1460"/>
        <w:jc w:val="left"/>
        <w:rPr>
          <w:rFonts w:ascii="宋体" w:hAnsi="宋体" w:cs="HiddenHorzOCR"/>
          <w:color w:val="auto"/>
          <w:kern w:val="0"/>
          <w:szCs w:val="21"/>
          <w:highlight w:val="none"/>
          <w:u w:val="single"/>
        </w:rPr>
      </w:pPr>
      <w:r>
        <w:rPr>
          <w:rFonts w:hint="eastAsia" w:ascii="宋体" w:hAnsi="宋体" w:cs="HiddenHorzOCR"/>
          <w:color w:val="auto"/>
          <w:kern w:val="0"/>
          <w:szCs w:val="21"/>
          <w:highlight w:val="none"/>
        </w:rPr>
        <w:t>身份</w:t>
      </w:r>
      <w:r>
        <w:rPr>
          <w:rFonts w:hint="eastAsia" w:ascii="宋体" w:hAnsi="宋体" w:cs="宋体"/>
          <w:color w:val="auto"/>
          <w:kern w:val="0"/>
          <w:szCs w:val="21"/>
          <w:highlight w:val="none"/>
        </w:rPr>
        <w:t>证</w:t>
      </w:r>
      <w:r>
        <w:rPr>
          <w:rFonts w:hint="eastAsia" w:ascii="宋体" w:hAnsi="宋体" w:cs="HiddenHorzOCR"/>
          <w:color w:val="auto"/>
          <w:kern w:val="0"/>
          <w:szCs w:val="21"/>
          <w:highlight w:val="none"/>
        </w:rPr>
        <w:t>号</w:t>
      </w:r>
      <w:r>
        <w:rPr>
          <w:rFonts w:hint="eastAsia" w:ascii="宋体" w:hAnsi="宋体" w:cs="宋体"/>
          <w:color w:val="auto"/>
          <w:kern w:val="0"/>
          <w:szCs w:val="21"/>
          <w:highlight w:val="none"/>
        </w:rPr>
        <w:t>码</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3593F700">
      <w:pPr>
        <w:autoSpaceDE w:val="0"/>
        <w:autoSpaceDN w:val="0"/>
        <w:adjustRightInd w:val="0"/>
        <w:spacing w:after="0" w:line="360" w:lineRule="auto"/>
        <w:ind w:firstLine="3066" w:firstLineChars="1460"/>
        <w:jc w:val="left"/>
        <w:rPr>
          <w:rFonts w:ascii="宋体" w:hAnsi="宋体" w:cs="HiddenHorzOCR"/>
          <w:color w:val="auto"/>
          <w:kern w:val="0"/>
          <w:szCs w:val="21"/>
          <w:highlight w:val="none"/>
        </w:rPr>
      </w:pPr>
      <w:r>
        <w:rPr>
          <w:rFonts w:hint="eastAsia" w:ascii="宋体" w:hAnsi="宋体" w:cs="HiddenHorzOCR"/>
          <w:color w:val="auto"/>
          <w:kern w:val="0"/>
          <w:szCs w:val="21"/>
          <w:highlight w:val="none"/>
        </w:rPr>
        <w:t>委托代理人：</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 xml:space="preserve"> (</w:t>
      </w:r>
      <w:r>
        <w:rPr>
          <w:rFonts w:hint="eastAsia" w:ascii="宋体" w:hAnsi="宋体" w:cs="宋体"/>
          <w:color w:val="auto"/>
          <w:kern w:val="0"/>
          <w:szCs w:val="21"/>
          <w:highlight w:val="none"/>
        </w:rPr>
        <w:t>签名</w:t>
      </w:r>
      <w:r>
        <w:rPr>
          <w:rFonts w:hint="eastAsia" w:ascii="宋体" w:hAnsi="宋体" w:cs="HiddenHorzOCR"/>
          <w:color w:val="auto"/>
          <w:kern w:val="0"/>
          <w:szCs w:val="21"/>
          <w:highlight w:val="none"/>
        </w:rPr>
        <w:t>)</w:t>
      </w:r>
    </w:p>
    <w:p w14:paraId="5FA32800">
      <w:pPr>
        <w:autoSpaceDE w:val="0"/>
        <w:autoSpaceDN w:val="0"/>
        <w:adjustRightInd w:val="0"/>
        <w:spacing w:after="0" w:line="360" w:lineRule="auto"/>
        <w:ind w:firstLine="3066" w:firstLineChars="1460"/>
        <w:jc w:val="left"/>
        <w:rPr>
          <w:rFonts w:ascii="宋体" w:hAnsi="宋体" w:cs="HiddenHorzOCR"/>
          <w:color w:val="auto"/>
          <w:kern w:val="0"/>
          <w:szCs w:val="21"/>
          <w:highlight w:val="none"/>
          <w:u w:val="single"/>
        </w:rPr>
      </w:pPr>
      <w:r>
        <w:rPr>
          <w:rFonts w:hint="eastAsia" w:ascii="宋体" w:hAnsi="宋体" w:cs="HiddenHorzOCR"/>
          <w:color w:val="auto"/>
          <w:kern w:val="0"/>
          <w:szCs w:val="21"/>
          <w:highlight w:val="none"/>
        </w:rPr>
        <w:t>身份</w:t>
      </w:r>
      <w:r>
        <w:rPr>
          <w:rFonts w:hint="eastAsia" w:ascii="宋体" w:hAnsi="宋体" w:cs="宋体"/>
          <w:color w:val="auto"/>
          <w:kern w:val="0"/>
          <w:szCs w:val="21"/>
          <w:highlight w:val="none"/>
        </w:rPr>
        <w:t>证</w:t>
      </w:r>
      <w:r>
        <w:rPr>
          <w:rFonts w:hint="eastAsia" w:ascii="宋体" w:hAnsi="宋体" w:cs="HiddenHorzOCR"/>
          <w:color w:val="auto"/>
          <w:kern w:val="0"/>
          <w:szCs w:val="21"/>
          <w:highlight w:val="none"/>
        </w:rPr>
        <w:t>号</w:t>
      </w:r>
      <w:r>
        <w:rPr>
          <w:rFonts w:hint="eastAsia" w:ascii="宋体" w:hAnsi="宋体" w:cs="宋体"/>
          <w:color w:val="auto"/>
          <w:kern w:val="0"/>
          <w:szCs w:val="21"/>
          <w:highlight w:val="none"/>
        </w:rPr>
        <w:t>码</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2DFA86A2">
      <w:pPr>
        <w:autoSpaceDE w:val="0"/>
        <w:autoSpaceDN w:val="0"/>
        <w:adjustRightInd w:val="0"/>
        <w:spacing w:after="0" w:line="360" w:lineRule="auto"/>
        <w:ind w:right="1680"/>
        <w:jc w:val="right"/>
        <w:rPr>
          <w:rFonts w:ascii="宋体" w:hAnsi="宋体" w:cs="HiddenHorzOCR"/>
          <w:color w:val="auto"/>
          <w:kern w:val="0"/>
          <w:szCs w:val="21"/>
          <w:highlight w:val="none"/>
        </w:rPr>
      </w:pPr>
      <w:r>
        <w:rPr>
          <w:rFonts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年</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月</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日</w:t>
      </w:r>
    </w:p>
    <w:p w14:paraId="2C892862">
      <w:pPr>
        <w:widowControl/>
        <w:spacing w:after="0" w:line="360" w:lineRule="auto"/>
        <w:jc w:val="left"/>
        <w:rPr>
          <w:rFonts w:ascii="宋体" w:hAnsi="宋体"/>
          <w:b/>
          <w:bCs/>
          <w:color w:val="auto"/>
          <w:sz w:val="30"/>
          <w:szCs w:val="30"/>
          <w:highlight w:val="none"/>
        </w:rPr>
      </w:pPr>
      <w:bookmarkStart w:id="1025" w:name="_Toc274211697"/>
      <w:bookmarkStart w:id="1026" w:name="_Toc274933848"/>
    </w:p>
    <w:p w14:paraId="5894BB5D">
      <w:pPr>
        <w:widowControl/>
        <w:spacing w:after="0" w:line="360" w:lineRule="auto"/>
        <w:jc w:val="left"/>
        <w:rPr>
          <w:rFonts w:ascii="宋体" w:hAnsi="宋体"/>
          <w:b/>
          <w:bCs/>
          <w:color w:val="auto"/>
          <w:sz w:val="30"/>
          <w:szCs w:val="30"/>
          <w:highlight w:val="none"/>
        </w:rPr>
      </w:pPr>
    </w:p>
    <w:p w14:paraId="11B1E2B7">
      <w:pPr>
        <w:widowControl/>
        <w:spacing w:after="0" w:line="240" w:lineRule="auto"/>
        <w:jc w:val="left"/>
        <w:rPr>
          <w:rFonts w:ascii="宋体" w:hAnsi="宋体"/>
          <w:b/>
          <w:bCs/>
          <w:color w:val="auto"/>
          <w:kern w:val="0"/>
          <w:sz w:val="24"/>
          <w:szCs w:val="32"/>
          <w:highlight w:val="none"/>
          <w:lang w:val="zh-CN"/>
        </w:rPr>
      </w:pPr>
      <w:r>
        <w:rPr>
          <w:rFonts w:ascii="宋体" w:hAnsi="宋体"/>
          <w:color w:val="auto"/>
          <w:sz w:val="24"/>
          <w:highlight w:val="none"/>
        </w:rPr>
        <w:br w:type="page"/>
      </w:r>
    </w:p>
    <w:p w14:paraId="7FFC6105">
      <w:pPr>
        <w:pStyle w:val="5"/>
        <w:spacing w:before="0" w:after="0" w:line="360" w:lineRule="auto"/>
        <w:jc w:val="center"/>
        <w:rPr>
          <w:rFonts w:ascii="宋体" w:hAnsi="宋体" w:eastAsia="宋体"/>
          <w:color w:val="auto"/>
          <w:sz w:val="24"/>
          <w:highlight w:val="none"/>
        </w:rPr>
      </w:pPr>
      <w:bookmarkStart w:id="1027" w:name="_Toc8180_WPSOffice_Level1"/>
      <w:bookmarkStart w:id="1028" w:name="_Toc95257513"/>
      <w:bookmarkStart w:id="1029" w:name="_Toc28072"/>
      <w:bookmarkStart w:id="1030" w:name="_Toc11095"/>
      <w:r>
        <w:rPr>
          <w:rFonts w:hint="eastAsia" w:ascii="宋体" w:hAnsi="宋体" w:eastAsia="宋体"/>
          <w:color w:val="auto"/>
          <w:sz w:val="24"/>
          <w:highlight w:val="none"/>
        </w:rPr>
        <w:t>四、投标保证</w:t>
      </w:r>
      <w:bookmarkEnd w:id="1025"/>
      <w:r>
        <w:rPr>
          <w:rFonts w:hint="eastAsia" w:ascii="宋体" w:hAnsi="宋体" w:eastAsia="宋体"/>
          <w:color w:val="auto"/>
          <w:sz w:val="24"/>
          <w:highlight w:val="none"/>
        </w:rPr>
        <w:t>金</w:t>
      </w:r>
      <w:bookmarkEnd w:id="1026"/>
      <w:bookmarkEnd w:id="1027"/>
      <w:bookmarkEnd w:id="1028"/>
      <w:bookmarkEnd w:id="1029"/>
      <w:bookmarkEnd w:id="1030"/>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14:paraId="036F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7" w:hRule="atLeast"/>
          <w:jc w:val="center"/>
        </w:trPr>
        <w:tc>
          <w:tcPr>
            <w:tcW w:w="9108" w:type="dxa"/>
            <w:tcBorders>
              <w:top w:val="thinThickSmallGap" w:color="auto" w:sz="24" w:space="0"/>
              <w:left w:val="thinThickSmallGap" w:color="auto" w:sz="24" w:space="0"/>
              <w:bottom w:val="thickThinSmallGap" w:color="auto" w:sz="24" w:space="0"/>
              <w:right w:val="thickThinSmallGap" w:color="auto" w:sz="24" w:space="0"/>
            </w:tcBorders>
            <w:noWrap w:val="0"/>
            <w:vAlign w:val="center"/>
          </w:tcPr>
          <w:p w14:paraId="6D16AFF6">
            <w:pPr>
              <w:autoSpaceDE w:val="0"/>
              <w:autoSpaceDN w:val="0"/>
              <w:adjustRightInd w:val="0"/>
              <w:spacing w:after="0" w:line="360" w:lineRule="auto"/>
              <w:jc w:val="center"/>
              <w:rPr>
                <w:rFonts w:ascii="宋体" w:hAnsi="宋体" w:cs="HiddenHorzOCR"/>
                <w:color w:val="auto"/>
                <w:kern w:val="0"/>
                <w:szCs w:val="21"/>
                <w:highlight w:val="none"/>
              </w:rPr>
            </w:pPr>
            <w:bookmarkStart w:id="1031" w:name="_Toc274933849"/>
            <w:r>
              <w:rPr>
                <w:rFonts w:hint="eastAsia" w:ascii="宋体" w:hAnsi="宋体" w:cs="HiddenHorzOCR"/>
                <w:color w:val="auto"/>
                <w:kern w:val="0"/>
                <w:szCs w:val="21"/>
                <w:highlight w:val="none"/>
              </w:rPr>
              <w:t>投标保证金递交凭证</w:t>
            </w:r>
          </w:p>
        </w:tc>
      </w:tr>
    </w:tbl>
    <w:p w14:paraId="6FDE941C">
      <w:pPr>
        <w:autoSpaceDE w:val="0"/>
        <w:autoSpaceDN w:val="0"/>
        <w:adjustRightInd w:val="0"/>
        <w:spacing w:after="0" w:line="360" w:lineRule="auto"/>
        <w:ind w:firstLine="105" w:firstLineChars="50"/>
        <w:jc w:val="left"/>
        <w:rPr>
          <w:rFonts w:ascii="宋体" w:hAnsi="宋体" w:cs="HiddenHorzOCR"/>
          <w:color w:val="auto"/>
          <w:kern w:val="0"/>
          <w:szCs w:val="21"/>
          <w:highlight w:val="none"/>
        </w:rPr>
      </w:pPr>
    </w:p>
    <w:p w14:paraId="40992E37">
      <w:pPr>
        <w:tabs>
          <w:tab w:val="left" w:pos="4605"/>
        </w:tabs>
        <w:adjustRightInd w:val="0"/>
        <w:snapToGrid w:val="0"/>
        <w:spacing w:after="0" w:line="360" w:lineRule="auto"/>
        <w:ind w:firstLine="3675" w:firstLineChars="1750"/>
        <w:rPr>
          <w:rFonts w:ascii="宋体" w:hAnsi="宋体"/>
          <w:color w:val="auto"/>
          <w:highlight w:val="none"/>
        </w:rPr>
      </w:pPr>
    </w:p>
    <w:p w14:paraId="73BB68CB">
      <w:pPr>
        <w:tabs>
          <w:tab w:val="left" w:pos="4605"/>
        </w:tabs>
        <w:adjustRightInd w:val="0"/>
        <w:snapToGrid w:val="0"/>
        <w:spacing w:after="0" w:line="360" w:lineRule="auto"/>
        <w:ind w:firstLine="3675" w:firstLineChars="1750"/>
        <w:rPr>
          <w:rFonts w:ascii="宋体" w:hAnsi="宋体"/>
          <w:color w:val="auto"/>
          <w:highlight w:val="none"/>
        </w:rPr>
      </w:pPr>
    </w:p>
    <w:p w14:paraId="06A8B6BA">
      <w:pPr>
        <w:tabs>
          <w:tab w:val="left" w:pos="4605"/>
        </w:tabs>
        <w:adjustRightInd w:val="0"/>
        <w:snapToGrid w:val="0"/>
        <w:spacing w:after="0" w:line="360" w:lineRule="auto"/>
        <w:ind w:firstLine="3675" w:firstLineChars="1750"/>
        <w:rPr>
          <w:rFonts w:ascii="宋体" w:hAnsi="宋体"/>
          <w:color w:val="auto"/>
          <w:highlight w:val="none"/>
        </w:rPr>
      </w:pPr>
    </w:p>
    <w:p w14:paraId="39AC9353">
      <w:pPr>
        <w:tabs>
          <w:tab w:val="left" w:pos="4605"/>
        </w:tabs>
        <w:adjustRightInd w:val="0"/>
        <w:snapToGrid w:val="0"/>
        <w:spacing w:after="0" w:line="360" w:lineRule="auto"/>
        <w:ind w:firstLine="3675" w:firstLineChars="1750"/>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3DDDF0B9">
      <w:pPr>
        <w:tabs>
          <w:tab w:val="left" w:pos="4605"/>
        </w:tabs>
        <w:adjustRightInd w:val="0"/>
        <w:snapToGrid w:val="0"/>
        <w:spacing w:after="0" w:line="360" w:lineRule="auto"/>
        <w:ind w:firstLine="3675" w:firstLineChars="1750"/>
        <w:rPr>
          <w:rFonts w:ascii="宋体" w:hAnsi="宋体"/>
          <w:color w:val="auto"/>
          <w:highlight w:val="none"/>
          <w:u w:val="singl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p>
    <w:p w14:paraId="379C49ED">
      <w:pPr>
        <w:spacing w:after="0" w:line="360" w:lineRule="auto"/>
        <w:ind w:firstLine="3675" w:firstLineChars="1750"/>
        <w:rPr>
          <w:rFonts w:ascii="宋体" w:hAnsi="宋体"/>
          <w:color w:val="auto"/>
          <w:highlight w:val="none"/>
        </w:rPr>
      </w:pPr>
      <w:r>
        <w:rPr>
          <w:rFonts w:hint="eastAsia" w:ascii="宋体" w:hAnsi="宋体"/>
          <w:color w:val="auto"/>
          <w:highlight w:val="none"/>
        </w:rPr>
        <w:t>日期：</w:t>
      </w:r>
      <w:r>
        <w:rPr>
          <w:rFonts w:ascii="宋体" w:hAnsi="宋体"/>
          <w:color w:val="auto"/>
          <w:szCs w:val="21"/>
          <w:highlight w:val="none"/>
          <w:u w:val="single"/>
        </w:rPr>
        <w:t xml:space="preserve">       </w:t>
      </w:r>
      <w:r>
        <w:rPr>
          <w:rFonts w:hint="eastAsia" w:ascii="宋体" w:hAnsi="宋体"/>
          <w:color w:val="auto"/>
          <w:highlight w:val="none"/>
        </w:rPr>
        <w:t>年</w:t>
      </w:r>
      <w:r>
        <w:rPr>
          <w:rFonts w:ascii="宋体" w:hAnsi="宋体"/>
          <w:color w:val="auto"/>
          <w:szCs w:val="21"/>
          <w:highlight w:val="none"/>
          <w:u w:val="single"/>
        </w:rPr>
        <w:t xml:space="preserve">    </w:t>
      </w:r>
      <w:r>
        <w:rPr>
          <w:rFonts w:hint="eastAsia" w:ascii="宋体" w:hAnsi="宋体"/>
          <w:color w:val="auto"/>
          <w:highlight w:val="none"/>
        </w:rPr>
        <w:t>月</w:t>
      </w:r>
      <w:r>
        <w:rPr>
          <w:rFonts w:ascii="宋体" w:hAnsi="宋体"/>
          <w:color w:val="auto"/>
          <w:szCs w:val="21"/>
          <w:highlight w:val="none"/>
          <w:u w:val="single"/>
        </w:rPr>
        <w:t xml:space="preserve">    </w:t>
      </w:r>
      <w:r>
        <w:rPr>
          <w:rFonts w:hint="eastAsia" w:ascii="宋体" w:hAnsi="宋体"/>
          <w:color w:val="auto"/>
          <w:highlight w:val="none"/>
        </w:rPr>
        <w:t>日</w:t>
      </w:r>
    </w:p>
    <w:p w14:paraId="591981BB">
      <w:pPr>
        <w:spacing w:after="0" w:line="360" w:lineRule="auto"/>
        <w:ind w:firstLine="3675" w:firstLineChars="1750"/>
        <w:rPr>
          <w:rFonts w:ascii="宋体" w:hAnsi="宋体"/>
          <w:color w:val="auto"/>
          <w:highlight w:val="none"/>
        </w:rPr>
      </w:pPr>
      <w:r>
        <w:rPr>
          <w:rFonts w:ascii="宋体" w:hAnsi="宋体"/>
          <w:color w:val="auto"/>
          <w:highlight w:val="none"/>
        </w:rPr>
        <w:br w:type="page"/>
      </w:r>
    </w:p>
    <w:p w14:paraId="593E27B3">
      <w:pPr>
        <w:pStyle w:val="5"/>
        <w:spacing w:before="0" w:after="0" w:line="360" w:lineRule="auto"/>
        <w:jc w:val="center"/>
        <w:rPr>
          <w:rFonts w:hint="eastAsia" w:ascii="宋体" w:hAnsi="宋体" w:eastAsia="宋体" w:cs="Times New Roman"/>
          <w:color w:val="auto"/>
          <w:sz w:val="24"/>
          <w:highlight w:val="none"/>
        </w:rPr>
      </w:pPr>
      <w:bookmarkStart w:id="1032" w:name="_Toc95257514"/>
      <w:bookmarkStart w:id="1033" w:name="_Toc28545_WPSOffice_Level1"/>
      <w:bookmarkStart w:id="1034" w:name="_Toc28781"/>
      <w:bookmarkStart w:id="1035" w:name="_Toc10484"/>
      <w:r>
        <w:rPr>
          <w:rFonts w:hint="eastAsia" w:ascii="宋体" w:hAnsi="宋体" w:eastAsia="宋体" w:cs="Times New Roman"/>
          <w:color w:val="auto"/>
          <w:sz w:val="24"/>
          <w:highlight w:val="none"/>
        </w:rPr>
        <w:t>五、资 格 审 查 资 料</w:t>
      </w:r>
      <w:bookmarkEnd w:id="1032"/>
      <w:bookmarkEnd w:id="1033"/>
      <w:bookmarkEnd w:id="1034"/>
      <w:bookmarkEnd w:id="1035"/>
    </w:p>
    <w:p w14:paraId="5EDC2E7C">
      <w:pPr>
        <w:pStyle w:val="5"/>
        <w:spacing w:before="0" w:after="0" w:line="360" w:lineRule="auto"/>
        <w:jc w:val="center"/>
        <w:rPr>
          <w:rFonts w:ascii="宋体" w:hAnsi="宋体" w:eastAsia="宋体"/>
          <w:color w:val="auto"/>
          <w:sz w:val="24"/>
          <w:highlight w:val="none"/>
        </w:rPr>
      </w:pPr>
      <w:bookmarkStart w:id="1036" w:name="_Toc29604"/>
      <w:bookmarkStart w:id="1037" w:name="_Toc32575"/>
      <w:bookmarkStart w:id="1038" w:name="_Toc95257515"/>
      <w:bookmarkStart w:id="1039" w:name="_Toc10978_WPSOffice_Level2"/>
      <w:r>
        <w:rPr>
          <w:rFonts w:hint="eastAsia" w:ascii="宋体" w:hAnsi="宋体" w:eastAsia="宋体"/>
          <w:color w:val="auto"/>
          <w:sz w:val="24"/>
          <w:highlight w:val="none"/>
        </w:rPr>
        <w:t>（一）投标人基本情况表</w:t>
      </w:r>
      <w:bookmarkEnd w:id="1036"/>
      <w:bookmarkEnd w:id="1037"/>
      <w:bookmarkEnd w:id="1038"/>
      <w:bookmarkEnd w:id="1039"/>
    </w:p>
    <w:tbl>
      <w:tblPr>
        <w:tblStyle w:val="5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72"/>
        <w:gridCol w:w="973"/>
        <w:gridCol w:w="1031"/>
        <w:gridCol w:w="910"/>
        <w:gridCol w:w="426"/>
        <w:gridCol w:w="1701"/>
        <w:gridCol w:w="31"/>
        <w:gridCol w:w="1267"/>
        <w:gridCol w:w="1075"/>
      </w:tblGrid>
      <w:tr w14:paraId="5497D4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52B5E157">
            <w:pPr>
              <w:topLinePunct/>
              <w:spacing w:after="0" w:line="360" w:lineRule="auto"/>
              <w:jc w:val="center"/>
              <w:rPr>
                <w:rFonts w:ascii="宋体" w:hAnsi="宋体"/>
                <w:color w:val="auto"/>
                <w:szCs w:val="21"/>
                <w:highlight w:val="none"/>
              </w:rPr>
            </w:pPr>
            <w:r>
              <w:rPr>
                <w:rFonts w:hint="eastAsia" w:ascii="宋体" w:hAnsi="宋体"/>
                <w:color w:val="auto"/>
                <w:szCs w:val="21"/>
                <w:highlight w:val="none"/>
              </w:rPr>
              <w:t>投标人</w:t>
            </w:r>
            <w:r>
              <w:rPr>
                <w:rFonts w:ascii="宋体" w:hAnsi="宋体"/>
                <w:color w:val="auto"/>
                <w:szCs w:val="21"/>
                <w:highlight w:val="none"/>
              </w:rPr>
              <w:t>名称</w:t>
            </w:r>
          </w:p>
        </w:tc>
        <w:tc>
          <w:tcPr>
            <w:tcW w:w="7414" w:type="dxa"/>
            <w:gridSpan w:val="8"/>
            <w:tcBorders>
              <w:top w:val="single" w:color="auto" w:sz="4" w:space="0"/>
              <w:left w:val="single" w:color="auto" w:sz="4" w:space="0"/>
              <w:bottom w:val="single" w:color="auto" w:sz="4" w:space="0"/>
              <w:right w:val="single" w:color="auto" w:sz="4" w:space="0"/>
            </w:tcBorders>
            <w:noWrap w:val="0"/>
            <w:vAlign w:val="center"/>
          </w:tcPr>
          <w:p w14:paraId="68AA448F">
            <w:pPr>
              <w:topLinePunct/>
              <w:spacing w:after="0" w:line="360" w:lineRule="auto"/>
              <w:jc w:val="center"/>
              <w:rPr>
                <w:rFonts w:ascii="宋体" w:hAnsi="宋体"/>
                <w:color w:val="auto"/>
                <w:szCs w:val="21"/>
                <w:highlight w:val="none"/>
              </w:rPr>
            </w:pPr>
          </w:p>
        </w:tc>
      </w:tr>
      <w:tr w14:paraId="743C0E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32A82E35">
            <w:pPr>
              <w:topLinePunct/>
              <w:spacing w:after="0" w:line="360" w:lineRule="auto"/>
              <w:jc w:val="center"/>
              <w:rPr>
                <w:rFonts w:ascii="宋体" w:hAnsi="宋体"/>
                <w:color w:val="auto"/>
                <w:szCs w:val="21"/>
                <w:highlight w:val="none"/>
              </w:rPr>
            </w:pPr>
            <w:r>
              <w:rPr>
                <w:rFonts w:ascii="宋体" w:hAnsi="宋体"/>
                <w:color w:val="auto"/>
                <w:szCs w:val="21"/>
                <w:highlight w:val="none"/>
              </w:rPr>
              <w:t>注册地址</w:t>
            </w:r>
          </w:p>
        </w:tc>
        <w:tc>
          <w:tcPr>
            <w:tcW w:w="3340" w:type="dxa"/>
            <w:gridSpan w:val="4"/>
            <w:tcBorders>
              <w:top w:val="single" w:color="auto" w:sz="4" w:space="0"/>
              <w:left w:val="single" w:color="auto" w:sz="4" w:space="0"/>
              <w:bottom w:val="single" w:color="auto" w:sz="4" w:space="0"/>
              <w:right w:val="single" w:color="auto" w:sz="4" w:space="0"/>
            </w:tcBorders>
            <w:noWrap w:val="0"/>
            <w:vAlign w:val="center"/>
          </w:tcPr>
          <w:p w14:paraId="4A2334A3">
            <w:pPr>
              <w:topLinePunct/>
              <w:spacing w:after="0" w:line="360" w:lineRule="auto"/>
              <w:jc w:val="center"/>
              <w:rPr>
                <w:rFonts w:ascii="宋体" w:hAnsi="宋体"/>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8589CD7">
            <w:pPr>
              <w:topLinePunct/>
              <w:spacing w:after="0" w:line="360" w:lineRule="auto"/>
              <w:jc w:val="center"/>
              <w:rPr>
                <w:rFonts w:ascii="宋体" w:hAnsi="宋体"/>
                <w:color w:val="auto"/>
                <w:szCs w:val="21"/>
                <w:highlight w:val="none"/>
              </w:rPr>
            </w:pPr>
            <w:r>
              <w:rPr>
                <w:rFonts w:ascii="宋体" w:hAnsi="宋体"/>
                <w:color w:val="auto"/>
                <w:szCs w:val="21"/>
                <w:highlight w:val="none"/>
              </w:rPr>
              <w:t>邮政编码</w:t>
            </w:r>
          </w:p>
        </w:tc>
        <w:tc>
          <w:tcPr>
            <w:tcW w:w="2373" w:type="dxa"/>
            <w:gridSpan w:val="3"/>
            <w:tcBorders>
              <w:top w:val="single" w:color="auto" w:sz="4" w:space="0"/>
              <w:left w:val="single" w:color="auto" w:sz="4" w:space="0"/>
              <w:bottom w:val="single" w:color="auto" w:sz="4" w:space="0"/>
              <w:right w:val="single" w:color="auto" w:sz="4" w:space="0"/>
            </w:tcBorders>
            <w:noWrap w:val="0"/>
            <w:vAlign w:val="center"/>
          </w:tcPr>
          <w:p w14:paraId="1801C1B2">
            <w:pPr>
              <w:topLinePunct/>
              <w:spacing w:after="0" w:line="360" w:lineRule="auto"/>
              <w:jc w:val="center"/>
              <w:rPr>
                <w:rFonts w:ascii="宋体" w:hAnsi="宋体"/>
                <w:color w:val="auto"/>
                <w:szCs w:val="21"/>
                <w:highlight w:val="none"/>
              </w:rPr>
            </w:pPr>
          </w:p>
        </w:tc>
      </w:tr>
      <w:tr w14:paraId="1CA599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6156A804">
            <w:pPr>
              <w:topLinePunct/>
              <w:spacing w:after="0" w:line="360" w:lineRule="auto"/>
              <w:jc w:val="center"/>
              <w:rPr>
                <w:rFonts w:ascii="宋体" w:hAnsi="宋体"/>
                <w:color w:val="auto"/>
                <w:szCs w:val="21"/>
                <w:highlight w:val="none"/>
              </w:rPr>
            </w:pPr>
            <w:r>
              <w:rPr>
                <w:rFonts w:ascii="宋体" w:hAnsi="宋体"/>
                <w:color w:val="auto"/>
                <w:szCs w:val="21"/>
                <w:highlight w:val="none"/>
              </w:rPr>
              <w:t>法定代表人</w:t>
            </w:r>
          </w:p>
        </w:tc>
        <w:tc>
          <w:tcPr>
            <w:tcW w:w="973" w:type="dxa"/>
            <w:tcBorders>
              <w:top w:val="single" w:color="auto" w:sz="4" w:space="0"/>
              <w:left w:val="single" w:color="auto" w:sz="4" w:space="0"/>
              <w:bottom w:val="single" w:color="auto" w:sz="4" w:space="0"/>
              <w:right w:val="single" w:color="auto" w:sz="4" w:space="0"/>
            </w:tcBorders>
            <w:noWrap w:val="0"/>
            <w:vAlign w:val="center"/>
          </w:tcPr>
          <w:p w14:paraId="74C021D3">
            <w:pPr>
              <w:topLinePunct/>
              <w:spacing w:after="0" w:line="360" w:lineRule="auto"/>
              <w:jc w:val="center"/>
              <w:rPr>
                <w:rFonts w:ascii="宋体" w:hAnsi="宋体"/>
                <w:color w:val="auto"/>
                <w:szCs w:val="21"/>
                <w:highlight w:val="none"/>
              </w:rPr>
            </w:pPr>
            <w:r>
              <w:rPr>
                <w:rFonts w:ascii="宋体" w:hAnsi="宋体"/>
                <w:color w:val="auto"/>
                <w:szCs w:val="21"/>
                <w:highlight w:val="none"/>
              </w:rPr>
              <w:t>姓名</w:t>
            </w:r>
          </w:p>
        </w:tc>
        <w:tc>
          <w:tcPr>
            <w:tcW w:w="1031" w:type="dxa"/>
            <w:tcBorders>
              <w:top w:val="single" w:color="auto" w:sz="4" w:space="0"/>
              <w:left w:val="single" w:color="auto" w:sz="4" w:space="0"/>
              <w:bottom w:val="single" w:color="auto" w:sz="4" w:space="0"/>
              <w:right w:val="single" w:color="auto" w:sz="4" w:space="0"/>
            </w:tcBorders>
            <w:noWrap w:val="0"/>
            <w:vAlign w:val="center"/>
          </w:tcPr>
          <w:p w14:paraId="6D6C5AAA">
            <w:pPr>
              <w:topLinePunct/>
              <w:spacing w:after="0" w:line="360" w:lineRule="auto"/>
              <w:jc w:val="center"/>
              <w:rPr>
                <w:rFonts w:ascii="宋体" w:hAnsi="宋体"/>
                <w:color w:val="auto"/>
                <w:szCs w:val="21"/>
                <w:highlight w:val="none"/>
              </w:rPr>
            </w:pPr>
          </w:p>
        </w:tc>
        <w:tc>
          <w:tcPr>
            <w:tcW w:w="1336" w:type="dxa"/>
            <w:gridSpan w:val="2"/>
            <w:tcBorders>
              <w:top w:val="single" w:color="auto" w:sz="4" w:space="0"/>
              <w:left w:val="single" w:color="auto" w:sz="4" w:space="0"/>
              <w:bottom w:val="single" w:color="auto" w:sz="4" w:space="0"/>
              <w:right w:val="single" w:color="auto" w:sz="4" w:space="0"/>
            </w:tcBorders>
            <w:noWrap w:val="0"/>
            <w:vAlign w:val="center"/>
          </w:tcPr>
          <w:p w14:paraId="03EE56E3">
            <w:pPr>
              <w:topLinePunct/>
              <w:spacing w:after="0" w:line="360" w:lineRule="auto"/>
              <w:jc w:val="center"/>
              <w:rPr>
                <w:rFonts w:ascii="宋体" w:hAnsi="宋体"/>
                <w:color w:val="auto"/>
                <w:szCs w:val="21"/>
                <w:highlight w:val="none"/>
              </w:rPr>
            </w:pPr>
            <w:r>
              <w:rPr>
                <w:rFonts w:ascii="宋体" w:hAnsi="宋体"/>
                <w:color w:val="auto"/>
                <w:szCs w:val="21"/>
                <w:highlight w:val="none"/>
              </w:rPr>
              <w:t>技术职称</w:t>
            </w:r>
          </w:p>
        </w:tc>
        <w:tc>
          <w:tcPr>
            <w:tcW w:w="1732" w:type="dxa"/>
            <w:gridSpan w:val="2"/>
            <w:tcBorders>
              <w:top w:val="single" w:color="auto" w:sz="4" w:space="0"/>
              <w:left w:val="single" w:color="auto" w:sz="4" w:space="0"/>
              <w:bottom w:val="single" w:color="auto" w:sz="4" w:space="0"/>
              <w:right w:val="single" w:color="auto" w:sz="4" w:space="0"/>
            </w:tcBorders>
            <w:noWrap w:val="0"/>
            <w:vAlign w:val="center"/>
          </w:tcPr>
          <w:p w14:paraId="3823EF11">
            <w:pPr>
              <w:topLinePunct/>
              <w:spacing w:after="0" w:line="360" w:lineRule="auto"/>
              <w:jc w:val="center"/>
              <w:rPr>
                <w:rFonts w:ascii="宋体" w:hAnsi="宋体"/>
                <w:color w:val="auto"/>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14:paraId="109976E0">
            <w:pPr>
              <w:topLinePunct/>
              <w:spacing w:after="0" w:line="360" w:lineRule="auto"/>
              <w:jc w:val="center"/>
              <w:rPr>
                <w:rFonts w:ascii="宋体" w:hAnsi="宋体"/>
                <w:color w:val="auto"/>
                <w:szCs w:val="21"/>
                <w:highlight w:val="none"/>
              </w:rPr>
            </w:pPr>
            <w:r>
              <w:rPr>
                <w:rFonts w:ascii="宋体" w:hAnsi="宋体"/>
                <w:color w:val="auto"/>
                <w:szCs w:val="21"/>
                <w:highlight w:val="none"/>
              </w:rPr>
              <w:t>电话</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4C26D639">
            <w:pPr>
              <w:topLinePunct/>
              <w:spacing w:after="0" w:line="360" w:lineRule="auto"/>
              <w:jc w:val="center"/>
              <w:rPr>
                <w:rFonts w:ascii="宋体" w:hAnsi="宋体"/>
                <w:color w:val="auto"/>
                <w:szCs w:val="21"/>
                <w:highlight w:val="none"/>
              </w:rPr>
            </w:pPr>
          </w:p>
        </w:tc>
      </w:tr>
      <w:tr w14:paraId="51C215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2A0857D5">
            <w:pPr>
              <w:topLinePunct/>
              <w:spacing w:after="0" w:line="360" w:lineRule="auto"/>
              <w:jc w:val="center"/>
              <w:rPr>
                <w:rFonts w:ascii="宋体" w:hAnsi="宋体"/>
                <w:color w:val="auto"/>
                <w:szCs w:val="21"/>
                <w:highlight w:val="none"/>
              </w:rPr>
            </w:pPr>
            <w:r>
              <w:rPr>
                <w:rFonts w:ascii="宋体" w:hAnsi="宋体"/>
                <w:color w:val="auto"/>
                <w:szCs w:val="21"/>
                <w:highlight w:val="none"/>
              </w:rPr>
              <w:t>技术负责人</w:t>
            </w:r>
          </w:p>
        </w:tc>
        <w:tc>
          <w:tcPr>
            <w:tcW w:w="973" w:type="dxa"/>
            <w:tcBorders>
              <w:top w:val="single" w:color="auto" w:sz="4" w:space="0"/>
              <w:left w:val="single" w:color="auto" w:sz="4" w:space="0"/>
              <w:bottom w:val="single" w:color="auto" w:sz="4" w:space="0"/>
              <w:right w:val="single" w:color="auto" w:sz="4" w:space="0"/>
            </w:tcBorders>
            <w:noWrap w:val="0"/>
            <w:vAlign w:val="center"/>
          </w:tcPr>
          <w:p w14:paraId="4DE1231D">
            <w:pPr>
              <w:topLinePunct/>
              <w:spacing w:after="0" w:line="360" w:lineRule="auto"/>
              <w:jc w:val="center"/>
              <w:rPr>
                <w:rFonts w:ascii="宋体" w:hAnsi="宋体"/>
                <w:color w:val="auto"/>
                <w:szCs w:val="21"/>
                <w:highlight w:val="none"/>
              </w:rPr>
            </w:pPr>
            <w:r>
              <w:rPr>
                <w:rFonts w:ascii="宋体" w:hAnsi="宋体"/>
                <w:color w:val="auto"/>
                <w:szCs w:val="21"/>
                <w:highlight w:val="none"/>
              </w:rPr>
              <w:t>姓名</w:t>
            </w:r>
          </w:p>
        </w:tc>
        <w:tc>
          <w:tcPr>
            <w:tcW w:w="1031" w:type="dxa"/>
            <w:tcBorders>
              <w:top w:val="single" w:color="auto" w:sz="4" w:space="0"/>
              <w:left w:val="single" w:color="auto" w:sz="4" w:space="0"/>
              <w:bottom w:val="single" w:color="auto" w:sz="4" w:space="0"/>
              <w:right w:val="single" w:color="auto" w:sz="4" w:space="0"/>
            </w:tcBorders>
            <w:noWrap w:val="0"/>
            <w:vAlign w:val="center"/>
          </w:tcPr>
          <w:p w14:paraId="220392C1">
            <w:pPr>
              <w:topLinePunct/>
              <w:spacing w:after="0" w:line="360" w:lineRule="auto"/>
              <w:jc w:val="center"/>
              <w:rPr>
                <w:rFonts w:ascii="宋体" w:hAnsi="宋体"/>
                <w:color w:val="auto"/>
                <w:szCs w:val="21"/>
                <w:highlight w:val="none"/>
              </w:rPr>
            </w:pPr>
          </w:p>
        </w:tc>
        <w:tc>
          <w:tcPr>
            <w:tcW w:w="1336" w:type="dxa"/>
            <w:gridSpan w:val="2"/>
            <w:tcBorders>
              <w:top w:val="single" w:color="auto" w:sz="4" w:space="0"/>
              <w:left w:val="single" w:color="auto" w:sz="4" w:space="0"/>
              <w:bottom w:val="single" w:color="auto" w:sz="4" w:space="0"/>
              <w:right w:val="single" w:color="auto" w:sz="4" w:space="0"/>
            </w:tcBorders>
            <w:noWrap w:val="0"/>
            <w:vAlign w:val="center"/>
          </w:tcPr>
          <w:p w14:paraId="2233B251">
            <w:pPr>
              <w:topLinePunct/>
              <w:spacing w:after="0" w:line="360" w:lineRule="auto"/>
              <w:jc w:val="center"/>
              <w:rPr>
                <w:rFonts w:ascii="宋体" w:hAnsi="宋体"/>
                <w:color w:val="auto"/>
                <w:szCs w:val="21"/>
                <w:highlight w:val="none"/>
              </w:rPr>
            </w:pPr>
            <w:r>
              <w:rPr>
                <w:rFonts w:ascii="宋体" w:hAnsi="宋体"/>
                <w:color w:val="auto"/>
                <w:szCs w:val="21"/>
                <w:highlight w:val="none"/>
              </w:rPr>
              <w:t>技术职称</w:t>
            </w:r>
          </w:p>
        </w:tc>
        <w:tc>
          <w:tcPr>
            <w:tcW w:w="1732" w:type="dxa"/>
            <w:gridSpan w:val="2"/>
            <w:tcBorders>
              <w:top w:val="single" w:color="auto" w:sz="4" w:space="0"/>
              <w:left w:val="single" w:color="auto" w:sz="4" w:space="0"/>
              <w:bottom w:val="single" w:color="auto" w:sz="4" w:space="0"/>
              <w:right w:val="single" w:color="auto" w:sz="4" w:space="0"/>
            </w:tcBorders>
            <w:noWrap w:val="0"/>
            <w:vAlign w:val="center"/>
          </w:tcPr>
          <w:p w14:paraId="1C588DDB">
            <w:pPr>
              <w:topLinePunct/>
              <w:spacing w:after="0" w:line="360" w:lineRule="auto"/>
              <w:jc w:val="center"/>
              <w:rPr>
                <w:rFonts w:ascii="宋体" w:hAnsi="宋体"/>
                <w:color w:val="auto"/>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14:paraId="495BF9C4">
            <w:pPr>
              <w:topLinePunct/>
              <w:spacing w:after="0" w:line="360" w:lineRule="auto"/>
              <w:jc w:val="center"/>
              <w:rPr>
                <w:rFonts w:ascii="宋体" w:hAnsi="宋体"/>
                <w:color w:val="auto"/>
                <w:szCs w:val="21"/>
                <w:highlight w:val="none"/>
              </w:rPr>
            </w:pPr>
            <w:r>
              <w:rPr>
                <w:rFonts w:ascii="宋体" w:hAnsi="宋体"/>
                <w:color w:val="auto"/>
                <w:szCs w:val="21"/>
                <w:highlight w:val="none"/>
              </w:rPr>
              <w:t>电话</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2DBAA6A1">
            <w:pPr>
              <w:topLinePunct/>
              <w:spacing w:after="0" w:line="360" w:lineRule="auto"/>
              <w:jc w:val="center"/>
              <w:rPr>
                <w:rFonts w:ascii="宋体" w:hAnsi="宋体"/>
                <w:color w:val="auto"/>
                <w:szCs w:val="21"/>
                <w:highlight w:val="none"/>
              </w:rPr>
            </w:pPr>
          </w:p>
        </w:tc>
      </w:tr>
      <w:tr w14:paraId="5E816D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14402141">
            <w:pPr>
              <w:topLinePunct/>
              <w:spacing w:after="0" w:line="360" w:lineRule="auto"/>
              <w:jc w:val="center"/>
              <w:rPr>
                <w:rFonts w:ascii="宋体" w:hAnsi="宋体"/>
                <w:color w:val="auto"/>
                <w:szCs w:val="21"/>
                <w:highlight w:val="none"/>
              </w:rPr>
            </w:pPr>
            <w:r>
              <w:rPr>
                <w:rFonts w:ascii="宋体" w:hAnsi="宋体"/>
                <w:color w:val="auto"/>
                <w:szCs w:val="21"/>
                <w:highlight w:val="none"/>
              </w:rPr>
              <w:t>成立时间</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241505EE">
            <w:pPr>
              <w:topLinePunct/>
              <w:spacing w:after="0" w:line="360" w:lineRule="auto"/>
              <w:jc w:val="center"/>
              <w:rPr>
                <w:rFonts w:ascii="宋体" w:hAnsi="宋体"/>
                <w:color w:val="auto"/>
                <w:szCs w:val="21"/>
                <w:highlight w:val="none"/>
              </w:rPr>
            </w:pPr>
          </w:p>
        </w:tc>
        <w:tc>
          <w:tcPr>
            <w:tcW w:w="3068" w:type="dxa"/>
            <w:gridSpan w:val="4"/>
            <w:tcBorders>
              <w:top w:val="single" w:color="auto" w:sz="4" w:space="0"/>
              <w:left w:val="single" w:color="auto" w:sz="4" w:space="0"/>
              <w:bottom w:val="single" w:color="auto" w:sz="4" w:space="0"/>
              <w:right w:val="single" w:color="auto" w:sz="4" w:space="0"/>
            </w:tcBorders>
            <w:noWrap w:val="0"/>
            <w:vAlign w:val="center"/>
          </w:tcPr>
          <w:p w14:paraId="605C2C8B">
            <w:pPr>
              <w:topLinePunct/>
              <w:spacing w:after="0" w:line="360" w:lineRule="auto"/>
              <w:jc w:val="center"/>
              <w:rPr>
                <w:rFonts w:ascii="宋体" w:hAnsi="宋体"/>
                <w:color w:val="auto"/>
                <w:szCs w:val="21"/>
                <w:highlight w:val="none"/>
              </w:rPr>
            </w:pPr>
            <w:r>
              <w:rPr>
                <w:rFonts w:ascii="宋体" w:hAnsi="宋体"/>
                <w:color w:val="auto"/>
                <w:szCs w:val="21"/>
                <w:highlight w:val="none"/>
              </w:rPr>
              <w:t>员工总人数</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7A978D2C">
            <w:pPr>
              <w:topLinePunct/>
              <w:spacing w:after="0" w:line="360" w:lineRule="auto"/>
              <w:ind w:firstLine="1050" w:firstLineChars="500"/>
              <w:rPr>
                <w:rFonts w:ascii="宋体" w:hAnsi="宋体"/>
                <w:color w:val="auto"/>
                <w:szCs w:val="21"/>
                <w:highlight w:val="none"/>
              </w:rPr>
            </w:pPr>
          </w:p>
        </w:tc>
      </w:tr>
      <w:tr w14:paraId="18678A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47979B45">
            <w:pPr>
              <w:topLinePunct/>
              <w:spacing w:after="0" w:line="360" w:lineRule="auto"/>
              <w:jc w:val="center"/>
              <w:rPr>
                <w:rFonts w:ascii="宋体" w:hAnsi="宋体"/>
                <w:color w:val="auto"/>
                <w:szCs w:val="21"/>
                <w:highlight w:val="none"/>
              </w:rPr>
            </w:pPr>
            <w:r>
              <w:rPr>
                <w:rFonts w:ascii="宋体" w:hAnsi="宋体"/>
                <w:color w:val="auto"/>
                <w:szCs w:val="21"/>
                <w:highlight w:val="none"/>
              </w:rPr>
              <w:t>企业资质等级</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3B4E4CFF">
            <w:pPr>
              <w:topLinePunct/>
              <w:spacing w:after="0" w:line="360" w:lineRule="auto"/>
              <w:jc w:val="center"/>
              <w:rPr>
                <w:rFonts w:ascii="宋体" w:hAnsi="宋体"/>
                <w:color w:val="auto"/>
                <w:szCs w:val="21"/>
                <w:highlight w:val="none"/>
              </w:rPr>
            </w:pPr>
          </w:p>
        </w:tc>
        <w:tc>
          <w:tcPr>
            <w:tcW w:w="910" w:type="dxa"/>
            <w:vMerge w:val="restart"/>
            <w:tcBorders>
              <w:top w:val="single" w:color="auto" w:sz="4" w:space="0"/>
              <w:left w:val="single" w:color="auto" w:sz="4" w:space="0"/>
              <w:bottom w:val="single" w:color="auto" w:sz="4" w:space="0"/>
              <w:right w:val="single" w:color="auto" w:sz="4" w:space="0"/>
            </w:tcBorders>
            <w:noWrap w:val="0"/>
            <w:vAlign w:val="center"/>
          </w:tcPr>
          <w:p w14:paraId="246D6CEF">
            <w:pPr>
              <w:topLinePunct/>
              <w:spacing w:after="0" w:line="360" w:lineRule="auto"/>
              <w:jc w:val="center"/>
              <w:rPr>
                <w:rFonts w:ascii="宋体" w:hAnsi="宋体"/>
                <w:color w:val="auto"/>
                <w:szCs w:val="21"/>
                <w:highlight w:val="none"/>
              </w:rPr>
            </w:pPr>
            <w:r>
              <w:rPr>
                <w:rFonts w:ascii="宋体" w:hAnsi="宋体"/>
                <w:color w:val="auto"/>
                <w:szCs w:val="21"/>
                <w:highlight w:val="none"/>
              </w:rPr>
              <w:t>其中</w:t>
            </w: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7698AE4B">
            <w:pPr>
              <w:topLinePunct/>
              <w:spacing w:after="0" w:line="360" w:lineRule="auto"/>
              <w:jc w:val="center"/>
              <w:rPr>
                <w:rFonts w:ascii="宋体" w:hAnsi="宋体"/>
                <w:color w:val="auto"/>
                <w:szCs w:val="21"/>
                <w:highlight w:val="none"/>
              </w:rPr>
            </w:pPr>
            <w:r>
              <w:rPr>
                <w:rFonts w:ascii="宋体" w:hAnsi="宋体"/>
                <w:color w:val="auto"/>
                <w:szCs w:val="21"/>
                <w:highlight w:val="none"/>
              </w:rPr>
              <w:t>项目经理</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10966098">
            <w:pPr>
              <w:topLinePunct/>
              <w:spacing w:after="0" w:line="360" w:lineRule="auto"/>
              <w:jc w:val="center"/>
              <w:rPr>
                <w:rFonts w:ascii="宋体" w:hAnsi="宋体"/>
                <w:color w:val="auto"/>
                <w:szCs w:val="21"/>
                <w:highlight w:val="none"/>
              </w:rPr>
            </w:pPr>
          </w:p>
        </w:tc>
      </w:tr>
      <w:tr w14:paraId="397452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03B2E093">
            <w:pPr>
              <w:topLinePunct/>
              <w:spacing w:after="0" w:line="360" w:lineRule="auto"/>
              <w:jc w:val="center"/>
              <w:rPr>
                <w:rFonts w:ascii="宋体" w:hAnsi="宋体"/>
                <w:color w:val="auto"/>
                <w:szCs w:val="21"/>
                <w:highlight w:val="none"/>
              </w:rPr>
            </w:pPr>
            <w:r>
              <w:rPr>
                <w:rFonts w:ascii="宋体" w:hAnsi="宋体"/>
                <w:color w:val="auto"/>
                <w:szCs w:val="21"/>
                <w:highlight w:val="none"/>
              </w:rPr>
              <w:t>营业执照号</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6B584E56">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24DEDF33">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0A4ADAFD">
            <w:pPr>
              <w:topLinePunct/>
              <w:spacing w:after="0" w:line="360" w:lineRule="auto"/>
              <w:jc w:val="center"/>
              <w:rPr>
                <w:rFonts w:ascii="宋体" w:hAnsi="宋体"/>
                <w:color w:val="auto"/>
                <w:szCs w:val="21"/>
                <w:highlight w:val="none"/>
              </w:rPr>
            </w:pPr>
            <w:r>
              <w:rPr>
                <w:rFonts w:ascii="宋体" w:hAnsi="宋体"/>
                <w:color w:val="auto"/>
                <w:szCs w:val="21"/>
                <w:highlight w:val="none"/>
              </w:rPr>
              <w:t>高级职称人员</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71E4AC8C">
            <w:pPr>
              <w:topLinePunct/>
              <w:spacing w:after="0" w:line="360" w:lineRule="auto"/>
              <w:jc w:val="center"/>
              <w:rPr>
                <w:rFonts w:ascii="宋体" w:hAnsi="宋体"/>
                <w:color w:val="auto"/>
                <w:szCs w:val="21"/>
                <w:highlight w:val="none"/>
              </w:rPr>
            </w:pPr>
          </w:p>
        </w:tc>
      </w:tr>
      <w:tr w14:paraId="68F8A2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1059E2D1">
            <w:pPr>
              <w:topLinePunct/>
              <w:spacing w:after="0" w:line="360" w:lineRule="auto"/>
              <w:jc w:val="center"/>
              <w:rPr>
                <w:rFonts w:ascii="宋体" w:hAnsi="宋体"/>
                <w:color w:val="auto"/>
                <w:szCs w:val="21"/>
                <w:highlight w:val="none"/>
              </w:rPr>
            </w:pPr>
            <w:r>
              <w:rPr>
                <w:rFonts w:ascii="宋体" w:hAnsi="宋体"/>
                <w:color w:val="auto"/>
                <w:szCs w:val="21"/>
                <w:highlight w:val="none"/>
              </w:rPr>
              <w:t>注册资金</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48C551D3">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5FBB61FD">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4E152B90">
            <w:pPr>
              <w:topLinePunct/>
              <w:spacing w:after="0" w:line="360" w:lineRule="auto"/>
              <w:jc w:val="center"/>
              <w:rPr>
                <w:rFonts w:ascii="宋体" w:hAnsi="宋体"/>
                <w:color w:val="auto"/>
                <w:szCs w:val="21"/>
                <w:highlight w:val="none"/>
              </w:rPr>
            </w:pPr>
            <w:r>
              <w:rPr>
                <w:rFonts w:ascii="宋体" w:hAnsi="宋体"/>
                <w:color w:val="auto"/>
                <w:szCs w:val="21"/>
                <w:highlight w:val="none"/>
              </w:rPr>
              <w:t>中级职称人员</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5B079839">
            <w:pPr>
              <w:topLinePunct/>
              <w:spacing w:after="0" w:line="360" w:lineRule="auto"/>
              <w:jc w:val="center"/>
              <w:rPr>
                <w:rFonts w:ascii="宋体" w:hAnsi="宋体"/>
                <w:color w:val="auto"/>
                <w:szCs w:val="21"/>
                <w:highlight w:val="none"/>
              </w:rPr>
            </w:pPr>
          </w:p>
        </w:tc>
      </w:tr>
      <w:tr w14:paraId="09E9DE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1E755FD9">
            <w:pPr>
              <w:topLinePunct/>
              <w:spacing w:after="0" w:line="360" w:lineRule="auto"/>
              <w:jc w:val="center"/>
              <w:rPr>
                <w:rFonts w:ascii="宋体" w:hAnsi="宋体"/>
                <w:color w:val="auto"/>
                <w:szCs w:val="21"/>
                <w:highlight w:val="none"/>
              </w:rPr>
            </w:pPr>
            <w:r>
              <w:rPr>
                <w:rFonts w:ascii="宋体" w:hAnsi="宋体"/>
                <w:color w:val="auto"/>
                <w:szCs w:val="21"/>
                <w:highlight w:val="none"/>
              </w:rPr>
              <w:t>开户银行</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17203DB8">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751EE230">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486CCF83">
            <w:pPr>
              <w:topLinePunct/>
              <w:spacing w:after="0" w:line="360" w:lineRule="auto"/>
              <w:jc w:val="center"/>
              <w:rPr>
                <w:rFonts w:ascii="宋体" w:hAnsi="宋体"/>
                <w:color w:val="auto"/>
                <w:szCs w:val="21"/>
                <w:highlight w:val="none"/>
              </w:rPr>
            </w:pPr>
            <w:r>
              <w:rPr>
                <w:rFonts w:ascii="宋体" w:hAnsi="宋体"/>
                <w:color w:val="auto"/>
                <w:szCs w:val="21"/>
                <w:highlight w:val="none"/>
              </w:rPr>
              <w:t>初级职称人员</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464041E3">
            <w:pPr>
              <w:topLinePunct/>
              <w:spacing w:after="0" w:line="360" w:lineRule="auto"/>
              <w:jc w:val="center"/>
              <w:rPr>
                <w:rFonts w:ascii="宋体" w:hAnsi="宋体"/>
                <w:color w:val="auto"/>
                <w:szCs w:val="21"/>
                <w:highlight w:val="none"/>
              </w:rPr>
            </w:pPr>
          </w:p>
        </w:tc>
      </w:tr>
      <w:tr w14:paraId="7BB591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5666F1CA">
            <w:pPr>
              <w:topLinePunct/>
              <w:spacing w:after="0" w:line="360" w:lineRule="auto"/>
              <w:jc w:val="center"/>
              <w:rPr>
                <w:rFonts w:ascii="宋体" w:hAnsi="宋体"/>
                <w:color w:val="auto"/>
                <w:szCs w:val="21"/>
                <w:highlight w:val="none"/>
              </w:rPr>
            </w:pPr>
            <w:r>
              <w:rPr>
                <w:rFonts w:ascii="宋体" w:hAnsi="宋体"/>
                <w:color w:val="auto"/>
                <w:szCs w:val="21"/>
                <w:highlight w:val="none"/>
              </w:rPr>
              <w:t>账号</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6FA234DC">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46CC72B4">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295BC6A4">
            <w:pPr>
              <w:spacing w:after="0" w:line="360" w:lineRule="auto"/>
              <w:jc w:val="center"/>
              <w:rPr>
                <w:rFonts w:ascii="宋体" w:hAnsi="宋体"/>
                <w:color w:val="auto"/>
                <w:szCs w:val="21"/>
                <w:highlight w:val="none"/>
              </w:rPr>
            </w:pPr>
            <w:r>
              <w:rPr>
                <w:rFonts w:ascii="宋体" w:hAnsi="宋体"/>
                <w:color w:val="auto"/>
                <w:szCs w:val="21"/>
                <w:highlight w:val="none"/>
              </w:rPr>
              <w:t>技工</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43FBD511">
            <w:pPr>
              <w:topLinePunct/>
              <w:spacing w:after="0" w:line="360" w:lineRule="auto"/>
              <w:jc w:val="center"/>
              <w:rPr>
                <w:rFonts w:ascii="宋体" w:hAnsi="宋体"/>
                <w:color w:val="auto"/>
                <w:szCs w:val="21"/>
                <w:highlight w:val="none"/>
              </w:rPr>
            </w:pPr>
          </w:p>
        </w:tc>
      </w:tr>
      <w:tr w14:paraId="7ED454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4" w:hRule="atLeast"/>
          <w:jc w:val="center"/>
        </w:trPr>
        <w:tc>
          <w:tcPr>
            <w:tcW w:w="1872" w:type="dxa"/>
            <w:tcBorders>
              <w:top w:val="single" w:color="auto" w:sz="4" w:space="0"/>
              <w:left w:val="single" w:color="auto" w:sz="4" w:space="0"/>
              <w:right w:val="single" w:color="auto" w:sz="4" w:space="0"/>
            </w:tcBorders>
            <w:noWrap w:val="0"/>
            <w:vAlign w:val="center"/>
          </w:tcPr>
          <w:p w14:paraId="567A3D13">
            <w:pPr>
              <w:topLinePunct/>
              <w:spacing w:after="0" w:line="360" w:lineRule="auto"/>
              <w:ind w:firstLine="210" w:firstLineChars="100"/>
              <w:jc w:val="center"/>
              <w:rPr>
                <w:rFonts w:ascii="宋体" w:hAnsi="宋体"/>
                <w:color w:val="auto"/>
                <w:szCs w:val="21"/>
                <w:highlight w:val="none"/>
              </w:rPr>
            </w:pPr>
            <w:r>
              <w:rPr>
                <w:rFonts w:ascii="宋体" w:hAnsi="宋体"/>
                <w:color w:val="auto"/>
                <w:szCs w:val="21"/>
                <w:highlight w:val="none"/>
              </w:rPr>
              <w:t>经营范围</w:t>
            </w:r>
          </w:p>
        </w:tc>
        <w:tc>
          <w:tcPr>
            <w:tcW w:w="7414" w:type="dxa"/>
            <w:gridSpan w:val="8"/>
            <w:tcBorders>
              <w:top w:val="single" w:color="auto" w:sz="4" w:space="0"/>
              <w:left w:val="single" w:color="auto" w:sz="4" w:space="0"/>
              <w:right w:val="single" w:color="auto" w:sz="4" w:space="0"/>
            </w:tcBorders>
            <w:noWrap w:val="0"/>
            <w:vAlign w:val="center"/>
          </w:tcPr>
          <w:p w14:paraId="679647D2">
            <w:pPr>
              <w:topLinePunct/>
              <w:spacing w:after="0" w:line="360" w:lineRule="auto"/>
              <w:rPr>
                <w:rFonts w:ascii="宋体" w:hAnsi="宋体"/>
                <w:color w:val="auto"/>
                <w:szCs w:val="21"/>
                <w:highlight w:val="none"/>
              </w:rPr>
            </w:pPr>
          </w:p>
          <w:p w14:paraId="4723625D">
            <w:pPr>
              <w:topLinePunct/>
              <w:spacing w:after="0" w:line="360" w:lineRule="auto"/>
              <w:jc w:val="center"/>
              <w:rPr>
                <w:rFonts w:ascii="宋体" w:hAnsi="宋体"/>
                <w:color w:val="auto"/>
                <w:szCs w:val="21"/>
                <w:highlight w:val="none"/>
              </w:rPr>
            </w:pPr>
          </w:p>
          <w:p w14:paraId="3F6E0623">
            <w:pPr>
              <w:topLinePunct/>
              <w:spacing w:after="0" w:line="360" w:lineRule="auto"/>
              <w:jc w:val="center"/>
              <w:rPr>
                <w:rFonts w:ascii="宋体" w:hAnsi="宋体"/>
                <w:color w:val="auto"/>
                <w:szCs w:val="21"/>
                <w:highlight w:val="none"/>
              </w:rPr>
            </w:pPr>
          </w:p>
          <w:p w14:paraId="3640E079">
            <w:pPr>
              <w:topLinePunct/>
              <w:spacing w:after="0" w:line="360" w:lineRule="auto"/>
              <w:rPr>
                <w:rFonts w:ascii="宋体" w:hAnsi="宋体"/>
                <w:color w:val="auto"/>
                <w:szCs w:val="21"/>
                <w:highlight w:val="none"/>
              </w:rPr>
            </w:pPr>
          </w:p>
          <w:p w14:paraId="38805DC7">
            <w:pPr>
              <w:topLinePunct/>
              <w:spacing w:after="0" w:line="360" w:lineRule="auto"/>
              <w:jc w:val="center"/>
              <w:rPr>
                <w:rFonts w:ascii="宋体" w:hAnsi="宋体"/>
                <w:color w:val="auto"/>
                <w:szCs w:val="21"/>
                <w:highlight w:val="none"/>
              </w:rPr>
            </w:pPr>
          </w:p>
        </w:tc>
      </w:tr>
      <w:tr w14:paraId="6EE6F4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7B0C16A1">
            <w:pPr>
              <w:topLinePunct/>
              <w:spacing w:after="0" w:line="360" w:lineRule="auto"/>
              <w:jc w:val="center"/>
              <w:rPr>
                <w:rFonts w:ascii="宋体" w:hAnsi="宋体"/>
                <w:color w:val="auto"/>
                <w:szCs w:val="21"/>
                <w:highlight w:val="none"/>
              </w:rPr>
            </w:pPr>
            <w:r>
              <w:rPr>
                <w:rFonts w:ascii="宋体" w:hAnsi="宋体"/>
                <w:color w:val="auto"/>
                <w:szCs w:val="21"/>
                <w:highlight w:val="none"/>
              </w:rPr>
              <w:t>备注</w:t>
            </w:r>
          </w:p>
        </w:tc>
        <w:tc>
          <w:tcPr>
            <w:tcW w:w="7414" w:type="dxa"/>
            <w:gridSpan w:val="8"/>
            <w:tcBorders>
              <w:top w:val="single" w:color="auto" w:sz="4" w:space="0"/>
              <w:left w:val="single" w:color="auto" w:sz="4" w:space="0"/>
              <w:bottom w:val="single" w:color="auto" w:sz="4" w:space="0"/>
              <w:right w:val="single" w:color="auto" w:sz="4" w:space="0"/>
            </w:tcBorders>
            <w:noWrap w:val="0"/>
            <w:vAlign w:val="center"/>
          </w:tcPr>
          <w:p w14:paraId="2524795B">
            <w:pPr>
              <w:topLinePunct/>
              <w:spacing w:after="0" w:line="360" w:lineRule="auto"/>
              <w:jc w:val="center"/>
              <w:rPr>
                <w:rFonts w:ascii="宋体" w:hAnsi="宋体"/>
                <w:color w:val="auto"/>
                <w:szCs w:val="21"/>
                <w:highlight w:val="none"/>
              </w:rPr>
            </w:pPr>
          </w:p>
        </w:tc>
      </w:tr>
    </w:tbl>
    <w:p w14:paraId="538EA957">
      <w:pPr>
        <w:spacing w:after="0" w:line="360" w:lineRule="auto"/>
        <w:rPr>
          <w:rFonts w:ascii="宋体" w:hAnsi="宋体"/>
          <w:color w:val="auto"/>
          <w:highlight w:val="none"/>
        </w:rPr>
      </w:pPr>
      <w:bookmarkStart w:id="1040" w:name="_Toc317631955"/>
      <w:r>
        <w:rPr>
          <w:rFonts w:hint="eastAsia" w:ascii="宋体" w:hAnsi="宋体"/>
          <w:color w:val="auto"/>
          <w:highlight w:val="none"/>
        </w:rPr>
        <w:t xml:space="preserve">注：附营业执照、资质证书、安全生产许可证等相应证件扫描件。 </w:t>
      </w:r>
    </w:p>
    <w:p w14:paraId="6A8D356A">
      <w:pPr>
        <w:widowControl/>
        <w:spacing w:after="0" w:line="360" w:lineRule="auto"/>
        <w:jc w:val="left"/>
        <w:rPr>
          <w:rFonts w:ascii="宋体" w:hAnsi="宋体"/>
          <w:bCs/>
          <w:color w:val="auto"/>
          <w:sz w:val="28"/>
          <w:szCs w:val="28"/>
          <w:highlight w:val="none"/>
        </w:rPr>
      </w:pPr>
      <w:r>
        <w:rPr>
          <w:rFonts w:ascii="宋体" w:hAnsi="宋体"/>
          <w:b/>
          <w:color w:val="auto"/>
          <w:sz w:val="28"/>
          <w:szCs w:val="28"/>
          <w:highlight w:val="none"/>
        </w:rPr>
        <w:br w:type="page"/>
      </w:r>
    </w:p>
    <w:p w14:paraId="79E3A406">
      <w:pPr>
        <w:pStyle w:val="5"/>
        <w:spacing w:before="0" w:after="0" w:line="360" w:lineRule="auto"/>
        <w:jc w:val="center"/>
        <w:rPr>
          <w:rFonts w:hint="default" w:ascii="宋体" w:hAnsi="宋体" w:eastAsia="宋体"/>
          <w:color w:val="auto"/>
          <w:sz w:val="24"/>
          <w:highlight w:val="none"/>
          <w:lang w:val="en-US" w:eastAsia="zh-CN"/>
        </w:rPr>
      </w:pPr>
      <w:bookmarkStart w:id="1041" w:name="_Toc792_WPSOffice_Level2"/>
      <w:bookmarkStart w:id="1042" w:name="_Toc95257516"/>
      <w:bookmarkStart w:id="1043" w:name="_Toc16249"/>
      <w:bookmarkStart w:id="1044" w:name="_Toc29451"/>
      <w:r>
        <w:rPr>
          <w:rFonts w:hint="eastAsia" w:ascii="宋体" w:hAnsi="宋体" w:eastAsia="宋体"/>
          <w:color w:val="auto"/>
          <w:sz w:val="24"/>
          <w:highlight w:val="none"/>
        </w:rPr>
        <w:t>（二）</w:t>
      </w:r>
      <w:bookmarkEnd w:id="1040"/>
      <w:bookmarkEnd w:id="1041"/>
      <w:bookmarkEnd w:id="1042"/>
      <w:bookmarkEnd w:id="1043"/>
      <w:r>
        <w:rPr>
          <w:rFonts w:hint="eastAsia" w:ascii="宋体" w:hAnsi="宋体" w:eastAsia="宋体"/>
          <w:color w:val="auto"/>
          <w:sz w:val="24"/>
          <w:highlight w:val="none"/>
          <w:lang w:val="en-US" w:eastAsia="zh-CN"/>
        </w:rPr>
        <w:t>财务要求</w:t>
      </w:r>
      <w:bookmarkEnd w:id="1044"/>
    </w:p>
    <w:p w14:paraId="3E35B139">
      <w:pPr>
        <w:widowControl/>
        <w:spacing w:after="0" w:line="360" w:lineRule="auto"/>
        <w:ind w:firstLine="422" w:firstLineChars="200"/>
        <w:jc w:val="left"/>
        <w:rPr>
          <w:rFonts w:ascii="宋体" w:hAnsi="宋体"/>
          <w:color w:val="auto"/>
          <w:highlight w:val="none"/>
        </w:rPr>
      </w:pPr>
      <w:bookmarkStart w:id="1045" w:name="_Toc317631956"/>
      <w:r>
        <w:rPr>
          <w:rFonts w:hint="eastAsia" w:ascii="宋体" w:hAnsi="宋体"/>
          <w:b/>
          <w:color w:val="auto"/>
          <w:highlight w:val="none"/>
        </w:rPr>
        <w:t>注：</w:t>
      </w:r>
      <w:r>
        <w:rPr>
          <w:rFonts w:hint="eastAsia" w:ascii="宋体" w:hAnsi="宋体"/>
          <w:bCs/>
          <w:color w:val="auto"/>
          <w:highlight w:val="none"/>
        </w:rPr>
        <w:t>投标时</w:t>
      </w:r>
      <w:r>
        <w:rPr>
          <w:rFonts w:hint="eastAsia" w:ascii="宋体" w:hAnsi="宋体"/>
          <w:color w:val="auto"/>
          <w:highlight w:val="none"/>
        </w:rPr>
        <w:t>没有处于财产被接管、冻结、破产或其他不良状态。投标人财务状况良好，</w:t>
      </w:r>
      <w:r>
        <w:rPr>
          <w:rFonts w:hint="eastAsia" w:ascii="宋体" w:hAnsi="宋体"/>
          <w:color w:val="auto"/>
          <w:highlight w:val="none"/>
          <w:lang w:eastAsia="zh-CN"/>
        </w:rPr>
        <w:t>提供2022年-2024年经第三方审计的会计财务报表（包括利润表、现金流量表、资产负债表）及审计报告。</w:t>
      </w:r>
      <w:r>
        <w:rPr>
          <w:rFonts w:hint="eastAsia" w:ascii="宋体" w:hAnsi="宋体"/>
          <w:color w:val="auto"/>
          <w:highlight w:val="none"/>
        </w:rPr>
        <w:t>在要求的年份内</w:t>
      </w:r>
      <w:r>
        <w:rPr>
          <w:rFonts w:hint="eastAsia" w:ascii="宋体" w:hAnsi="宋体"/>
          <w:color w:val="auto"/>
          <w:highlight w:val="none"/>
          <w:lang w:eastAsia="zh-CN"/>
        </w:rPr>
        <w:t>才</w:t>
      </w:r>
      <w:r>
        <w:rPr>
          <w:rFonts w:hint="eastAsia" w:ascii="宋体" w:hAnsi="宋体"/>
          <w:color w:val="auto"/>
          <w:highlight w:val="none"/>
        </w:rPr>
        <w:t>成立的</w:t>
      </w:r>
      <w:r>
        <w:rPr>
          <w:rFonts w:hint="eastAsia" w:ascii="宋体" w:hAnsi="宋体"/>
          <w:color w:val="auto"/>
          <w:highlight w:val="none"/>
          <w:lang w:eastAsia="zh-CN"/>
        </w:rPr>
        <w:t>公司</w:t>
      </w:r>
      <w:r>
        <w:rPr>
          <w:rFonts w:hint="eastAsia" w:ascii="宋体" w:hAnsi="宋体"/>
          <w:color w:val="auto"/>
          <w:highlight w:val="none"/>
        </w:rPr>
        <w:t>，</w:t>
      </w:r>
      <w:r>
        <w:rPr>
          <w:rFonts w:hint="eastAsia" w:ascii="宋体" w:hAnsi="宋体"/>
          <w:color w:val="auto"/>
          <w:highlight w:val="none"/>
          <w:lang w:eastAsia="zh-CN"/>
        </w:rPr>
        <w:t>只</w:t>
      </w:r>
      <w:r>
        <w:rPr>
          <w:rFonts w:hint="eastAsia" w:ascii="宋体" w:hAnsi="宋体"/>
          <w:color w:val="auto"/>
          <w:highlight w:val="none"/>
        </w:rPr>
        <w:t>需</w:t>
      </w:r>
      <w:r>
        <w:rPr>
          <w:rFonts w:hint="eastAsia" w:ascii="宋体" w:hAnsi="宋体"/>
          <w:color w:val="auto"/>
          <w:highlight w:val="none"/>
          <w:lang w:eastAsia="zh-CN"/>
        </w:rPr>
        <w:t>要</w:t>
      </w:r>
      <w:r>
        <w:rPr>
          <w:rFonts w:hint="eastAsia" w:ascii="宋体" w:hAnsi="宋体"/>
          <w:color w:val="auto"/>
          <w:highlight w:val="none"/>
        </w:rPr>
        <w:t>提供成立后的经审计的财务报表（利润表、现金流量表、资产负债表）及审计报告</w:t>
      </w:r>
      <w:r>
        <w:rPr>
          <w:rFonts w:hint="eastAsia" w:ascii="宋体" w:hAnsi="宋体"/>
          <w:color w:val="auto"/>
          <w:highlight w:val="none"/>
          <w:lang w:eastAsia="zh-CN"/>
        </w:rPr>
        <w:t>即可</w:t>
      </w:r>
      <w:r>
        <w:rPr>
          <w:rFonts w:hint="eastAsia" w:ascii="宋体" w:hAnsi="宋体"/>
          <w:color w:val="auto"/>
          <w:highlight w:val="none"/>
        </w:rPr>
        <w:t>，202</w:t>
      </w:r>
      <w:r>
        <w:rPr>
          <w:rFonts w:hint="eastAsia" w:ascii="宋体" w:hAnsi="宋体"/>
          <w:color w:val="auto"/>
          <w:highlight w:val="none"/>
          <w:lang w:val="en-US" w:eastAsia="zh-CN"/>
        </w:rPr>
        <w:t>4</w:t>
      </w:r>
      <w:r>
        <w:rPr>
          <w:rFonts w:hint="eastAsia" w:ascii="宋体" w:hAnsi="宋体"/>
          <w:color w:val="auto"/>
          <w:highlight w:val="none"/>
        </w:rPr>
        <w:t>年后新成立的企业提供</w:t>
      </w:r>
      <w:r>
        <w:rPr>
          <w:rFonts w:hint="eastAsia" w:ascii="宋体" w:hAnsi="宋体"/>
          <w:color w:val="auto"/>
          <w:highlight w:val="none"/>
          <w:lang w:eastAsia="zh-CN"/>
        </w:rPr>
        <w:t>财务报表</w:t>
      </w:r>
      <w:r>
        <w:rPr>
          <w:rFonts w:hint="eastAsia" w:ascii="宋体" w:hAnsi="宋体"/>
          <w:color w:val="auto"/>
          <w:highlight w:val="none"/>
        </w:rPr>
        <w:t>及相关说明。</w:t>
      </w:r>
    </w:p>
    <w:p w14:paraId="468F24AC">
      <w:pPr>
        <w:widowControl/>
        <w:spacing w:after="0" w:line="360" w:lineRule="auto"/>
        <w:ind w:firstLine="422" w:firstLineChars="200"/>
        <w:jc w:val="left"/>
        <w:rPr>
          <w:rFonts w:ascii="宋体" w:hAnsi="宋体"/>
          <w:color w:val="auto"/>
          <w:highlight w:val="none"/>
        </w:rPr>
      </w:pPr>
      <w:r>
        <w:rPr>
          <w:rFonts w:ascii="宋体" w:hAnsi="宋体"/>
          <w:b/>
          <w:color w:val="auto"/>
          <w:highlight w:val="none"/>
        </w:rPr>
        <w:br w:type="page"/>
      </w:r>
    </w:p>
    <w:p w14:paraId="5AAD4FF4">
      <w:pPr>
        <w:pStyle w:val="5"/>
        <w:spacing w:before="0" w:after="0" w:line="360" w:lineRule="auto"/>
        <w:jc w:val="center"/>
        <w:rPr>
          <w:rFonts w:ascii="宋体" w:hAnsi="宋体" w:eastAsia="宋体"/>
          <w:color w:val="auto"/>
          <w:sz w:val="24"/>
          <w:highlight w:val="none"/>
        </w:rPr>
      </w:pPr>
      <w:bookmarkStart w:id="1046" w:name="_Toc535_WPSOffice_Level2"/>
      <w:bookmarkStart w:id="1047" w:name="_Toc25577"/>
      <w:bookmarkStart w:id="1048" w:name="_Toc95257517"/>
      <w:bookmarkStart w:id="1049" w:name="_Toc409426549"/>
      <w:bookmarkStart w:id="1050" w:name="_Toc5860"/>
      <w:bookmarkStart w:id="1051" w:name="_Toc47533393"/>
      <w:r>
        <w:rPr>
          <w:rFonts w:hint="eastAsia" w:ascii="宋体" w:hAnsi="宋体" w:eastAsia="宋体"/>
          <w:color w:val="auto"/>
          <w:sz w:val="24"/>
          <w:highlight w:val="none"/>
        </w:rPr>
        <w:t>（三）拟投入本项目标段项目部人员基本情况表</w:t>
      </w:r>
      <w:bookmarkEnd w:id="1046"/>
      <w:bookmarkEnd w:id="1047"/>
      <w:bookmarkEnd w:id="1048"/>
      <w:bookmarkEnd w:id="1049"/>
      <w:bookmarkEnd w:id="1050"/>
      <w:bookmarkEnd w:id="1051"/>
    </w:p>
    <w:tbl>
      <w:tblPr>
        <w:tblStyle w:val="58"/>
        <w:tblW w:w="0" w:type="auto"/>
        <w:jc w:val="center"/>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0" w:type="dxa"/>
          <w:bottom w:w="0" w:type="dxa"/>
          <w:right w:w="0" w:type="dxa"/>
        </w:tblCellMar>
      </w:tblPr>
      <w:tblGrid>
        <w:gridCol w:w="1746"/>
        <w:gridCol w:w="1320"/>
        <w:gridCol w:w="1418"/>
        <w:gridCol w:w="992"/>
        <w:gridCol w:w="1417"/>
        <w:gridCol w:w="1276"/>
      </w:tblGrid>
      <w:tr w14:paraId="20845A40">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jc w:val="center"/>
        </w:trPr>
        <w:tc>
          <w:tcPr>
            <w:tcW w:w="1746" w:type="dxa"/>
            <w:vMerge w:val="restart"/>
            <w:tcBorders>
              <w:top w:val="single" w:color="auto" w:sz="4" w:space="0"/>
              <w:left w:val="single" w:color="auto" w:sz="4" w:space="0"/>
            </w:tcBorders>
            <w:noWrap w:val="0"/>
            <w:vAlign w:val="center"/>
          </w:tcPr>
          <w:p w14:paraId="6915042C">
            <w:pPr>
              <w:spacing w:after="0" w:line="360" w:lineRule="auto"/>
              <w:jc w:val="center"/>
              <w:rPr>
                <w:rFonts w:ascii="宋体" w:hAnsi="宋体"/>
                <w:color w:val="auto"/>
                <w:szCs w:val="21"/>
                <w:highlight w:val="none"/>
              </w:rPr>
            </w:pPr>
            <w:r>
              <w:rPr>
                <w:rFonts w:hint="eastAsia" w:ascii="宋体" w:hAnsi="宋体"/>
                <w:color w:val="auto"/>
                <w:szCs w:val="21"/>
                <w:highlight w:val="none"/>
              </w:rPr>
              <w:t>拟任职务</w:t>
            </w:r>
          </w:p>
        </w:tc>
        <w:tc>
          <w:tcPr>
            <w:tcW w:w="1320" w:type="dxa"/>
            <w:vMerge w:val="restart"/>
            <w:tcBorders>
              <w:top w:val="single" w:color="auto" w:sz="4" w:space="0"/>
            </w:tcBorders>
            <w:noWrap w:val="0"/>
            <w:vAlign w:val="center"/>
          </w:tcPr>
          <w:p w14:paraId="6DBBF54F">
            <w:pPr>
              <w:spacing w:after="0" w:line="360" w:lineRule="auto"/>
              <w:jc w:val="center"/>
              <w:rPr>
                <w:rFonts w:ascii="宋体" w:hAnsi="宋体"/>
                <w:color w:val="auto"/>
                <w:szCs w:val="21"/>
                <w:highlight w:val="none"/>
              </w:rPr>
            </w:pPr>
            <w:r>
              <w:rPr>
                <w:rFonts w:hint="eastAsia" w:ascii="宋体" w:hAnsi="宋体"/>
                <w:color w:val="auto"/>
                <w:szCs w:val="21"/>
                <w:highlight w:val="none"/>
              </w:rPr>
              <w:t>姓名</w:t>
            </w:r>
          </w:p>
        </w:tc>
        <w:tc>
          <w:tcPr>
            <w:tcW w:w="3827" w:type="dxa"/>
            <w:gridSpan w:val="3"/>
            <w:tcBorders>
              <w:top w:val="single" w:color="auto" w:sz="4" w:space="0"/>
            </w:tcBorders>
            <w:noWrap w:val="0"/>
            <w:vAlign w:val="center"/>
          </w:tcPr>
          <w:p w14:paraId="678C9A6E">
            <w:pPr>
              <w:spacing w:after="0" w:line="360" w:lineRule="auto"/>
              <w:jc w:val="center"/>
              <w:rPr>
                <w:rFonts w:ascii="宋体" w:hAnsi="宋体"/>
                <w:color w:val="auto"/>
                <w:szCs w:val="21"/>
                <w:highlight w:val="none"/>
              </w:rPr>
            </w:pPr>
            <w:r>
              <w:rPr>
                <w:rFonts w:hint="eastAsia" w:ascii="宋体" w:hAnsi="宋体"/>
                <w:color w:val="auto"/>
                <w:szCs w:val="21"/>
                <w:highlight w:val="none"/>
              </w:rPr>
              <w:t>执业或职业资格证明</w:t>
            </w:r>
          </w:p>
        </w:tc>
        <w:tc>
          <w:tcPr>
            <w:tcW w:w="1276" w:type="dxa"/>
            <w:vMerge w:val="restart"/>
            <w:tcBorders>
              <w:top w:val="single" w:color="auto" w:sz="4" w:space="0"/>
              <w:right w:val="single" w:color="auto" w:sz="4" w:space="0"/>
            </w:tcBorders>
            <w:noWrap w:val="0"/>
            <w:vAlign w:val="center"/>
          </w:tcPr>
          <w:p w14:paraId="3693ED53">
            <w:pPr>
              <w:spacing w:after="0" w:line="360" w:lineRule="auto"/>
              <w:jc w:val="center"/>
              <w:rPr>
                <w:rFonts w:ascii="宋体" w:hAnsi="宋体"/>
                <w:color w:val="auto"/>
                <w:szCs w:val="21"/>
                <w:highlight w:val="none"/>
              </w:rPr>
            </w:pPr>
            <w:r>
              <w:rPr>
                <w:rFonts w:hint="eastAsia" w:ascii="宋体" w:hAnsi="宋体"/>
                <w:color w:val="auto"/>
                <w:szCs w:val="21"/>
                <w:highlight w:val="none"/>
              </w:rPr>
              <w:t>备注</w:t>
            </w:r>
          </w:p>
        </w:tc>
      </w:tr>
      <w:tr w14:paraId="5A73A85E">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jc w:val="center"/>
        </w:trPr>
        <w:tc>
          <w:tcPr>
            <w:tcW w:w="1746" w:type="dxa"/>
            <w:vMerge w:val="continue"/>
            <w:tcBorders>
              <w:left w:val="single" w:color="auto" w:sz="4" w:space="0"/>
            </w:tcBorders>
            <w:noWrap w:val="0"/>
            <w:vAlign w:val="center"/>
          </w:tcPr>
          <w:p w14:paraId="3750C3E1">
            <w:pPr>
              <w:spacing w:after="0" w:line="360" w:lineRule="auto"/>
              <w:jc w:val="center"/>
              <w:rPr>
                <w:rFonts w:ascii="宋体" w:hAnsi="宋体"/>
                <w:color w:val="auto"/>
                <w:szCs w:val="21"/>
                <w:highlight w:val="none"/>
              </w:rPr>
            </w:pPr>
          </w:p>
        </w:tc>
        <w:tc>
          <w:tcPr>
            <w:tcW w:w="1320" w:type="dxa"/>
            <w:vMerge w:val="continue"/>
            <w:noWrap w:val="0"/>
            <w:vAlign w:val="center"/>
          </w:tcPr>
          <w:p w14:paraId="13997794">
            <w:pPr>
              <w:spacing w:after="0" w:line="360" w:lineRule="auto"/>
              <w:jc w:val="center"/>
              <w:rPr>
                <w:rFonts w:ascii="宋体" w:hAnsi="宋体"/>
                <w:color w:val="auto"/>
                <w:szCs w:val="21"/>
                <w:highlight w:val="none"/>
              </w:rPr>
            </w:pPr>
          </w:p>
        </w:tc>
        <w:tc>
          <w:tcPr>
            <w:tcW w:w="1418" w:type="dxa"/>
            <w:noWrap w:val="0"/>
            <w:vAlign w:val="center"/>
          </w:tcPr>
          <w:p w14:paraId="5FD03DA4">
            <w:pPr>
              <w:spacing w:after="0" w:line="360" w:lineRule="auto"/>
              <w:jc w:val="center"/>
              <w:rPr>
                <w:rFonts w:ascii="宋体" w:hAnsi="宋体"/>
                <w:color w:val="auto"/>
                <w:szCs w:val="21"/>
                <w:highlight w:val="none"/>
              </w:rPr>
            </w:pPr>
            <w:r>
              <w:rPr>
                <w:rFonts w:hint="eastAsia" w:ascii="宋体" w:hAnsi="宋体"/>
                <w:color w:val="auto"/>
                <w:szCs w:val="21"/>
                <w:highlight w:val="none"/>
              </w:rPr>
              <w:t>证书名称</w:t>
            </w:r>
          </w:p>
        </w:tc>
        <w:tc>
          <w:tcPr>
            <w:tcW w:w="992" w:type="dxa"/>
            <w:noWrap w:val="0"/>
            <w:vAlign w:val="center"/>
          </w:tcPr>
          <w:p w14:paraId="680C04DF">
            <w:pPr>
              <w:spacing w:after="0" w:line="360" w:lineRule="auto"/>
              <w:jc w:val="center"/>
              <w:rPr>
                <w:rFonts w:ascii="宋体" w:hAnsi="宋体"/>
                <w:color w:val="auto"/>
                <w:szCs w:val="21"/>
                <w:highlight w:val="none"/>
              </w:rPr>
            </w:pPr>
            <w:r>
              <w:rPr>
                <w:rFonts w:hint="eastAsia" w:ascii="宋体" w:hAnsi="宋体"/>
                <w:color w:val="auto"/>
                <w:szCs w:val="21"/>
                <w:highlight w:val="none"/>
              </w:rPr>
              <w:t>级别</w:t>
            </w:r>
          </w:p>
        </w:tc>
        <w:tc>
          <w:tcPr>
            <w:tcW w:w="1417" w:type="dxa"/>
            <w:noWrap w:val="0"/>
            <w:vAlign w:val="center"/>
          </w:tcPr>
          <w:p w14:paraId="5ED80283">
            <w:pPr>
              <w:spacing w:after="0" w:line="360" w:lineRule="auto"/>
              <w:jc w:val="center"/>
              <w:rPr>
                <w:rFonts w:ascii="宋体" w:hAnsi="宋体"/>
                <w:color w:val="auto"/>
                <w:szCs w:val="21"/>
                <w:highlight w:val="none"/>
              </w:rPr>
            </w:pPr>
            <w:r>
              <w:rPr>
                <w:rFonts w:hint="eastAsia" w:ascii="宋体" w:hAnsi="宋体"/>
                <w:color w:val="auto"/>
                <w:szCs w:val="21"/>
                <w:highlight w:val="none"/>
              </w:rPr>
              <w:t>证号</w:t>
            </w:r>
          </w:p>
        </w:tc>
        <w:tc>
          <w:tcPr>
            <w:tcW w:w="1276" w:type="dxa"/>
            <w:vMerge w:val="continue"/>
            <w:tcBorders>
              <w:right w:val="single" w:color="auto" w:sz="4" w:space="0"/>
            </w:tcBorders>
            <w:noWrap w:val="0"/>
            <w:vAlign w:val="center"/>
          </w:tcPr>
          <w:p w14:paraId="3B0D5D25">
            <w:pPr>
              <w:spacing w:after="0" w:line="360" w:lineRule="auto"/>
              <w:jc w:val="center"/>
              <w:rPr>
                <w:rFonts w:ascii="宋体" w:hAnsi="宋体"/>
                <w:color w:val="auto"/>
                <w:szCs w:val="21"/>
                <w:highlight w:val="none"/>
              </w:rPr>
            </w:pPr>
          </w:p>
        </w:tc>
      </w:tr>
      <w:tr w14:paraId="7884865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991" w:hRule="exact"/>
          <w:jc w:val="center"/>
        </w:trPr>
        <w:tc>
          <w:tcPr>
            <w:tcW w:w="1746" w:type="dxa"/>
            <w:tcBorders>
              <w:left w:val="single" w:color="auto" w:sz="4" w:space="0"/>
            </w:tcBorders>
            <w:noWrap w:val="0"/>
            <w:vAlign w:val="center"/>
          </w:tcPr>
          <w:p w14:paraId="3E8DA559">
            <w:pPr>
              <w:spacing w:after="0" w:line="360" w:lineRule="auto"/>
              <w:jc w:val="center"/>
              <w:rPr>
                <w:rFonts w:ascii="宋体" w:hAnsi="宋体"/>
                <w:color w:val="auto"/>
                <w:szCs w:val="21"/>
                <w:highlight w:val="none"/>
              </w:rPr>
            </w:pPr>
            <w:r>
              <w:rPr>
                <w:rFonts w:hint="eastAsia" w:ascii="宋体" w:hAnsi="宋体"/>
                <w:color w:val="auto"/>
                <w:szCs w:val="21"/>
                <w:highlight w:val="none"/>
              </w:rPr>
              <w:t>项目经理</w:t>
            </w:r>
          </w:p>
        </w:tc>
        <w:tc>
          <w:tcPr>
            <w:tcW w:w="1320" w:type="dxa"/>
            <w:noWrap w:val="0"/>
            <w:vAlign w:val="center"/>
          </w:tcPr>
          <w:p w14:paraId="51849F21">
            <w:pPr>
              <w:spacing w:after="0" w:line="360" w:lineRule="auto"/>
              <w:jc w:val="center"/>
              <w:rPr>
                <w:rFonts w:ascii="宋体" w:hAnsi="宋体"/>
                <w:color w:val="auto"/>
                <w:szCs w:val="21"/>
                <w:highlight w:val="none"/>
              </w:rPr>
            </w:pPr>
          </w:p>
        </w:tc>
        <w:tc>
          <w:tcPr>
            <w:tcW w:w="1418" w:type="dxa"/>
            <w:noWrap w:val="0"/>
            <w:vAlign w:val="center"/>
          </w:tcPr>
          <w:p w14:paraId="064B9136">
            <w:pPr>
              <w:spacing w:after="0" w:line="360" w:lineRule="auto"/>
              <w:jc w:val="center"/>
              <w:rPr>
                <w:rFonts w:ascii="宋体" w:hAnsi="宋体"/>
                <w:color w:val="auto"/>
                <w:szCs w:val="21"/>
                <w:highlight w:val="none"/>
              </w:rPr>
            </w:pPr>
          </w:p>
        </w:tc>
        <w:tc>
          <w:tcPr>
            <w:tcW w:w="992" w:type="dxa"/>
            <w:noWrap w:val="0"/>
            <w:vAlign w:val="center"/>
          </w:tcPr>
          <w:p w14:paraId="53B281E3">
            <w:pPr>
              <w:spacing w:after="0" w:line="360" w:lineRule="auto"/>
              <w:jc w:val="center"/>
              <w:rPr>
                <w:rFonts w:ascii="宋体" w:hAnsi="宋体"/>
                <w:color w:val="auto"/>
                <w:szCs w:val="21"/>
                <w:highlight w:val="none"/>
              </w:rPr>
            </w:pPr>
          </w:p>
        </w:tc>
        <w:tc>
          <w:tcPr>
            <w:tcW w:w="1417" w:type="dxa"/>
            <w:noWrap w:val="0"/>
            <w:vAlign w:val="center"/>
          </w:tcPr>
          <w:p w14:paraId="43DE94A2">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5749BA21">
            <w:pPr>
              <w:spacing w:after="0" w:line="360" w:lineRule="auto"/>
              <w:jc w:val="center"/>
              <w:rPr>
                <w:rFonts w:ascii="宋体" w:hAnsi="宋体"/>
                <w:color w:val="auto"/>
                <w:szCs w:val="21"/>
                <w:highlight w:val="none"/>
              </w:rPr>
            </w:pPr>
          </w:p>
        </w:tc>
      </w:tr>
      <w:tr w14:paraId="1AB84BDB">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849" w:hRule="exact"/>
          <w:jc w:val="center"/>
        </w:trPr>
        <w:tc>
          <w:tcPr>
            <w:tcW w:w="1746" w:type="dxa"/>
            <w:tcBorders>
              <w:left w:val="single" w:color="auto" w:sz="4" w:space="0"/>
            </w:tcBorders>
            <w:noWrap w:val="0"/>
            <w:vAlign w:val="center"/>
          </w:tcPr>
          <w:p w14:paraId="07F95F29">
            <w:pPr>
              <w:spacing w:after="0" w:line="360" w:lineRule="auto"/>
              <w:jc w:val="center"/>
              <w:rPr>
                <w:rFonts w:ascii="宋体" w:hAnsi="宋体"/>
                <w:color w:val="auto"/>
                <w:szCs w:val="21"/>
                <w:highlight w:val="none"/>
              </w:rPr>
            </w:pPr>
            <w:r>
              <w:rPr>
                <w:rFonts w:hint="eastAsia" w:ascii="宋体" w:hAnsi="宋体"/>
                <w:color w:val="auto"/>
                <w:szCs w:val="21"/>
                <w:highlight w:val="none"/>
              </w:rPr>
              <w:t>技术负责人</w:t>
            </w:r>
          </w:p>
        </w:tc>
        <w:tc>
          <w:tcPr>
            <w:tcW w:w="1320" w:type="dxa"/>
            <w:noWrap w:val="0"/>
            <w:vAlign w:val="center"/>
          </w:tcPr>
          <w:p w14:paraId="29AE00EB">
            <w:pPr>
              <w:spacing w:after="0" w:line="360" w:lineRule="auto"/>
              <w:jc w:val="center"/>
              <w:rPr>
                <w:rFonts w:ascii="宋体" w:hAnsi="宋体"/>
                <w:color w:val="auto"/>
                <w:szCs w:val="21"/>
                <w:highlight w:val="none"/>
              </w:rPr>
            </w:pPr>
          </w:p>
        </w:tc>
        <w:tc>
          <w:tcPr>
            <w:tcW w:w="1418" w:type="dxa"/>
            <w:noWrap w:val="0"/>
            <w:vAlign w:val="center"/>
          </w:tcPr>
          <w:p w14:paraId="729048B5">
            <w:pPr>
              <w:spacing w:after="0" w:line="360" w:lineRule="auto"/>
              <w:jc w:val="center"/>
              <w:rPr>
                <w:rFonts w:ascii="宋体" w:hAnsi="宋体"/>
                <w:color w:val="auto"/>
                <w:szCs w:val="21"/>
                <w:highlight w:val="none"/>
              </w:rPr>
            </w:pPr>
          </w:p>
        </w:tc>
        <w:tc>
          <w:tcPr>
            <w:tcW w:w="992" w:type="dxa"/>
            <w:noWrap w:val="0"/>
            <w:vAlign w:val="center"/>
          </w:tcPr>
          <w:p w14:paraId="78D7E5EF">
            <w:pPr>
              <w:spacing w:after="0" w:line="360" w:lineRule="auto"/>
              <w:jc w:val="center"/>
              <w:rPr>
                <w:rFonts w:ascii="宋体" w:hAnsi="宋体"/>
                <w:color w:val="auto"/>
                <w:szCs w:val="21"/>
                <w:highlight w:val="none"/>
              </w:rPr>
            </w:pPr>
          </w:p>
        </w:tc>
        <w:tc>
          <w:tcPr>
            <w:tcW w:w="1417" w:type="dxa"/>
            <w:noWrap w:val="0"/>
            <w:vAlign w:val="center"/>
          </w:tcPr>
          <w:p w14:paraId="324BD6CB">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58DD11DA">
            <w:pPr>
              <w:spacing w:after="0" w:line="360" w:lineRule="auto"/>
              <w:jc w:val="center"/>
              <w:rPr>
                <w:rFonts w:ascii="宋体" w:hAnsi="宋体"/>
                <w:color w:val="auto"/>
                <w:szCs w:val="21"/>
                <w:highlight w:val="none"/>
              </w:rPr>
            </w:pPr>
          </w:p>
        </w:tc>
      </w:tr>
      <w:tr w14:paraId="0312726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849" w:hRule="exact"/>
          <w:jc w:val="center"/>
        </w:trPr>
        <w:tc>
          <w:tcPr>
            <w:tcW w:w="1746" w:type="dxa"/>
            <w:tcBorders>
              <w:left w:val="single" w:color="auto" w:sz="4" w:space="0"/>
            </w:tcBorders>
            <w:noWrap w:val="0"/>
            <w:vAlign w:val="center"/>
          </w:tcPr>
          <w:p w14:paraId="1138CAEF">
            <w:pPr>
              <w:spacing w:after="0" w:line="360" w:lineRule="auto"/>
              <w:jc w:val="center"/>
              <w:rPr>
                <w:rFonts w:ascii="宋体" w:hAnsi="宋体"/>
                <w:color w:val="auto"/>
                <w:szCs w:val="21"/>
                <w:highlight w:val="none"/>
              </w:rPr>
            </w:pPr>
            <w:r>
              <w:rPr>
                <w:rFonts w:hint="eastAsia" w:ascii="宋体" w:hAnsi="宋体"/>
                <w:color w:val="auto"/>
                <w:szCs w:val="21"/>
                <w:highlight w:val="none"/>
              </w:rPr>
              <w:t>安全员</w:t>
            </w:r>
          </w:p>
        </w:tc>
        <w:tc>
          <w:tcPr>
            <w:tcW w:w="1320" w:type="dxa"/>
            <w:noWrap w:val="0"/>
            <w:vAlign w:val="center"/>
          </w:tcPr>
          <w:p w14:paraId="3F87FBBC">
            <w:pPr>
              <w:spacing w:after="0" w:line="360" w:lineRule="auto"/>
              <w:jc w:val="center"/>
              <w:rPr>
                <w:rFonts w:ascii="宋体" w:hAnsi="宋体"/>
                <w:color w:val="auto"/>
                <w:szCs w:val="21"/>
                <w:highlight w:val="none"/>
              </w:rPr>
            </w:pPr>
          </w:p>
        </w:tc>
        <w:tc>
          <w:tcPr>
            <w:tcW w:w="1418" w:type="dxa"/>
            <w:noWrap w:val="0"/>
            <w:vAlign w:val="center"/>
          </w:tcPr>
          <w:p w14:paraId="6C9A07AB">
            <w:pPr>
              <w:spacing w:after="0" w:line="360" w:lineRule="auto"/>
              <w:jc w:val="center"/>
              <w:rPr>
                <w:rFonts w:ascii="宋体" w:hAnsi="宋体"/>
                <w:color w:val="auto"/>
                <w:szCs w:val="21"/>
                <w:highlight w:val="none"/>
              </w:rPr>
            </w:pPr>
          </w:p>
        </w:tc>
        <w:tc>
          <w:tcPr>
            <w:tcW w:w="992" w:type="dxa"/>
            <w:noWrap w:val="0"/>
            <w:vAlign w:val="center"/>
          </w:tcPr>
          <w:p w14:paraId="4A94AD83">
            <w:pPr>
              <w:spacing w:after="0" w:line="360" w:lineRule="auto"/>
              <w:jc w:val="center"/>
              <w:rPr>
                <w:rFonts w:ascii="宋体" w:hAnsi="宋体"/>
                <w:color w:val="auto"/>
                <w:szCs w:val="21"/>
                <w:highlight w:val="none"/>
              </w:rPr>
            </w:pPr>
          </w:p>
        </w:tc>
        <w:tc>
          <w:tcPr>
            <w:tcW w:w="1417" w:type="dxa"/>
            <w:noWrap w:val="0"/>
            <w:vAlign w:val="center"/>
          </w:tcPr>
          <w:p w14:paraId="13921AD1">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2C8862A0">
            <w:pPr>
              <w:spacing w:after="0" w:line="360" w:lineRule="auto"/>
              <w:jc w:val="center"/>
              <w:rPr>
                <w:rFonts w:ascii="宋体" w:hAnsi="宋体"/>
                <w:color w:val="auto"/>
                <w:szCs w:val="21"/>
                <w:highlight w:val="none"/>
              </w:rPr>
            </w:pPr>
          </w:p>
        </w:tc>
      </w:tr>
      <w:tr w14:paraId="56C2623B">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tcBorders>
            <w:noWrap w:val="0"/>
            <w:vAlign w:val="center"/>
          </w:tcPr>
          <w:p w14:paraId="56DA943F">
            <w:pPr>
              <w:spacing w:after="0" w:line="360" w:lineRule="auto"/>
              <w:jc w:val="center"/>
              <w:rPr>
                <w:rFonts w:ascii="宋体" w:hAnsi="宋体"/>
                <w:color w:val="auto"/>
                <w:szCs w:val="21"/>
                <w:highlight w:val="none"/>
              </w:rPr>
            </w:pPr>
            <w:r>
              <w:rPr>
                <w:rFonts w:hint="eastAsia" w:ascii="宋体" w:hAnsi="宋体"/>
                <w:color w:val="auto"/>
                <w:szCs w:val="21"/>
                <w:highlight w:val="none"/>
              </w:rPr>
              <w:t>质检员</w:t>
            </w:r>
          </w:p>
        </w:tc>
        <w:tc>
          <w:tcPr>
            <w:tcW w:w="1320" w:type="dxa"/>
            <w:noWrap w:val="0"/>
            <w:vAlign w:val="center"/>
          </w:tcPr>
          <w:p w14:paraId="230D427A">
            <w:pPr>
              <w:spacing w:after="0" w:line="360" w:lineRule="auto"/>
              <w:jc w:val="center"/>
              <w:rPr>
                <w:rFonts w:ascii="宋体" w:hAnsi="宋体"/>
                <w:color w:val="auto"/>
                <w:szCs w:val="21"/>
                <w:highlight w:val="none"/>
              </w:rPr>
            </w:pPr>
          </w:p>
        </w:tc>
        <w:tc>
          <w:tcPr>
            <w:tcW w:w="1418" w:type="dxa"/>
            <w:noWrap w:val="0"/>
            <w:vAlign w:val="center"/>
          </w:tcPr>
          <w:p w14:paraId="4C7CCEFC">
            <w:pPr>
              <w:spacing w:after="0" w:line="360" w:lineRule="auto"/>
              <w:jc w:val="center"/>
              <w:rPr>
                <w:rFonts w:ascii="宋体" w:hAnsi="宋体"/>
                <w:color w:val="auto"/>
                <w:szCs w:val="21"/>
                <w:highlight w:val="none"/>
              </w:rPr>
            </w:pPr>
          </w:p>
        </w:tc>
        <w:tc>
          <w:tcPr>
            <w:tcW w:w="992" w:type="dxa"/>
            <w:noWrap w:val="0"/>
            <w:vAlign w:val="center"/>
          </w:tcPr>
          <w:p w14:paraId="7EB2A08D">
            <w:pPr>
              <w:spacing w:after="0" w:line="360" w:lineRule="auto"/>
              <w:jc w:val="center"/>
              <w:rPr>
                <w:rFonts w:ascii="宋体" w:hAnsi="宋体"/>
                <w:color w:val="auto"/>
                <w:szCs w:val="21"/>
                <w:highlight w:val="none"/>
              </w:rPr>
            </w:pPr>
          </w:p>
        </w:tc>
        <w:tc>
          <w:tcPr>
            <w:tcW w:w="1417" w:type="dxa"/>
            <w:noWrap w:val="0"/>
            <w:vAlign w:val="center"/>
          </w:tcPr>
          <w:p w14:paraId="4875E412">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002B44DB">
            <w:pPr>
              <w:spacing w:after="0" w:line="360" w:lineRule="auto"/>
              <w:jc w:val="center"/>
              <w:rPr>
                <w:rFonts w:ascii="宋体" w:hAnsi="宋体"/>
                <w:color w:val="auto"/>
                <w:szCs w:val="21"/>
                <w:highlight w:val="none"/>
              </w:rPr>
            </w:pPr>
          </w:p>
        </w:tc>
      </w:tr>
      <w:tr w14:paraId="1E35A43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tcBorders>
            <w:noWrap w:val="0"/>
            <w:vAlign w:val="center"/>
          </w:tcPr>
          <w:p w14:paraId="30AD2CFB">
            <w:pPr>
              <w:autoSpaceDE w:val="0"/>
              <w:autoSpaceDN w:val="0"/>
              <w:adjustRightInd w:val="0"/>
              <w:spacing w:after="0" w:line="360" w:lineRule="auto"/>
              <w:jc w:val="center"/>
              <w:rPr>
                <w:rFonts w:ascii="宋体" w:hAnsi="宋体"/>
                <w:color w:val="auto"/>
                <w:kern w:val="0"/>
                <w:szCs w:val="21"/>
                <w:highlight w:val="none"/>
              </w:rPr>
            </w:pPr>
            <w:r>
              <w:rPr>
                <w:rFonts w:hint="eastAsia" w:ascii="宋体" w:hAnsi="宋体"/>
                <w:color w:val="auto"/>
                <w:kern w:val="0"/>
                <w:szCs w:val="21"/>
                <w:highlight w:val="none"/>
                <w:lang w:eastAsia="zh-CN"/>
              </w:rPr>
              <w:t>施工</w:t>
            </w:r>
            <w:r>
              <w:rPr>
                <w:rFonts w:hint="eastAsia" w:ascii="宋体" w:hAnsi="宋体"/>
                <w:color w:val="auto"/>
                <w:kern w:val="0"/>
                <w:szCs w:val="21"/>
                <w:highlight w:val="none"/>
              </w:rPr>
              <w:t>员</w:t>
            </w:r>
          </w:p>
        </w:tc>
        <w:tc>
          <w:tcPr>
            <w:tcW w:w="1320" w:type="dxa"/>
            <w:noWrap w:val="0"/>
            <w:vAlign w:val="center"/>
          </w:tcPr>
          <w:p w14:paraId="6AF8CDB3">
            <w:pPr>
              <w:autoSpaceDE w:val="0"/>
              <w:autoSpaceDN w:val="0"/>
              <w:adjustRightInd w:val="0"/>
              <w:spacing w:after="0" w:line="360" w:lineRule="auto"/>
              <w:jc w:val="center"/>
              <w:rPr>
                <w:rFonts w:ascii="宋体" w:hAnsi="宋体"/>
                <w:color w:val="auto"/>
                <w:kern w:val="0"/>
                <w:szCs w:val="21"/>
                <w:highlight w:val="none"/>
              </w:rPr>
            </w:pPr>
          </w:p>
        </w:tc>
        <w:tc>
          <w:tcPr>
            <w:tcW w:w="1418" w:type="dxa"/>
            <w:noWrap w:val="0"/>
            <w:vAlign w:val="center"/>
          </w:tcPr>
          <w:p w14:paraId="673657E1">
            <w:pPr>
              <w:autoSpaceDE w:val="0"/>
              <w:autoSpaceDN w:val="0"/>
              <w:adjustRightInd w:val="0"/>
              <w:spacing w:after="0" w:line="360" w:lineRule="auto"/>
              <w:jc w:val="center"/>
              <w:rPr>
                <w:rFonts w:ascii="宋体" w:hAnsi="宋体"/>
                <w:color w:val="auto"/>
                <w:kern w:val="0"/>
                <w:szCs w:val="21"/>
                <w:highlight w:val="none"/>
              </w:rPr>
            </w:pPr>
          </w:p>
        </w:tc>
        <w:tc>
          <w:tcPr>
            <w:tcW w:w="992" w:type="dxa"/>
            <w:noWrap w:val="0"/>
            <w:vAlign w:val="center"/>
          </w:tcPr>
          <w:p w14:paraId="5DC1E527">
            <w:pPr>
              <w:autoSpaceDE w:val="0"/>
              <w:autoSpaceDN w:val="0"/>
              <w:adjustRightInd w:val="0"/>
              <w:spacing w:after="0" w:line="360" w:lineRule="auto"/>
              <w:jc w:val="center"/>
              <w:rPr>
                <w:rFonts w:ascii="宋体" w:hAnsi="宋体"/>
                <w:color w:val="auto"/>
                <w:kern w:val="0"/>
                <w:szCs w:val="21"/>
                <w:highlight w:val="none"/>
              </w:rPr>
            </w:pPr>
          </w:p>
        </w:tc>
        <w:tc>
          <w:tcPr>
            <w:tcW w:w="1417" w:type="dxa"/>
            <w:noWrap w:val="0"/>
            <w:vAlign w:val="center"/>
          </w:tcPr>
          <w:p w14:paraId="799469D2">
            <w:pPr>
              <w:autoSpaceDE w:val="0"/>
              <w:autoSpaceDN w:val="0"/>
              <w:adjustRightInd w:val="0"/>
              <w:spacing w:after="0" w:line="360" w:lineRule="auto"/>
              <w:jc w:val="center"/>
              <w:rPr>
                <w:rFonts w:ascii="宋体" w:hAnsi="宋体"/>
                <w:color w:val="auto"/>
                <w:kern w:val="0"/>
                <w:szCs w:val="21"/>
                <w:highlight w:val="none"/>
              </w:rPr>
            </w:pPr>
          </w:p>
        </w:tc>
        <w:tc>
          <w:tcPr>
            <w:tcW w:w="1276" w:type="dxa"/>
            <w:tcBorders>
              <w:right w:val="single" w:color="auto" w:sz="4" w:space="0"/>
            </w:tcBorders>
            <w:noWrap w:val="0"/>
            <w:vAlign w:val="center"/>
          </w:tcPr>
          <w:p w14:paraId="6E78888C">
            <w:pPr>
              <w:autoSpaceDE w:val="0"/>
              <w:autoSpaceDN w:val="0"/>
              <w:adjustRightInd w:val="0"/>
              <w:spacing w:after="0" w:line="360" w:lineRule="auto"/>
              <w:jc w:val="center"/>
              <w:rPr>
                <w:rFonts w:ascii="宋体" w:hAnsi="宋体"/>
                <w:color w:val="auto"/>
                <w:kern w:val="0"/>
                <w:szCs w:val="21"/>
                <w:highlight w:val="none"/>
              </w:rPr>
            </w:pPr>
          </w:p>
        </w:tc>
      </w:tr>
      <w:tr w14:paraId="2BD31379">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tcBorders>
            <w:noWrap w:val="0"/>
            <w:vAlign w:val="center"/>
          </w:tcPr>
          <w:p w14:paraId="61CA7188">
            <w:pPr>
              <w:autoSpaceDE w:val="0"/>
              <w:autoSpaceDN w:val="0"/>
              <w:adjustRightInd w:val="0"/>
              <w:spacing w:after="0" w:line="360" w:lineRule="auto"/>
              <w:jc w:val="center"/>
              <w:rPr>
                <w:rFonts w:ascii="宋体" w:hAnsi="宋体"/>
                <w:color w:val="auto"/>
                <w:kern w:val="0"/>
                <w:szCs w:val="21"/>
                <w:highlight w:val="none"/>
              </w:rPr>
            </w:pPr>
            <w:r>
              <w:rPr>
                <w:rFonts w:hint="eastAsia" w:ascii="宋体" w:hAnsi="宋体" w:cs="宋体"/>
                <w:color w:val="auto"/>
                <w:szCs w:val="21"/>
                <w:highlight w:val="none"/>
              </w:rPr>
              <w:t xml:space="preserve"> </w:t>
            </w:r>
          </w:p>
        </w:tc>
        <w:tc>
          <w:tcPr>
            <w:tcW w:w="1320" w:type="dxa"/>
            <w:noWrap w:val="0"/>
            <w:vAlign w:val="center"/>
          </w:tcPr>
          <w:p w14:paraId="46DFE8EA">
            <w:pPr>
              <w:autoSpaceDE w:val="0"/>
              <w:autoSpaceDN w:val="0"/>
              <w:adjustRightInd w:val="0"/>
              <w:spacing w:after="0" w:line="360" w:lineRule="auto"/>
              <w:jc w:val="center"/>
              <w:rPr>
                <w:rFonts w:ascii="宋体" w:hAnsi="宋体"/>
                <w:color w:val="auto"/>
                <w:kern w:val="0"/>
                <w:szCs w:val="21"/>
                <w:highlight w:val="none"/>
              </w:rPr>
            </w:pPr>
          </w:p>
        </w:tc>
        <w:tc>
          <w:tcPr>
            <w:tcW w:w="1418" w:type="dxa"/>
            <w:noWrap w:val="0"/>
            <w:vAlign w:val="center"/>
          </w:tcPr>
          <w:p w14:paraId="71215719">
            <w:pPr>
              <w:autoSpaceDE w:val="0"/>
              <w:autoSpaceDN w:val="0"/>
              <w:adjustRightInd w:val="0"/>
              <w:spacing w:after="0" w:line="360" w:lineRule="auto"/>
              <w:jc w:val="center"/>
              <w:rPr>
                <w:rFonts w:ascii="宋体" w:hAnsi="宋体"/>
                <w:color w:val="auto"/>
                <w:kern w:val="0"/>
                <w:szCs w:val="21"/>
                <w:highlight w:val="none"/>
              </w:rPr>
            </w:pPr>
          </w:p>
        </w:tc>
        <w:tc>
          <w:tcPr>
            <w:tcW w:w="992" w:type="dxa"/>
            <w:noWrap w:val="0"/>
            <w:vAlign w:val="center"/>
          </w:tcPr>
          <w:p w14:paraId="68AE856F">
            <w:pPr>
              <w:autoSpaceDE w:val="0"/>
              <w:autoSpaceDN w:val="0"/>
              <w:adjustRightInd w:val="0"/>
              <w:spacing w:after="0" w:line="360" w:lineRule="auto"/>
              <w:jc w:val="center"/>
              <w:rPr>
                <w:rFonts w:ascii="宋体" w:hAnsi="宋体"/>
                <w:color w:val="auto"/>
                <w:kern w:val="0"/>
                <w:szCs w:val="21"/>
                <w:highlight w:val="none"/>
              </w:rPr>
            </w:pPr>
          </w:p>
        </w:tc>
        <w:tc>
          <w:tcPr>
            <w:tcW w:w="1417" w:type="dxa"/>
            <w:noWrap w:val="0"/>
            <w:vAlign w:val="center"/>
          </w:tcPr>
          <w:p w14:paraId="476AA959">
            <w:pPr>
              <w:autoSpaceDE w:val="0"/>
              <w:autoSpaceDN w:val="0"/>
              <w:adjustRightInd w:val="0"/>
              <w:spacing w:after="0" w:line="360" w:lineRule="auto"/>
              <w:jc w:val="center"/>
              <w:rPr>
                <w:rFonts w:ascii="宋体" w:hAnsi="宋体"/>
                <w:color w:val="auto"/>
                <w:kern w:val="0"/>
                <w:szCs w:val="21"/>
                <w:highlight w:val="none"/>
              </w:rPr>
            </w:pPr>
          </w:p>
        </w:tc>
        <w:tc>
          <w:tcPr>
            <w:tcW w:w="1276" w:type="dxa"/>
            <w:tcBorders>
              <w:right w:val="single" w:color="auto" w:sz="4" w:space="0"/>
            </w:tcBorders>
            <w:noWrap w:val="0"/>
            <w:vAlign w:val="center"/>
          </w:tcPr>
          <w:p w14:paraId="7E586847">
            <w:pPr>
              <w:autoSpaceDE w:val="0"/>
              <w:autoSpaceDN w:val="0"/>
              <w:adjustRightInd w:val="0"/>
              <w:spacing w:after="0" w:line="360" w:lineRule="auto"/>
              <w:jc w:val="center"/>
              <w:rPr>
                <w:rFonts w:ascii="宋体" w:hAnsi="宋体"/>
                <w:color w:val="auto"/>
                <w:kern w:val="0"/>
                <w:szCs w:val="21"/>
                <w:highlight w:val="none"/>
              </w:rPr>
            </w:pPr>
          </w:p>
        </w:tc>
      </w:tr>
      <w:tr w14:paraId="1DE82C6A">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bottom w:val="single" w:color="auto" w:sz="4" w:space="0"/>
            </w:tcBorders>
            <w:noWrap w:val="0"/>
            <w:vAlign w:val="center"/>
          </w:tcPr>
          <w:p w14:paraId="1183DE5A">
            <w:pPr>
              <w:autoSpaceDE w:val="0"/>
              <w:autoSpaceDN w:val="0"/>
              <w:adjustRightInd w:val="0"/>
              <w:spacing w:after="0" w:line="360" w:lineRule="auto"/>
              <w:jc w:val="center"/>
              <w:rPr>
                <w:rFonts w:ascii="宋体" w:hAnsi="宋体"/>
                <w:color w:val="auto"/>
                <w:kern w:val="0"/>
                <w:szCs w:val="21"/>
                <w:highlight w:val="none"/>
              </w:rPr>
            </w:pPr>
          </w:p>
        </w:tc>
        <w:tc>
          <w:tcPr>
            <w:tcW w:w="1320" w:type="dxa"/>
            <w:tcBorders>
              <w:bottom w:val="single" w:color="auto" w:sz="4" w:space="0"/>
            </w:tcBorders>
            <w:noWrap w:val="0"/>
            <w:vAlign w:val="center"/>
          </w:tcPr>
          <w:p w14:paraId="64FF4B52">
            <w:pPr>
              <w:autoSpaceDE w:val="0"/>
              <w:autoSpaceDN w:val="0"/>
              <w:adjustRightInd w:val="0"/>
              <w:spacing w:after="0" w:line="360" w:lineRule="auto"/>
              <w:jc w:val="center"/>
              <w:rPr>
                <w:rFonts w:ascii="宋体" w:hAnsi="宋体"/>
                <w:color w:val="auto"/>
                <w:kern w:val="0"/>
                <w:szCs w:val="21"/>
                <w:highlight w:val="none"/>
              </w:rPr>
            </w:pPr>
          </w:p>
        </w:tc>
        <w:tc>
          <w:tcPr>
            <w:tcW w:w="1418" w:type="dxa"/>
            <w:tcBorders>
              <w:bottom w:val="single" w:color="auto" w:sz="4" w:space="0"/>
            </w:tcBorders>
            <w:noWrap w:val="0"/>
            <w:vAlign w:val="center"/>
          </w:tcPr>
          <w:p w14:paraId="492AF8A1">
            <w:pPr>
              <w:autoSpaceDE w:val="0"/>
              <w:autoSpaceDN w:val="0"/>
              <w:adjustRightInd w:val="0"/>
              <w:spacing w:after="0" w:line="360" w:lineRule="auto"/>
              <w:jc w:val="center"/>
              <w:rPr>
                <w:rFonts w:ascii="宋体" w:hAnsi="宋体"/>
                <w:color w:val="auto"/>
                <w:kern w:val="0"/>
                <w:szCs w:val="21"/>
                <w:highlight w:val="none"/>
              </w:rPr>
            </w:pPr>
          </w:p>
        </w:tc>
        <w:tc>
          <w:tcPr>
            <w:tcW w:w="992" w:type="dxa"/>
            <w:tcBorders>
              <w:bottom w:val="single" w:color="auto" w:sz="4" w:space="0"/>
            </w:tcBorders>
            <w:noWrap w:val="0"/>
            <w:vAlign w:val="center"/>
          </w:tcPr>
          <w:p w14:paraId="73B09585">
            <w:pPr>
              <w:autoSpaceDE w:val="0"/>
              <w:autoSpaceDN w:val="0"/>
              <w:adjustRightInd w:val="0"/>
              <w:spacing w:after="0" w:line="360" w:lineRule="auto"/>
              <w:jc w:val="center"/>
              <w:rPr>
                <w:rFonts w:ascii="宋体" w:hAnsi="宋体"/>
                <w:color w:val="auto"/>
                <w:kern w:val="0"/>
                <w:szCs w:val="21"/>
                <w:highlight w:val="none"/>
              </w:rPr>
            </w:pPr>
          </w:p>
        </w:tc>
        <w:tc>
          <w:tcPr>
            <w:tcW w:w="1417" w:type="dxa"/>
            <w:tcBorders>
              <w:bottom w:val="single" w:color="auto" w:sz="4" w:space="0"/>
            </w:tcBorders>
            <w:noWrap w:val="0"/>
            <w:vAlign w:val="center"/>
          </w:tcPr>
          <w:p w14:paraId="626668D4">
            <w:pPr>
              <w:autoSpaceDE w:val="0"/>
              <w:autoSpaceDN w:val="0"/>
              <w:adjustRightInd w:val="0"/>
              <w:spacing w:after="0" w:line="360" w:lineRule="auto"/>
              <w:jc w:val="center"/>
              <w:rPr>
                <w:rFonts w:ascii="宋体" w:hAnsi="宋体"/>
                <w:color w:val="auto"/>
                <w:kern w:val="0"/>
                <w:szCs w:val="21"/>
                <w:highlight w:val="none"/>
              </w:rPr>
            </w:pPr>
          </w:p>
        </w:tc>
        <w:tc>
          <w:tcPr>
            <w:tcW w:w="1276" w:type="dxa"/>
            <w:tcBorders>
              <w:bottom w:val="single" w:color="auto" w:sz="4" w:space="0"/>
              <w:right w:val="single" w:color="auto" w:sz="4" w:space="0"/>
            </w:tcBorders>
            <w:noWrap w:val="0"/>
            <w:vAlign w:val="center"/>
          </w:tcPr>
          <w:p w14:paraId="4F63D5DC">
            <w:pPr>
              <w:autoSpaceDE w:val="0"/>
              <w:autoSpaceDN w:val="0"/>
              <w:adjustRightInd w:val="0"/>
              <w:spacing w:after="0" w:line="360" w:lineRule="auto"/>
              <w:jc w:val="center"/>
              <w:rPr>
                <w:rFonts w:ascii="宋体" w:hAnsi="宋体"/>
                <w:color w:val="auto"/>
                <w:kern w:val="0"/>
                <w:szCs w:val="21"/>
                <w:highlight w:val="none"/>
              </w:rPr>
            </w:pPr>
          </w:p>
        </w:tc>
      </w:tr>
    </w:tbl>
    <w:p w14:paraId="0D0BD6EA">
      <w:pPr>
        <w:autoSpaceDE w:val="0"/>
        <w:autoSpaceDN w:val="0"/>
        <w:adjustRightInd w:val="0"/>
        <w:spacing w:after="0" w:line="360" w:lineRule="auto"/>
        <w:jc w:val="left"/>
        <w:rPr>
          <w:rFonts w:ascii="宋体" w:hAnsi="宋体"/>
          <w:b/>
          <w:color w:val="auto"/>
          <w:kern w:val="0"/>
          <w:szCs w:val="21"/>
          <w:highlight w:val="none"/>
        </w:rPr>
      </w:pPr>
    </w:p>
    <w:p w14:paraId="2E146018">
      <w:pPr>
        <w:widowControl/>
        <w:spacing w:after="0" w:line="360" w:lineRule="auto"/>
        <w:jc w:val="left"/>
        <w:rPr>
          <w:rFonts w:ascii="宋体" w:hAnsi="宋体"/>
          <w:b/>
          <w:color w:val="auto"/>
          <w:kern w:val="0"/>
          <w:szCs w:val="21"/>
          <w:highlight w:val="none"/>
        </w:rPr>
      </w:pPr>
      <w:r>
        <w:rPr>
          <w:rFonts w:ascii="宋体" w:hAnsi="宋体"/>
          <w:b/>
          <w:color w:val="auto"/>
          <w:kern w:val="0"/>
          <w:szCs w:val="21"/>
          <w:highlight w:val="none"/>
        </w:rPr>
        <w:br w:type="page"/>
      </w:r>
    </w:p>
    <w:p w14:paraId="2529066B">
      <w:pPr>
        <w:autoSpaceDE w:val="0"/>
        <w:autoSpaceDN w:val="0"/>
        <w:adjustRightInd w:val="0"/>
        <w:spacing w:after="0" w:line="360" w:lineRule="auto"/>
        <w:jc w:val="left"/>
        <w:rPr>
          <w:rFonts w:ascii="宋体" w:hAnsi="宋体"/>
          <w:b/>
          <w:color w:val="auto"/>
          <w:kern w:val="0"/>
          <w:szCs w:val="21"/>
          <w:highlight w:val="none"/>
        </w:rPr>
      </w:pPr>
    </w:p>
    <w:p w14:paraId="4485E292">
      <w:pPr>
        <w:pStyle w:val="5"/>
        <w:spacing w:before="0" w:after="0" w:line="360" w:lineRule="auto"/>
        <w:jc w:val="center"/>
        <w:rPr>
          <w:rFonts w:ascii="宋体" w:hAnsi="宋体" w:eastAsia="宋体"/>
          <w:color w:val="auto"/>
          <w:sz w:val="24"/>
          <w:highlight w:val="none"/>
        </w:rPr>
      </w:pPr>
      <w:bookmarkStart w:id="1052" w:name="_Toc17369"/>
      <w:bookmarkStart w:id="1053" w:name="_Toc14885_WPSOffice_Level2"/>
      <w:bookmarkStart w:id="1054" w:name="_Toc1458"/>
      <w:bookmarkStart w:id="1055" w:name="_Toc95257518"/>
      <w:r>
        <w:rPr>
          <w:rFonts w:hint="eastAsia" w:ascii="宋体" w:hAnsi="宋体" w:eastAsia="宋体"/>
          <w:color w:val="auto"/>
          <w:sz w:val="24"/>
          <w:highlight w:val="none"/>
        </w:rPr>
        <w:t>（四）主要人员简历表</w:t>
      </w:r>
      <w:bookmarkEnd w:id="1045"/>
      <w:bookmarkEnd w:id="1052"/>
      <w:bookmarkEnd w:id="1053"/>
      <w:bookmarkEnd w:id="1054"/>
      <w:bookmarkEnd w:id="1055"/>
    </w:p>
    <w:tbl>
      <w:tblPr>
        <w:tblStyle w:val="5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8"/>
        <w:gridCol w:w="381"/>
        <w:gridCol w:w="763"/>
        <w:gridCol w:w="982"/>
        <w:gridCol w:w="1129"/>
        <w:gridCol w:w="752"/>
        <w:gridCol w:w="1683"/>
        <w:gridCol w:w="74"/>
        <w:gridCol w:w="2264"/>
      </w:tblGrid>
      <w:tr w14:paraId="2F43B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4EF356D5">
            <w:pPr>
              <w:spacing w:after="0" w:line="360" w:lineRule="auto"/>
              <w:jc w:val="center"/>
              <w:rPr>
                <w:rFonts w:ascii="宋体" w:hAnsi="宋体"/>
                <w:color w:val="auto"/>
                <w:szCs w:val="21"/>
                <w:highlight w:val="none"/>
              </w:rPr>
            </w:pPr>
            <w:bookmarkStart w:id="1056" w:name="_Toc221952129"/>
            <w:r>
              <w:rPr>
                <w:rFonts w:ascii="宋体" w:hAnsi="宋体"/>
                <w:color w:val="auto"/>
                <w:szCs w:val="21"/>
                <w:highlight w:val="none"/>
              </w:rPr>
              <w:t>姓  名</w:t>
            </w:r>
            <w:bookmarkEnd w:id="1056"/>
          </w:p>
        </w:tc>
        <w:tc>
          <w:tcPr>
            <w:tcW w:w="1144" w:type="dxa"/>
            <w:gridSpan w:val="2"/>
            <w:noWrap w:val="0"/>
            <w:vAlign w:val="center"/>
          </w:tcPr>
          <w:p w14:paraId="1132CF52">
            <w:pPr>
              <w:spacing w:after="0" w:line="360" w:lineRule="auto"/>
              <w:jc w:val="center"/>
              <w:rPr>
                <w:rFonts w:ascii="宋体" w:hAnsi="宋体"/>
                <w:color w:val="auto"/>
                <w:szCs w:val="21"/>
                <w:highlight w:val="none"/>
              </w:rPr>
            </w:pPr>
          </w:p>
        </w:tc>
        <w:tc>
          <w:tcPr>
            <w:tcW w:w="982" w:type="dxa"/>
            <w:noWrap w:val="0"/>
            <w:vAlign w:val="center"/>
          </w:tcPr>
          <w:p w14:paraId="611F5E1B">
            <w:pPr>
              <w:spacing w:after="0" w:line="360" w:lineRule="auto"/>
              <w:jc w:val="center"/>
              <w:rPr>
                <w:rFonts w:ascii="宋体" w:hAnsi="宋体"/>
                <w:color w:val="auto"/>
                <w:szCs w:val="21"/>
                <w:highlight w:val="none"/>
              </w:rPr>
            </w:pPr>
            <w:bookmarkStart w:id="1057" w:name="_Toc221952130"/>
            <w:r>
              <w:rPr>
                <w:rFonts w:ascii="宋体" w:hAnsi="宋体"/>
                <w:color w:val="auto"/>
                <w:szCs w:val="21"/>
                <w:highlight w:val="none"/>
              </w:rPr>
              <w:t>年 龄</w:t>
            </w:r>
            <w:bookmarkEnd w:id="1057"/>
          </w:p>
        </w:tc>
        <w:tc>
          <w:tcPr>
            <w:tcW w:w="1129" w:type="dxa"/>
            <w:noWrap w:val="0"/>
            <w:vAlign w:val="center"/>
          </w:tcPr>
          <w:p w14:paraId="4DDF7970">
            <w:pPr>
              <w:spacing w:after="0" w:line="360" w:lineRule="auto"/>
              <w:jc w:val="center"/>
              <w:rPr>
                <w:rFonts w:ascii="宋体" w:hAnsi="宋体"/>
                <w:color w:val="auto"/>
                <w:szCs w:val="21"/>
                <w:highlight w:val="none"/>
              </w:rPr>
            </w:pPr>
          </w:p>
        </w:tc>
        <w:tc>
          <w:tcPr>
            <w:tcW w:w="2509" w:type="dxa"/>
            <w:gridSpan w:val="3"/>
            <w:noWrap w:val="0"/>
            <w:vAlign w:val="center"/>
          </w:tcPr>
          <w:p w14:paraId="67E5CBE7">
            <w:pPr>
              <w:spacing w:after="0" w:line="360" w:lineRule="auto"/>
              <w:jc w:val="center"/>
              <w:rPr>
                <w:rFonts w:ascii="宋体" w:hAnsi="宋体"/>
                <w:color w:val="auto"/>
                <w:szCs w:val="21"/>
                <w:highlight w:val="none"/>
              </w:rPr>
            </w:pPr>
            <w:bookmarkStart w:id="1058" w:name="_Toc221952131"/>
            <w:r>
              <w:rPr>
                <w:rFonts w:ascii="宋体" w:hAnsi="宋体"/>
                <w:color w:val="auto"/>
                <w:szCs w:val="21"/>
                <w:highlight w:val="none"/>
              </w:rPr>
              <w:t>学历</w:t>
            </w:r>
            <w:bookmarkEnd w:id="1058"/>
          </w:p>
        </w:tc>
        <w:tc>
          <w:tcPr>
            <w:tcW w:w="2264" w:type="dxa"/>
            <w:noWrap w:val="0"/>
            <w:vAlign w:val="center"/>
          </w:tcPr>
          <w:p w14:paraId="761E3D1E">
            <w:pPr>
              <w:spacing w:after="0" w:line="360" w:lineRule="auto"/>
              <w:jc w:val="center"/>
              <w:rPr>
                <w:rFonts w:ascii="宋体" w:hAnsi="宋体"/>
                <w:color w:val="auto"/>
                <w:szCs w:val="21"/>
                <w:highlight w:val="none"/>
              </w:rPr>
            </w:pPr>
          </w:p>
        </w:tc>
      </w:tr>
      <w:tr w14:paraId="081A7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4DF82C6F">
            <w:pPr>
              <w:spacing w:after="0" w:line="360" w:lineRule="auto"/>
              <w:jc w:val="center"/>
              <w:rPr>
                <w:rFonts w:ascii="宋体" w:hAnsi="宋体"/>
                <w:color w:val="auto"/>
                <w:szCs w:val="21"/>
                <w:highlight w:val="none"/>
              </w:rPr>
            </w:pPr>
            <w:r>
              <w:rPr>
                <w:rFonts w:hint="eastAsia" w:ascii="宋体" w:hAnsi="宋体"/>
                <w:color w:val="auto"/>
                <w:szCs w:val="21"/>
                <w:highlight w:val="none"/>
              </w:rPr>
              <w:t>执业资格</w:t>
            </w:r>
          </w:p>
        </w:tc>
        <w:tc>
          <w:tcPr>
            <w:tcW w:w="3255" w:type="dxa"/>
            <w:gridSpan w:val="4"/>
            <w:noWrap w:val="0"/>
            <w:vAlign w:val="center"/>
          </w:tcPr>
          <w:p w14:paraId="67955E1B">
            <w:pPr>
              <w:spacing w:after="0" w:line="360" w:lineRule="auto"/>
              <w:jc w:val="center"/>
              <w:rPr>
                <w:rFonts w:ascii="宋体" w:hAnsi="宋体"/>
                <w:color w:val="auto"/>
                <w:szCs w:val="21"/>
                <w:highlight w:val="none"/>
              </w:rPr>
            </w:pPr>
          </w:p>
        </w:tc>
        <w:tc>
          <w:tcPr>
            <w:tcW w:w="2509" w:type="dxa"/>
            <w:gridSpan w:val="3"/>
            <w:noWrap w:val="0"/>
            <w:vAlign w:val="center"/>
          </w:tcPr>
          <w:p w14:paraId="40B2D503">
            <w:pPr>
              <w:spacing w:after="0" w:line="360" w:lineRule="auto"/>
              <w:jc w:val="center"/>
              <w:rPr>
                <w:rFonts w:ascii="宋体" w:hAnsi="宋体"/>
                <w:color w:val="auto"/>
                <w:szCs w:val="21"/>
                <w:highlight w:val="none"/>
              </w:rPr>
            </w:pPr>
            <w:r>
              <w:rPr>
                <w:rFonts w:hint="eastAsia" w:ascii="宋体" w:hAnsi="宋体"/>
                <w:color w:val="auto"/>
                <w:szCs w:val="21"/>
                <w:highlight w:val="none"/>
              </w:rPr>
              <w:t>安全生产考核合格证书</w:t>
            </w:r>
          </w:p>
        </w:tc>
        <w:tc>
          <w:tcPr>
            <w:tcW w:w="2264" w:type="dxa"/>
            <w:noWrap w:val="0"/>
            <w:vAlign w:val="center"/>
          </w:tcPr>
          <w:p w14:paraId="43F90B46">
            <w:pPr>
              <w:spacing w:after="0" w:line="360" w:lineRule="auto"/>
              <w:jc w:val="center"/>
              <w:rPr>
                <w:rFonts w:ascii="宋体" w:hAnsi="宋体"/>
                <w:color w:val="auto"/>
                <w:szCs w:val="21"/>
                <w:highlight w:val="none"/>
              </w:rPr>
            </w:pPr>
          </w:p>
        </w:tc>
      </w:tr>
      <w:tr w14:paraId="0903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076B2E52">
            <w:pPr>
              <w:spacing w:after="0" w:line="360" w:lineRule="auto"/>
              <w:jc w:val="center"/>
              <w:rPr>
                <w:rFonts w:ascii="宋体" w:hAnsi="宋体"/>
                <w:color w:val="auto"/>
                <w:szCs w:val="21"/>
                <w:highlight w:val="none"/>
              </w:rPr>
            </w:pPr>
            <w:bookmarkStart w:id="1059" w:name="_Toc221952132"/>
            <w:r>
              <w:rPr>
                <w:rFonts w:ascii="宋体" w:hAnsi="宋体"/>
                <w:color w:val="auto"/>
                <w:szCs w:val="21"/>
                <w:highlight w:val="none"/>
              </w:rPr>
              <w:t>职  称</w:t>
            </w:r>
            <w:bookmarkEnd w:id="1059"/>
          </w:p>
        </w:tc>
        <w:tc>
          <w:tcPr>
            <w:tcW w:w="1144" w:type="dxa"/>
            <w:gridSpan w:val="2"/>
            <w:noWrap w:val="0"/>
            <w:vAlign w:val="center"/>
          </w:tcPr>
          <w:p w14:paraId="236C89E3">
            <w:pPr>
              <w:spacing w:after="0" w:line="360" w:lineRule="auto"/>
              <w:jc w:val="center"/>
              <w:rPr>
                <w:rFonts w:ascii="宋体" w:hAnsi="宋体"/>
                <w:color w:val="auto"/>
                <w:szCs w:val="21"/>
                <w:highlight w:val="none"/>
              </w:rPr>
            </w:pPr>
          </w:p>
        </w:tc>
        <w:tc>
          <w:tcPr>
            <w:tcW w:w="982" w:type="dxa"/>
            <w:noWrap w:val="0"/>
            <w:vAlign w:val="center"/>
          </w:tcPr>
          <w:p w14:paraId="0E24ECA4">
            <w:pPr>
              <w:spacing w:after="0" w:line="360" w:lineRule="auto"/>
              <w:jc w:val="center"/>
              <w:rPr>
                <w:rFonts w:ascii="宋体" w:hAnsi="宋体"/>
                <w:color w:val="auto"/>
                <w:szCs w:val="21"/>
                <w:highlight w:val="none"/>
              </w:rPr>
            </w:pPr>
            <w:bookmarkStart w:id="1060" w:name="_Toc221952133"/>
            <w:r>
              <w:rPr>
                <w:rFonts w:ascii="宋体" w:hAnsi="宋体"/>
                <w:color w:val="auto"/>
                <w:szCs w:val="21"/>
                <w:highlight w:val="none"/>
              </w:rPr>
              <w:t xml:space="preserve">职 </w:t>
            </w:r>
            <w:bookmarkEnd w:id="1060"/>
            <w:r>
              <w:rPr>
                <w:rFonts w:hint="eastAsia" w:ascii="宋体" w:hAnsi="宋体"/>
                <w:color w:val="auto"/>
                <w:szCs w:val="21"/>
                <w:highlight w:val="none"/>
              </w:rPr>
              <w:t>务</w:t>
            </w:r>
          </w:p>
        </w:tc>
        <w:tc>
          <w:tcPr>
            <w:tcW w:w="1129" w:type="dxa"/>
            <w:noWrap w:val="0"/>
            <w:vAlign w:val="center"/>
          </w:tcPr>
          <w:p w14:paraId="44E3FDD5">
            <w:pPr>
              <w:spacing w:after="0" w:line="360" w:lineRule="auto"/>
              <w:jc w:val="center"/>
              <w:rPr>
                <w:rFonts w:ascii="宋体" w:hAnsi="宋体"/>
                <w:color w:val="auto"/>
                <w:szCs w:val="21"/>
                <w:highlight w:val="none"/>
              </w:rPr>
            </w:pPr>
          </w:p>
        </w:tc>
        <w:tc>
          <w:tcPr>
            <w:tcW w:w="2509" w:type="dxa"/>
            <w:gridSpan w:val="3"/>
            <w:noWrap w:val="0"/>
            <w:vAlign w:val="center"/>
          </w:tcPr>
          <w:p w14:paraId="5F9FA02F">
            <w:pPr>
              <w:spacing w:after="0" w:line="360" w:lineRule="auto"/>
              <w:jc w:val="center"/>
              <w:rPr>
                <w:rFonts w:ascii="宋体" w:hAnsi="宋体"/>
                <w:color w:val="auto"/>
                <w:szCs w:val="21"/>
                <w:highlight w:val="none"/>
              </w:rPr>
            </w:pPr>
            <w:bookmarkStart w:id="1061" w:name="_Toc221952134"/>
            <w:r>
              <w:rPr>
                <w:rFonts w:ascii="宋体" w:hAnsi="宋体"/>
                <w:color w:val="auto"/>
                <w:szCs w:val="21"/>
                <w:highlight w:val="none"/>
              </w:rPr>
              <w:t>拟在本合同任职</w:t>
            </w:r>
            <w:bookmarkEnd w:id="1061"/>
          </w:p>
        </w:tc>
        <w:tc>
          <w:tcPr>
            <w:tcW w:w="2264" w:type="dxa"/>
            <w:noWrap w:val="0"/>
            <w:vAlign w:val="center"/>
          </w:tcPr>
          <w:p w14:paraId="758BFF9E">
            <w:pPr>
              <w:spacing w:after="0" w:line="360" w:lineRule="auto"/>
              <w:jc w:val="center"/>
              <w:rPr>
                <w:rFonts w:ascii="宋体" w:hAnsi="宋体"/>
                <w:color w:val="auto"/>
                <w:szCs w:val="21"/>
                <w:highlight w:val="none"/>
              </w:rPr>
            </w:pPr>
          </w:p>
        </w:tc>
      </w:tr>
      <w:tr w14:paraId="53A0A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391E74E9">
            <w:pPr>
              <w:spacing w:after="0" w:line="360" w:lineRule="auto"/>
              <w:jc w:val="center"/>
              <w:rPr>
                <w:rFonts w:ascii="宋体" w:hAnsi="宋体"/>
                <w:color w:val="auto"/>
                <w:szCs w:val="21"/>
                <w:highlight w:val="none"/>
              </w:rPr>
            </w:pPr>
            <w:bookmarkStart w:id="1062" w:name="_Toc221952135"/>
            <w:r>
              <w:rPr>
                <w:rFonts w:ascii="宋体" w:hAnsi="宋体"/>
                <w:color w:val="auto"/>
                <w:szCs w:val="21"/>
                <w:highlight w:val="none"/>
              </w:rPr>
              <w:t>毕业学校</w:t>
            </w:r>
            <w:bookmarkEnd w:id="1062"/>
          </w:p>
        </w:tc>
        <w:tc>
          <w:tcPr>
            <w:tcW w:w="8028" w:type="dxa"/>
            <w:gridSpan w:val="8"/>
            <w:noWrap w:val="0"/>
            <w:vAlign w:val="top"/>
          </w:tcPr>
          <w:p w14:paraId="09BEB253">
            <w:pPr>
              <w:spacing w:after="0" w:line="360" w:lineRule="auto"/>
              <w:ind w:firstLine="2205" w:firstLineChars="1050"/>
              <w:rPr>
                <w:rFonts w:ascii="宋体" w:hAnsi="宋体"/>
                <w:color w:val="auto"/>
                <w:szCs w:val="21"/>
                <w:highlight w:val="none"/>
              </w:rPr>
            </w:pPr>
            <w:bookmarkStart w:id="1063" w:name="_Toc221952136"/>
            <w:r>
              <w:rPr>
                <w:rFonts w:ascii="宋体" w:hAnsi="宋体"/>
                <w:color w:val="auto"/>
                <w:szCs w:val="21"/>
                <w:highlight w:val="none"/>
              </w:rPr>
              <w:t>年毕业于            学校        专业</w:t>
            </w:r>
            <w:bookmarkEnd w:id="1063"/>
          </w:p>
        </w:tc>
      </w:tr>
      <w:tr w14:paraId="3E583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6" w:type="dxa"/>
            <w:gridSpan w:val="9"/>
            <w:noWrap w:val="0"/>
            <w:vAlign w:val="center"/>
          </w:tcPr>
          <w:p w14:paraId="5F653CCF">
            <w:pPr>
              <w:spacing w:after="0" w:line="360" w:lineRule="auto"/>
              <w:jc w:val="center"/>
              <w:rPr>
                <w:rFonts w:ascii="宋体" w:hAnsi="宋体"/>
                <w:color w:val="auto"/>
                <w:szCs w:val="21"/>
                <w:highlight w:val="none"/>
              </w:rPr>
            </w:pPr>
            <w:bookmarkStart w:id="1064" w:name="_Toc221952137"/>
            <w:r>
              <w:rPr>
                <w:rFonts w:ascii="宋体" w:hAnsi="宋体"/>
                <w:color w:val="auto"/>
                <w:szCs w:val="21"/>
                <w:highlight w:val="none"/>
              </w:rPr>
              <w:t>主要</w:t>
            </w:r>
            <w:r>
              <w:rPr>
                <w:rFonts w:hint="eastAsia" w:ascii="宋体" w:hAnsi="宋体"/>
                <w:color w:val="auto"/>
                <w:szCs w:val="21"/>
                <w:highlight w:val="none"/>
              </w:rPr>
              <w:t>施工管理</w:t>
            </w:r>
            <w:r>
              <w:rPr>
                <w:rFonts w:ascii="宋体" w:hAnsi="宋体"/>
                <w:color w:val="auto"/>
                <w:szCs w:val="21"/>
                <w:highlight w:val="none"/>
              </w:rPr>
              <w:t>经历</w:t>
            </w:r>
            <w:bookmarkEnd w:id="1064"/>
          </w:p>
        </w:tc>
      </w:tr>
      <w:tr w14:paraId="29008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39" w:type="dxa"/>
            <w:gridSpan w:val="2"/>
            <w:noWrap w:val="0"/>
            <w:vAlign w:val="center"/>
          </w:tcPr>
          <w:p w14:paraId="6B4105E9">
            <w:pPr>
              <w:spacing w:after="0" w:line="360" w:lineRule="auto"/>
              <w:jc w:val="center"/>
              <w:rPr>
                <w:rFonts w:ascii="宋体" w:hAnsi="宋体"/>
                <w:color w:val="auto"/>
                <w:szCs w:val="21"/>
                <w:highlight w:val="none"/>
              </w:rPr>
            </w:pPr>
            <w:bookmarkStart w:id="1065" w:name="_Toc221952138"/>
            <w:r>
              <w:rPr>
                <w:rFonts w:ascii="宋体" w:hAnsi="宋体"/>
                <w:color w:val="auto"/>
                <w:szCs w:val="21"/>
                <w:highlight w:val="none"/>
              </w:rPr>
              <w:t>时  间</w:t>
            </w:r>
            <w:bookmarkEnd w:id="1065"/>
          </w:p>
        </w:tc>
        <w:tc>
          <w:tcPr>
            <w:tcW w:w="3626" w:type="dxa"/>
            <w:gridSpan w:val="4"/>
            <w:noWrap w:val="0"/>
            <w:vAlign w:val="center"/>
          </w:tcPr>
          <w:p w14:paraId="17D4EC4F">
            <w:pPr>
              <w:spacing w:after="0" w:line="360" w:lineRule="auto"/>
              <w:jc w:val="center"/>
              <w:rPr>
                <w:rFonts w:ascii="宋体" w:hAnsi="宋体"/>
                <w:color w:val="auto"/>
                <w:szCs w:val="21"/>
                <w:highlight w:val="none"/>
              </w:rPr>
            </w:pPr>
            <w:bookmarkStart w:id="1066" w:name="_Toc221952139"/>
            <w:r>
              <w:rPr>
                <w:rFonts w:ascii="宋体" w:hAnsi="宋体"/>
                <w:color w:val="auto"/>
                <w:szCs w:val="21"/>
                <w:highlight w:val="none"/>
              </w:rPr>
              <w:t>参加过的类似项目</w:t>
            </w:r>
            <w:bookmarkEnd w:id="1066"/>
          </w:p>
        </w:tc>
        <w:tc>
          <w:tcPr>
            <w:tcW w:w="1683" w:type="dxa"/>
            <w:noWrap w:val="0"/>
            <w:vAlign w:val="center"/>
          </w:tcPr>
          <w:p w14:paraId="231B6ABC">
            <w:pPr>
              <w:spacing w:after="0" w:line="360" w:lineRule="auto"/>
              <w:jc w:val="center"/>
              <w:rPr>
                <w:rFonts w:ascii="宋体" w:hAnsi="宋体"/>
                <w:color w:val="auto"/>
                <w:szCs w:val="21"/>
                <w:highlight w:val="none"/>
              </w:rPr>
            </w:pPr>
            <w:bookmarkStart w:id="1067" w:name="_Toc221952140"/>
            <w:r>
              <w:rPr>
                <w:rFonts w:ascii="宋体" w:hAnsi="宋体"/>
                <w:color w:val="auto"/>
                <w:szCs w:val="21"/>
                <w:highlight w:val="none"/>
              </w:rPr>
              <w:t>担任职务</w:t>
            </w:r>
            <w:bookmarkEnd w:id="1067"/>
          </w:p>
        </w:tc>
        <w:tc>
          <w:tcPr>
            <w:tcW w:w="2338" w:type="dxa"/>
            <w:gridSpan w:val="2"/>
            <w:noWrap w:val="0"/>
            <w:vAlign w:val="center"/>
          </w:tcPr>
          <w:p w14:paraId="20BC64C3">
            <w:pPr>
              <w:spacing w:after="0" w:line="360" w:lineRule="auto"/>
              <w:jc w:val="center"/>
              <w:rPr>
                <w:rFonts w:ascii="宋体" w:hAnsi="宋体"/>
                <w:color w:val="auto"/>
                <w:szCs w:val="21"/>
                <w:highlight w:val="none"/>
              </w:rPr>
            </w:pPr>
            <w:bookmarkStart w:id="1068" w:name="_Toc221952141"/>
            <w:r>
              <w:rPr>
                <w:rFonts w:ascii="宋体" w:hAnsi="宋体"/>
                <w:color w:val="auto"/>
                <w:szCs w:val="21"/>
                <w:highlight w:val="none"/>
              </w:rPr>
              <w:t>发包人及联系电话</w:t>
            </w:r>
            <w:bookmarkEnd w:id="1068"/>
          </w:p>
        </w:tc>
      </w:tr>
      <w:tr w14:paraId="3B9C6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top"/>
          </w:tcPr>
          <w:p w14:paraId="65594093">
            <w:pPr>
              <w:spacing w:after="0" w:line="360" w:lineRule="auto"/>
              <w:rPr>
                <w:rFonts w:ascii="宋体" w:hAnsi="宋体"/>
                <w:color w:val="auto"/>
                <w:szCs w:val="21"/>
                <w:highlight w:val="none"/>
              </w:rPr>
            </w:pPr>
          </w:p>
        </w:tc>
        <w:tc>
          <w:tcPr>
            <w:tcW w:w="3626" w:type="dxa"/>
            <w:gridSpan w:val="4"/>
            <w:noWrap w:val="0"/>
            <w:vAlign w:val="top"/>
          </w:tcPr>
          <w:p w14:paraId="283A10C1">
            <w:pPr>
              <w:spacing w:after="0" w:line="360" w:lineRule="auto"/>
              <w:rPr>
                <w:rFonts w:ascii="宋体" w:hAnsi="宋体"/>
                <w:color w:val="auto"/>
                <w:szCs w:val="21"/>
                <w:highlight w:val="none"/>
              </w:rPr>
            </w:pPr>
          </w:p>
        </w:tc>
        <w:tc>
          <w:tcPr>
            <w:tcW w:w="1683" w:type="dxa"/>
            <w:noWrap w:val="0"/>
            <w:vAlign w:val="top"/>
          </w:tcPr>
          <w:p w14:paraId="31A51E49">
            <w:pPr>
              <w:spacing w:after="0" w:line="360" w:lineRule="auto"/>
              <w:rPr>
                <w:rFonts w:ascii="宋体" w:hAnsi="宋体"/>
                <w:color w:val="auto"/>
                <w:szCs w:val="21"/>
                <w:highlight w:val="none"/>
              </w:rPr>
            </w:pPr>
          </w:p>
        </w:tc>
        <w:tc>
          <w:tcPr>
            <w:tcW w:w="2338" w:type="dxa"/>
            <w:gridSpan w:val="2"/>
            <w:noWrap w:val="0"/>
            <w:vAlign w:val="top"/>
          </w:tcPr>
          <w:p w14:paraId="4D9B87D5">
            <w:pPr>
              <w:spacing w:after="0" w:line="360" w:lineRule="auto"/>
              <w:rPr>
                <w:rFonts w:ascii="宋体" w:hAnsi="宋体"/>
                <w:color w:val="auto"/>
                <w:szCs w:val="21"/>
                <w:highlight w:val="none"/>
              </w:rPr>
            </w:pPr>
          </w:p>
        </w:tc>
      </w:tr>
      <w:tr w14:paraId="0542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top"/>
          </w:tcPr>
          <w:p w14:paraId="29DEFACF">
            <w:pPr>
              <w:spacing w:after="0" w:line="360" w:lineRule="auto"/>
              <w:rPr>
                <w:rFonts w:ascii="宋体" w:hAnsi="宋体"/>
                <w:color w:val="auto"/>
                <w:szCs w:val="21"/>
                <w:highlight w:val="none"/>
              </w:rPr>
            </w:pPr>
          </w:p>
        </w:tc>
        <w:tc>
          <w:tcPr>
            <w:tcW w:w="3626" w:type="dxa"/>
            <w:gridSpan w:val="4"/>
            <w:noWrap w:val="0"/>
            <w:vAlign w:val="top"/>
          </w:tcPr>
          <w:p w14:paraId="3A50CE5C">
            <w:pPr>
              <w:spacing w:after="0" w:line="360" w:lineRule="auto"/>
              <w:rPr>
                <w:rFonts w:ascii="宋体" w:hAnsi="宋体"/>
                <w:color w:val="auto"/>
                <w:szCs w:val="21"/>
                <w:highlight w:val="none"/>
              </w:rPr>
            </w:pPr>
          </w:p>
        </w:tc>
        <w:tc>
          <w:tcPr>
            <w:tcW w:w="1683" w:type="dxa"/>
            <w:noWrap w:val="0"/>
            <w:vAlign w:val="top"/>
          </w:tcPr>
          <w:p w14:paraId="5943D5F9">
            <w:pPr>
              <w:spacing w:after="0" w:line="360" w:lineRule="auto"/>
              <w:rPr>
                <w:rFonts w:ascii="宋体" w:hAnsi="宋体"/>
                <w:color w:val="auto"/>
                <w:szCs w:val="21"/>
                <w:highlight w:val="none"/>
              </w:rPr>
            </w:pPr>
          </w:p>
        </w:tc>
        <w:tc>
          <w:tcPr>
            <w:tcW w:w="2338" w:type="dxa"/>
            <w:gridSpan w:val="2"/>
            <w:noWrap w:val="0"/>
            <w:vAlign w:val="top"/>
          </w:tcPr>
          <w:p w14:paraId="6AB0C0A5">
            <w:pPr>
              <w:spacing w:after="0" w:line="360" w:lineRule="auto"/>
              <w:rPr>
                <w:rFonts w:ascii="宋体" w:hAnsi="宋体"/>
                <w:color w:val="auto"/>
                <w:szCs w:val="21"/>
                <w:highlight w:val="none"/>
              </w:rPr>
            </w:pPr>
          </w:p>
        </w:tc>
      </w:tr>
      <w:tr w14:paraId="42D31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top"/>
          </w:tcPr>
          <w:p w14:paraId="459C398A">
            <w:pPr>
              <w:spacing w:after="0" w:line="360" w:lineRule="auto"/>
              <w:rPr>
                <w:rFonts w:ascii="宋体" w:hAnsi="宋体"/>
                <w:color w:val="auto"/>
                <w:szCs w:val="21"/>
                <w:highlight w:val="none"/>
              </w:rPr>
            </w:pPr>
          </w:p>
        </w:tc>
        <w:tc>
          <w:tcPr>
            <w:tcW w:w="3626" w:type="dxa"/>
            <w:gridSpan w:val="4"/>
            <w:noWrap w:val="0"/>
            <w:vAlign w:val="top"/>
          </w:tcPr>
          <w:p w14:paraId="6B5ED962">
            <w:pPr>
              <w:spacing w:after="0" w:line="360" w:lineRule="auto"/>
              <w:rPr>
                <w:rFonts w:ascii="宋体" w:hAnsi="宋体"/>
                <w:color w:val="auto"/>
                <w:szCs w:val="21"/>
                <w:highlight w:val="none"/>
              </w:rPr>
            </w:pPr>
          </w:p>
        </w:tc>
        <w:tc>
          <w:tcPr>
            <w:tcW w:w="1683" w:type="dxa"/>
            <w:noWrap w:val="0"/>
            <w:vAlign w:val="top"/>
          </w:tcPr>
          <w:p w14:paraId="5B989D08">
            <w:pPr>
              <w:spacing w:after="0" w:line="360" w:lineRule="auto"/>
              <w:rPr>
                <w:rFonts w:ascii="宋体" w:hAnsi="宋体"/>
                <w:color w:val="auto"/>
                <w:szCs w:val="21"/>
                <w:highlight w:val="none"/>
              </w:rPr>
            </w:pPr>
          </w:p>
        </w:tc>
        <w:tc>
          <w:tcPr>
            <w:tcW w:w="2338" w:type="dxa"/>
            <w:gridSpan w:val="2"/>
            <w:noWrap w:val="0"/>
            <w:vAlign w:val="top"/>
          </w:tcPr>
          <w:p w14:paraId="145948EB">
            <w:pPr>
              <w:spacing w:after="0" w:line="360" w:lineRule="auto"/>
              <w:rPr>
                <w:rFonts w:ascii="宋体" w:hAnsi="宋体"/>
                <w:color w:val="auto"/>
                <w:szCs w:val="21"/>
                <w:highlight w:val="none"/>
              </w:rPr>
            </w:pPr>
          </w:p>
        </w:tc>
      </w:tr>
      <w:tr w14:paraId="2AA0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1CE6FF79">
            <w:pPr>
              <w:spacing w:after="0" w:line="360" w:lineRule="auto"/>
              <w:rPr>
                <w:rFonts w:ascii="宋体" w:hAnsi="宋体"/>
                <w:color w:val="auto"/>
                <w:szCs w:val="21"/>
                <w:highlight w:val="none"/>
              </w:rPr>
            </w:pPr>
          </w:p>
        </w:tc>
        <w:tc>
          <w:tcPr>
            <w:tcW w:w="3626" w:type="dxa"/>
            <w:gridSpan w:val="4"/>
            <w:noWrap w:val="0"/>
            <w:vAlign w:val="center"/>
          </w:tcPr>
          <w:p w14:paraId="39F1E90C">
            <w:pPr>
              <w:spacing w:after="0" w:line="360" w:lineRule="auto"/>
              <w:rPr>
                <w:rFonts w:ascii="宋体" w:hAnsi="宋体"/>
                <w:color w:val="auto"/>
                <w:szCs w:val="21"/>
                <w:highlight w:val="none"/>
              </w:rPr>
            </w:pPr>
          </w:p>
        </w:tc>
        <w:tc>
          <w:tcPr>
            <w:tcW w:w="1683" w:type="dxa"/>
            <w:noWrap w:val="0"/>
            <w:vAlign w:val="center"/>
          </w:tcPr>
          <w:p w14:paraId="0305ABCA">
            <w:pPr>
              <w:spacing w:after="0" w:line="360" w:lineRule="auto"/>
              <w:rPr>
                <w:rFonts w:ascii="宋体" w:hAnsi="宋体"/>
                <w:color w:val="auto"/>
                <w:szCs w:val="21"/>
                <w:highlight w:val="none"/>
              </w:rPr>
            </w:pPr>
          </w:p>
        </w:tc>
        <w:tc>
          <w:tcPr>
            <w:tcW w:w="2338" w:type="dxa"/>
            <w:gridSpan w:val="2"/>
            <w:noWrap w:val="0"/>
            <w:vAlign w:val="center"/>
          </w:tcPr>
          <w:p w14:paraId="23E3D099">
            <w:pPr>
              <w:spacing w:after="0" w:line="360" w:lineRule="auto"/>
              <w:rPr>
                <w:rFonts w:ascii="宋体" w:hAnsi="宋体"/>
                <w:color w:val="auto"/>
                <w:szCs w:val="21"/>
                <w:highlight w:val="none"/>
              </w:rPr>
            </w:pPr>
          </w:p>
        </w:tc>
      </w:tr>
      <w:tr w14:paraId="47DE9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42436CC3">
            <w:pPr>
              <w:spacing w:after="0" w:line="360" w:lineRule="auto"/>
              <w:rPr>
                <w:rFonts w:ascii="宋体" w:hAnsi="宋体"/>
                <w:color w:val="auto"/>
                <w:szCs w:val="21"/>
                <w:highlight w:val="none"/>
              </w:rPr>
            </w:pPr>
          </w:p>
        </w:tc>
        <w:tc>
          <w:tcPr>
            <w:tcW w:w="3626" w:type="dxa"/>
            <w:gridSpan w:val="4"/>
            <w:noWrap w:val="0"/>
            <w:vAlign w:val="center"/>
          </w:tcPr>
          <w:p w14:paraId="7C480153">
            <w:pPr>
              <w:spacing w:after="0" w:line="360" w:lineRule="auto"/>
              <w:rPr>
                <w:rFonts w:ascii="宋体" w:hAnsi="宋体"/>
                <w:color w:val="auto"/>
                <w:szCs w:val="21"/>
                <w:highlight w:val="none"/>
              </w:rPr>
            </w:pPr>
          </w:p>
        </w:tc>
        <w:tc>
          <w:tcPr>
            <w:tcW w:w="1683" w:type="dxa"/>
            <w:noWrap w:val="0"/>
            <w:vAlign w:val="center"/>
          </w:tcPr>
          <w:p w14:paraId="60044B5C">
            <w:pPr>
              <w:spacing w:after="0" w:line="360" w:lineRule="auto"/>
              <w:rPr>
                <w:rFonts w:ascii="宋体" w:hAnsi="宋体"/>
                <w:color w:val="auto"/>
                <w:szCs w:val="21"/>
                <w:highlight w:val="none"/>
              </w:rPr>
            </w:pPr>
          </w:p>
        </w:tc>
        <w:tc>
          <w:tcPr>
            <w:tcW w:w="2338" w:type="dxa"/>
            <w:gridSpan w:val="2"/>
            <w:noWrap w:val="0"/>
            <w:vAlign w:val="center"/>
          </w:tcPr>
          <w:p w14:paraId="0D6FBF08">
            <w:pPr>
              <w:spacing w:after="0" w:line="360" w:lineRule="auto"/>
              <w:rPr>
                <w:rFonts w:ascii="宋体" w:hAnsi="宋体"/>
                <w:color w:val="auto"/>
                <w:szCs w:val="21"/>
                <w:highlight w:val="none"/>
              </w:rPr>
            </w:pPr>
          </w:p>
        </w:tc>
      </w:tr>
      <w:tr w14:paraId="20E3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0861C665">
            <w:pPr>
              <w:spacing w:after="0" w:line="360" w:lineRule="auto"/>
              <w:rPr>
                <w:rFonts w:ascii="宋体" w:hAnsi="宋体"/>
                <w:color w:val="auto"/>
                <w:szCs w:val="21"/>
                <w:highlight w:val="none"/>
              </w:rPr>
            </w:pPr>
          </w:p>
        </w:tc>
        <w:tc>
          <w:tcPr>
            <w:tcW w:w="3626" w:type="dxa"/>
            <w:gridSpan w:val="4"/>
            <w:noWrap w:val="0"/>
            <w:vAlign w:val="center"/>
          </w:tcPr>
          <w:p w14:paraId="19AE3CAC">
            <w:pPr>
              <w:spacing w:after="0" w:line="360" w:lineRule="auto"/>
              <w:rPr>
                <w:rFonts w:ascii="宋体" w:hAnsi="宋体"/>
                <w:color w:val="auto"/>
                <w:szCs w:val="21"/>
                <w:highlight w:val="none"/>
              </w:rPr>
            </w:pPr>
          </w:p>
        </w:tc>
        <w:tc>
          <w:tcPr>
            <w:tcW w:w="1683" w:type="dxa"/>
            <w:noWrap w:val="0"/>
            <w:vAlign w:val="center"/>
          </w:tcPr>
          <w:p w14:paraId="47CF9572">
            <w:pPr>
              <w:spacing w:after="0" w:line="360" w:lineRule="auto"/>
              <w:rPr>
                <w:rFonts w:ascii="宋体" w:hAnsi="宋体"/>
                <w:color w:val="auto"/>
                <w:szCs w:val="21"/>
                <w:highlight w:val="none"/>
              </w:rPr>
            </w:pPr>
          </w:p>
        </w:tc>
        <w:tc>
          <w:tcPr>
            <w:tcW w:w="2338" w:type="dxa"/>
            <w:gridSpan w:val="2"/>
            <w:noWrap w:val="0"/>
            <w:vAlign w:val="center"/>
          </w:tcPr>
          <w:p w14:paraId="749A0AB7">
            <w:pPr>
              <w:spacing w:after="0" w:line="360" w:lineRule="auto"/>
              <w:rPr>
                <w:rFonts w:ascii="宋体" w:hAnsi="宋体"/>
                <w:color w:val="auto"/>
                <w:szCs w:val="21"/>
                <w:highlight w:val="none"/>
              </w:rPr>
            </w:pPr>
          </w:p>
        </w:tc>
      </w:tr>
      <w:tr w14:paraId="144B9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45E085FB">
            <w:pPr>
              <w:spacing w:after="0" w:line="360" w:lineRule="auto"/>
              <w:rPr>
                <w:rFonts w:ascii="宋体" w:hAnsi="宋体"/>
                <w:color w:val="auto"/>
                <w:szCs w:val="21"/>
                <w:highlight w:val="none"/>
              </w:rPr>
            </w:pPr>
          </w:p>
        </w:tc>
        <w:tc>
          <w:tcPr>
            <w:tcW w:w="3626" w:type="dxa"/>
            <w:gridSpan w:val="4"/>
            <w:noWrap w:val="0"/>
            <w:vAlign w:val="center"/>
          </w:tcPr>
          <w:p w14:paraId="02609929">
            <w:pPr>
              <w:spacing w:after="0" w:line="360" w:lineRule="auto"/>
              <w:rPr>
                <w:rFonts w:ascii="宋体" w:hAnsi="宋体"/>
                <w:color w:val="auto"/>
                <w:szCs w:val="21"/>
                <w:highlight w:val="none"/>
              </w:rPr>
            </w:pPr>
          </w:p>
        </w:tc>
        <w:tc>
          <w:tcPr>
            <w:tcW w:w="1683" w:type="dxa"/>
            <w:noWrap w:val="0"/>
            <w:vAlign w:val="center"/>
          </w:tcPr>
          <w:p w14:paraId="0C640746">
            <w:pPr>
              <w:spacing w:after="0" w:line="360" w:lineRule="auto"/>
              <w:rPr>
                <w:rFonts w:ascii="宋体" w:hAnsi="宋体"/>
                <w:color w:val="auto"/>
                <w:szCs w:val="21"/>
                <w:highlight w:val="none"/>
              </w:rPr>
            </w:pPr>
          </w:p>
        </w:tc>
        <w:tc>
          <w:tcPr>
            <w:tcW w:w="2338" w:type="dxa"/>
            <w:gridSpan w:val="2"/>
            <w:noWrap w:val="0"/>
            <w:vAlign w:val="center"/>
          </w:tcPr>
          <w:p w14:paraId="5F6CA5C7">
            <w:pPr>
              <w:spacing w:after="0" w:line="360" w:lineRule="auto"/>
              <w:rPr>
                <w:rFonts w:ascii="宋体" w:hAnsi="宋体"/>
                <w:color w:val="auto"/>
                <w:szCs w:val="21"/>
                <w:highlight w:val="none"/>
              </w:rPr>
            </w:pPr>
          </w:p>
        </w:tc>
      </w:tr>
      <w:tr w14:paraId="6CBA2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178308D6">
            <w:pPr>
              <w:spacing w:after="0" w:line="360" w:lineRule="auto"/>
              <w:rPr>
                <w:rFonts w:ascii="宋体" w:hAnsi="宋体"/>
                <w:color w:val="auto"/>
                <w:szCs w:val="21"/>
                <w:highlight w:val="none"/>
              </w:rPr>
            </w:pPr>
          </w:p>
        </w:tc>
        <w:tc>
          <w:tcPr>
            <w:tcW w:w="3626" w:type="dxa"/>
            <w:gridSpan w:val="4"/>
            <w:noWrap w:val="0"/>
            <w:vAlign w:val="center"/>
          </w:tcPr>
          <w:p w14:paraId="7445DA78">
            <w:pPr>
              <w:spacing w:after="0" w:line="360" w:lineRule="auto"/>
              <w:rPr>
                <w:rFonts w:ascii="宋体" w:hAnsi="宋体"/>
                <w:color w:val="auto"/>
                <w:szCs w:val="21"/>
                <w:highlight w:val="none"/>
              </w:rPr>
            </w:pPr>
          </w:p>
        </w:tc>
        <w:tc>
          <w:tcPr>
            <w:tcW w:w="1683" w:type="dxa"/>
            <w:noWrap w:val="0"/>
            <w:vAlign w:val="center"/>
          </w:tcPr>
          <w:p w14:paraId="582BFBDB">
            <w:pPr>
              <w:spacing w:after="0" w:line="360" w:lineRule="auto"/>
              <w:rPr>
                <w:rFonts w:ascii="宋体" w:hAnsi="宋体"/>
                <w:color w:val="auto"/>
                <w:szCs w:val="21"/>
                <w:highlight w:val="none"/>
              </w:rPr>
            </w:pPr>
          </w:p>
        </w:tc>
        <w:tc>
          <w:tcPr>
            <w:tcW w:w="2338" w:type="dxa"/>
            <w:gridSpan w:val="2"/>
            <w:noWrap w:val="0"/>
            <w:vAlign w:val="center"/>
          </w:tcPr>
          <w:p w14:paraId="757542FB">
            <w:pPr>
              <w:spacing w:after="0" w:line="360" w:lineRule="auto"/>
              <w:rPr>
                <w:rFonts w:ascii="宋体" w:hAnsi="宋体"/>
                <w:color w:val="auto"/>
                <w:szCs w:val="21"/>
                <w:highlight w:val="none"/>
              </w:rPr>
            </w:pPr>
          </w:p>
        </w:tc>
      </w:tr>
    </w:tbl>
    <w:p w14:paraId="229FB881">
      <w:pPr>
        <w:snapToGrid w:val="0"/>
        <w:spacing w:after="0" w:line="360" w:lineRule="auto"/>
        <w:rPr>
          <w:rFonts w:ascii="宋体" w:hAnsi="宋体"/>
          <w:color w:val="auto"/>
          <w:szCs w:val="21"/>
          <w:highlight w:val="none"/>
        </w:rPr>
      </w:pPr>
      <w:r>
        <w:rPr>
          <w:rFonts w:hint="eastAsia" w:ascii="宋体" w:hAnsi="宋体"/>
          <w:color w:val="auto"/>
          <w:szCs w:val="21"/>
          <w:highlight w:val="none"/>
        </w:rPr>
        <w:t>投标人至少应提供有效的：</w:t>
      </w:r>
    </w:p>
    <w:p w14:paraId="37B8EAA8">
      <w:pPr>
        <w:spacing w:after="0" w:line="360" w:lineRule="auto"/>
        <w:ind w:firstLine="420" w:firstLineChars="200"/>
        <w:rPr>
          <w:rFonts w:hint="eastAsia" w:ascii="宋体" w:hAnsi="宋体"/>
          <w:color w:val="auto"/>
          <w:highlight w:val="none"/>
        </w:rPr>
      </w:pPr>
      <w:r>
        <w:rPr>
          <w:rFonts w:hint="eastAsia" w:ascii="宋体" w:hAnsi="宋体"/>
          <w:color w:val="auto"/>
          <w:highlight w:val="none"/>
          <w:lang w:val="en-US" w:eastAsia="zh-CN"/>
        </w:rPr>
        <w:t>1.</w:t>
      </w:r>
      <w:r>
        <w:rPr>
          <w:rFonts w:hint="eastAsia" w:ascii="宋体" w:hAnsi="宋体"/>
          <w:color w:val="auto"/>
          <w:highlight w:val="none"/>
        </w:rPr>
        <w:t>拟派项目经理应附建造师注册证书、身份证、安全生产考核合格证书、社保证明等扫描件；技术负责人应附身份证、职称证、社保证明等扫描件。其他人员应</w:t>
      </w:r>
      <w:r>
        <w:rPr>
          <w:rFonts w:hint="eastAsia" w:ascii="宋体" w:hAnsi="宋体"/>
          <w:color w:val="auto"/>
          <w:highlight w:val="none"/>
          <w:lang w:eastAsia="zh-CN"/>
        </w:rPr>
        <w:t>附</w:t>
      </w:r>
      <w:r>
        <w:rPr>
          <w:rFonts w:hint="eastAsia" w:ascii="宋体" w:hAnsi="宋体"/>
          <w:color w:val="auto"/>
          <w:highlight w:val="none"/>
        </w:rPr>
        <w:t>身份证、</w:t>
      </w:r>
      <w:r>
        <w:rPr>
          <w:rFonts w:hint="eastAsia" w:ascii="宋体" w:hAnsi="宋体"/>
          <w:color w:val="auto"/>
          <w:szCs w:val="21"/>
          <w:highlight w:val="none"/>
        </w:rPr>
        <w:t>岗位证书</w:t>
      </w:r>
      <w:r>
        <w:rPr>
          <w:rFonts w:hint="eastAsia" w:ascii="宋体" w:hAnsi="宋体"/>
          <w:color w:val="auto"/>
          <w:szCs w:val="21"/>
          <w:highlight w:val="none"/>
          <w:lang w:eastAsia="zh-CN"/>
        </w:rPr>
        <w:t>、</w:t>
      </w:r>
      <w:r>
        <w:rPr>
          <w:rFonts w:hint="eastAsia" w:ascii="宋体" w:hAnsi="宋体"/>
          <w:color w:val="auto"/>
          <w:highlight w:val="none"/>
        </w:rPr>
        <w:t>社保证明等扫描件。</w:t>
      </w:r>
    </w:p>
    <w:p w14:paraId="218C1DFC">
      <w:pPr>
        <w:spacing w:after="0"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以上</w:t>
      </w:r>
      <w:r>
        <w:rPr>
          <w:rFonts w:ascii="宋体" w:hAnsi="宋体"/>
          <w:color w:val="auto"/>
          <w:szCs w:val="21"/>
          <w:highlight w:val="none"/>
        </w:rPr>
        <w:t>人员</w:t>
      </w:r>
      <w:r>
        <w:rPr>
          <w:rFonts w:hint="eastAsia" w:ascii="宋体" w:hAnsi="宋体"/>
          <w:color w:val="auto"/>
          <w:szCs w:val="21"/>
          <w:highlight w:val="none"/>
        </w:rPr>
        <w:t>应附投标文件递交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r>
        <w:rPr>
          <w:rFonts w:hint="eastAsia" w:ascii="宋体" w:hAnsi="宋体"/>
          <w:color w:val="auto"/>
          <w:szCs w:val="21"/>
          <w:highlight w:val="none"/>
        </w:rPr>
        <w:t>扫描件。</w:t>
      </w:r>
    </w:p>
    <w:p w14:paraId="7004296A">
      <w:pPr>
        <w:pStyle w:val="2"/>
        <w:rPr>
          <w:color w:val="auto"/>
          <w:highlight w:val="none"/>
        </w:rPr>
      </w:pPr>
    </w:p>
    <w:p w14:paraId="54ED865F">
      <w:pPr>
        <w:widowControl/>
        <w:spacing w:after="0" w:line="360" w:lineRule="auto"/>
        <w:jc w:val="left"/>
        <w:rPr>
          <w:rFonts w:ascii="宋体" w:hAnsi="宋体"/>
          <w:color w:val="auto"/>
          <w:highlight w:val="none"/>
        </w:rPr>
      </w:pPr>
      <w:r>
        <w:rPr>
          <w:rFonts w:ascii="宋体" w:hAnsi="宋体"/>
          <w:color w:val="auto"/>
          <w:highlight w:val="none"/>
        </w:rPr>
        <w:br w:type="page"/>
      </w:r>
    </w:p>
    <w:p w14:paraId="7A046035">
      <w:pPr>
        <w:pStyle w:val="5"/>
        <w:spacing w:before="0" w:after="0" w:line="360" w:lineRule="auto"/>
        <w:jc w:val="center"/>
        <w:rPr>
          <w:rFonts w:ascii="宋体" w:hAnsi="宋体" w:eastAsia="宋体" w:cs="宋体"/>
          <w:color w:val="auto"/>
          <w:sz w:val="24"/>
          <w:szCs w:val="24"/>
          <w:highlight w:val="none"/>
        </w:rPr>
      </w:pPr>
      <w:bookmarkStart w:id="1069" w:name="_Toc30651"/>
      <w:bookmarkStart w:id="1070" w:name="_Toc14187"/>
      <w:bookmarkStart w:id="1071" w:name="_Toc20237_WPSOffice_Level2"/>
      <w:bookmarkStart w:id="1072" w:name="_Toc95257519"/>
      <w:r>
        <w:rPr>
          <w:rFonts w:hint="eastAsia" w:ascii="宋体" w:hAnsi="宋体" w:eastAsia="宋体"/>
          <w:color w:val="auto"/>
          <w:sz w:val="24"/>
          <w:highlight w:val="none"/>
        </w:rPr>
        <w:t>（五）主要机械设备投入表</w:t>
      </w:r>
      <w:bookmarkEnd w:id="1069"/>
      <w:bookmarkEnd w:id="1070"/>
      <w:bookmarkEnd w:id="1071"/>
      <w:bookmarkEnd w:id="1072"/>
    </w:p>
    <w:tbl>
      <w:tblPr>
        <w:tblStyle w:val="58"/>
        <w:tblpPr w:leftFromText="180" w:rightFromText="180" w:vertAnchor="text" w:horzAnchor="margin" w:tblpY="26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1"/>
        <w:gridCol w:w="1832"/>
        <w:gridCol w:w="2035"/>
        <w:gridCol w:w="2180"/>
      </w:tblGrid>
      <w:tr w14:paraId="2F475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18CDF91B">
            <w:pPr>
              <w:keepNext w:val="0"/>
              <w:keepLines w:val="0"/>
              <w:suppressLineNumbers w:val="0"/>
              <w:tabs>
                <w:tab w:val="left" w:pos="-840"/>
                <w:tab w:val="left" w:pos="3444"/>
              </w:tabs>
              <w:spacing w:before="0" w:beforeAutospacing="0" w:after="0" w:afterAutospacing="0" w:line="360" w:lineRule="auto"/>
              <w:ind w:left="0" w:leftChars="0" w:right="-91" w:rightChars="0"/>
              <w:jc w:val="center"/>
              <w:rPr>
                <w:rFonts w:ascii="宋体" w:hAnsi="宋体"/>
                <w:color w:val="auto"/>
                <w:szCs w:val="21"/>
                <w:highlight w:val="none"/>
              </w:rPr>
            </w:pPr>
            <w:r>
              <w:rPr>
                <w:rFonts w:hint="eastAsia" w:ascii="宋体" w:hAnsi="宋体" w:cs="仿宋"/>
                <w:b/>
                <w:color w:val="auto"/>
                <w:szCs w:val="21"/>
                <w:highlight w:val="none"/>
              </w:rPr>
              <w:t>名</w:t>
            </w:r>
            <w:r>
              <w:rPr>
                <w:rFonts w:ascii="宋体" w:hAnsi="宋体" w:cs="仿宋"/>
                <w:b/>
                <w:color w:val="auto"/>
                <w:szCs w:val="21"/>
                <w:highlight w:val="none"/>
              </w:rPr>
              <w:t xml:space="preserve">      </w:t>
            </w:r>
            <w:r>
              <w:rPr>
                <w:rFonts w:hint="eastAsia" w:ascii="宋体" w:hAnsi="宋体" w:cs="仿宋"/>
                <w:b/>
                <w:color w:val="auto"/>
                <w:szCs w:val="21"/>
                <w:highlight w:val="none"/>
              </w:rPr>
              <w:t>称</w:t>
            </w:r>
          </w:p>
        </w:tc>
        <w:tc>
          <w:tcPr>
            <w:tcW w:w="1832" w:type="dxa"/>
            <w:noWrap w:val="0"/>
            <w:vAlign w:val="center"/>
          </w:tcPr>
          <w:p w14:paraId="6722A09D">
            <w:pPr>
              <w:keepNext w:val="0"/>
              <w:keepLines w:val="0"/>
              <w:suppressLineNumbers w:val="0"/>
              <w:tabs>
                <w:tab w:val="left" w:pos="-840"/>
                <w:tab w:val="left" w:pos="3444"/>
              </w:tabs>
              <w:spacing w:before="0" w:beforeAutospacing="0" w:after="0" w:afterAutospacing="0" w:line="360" w:lineRule="auto"/>
              <w:ind w:left="-125" w:right="-108"/>
              <w:jc w:val="center"/>
              <w:rPr>
                <w:rFonts w:ascii="宋体" w:cs="仿宋"/>
                <w:b/>
                <w:color w:val="auto"/>
                <w:szCs w:val="21"/>
                <w:highlight w:val="none"/>
              </w:rPr>
            </w:pPr>
            <w:r>
              <w:rPr>
                <w:rFonts w:hint="eastAsia" w:ascii="宋体" w:hAnsi="宋体" w:cs="仿宋"/>
                <w:b/>
                <w:color w:val="auto"/>
                <w:szCs w:val="21"/>
                <w:highlight w:val="none"/>
              </w:rPr>
              <w:t>数</w:t>
            </w:r>
            <w:r>
              <w:rPr>
                <w:rFonts w:ascii="宋体" w:hAnsi="宋体" w:cs="仿宋"/>
                <w:b/>
                <w:color w:val="auto"/>
                <w:szCs w:val="21"/>
                <w:highlight w:val="none"/>
              </w:rPr>
              <w:t xml:space="preserve"> </w:t>
            </w:r>
            <w:r>
              <w:rPr>
                <w:rFonts w:hint="eastAsia" w:ascii="宋体" w:hAnsi="宋体" w:cs="仿宋"/>
                <w:b/>
                <w:color w:val="auto"/>
                <w:szCs w:val="21"/>
                <w:highlight w:val="none"/>
              </w:rPr>
              <w:t>量</w:t>
            </w:r>
          </w:p>
          <w:p w14:paraId="289DE942">
            <w:pPr>
              <w:keepNext w:val="0"/>
              <w:keepLines w:val="0"/>
              <w:suppressLineNumbers w:val="0"/>
              <w:tabs>
                <w:tab w:val="left" w:pos="-840"/>
                <w:tab w:val="left" w:pos="3444"/>
              </w:tabs>
              <w:spacing w:before="0" w:beforeAutospacing="0" w:after="0" w:afterAutospacing="0" w:line="360" w:lineRule="auto"/>
              <w:ind w:left="-125" w:leftChars="0" w:right="-108" w:rightChars="0"/>
              <w:jc w:val="center"/>
              <w:rPr>
                <w:rFonts w:ascii="宋体" w:hAnsi="宋体"/>
                <w:color w:val="auto"/>
                <w:szCs w:val="21"/>
                <w:highlight w:val="none"/>
              </w:rPr>
            </w:pPr>
            <w:r>
              <w:rPr>
                <w:rFonts w:hint="eastAsia" w:ascii="宋体" w:hAnsi="宋体" w:cs="仿宋"/>
                <w:b/>
                <w:color w:val="auto"/>
                <w:szCs w:val="21"/>
                <w:highlight w:val="none"/>
              </w:rPr>
              <w:t>（最低要求）</w:t>
            </w:r>
          </w:p>
        </w:tc>
        <w:tc>
          <w:tcPr>
            <w:tcW w:w="2035" w:type="dxa"/>
            <w:noWrap w:val="0"/>
            <w:vAlign w:val="center"/>
          </w:tcPr>
          <w:p w14:paraId="037406A3">
            <w:pPr>
              <w:keepNext w:val="0"/>
              <w:keepLines w:val="0"/>
              <w:suppressLineNumbers w:val="0"/>
              <w:tabs>
                <w:tab w:val="left" w:pos="-840"/>
                <w:tab w:val="left" w:pos="3444"/>
              </w:tabs>
              <w:spacing w:before="0" w:beforeAutospacing="0" w:after="0" w:afterAutospacing="0" w:line="360" w:lineRule="auto"/>
              <w:ind w:left="0" w:leftChars="0" w:right="-108" w:rightChars="0"/>
              <w:jc w:val="center"/>
              <w:rPr>
                <w:rFonts w:ascii="宋体" w:hAnsi="宋体"/>
                <w:color w:val="auto"/>
                <w:szCs w:val="21"/>
                <w:highlight w:val="none"/>
              </w:rPr>
            </w:pPr>
            <w:r>
              <w:rPr>
                <w:rFonts w:hint="eastAsia" w:ascii="宋体" w:hAnsi="宋体" w:cs="仿宋"/>
                <w:b/>
                <w:color w:val="auto"/>
                <w:szCs w:val="21"/>
                <w:highlight w:val="none"/>
              </w:rPr>
              <w:t>功率、吨位、容积</w:t>
            </w:r>
          </w:p>
        </w:tc>
        <w:tc>
          <w:tcPr>
            <w:tcW w:w="2180" w:type="dxa"/>
            <w:noWrap w:val="0"/>
            <w:vAlign w:val="center"/>
          </w:tcPr>
          <w:p w14:paraId="1061F833">
            <w:pPr>
              <w:keepNext w:val="0"/>
              <w:keepLines w:val="0"/>
              <w:suppressLineNumbers w:val="0"/>
              <w:tabs>
                <w:tab w:val="left" w:pos="-840"/>
                <w:tab w:val="left" w:pos="3444"/>
              </w:tabs>
              <w:spacing w:before="0" w:beforeAutospacing="0" w:after="0" w:afterAutospacing="0" w:line="360" w:lineRule="auto"/>
              <w:ind w:left="0" w:leftChars="0" w:right="102" w:rightChars="0"/>
              <w:jc w:val="center"/>
              <w:rPr>
                <w:rFonts w:ascii="宋体" w:hAnsi="宋体"/>
                <w:color w:val="auto"/>
                <w:szCs w:val="21"/>
                <w:highlight w:val="none"/>
              </w:rPr>
            </w:pPr>
            <w:r>
              <w:rPr>
                <w:rFonts w:hint="eastAsia" w:ascii="宋体" w:hAnsi="宋体" w:cs="仿宋"/>
                <w:b/>
                <w:color w:val="auto"/>
                <w:szCs w:val="21"/>
                <w:highlight w:val="none"/>
              </w:rPr>
              <w:t>备</w:t>
            </w:r>
            <w:r>
              <w:rPr>
                <w:rFonts w:ascii="宋体" w:hAnsi="宋体" w:cs="仿宋"/>
                <w:b/>
                <w:color w:val="auto"/>
                <w:szCs w:val="21"/>
                <w:highlight w:val="none"/>
              </w:rPr>
              <w:t xml:space="preserve">  </w:t>
            </w:r>
            <w:r>
              <w:rPr>
                <w:rFonts w:hint="eastAsia" w:ascii="宋体" w:hAnsi="宋体" w:cs="仿宋"/>
                <w:b/>
                <w:color w:val="auto"/>
                <w:szCs w:val="21"/>
                <w:highlight w:val="none"/>
              </w:rPr>
              <w:t>注</w:t>
            </w:r>
          </w:p>
        </w:tc>
      </w:tr>
      <w:tr w14:paraId="5D753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1BBF7286">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11264D94">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45AE3FE5">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73E2C668">
            <w:pPr>
              <w:tabs>
                <w:tab w:val="left" w:pos="-840"/>
                <w:tab w:val="left" w:pos="3444"/>
              </w:tabs>
              <w:spacing w:after="0" w:line="360" w:lineRule="auto"/>
              <w:ind w:right="-108"/>
              <w:jc w:val="center"/>
              <w:rPr>
                <w:rFonts w:ascii="宋体" w:hAnsi="宋体"/>
                <w:color w:val="auto"/>
                <w:szCs w:val="21"/>
                <w:highlight w:val="none"/>
              </w:rPr>
            </w:pPr>
          </w:p>
        </w:tc>
      </w:tr>
      <w:tr w14:paraId="1AFA5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40685DAA">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0ED4032C">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4BE82CBF">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0D44E108">
            <w:pPr>
              <w:tabs>
                <w:tab w:val="left" w:pos="-840"/>
                <w:tab w:val="left" w:pos="3444"/>
              </w:tabs>
              <w:spacing w:after="0" w:line="360" w:lineRule="auto"/>
              <w:ind w:right="-108"/>
              <w:jc w:val="center"/>
              <w:rPr>
                <w:rFonts w:ascii="宋体" w:hAnsi="宋体"/>
                <w:color w:val="auto"/>
                <w:szCs w:val="21"/>
                <w:highlight w:val="none"/>
              </w:rPr>
            </w:pPr>
          </w:p>
        </w:tc>
      </w:tr>
      <w:tr w14:paraId="7C539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183C2A45">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164C8090">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038012B3">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00EA7B4E">
            <w:pPr>
              <w:tabs>
                <w:tab w:val="left" w:pos="-840"/>
                <w:tab w:val="left" w:pos="3444"/>
              </w:tabs>
              <w:spacing w:after="0" w:line="360" w:lineRule="auto"/>
              <w:ind w:right="-108"/>
              <w:jc w:val="center"/>
              <w:rPr>
                <w:rFonts w:ascii="宋体" w:hAnsi="宋体"/>
                <w:color w:val="auto"/>
                <w:szCs w:val="21"/>
                <w:highlight w:val="none"/>
              </w:rPr>
            </w:pPr>
          </w:p>
        </w:tc>
      </w:tr>
      <w:tr w14:paraId="5D782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091EC4D4">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3AEEE451">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59DD1572">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2F8F5F1E">
            <w:pPr>
              <w:tabs>
                <w:tab w:val="left" w:pos="-840"/>
                <w:tab w:val="left" w:pos="3444"/>
              </w:tabs>
              <w:spacing w:after="0" w:line="360" w:lineRule="auto"/>
              <w:ind w:right="-108"/>
              <w:jc w:val="center"/>
              <w:rPr>
                <w:rFonts w:ascii="宋体" w:hAnsi="宋体"/>
                <w:color w:val="auto"/>
                <w:szCs w:val="21"/>
                <w:highlight w:val="none"/>
              </w:rPr>
            </w:pPr>
          </w:p>
        </w:tc>
      </w:tr>
      <w:tr w14:paraId="69FED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46410135">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53670FD4">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32C72BE9">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104EB80D">
            <w:pPr>
              <w:tabs>
                <w:tab w:val="left" w:pos="-840"/>
                <w:tab w:val="left" w:pos="3444"/>
              </w:tabs>
              <w:spacing w:after="0" w:line="360" w:lineRule="auto"/>
              <w:ind w:right="-108"/>
              <w:jc w:val="center"/>
              <w:rPr>
                <w:rFonts w:ascii="宋体" w:hAnsi="宋体"/>
                <w:color w:val="auto"/>
                <w:szCs w:val="21"/>
                <w:highlight w:val="none"/>
              </w:rPr>
            </w:pPr>
          </w:p>
        </w:tc>
      </w:tr>
      <w:tr w14:paraId="3C1AB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58619539">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4D5053A7">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5FEB3FA0">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12490B05">
            <w:pPr>
              <w:tabs>
                <w:tab w:val="left" w:pos="-840"/>
                <w:tab w:val="left" w:pos="3444"/>
              </w:tabs>
              <w:spacing w:after="0" w:line="360" w:lineRule="auto"/>
              <w:ind w:right="-108"/>
              <w:jc w:val="center"/>
              <w:rPr>
                <w:rFonts w:ascii="宋体" w:hAnsi="宋体"/>
                <w:color w:val="auto"/>
                <w:szCs w:val="21"/>
                <w:highlight w:val="none"/>
              </w:rPr>
            </w:pPr>
          </w:p>
        </w:tc>
      </w:tr>
      <w:tr w14:paraId="67897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71797645">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48B2E7D7">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6937723C">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0F9C7A5A">
            <w:pPr>
              <w:tabs>
                <w:tab w:val="left" w:pos="-840"/>
                <w:tab w:val="left" w:pos="3444"/>
              </w:tabs>
              <w:spacing w:after="0" w:line="360" w:lineRule="auto"/>
              <w:ind w:right="-108"/>
              <w:jc w:val="center"/>
              <w:rPr>
                <w:rFonts w:ascii="宋体" w:hAnsi="宋体"/>
                <w:color w:val="auto"/>
                <w:szCs w:val="21"/>
                <w:highlight w:val="none"/>
              </w:rPr>
            </w:pPr>
          </w:p>
        </w:tc>
      </w:tr>
    </w:tbl>
    <w:p w14:paraId="5C558F1E">
      <w:pPr>
        <w:topLinePunct/>
        <w:spacing w:after="0" w:line="360" w:lineRule="auto"/>
        <w:jc w:val="center"/>
        <w:rPr>
          <w:rFonts w:ascii="宋体" w:hAnsi="宋体"/>
          <w:color w:val="auto"/>
          <w:szCs w:val="21"/>
          <w:highlight w:val="none"/>
        </w:rPr>
      </w:pPr>
    </w:p>
    <w:p w14:paraId="701F4C79">
      <w:pPr>
        <w:widowControl/>
        <w:spacing w:after="0" w:line="240" w:lineRule="auto"/>
        <w:jc w:val="left"/>
        <w:rPr>
          <w:rFonts w:ascii="宋体" w:hAnsi="宋体"/>
          <w:b/>
          <w:bCs/>
          <w:color w:val="auto"/>
          <w:kern w:val="0"/>
          <w:sz w:val="24"/>
          <w:szCs w:val="32"/>
          <w:highlight w:val="none"/>
          <w:lang w:val="zh-CN"/>
        </w:rPr>
      </w:pPr>
      <w:bookmarkStart w:id="1073" w:name="_Toc28560"/>
      <w:bookmarkStart w:id="1074" w:name="_Toc317631957"/>
      <w:r>
        <w:rPr>
          <w:rFonts w:ascii="宋体" w:hAnsi="宋体"/>
          <w:color w:val="auto"/>
          <w:sz w:val="24"/>
          <w:highlight w:val="none"/>
        </w:rPr>
        <w:br w:type="page"/>
      </w:r>
    </w:p>
    <w:p w14:paraId="12B144E2">
      <w:pPr>
        <w:pStyle w:val="5"/>
        <w:spacing w:before="0" w:after="0" w:line="360" w:lineRule="auto"/>
        <w:jc w:val="center"/>
        <w:rPr>
          <w:rFonts w:ascii="宋体" w:hAnsi="宋体" w:eastAsia="宋体" w:cs="宋体"/>
          <w:color w:val="auto"/>
          <w:sz w:val="24"/>
          <w:szCs w:val="24"/>
          <w:highlight w:val="none"/>
        </w:rPr>
      </w:pPr>
      <w:bookmarkStart w:id="1075" w:name="_Toc95257520"/>
      <w:bookmarkStart w:id="1076" w:name="_Toc24982"/>
      <w:bookmarkStart w:id="1077" w:name="_Toc1160_WPSOffice_Level2"/>
      <w:bookmarkStart w:id="1078" w:name="_Toc19811"/>
      <w:r>
        <w:rPr>
          <w:rFonts w:hint="eastAsia" w:ascii="宋体" w:hAnsi="宋体" w:eastAsia="宋体"/>
          <w:color w:val="auto"/>
          <w:sz w:val="24"/>
          <w:highlight w:val="none"/>
        </w:rPr>
        <w:t>（六）近年完成的类似工程情况表</w:t>
      </w:r>
      <w:bookmarkEnd w:id="1073"/>
      <w:bookmarkEnd w:id="1075"/>
      <w:bookmarkEnd w:id="1076"/>
      <w:bookmarkEnd w:id="1077"/>
      <w:bookmarkEnd w:id="1078"/>
    </w:p>
    <w:tbl>
      <w:tblPr>
        <w:tblStyle w:val="58"/>
        <w:tblW w:w="0" w:type="auto"/>
        <w:jc w:val="center"/>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1951"/>
        <w:gridCol w:w="7052"/>
      </w:tblGrid>
      <w:tr w14:paraId="0C3D284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top w:val="single" w:color="auto" w:sz="4" w:space="0"/>
              <w:left w:val="single" w:color="auto" w:sz="4" w:space="0"/>
            </w:tcBorders>
            <w:noWrap w:val="0"/>
            <w:vAlign w:val="center"/>
          </w:tcPr>
          <w:p w14:paraId="017575FE">
            <w:pPr>
              <w:spacing w:after="0" w:line="360" w:lineRule="auto"/>
              <w:jc w:val="center"/>
              <w:rPr>
                <w:rFonts w:ascii="宋体" w:hAnsi="宋体"/>
                <w:color w:val="auto"/>
                <w:szCs w:val="21"/>
                <w:highlight w:val="none"/>
              </w:rPr>
            </w:pPr>
            <w:r>
              <w:rPr>
                <w:rFonts w:hint="eastAsia" w:ascii="宋体" w:hAnsi="宋体"/>
                <w:color w:val="auto"/>
                <w:szCs w:val="21"/>
                <w:highlight w:val="none"/>
              </w:rPr>
              <w:t>项目名称</w:t>
            </w:r>
          </w:p>
        </w:tc>
        <w:tc>
          <w:tcPr>
            <w:tcW w:w="7052" w:type="dxa"/>
            <w:tcBorders>
              <w:top w:val="single" w:color="auto" w:sz="4" w:space="0"/>
              <w:right w:val="single" w:color="auto" w:sz="4" w:space="0"/>
            </w:tcBorders>
            <w:noWrap w:val="0"/>
            <w:vAlign w:val="center"/>
          </w:tcPr>
          <w:p w14:paraId="68F912D3">
            <w:pPr>
              <w:widowControl/>
              <w:spacing w:after="0" w:line="360" w:lineRule="auto"/>
              <w:jc w:val="left"/>
              <w:rPr>
                <w:rFonts w:ascii="宋体" w:hAnsi="宋体" w:cs="宋体"/>
                <w:color w:val="auto"/>
                <w:kern w:val="0"/>
                <w:highlight w:val="none"/>
              </w:rPr>
            </w:pPr>
          </w:p>
        </w:tc>
      </w:tr>
      <w:tr w14:paraId="636937FE">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4D8F9F17">
            <w:pPr>
              <w:spacing w:after="0" w:line="360" w:lineRule="auto"/>
              <w:jc w:val="center"/>
              <w:rPr>
                <w:rFonts w:ascii="宋体" w:hAnsi="宋体"/>
                <w:color w:val="auto"/>
                <w:szCs w:val="21"/>
                <w:highlight w:val="none"/>
              </w:rPr>
            </w:pPr>
            <w:r>
              <w:rPr>
                <w:rFonts w:hint="eastAsia" w:ascii="宋体" w:hAnsi="宋体"/>
                <w:color w:val="auto"/>
                <w:szCs w:val="21"/>
                <w:highlight w:val="none"/>
              </w:rPr>
              <w:t>项目所在地</w:t>
            </w:r>
          </w:p>
        </w:tc>
        <w:tc>
          <w:tcPr>
            <w:tcW w:w="7052" w:type="dxa"/>
            <w:tcBorders>
              <w:right w:val="single" w:color="auto" w:sz="4" w:space="0"/>
            </w:tcBorders>
            <w:noWrap w:val="0"/>
            <w:vAlign w:val="center"/>
          </w:tcPr>
          <w:p w14:paraId="3D6E4B76">
            <w:pPr>
              <w:widowControl/>
              <w:spacing w:after="0" w:line="360" w:lineRule="auto"/>
              <w:jc w:val="left"/>
              <w:rPr>
                <w:rFonts w:ascii="宋体" w:hAnsi="宋体" w:cs="宋体"/>
                <w:color w:val="auto"/>
                <w:kern w:val="0"/>
                <w:highlight w:val="none"/>
              </w:rPr>
            </w:pPr>
          </w:p>
        </w:tc>
      </w:tr>
      <w:tr w14:paraId="1A2D89A7">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3979D2E0">
            <w:pPr>
              <w:spacing w:after="0" w:line="360" w:lineRule="auto"/>
              <w:jc w:val="center"/>
              <w:rPr>
                <w:rFonts w:ascii="宋体" w:hAnsi="宋体"/>
                <w:color w:val="auto"/>
                <w:szCs w:val="21"/>
                <w:highlight w:val="none"/>
              </w:rPr>
            </w:pPr>
            <w:r>
              <w:rPr>
                <w:rFonts w:hint="eastAsia" w:ascii="宋体" w:hAnsi="宋体"/>
                <w:color w:val="auto"/>
                <w:szCs w:val="21"/>
                <w:highlight w:val="none"/>
              </w:rPr>
              <w:t>发包人名称</w:t>
            </w:r>
          </w:p>
        </w:tc>
        <w:tc>
          <w:tcPr>
            <w:tcW w:w="7052" w:type="dxa"/>
            <w:tcBorders>
              <w:right w:val="single" w:color="auto" w:sz="4" w:space="0"/>
            </w:tcBorders>
            <w:noWrap w:val="0"/>
            <w:vAlign w:val="center"/>
          </w:tcPr>
          <w:p w14:paraId="59FAD940">
            <w:pPr>
              <w:widowControl/>
              <w:spacing w:after="0" w:line="360" w:lineRule="auto"/>
              <w:jc w:val="left"/>
              <w:rPr>
                <w:rFonts w:ascii="宋体" w:hAnsi="宋体" w:cs="宋体"/>
                <w:color w:val="auto"/>
                <w:kern w:val="0"/>
                <w:highlight w:val="none"/>
              </w:rPr>
            </w:pPr>
          </w:p>
        </w:tc>
      </w:tr>
      <w:tr w14:paraId="6D330197">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7AF228E0">
            <w:pPr>
              <w:spacing w:after="0" w:line="360" w:lineRule="auto"/>
              <w:jc w:val="center"/>
              <w:rPr>
                <w:rFonts w:ascii="宋体" w:hAnsi="宋体"/>
                <w:color w:val="auto"/>
                <w:szCs w:val="21"/>
                <w:highlight w:val="none"/>
              </w:rPr>
            </w:pPr>
            <w:r>
              <w:rPr>
                <w:rFonts w:hint="eastAsia" w:ascii="宋体" w:hAnsi="宋体"/>
                <w:color w:val="auto"/>
                <w:szCs w:val="21"/>
                <w:highlight w:val="none"/>
              </w:rPr>
              <w:t>发包人地址</w:t>
            </w:r>
          </w:p>
        </w:tc>
        <w:tc>
          <w:tcPr>
            <w:tcW w:w="7052" w:type="dxa"/>
            <w:tcBorders>
              <w:right w:val="single" w:color="auto" w:sz="4" w:space="0"/>
            </w:tcBorders>
            <w:noWrap w:val="0"/>
            <w:vAlign w:val="center"/>
          </w:tcPr>
          <w:p w14:paraId="031A1D18">
            <w:pPr>
              <w:widowControl/>
              <w:spacing w:after="0" w:line="360" w:lineRule="auto"/>
              <w:jc w:val="left"/>
              <w:rPr>
                <w:rFonts w:ascii="宋体" w:hAnsi="宋体" w:cs="宋体"/>
                <w:color w:val="auto"/>
                <w:kern w:val="0"/>
                <w:highlight w:val="none"/>
              </w:rPr>
            </w:pPr>
          </w:p>
        </w:tc>
      </w:tr>
      <w:tr w14:paraId="5F973E0C">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1F7C06E5">
            <w:pPr>
              <w:spacing w:after="0" w:line="360" w:lineRule="auto"/>
              <w:jc w:val="center"/>
              <w:rPr>
                <w:rFonts w:ascii="宋体" w:hAnsi="宋体"/>
                <w:color w:val="auto"/>
                <w:szCs w:val="21"/>
                <w:highlight w:val="none"/>
              </w:rPr>
            </w:pPr>
            <w:r>
              <w:rPr>
                <w:rFonts w:hint="eastAsia" w:ascii="宋体" w:hAnsi="宋体"/>
                <w:color w:val="auto"/>
                <w:szCs w:val="21"/>
                <w:highlight w:val="none"/>
              </w:rPr>
              <w:t>发包人电话</w:t>
            </w:r>
          </w:p>
        </w:tc>
        <w:tc>
          <w:tcPr>
            <w:tcW w:w="7052" w:type="dxa"/>
            <w:tcBorders>
              <w:right w:val="single" w:color="auto" w:sz="4" w:space="0"/>
            </w:tcBorders>
            <w:noWrap w:val="0"/>
            <w:vAlign w:val="center"/>
          </w:tcPr>
          <w:p w14:paraId="36A37DE7">
            <w:pPr>
              <w:widowControl/>
              <w:spacing w:after="0" w:line="360" w:lineRule="auto"/>
              <w:jc w:val="left"/>
              <w:rPr>
                <w:rFonts w:ascii="宋体" w:hAnsi="宋体" w:cs="宋体"/>
                <w:color w:val="auto"/>
                <w:kern w:val="0"/>
                <w:highlight w:val="none"/>
              </w:rPr>
            </w:pPr>
          </w:p>
        </w:tc>
      </w:tr>
      <w:tr w14:paraId="70CD4EE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32C698D5">
            <w:pPr>
              <w:spacing w:after="0" w:line="360" w:lineRule="auto"/>
              <w:jc w:val="center"/>
              <w:rPr>
                <w:rFonts w:ascii="宋体" w:hAnsi="宋体"/>
                <w:color w:val="auto"/>
                <w:szCs w:val="21"/>
                <w:highlight w:val="none"/>
              </w:rPr>
            </w:pPr>
            <w:r>
              <w:rPr>
                <w:rFonts w:hint="eastAsia" w:ascii="宋体" w:hAnsi="宋体"/>
                <w:color w:val="auto"/>
                <w:szCs w:val="21"/>
                <w:highlight w:val="none"/>
              </w:rPr>
              <w:t>合同价格</w:t>
            </w:r>
          </w:p>
        </w:tc>
        <w:tc>
          <w:tcPr>
            <w:tcW w:w="7052" w:type="dxa"/>
            <w:tcBorders>
              <w:right w:val="single" w:color="auto" w:sz="4" w:space="0"/>
            </w:tcBorders>
            <w:noWrap w:val="0"/>
            <w:vAlign w:val="center"/>
          </w:tcPr>
          <w:p w14:paraId="3DB913F9">
            <w:pPr>
              <w:widowControl/>
              <w:spacing w:after="0" w:line="360" w:lineRule="auto"/>
              <w:jc w:val="left"/>
              <w:rPr>
                <w:rFonts w:ascii="宋体" w:hAnsi="宋体" w:cs="宋体"/>
                <w:color w:val="auto"/>
                <w:kern w:val="0"/>
                <w:highlight w:val="none"/>
              </w:rPr>
            </w:pPr>
          </w:p>
        </w:tc>
      </w:tr>
      <w:tr w14:paraId="00A13CD8">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7890CD3A">
            <w:pPr>
              <w:spacing w:after="0" w:line="360" w:lineRule="auto"/>
              <w:jc w:val="center"/>
              <w:rPr>
                <w:rFonts w:ascii="宋体" w:hAnsi="宋体"/>
                <w:color w:val="auto"/>
                <w:szCs w:val="21"/>
                <w:highlight w:val="none"/>
              </w:rPr>
            </w:pPr>
            <w:r>
              <w:rPr>
                <w:rFonts w:hint="eastAsia" w:ascii="宋体" w:hAnsi="宋体"/>
                <w:color w:val="auto"/>
                <w:szCs w:val="21"/>
                <w:highlight w:val="none"/>
              </w:rPr>
              <w:t>开工日期</w:t>
            </w:r>
          </w:p>
        </w:tc>
        <w:tc>
          <w:tcPr>
            <w:tcW w:w="7052" w:type="dxa"/>
            <w:tcBorders>
              <w:right w:val="single" w:color="auto" w:sz="4" w:space="0"/>
            </w:tcBorders>
            <w:noWrap w:val="0"/>
            <w:vAlign w:val="center"/>
          </w:tcPr>
          <w:p w14:paraId="4912569F">
            <w:pPr>
              <w:widowControl/>
              <w:spacing w:after="0" w:line="360" w:lineRule="auto"/>
              <w:jc w:val="left"/>
              <w:rPr>
                <w:rFonts w:ascii="宋体" w:hAnsi="宋体" w:cs="宋体"/>
                <w:color w:val="auto"/>
                <w:kern w:val="0"/>
                <w:highlight w:val="none"/>
              </w:rPr>
            </w:pPr>
          </w:p>
        </w:tc>
      </w:tr>
      <w:tr w14:paraId="6DAEFD1D">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6CA8FE30">
            <w:pPr>
              <w:spacing w:after="0" w:line="360" w:lineRule="auto"/>
              <w:jc w:val="center"/>
              <w:rPr>
                <w:rFonts w:ascii="宋体" w:hAnsi="宋体"/>
                <w:color w:val="auto"/>
                <w:szCs w:val="21"/>
                <w:highlight w:val="none"/>
              </w:rPr>
            </w:pPr>
            <w:r>
              <w:rPr>
                <w:rFonts w:hint="eastAsia" w:ascii="宋体" w:hAnsi="宋体"/>
                <w:color w:val="auto"/>
                <w:szCs w:val="21"/>
                <w:highlight w:val="none"/>
              </w:rPr>
              <w:t>竣工日期</w:t>
            </w:r>
          </w:p>
        </w:tc>
        <w:tc>
          <w:tcPr>
            <w:tcW w:w="7052" w:type="dxa"/>
            <w:tcBorders>
              <w:right w:val="single" w:color="auto" w:sz="4" w:space="0"/>
            </w:tcBorders>
            <w:noWrap w:val="0"/>
            <w:vAlign w:val="center"/>
          </w:tcPr>
          <w:p w14:paraId="0A85A959">
            <w:pPr>
              <w:widowControl/>
              <w:spacing w:after="0" w:line="360" w:lineRule="auto"/>
              <w:jc w:val="left"/>
              <w:rPr>
                <w:rFonts w:ascii="宋体" w:hAnsi="宋体" w:cs="宋体"/>
                <w:color w:val="auto"/>
                <w:kern w:val="0"/>
                <w:highlight w:val="none"/>
              </w:rPr>
            </w:pPr>
          </w:p>
        </w:tc>
      </w:tr>
      <w:tr w14:paraId="5C3BDFF1">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676310CB">
            <w:pPr>
              <w:spacing w:after="0" w:line="360" w:lineRule="auto"/>
              <w:jc w:val="center"/>
              <w:rPr>
                <w:rFonts w:ascii="宋体" w:hAnsi="宋体"/>
                <w:color w:val="auto"/>
                <w:szCs w:val="21"/>
                <w:highlight w:val="none"/>
              </w:rPr>
            </w:pPr>
            <w:r>
              <w:rPr>
                <w:rFonts w:hint="eastAsia" w:ascii="宋体" w:hAnsi="宋体"/>
                <w:color w:val="auto"/>
                <w:szCs w:val="21"/>
                <w:highlight w:val="none"/>
              </w:rPr>
              <w:t>承担的工作</w:t>
            </w:r>
          </w:p>
        </w:tc>
        <w:tc>
          <w:tcPr>
            <w:tcW w:w="7052" w:type="dxa"/>
            <w:tcBorders>
              <w:right w:val="single" w:color="auto" w:sz="4" w:space="0"/>
            </w:tcBorders>
            <w:noWrap w:val="0"/>
            <w:vAlign w:val="center"/>
          </w:tcPr>
          <w:p w14:paraId="27779CE0">
            <w:pPr>
              <w:widowControl/>
              <w:spacing w:after="0" w:line="360" w:lineRule="auto"/>
              <w:jc w:val="left"/>
              <w:rPr>
                <w:rFonts w:ascii="宋体" w:hAnsi="宋体" w:cs="宋体"/>
                <w:color w:val="auto"/>
                <w:kern w:val="0"/>
                <w:highlight w:val="none"/>
              </w:rPr>
            </w:pPr>
          </w:p>
        </w:tc>
      </w:tr>
      <w:tr w14:paraId="0AB5EEC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20EE9B9E">
            <w:pPr>
              <w:spacing w:after="0" w:line="360" w:lineRule="auto"/>
              <w:jc w:val="center"/>
              <w:rPr>
                <w:rFonts w:ascii="宋体" w:hAnsi="宋体"/>
                <w:color w:val="auto"/>
                <w:szCs w:val="21"/>
                <w:highlight w:val="none"/>
              </w:rPr>
            </w:pPr>
            <w:r>
              <w:rPr>
                <w:rFonts w:hint="eastAsia" w:ascii="宋体" w:hAnsi="宋体"/>
                <w:color w:val="auto"/>
                <w:szCs w:val="21"/>
                <w:highlight w:val="none"/>
              </w:rPr>
              <w:t>工程质量</w:t>
            </w:r>
          </w:p>
        </w:tc>
        <w:tc>
          <w:tcPr>
            <w:tcW w:w="7052" w:type="dxa"/>
            <w:tcBorders>
              <w:right w:val="single" w:color="auto" w:sz="4" w:space="0"/>
            </w:tcBorders>
            <w:noWrap w:val="0"/>
            <w:vAlign w:val="center"/>
          </w:tcPr>
          <w:p w14:paraId="003D460B">
            <w:pPr>
              <w:widowControl/>
              <w:spacing w:after="0" w:line="360" w:lineRule="auto"/>
              <w:jc w:val="left"/>
              <w:rPr>
                <w:rFonts w:ascii="宋体" w:hAnsi="宋体" w:cs="宋体"/>
                <w:color w:val="auto"/>
                <w:kern w:val="0"/>
                <w:highlight w:val="none"/>
              </w:rPr>
            </w:pPr>
          </w:p>
        </w:tc>
      </w:tr>
      <w:tr w14:paraId="106B092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6EE242A3">
            <w:pPr>
              <w:spacing w:after="0" w:line="360" w:lineRule="auto"/>
              <w:jc w:val="center"/>
              <w:rPr>
                <w:rFonts w:ascii="宋体" w:hAnsi="宋体"/>
                <w:color w:val="auto"/>
                <w:szCs w:val="21"/>
                <w:highlight w:val="none"/>
              </w:rPr>
            </w:pPr>
            <w:r>
              <w:rPr>
                <w:rFonts w:hint="eastAsia" w:ascii="宋体" w:hAnsi="宋体"/>
                <w:color w:val="auto"/>
                <w:szCs w:val="21"/>
                <w:highlight w:val="none"/>
              </w:rPr>
              <w:t>项目经理</w:t>
            </w:r>
          </w:p>
        </w:tc>
        <w:tc>
          <w:tcPr>
            <w:tcW w:w="7052" w:type="dxa"/>
            <w:tcBorders>
              <w:right w:val="single" w:color="auto" w:sz="4" w:space="0"/>
            </w:tcBorders>
            <w:noWrap w:val="0"/>
            <w:vAlign w:val="center"/>
          </w:tcPr>
          <w:p w14:paraId="27D89CB7">
            <w:pPr>
              <w:widowControl/>
              <w:spacing w:after="0" w:line="360" w:lineRule="auto"/>
              <w:jc w:val="left"/>
              <w:rPr>
                <w:rFonts w:ascii="宋体" w:hAnsi="宋体" w:cs="宋体"/>
                <w:color w:val="auto"/>
                <w:kern w:val="0"/>
                <w:highlight w:val="none"/>
              </w:rPr>
            </w:pPr>
          </w:p>
        </w:tc>
      </w:tr>
      <w:tr w14:paraId="3251CD2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0D2F2C0E">
            <w:pPr>
              <w:spacing w:after="0" w:line="360" w:lineRule="auto"/>
              <w:jc w:val="center"/>
              <w:rPr>
                <w:rFonts w:ascii="宋体" w:hAnsi="宋体"/>
                <w:color w:val="auto"/>
                <w:szCs w:val="21"/>
                <w:highlight w:val="none"/>
              </w:rPr>
            </w:pPr>
            <w:r>
              <w:rPr>
                <w:rFonts w:hint="eastAsia" w:ascii="宋体" w:hAnsi="宋体"/>
                <w:color w:val="auto"/>
                <w:szCs w:val="21"/>
                <w:highlight w:val="none"/>
              </w:rPr>
              <w:t>技术负责人</w:t>
            </w:r>
          </w:p>
        </w:tc>
        <w:tc>
          <w:tcPr>
            <w:tcW w:w="7052" w:type="dxa"/>
            <w:tcBorders>
              <w:right w:val="single" w:color="auto" w:sz="4" w:space="0"/>
            </w:tcBorders>
            <w:noWrap w:val="0"/>
            <w:vAlign w:val="center"/>
          </w:tcPr>
          <w:p w14:paraId="4920C9A6">
            <w:pPr>
              <w:widowControl/>
              <w:spacing w:after="0" w:line="360" w:lineRule="auto"/>
              <w:jc w:val="left"/>
              <w:rPr>
                <w:rFonts w:ascii="宋体" w:hAnsi="宋体" w:cs="宋体"/>
                <w:color w:val="auto"/>
                <w:kern w:val="0"/>
                <w:highlight w:val="none"/>
              </w:rPr>
            </w:pPr>
          </w:p>
        </w:tc>
      </w:tr>
      <w:tr w14:paraId="685608A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1999" w:hRule="atLeast"/>
          <w:jc w:val="center"/>
        </w:trPr>
        <w:tc>
          <w:tcPr>
            <w:tcW w:w="1951" w:type="dxa"/>
            <w:tcBorders>
              <w:left w:val="single" w:color="auto" w:sz="4" w:space="0"/>
            </w:tcBorders>
            <w:noWrap w:val="0"/>
            <w:vAlign w:val="center"/>
          </w:tcPr>
          <w:p w14:paraId="5371F420">
            <w:pPr>
              <w:spacing w:after="0" w:line="360" w:lineRule="auto"/>
              <w:jc w:val="center"/>
              <w:rPr>
                <w:rFonts w:ascii="宋体" w:hAnsi="宋体"/>
                <w:color w:val="auto"/>
                <w:szCs w:val="21"/>
                <w:highlight w:val="none"/>
              </w:rPr>
            </w:pPr>
            <w:r>
              <w:rPr>
                <w:rFonts w:hint="eastAsia" w:ascii="宋体" w:hAnsi="宋体"/>
                <w:color w:val="auto"/>
                <w:szCs w:val="21"/>
                <w:highlight w:val="none"/>
              </w:rPr>
              <w:t>项目描述</w:t>
            </w:r>
          </w:p>
        </w:tc>
        <w:tc>
          <w:tcPr>
            <w:tcW w:w="7052" w:type="dxa"/>
            <w:tcBorders>
              <w:right w:val="single" w:color="auto" w:sz="4" w:space="0"/>
            </w:tcBorders>
            <w:noWrap w:val="0"/>
            <w:vAlign w:val="center"/>
          </w:tcPr>
          <w:p w14:paraId="31E9038F">
            <w:pPr>
              <w:widowControl/>
              <w:spacing w:after="0" w:line="360" w:lineRule="auto"/>
              <w:jc w:val="left"/>
              <w:rPr>
                <w:rFonts w:ascii="宋体" w:hAnsi="宋体" w:cs="宋体"/>
                <w:color w:val="auto"/>
                <w:kern w:val="0"/>
                <w:highlight w:val="none"/>
              </w:rPr>
            </w:pPr>
          </w:p>
        </w:tc>
      </w:tr>
      <w:tr w14:paraId="19FDED8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1951" w:type="dxa"/>
            <w:tcBorders>
              <w:left w:val="single" w:color="auto" w:sz="4" w:space="0"/>
              <w:bottom w:val="single" w:color="auto" w:sz="4" w:space="0"/>
            </w:tcBorders>
            <w:noWrap w:val="0"/>
            <w:vAlign w:val="center"/>
          </w:tcPr>
          <w:p w14:paraId="39438DC7">
            <w:pPr>
              <w:spacing w:after="0" w:line="360" w:lineRule="auto"/>
              <w:jc w:val="center"/>
              <w:rPr>
                <w:rFonts w:ascii="宋体" w:hAnsi="宋体"/>
                <w:color w:val="auto"/>
                <w:szCs w:val="21"/>
                <w:highlight w:val="none"/>
              </w:rPr>
            </w:pPr>
            <w:r>
              <w:rPr>
                <w:rFonts w:hint="eastAsia" w:ascii="宋体" w:hAnsi="宋体"/>
                <w:color w:val="auto"/>
                <w:szCs w:val="21"/>
                <w:highlight w:val="none"/>
              </w:rPr>
              <w:t>备注</w:t>
            </w:r>
          </w:p>
        </w:tc>
        <w:tc>
          <w:tcPr>
            <w:tcW w:w="7052" w:type="dxa"/>
            <w:tcBorders>
              <w:bottom w:val="single" w:color="auto" w:sz="4" w:space="0"/>
              <w:right w:val="single" w:color="auto" w:sz="4" w:space="0"/>
            </w:tcBorders>
            <w:noWrap w:val="0"/>
            <w:vAlign w:val="center"/>
          </w:tcPr>
          <w:p w14:paraId="2EE56C87">
            <w:pPr>
              <w:widowControl/>
              <w:spacing w:after="0" w:line="360" w:lineRule="auto"/>
              <w:jc w:val="left"/>
              <w:rPr>
                <w:rFonts w:ascii="宋体" w:hAnsi="宋体" w:cs="宋体"/>
                <w:color w:val="auto"/>
                <w:kern w:val="0"/>
                <w:highlight w:val="none"/>
              </w:rPr>
            </w:pPr>
          </w:p>
        </w:tc>
      </w:tr>
    </w:tbl>
    <w:p w14:paraId="7E30A2AC">
      <w:pPr>
        <w:snapToGrid w:val="0"/>
        <w:spacing w:after="0" w:line="360" w:lineRule="auto"/>
        <w:ind w:firstLine="420" w:firstLineChars="200"/>
        <w:rPr>
          <w:rFonts w:hint="default" w:ascii="宋体" w:hAnsi="宋体" w:eastAsia="宋体"/>
          <w:bCs/>
          <w:color w:val="auto"/>
          <w:szCs w:val="21"/>
          <w:highlight w:val="none"/>
          <w:lang w:val="en-US" w:eastAsia="zh-CN"/>
        </w:rPr>
      </w:pPr>
      <w:r>
        <w:rPr>
          <w:rFonts w:hint="eastAsia" w:ascii="宋体" w:hAnsi="宋体" w:cs="宋体"/>
          <w:bCs/>
          <w:color w:val="auto"/>
          <w:szCs w:val="21"/>
          <w:highlight w:val="none"/>
        </w:rPr>
        <w:t>注：证明材料为：</w:t>
      </w:r>
      <w:r>
        <w:rPr>
          <w:rFonts w:hint="eastAsia" w:ascii="宋体" w:hAnsi="宋体"/>
          <w:bCs/>
          <w:color w:val="auto"/>
          <w:szCs w:val="21"/>
          <w:highlight w:val="none"/>
        </w:rPr>
        <w:t>1</w:t>
      </w:r>
      <w:r>
        <w:rPr>
          <w:rFonts w:ascii="宋体" w:hAnsi="宋体"/>
          <w:bCs/>
          <w:color w:val="auto"/>
          <w:szCs w:val="21"/>
          <w:highlight w:val="none"/>
        </w:rPr>
        <w:t>.</w:t>
      </w:r>
      <w:r>
        <w:rPr>
          <w:rFonts w:hint="eastAsia" w:ascii="宋体" w:hAnsi="宋体"/>
          <w:color w:val="auto"/>
          <w:szCs w:val="21"/>
          <w:highlight w:val="none"/>
        </w:rPr>
        <w:t>详见</w:t>
      </w:r>
      <w:r>
        <w:rPr>
          <w:rFonts w:hint="eastAsia" w:ascii="宋体" w:hAnsi="宋体"/>
          <w:color w:val="auto"/>
          <w:szCs w:val="21"/>
          <w:highlight w:val="none"/>
          <w:lang w:eastAsia="zh-CN"/>
        </w:rPr>
        <w:t>评标办法</w:t>
      </w:r>
      <w:r>
        <w:rPr>
          <w:rFonts w:hint="eastAsia" w:ascii="宋体" w:hAnsi="宋体"/>
          <w:color w:val="auto"/>
          <w:szCs w:val="21"/>
          <w:highlight w:val="none"/>
        </w:rPr>
        <w:t>要求</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.业绩证明材料为彩色扫描件。</w:t>
      </w:r>
    </w:p>
    <w:p w14:paraId="6A596B1F">
      <w:pPr>
        <w:widowControl/>
        <w:spacing w:after="0" w:line="360" w:lineRule="auto"/>
        <w:jc w:val="left"/>
        <w:rPr>
          <w:rFonts w:ascii="宋体" w:hAnsi="宋体"/>
          <w:bCs/>
          <w:color w:val="auto"/>
          <w:sz w:val="28"/>
          <w:szCs w:val="28"/>
          <w:highlight w:val="none"/>
        </w:rPr>
      </w:pPr>
    </w:p>
    <w:bookmarkEnd w:id="1074"/>
    <w:p w14:paraId="18EF87F6">
      <w:pPr>
        <w:widowControl/>
        <w:spacing w:after="0" w:line="240" w:lineRule="auto"/>
        <w:jc w:val="left"/>
        <w:rPr>
          <w:rFonts w:ascii="宋体" w:hAnsi="宋体"/>
          <w:b/>
          <w:bCs/>
          <w:color w:val="auto"/>
          <w:kern w:val="0"/>
          <w:sz w:val="24"/>
          <w:szCs w:val="32"/>
          <w:highlight w:val="none"/>
          <w:lang w:val="zh-CN"/>
        </w:rPr>
      </w:pPr>
      <w:bookmarkStart w:id="1079" w:name="_Toc317631958"/>
      <w:r>
        <w:rPr>
          <w:rFonts w:ascii="宋体" w:hAnsi="宋体"/>
          <w:color w:val="auto"/>
          <w:sz w:val="24"/>
          <w:highlight w:val="none"/>
        </w:rPr>
        <w:br w:type="page"/>
      </w:r>
    </w:p>
    <w:p w14:paraId="36461E12">
      <w:pPr>
        <w:pStyle w:val="5"/>
        <w:spacing w:before="0" w:after="0" w:line="360" w:lineRule="auto"/>
        <w:jc w:val="center"/>
        <w:rPr>
          <w:rFonts w:hint="eastAsia" w:ascii="宋体" w:hAnsi="宋体" w:eastAsia="宋体"/>
          <w:color w:val="auto"/>
          <w:sz w:val="24"/>
          <w:highlight w:val="none"/>
          <w:lang w:eastAsia="zh-CN"/>
        </w:rPr>
      </w:pPr>
      <w:bookmarkStart w:id="1080" w:name="_Toc95257521"/>
      <w:bookmarkStart w:id="1081" w:name="_Toc29518"/>
      <w:bookmarkStart w:id="1082" w:name="_Toc14302"/>
      <w:bookmarkStart w:id="1083" w:name="_Toc17709_WPSOffice_Level2"/>
      <w:r>
        <w:rPr>
          <w:rFonts w:hint="eastAsia" w:ascii="宋体" w:hAnsi="宋体" w:eastAsia="宋体"/>
          <w:color w:val="auto"/>
          <w:sz w:val="24"/>
          <w:highlight w:val="none"/>
        </w:rPr>
        <w:t>（七）</w:t>
      </w:r>
      <w:bookmarkEnd w:id="1079"/>
      <w:r>
        <w:rPr>
          <w:rFonts w:hint="eastAsia" w:ascii="宋体" w:hAnsi="宋体" w:eastAsia="宋体"/>
          <w:color w:val="auto"/>
          <w:sz w:val="24"/>
          <w:highlight w:val="none"/>
        </w:rPr>
        <w:t>投标人信誉</w:t>
      </w:r>
      <w:bookmarkEnd w:id="1080"/>
      <w:r>
        <w:rPr>
          <w:rFonts w:hint="eastAsia" w:ascii="宋体" w:hAnsi="宋体" w:eastAsia="宋体"/>
          <w:color w:val="auto"/>
          <w:sz w:val="24"/>
          <w:highlight w:val="none"/>
          <w:lang w:eastAsia="zh-CN"/>
        </w:rPr>
        <w:t>情况</w:t>
      </w:r>
      <w:bookmarkEnd w:id="1081"/>
      <w:bookmarkEnd w:id="1082"/>
      <w:bookmarkEnd w:id="1083"/>
    </w:p>
    <w:p w14:paraId="20F32854">
      <w:pPr>
        <w:spacing w:line="360" w:lineRule="auto"/>
        <w:jc w:val="left"/>
        <w:rPr>
          <w:rFonts w:ascii="宋体" w:hAnsi="宋体"/>
          <w:b/>
          <w:color w:val="auto"/>
          <w:szCs w:val="21"/>
          <w:highlight w:val="none"/>
        </w:rPr>
      </w:pPr>
      <w:r>
        <w:rPr>
          <w:rFonts w:hint="eastAsia" w:ascii="宋体" w:hAnsi="宋体"/>
          <w:b/>
          <w:color w:val="auto"/>
          <w:szCs w:val="21"/>
          <w:highlight w:val="none"/>
        </w:rPr>
        <w:t>（1）</w:t>
      </w:r>
      <w:r>
        <w:rPr>
          <w:rFonts w:hint="eastAsia" w:ascii="宋体" w:hAnsi="宋体"/>
          <w:b/>
          <w:color w:val="auto"/>
          <w:szCs w:val="21"/>
          <w:highlight w:val="none"/>
          <w:lang w:eastAsia="zh-CN"/>
        </w:rPr>
        <w:t>提交公告及</w:t>
      </w:r>
      <w:r>
        <w:rPr>
          <w:rFonts w:hint="eastAsia" w:ascii="宋体" w:hAnsi="宋体"/>
          <w:b/>
          <w:color w:val="auto"/>
          <w:szCs w:val="21"/>
          <w:highlight w:val="none"/>
        </w:rPr>
        <w:t>投标人须知前附表1.4.1“信誉要求”</w:t>
      </w:r>
      <w:r>
        <w:rPr>
          <w:rFonts w:hint="eastAsia" w:ascii="宋体" w:hAnsi="宋体"/>
          <w:b/>
          <w:color w:val="auto"/>
          <w:szCs w:val="21"/>
          <w:highlight w:val="none"/>
          <w:lang w:eastAsia="zh-CN"/>
        </w:rPr>
        <w:t>材料</w:t>
      </w:r>
      <w:r>
        <w:rPr>
          <w:rFonts w:hint="eastAsia" w:ascii="宋体" w:hAnsi="宋体"/>
          <w:b/>
          <w:color w:val="auto"/>
          <w:szCs w:val="21"/>
          <w:highlight w:val="none"/>
        </w:rPr>
        <w:t>。</w:t>
      </w:r>
    </w:p>
    <w:p w14:paraId="230332F1">
      <w:pPr>
        <w:spacing w:line="360" w:lineRule="auto"/>
        <w:jc w:val="left"/>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lang w:eastAsia="zh-CN"/>
        </w:rPr>
        <w:t>提交招标文件中其他响应性要求的承诺、说明</w:t>
      </w:r>
      <w:r>
        <w:rPr>
          <w:rFonts w:hint="eastAsia" w:ascii="宋体" w:hAnsi="宋体"/>
          <w:b/>
          <w:color w:val="auto"/>
          <w:szCs w:val="21"/>
          <w:highlight w:val="none"/>
        </w:rPr>
        <w:t>。</w:t>
      </w:r>
    </w:p>
    <w:p w14:paraId="0D84C93E">
      <w:pPr>
        <w:widowControl/>
        <w:spacing w:after="0" w:line="240" w:lineRule="auto"/>
        <w:jc w:val="left"/>
        <w:rPr>
          <w:rFonts w:ascii="宋体" w:hAnsi="宋体"/>
          <w:b/>
          <w:bCs/>
          <w:color w:val="auto"/>
          <w:szCs w:val="21"/>
          <w:highlight w:val="none"/>
        </w:rPr>
      </w:pPr>
      <w:bookmarkStart w:id="1084" w:name="_Hlk58270364"/>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3</w:t>
      </w:r>
      <w:r>
        <w:rPr>
          <w:rFonts w:hint="eastAsia" w:ascii="宋体" w:hAnsi="宋体"/>
          <w:b/>
          <w:bCs/>
          <w:color w:val="auto"/>
          <w:szCs w:val="21"/>
          <w:highlight w:val="none"/>
          <w:lang w:eastAsia="zh-CN"/>
        </w:rPr>
        <w:t>）诚信承诺书。</w:t>
      </w:r>
      <w:r>
        <w:rPr>
          <w:rFonts w:ascii="宋体" w:hAnsi="宋体"/>
          <w:b/>
          <w:bCs/>
          <w:color w:val="auto"/>
          <w:szCs w:val="21"/>
          <w:highlight w:val="none"/>
        </w:rPr>
        <w:br w:type="page"/>
      </w:r>
    </w:p>
    <w:p w14:paraId="3C9B6DA9">
      <w:pPr>
        <w:spacing w:line="360" w:lineRule="auto"/>
        <w:ind w:firstLine="3795" w:firstLineChars="1800"/>
        <w:outlineLvl w:val="1"/>
        <w:rPr>
          <w:rFonts w:ascii="宋体" w:hAnsi="宋体"/>
          <w:b/>
          <w:bCs/>
          <w:color w:val="auto"/>
          <w:szCs w:val="21"/>
          <w:highlight w:val="none"/>
        </w:rPr>
      </w:pPr>
      <w:bookmarkStart w:id="1085" w:name="_Toc19547"/>
      <w:bookmarkStart w:id="1086" w:name="_Toc20057"/>
      <w:r>
        <w:rPr>
          <w:rFonts w:hint="eastAsia" w:ascii="宋体" w:hAnsi="宋体"/>
          <w:b/>
          <w:bCs/>
          <w:color w:val="auto"/>
          <w:szCs w:val="21"/>
          <w:highlight w:val="none"/>
        </w:rPr>
        <w:t>诚信承诺书</w:t>
      </w:r>
      <w:bookmarkEnd w:id="1085"/>
      <w:bookmarkEnd w:id="1086"/>
    </w:p>
    <w:bookmarkEnd w:id="1084"/>
    <w:p w14:paraId="2A7F3A7A">
      <w:pPr>
        <w:spacing w:line="360" w:lineRule="auto"/>
        <w:jc w:val="left"/>
        <w:rPr>
          <w:rFonts w:ascii="宋体" w:hAnsi="宋体"/>
          <w:color w:val="auto"/>
          <w:szCs w:val="21"/>
          <w:highlight w:val="none"/>
        </w:rPr>
      </w:pPr>
    </w:p>
    <w:p w14:paraId="3A896985">
      <w:pPr>
        <w:spacing w:line="360" w:lineRule="auto"/>
        <w:jc w:val="left"/>
        <w:rPr>
          <w:rFonts w:ascii="宋体" w:hAnsi="宋体"/>
          <w:color w:val="auto"/>
          <w:szCs w:val="21"/>
          <w:highlight w:val="none"/>
        </w:rPr>
      </w:pPr>
      <w:r>
        <w:rPr>
          <w:rFonts w:hint="eastAsia" w:ascii="宋体" w:hAnsi="宋体"/>
          <w:color w:val="auto"/>
          <w:szCs w:val="21"/>
          <w:highlight w:val="none"/>
        </w:rPr>
        <w:t>本企业作为投标人，承诺如下</w:t>
      </w:r>
      <w:r>
        <w:rPr>
          <w:rFonts w:hint="eastAsia" w:ascii="宋体" w:hAnsi="宋体"/>
          <w:color w:val="auto"/>
          <w:szCs w:val="21"/>
          <w:highlight w:val="none"/>
          <w:lang w:eastAsia="zh-CN"/>
        </w:rPr>
        <w:t>：</w:t>
      </w:r>
    </w:p>
    <w:p w14:paraId="7D37654A">
      <w:pPr>
        <w:spacing w:line="360" w:lineRule="auto"/>
        <w:jc w:val="left"/>
        <w:outlineLvl w:val="1"/>
        <w:rPr>
          <w:rFonts w:ascii="宋体" w:hAnsi="宋体"/>
          <w:color w:val="auto"/>
          <w:szCs w:val="21"/>
          <w:highlight w:val="none"/>
        </w:rPr>
      </w:pPr>
      <w:bookmarkStart w:id="1087" w:name="_Toc18395"/>
      <w:bookmarkStart w:id="1088" w:name="_Toc21125"/>
      <w:r>
        <w:rPr>
          <w:rFonts w:hint="eastAsia" w:ascii="宋体" w:hAnsi="宋体"/>
          <w:color w:val="auto"/>
          <w:szCs w:val="21"/>
          <w:highlight w:val="none"/>
        </w:rPr>
        <w:t>一、参与项目投标所提供的一切材料都真实、合法、有效。</w:t>
      </w:r>
      <w:bookmarkEnd w:id="1087"/>
      <w:bookmarkEnd w:id="1088"/>
    </w:p>
    <w:p w14:paraId="6FB94229">
      <w:pPr>
        <w:spacing w:line="360" w:lineRule="auto"/>
        <w:jc w:val="left"/>
        <w:rPr>
          <w:rFonts w:ascii="宋体" w:hAnsi="宋体"/>
          <w:color w:val="auto"/>
          <w:szCs w:val="21"/>
          <w:highlight w:val="none"/>
        </w:rPr>
      </w:pPr>
      <w:r>
        <w:rPr>
          <w:rFonts w:hint="eastAsia" w:ascii="宋体" w:hAnsi="宋体"/>
          <w:color w:val="auto"/>
          <w:szCs w:val="21"/>
          <w:highlight w:val="none"/>
        </w:rPr>
        <w:t>二、不与其他投标人串通投标</w:t>
      </w:r>
      <w:r>
        <w:rPr>
          <w:rFonts w:hint="eastAsia" w:ascii="宋体" w:hAnsi="宋体"/>
          <w:color w:val="auto"/>
          <w:szCs w:val="21"/>
          <w:highlight w:val="none"/>
          <w:lang w:eastAsia="zh-CN"/>
        </w:rPr>
        <w:t>，</w:t>
      </w:r>
      <w:r>
        <w:rPr>
          <w:rFonts w:hint="eastAsia" w:ascii="宋体" w:hAnsi="宋体"/>
          <w:color w:val="auto"/>
          <w:szCs w:val="21"/>
          <w:highlight w:val="none"/>
        </w:rPr>
        <w:t>损害招标人或其他投标人的合法权益。</w:t>
      </w:r>
    </w:p>
    <w:p w14:paraId="5D1152A4">
      <w:pPr>
        <w:spacing w:line="360" w:lineRule="auto"/>
        <w:jc w:val="left"/>
        <w:rPr>
          <w:rFonts w:ascii="宋体" w:hAnsi="宋体"/>
          <w:color w:val="auto"/>
          <w:szCs w:val="21"/>
          <w:highlight w:val="none"/>
        </w:rPr>
      </w:pPr>
      <w:r>
        <w:rPr>
          <w:rFonts w:hint="eastAsia" w:ascii="宋体" w:hAnsi="宋体"/>
          <w:color w:val="auto"/>
          <w:szCs w:val="21"/>
          <w:highlight w:val="none"/>
        </w:rPr>
        <w:t>三、不与招标人或招标代理机构串通投标,损害国家利益、社会公共利益或者他人的合法权益。</w:t>
      </w:r>
    </w:p>
    <w:p w14:paraId="7875307E">
      <w:pPr>
        <w:spacing w:line="360" w:lineRule="auto"/>
        <w:jc w:val="left"/>
        <w:rPr>
          <w:rFonts w:ascii="宋体" w:hAnsi="宋体"/>
          <w:color w:val="auto"/>
          <w:szCs w:val="21"/>
          <w:highlight w:val="none"/>
        </w:rPr>
      </w:pPr>
      <w:r>
        <w:rPr>
          <w:rFonts w:hint="eastAsia" w:ascii="宋体" w:hAnsi="宋体"/>
          <w:color w:val="auto"/>
          <w:szCs w:val="21"/>
          <w:highlight w:val="none"/>
        </w:rPr>
        <w:t>四、不以他人名义投标，不挂靠、借用资质或者以其他方式弄虚作假骗取中标。</w:t>
      </w:r>
    </w:p>
    <w:p w14:paraId="087B3C9D">
      <w:pPr>
        <w:spacing w:line="360" w:lineRule="auto"/>
        <w:jc w:val="left"/>
        <w:rPr>
          <w:rFonts w:ascii="宋体" w:hAnsi="宋体"/>
          <w:color w:val="auto"/>
          <w:szCs w:val="21"/>
          <w:highlight w:val="none"/>
        </w:rPr>
      </w:pPr>
      <w:r>
        <w:rPr>
          <w:rFonts w:hint="eastAsia" w:ascii="宋体" w:hAnsi="宋体"/>
          <w:color w:val="auto"/>
          <w:szCs w:val="21"/>
          <w:highlight w:val="none"/>
        </w:rPr>
        <w:t>五、不转让、出租、出借资质证书、人员岗位证书或以其他方式允许他人以本企业名义投标。</w:t>
      </w:r>
    </w:p>
    <w:p w14:paraId="527CD814">
      <w:pPr>
        <w:spacing w:line="360" w:lineRule="auto"/>
        <w:jc w:val="left"/>
        <w:rPr>
          <w:rFonts w:ascii="宋体" w:hAnsi="宋体"/>
          <w:color w:val="auto"/>
          <w:szCs w:val="21"/>
          <w:highlight w:val="none"/>
        </w:rPr>
      </w:pPr>
      <w:r>
        <w:rPr>
          <w:rFonts w:hint="eastAsia" w:ascii="宋体" w:hAnsi="宋体"/>
          <w:color w:val="auto"/>
          <w:szCs w:val="21"/>
          <w:highlight w:val="none"/>
        </w:rPr>
        <w:t>六、不向招标人、评标委员会成员、监督人员行贿、请客、送礼及组织其他有可能影响招标投标公平公正的活动。</w:t>
      </w:r>
    </w:p>
    <w:p w14:paraId="502F5FB3">
      <w:pPr>
        <w:spacing w:line="360" w:lineRule="auto"/>
        <w:jc w:val="left"/>
        <w:rPr>
          <w:rFonts w:ascii="宋体" w:hAnsi="宋体"/>
          <w:color w:val="auto"/>
          <w:szCs w:val="21"/>
          <w:highlight w:val="none"/>
        </w:rPr>
      </w:pPr>
      <w:r>
        <w:rPr>
          <w:rFonts w:hint="eastAsia" w:ascii="宋体" w:hAnsi="宋体"/>
          <w:color w:val="auto"/>
          <w:szCs w:val="21"/>
          <w:highlight w:val="none"/>
        </w:rPr>
        <w:t>七、不干扰招标投标活动正常秩序。不进行虚假恶意投诉，不以暴力手段胁迫其他潜在投标人放弃投标，或胁迫中标人放弃中标。</w:t>
      </w:r>
    </w:p>
    <w:p w14:paraId="03A3722F">
      <w:pPr>
        <w:spacing w:line="360" w:lineRule="auto"/>
        <w:jc w:val="left"/>
        <w:rPr>
          <w:rFonts w:ascii="宋体" w:hAnsi="宋体"/>
          <w:color w:val="auto"/>
          <w:szCs w:val="21"/>
          <w:highlight w:val="none"/>
        </w:rPr>
      </w:pPr>
      <w:r>
        <w:rPr>
          <w:rFonts w:hint="eastAsia" w:ascii="宋体" w:hAnsi="宋体"/>
          <w:color w:val="auto"/>
          <w:szCs w:val="21"/>
          <w:highlight w:val="none"/>
        </w:rPr>
        <w:t>八、中标后与招标人严格按照招标文件和投标文件的内容订立合同，按照合同约定履行义务，不将项目转包，不进行违法分包。</w:t>
      </w:r>
    </w:p>
    <w:p w14:paraId="7782F2F3">
      <w:pPr>
        <w:spacing w:line="360" w:lineRule="auto"/>
        <w:jc w:val="left"/>
        <w:rPr>
          <w:rFonts w:ascii="宋体" w:hAnsi="宋体"/>
          <w:color w:val="auto"/>
          <w:szCs w:val="21"/>
          <w:highlight w:val="none"/>
        </w:rPr>
      </w:pPr>
      <w:r>
        <w:rPr>
          <w:rFonts w:hint="eastAsia" w:ascii="宋体" w:hAnsi="宋体"/>
          <w:color w:val="auto"/>
          <w:szCs w:val="21"/>
          <w:highlight w:val="none"/>
        </w:rPr>
        <w:t>九、自觉</w:t>
      </w:r>
      <w:r>
        <w:rPr>
          <w:rFonts w:hint="eastAsia" w:ascii="宋体" w:hAnsi="宋体"/>
          <w:color w:val="auto"/>
          <w:szCs w:val="21"/>
          <w:highlight w:val="none"/>
          <w:lang w:eastAsia="zh-CN"/>
        </w:rPr>
        <w:t>接受</w:t>
      </w:r>
      <w:r>
        <w:rPr>
          <w:rFonts w:hint="eastAsia" w:ascii="宋体" w:hAnsi="宋体"/>
          <w:color w:val="auto"/>
          <w:szCs w:val="21"/>
          <w:highlight w:val="none"/>
        </w:rPr>
        <w:t>有关部门依法实施的监督。如违反承诺愿意承担由此带来的法律责任，接受有关部门的调查处理，并保证不干预案件查处。给招标人造成损失的,依法承担赔偿责任。</w:t>
      </w:r>
    </w:p>
    <w:p w14:paraId="56A7B875">
      <w:pPr>
        <w:spacing w:line="360" w:lineRule="auto"/>
        <w:jc w:val="left"/>
        <w:rPr>
          <w:rFonts w:ascii="宋体" w:hAnsi="宋体"/>
          <w:color w:val="auto"/>
          <w:highlight w:val="none"/>
        </w:rPr>
      </w:pPr>
    </w:p>
    <w:p w14:paraId="4EE875FB">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0E2B4DE0">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5D0815E6">
      <w:pPr>
        <w:spacing w:line="360" w:lineRule="auto"/>
        <w:jc w:val="left"/>
        <w:rPr>
          <w:rFonts w:hint="eastAsia" w:ascii="宋体" w:hAnsi="宋体"/>
          <w:color w:val="auto"/>
          <w:szCs w:val="21"/>
          <w:highlight w:val="none"/>
        </w:rPr>
        <w:sectPr>
          <w:pgSz w:w="11906" w:h="16838"/>
          <w:pgMar w:top="1418" w:right="1418" w:bottom="1418" w:left="1701" w:header="851" w:footer="992" w:gutter="0"/>
          <w:pgNumType w:fmt="decimal"/>
          <w:cols w:space="720" w:num="1"/>
          <w:docGrid w:linePitch="312" w:charSpace="0"/>
        </w:sect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4E35443">
      <w:pPr>
        <w:pStyle w:val="487"/>
        <w:widowControl/>
        <w:spacing w:after="200" w:line="276" w:lineRule="auto"/>
        <w:jc w:val="center"/>
        <w:rPr>
          <w:rStyle w:val="489"/>
          <w:rFonts w:cs="Times New Roman"/>
          <w:b/>
          <w:bCs/>
          <w:color w:val="auto"/>
          <w:kern w:val="2"/>
          <w:sz w:val="28"/>
          <w:szCs w:val="28"/>
          <w:highlight w:val="none"/>
        </w:rPr>
      </w:pPr>
      <w:r>
        <w:rPr>
          <w:rStyle w:val="489"/>
          <w:rFonts w:hint="eastAsia" w:ascii="宋体" w:hAnsi="宋体" w:cs="宋体"/>
          <w:b/>
          <w:bCs/>
          <w:color w:val="auto"/>
          <w:kern w:val="2"/>
          <w:sz w:val="28"/>
          <w:szCs w:val="28"/>
          <w:highlight w:val="none"/>
        </w:rPr>
        <w:t>中标后不转包、违法分包承诺书</w:t>
      </w:r>
    </w:p>
    <w:p w14:paraId="2A12C9A6">
      <w:pPr>
        <w:pStyle w:val="487"/>
        <w:widowControl/>
        <w:spacing w:after="200" w:line="276" w:lineRule="auto"/>
        <w:jc w:val="both"/>
        <w:rPr>
          <w:rStyle w:val="489"/>
          <w:rFonts w:cs="Times New Roman"/>
          <w:color w:val="auto"/>
          <w:sz w:val="21"/>
          <w:szCs w:val="21"/>
          <w:highlight w:val="none"/>
        </w:rPr>
      </w:pPr>
      <w:r>
        <w:rPr>
          <w:rStyle w:val="489"/>
          <w:rFonts w:ascii="宋体" w:hAnsi="宋体" w:cs="宋体"/>
          <w:color w:val="auto"/>
          <w:sz w:val="28"/>
          <w:szCs w:val="28"/>
          <w:highlight w:val="none"/>
        </w:rPr>
        <w:t xml:space="preserve">   </w:t>
      </w:r>
      <w:r>
        <w:rPr>
          <w:rStyle w:val="489"/>
          <w:rFonts w:ascii="宋体" w:hAnsi="宋体" w:cs="宋体"/>
          <w:color w:val="auto"/>
          <w:sz w:val="21"/>
          <w:szCs w:val="21"/>
          <w:highlight w:val="none"/>
        </w:rPr>
        <w:t xml:space="preserve"> </w:t>
      </w:r>
      <w:r>
        <w:rPr>
          <w:rStyle w:val="489"/>
          <w:rFonts w:hint="eastAsia" w:ascii="宋体" w:hAnsi="宋体" w:cs="宋体"/>
          <w:color w:val="auto"/>
          <w:sz w:val="21"/>
          <w:szCs w:val="21"/>
          <w:highlight w:val="none"/>
          <w:u w:val="single"/>
        </w:rPr>
        <w:t>（招标人名称）</w:t>
      </w:r>
      <w:r>
        <w:rPr>
          <w:rStyle w:val="489"/>
          <w:rFonts w:hint="eastAsia" w:ascii="宋体" w:hAnsi="宋体" w:cs="宋体"/>
          <w:color w:val="auto"/>
          <w:sz w:val="21"/>
          <w:szCs w:val="21"/>
          <w:highlight w:val="none"/>
        </w:rPr>
        <w:t>：</w:t>
      </w:r>
    </w:p>
    <w:p w14:paraId="0F9897DC">
      <w:pPr>
        <w:pStyle w:val="487"/>
        <w:widowControl/>
        <w:spacing w:after="200" w:line="276" w:lineRule="auto"/>
        <w:ind w:firstLine="424" w:firstLineChars="202"/>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我方参与了</w:t>
      </w:r>
      <w:r>
        <w:rPr>
          <w:rStyle w:val="489"/>
          <w:rFonts w:ascii="宋体" w:hAnsi="宋体" w:cs="宋体"/>
          <w:color w:val="auto"/>
          <w:kern w:val="2"/>
          <w:sz w:val="21"/>
          <w:szCs w:val="21"/>
          <w:highlight w:val="none"/>
          <w:u w:val="single"/>
        </w:rPr>
        <w:t xml:space="preserve">               </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hint="eastAsia" w:ascii="宋体" w:hAnsi="宋体" w:cs="宋体"/>
          <w:color w:val="auto"/>
          <w:kern w:val="2"/>
          <w:sz w:val="21"/>
          <w:szCs w:val="21"/>
          <w:highlight w:val="none"/>
        </w:rPr>
        <w:t>招标的投标活动，若我方有幸中标，我方郑重承诺：</w:t>
      </w:r>
    </w:p>
    <w:p w14:paraId="3BCA310B">
      <w:pPr>
        <w:pStyle w:val="487"/>
        <w:widowControl/>
        <w:spacing w:after="200" w:line="276" w:lineRule="auto"/>
        <w:ind w:firstLine="424" w:firstLineChars="202"/>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在项目实施过程中严格按照国家、省、州、市相关法律法规要求，严格履行招标文件、投标文件及施工合同中约定的各项义务。保证不转包、不违法分包，并随时接受业主及相关行政单位的监督和检查。若出现转包或违法分包行为，我单位愿意接受处罚并赔偿业主相关损失。</w:t>
      </w:r>
    </w:p>
    <w:p w14:paraId="4F4F6AF8">
      <w:pPr>
        <w:pStyle w:val="487"/>
        <w:widowControl/>
        <w:spacing w:after="200" w:line="276" w:lineRule="auto"/>
        <w:ind w:firstLine="424" w:firstLineChars="202"/>
        <w:rPr>
          <w:rStyle w:val="489"/>
          <w:color w:val="auto"/>
          <w:kern w:val="2"/>
          <w:sz w:val="21"/>
          <w:szCs w:val="21"/>
          <w:highlight w:val="none"/>
        </w:rPr>
      </w:pPr>
      <w:r>
        <w:rPr>
          <w:rStyle w:val="489"/>
          <w:color w:val="auto"/>
          <w:kern w:val="2"/>
          <w:sz w:val="21"/>
          <w:szCs w:val="21"/>
          <w:highlight w:val="none"/>
        </w:rPr>
        <w:t xml:space="preserve"> </w:t>
      </w:r>
    </w:p>
    <w:p w14:paraId="1080B5F1">
      <w:pPr>
        <w:pStyle w:val="487"/>
        <w:widowControl/>
        <w:spacing w:after="200" w:line="276" w:lineRule="auto"/>
        <w:ind w:firstLine="424" w:firstLineChars="202"/>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特此承诺</w:t>
      </w:r>
    </w:p>
    <w:p w14:paraId="71E2AD30">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25441B74">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6A8165EA">
      <w:pPr>
        <w:spacing w:line="360" w:lineRule="auto"/>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3025124">
      <w:pPr>
        <w:widowControl/>
        <w:spacing w:after="0" w:line="360" w:lineRule="auto"/>
        <w:jc w:val="left"/>
        <w:rPr>
          <w:rFonts w:ascii="宋体" w:hAnsi="宋体"/>
          <w:color w:val="auto"/>
          <w:sz w:val="30"/>
          <w:szCs w:val="30"/>
          <w:highlight w:val="none"/>
        </w:rPr>
        <w:sectPr>
          <w:pgSz w:w="11906" w:h="16838"/>
          <w:pgMar w:top="1418" w:right="1418" w:bottom="1418" w:left="1701" w:header="851" w:footer="992" w:gutter="0"/>
          <w:pgNumType w:fmt="decimal"/>
          <w:cols w:space="720" w:num="1"/>
          <w:docGrid w:linePitch="312" w:charSpace="0"/>
        </w:sectPr>
      </w:pPr>
    </w:p>
    <w:p w14:paraId="7E28ECF3">
      <w:pPr>
        <w:pStyle w:val="487"/>
        <w:widowControl/>
        <w:spacing w:after="200" w:line="276" w:lineRule="auto"/>
        <w:jc w:val="center"/>
        <w:rPr>
          <w:rStyle w:val="489"/>
          <w:rFonts w:cs="Times New Roman"/>
          <w:b/>
          <w:bCs/>
          <w:color w:val="auto"/>
          <w:kern w:val="2"/>
          <w:sz w:val="28"/>
          <w:szCs w:val="28"/>
          <w:highlight w:val="none"/>
        </w:rPr>
      </w:pPr>
      <w:r>
        <w:rPr>
          <w:rStyle w:val="489"/>
          <w:rFonts w:hint="eastAsia" w:ascii="宋体" w:hAnsi="宋体" w:cs="宋体"/>
          <w:b/>
          <w:bCs/>
          <w:color w:val="auto"/>
          <w:kern w:val="2"/>
          <w:sz w:val="28"/>
          <w:szCs w:val="28"/>
          <w:highlight w:val="none"/>
        </w:rPr>
        <w:t>按时支付</w:t>
      </w:r>
      <w:r>
        <w:rPr>
          <w:rStyle w:val="489"/>
          <w:rFonts w:hint="eastAsia" w:ascii="宋体" w:hAnsi="宋体" w:cs="宋体"/>
          <w:b/>
          <w:bCs/>
          <w:color w:val="auto"/>
          <w:kern w:val="2"/>
          <w:sz w:val="28"/>
          <w:szCs w:val="28"/>
          <w:highlight w:val="none"/>
          <w:lang w:val="en-US" w:eastAsia="zh-CN"/>
        </w:rPr>
        <w:t>农民</w:t>
      </w:r>
      <w:r>
        <w:rPr>
          <w:rStyle w:val="489"/>
          <w:rFonts w:hint="eastAsia" w:ascii="宋体" w:hAnsi="宋体" w:cs="宋体"/>
          <w:b/>
          <w:bCs/>
          <w:color w:val="auto"/>
          <w:kern w:val="2"/>
          <w:sz w:val="28"/>
          <w:szCs w:val="28"/>
          <w:highlight w:val="none"/>
        </w:rPr>
        <w:t>工工资承诺书</w:t>
      </w:r>
    </w:p>
    <w:p w14:paraId="1AAC3FF6">
      <w:pPr>
        <w:pStyle w:val="490"/>
        <w:adjustRightInd w:val="0"/>
        <w:snapToGrid w:val="0"/>
        <w:spacing w:after="200" w:line="360" w:lineRule="auto"/>
        <w:rPr>
          <w:rStyle w:val="489"/>
          <w:rFonts w:ascii="宋体" w:cs="Times New Roman"/>
          <w:color w:val="auto"/>
          <w:kern w:val="2"/>
          <w:sz w:val="21"/>
          <w:szCs w:val="21"/>
          <w:highlight w:val="none"/>
        </w:rPr>
      </w:pPr>
      <w:r>
        <w:rPr>
          <w:rStyle w:val="489"/>
          <w:rFonts w:ascii="宋体" w:hAnsi="宋体" w:cs="宋体"/>
          <w:color w:val="auto"/>
          <w:kern w:val="2"/>
          <w:sz w:val="28"/>
          <w:szCs w:val="28"/>
          <w:highlight w:val="none"/>
        </w:rPr>
        <w:t xml:space="preserve"> </w:t>
      </w:r>
      <w:r>
        <w:rPr>
          <w:rStyle w:val="489"/>
          <w:rFonts w:hint="eastAsia" w:ascii="宋体" w:hAnsi="宋体" w:cs="宋体"/>
          <w:color w:val="auto"/>
          <w:kern w:val="2"/>
          <w:sz w:val="21"/>
          <w:szCs w:val="21"/>
          <w:highlight w:val="none"/>
          <w:u w:val="single"/>
        </w:rPr>
        <w:t>（招标人名称）</w:t>
      </w:r>
      <w:r>
        <w:rPr>
          <w:rStyle w:val="489"/>
          <w:rFonts w:hint="eastAsia" w:ascii="宋体" w:hAnsi="宋体" w:cs="宋体"/>
          <w:color w:val="auto"/>
          <w:kern w:val="2"/>
          <w:sz w:val="21"/>
          <w:szCs w:val="21"/>
          <w:highlight w:val="none"/>
        </w:rPr>
        <w:t>：</w:t>
      </w:r>
    </w:p>
    <w:p w14:paraId="0F0C8FE8">
      <w:pPr>
        <w:pStyle w:val="487"/>
        <w:widowControl/>
        <w:snapToGrid w:val="0"/>
        <w:spacing w:after="200" w:line="360" w:lineRule="auto"/>
        <w:ind w:firstLine="424" w:firstLineChars="202"/>
        <w:rPr>
          <w:rStyle w:val="489"/>
          <w:rFonts w:ascii="宋体" w:cs="Times New Roman"/>
          <w:color w:val="auto"/>
          <w:sz w:val="21"/>
          <w:szCs w:val="21"/>
          <w:highlight w:val="none"/>
        </w:rPr>
      </w:pPr>
      <w:r>
        <w:rPr>
          <w:rStyle w:val="489"/>
          <w:rFonts w:hint="eastAsia" w:ascii="宋体" w:hAnsi="宋体" w:cs="宋体"/>
          <w:color w:val="auto"/>
          <w:kern w:val="2"/>
          <w:sz w:val="21"/>
          <w:szCs w:val="21"/>
          <w:highlight w:val="none"/>
        </w:rPr>
        <w:t>我方参加贵方组织的</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ascii="宋体" w:hAnsi="宋体" w:cs="宋体"/>
          <w:color w:val="auto"/>
          <w:kern w:val="2"/>
          <w:sz w:val="21"/>
          <w:szCs w:val="21"/>
          <w:highlight w:val="none"/>
          <w:u w:val="single"/>
        </w:rPr>
        <w:t xml:space="preserve">  </w:t>
      </w:r>
      <w:r>
        <w:rPr>
          <w:rStyle w:val="489"/>
          <w:rFonts w:hint="eastAsia" w:ascii="宋体" w:hAnsi="宋体" w:cs="宋体"/>
          <w:color w:val="auto"/>
          <w:kern w:val="2"/>
          <w:sz w:val="21"/>
          <w:szCs w:val="21"/>
          <w:highlight w:val="none"/>
        </w:rPr>
        <w:t>招标</w:t>
      </w:r>
      <w:r>
        <w:rPr>
          <w:rFonts w:hint="eastAsia" w:cs="宋体"/>
          <w:color w:val="auto"/>
          <w:sz w:val="21"/>
          <w:szCs w:val="21"/>
          <w:highlight w:val="none"/>
        </w:rPr>
        <w:t>的投标活动</w:t>
      </w:r>
      <w:r>
        <w:rPr>
          <w:rStyle w:val="489"/>
          <w:rFonts w:hint="eastAsia" w:ascii="宋体" w:hAnsi="宋体" w:cs="宋体"/>
          <w:color w:val="auto"/>
          <w:kern w:val="2"/>
          <w:sz w:val="21"/>
          <w:szCs w:val="21"/>
          <w:highlight w:val="none"/>
        </w:rPr>
        <w:t>，若我方有幸中标，我方将严格</w:t>
      </w:r>
      <w:r>
        <w:rPr>
          <w:rStyle w:val="489"/>
          <w:rFonts w:hint="eastAsia" w:ascii="宋体" w:hAnsi="宋体" w:cs="宋体"/>
          <w:color w:val="auto"/>
          <w:sz w:val="21"/>
          <w:szCs w:val="21"/>
          <w:highlight w:val="none"/>
        </w:rPr>
        <w:t>执行《云南省工程建设项目农民工工资支付日常监督管理办法》（省</w:t>
      </w:r>
      <w:r>
        <w:rPr>
          <w:rStyle w:val="489"/>
          <w:rFonts w:ascii="宋体" w:hAnsi="宋体" w:cs="宋体"/>
          <w:color w:val="auto"/>
          <w:sz w:val="21"/>
          <w:szCs w:val="21"/>
          <w:highlight w:val="none"/>
        </w:rPr>
        <w:t>10</w:t>
      </w:r>
      <w:r>
        <w:rPr>
          <w:rStyle w:val="489"/>
          <w:rFonts w:hint="eastAsia" w:ascii="宋体" w:hAnsi="宋体" w:cs="宋体"/>
          <w:color w:val="auto"/>
          <w:sz w:val="21"/>
          <w:szCs w:val="21"/>
          <w:highlight w:val="none"/>
        </w:rPr>
        <w:t>部门公告第</w:t>
      </w:r>
      <w:r>
        <w:rPr>
          <w:rStyle w:val="489"/>
          <w:rFonts w:ascii="宋体" w:hAnsi="宋体" w:cs="宋体"/>
          <w:color w:val="auto"/>
          <w:sz w:val="21"/>
          <w:szCs w:val="21"/>
          <w:highlight w:val="none"/>
        </w:rPr>
        <w:t>8</w:t>
      </w:r>
      <w:r>
        <w:rPr>
          <w:rStyle w:val="489"/>
          <w:rFonts w:hint="eastAsia" w:ascii="宋体" w:hAnsi="宋体" w:cs="宋体"/>
          <w:color w:val="auto"/>
          <w:sz w:val="21"/>
          <w:szCs w:val="21"/>
          <w:highlight w:val="none"/>
        </w:rPr>
        <w:t>号）、《云南省工程建设项目农民工工资（劳务费）专用账户管理暂行办法》（省</w:t>
      </w:r>
      <w:r>
        <w:rPr>
          <w:rStyle w:val="489"/>
          <w:rFonts w:ascii="宋体" w:hAnsi="宋体" w:cs="宋体"/>
          <w:color w:val="auto"/>
          <w:sz w:val="21"/>
          <w:szCs w:val="21"/>
          <w:highlight w:val="none"/>
        </w:rPr>
        <w:t>10</w:t>
      </w:r>
      <w:r>
        <w:rPr>
          <w:rStyle w:val="489"/>
          <w:rFonts w:hint="eastAsia" w:ascii="宋体" w:hAnsi="宋体" w:cs="宋体"/>
          <w:color w:val="auto"/>
          <w:sz w:val="21"/>
          <w:szCs w:val="21"/>
          <w:highlight w:val="none"/>
        </w:rPr>
        <w:t>部门公告第</w:t>
      </w:r>
      <w:r>
        <w:rPr>
          <w:rStyle w:val="489"/>
          <w:rFonts w:ascii="宋体" w:hAnsi="宋体" w:cs="宋体"/>
          <w:color w:val="auto"/>
          <w:sz w:val="21"/>
          <w:szCs w:val="21"/>
          <w:highlight w:val="none"/>
        </w:rPr>
        <w:t>9</w:t>
      </w:r>
      <w:r>
        <w:rPr>
          <w:rStyle w:val="489"/>
          <w:rFonts w:hint="eastAsia" w:ascii="宋体" w:hAnsi="宋体" w:cs="宋体"/>
          <w:color w:val="auto"/>
          <w:sz w:val="21"/>
          <w:szCs w:val="21"/>
          <w:highlight w:val="none"/>
        </w:rPr>
        <w:t>号）的有关规定，严格进行本项目劳务用工的管理，并承诺：①按规定交存农民工工资保证金；②实行人工费用与其他工程款分账管理，在银行开设农民工工资（劳务费）专用账户，并按月按时足额通过银行支付农民工工资；③实行农民工实名管理，在施工现场设立维权信息告示牌和进行用工管理信息公示。</w:t>
      </w:r>
    </w:p>
    <w:p w14:paraId="2D15A92C">
      <w:pPr>
        <w:pStyle w:val="487"/>
        <w:widowControl/>
        <w:snapToGrid w:val="0"/>
        <w:spacing w:after="200" w:line="360" w:lineRule="auto"/>
        <w:ind w:firstLine="424" w:firstLineChars="202"/>
        <w:rPr>
          <w:rStyle w:val="489"/>
          <w:rFonts w:ascii="宋体" w:cs="Times New Roman"/>
          <w:color w:val="auto"/>
          <w:sz w:val="21"/>
          <w:szCs w:val="21"/>
          <w:highlight w:val="none"/>
        </w:rPr>
      </w:pPr>
      <w:r>
        <w:rPr>
          <w:rStyle w:val="489"/>
          <w:rFonts w:ascii="宋体" w:hAnsi="宋体" w:cs="宋体"/>
          <w:color w:val="auto"/>
          <w:sz w:val="21"/>
          <w:szCs w:val="21"/>
          <w:highlight w:val="none"/>
        </w:rPr>
        <w:t xml:space="preserve"> </w:t>
      </w:r>
    </w:p>
    <w:p w14:paraId="644971BC">
      <w:pPr>
        <w:pStyle w:val="491"/>
        <w:adjustRightInd w:val="0"/>
        <w:snapToGrid w:val="0"/>
        <w:spacing w:after="200" w:line="360" w:lineRule="auto"/>
        <w:ind w:firstLine="420" w:firstLineChars="200"/>
        <w:rPr>
          <w:rStyle w:val="489"/>
          <w:rFonts w:ascii="宋体" w:hAnsi="Times New Roman" w:cs="Times New Roman"/>
          <w:color w:val="auto"/>
          <w:sz w:val="21"/>
          <w:szCs w:val="21"/>
          <w:highlight w:val="none"/>
        </w:rPr>
      </w:pPr>
      <w:r>
        <w:rPr>
          <w:rStyle w:val="489"/>
          <w:rFonts w:hint="eastAsia" w:ascii="宋体" w:hAnsi="宋体" w:cs="宋体"/>
          <w:color w:val="auto"/>
          <w:sz w:val="21"/>
          <w:szCs w:val="21"/>
          <w:highlight w:val="none"/>
        </w:rPr>
        <w:t>特此承诺</w:t>
      </w:r>
      <w:r>
        <w:rPr>
          <w:rStyle w:val="489"/>
          <w:rFonts w:ascii="宋体" w:hAnsi="Times New Roman" w:cs="Times New Roman"/>
          <w:color w:val="auto"/>
          <w:sz w:val="21"/>
          <w:szCs w:val="21"/>
          <w:highlight w:val="none"/>
        </w:rPr>
        <w:tab/>
      </w:r>
    </w:p>
    <w:p w14:paraId="06CF6586">
      <w:pPr>
        <w:pStyle w:val="491"/>
        <w:adjustRightInd w:val="0"/>
        <w:snapToGrid w:val="0"/>
        <w:spacing w:after="200" w:line="360" w:lineRule="auto"/>
        <w:ind w:firstLine="3150" w:firstLineChars="1500"/>
        <w:rPr>
          <w:rStyle w:val="489"/>
          <w:rFonts w:ascii="宋体" w:hAnsi="Times New Roman" w:cs="Times New Roman"/>
          <w:color w:val="auto"/>
          <w:sz w:val="21"/>
          <w:szCs w:val="21"/>
          <w:highlight w:val="none"/>
        </w:rPr>
      </w:pPr>
      <w:r>
        <w:rPr>
          <w:rStyle w:val="489"/>
          <w:rFonts w:ascii="宋体" w:hAnsi="宋体" w:cs="宋体"/>
          <w:color w:val="auto"/>
          <w:sz w:val="21"/>
          <w:szCs w:val="21"/>
          <w:highlight w:val="none"/>
        </w:rPr>
        <w:t xml:space="preserve"> </w:t>
      </w:r>
    </w:p>
    <w:p w14:paraId="1F0335D5">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5E72465B">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22D13906">
      <w:pPr>
        <w:spacing w:line="360" w:lineRule="auto"/>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7236219">
      <w:pPr>
        <w:widowControl/>
        <w:spacing w:after="0" w:line="360" w:lineRule="auto"/>
        <w:jc w:val="left"/>
        <w:rPr>
          <w:rFonts w:ascii="宋体" w:hAnsi="宋体"/>
          <w:color w:val="auto"/>
          <w:sz w:val="30"/>
          <w:szCs w:val="30"/>
          <w:highlight w:val="none"/>
        </w:rPr>
        <w:sectPr>
          <w:pgSz w:w="11906" w:h="16838"/>
          <w:pgMar w:top="1418" w:right="1418" w:bottom="1418" w:left="1701" w:header="851" w:footer="992" w:gutter="0"/>
          <w:pgNumType w:fmt="decimal"/>
          <w:cols w:space="720" w:num="1"/>
          <w:docGrid w:linePitch="312" w:charSpace="0"/>
        </w:sectPr>
      </w:pPr>
    </w:p>
    <w:p w14:paraId="3D95A8C7">
      <w:pPr>
        <w:pStyle w:val="492"/>
        <w:widowControl/>
        <w:spacing w:after="200" w:line="276" w:lineRule="auto"/>
        <w:jc w:val="center"/>
        <w:rPr>
          <w:rStyle w:val="489"/>
          <w:b/>
          <w:bCs/>
          <w:color w:val="auto"/>
          <w:kern w:val="2"/>
          <w:sz w:val="28"/>
          <w:szCs w:val="28"/>
          <w:highlight w:val="none"/>
        </w:rPr>
      </w:pPr>
      <w:r>
        <w:rPr>
          <w:rStyle w:val="489"/>
          <w:rFonts w:hint="eastAsia" w:ascii="宋体" w:hAnsi="宋体" w:cs="宋体"/>
          <w:b/>
          <w:bCs/>
          <w:color w:val="auto"/>
          <w:kern w:val="2"/>
          <w:sz w:val="28"/>
          <w:szCs w:val="28"/>
          <w:highlight w:val="none"/>
        </w:rPr>
        <w:t>不拖延工期承诺书</w:t>
      </w:r>
    </w:p>
    <w:p w14:paraId="062CAD01">
      <w:pPr>
        <w:pStyle w:val="490"/>
        <w:adjustRightInd w:val="0"/>
        <w:snapToGrid w:val="0"/>
        <w:spacing w:after="200" w:line="360" w:lineRule="auto"/>
        <w:jc w:val="both"/>
        <w:rPr>
          <w:rStyle w:val="489"/>
          <w:rFonts w:ascii="宋体" w:cs="Times New Roman"/>
          <w:color w:val="auto"/>
          <w:kern w:val="2"/>
          <w:sz w:val="21"/>
          <w:szCs w:val="21"/>
          <w:highlight w:val="none"/>
        </w:rPr>
      </w:pPr>
      <w:r>
        <w:rPr>
          <w:rStyle w:val="489"/>
          <w:rFonts w:ascii="宋体" w:hAnsi="宋体" w:cs="宋体"/>
          <w:color w:val="auto"/>
          <w:kern w:val="2"/>
          <w:sz w:val="28"/>
          <w:szCs w:val="28"/>
          <w:highlight w:val="none"/>
        </w:rPr>
        <w:t xml:space="preserve"> </w:t>
      </w:r>
      <w:r>
        <w:rPr>
          <w:rStyle w:val="489"/>
          <w:rFonts w:hint="eastAsia" w:ascii="宋体" w:hAnsi="宋体" w:cs="宋体"/>
          <w:color w:val="auto"/>
          <w:kern w:val="2"/>
          <w:sz w:val="21"/>
          <w:szCs w:val="21"/>
          <w:highlight w:val="none"/>
          <w:u w:val="single"/>
        </w:rPr>
        <w:t>（招标人名称）</w:t>
      </w:r>
      <w:r>
        <w:rPr>
          <w:rStyle w:val="489"/>
          <w:rFonts w:hint="eastAsia" w:ascii="宋体" w:hAnsi="宋体" w:cs="宋体"/>
          <w:color w:val="auto"/>
          <w:kern w:val="2"/>
          <w:sz w:val="21"/>
          <w:szCs w:val="21"/>
          <w:highlight w:val="none"/>
        </w:rPr>
        <w:t>：</w:t>
      </w:r>
    </w:p>
    <w:p w14:paraId="5A1F34A4">
      <w:pPr>
        <w:pStyle w:val="492"/>
        <w:widowControl/>
        <w:adjustRightInd w:val="0"/>
        <w:snapToGrid w:val="0"/>
        <w:spacing w:after="200" w:line="360" w:lineRule="auto"/>
        <w:ind w:firstLine="420" w:firstLineChars="200"/>
        <w:jc w:val="both"/>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我方参加贵方组织的</w:t>
      </w:r>
      <w:r>
        <w:rPr>
          <w:rStyle w:val="489"/>
          <w:color w:val="auto"/>
          <w:kern w:val="2"/>
          <w:sz w:val="21"/>
          <w:szCs w:val="21"/>
          <w:highlight w:val="none"/>
        </w:rPr>
        <w:t xml:space="preserve"> </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ascii="宋体" w:hAnsi="宋体" w:cs="宋体"/>
          <w:color w:val="auto"/>
          <w:kern w:val="2"/>
          <w:sz w:val="21"/>
          <w:szCs w:val="21"/>
          <w:highlight w:val="none"/>
          <w:u w:val="single"/>
        </w:rPr>
        <w:t xml:space="preserve">  </w:t>
      </w:r>
      <w:r>
        <w:rPr>
          <w:rStyle w:val="489"/>
          <w:rFonts w:hint="eastAsia" w:ascii="宋体" w:hAnsi="宋体" w:cs="宋体"/>
          <w:color w:val="auto"/>
          <w:kern w:val="2"/>
          <w:sz w:val="21"/>
          <w:szCs w:val="21"/>
          <w:highlight w:val="none"/>
        </w:rPr>
        <w:t>招标</w:t>
      </w:r>
      <w:r>
        <w:rPr>
          <w:rFonts w:hint="eastAsia" w:cs="宋体"/>
          <w:color w:val="auto"/>
          <w:sz w:val="21"/>
          <w:szCs w:val="21"/>
          <w:highlight w:val="none"/>
        </w:rPr>
        <w:t>的投标活动</w:t>
      </w:r>
      <w:r>
        <w:rPr>
          <w:rStyle w:val="489"/>
          <w:rFonts w:hint="eastAsia" w:ascii="宋体" w:hAnsi="宋体" w:cs="宋体"/>
          <w:color w:val="auto"/>
          <w:kern w:val="2"/>
          <w:sz w:val="21"/>
          <w:szCs w:val="21"/>
          <w:highlight w:val="none"/>
        </w:rPr>
        <w:t>，若我方中标，我方将严格按照约定工期完成设计、施工的全部工作内容，并承诺不因我方原因拖延工期并在规定工期内完工。因我方原因造成工期延误的，可以按中标后签订的合同条款中约定逾期竣工违约金的计算方法支付逾期竣工违约金，我方支付逾期竣工违约金后，不免除我方继续完成工程及修补缺陷的义务。</w:t>
      </w:r>
    </w:p>
    <w:p w14:paraId="3B920C51">
      <w:pPr>
        <w:pStyle w:val="492"/>
        <w:widowControl/>
        <w:spacing w:after="200" w:line="276" w:lineRule="auto"/>
        <w:jc w:val="both"/>
        <w:rPr>
          <w:rStyle w:val="489"/>
          <w:b/>
          <w:bCs/>
          <w:color w:val="auto"/>
          <w:kern w:val="2"/>
          <w:sz w:val="21"/>
          <w:szCs w:val="21"/>
          <w:highlight w:val="none"/>
        </w:rPr>
      </w:pPr>
      <w:r>
        <w:rPr>
          <w:rStyle w:val="489"/>
          <w:b/>
          <w:bCs/>
          <w:color w:val="auto"/>
          <w:kern w:val="2"/>
          <w:sz w:val="21"/>
          <w:szCs w:val="21"/>
          <w:highlight w:val="none"/>
        </w:rPr>
        <w:t xml:space="preserve">  </w:t>
      </w:r>
    </w:p>
    <w:p w14:paraId="398A6F3C">
      <w:pPr>
        <w:pStyle w:val="491"/>
        <w:adjustRightInd w:val="0"/>
        <w:snapToGrid w:val="0"/>
        <w:spacing w:after="200" w:line="360" w:lineRule="auto"/>
        <w:ind w:firstLine="420" w:firstLineChars="200"/>
        <w:rPr>
          <w:rStyle w:val="489"/>
          <w:rFonts w:ascii="宋体" w:hAnsi="Times New Roman" w:cs="Times New Roman"/>
          <w:color w:val="auto"/>
          <w:sz w:val="21"/>
          <w:szCs w:val="21"/>
          <w:highlight w:val="none"/>
        </w:rPr>
      </w:pPr>
      <w:r>
        <w:rPr>
          <w:rStyle w:val="489"/>
          <w:rFonts w:hint="eastAsia" w:ascii="宋体" w:hAnsi="宋体" w:cs="宋体"/>
          <w:color w:val="auto"/>
          <w:sz w:val="21"/>
          <w:szCs w:val="21"/>
          <w:highlight w:val="none"/>
        </w:rPr>
        <w:t>特此承诺</w:t>
      </w:r>
    </w:p>
    <w:p w14:paraId="4578DD42">
      <w:pPr>
        <w:pStyle w:val="491"/>
        <w:adjustRightInd w:val="0"/>
        <w:snapToGrid w:val="0"/>
        <w:spacing w:after="200" w:line="360" w:lineRule="auto"/>
        <w:ind w:firstLine="3150" w:firstLineChars="1500"/>
        <w:rPr>
          <w:rStyle w:val="489"/>
          <w:rFonts w:ascii="宋体" w:hAnsi="Times New Roman" w:cs="Times New Roman"/>
          <w:color w:val="auto"/>
          <w:sz w:val="21"/>
          <w:szCs w:val="21"/>
          <w:highlight w:val="none"/>
        </w:rPr>
      </w:pPr>
      <w:r>
        <w:rPr>
          <w:rStyle w:val="489"/>
          <w:rFonts w:ascii="宋体" w:hAnsi="宋体" w:cs="宋体"/>
          <w:color w:val="auto"/>
          <w:sz w:val="21"/>
          <w:szCs w:val="21"/>
          <w:highlight w:val="none"/>
        </w:rPr>
        <w:t xml:space="preserve"> </w:t>
      </w:r>
    </w:p>
    <w:p w14:paraId="0E29BC40">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5F10C092">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68392582">
      <w:pPr>
        <w:spacing w:line="360" w:lineRule="auto"/>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DA6E6A7">
      <w:pPr>
        <w:widowControl/>
        <w:spacing w:after="0" w:line="360" w:lineRule="auto"/>
        <w:jc w:val="left"/>
        <w:rPr>
          <w:rFonts w:ascii="宋体" w:hAnsi="宋体"/>
          <w:color w:val="auto"/>
          <w:sz w:val="30"/>
          <w:szCs w:val="30"/>
          <w:highlight w:val="none"/>
        </w:rPr>
        <w:sectPr>
          <w:headerReference r:id="rId11" w:type="default"/>
          <w:footerReference r:id="rId12" w:type="default"/>
          <w:pgSz w:w="11906" w:h="16838"/>
          <w:pgMar w:top="1418" w:right="1418" w:bottom="1418" w:left="1701" w:header="851" w:footer="992" w:gutter="0"/>
          <w:pgNumType w:fmt="decimal"/>
          <w:cols w:space="720" w:num="1"/>
          <w:docGrid w:linePitch="312" w:charSpace="0"/>
        </w:sectPr>
      </w:pPr>
    </w:p>
    <w:p w14:paraId="77BD150B">
      <w:pPr>
        <w:pStyle w:val="490"/>
        <w:adjustRightInd w:val="0"/>
        <w:snapToGrid w:val="0"/>
        <w:spacing w:after="200" w:line="360" w:lineRule="auto"/>
        <w:jc w:val="center"/>
        <w:rPr>
          <w:rStyle w:val="489"/>
          <w:rFonts w:hint="eastAsia" w:ascii="宋体" w:hAnsi="宋体" w:cs="宋体"/>
          <w:b/>
          <w:bCs/>
          <w:color w:val="auto"/>
          <w:kern w:val="2"/>
          <w:sz w:val="28"/>
          <w:szCs w:val="28"/>
          <w:highlight w:val="none"/>
          <w:lang w:eastAsia="zh-CN"/>
        </w:rPr>
      </w:pPr>
      <w:r>
        <w:rPr>
          <w:rStyle w:val="489"/>
          <w:rFonts w:hint="eastAsia" w:ascii="宋体" w:hAnsi="宋体" w:cs="宋体"/>
          <w:b/>
          <w:bCs/>
          <w:color w:val="auto"/>
          <w:kern w:val="2"/>
          <w:sz w:val="28"/>
          <w:szCs w:val="28"/>
          <w:highlight w:val="none"/>
          <w:lang w:eastAsia="zh-CN"/>
        </w:rPr>
        <w:t>项目经理无在建承诺</w:t>
      </w:r>
    </w:p>
    <w:p w14:paraId="3000D7B7">
      <w:pPr>
        <w:pStyle w:val="490"/>
        <w:adjustRightInd w:val="0"/>
        <w:snapToGrid w:val="0"/>
        <w:spacing w:after="200" w:line="360" w:lineRule="auto"/>
        <w:jc w:val="both"/>
        <w:rPr>
          <w:rStyle w:val="489"/>
          <w:rFonts w:ascii="宋体" w:cs="Times New Roman"/>
          <w:color w:val="auto"/>
          <w:kern w:val="2"/>
          <w:sz w:val="21"/>
          <w:szCs w:val="21"/>
          <w:highlight w:val="none"/>
        </w:rPr>
      </w:pPr>
      <w:r>
        <w:rPr>
          <w:rStyle w:val="489"/>
          <w:rFonts w:hint="eastAsia" w:ascii="宋体" w:hAnsi="宋体" w:cs="宋体"/>
          <w:color w:val="auto"/>
          <w:kern w:val="2"/>
          <w:sz w:val="21"/>
          <w:szCs w:val="21"/>
          <w:highlight w:val="none"/>
          <w:u w:val="single"/>
        </w:rPr>
        <w:t>（招标人名称）</w:t>
      </w:r>
      <w:r>
        <w:rPr>
          <w:rStyle w:val="489"/>
          <w:rFonts w:ascii="宋体" w:hAnsi="宋体" w:cs="宋体"/>
          <w:color w:val="auto"/>
          <w:kern w:val="2"/>
          <w:sz w:val="21"/>
          <w:szCs w:val="21"/>
          <w:highlight w:val="none"/>
          <w:u w:val="single"/>
        </w:rPr>
        <w:t xml:space="preserve">  </w:t>
      </w:r>
      <w:r>
        <w:rPr>
          <w:rStyle w:val="489"/>
          <w:rFonts w:hint="eastAsia" w:ascii="宋体" w:hAnsi="宋体" w:cs="宋体"/>
          <w:color w:val="auto"/>
          <w:kern w:val="2"/>
          <w:sz w:val="21"/>
          <w:szCs w:val="21"/>
          <w:highlight w:val="none"/>
        </w:rPr>
        <w:t>：</w:t>
      </w:r>
    </w:p>
    <w:p w14:paraId="1F52C53A">
      <w:pPr>
        <w:spacing w:line="440" w:lineRule="exact"/>
        <w:ind w:firstLine="420" w:firstLineChars="200"/>
        <w:jc w:val="left"/>
        <w:rPr>
          <w:rFonts w:ascii="宋体" w:cs="Times New Roman"/>
          <w:color w:val="auto"/>
          <w:highlight w:val="none"/>
        </w:rPr>
      </w:pPr>
      <w:r>
        <w:rPr>
          <w:rStyle w:val="489"/>
          <w:rFonts w:hint="eastAsia" w:ascii="宋体" w:hAnsi="宋体" w:cs="宋体"/>
          <w:color w:val="auto"/>
          <w:highlight w:val="none"/>
        </w:rPr>
        <w:t>我方在此声明，我方拟派往</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ascii="宋体" w:hAnsi="宋体" w:cs="宋体"/>
          <w:color w:val="auto"/>
          <w:highlight w:val="none"/>
          <w:u w:val="single"/>
        </w:rPr>
        <w:t xml:space="preserve">  </w:t>
      </w:r>
      <w:r>
        <w:rPr>
          <w:rFonts w:hint="eastAsia" w:ascii="宋体" w:hAnsi="宋体" w:cs="宋体"/>
          <w:color w:val="auto"/>
          <w:highlight w:val="none"/>
        </w:rPr>
        <w:t>（以下简称“本工程”）的项目负责人</w:t>
      </w:r>
      <w:r>
        <w:rPr>
          <w:rFonts w:ascii="宋体" w:hAnsi="宋体" w:cs="宋体"/>
          <w:color w:val="auto"/>
          <w:highlight w:val="none"/>
          <w:u w:val="single"/>
        </w:rPr>
        <w:t xml:space="preserve">  </w:t>
      </w:r>
      <w:r>
        <w:rPr>
          <w:rFonts w:hint="eastAsia" w:ascii="宋体" w:hAnsi="宋体" w:cs="宋体"/>
          <w:color w:val="auto"/>
          <w:highlight w:val="none"/>
          <w:u w:val="single"/>
        </w:rPr>
        <w:t>施工负责人（项目经理）姓名</w:t>
      </w:r>
      <w:r>
        <w:rPr>
          <w:rFonts w:ascii="宋体" w:hAnsi="宋体" w:cs="宋体"/>
          <w:color w:val="auto"/>
          <w:highlight w:val="none"/>
          <w:u w:val="single"/>
        </w:rPr>
        <w:t xml:space="preserve">  </w:t>
      </w:r>
      <w:r>
        <w:rPr>
          <w:rFonts w:hint="eastAsia" w:ascii="宋体" w:hAnsi="宋体" w:cs="宋体"/>
          <w:color w:val="auto"/>
          <w:highlight w:val="none"/>
        </w:rPr>
        <w:t>现阶段没有担任任何在建建设工程项目的项目负责人。</w:t>
      </w:r>
    </w:p>
    <w:p w14:paraId="552FAC21">
      <w:pPr>
        <w:spacing w:line="440" w:lineRule="exact"/>
        <w:ind w:firstLine="420" w:firstLineChars="200"/>
        <w:jc w:val="left"/>
        <w:rPr>
          <w:rFonts w:ascii="宋体" w:cs="Times New Roman"/>
          <w:color w:val="auto"/>
          <w:highlight w:val="none"/>
        </w:rPr>
      </w:pPr>
      <w:r>
        <w:rPr>
          <w:rFonts w:hint="eastAsia" w:ascii="宋体" w:hAnsi="宋体" w:cs="宋体"/>
          <w:color w:val="auto"/>
          <w:highlight w:val="none"/>
        </w:rPr>
        <w:t>我方保证上述信息的真实和准确，并愿意承担因我方就此弄虚作假所引起的一切法律后果。</w:t>
      </w:r>
    </w:p>
    <w:p w14:paraId="172D790F">
      <w:pPr>
        <w:pStyle w:val="490"/>
        <w:adjustRightInd w:val="0"/>
        <w:snapToGrid w:val="0"/>
        <w:spacing w:after="200" w:line="360" w:lineRule="auto"/>
        <w:ind w:firstLine="420" w:firstLineChars="200"/>
        <w:jc w:val="both"/>
        <w:rPr>
          <w:rStyle w:val="489"/>
          <w:rFonts w:ascii="宋体" w:cs="Times New Roman"/>
          <w:color w:val="auto"/>
          <w:kern w:val="2"/>
          <w:sz w:val="21"/>
          <w:szCs w:val="21"/>
          <w:highlight w:val="none"/>
        </w:rPr>
      </w:pPr>
    </w:p>
    <w:p w14:paraId="5E2A6178">
      <w:pPr>
        <w:pStyle w:val="491"/>
        <w:adjustRightInd w:val="0"/>
        <w:snapToGrid w:val="0"/>
        <w:spacing w:after="200" w:line="360" w:lineRule="auto"/>
        <w:ind w:firstLine="420" w:firstLineChars="200"/>
        <w:rPr>
          <w:rFonts w:ascii="宋体" w:cs="Times New Roman"/>
          <w:color w:val="auto"/>
          <w:sz w:val="21"/>
          <w:szCs w:val="21"/>
          <w:highlight w:val="none"/>
        </w:rPr>
      </w:pPr>
      <w:r>
        <w:rPr>
          <w:rStyle w:val="489"/>
          <w:rFonts w:hint="eastAsia" w:ascii="宋体" w:hAnsi="宋体" w:cs="宋体"/>
          <w:color w:val="auto"/>
          <w:sz w:val="21"/>
          <w:szCs w:val="21"/>
          <w:highlight w:val="none"/>
        </w:rPr>
        <w:t>特此承诺</w:t>
      </w:r>
    </w:p>
    <w:p w14:paraId="61CC4FB6">
      <w:pPr>
        <w:spacing w:line="440" w:lineRule="exact"/>
        <w:rPr>
          <w:rFonts w:ascii="宋体" w:cs="Times New Roman"/>
          <w:color w:val="auto"/>
          <w:highlight w:val="none"/>
        </w:rPr>
      </w:pPr>
    </w:p>
    <w:p w14:paraId="3B9A1735">
      <w:pPr>
        <w:spacing w:line="440" w:lineRule="exact"/>
        <w:ind w:firstLine="420" w:firstLineChars="200"/>
        <w:rPr>
          <w:rFonts w:ascii="宋体" w:cs="Times New Roman"/>
          <w:color w:val="auto"/>
          <w:highlight w:val="none"/>
        </w:rPr>
      </w:pPr>
    </w:p>
    <w:p w14:paraId="6C49ADDD">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5F1623DC">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41C7A77C">
      <w:pPr>
        <w:spacing w:line="360" w:lineRule="auto"/>
        <w:jc w:val="left"/>
        <w:rPr>
          <w:rFonts w:ascii="宋体" w:hAnsi="宋体"/>
          <w:color w:val="auto"/>
          <w:sz w:val="30"/>
          <w:szCs w:val="30"/>
          <w:highlight w:val="none"/>
        </w:rPr>
        <w:sectPr>
          <w:pgSz w:w="11906" w:h="16838"/>
          <w:pgMar w:top="1418" w:right="1418" w:bottom="1418" w:left="1701" w:header="851" w:footer="992" w:gutter="0"/>
          <w:pgNumType w:fmt="decimal"/>
          <w:cols w:space="720" w:num="1"/>
          <w:docGrid w:linePitch="312" w:charSpace="0"/>
        </w:sect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62074CE">
      <w:pPr>
        <w:widowControl/>
        <w:spacing w:after="0" w:line="360" w:lineRule="auto"/>
        <w:jc w:val="center"/>
        <w:rPr>
          <w:rStyle w:val="489"/>
          <w:rFonts w:hint="default" w:ascii="宋体" w:hAnsi="宋体" w:cs="宋体"/>
          <w:b/>
          <w:bCs/>
          <w:color w:val="auto"/>
          <w:kern w:val="2"/>
          <w:sz w:val="28"/>
          <w:szCs w:val="28"/>
          <w:highlight w:val="none"/>
          <w:lang w:val="en-US" w:eastAsia="zh-CN" w:bidi="ar-SA"/>
        </w:rPr>
      </w:pPr>
      <w:r>
        <w:rPr>
          <w:rStyle w:val="489"/>
          <w:rFonts w:hint="default" w:ascii="宋体" w:hAnsi="宋体" w:cs="宋体"/>
          <w:b/>
          <w:bCs/>
          <w:color w:val="auto"/>
          <w:kern w:val="2"/>
          <w:sz w:val="28"/>
          <w:szCs w:val="28"/>
          <w:highlight w:val="none"/>
          <w:lang w:val="en-US" w:eastAsia="zh-CN" w:bidi="ar-SA"/>
        </w:rPr>
        <w:t>质量承诺书</w:t>
      </w:r>
    </w:p>
    <w:p w14:paraId="348C375F">
      <w:pPr>
        <w:jc w:val="center"/>
        <w:rPr>
          <w:rFonts w:hint="eastAsia"/>
          <w:color w:val="auto"/>
          <w:highlight w:val="none"/>
          <w:lang w:val="en-US" w:eastAsia="zh-CN"/>
        </w:rPr>
        <w:sectPr>
          <w:pgSz w:w="11906" w:h="16838"/>
          <w:pgMar w:top="1418" w:right="1418" w:bottom="1418" w:left="1701" w:header="851" w:footer="992" w:gutter="0"/>
          <w:pgNumType w:fmt="decimal"/>
          <w:cols w:space="720" w:num="1"/>
          <w:docGrid w:linePitch="312" w:charSpace="0"/>
        </w:sectPr>
      </w:pPr>
      <w:r>
        <w:rPr>
          <w:rFonts w:hint="eastAsia"/>
          <w:color w:val="auto"/>
          <w:highlight w:val="none"/>
          <w:lang w:val="en-US" w:eastAsia="zh-CN"/>
        </w:rPr>
        <w:t>(格式自拟）</w:t>
      </w:r>
    </w:p>
    <w:p w14:paraId="316CA985">
      <w:pPr>
        <w:pStyle w:val="105"/>
        <w:jc w:val="center"/>
        <w:rPr>
          <w:rStyle w:val="489"/>
          <w:rFonts w:hint="default" w:ascii="宋体" w:hAnsi="宋体" w:cs="宋体"/>
          <w:b/>
          <w:bCs/>
          <w:color w:val="auto"/>
          <w:kern w:val="2"/>
          <w:sz w:val="28"/>
          <w:szCs w:val="28"/>
          <w:highlight w:val="none"/>
          <w:lang w:val="en-US" w:eastAsia="zh-CN" w:bidi="ar-SA"/>
        </w:rPr>
      </w:pPr>
      <w:r>
        <w:rPr>
          <w:rStyle w:val="489"/>
          <w:rFonts w:hint="default" w:ascii="宋体" w:hAnsi="宋体" w:cs="宋体"/>
          <w:b/>
          <w:bCs/>
          <w:color w:val="auto"/>
          <w:kern w:val="2"/>
          <w:sz w:val="28"/>
          <w:szCs w:val="28"/>
          <w:highlight w:val="none"/>
          <w:lang w:val="en-US" w:eastAsia="zh-CN" w:bidi="ar-SA"/>
        </w:rPr>
        <w:t>项目经理不更换及</w:t>
      </w:r>
      <w:r>
        <w:rPr>
          <w:rStyle w:val="489"/>
          <w:rFonts w:hint="eastAsia" w:ascii="宋体" w:hAnsi="宋体" w:cs="宋体"/>
          <w:b/>
          <w:bCs/>
          <w:color w:val="auto"/>
          <w:kern w:val="2"/>
          <w:sz w:val="28"/>
          <w:szCs w:val="28"/>
          <w:highlight w:val="none"/>
          <w:lang w:val="en-US" w:eastAsia="zh-CN" w:bidi="ar-SA"/>
        </w:rPr>
        <w:t>常</w:t>
      </w:r>
      <w:r>
        <w:rPr>
          <w:rStyle w:val="489"/>
          <w:rFonts w:hint="default" w:ascii="宋体" w:hAnsi="宋体" w:cs="宋体"/>
          <w:b/>
          <w:bCs/>
          <w:color w:val="auto"/>
          <w:kern w:val="2"/>
          <w:sz w:val="28"/>
          <w:szCs w:val="28"/>
          <w:highlight w:val="none"/>
          <w:lang w:val="en-US" w:eastAsia="zh-CN" w:bidi="ar-SA"/>
        </w:rPr>
        <w:t>驻现场承诺书</w:t>
      </w:r>
    </w:p>
    <w:p w14:paraId="3509BF72">
      <w:pPr>
        <w:pStyle w:val="4"/>
        <w:jc w:val="center"/>
        <w:rPr>
          <w:color w:val="auto"/>
          <w:highlight w:val="none"/>
        </w:rPr>
        <w:sectPr>
          <w:pgSz w:w="11906" w:h="16838"/>
          <w:pgMar w:top="1418" w:right="1418" w:bottom="1418" w:left="1701" w:header="851" w:footer="992" w:gutter="0"/>
          <w:pgNumType w:fmt="decimal"/>
          <w:cols w:space="720" w:num="1"/>
          <w:docGrid w:linePitch="312" w:charSpace="0"/>
        </w:sectPr>
      </w:pPr>
      <w:bookmarkStart w:id="1089" w:name="_Toc24863"/>
      <w:bookmarkStart w:id="1090" w:name="_Toc28069"/>
      <w:bookmarkStart w:id="1091" w:name="_Toc21255"/>
      <w:r>
        <w:rPr>
          <w:rStyle w:val="489"/>
          <w:rFonts w:hint="eastAsia" w:cs="宋体"/>
          <w:b w:val="0"/>
          <w:bCs w:val="0"/>
          <w:color w:val="auto"/>
          <w:kern w:val="2"/>
          <w:sz w:val="28"/>
          <w:szCs w:val="28"/>
          <w:highlight w:val="none"/>
          <w:lang w:val="en-US" w:eastAsia="zh-CN" w:bidi="ar-SA"/>
        </w:rPr>
        <w:t>（格式自拟）</w:t>
      </w:r>
      <w:bookmarkEnd w:id="1089"/>
      <w:bookmarkEnd w:id="1090"/>
      <w:bookmarkEnd w:id="1091"/>
    </w:p>
    <w:p w14:paraId="18784BC0">
      <w:pPr>
        <w:widowControl/>
        <w:spacing w:after="0" w:line="360" w:lineRule="auto"/>
        <w:jc w:val="left"/>
        <w:rPr>
          <w:rFonts w:ascii="宋体" w:hAnsi="宋体"/>
          <w:b/>
          <w:bCs/>
          <w:color w:val="auto"/>
          <w:sz w:val="30"/>
          <w:szCs w:val="30"/>
          <w:highlight w:val="none"/>
        </w:rPr>
      </w:pPr>
    </w:p>
    <w:p w14:paraId="712AE668">
      <w:pPr>
        <w:pStyle w:val="5"/>
        <w:spacing w:before="0" w:after="0" w:line="360" w:lineRule="auto"/>
        <w:jc w:val="center"/>
        <w:rPr>
          <w:rFonts w:ascii="宋体" w:hAnsi="宋体" w:eastAsia="宋体"/>
          <w:color w:val="auto"/>
          <w:sz w:val="24"/>
          <w:highlight w:val="none"/>
        </w:rPr>
      </w:pPr>
      <w:bookmarkStart w:id="1092" w:name="_Toc95257522"/>
      <w:bookmarkStart w:id="1093" w:name="_Toc10712"/>
      <w:bookmarkStart w:id="1094" w:name="_Toc26353_WPSOffice_Level1"/>
      <w:bookmarkStart w:id="1095" w:name="_Toc931"/>
      <w:r>
        <w:rPr>
          <w:rFonts w:hint="eastAsia" w:ascii="宋体" w:hAnsi="宋体" w:eastAsia="宋体"/>
          <w:color w:val="auto"/>
          <w:sz w:val="24"/>
          <w:highlight w:val="none"/>
        </w:rPr>
        <w:t>六、</w:t>
      </w:r>
      <w:r>
        <w:rPr>
          <w:rFonts w:ascii="宋体" w:hAnsi="宋体" w:eastAsia="宋体"/>
          <w:color w:val="auto"/>
          <w:sz w:val="24"/>
          <w:highlight w:val="none"/>
        </w:rPr>
        <w:t>已标价工程量清单</w:t>
      </w:r>
      <w:bookmarkEnd w:id="1031"/>
      <w:bookmarkEnd w:id="1092"/>
      <w:bookmarkEnd w:id="1093"/>
      <w:bookmarkEnd w:id="1094"/>
      <w:bookmarkEnd w:id="1095"/>
    </w:p>
    <w:p w14:paraId="4F3204E7">
      <w:pPr>
        <w:spacing w:after="0" w:line="360" w:lineRule="auto"/>
        <w:ind w:firstLine="2951" w:firstLineChars="1400"/>
        <w:rPr>
          <w:rFonts w:ascii="宋体" w:hAnsi="宋体"/>
          <w:b/>
          <w:bCs/>
          <w:color w:val="auto"/>
          <w:highlight w:val="none"/>
          <w:lang w:val="zh-CN"/>
        </w:rPr>
      </w:pPr>
      <w:r>
        <w:rPr>
          <w:rFonts w:hint="eastAsia" w:ascii="宋体" w:hAnsi="宋体"/>
          <w:b/>
          <w:bCs/>
          <w:color w:val="auto"/>
          <w:highlight w:val="none"/>
          <w:lang w:eastAsia="zh-CN"/>
        </w:rPr>
        <w:t>以招标人提供的工程量清单填报</w:t>
      </w:r>
    </w:p>
    <w:p w14:paraId="0A3BAA9E">
      <w:pPr>
        <w:spacing w:after="0" w:line="360" w:lineRule="auto"/>
        <w:rPr>
          <w:rFonts w:ascii="宋体" w:hAnsi="宋体"/>
          <w:color w:val="auto"/>
          <w:sz w:val="19"/>
          <w:szCs w:val="19"/>
          <w:highlight w:val="none"/>
        </w:rPr>
      </w:pPr>
    </w:p>
    <w:p w14:paraId="26DDB50B">
      <w:pPr>
        <w:spacing w:after="0" w:line="360" w:lineRule="auto"/>
        <w:rPr>
          <w:rFonts w:ascii="宋体" w:hAnsi="宋体"/>
          <w:color w:val="auto"/>
          <w:sz w:val="20"/>
          <w:szCs w:val="20"/>
          <w:highlight w:val="none"/>
        </w:rPr>
      </w:pPr>
      <w:bookmarkStart w:id="1096" w:name="_Toc222029566"/>
      <w:bookmarkStart w:id="1097" w:name="_Toc222033917"/>
      <w:bookmarkStart w:id="1098" w:name="_Toc221952064"/>
      <w:bookmarkStart w:id="1099" w:name="_Toc168475923"/>
      <w:bookmarkStart w:id="1100" w:name="_Toc168476326"/>
      <w:bookmarkStart w:id="1101" w:name="_Toc144974864"/>
      <w:bookmarkStart w:id="1102" w:name="_Toc222031068"/>
      <w:bookmarkStart w:id="1103" w:name="_Toc222032735"/>
    </w:p>
    <w:p w14:paraId="7CC2224C">
      <w:pPr>
        <w:spacing w:after="0" w:line="360" w:lineRule="auto"/>
        <w:rPr>
          <w:rFonts w:ascii="宋体" w:hAnsi="宋体"/>
          <w:color w:val="auto"/>
          <w:sz w:val="20"/>
          <w:szCs w:val="20"/>
          <w:highlight w:val="none"/>
        </w:rPr>
      </w:pPr>
    </w:p>
    <w:p w14:paraId="0B1A12CE">
      <w:pPr>
        <w:spacing w:after="0" w:line="360" w:lineRule="auto"/>
        <w:rPr>
          <w:rFonts w:ascii="宋体" w:hAnsi="宋体"/>
          <w:color w:val="auto"/>
          <w:sz w:val="20"/>
          <w:szCs w:val="20"/>
          <w:highlight w:val="none"/>
        </w:rPr>
      </w:pPr>
    </w:p>
    <w:p w14:paraId="102AB388">
      <w:pPr>
        <w:spacing w:after="0" w:line="360" w:lineRule="auto"/>
        <w:rPr>
          <w:rFonts w:ascii="宋体" w:hAnsi="宋体"/>
          <w:color w:val="auto"/>
          <w:sz w:val="20"/>
          <w:szCs w:val="20"/>
          <w:highlight w:val="none"/>
        </w:rPr>
      </w:pPr>
    </w:p>
    <w:p w14:paraId="0CAC387A">
      <w:pPr>
        <w:spacing w:after="0" w:line="360" w:lineRule="auto"/>
        <w:rPr>
          <w:rFonts w:ascii="宋体" w:hAnsi="宋体"/>
          <w:color w:val="auto"/>
          <w:sz w:val="20"/>
          <w:szCs w:val="20"/>
          <w:highlight w:val="none"/>
        </w:rPr>
      </w:pPr>
    </w:p>
    <w:p w14:paraId="6E5D17EB">
      <w:pPr>
        <w:spacing w:after="0" w:line="360" w:lineRule="auto"/>
        <w:rPr>
          <w:rFonts w:ascii="宋体" w:hAnsi="宋体"/>
          <w:color w:val="auto"/>
          <w:sz w:val="20"/>
          <w:szCs w:val="20"/>
          <w:highlight w:val="none"/>
        </w:rPr>
      </w:pPr>
    </w:p>
    <w:p w14:paraId="522503DD">
      <w:pPr>
        <w:spacing w:after="0" w:line="360" w:lineRule="auto"/>
        <w:rPr>
          <w:rFonts w:ascii="宋体" w:hAnsi="宋体"/>
          <w:color w:val="auto"/>
          <w:sz w:val="20"/>
          <w:szCs w:val="20"/>
          <w:highlight w:val="none"/>
        </w:rPr>
      </w:pPr>
    </w:p>
    <w:p w14:paraId="70B540D9">
      <w:pPr>
        <w:spacing w:after="0" w:line="360" w:lineRule="auto"/>
        <w:rPr>
          <w:rFonts w:ascii="宋体" w:hAnsi="宋体"/>
          <w:color w:val="auto"/>
          <w:sz w:val="20"/>
          <w:szCs w:val="20"/>
          <w:highlight w:val="none"/>
        </w:rPr>
      </w:pPr>
    </w:p>
    <w:bookmarkEnd w:id="1096"/>
    <w:bookmarkEnd w:id="1097"/>
    <w:bookmarkEnd w:id="1098"/>
    <w:bookmarkEnd w:id="1099"/>
    <w:bookmarkEnd w:id="1100"/>
    <w:bookmarkEnd w:id="1101"/>
    <w:bookmarkEnd w:id="1102"/>
    <w:bookmarkEnd w:id="1103"/>
    <w:p w14:paraId="550665F3">
      <w:pPr>
        <w:widowControl/>
        <w:spacing w:after="0" w:line="360" w:lineRule="auto"/>
        <w:jc w:val="left"/>
        <w:rPr>
          <w:rFonts w:ascii="宋体" w:hAnsi="宋体"/>
          <w:b/>
          <w:bCs/>
          <w:color w:val="auto"/>
          <w:sz w:val="30"/>
          <w:szCs w:val="30"/>
          <w:highlight w:val="none"/>
        </w:rPr>
      </w:pPr>
      <w:bookmarkStart w:id="1104" w:name="_Toc274933850"/>
      <w:bookmarkStart w:id="1105" w:name="_Toc229305426"/>
      <w:bookmarkStart w:id="1106" w:name="_Toc283676187"/>
    </w:p>
    <w:p w14:paraId="2CD65E7A">
      <w:pPr>
        <w:widowControl/>
        <w:spacing w:after="0" w:line="240" w:lineRule="auto"/>
        <w:jc w:val="left"/>
        <w:rPr>
          <w:rFonts w:ascii="宋体" w:hAnsi="宋体"/>
          <w:b/>
          <w:bCs/>
          <w:color w:val="auto"/>
          <w:kern w:val="0"/>
          <w:sz w:val="24"/>
          <w:szCs w:val="32"/>
          <w:highlight w:val="none"/>
          <w:lang w:val="zh-CN"/>
        </w:rPr>
      </w:pPr>
      <w:r>
        <w:rPr>
          <w:rFonts w:ascii="宋体" w:hAnsi="宋体"/>
          <w:color w:val="auto"/>
          <w:sz w:val="24"/>
          <w:highlight w:val="none"/>
        </w:rPr>
        <w:br w:type="page"/>
      </w:r>
    </w:p>
    <w:p w14:paraId="71F7B56B">
      <w:pPr>
        <w:pStyle w:val="5"/>
        <w:spacing w:before="0" w:after="0" w:line="360" w:lineRule="auto"/>
        <w:jc w:val="center"/>
        <w:rPr>
          <w:rFonts w:ascii="宋体" w:hAnsi="宋体" w:eastAsia="宋体"/>
          <w:color w:val="auto"/>
          <w:sz w:val="24"/>
          <w:highlight w:val="none"/>
        </w:rPr>
      </w:pPr>
      <w:bookmarkStart w:id="1107" w:name="_Toc18752"/>
      <w:bookmarkStart w:id="1108" w:name="_Toc95257523"/>
      <w:bookmarkStart w:id="1109" w:name="_Toc4055"/>
      <w:bookmarkStart w:id="1110" w:name="_Toc449_WPSOffice_Level1"/>
      <w:r>
        <w:rPr>
          <w:rFonts w:hint="eastAsia" w:ascii="宋体" w:hAnsi="宋体" w:eastAsia="宋体"/>
          <w:color w:val="auto"/>
          <w:sz w:val="24"/>
          <w:highlight w:val="none"/>
        </w:rPr>
        <w:t>七、</w:t>
      </w:r>
      <w:r>
        <w:rPr>
          <w:rFonts w:ascii="宋体" w:hAnsi="宋体" w:eastAsia="宋体"/>
          <w:color w:val="auto"/>
          <w:sz w:val="24"/>
          <w:highlight w:val="none"/>
        </w:rPr>
        <w:t>施工组织设计</w:t>
      </w:r>
      <w:bookmarkEnd w:id="1104"/>
      <w:bookmarkEnd w:id="1105"/>
      <w:bookmarkEnd w:id="1106"/>
      <w:bookmarkEnd w:id="1107"/>
      <w:bookmarkEnd w:id="1108"/>
      <w:bookmarkEnd w:id="1109"/>
      <w:bookmarkEnd w:id="1110"/>
    </w:p>
    <w:p w14:paraId="29DEA6EE">
      <w:pPr>
        <w:tabs>
          <w:tab w:val="left" w:pos="720"/>
        </w:tabs>
        <w:spacing w:after="0" w:line="360" w:lineRule="auto"/>
        <w:rPr>
          <w:rFonts w:ascii="宋体" w:hAnsi="宋体"/>
          <w:color w:val="auto"/>
          <w:szCs w:val="21"/>
          <w:highlight w:val="none"/>
        </w:rPr>
      </w:pPr>
      <w:r>
        <w:rPr>
          <w:rFonts w:hint="eastAsia" w:ascii="宋体" w:hAnsi="宋体"/>
          <w:color w:val="auto"/>
          <w:szCs w:val="21"/>
          <w:highlight w:val="none"/>
          <w:lang w:val="en-US" w:eastAsia="zh-CN"/>
        </w:rPr>
        <w:t>1.</w:t>
      </w:r>
      <w:r>
        <w:rPr>
          <w:rFonts w:ascii="宋体" w:hAnsi="宋体"/>
          <w:color w:val="auto"/>
          <w:szCs w:val="21"/>
          <w:highlight w:val="none"/>
        </w:rPr>
        <w:t>施工组织设计除采用文字表述外</w:t>
      </w:r>
      <w:r>
        <w:rPr>
          <w:rFonts w:hint="eastAsia" w:ascii="宋体" w:hAnsi="宋体"/>
          <w:color w:val="auto"/>
          <w:szCs w:val="21"/>
          <w:highlight w:val="none"/>
        </w:rPr>
        <w:t>应</w:t>
      </w:r>
      <w:r>
        <w:rPr>
          <w:rFonts w:ascii="宋体" w:hAnsi="宋体"/>
          <w:color w:val="auto"/>
          <w:szCs w:val="21"/>
          <w:highlight w:val="none"/>
        </w:rPr>
        <w:t>附下列图表</w:t>
      </w:r>
      <w:r>
        <w:rPr>
          <w:rFonts w:hint="eastAsia" w:ascii="宋体" w:hAnsi="宋体"/>
          <w:color w:val="auto"/>
          <w:szCs w:val="21"/>
          <w:highlight w:val="none"/>
          <w:lang w:eastAsia="zh-CN"/>
        </w:rPr>
        <w:t>，</w:t>
      </w:r>
      <w:r>
        <w:rPr>
          <w:rFonts w:ascii="宋体" w:hAnsi="宋体"/>
          <w:color w:val="auto"/>
          <w:szCs w:val="21"/>
          <w:highlight w:val="none"/>
        </w:rPr>
        <w:t>图表及格式要求附后。</w:t>
      </w:r>
    </w:p>
    <w:p w14:paraId="6336D737">
      <w:pPr>
        <w:tabs>
          <w:tab w:val="left" w:pos="720"/>
        </w:tabs>
        <w:spacing w:after="0" w:line="360" w:lineRule="auto"/>
        <w:ind w:firstLine="756" w:firstLineChars="360"/>
        <w:rPr>
          <w:rFonts w:ascii="宋体" w:hAnsi="宋体"/>
          <w:color w:val="auto"/>
          <w:szCs w:val="21"/>
          <w:highlight w:val="none"/>
        </w:rPr>
      </w:pPr>
      <w:bookmarkStart w:id="1111" w:name="_Toc28522_WPSOffice_Level2"/>
      <w:r>
        <w:rPr>
          <w:rFonts w:ascii="宋体" w:hAnsi="宋体"/>
          <w:color w:val="auto"/>
          <w:szCs w:val="21"/>
          <w:highlight w:val="none"/>
        </w:rPr>
        <w:t>附表</w:t>
      </w:r>
      <w:r>
        <w:rPr>
          <w:rFonts w:hint="eastAsia" w:ascii="宋体" w:hAnsi="宋体"/>
          <w:color w:val="auto"/>
          <w:szCs w:val="21"/>
          <w:highlight w:val="none"/>
        </w:rPr>
        <w:t>一</w:t>
      </w:r>
      <w:r>
        <w:rPr>
          <w:rFonts w:ascii="宋体" w:hAnsi="宋体"/>
          <w:color w:val="auto"/>
          <w:szCs w:val="21"/>
          <w:highlight w:val="none"/>
        </w:rPr>
        <w:t xml:space="preserve">  </w:t>
      </w:r>
      <w:r>
        <w:rPr>
          <w:rFonts w:hint="eastAsia" w:ascii="宋体" w:hAnsi="宋体"/>
          <w:color w:val="auto"/>
          <w:szCs w:val="21"/>
          <w:highlight w:val="none"/>
        </w:rPr>
        <w:t>拟投入本项目的</w:t>
      </w:r>
      <w:r>
        <w:rPr>
          <w:rFonts w:ascii="宋体" w:hAnsi="宋体"/>
          <w:color w:val="auto"/>
          <w:szCs w:val="21"/>
          <w:highlight w:val="none"/>
        </w:rPr>
        <w:t>劳动力计划表</w:t>
      </w:r>
      <w:bookmarkEnd w:id="1111"/>
    </w:p>
    <w:p w14:paraId="3E207B34">
      <w:pPr>
        <w:tabs>
          <w:tab w:val="left" w:pos="720"/>
        </w:tabs>
        <w:spacing w:after="0" w:line="360" w:lineRule="auto"/>
        <w:ind w:firstLine="756" w:firstLineChars="360"/>
        <w:rPr>
          <w:rFonts w:ascii="宋体" w:hAnsi="宋体"/>
          <w:color w:val="auto"/>
          <w:szCs w:val="21"/>
          <w:highlight w:val="none"/>
        </w:rPr>
      </w:pPr>
      <w:bookmarkStart w:id="1112" w:name="_Toc28882_WPSOffice_Level2"/>
      <w:r>
        <w:rPr>
          <w:rFonts w:ascii="宋体" w:hAnsi="宋体"/>
          <w:color w:val="auto"/>
          <w:szCs w:val="21"/>
          <w:highlight w:val="none"/>
        </w:rPr>
        <w:t>附表</w:t>
      </w:r>
      <w:r>
        <w:rPr>
          <w:rFonts w:hint="eastAsia" w:ascii="宋体" w:hAnsi="宋体"/>
          <w:color w:val="auto"/>
          <w:szCs w:val="21"/>
          <w:highlight w:val="none"/>
        </w:rPr>
        <w:t>二</w:t>
      </w:r>
      <w:r>
        <w:rPr>
          <w:rFonts w:ascii="宋体" w:hAnsi="宋体"/>
          <w:color w:val="auto"/>
          <w:szCs w:val="21"/>
          <w:highlight w:val="none"/>
        </w:rPr>
        <w:t xml:space="preserve">  计划开</w:t>
      </w:r>
      <w:r>
        <w:rPr>
          <w:rFonts w:hint="eastAsia" w:ascii="宋体" w:hAnsi="宋体"/>
          <w:color w:val="auto"/>
          <w:szCs w:val="21"/>
          <w:highlight w:val="none"/>
        </w:rPr>
        <w:t>工日期</w:t>
      </w:r>
      <w:r>
        <w:rPr>
          <w:rFonts w:ascii="宋体" w:hAnsi="宋体"/>
          <w:color w:val="auto"/>
          <w:szCs w:val="21"/>
          <w:highlight w:val="none"/>
        </w:rPr>
        <w:t>、</w:t>
      </w:r>
      <w:r>
        <w:rPr>
          <w:rFonts w:hint="eastAsia" w:ascii="宋体" w:hAnsi="宋体"/>
          <w:color w:val="auto"/>
          <w:szCs w:val="21"/>
          <w:highlight w:val="none"/>
        </w:rPr>
        <w:t>完工</w:t>
      </w:r>
      <w:r>
        <w:rPr>
          <w:rFonts w:ascii="宋体" w:hAnsi="宋体"/>
          <w:color w:val="auto"/>
          <w:szCs w:val="21"/>
          <w:highlight w:val="none"/>
        </w:rPr>
        <w:t>日期和施工进度网络图</w:t>
      </w:r>
      <w:bookmarkEnd w:id="1112"/>
    </w:p>
    <w:p w14:paraId="73512FD5">
      <w:pPr>
        <w:tabs>
          <w:tab w:val="left" w:pos="720"/>
        </w:tabs>
        <w:spacing w:after="0" w:line="360" w:lineRule="auto"/>
        <w:ind w:firstLine="756" w:firstLineChars="360"/>
        <w:rPr>
          <w:rFonts w:ascii="宋体" w:hAnsi="宋体"/>
          <w:color w:val="auto"/>
          <w:szCs w:val="21"/>
          <w:highlight w:val="none"/>
        </w:rPr>
      </w:pPr>
      <w:bookmarkStart w:id="1113" w:name="_Toc16224_WPSOffice_Level2"/>
      <w:r>
        <w:rPr>
          <w:rFonts w:ascii="宋体" w:hAnsi="宋体"/>
          <w:color w:val="auto"/>
          <w:szCs w:val="21"/>
          <w:highlight w:val="none"/>
        </w:rPr>
        <w:t>附表</w:t>
      </w:r>
      <w:r>
        <w:rPr>
          <w:rFonts w:hint="eastAsia" w:ascii="宋体" w:hAnsi="宋体"/>
          <w:color w:val="auto"/>
          <w:szCs w:val="21"/>
          <w:highlight w:val="none"/>
        </w:rPr>
        <w:t>三</w:t>
      </w:r>
      <w:r>
        <w:rPr>
          <w:rFonts w:ascii="宋体" w:hAnsi="宋体"/>
          <w:color w:val="auto"/>
          <w:szCs w:val="21"/>
          <w:highlight w:val="none"/>
        </w:rPr>
        <w:t xml:space="preserve">  施工总平面图</w:t>
      </w:r>
      <w:bookmarkEnd w:id="1113"/>
    </w:p>
    <w:p w14:paraId="635BD643">
      <w:pPr>
        <w:tabs>
          <w:tab w:val="left" w:pos="720"/>
        </w:tabs>
        <w:spacing w:after="0" w:line="360" w:lineRule="auto"/>
        <w:ind w:firstLine="735" w:firstLineChars="350"/>
        <w:rPr>
          <w:rFonts w:ascii="宋体" w:hAnsi="宋体"/>
          <w:color w:val="auto"/>
          <w:szCs w:val="21"/>
          <w:highlight w:val="none"/>
        </w:rPr>
      </w:pPr>
      <w:bookmarkStart w:id="1114" w:name="_Toc1430_WPSOffice_Level2"/>
      <w:r>
        <w:rPr>
          <w:rFonts w:ascii="宋体" w:hAnsi="宋体"/>
          <w:color w:val="auto"/>
          <w:szCs w:val="21"/>
          <w:highlight w:val="none"/>
        </w:rPr>
        <w:t>附表</w:t>
      </w:r>
      <w:r>
        <w:rPr>
          <w:rFonts w:hint="eastAsia" w:ascii="宋体" w:hAnsi="宋体"/>
          <w:color w:val="auto"/>
          <w:szCs w:val="21"/>
          <w:highlight w:val="none"/>
        </w:rPr>
        <w:t>四</w:t>
      </w:r>
      <w:r>
        <w:rPr>
          <w:rFonts w:ascii="宋体" w:hAnsi="宋体"/>
          <w:color w:val="auto"/>
          <w:szCs w:val="21"/>
          <w:highlight w:val="none"/>
        </w:rPr>
        <w:t xml:space="preserve">  临时用地表</w:t>
      </w:r>
      <w:bookmarkEnd w:id="1114"/>
    </w:p>
    <w:p w14:paraId="50898A04">
      <w:pPr>
        <w:spacing w:after="0" w:line="360" w:lineRule="auto"/>
        <w:rPr>
          <w:rFonts w:ascii="宋体" w:hAnsi="宋体"/>
          <w:color w:val="auto"/>
          <w:sz w:val="19"/>
          <w:szCs w:val="19"/>
          <w:highlight w:val="none"/>
        </w:rPr>
      </w:pPr>
    </w:p>
    <w:p w14:paraId="5C0D048C">
      <w:pPr>
        <w:widowControl/>
        <w:spacing w:after="0" w:line="360" w:lineRule="auto"/>
        <w:jc w:val="left"/>
        <w:rPr>
          <w:rFonts w:ascii="宋体" w:hAnsi="宋体" w:cs="宋体"/>
          <w:b/>
          <w:color w:val="auto"/>
          <w:sz w:val="24"/>
          <w:szCs w:val="20"/>
          <w:highlight w:val="none"/>
        </w:rPr>
      </w:pPr>
      <w:bookmarkStart w:id="1115" w:name="_Toc168475924"/>
      <w:bookmarkStart w:id="1116" w:name="_Toc221952073"/>
      <w:bookmarkStart w:id="1117" w:name="_Toc168476327"/>
      <w:bookmarkStart w:id="1118" w:name="_Toc144974865"/>
    </w:p>
    <w:p w14:paraId="3B8AFC0A">
      <w:pPr>
        <w:widowControl/>
        <w:spacing w:after="0" w:line="240" w:lineRule="auto"/>
        <w:jc w:val="left"/>
        <w:rPr>
          <w:rFonts w:ascii="宋体" w:hAnsi="宋体" w:cs="宋体"/>
          <w:b/>
          <w:color w:val="auto"/>
          <w:kern w:val="0"/>
          <w:sz w:val="24"/>
          <w:szCs w:val="20"/>
          <w:highlight w:val="none"/>
          <w:lang w:val="zh-CN"/>
        </w:rPr>
      </w:pPr>
      <w:r>
        <w:rPr>
          <w:rFonts w:ascii="宋体" w:hAnsi="宋体"/>
          <w:color w:val="auto"/>
          <w:highlight w:val="none"/>
        </w:rPr>
        <w:br w:type="page"/>
      </w:r>
    </w:p>
    <w:bookmarkEnd w:id="1115"/>
    <w:bookmarkEnd w:id="1116"/>
    <w:bookmarkEnd w:id="1117"/>
    <w:bookmarkEnd w:id="1118"/>
    <w:p w14:paraId="576A851F">
      <w:pPr>
        <w:pStyle w:val="468"/>
        <w:spacing w:line="360" w:lineRule="auto"/>
        <w:jc w:val="center"/>
        <w:outlineLvl w:val="9"/>
        <w:rPr>
          <w:rFonts w:eastAsia="宋体"/>
          <w:color w:val="auto"/>
          <w:highlight w:val="none"/>
        </w:rPr>
      </w:pPr>
      <w:bookmarkStart w:id="1119" w:name="_Toc168476329"/>
      <w:bookmarkStart w:id="1120" w:name="_Toc221952101"/>
      <w:bookmarkStart w:id="1121" w:name="_Toc168475926"/>
      <w:bookmarkStart w:id="1122" w:name="_Toc144974867"/>
      <w:bookmarkStart w:id="1123" w:name="_Toc24255_WPSOffice_Level2"/>
      <w:r>
        <w:rPr>
          <w:rFonts w:eastAsia="宋体"/>
          <w:color w:val="auto"/>
          <w:highlight w:val="none"/>
        </w:rPr>
        <w:t>附表</w:t>
      </w:r>
      <w:r>
        <w:rPr>
          <w:rFonts w:hint="eastAsia" w:eastAsia="宋体"/>
          <w:color w:val="auto"/>
          <w:highlight w:val="none"/>
        </w:rPr>
        <w:t>一</w:t>
      </w:r>
      <w:r>
        <w:rPr>
          <w:rFonts w:eastAsia="宋体"/>
          <w:color w:val="auto"/>
          <w:highlight w:val="none"/>
        </w:rPr>
        <w:t>：</w:t>
      </w:r>
      <w:r>
        <w:rPr>
          <w:rFonts w:hint="eastAsia" w:eastAsia="宋体"/>
          <w:color w:val="auto"/>
          <w:highlight w:val="none"/>
        </w:rPr>
        <w:t>拟投入本项目标段的</w:t>
      </w:r>
      <w:r>
        <w:rPr>
          <w:rFonts w:eastAsia="宋体"/>
          <w:color w:val="auto"/>
          <w:highlight w:val="none"/>
        </w:rPr>
        <w:t>劳动力计划表</w:t>
      </w:r>
      <w:bookmarkEnd w:id="1119"/>
      <w:bookmarkEnd w:id="1120"/>
      <w:bookmarkEnd w:id="1121"/>
      <w:bookmarkEnd w:id="1122"/>
      <w:bookmarkEnd w:id="1123"/>
    </w:p>
    <w:p w14:paraId="64E6F2E8">
      <w:pPr>
        <w:spacing w:after="0" w:line="360" w:lineRule="auto"/>
        <w:jc w:val="right"/>
        <w:rPr>
          <w:rFonts w:ascii="宋体" w:hAnsi="宋体"/>
          <w:color w:val="auto"/>
          <w:szCs w:val="21"/>
          <w:highlight w:val="none"/>
        </w:rPr>
      </w:pPr>
      <w:bookmarkStart w:id="1124" w:name="_Toc221952102"/>
      <w:r>
        <w:rPr>
          <w:rFonts w:ascii="宋体" w:hAnsi="宋体"/>
          <w:color w:val="auto"/>
          <w:szCs w:val="21"/>
          <w:highlight w:val="none"/>
        </w:rPr>
        <w:t>单位：人</w:t>
      </w:r>
      <w:bookmarkEnd w:id="1124"/>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420"/>
        <w:gridCol w:w="1161"/>
        <w:gridCol w:w="1161"/>
        <w:gridCol w:w="1161"/>
        <w:gridCol w:w="1161"/>
        <w:gridCol w:w="1161"/>
        <w:gridCol w:w="1159"/>
      </w:tblGrid>
      <w:tr w14:paraId="4BCA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E95F348">
            <w:pPr>
              <w:spacing w:after="0" w:line="360" w:lineRule="auto"/>
              <w:jc w:val="center"/>
              <w:rPr>
                <w:rFonts w:ascii="宋体" w:hAnsi="宋体"/>
                <w:color w:val="auto"/>
                <w:szCs w:val="21"/>
                <w:highlight w:val="none"/>
              </w:rPr>
            </w:pPr>
            <w:bookmarkStart w:id="1125" w:name="_Toc221952103"/>
            <w:r>
              <w:rPr>
                <w:rFonts w:ascii="宋体" w:hAnsi="宋体"/>
                <w:color w:val="auto"/>
                <w:szCs w:val="21"/>
                <w:highlight w:val="none"/>
              </w:rPr>
              <w:t>工种</w:t>
            </w:r>
            <w:bookmarkEnd w:id="1125"/>
          </w:p>
        </w:tc>
        <w:tc>
          <w:tcPr>
            <w:tcW w:w="8384" w:type="dxa"/>
            <w:gridSpan w:val="7"/>
            <w:noWrap w:val="0"/>
            <w:vAlign w:val="top"/>
          </w:tcPr>
          <w:p w14:paraId="43579170">
            <w:pPr>
              <w:spacing w:after="0" w:line="360" w:lineRule="auto"/>
              <w:jc w:val="center"/>
              <w:rPr>
                <w:rFonts w:ascii="宋体" w:hAnsi="宋体"/>
                <w:color w:val="auto"/>
                <w:szCs w:val="21"/>
                <w:highlight w:val="none"/>
              </w:rPr>
            </w:pPr>
            <w:bookmarkStart w:id="1126" w:name="_Toc221952104"/>
            <w:r>
              <w:rPr>
                <w:rFonts w:ascii="宋体" w:hAnsi="宋体"/>
                <w:color w:val="auto"/>
                <w:szCs w:val="21"/>
                <w:highlight w:val="none"/>
              </w:rPr>
              <w:t>按工程施工阶段投入劳动力情况</w:t>
            </w:r>
            <w:bookmarkEnd w:id="1126"/>
          </w:p>
        </w:tc>
      </w:tr>
      <w:tr w14:paraId="3A2BC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B64F681">
            <w:pPr>
              <w:spacing w:after="0" w:line="360" w:lineRule="auto"/>
              <w:jc w:val="center"/>
              <w:rPr>
                <w:rFonts w:ascii="宋体" w:hAnsi="宋体"/>
                <w:color w:val="auto"/>
                <w:szCs w:val="21"/>
                <w:highlight w:val="none"/>
              </w:rPr>
            </w:pPr>
          </w:p>
        </w:tc>
        <w:tc>
          <w:tcPr>
            <w:tcW w:w="1420" w:type="dxa"/>
            <w:noWrap w:val="0"/>
            <w:vAlign w:val="top"/>
          </w:tcPr>
          <w:p w14:paraId="2495460E">
            <w:pPr>
              <w:spacing w:after="0" w:line="360" w:lineRule="auto"/>
              <w:jc w:val="center"/>
              <w:rPr>
                <w:rFonts w:ascii="宋体" w:hAnsi="宋体"/>
                <w:color w:val="auto"/>
                <w:szCs w:val="21"/>
                <w:highlight w:val="none"/>
              </w:rPr>
            </w:pPr>
          </w:p>
        </w:tc>
        <w:tc>
          <w:tcPr>
            <w:tcW w:w="1161" w:type="dxa"/>
            <w:noWrap w:val="0"/>
            <w:vAlign w:val="top"/>
          </w:tcPr>
          <w:p w14:paraId="36C3DFEA">
            <w:pPr>
              <w:spacing w:after="0" w:line="360" w:lineRule="auto"/>
              <w:jc w:val="center"/>
              <w:rPr>
                <w:rFonts w:ascii="宋体" w:hAnsi="宋体"/>
                <w:color w:val="auto"/>
                <w:szCs w:val="21"/>
                <w:highlight w:val="none"/>
              </w:rPr>
            </w:pPr>
          </w:p>
        </w:tc>
        <w:tc>
          <w:tcPr>
            <w:tcW w:w="1161" w:type="dxa"/>
            <w:noWrap w:val="0"/>
            <w:vAlign w:val="top"/>
          </w:tcPr>
          <w:p w14:paraId="14D7083B">
            <w:pPr>
              <w:spacing w:after="0" w:line="360" w:lineRule="auto"/>
              <w:jc w:val="center"/>
              <w:rPr>
                <w:rFonts w:ascii="宋体" w:hAnsi="宋体"/>
                <w:color w:val="auto"/>
                <w:szCs w:val="21"/>
                <w:highlight w:val="none"/>
              </w:rPr>
            </w:pPr>
          </w:p>
        </w:tc>
        <w:tc>
          <w:tcPr>
            <w:tcW w:w="1161" w:type="dxa"/>
            <w:noWrap w:val="0"/>
            <w:vAlign w:val="top"/>
          </w:tcPr>
          <w:p w14:paraId="646E24AD">
            <w:pPr>
              <w:spacing w:after="0" w:line="360" w:lineRule="auto"/>
              <w:jc w:val="center"/>
              <w:rPr>
                <w:rFonts w:ascii="宋体" w:hAnsi="宋体"/>
                <w:color w:val="auto"/>
                <w:szCs w:val="21"/>
                <w:highlight w:val="none"/>
              </w:rPr>
            </w:pPr>
          </w:p>
        </w:tc>
        <w:tc>
          <w:tcPr>
            <w:tcW w:w="1161" w:type="dxa"/>
            <w:noWrap w:val="0"/>
            <w:vAlign w:val="top"/>
          </w:tcPr>
          <w:p w14:paraId="54567112">
            <w:pPr>
              <w:spacing w:after="0" w:line="360" w:lineRule="auto"/>
              <w:jc w:val="center"/>
              <w:rPr>
                <w:rFonts w:ascii="宋体" w:hAnsi="宋体"/>
                <w:color w:val="auto"/>
                <w:szCs w:val="21"/>
                <w:highlight w:val="none"/>
              </w:rPr>
            </w:pPr>
          </w:p>
        </w:tc>
        <w:tc>
          <w:tcPr>
            <w:tcW w:w="1161" w:type="dxa"/>
            <w:noWrap w:val="0"/>
            <w:vAlign w:val="top"/>
          </w:tcPr>
          <w:p w14:paraId="227BCBFD">
            <w:pPr>
              <w:spacing w:after="0" w:line="360" w:lineRule="auto"/>
              <w:jc w:val="center"/>
              <w:rPr>
                <w:rFonts w:ascii="宋体" w:hAnsi="宋体"/>
                <w:color w:val="auto"/>
                <w:szCs w:val="21"/>
                <w:highlight w:val="none"/>
              </w:rPr>
            </w:pPr>
          </w:p>
        </w:tc>
        <w:tc>
          <w:tcPr>
            <w:tcW w:w="1159" w:type="dxa"/>
            <w:noWrap w:val="0"/>
            <w:vAlign w:val="top"/>
          </w:tcPr>
          <w:p w14:paraId="7FA1A2CD">
            <w:pPr>
              <w:spacing w:after="0" w:line="360" w:lineRule="auto"/>
              <w:jc w:val="center"/>
              <w:rPr>
                <w:rFonts w:ascii="宋体" w:hAnsi="宋体"/>
                <w:color w:val="auto"/>
                <w:szCs w:val="21"/>
                <w:highlight w:val="none"/>
              </w:rPr>
            </w:pPr>
          </w:p>
        </w:tc>
      </w:tr>
      <w:tr w14:paraId="01D70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C6314DA">
            <w:pPr>
              <w:spacing w:after="0" w:line="360" w:lineRule="auto"/>
              <w:jc w:val="center"/>
              <w:rPr>
                <w:rFonts w:ascii="宋体" w:hAnsi="宋体"/>
                <w:color w:val="auto"/>
                <w:szCs w:val="21"/>
                <w:highlight w:val="none"/>
              </w:rPr>
            </w:pPr>
          </w:p>
        </w:tc>
        <w:tc>
          <w:tcPr>
            <w:tcW w:w="1420" w:type="dxa"/>
            <w:noWrap w:val="0"/>
            <w:vAlign w:val="top"/>
          </w:tcPr>
          <w:p w14:paraId="60DD0A99">
            <w:pPr>
              <w:spacing w:after="0" w:line="360" w:lineRule="auto"/>
              <w:jc w:val="center"/>
              <w:rPr>
                <w:rFonts w:ascii="宋体" w:hAnsi="宋体"/>
                <w:color w:val="auto"/>
                <w:szCs w:val="21"/>
                <w:highlight w:val="none"/>
              </w:rPr>
            </w:pPr>
          </w:p>
        </w:tc>
        <w:tc>
          <w:tcPr>
            <w:tcW w:w="1161" w:type="dxa"/>
            <w:noWrap w:val="0"/>
            <w:vAlign w:val="top"/>
          </w:tcPr>
          <w:p w14:paraId="7007A598">
            <w:pPr>
              <w:spacing w:after="0" w:line="360" w:lineRule="auto"/>
              <w:jc w:val="center"/>
              <w:rPr>
                <w:rFonts w:ascii="宋体" w:hAnsi="宋体"/>
                <w:color w:val="auto"/>
                <w:szCs w:val="21"/>
                <w:highlight w:val="none"/>
              </w:rPr>
            </w:pPr>
          </w:p>
        </w:tc>
        <w:tc>
          <w:tcPr>
            <w:tcW w:w="1161" w:type="dxa"/>
            <w:noWrap w:val="0"/>
            <w:vAlign w:val="top"/>
          </w:tcPr>
          <w:p w14:paraId="72C11ADE">
            <w:pPr>
              <w:spacing w:after="0" w:line="360" w:lineRule="auto"/>
              <w:jc w:val="center"/>
              <w:rPr>
                <w:rFonts w:ascii="宋体" w:hAnsi="宋体"/>
                <w:color w:val="auto"/>
                <w:szCs w:val="21"/>
                <w:highlight w:val="none"/>
              </w:rPr>
            </w:pPr>
          </w:p>
        </w:tc>
        <w:tc>
          <w:tcPr>
            <w:tcW w:w="1161" w:type="dxa"/>
            <w:noWrap w:val="0"/>
            <w:vAlign w:val="top"/>
          </w:tcPr>
          <w:p w14:paraId="67AAFB9B">
            <w:pPr>
              <w:spacing w:after="0" w:line="360" w:lineRule="auto"/>
              <w:jc w:val="center"/>
              <w:rPr>
                <w:rFonts w:ascii="宋体" w:hAnsi="宋体"/>
                <w:color w:val="auto"/>
                <w:szCs w:val="21"/>
                <w:highlight w:val="none"/>
              </w:rPr>
            </w:pPr>
          </w:p>
        </w:tc>
        <w:tc>
          <w:tcPr>
            <w:tcW w:w="1161" w:type="dxa"/>
            <w:noWrap w:val="0"/>
            <w:vAlign w:val="top"/>
          </w:tcPr>
          <w:p w14:paraId="30DB9ECD">
            <w:pPr>
              <w:spacing w:after="0" w:line="360" w:lineRule="auto"/>
              <w:jc w:val="center"/>
              <w:rPr>
                <w:rFonts w:ascii="宋体" w:hAnsi="宋体"/>
                <w:color w:val="auto"/>
                <w:szCs w:val="21"/>
                <w:highlight w:val="none"/>
              </w:rPr>
            </w:pPr>
          </w:p>
        </w:tc>
        <w:tc>
          <w:tcPr>
            <w:tcW w:w="1161" w:type="dxa"/>
            <w:noWrap w:val="0"/>
            <w:vAlign w:val="top"/>
          </w:tcPr>
          <w:p w14:paraId="405CF095">
            <w:pPr>
              <w:spacing w:after="0" w:line="360" w:lineRule="auto"/>
              <w:jc w:val="center"/>
              <w:rPr>
                <w:rFonts w:ascii="宋体" w:hAnsi="宋体"/>
                <w:color w:val="auto"/>
                <w:szCs w:val="21"/>
                <w:highlight w:val="none"/>
              </w:rPr>
            </w:pPr>
          </w:p>
        </w:tc>
        <w:tc>
          <w:tcPr>
            <w:tcW w:w="1159" w:type="dxa"/>
            <w:noWrap w:val="0"/>
            <w:vAlign w:val="top"/>
          </w:tcPr>
          <w:p w14:paraId="37321971">
            <w:pPr>
              <w:spacing w:after="0" w:line="360" w:lineRule="auto"/>
              <w:jc w:val="center"/>
              <w:rPr>
                <w:rFonts w:ascii="宋体" w:hAnsi="宋体"/>
                <w:color w:val="auto"/>
                <w:szCs w:val="21"/>
                <w:highlight w:val="none"/>
              </w:rPr>
            </w:pPr>
          </w:p>
        </w:tc>
      </w:tr>
      <w:tr w14:paraId="3FBC2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6787520">
            <w:pPr>
              <w:spacing w:after="0" w:line="360" w:lineRule="auto"/>
              <w:jc w:val="center"/>
              <w:rPr>
                <w:rFonts w:ascii="宋体" w:hAnsi="宋体"/>
                <w:color w:val="auto"/>
                <w:szCs w:val="21"/>
                <w:highlight w:val="none"/>
              </w:rPr>
            </w:pPr>
          </w:p>
        </w:tc>
        <w:tc>
          <w:tcPr>
            <w:tcW w:w="1420" w:type="dxa"/>
            <w:noWrap w:val="0"/>
            <w:vAlign w:val="top"/>
          </w:tcPr>
          <w:p w14:paraId="01E09DEB">
            <w:pPr>
              <w:spacing w:after="0" w:line="360" w:lineRule="auto"/>
              <w:jc w:val="center"/>
              <w:rPr>
                <w:rFonts w:ascii="宋体" w:hAnsi="宋体"/>
                <w:color w:val="auto"/>
                <w:szCs w:val="21"/>
                <w:highlight w:val="none"/>
              </w:rPr>
            </w:pPr>
          </w:p>
        </w:tc>
        <w:tc>
          <w:tcPr>
            <w:tcW w:w="1161" w:type="dxa"/>
            <w:noWrap w:val="0"/>
            <w:vAlign w:val="top"/>
          </w:tcPr>
          <w:p w14:paraId="4DA97C97">
            <w:pPr>
              <w:spacing w:after="0" w:line="360" w:lineRule="auto"/>
              <w:jc w:val="center"/>
              <w:rPr>
                <w:rFonts w:ascii="宋体" w:hAnsi="宋体"/>
                <w:color w:val="auto"/>
                <w:szCs w:val="21"/>
                <w:highlight w:val="none"/>
              </w:rPr>
            </w:pPr>
          </w:p>
        </w:tc>
        <w:tc>
          <w:tcPr>
            <w:tcW w:w="1161" w:type="dxa"/>
            <w:noWrap w:val="0"/>
            <w:vAlign w:val="top"/>
          </w:tcPr>
          <w:p w14:paraId="1A8CFBAC">
            <w:pPr>
              <w:spacing w:after="0" w:line="360" w:lineRule="auto"/>
              <w:jc w:val="center"/>
              <w:rPr>
                <w:rFonts w:ascii="宋体" w:hAnsi="宋体"/>
                <w:color w:val="auto"/>
                <w:szCs w:val="21"/>
                <w:highlight w:val="none"/>
              </w:rPr>
            </w:pPr>
          </w:p>
        </w:tc>
        <w:tc>
          <w:tcPr>
            <w:tcW w:w="1161" w:type="dxa"/>
            <w:noWrap w:val="0"/>
            <w:vAlign w:val="top"/>
          </w:tcPr>
          <w:p w14:paraId="044282CA">
            <w:pPr>
              <w:spacing w:after="0" w:line="360" w:lineRule="auto"/>
              <w:jc w:val="center"/>
              <w:rPr>
                <w:rFonts w:ascii="宋体" w:hAnsi="宋体"/>
                <w:color w:val="auto"/>
                <w:szCs w:val="21"/>
                <w:highlight w:val="none"/>
              </w:rPr>
            </w:pPr>
          </w:p>
        </w:tc>
        <w:tc>
          <w:tcPr>
            <w:tcW w:w="1161" w:type="dxa"/>
            <w:noWrap w:val="0"/>
            <w:vAlign w:val="top"/>
          </w:tcPr>
          <w:p w14:paraId="463C682D">
            <w:pPr>
              <w:spacing w:after="0" w:line="360" w:lineRule="auto"/>
              <w:jc w:val="center"/>
              <w:rPr>
                <w:rFonts w:ascii="宋体" w:hAnsi="宋体"/>
                <w:color w:val="auto"/>
                <w:szCs w:val="21"/>
                <w:highlight w:val="none"/>
              </w:rPr>
            </w:pPr>
          </w:p>
        </w:tc>
        <w:tc>
          <w:tcPr>
            <w:tcW w:w="1161" w:type="dxa"/>
            <w:noWrap w:val="0"/>
            <w:vAlign w:val="top"/>
          </w:tcPr>
          <w:p w14:paraId="0275FD9B">
            <w:pPr>
              <w:spacing w:after="0" w:line="360" w:lineRule="auto"/>
              <w:jc w:val="center"/>
              <w:rPr>
                <w:rFonts w:ascii="宋体" w:hAnsi="宋体"/>
                <w:color w:val="auto"/>
                <w:szCs w:val="21"/>
                <w:highlight w:val="none"/>
              </w:rPr>
            </w:pPr>
          </w:p>
        </w:tc>
        <w:tc>
          <w:tcPr>
            <w:tcW w:w="1159" w:type="dxa"/>
            <w:noWrap w:val="0"/>
            <w:vAlign w:val="top"/>
          </w:tcPr>
          <w:p w14:paraId="5A355D2F">
            <w:pPr>
              <w:spacing w:after="0" w:line="360" w:lineRule="auto"/>
              <w:jc w:val="center"/>
              <w:rPr>
                <w:rFonts w:ascii="宋体" w:hAnsi="宋体"/>
                <w:color w:val="auto"/>
                <w:szCs w:val="21"/>
                <w:highlight w:val="none"/>
              </w:rPr>
            </w:pPr>
          </w:p>
        </w:tc>
      </w:tr>
      <w:tr w14:paraId="481F8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AFE106A">
            <w:pPr>
              <w:spacing w:after="0" w:line="360" w:lineRule="auto"/>
              <w:jc w:val="center"/>
              <w:rPr>
                <w:rFonts w:ascii="宋体" w:hAnsi="宋体"/>
                <w:color w:val="auto"/>
                <w:szCs w:val="21"/>
                <w:highlight w:val="none"/>
              </w:rPr>
            </w:pPr>
          </w:p>
        </w:tc>
        <w:tc>
          <w:tcPr>
            <w:tcW w:w="1420" w:type="dxa"/>
            <w:noWrap w:val="0"/>
            <w:vAlign w:val="top"/>
          </w:tcPr>
          <w:p w14:paraId="4C4C9AE4">
            <w:pPr>
              <w:spacing w:after="0" w:line="360" w:lineRule="auto"/>
              <w:jc w:val="center"/>
              <w:rPr>
                <w:rFonts w:ascii="宋体" w:hAnsi="宋体"/>
                <w:color w:val="auto"/>
                <w:szCs w:val="21"/>
                <w:highlight w:val="none"/>
              </w:rPr>
            </w:pPr>
          </w:p>
        </w:tc>
        <w:tc>
          <w:tcPr>
            <w:tcW w:w="1161" w:type="dxa"/>
            <w:noWrap w:val="0"/>
            <w:vAlign w:val="top"/>
          </w:tcPr>
          <w:p w14:paraId="6DE11A42">
            <w:pPr>
              <w:spacing w:after="0" w:line="360" w:lineRule="auto"/>
              <w:jc w:val="center"/>
              <w:rPr>
                <w:rFonts w:ascii="宋体" w:hAnsi="宋体"/>
                <w:color w:val="auto"/>
                <w:szCs w:val="21"/>
                <w:highlight w:val="none"/>
              </w:rPr>
            </w:pPr>
          </w:p>
        </w:tc>
        <w:tc>
          <w:tcPr>
            <w:tcW w:w="1161" w:type="dxa"/>
            <w:noWrap w:val="0"/>
            <w:vAlign w:val="top"/>
          </w:tcPr>
          <w:p w14:paraId="071EAC67">
            <w:pPr>
              <w:spacing w:after="0" w:line="360" w:lineRule="auto"/>
              <w:jc w:val="center"/>
              <w:rPr>
                <w:rFonts w:ascii="宋体" w:hAnsi="宋体"/>
                <w:color w:val="auto"/>
                <w:szCs w:val="21"/>
                <w:highlight w:val="none"/>
              </w:rPr>
            </w:pPr>
          </w:p>
        </w:tc>
        <w:tc>
          <w:tcPr>
            <w:tcW w:w="1161" w:type="dxa"/>
            <w:noWrap w:val="0"/>
            <w:vAlign w:val="top"/>
          </w:tcPr>
          <w:p w14:paraId="1315F72B">
            <w:pPr>
              <w:spacing w:after="0" w:line="360" w:lineRule="auto"/>
              <w:jc w:val="center"/>
              <w:rPr>
                <w:rFonts w:ascii="宋体" w:hAnsi="宋体"/>
                <w:color w:val="auto"/>
                <w:szCs w:val="21"/>
                <w:highlight w:val="none"/>
              </w:rPr>
            </w:pPr>
          </w:p>
        </w:tc>
        <w:tc>
          <w:tcPr>
            <w:tcW w:w="1161" w:type="dxa"/>
            <w:noWrap w:val="0"/>
            <w:vAlign w:val="top"/>
          </w:tcPr>
          <w:p w14:paraId="1FBFDFBD">
            <w:pPr>
              <w:spacing w:after="0" w:line="360" w:lineRule="auto"/>
              <w:jc w:val="center"/>
              <w:rPr>
                <w:rFonts w:ascii="宋体" w:hAnsi="宋体"/>
                <w:color w:val="auto"/>
                <w:szCs w:val="21"/>
                <w:highlight w:val="none"/>
              </w:rPr>
            </w:pPr>
          </w:p>
        </w:tc>
        <w:tc>
          <w:tcPr>
            <w:tcW w:w="1161" w:type="dxa"/>
            <w:noWrap w:val="0"/>
            <w:vAlign w:val="top"/>
          </w:tcPr>
          <w:p w14:paraId="0460C567">
            <w:pPr>
              <w:spacing w:after="0" w:line="360" w:lineRule="auto"/>
              <w:jc w:val="center"/>
              <w:rPr>
                <w:rFonts w:ascii="宋体" w:hAnsi="宋体"/>
                <w:color w:val="auto"/>
                <w:szCs w:val="21"/>
                <w:highlight w:val="none"/>
              </w:rPr>
            </w:pPr>
          </w:p>
        </w:tc>
        <w:tc>
          <w:tcPr>
            <w:tcW w:w="1159" w:type="dxa"/>
            <w:noWrap w:val="0"/>
            <w:vAlign w:val="top"/>
          </w:tcPr>
          <w:p w14:paraId="346A4457">
            <w:pPr>
              <w:spacing w:after="0" w:line="360" w:lineRule="auto"/>
              <w:jc w:val="center"/>
              <w:rPr>
                <w:rFonts w:ascii="宋体" w:hAnsi="宋体"/>
                <w:color w:val="auto"/>
                <w:szCs w:val="21"/>
                <w:highlight w:val="none"/>
              </w:rPr>
            </w:pPr>
          </w:p>
        </w:tc>
      </w:tr>
      <w:tr w14:paraId="583B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5AD2516">
            <w:pPr>
              <w:spacing w:after="0" w:line="360" w:lineRule="auto"/>
              <w:jc w:val="center"/>
              <w:rPr>
                <w:rFonts w:ascii="宋体" w:hAnsi="宋体"/>
                <w:color w:val="auto"/>
                <w:szCs w:val="21"/>
                <w:highlight w:val="none"/>
              </w:rPr>
            </w:pPr>
          </w:p>
        </w:tc>
        <w:tc>
          <w:tcPr>
            <w:tcW w:w="1420" w:type="dxa"/>
            <w:noWrap w:val="0"/>
            <w:vAlign w:val="top"/>
          </w:tcPr>
          <w:p w14:paraId="610B22A2">
            <w:pPr>
              <w:spacing w:after="0" w:line="360" w:lineRule="auto"/>
              <w:jc w:val="center"/>
              <w:rPr>
                <w:rFonts w:ascii="宋体" w:hAnsi="宋体"/>
                <w:color w:val="auto"/>
                <w:szCs w:val="21"/>
                <w:highlight w:val="none"/>
              </w:rPr>
            </w:pPr>
          </w:p>
        </w:tc>
        <w:tc>
          <w:tcPr>
            <w:tcW w:w="1161" w:type="dxa"/>
            <w:noWrap w:val="0"/>
            <w:vAlign w:val="top"/>
          </w:tcPr>
          <w:p w14:paraId="060DC884">
            <w:pPr>
              <w:spacing w:after="0" w:line="360" w:lineRule="auto"/>
              <w:jc w:val="center"/>
              <w:rPr>
                <w:rFonts w:ascii="宋体" w:hAnsi="宋体"/>
                <w:color w:val="auto"/>
                <w:szCs w:val="21"/>
                <w:highlight w:val="none"/>
              </w:rPr>
            </w:pPr>
          </w:p>
        </w:tc>
        <w:tc>
          <w:tcPr>
            <w:tcW w:w="1161" w:type="dxa"/>
            <w:noWrap w:val="0"/>
            <w:vAlign w:val="top"/>
          </w:tcPr>
          <w:p w14:paraId="5D88274A">
            <w:pPr>
              <w:spacing w:after="0" w:line="360" w:lineRule="auto"/>
              <w:jc w:val="center"/>
              <w:rPr>
                <w:rFonts w:ascii="宋体" w:hAnsi="宋体"/>
                <w:color w:val="auto"/>
                <w:szCs w:val="21"/>
                <w:highlight w:val="none"/>
              </w:rPr>
            </w:pPr>
          </w:p>
        </w:tc>
        <w:tc>
          <w:tcPr>
            <w:tcW w:w="1161" w:type="dxa"/>
            <w:noWrap w:val="0"/>
            <w:vAlign w:val="top"/>
          </w:tcPr>
          <w:p w14:paraId="32A41988">
            <w:pPr>
              <w:spacing w:after="0" w:line="360" w:lineRule="auto"/>
              <w:jc w:val="center"/>
              <w:rPr>
                <w:rFonts w:ascii="宋体" w:hAnsi="宋体"/>
                <w:color w:val="auto"/>
                <w:szCs w:val="21"/>
                <w:highlight w:val="none"/>
              </w:rPr>
            </w:pPr>
          </w:p>
        </w:tc>
        <w:tc>
          <w:tcPr>
            <w:tcW w:w="1161" w:type="dxa"/>
            <w:noWrap w:val="0"/>
            <w:vAlign w:val="top"/>
          </w:tcPr>
          <w:p w14:paraId="5A4E882E">
            <w:pPr>
              <w:spacing w:after="0" w:line="360" w:lineRule="auto"/>
              <w:jc w:val="center"/>
              <w:rPr>
                <w:rFonts w:ascii="宋体" w:hAnsi="宋体"/>
                <w:color w:val="auto"/>
                <w:szCs w:val="21"/>
                <w:highlight w:val="none"/>
              </w:rPr>
            </w:pPr>
          </w:p>
        </w:tc>
        <w:tc>
          <w:tcPr>
            <w:tcW w:w="1161" w:type="dxa"/>
            <w:noWrap w:val="0"/>
            <w:vAlign w:val="top"/>
          </w:tcPr>
          <w:p w14:paraId="4D91D623">
            <w:pPr>
              <w:spacing w:after="0" w:line="360" w:lineRule="auto"/>
              <w:jc w:val="center"/>
              <w:rPr>
                <w:rFonts w:ascii="宋体" w:hAnsi="宋体"/>
                <w:color w:val="auto"/>
                <w:szCs w:val="21"/>
                <w:highlight w:val="none"/>
              </w:rPr>
            </w:pPr>
          </w:p>
        </w:tc>
        <w:tc>
          <w:tcPr>
            <w:tcW w:w="1159" w:type="dxa"/>
            <w:noWrap w:val="0"/>
            <w:vAlign w:val="top"/>
          </w:tcPr>
          <w:p w14:paraId="1CFB9094">
            <w:pPr>
              <w:spacing w:after="0" w:line="360" w:lineRule="auto"/>
              <w:jc w:val="center"/>
              <w:rPr>
                <w:rFonts w:ascii="宋体" w:hAnsi="宋体"/>
                <w:color w:val="auto"/>
                <w:szCs w:val="21"/>
                <w:highlight w:val="none"/>
              </w:rPr>
            </w:pPr>
          </w:p>
        </w:tc>
      </w:tr>
      <w:tr w14:paraId="22A9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98801E8">
            <w:pPr>
              <w:spacing w:after="0" w:line="360" w:lineRule="auto"/>
              <w:jc w:val="center"/>
              <w:rPr>
                <w:rFonts w:ascii="宋体" w:hAnsi="宋体"/>
                <w:color w:val="auto"/>
                <w:szCs w:val="21"/>
                <w:highlight w:val="none"/>
              </w:rPr>
            </w:pPr>
          </w:p>
        </w:tc>
        <w:tc>
          <w:tcPr>
            <w:tcW w:w="1420" w:type="dxa"/>
            <w:noWrap w:val="0"/>
            <w:vAlign w:val="top"/>
          </w:tcPr>
          <w:p w14:paraId="020AF46D">
            <w:pPr>
              <w:spacing w:after="0" w:line="360" w:lineRule="auto"/>
              <w:jc w:val="center"/>
              <w:rPr>
                <w:rFonts w:ascii="宋体" w:hAnsi="宋体"/>
                <w:color w:val="auto"/>
                <w:szCs w:val="21"/>
                <w:highlight w:val="none"/>
              </w:rPr>
            </w:pPr>
          </w:p>
        </w:tc>
        <w:tc>
          <w:tcPr>
            <w:tcW w:w="1161" w:type="dxa"/>
            <w:noWrap w:val="0"/>
            <w:vAlign w:val="top"/>
          </w:tcPr>
          <w:p w14:paraId="1E01CA77">
            <w:pPr>
              <w:spacing w:after="0" w:line="360" w:lineRule="auto"/>
              <w:jc w:val="center"/>
              <w:rPr>
                <w:rFonts w:ascii="宋体" w:hAnsi="宋体"/>
                <w:color w:val="auto"/>
                <w:szCs w:val="21"/>
                <w:highlight w:val="none"/>
              </w:rPr>
            </w:pPr>
          </w:p>
        </w:tc>
        <w:tc>
          <w:tcPr>
            <w:tcW w:w="1161" w:type="dxa"/>
            <w:noWrap w:val="0"/>
            <w:vAlign w:val="top"/>
          </w:tcPr>
          <w:p w14:paraId="013FBEF8">
            <w:pPr>
              <w:spacing w:after="0" w:line="360" w:lineRule="auto"/>
              <w:jc w:val="center"/>
              <w:rPr>
                <w:rFonts w:ascii="宋体" w:hAnsi="宋体"/>
                <w:color w:val="auto"/>
                <w:szCs w:val="21"/>
                <w:highlight w:val="none"/>
              </w:rPr>
            </w:pPr>
          </w:p>
        </w:tc>
        <w:tc>
          <w:tcPr>
            <w:tcW w:w="1161" w:type="dxa"/>
            <w:noWrap w:val="0"/>
            <w:vAlign w:val="top"/>
          </w:tcPr>
          <w:p w14:paraId="7D4045CD">
            <w:pPr>
              <w:spacing w:after="0" w:line="360" w:lineRule="auto"/>
              <w:jc w:val="center"/>
              <w:rPr>
                <w:rFonts w:ascii="宋体" w:hAnsi="宋体"/>
                <w:color w:val="auto"/>
                <w:szCs w:val="21"/>
                <w:highlight w:val="none"/>
              </w:rPr>
            </w:pPr>
          </w:p>
        </w:tc>
        <w:tc>
          <w:tcPr>
            <w:tcW w:w="1161" w:type="dxa"/>
            <w:noWrap w:val="0"/>
            <w:vAlign w:val="top"/>
          </w:tcPr>
          <w:p w14:paraId="5BE5243B">
            <w:pPr>
              <w:spacing w:after="0" w:line="360" w:lineRule="auto"/>
              <w:jc w:val="center"/>
              <w:rPr>
                <w:rFonts w:ascii="宋体" w:hAnsi="宋体"/>
                <w:color w:val="auto"/>
                <w:szCs w:val="21"/>
                <w:highlight w:val="none"/>
              </w:rPr>
            </w:pPr>
          </w:p>
        </w:tc>
        <w:tc>
          <w:tcPr>
            <w:tcW w:w="1161" w:type="dxa"/>
            <w:noWrap w:val="0"/>
            <w:vAlign w:val="top"/>
          </w:tcPr>
          <w:p w14:paraId="2A4C090E">
            <w:pPr>
              <w:spacing w:after="0" w:line="360" w:lineRule="auto"/>
              <w:jc w:val="center"/>
              <w:rPr>
                <w:rFonts w:ascii="宋体" w:hAnsi="宋体"/>
                <w:color w:val="auto"/>
                <w:szCs w:val="21"/>
                <w:highlight w:val="none"/>
              </w:rPr>
            </w:pPr>
          </w:p>
        </w:tc>
        <w:tc>
          <w:tcPr>
            <w:tcW w:w="1159" w:type="dxa"/>
            <w:noWrap w:val="0"/>
            <w:vAlign w:val="top"/>
          </w:tcPr>
          <w:p w14:paraId="36AB6EC3">
            <w:pPr>
              <w:spacing w:after="0" w:line="360" w:lineRule="auto"/>
              <w:jc w:val="center"/>
              <w:rPr>
                <w:rFonts w:ascii="宋体" w:hAnsi="宋体"/>
                <w:color w:val="auto"/>
                <w:szCs w:val="21"/>
                <w:highlight w:val="none"/>
              </w:rPr>
            </w:pPr>
          </w:p>
        </w:tc>
      </w:tr>
      <w:tr w14:paraId="4CEDC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E16A16A">
            <w:pPr>
              <w:spacing w:after="0" w:line="360" w:lineRule="auto"/>
              <w:jc w:val="center"/>
              <w:rPr>
                <w:rFonts w:ascii="宋体" w:hAnsi="宋体"/>
                <w:color w:val="auto"/>
                <w:szCs w:val="21"/>
                <w:highlight w:val="none"/>
              </w:rPr>
            </w:pPr>
          </w:p>
        </w:tc>
        <w:tc>
          <w:tcPr>
            <w:tcW w:w="1420" w:type="dxa"/>
            <w:noWrap w:val="0"/>
            <w:vAlign w:val="top"/>
          </w:tcPr>
          <w:p w14:paraId="531018F7">
            <w:pPr>
              <w:spacing w:after="0" w:line="360" w:lineRule="auto"/>
              <w:jc w:val="center"/>
              <w:rPr>
                <w:rFonts w:ascii="宋体" w:hAnsi="宋体"/>
                <w:color w:val="auto"/>
                <w:szCs w:val="21"/>
                <w:highlight w:val="none"/>
              </w:rPr>
            </w:pPr>
          </w:p>
        </w:tc>
        <w:tc>
          <w:tcPr>
            <w:tcW w:w="1161" w:type="dxa"/>
            <w:noWrap w:val="0"/>
            <w:vAlign w:val="top"/>
          </w:tcPr>
          <w:p w14:paraId="07FC1256">
            <w:pPr>
              <w:spacing w:after="0" w:line="360" w:lineRule="auto"/>
              <w:jc w:val="center"/>
              <w:rPr>
                <w:rFonts w:ascii="宋体" w:hAnsi="宋体"/>
                <w:color w:val="auto"/>
                <w:szCs w:val="21"/>
                <w:highlight w:val="none"/>
              </w:rPr>
            </w:pPr>
          </w:p>
        </w:tc>
        <w:tc>
          <w:tcPr>
            <w:tcW w:w="1161" w:type="dxa"/>
            <w:noWrap w:val="0"/>
            <w:vAlign w:val="top"/>
          </w:tcPr>
          <w:p w14:paraId="06E234A5">
            <w:pPr>
              <w:spacing w:after="0" w:line="360" w:lineRule="auto"/>
              <w:jc w:val="center"/>
              <w:rPr>
                <w:rFonts w:ascii="宋体" w:hAnsi="宋体"/>
                <w:color w:val="auto"/>
                <w:szCs w:val="21"/>
                <w:highlight w:val="none"/>
              </w:rPr>
            </w:pPr>
          </w:p>
        </w:tc>
        <w:tc>
          <w:tcPr>
            <w:tcW w:w="1161" w:type="dxa"/>
            <w:noWrap w:val="0"/>
            <w:vAlign w:val="top"/>
          </w:tcPr>
          <w:p w14:paraId="4F30087E">
            <w:pPr>
              <w:spacing w:after="0" w:line="360" w:lineRule="auto"/>
              <w:jc w:val="center"/>
              <w:rPr>
                <w:rFonts w:ascii="宋体" w:hAnsi="宋体"/>
                <w:color w:val="auto"/>
                <w:szCs w:val="21"/>
                <w:highlight w:val="none"/>
              </w:rPr>
            </w:pPr>
          </w:p>
        </w:tc>
        <w:tc>
          <w:tcPr>
            <w:tcW w:w="1161" w:type="dxa"/>
            <w:noWrap w:val="0"/>
            <w:vAlign w:val="top"/>
          </w:tcPr>
          <w:p w14:paraId="66CD2F96">
            <w:pPr>
              <w:spacing w:after="0" w:line="360" w:lineRule="auto"/>
              <w:jc w:val="center"/>
              <w:rPr>
                <w:rFonts w:ascii="宋体" w:hAnsi="宋体"/>
                <w:color w:val="auto"/>
                <w:szCs w:val="21"/>
                <w:highlight w:val="none"/>
              </w:rPr>
            </w:pPr>
          </w:p>
        </w:tc>
        <w:tc>
          <w:tcPr>
            <w:tcW w:w="1161" w:type="dxa"/>
            <w:noWrap w:val="0"/>
            <w:vAlign w:val="top"/>
          </w:tcPr>
          <w:p w14:paraId="1B3BC56D">
            <w:pPr>
              <w:spacing w:after="0" w:line="360" w:lineRule="auto"/>
              <w:jc w:val="center"/>
              <w:rPr>
                <w:rFonts w:ascii="宋体" w:hAnsi="宋体"/>
                <w:color w:val="auto"/>
                <w:szCs w:val="21"/>
                <w:highlight w:val="none"/>
              </w:rPr>
            </w:pPr>
          </w:p>
        </w:tc>
        <w:tc>
          <w:tcPr>
            <w:tcW w:w="1159" w:type="dxa"/>
            <w:noWrap w:val="0"/>
            <w:vAlign w:val="top"/>
          </w:tcPr>
          <w:p w14:paraId="6F20E308">
            <w:pPr>
              <w:spacing w:after="0" w:line="360" w:lineRule="auto"/>
              <w:jc w:val="center"/>
              <w:rPr>
                <w:rFonts w:ascii="宋体" w:hAnsi="宋体"/>
                <w:color w:val="auto"/>
                <w:szCs w:val="21"/>
                <w:highlight w:val="none"/>
              </w:rPr>
            </w:pPr>
          </w:p>
        </w:tc>
      </w:tr>
      <w:tr w14:paraId="111F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EBBDDC4">
            <w:pPr>
              <w:spacing w:after="0" w:line="360" w:lineRule="auto"/>
              <w:jc w:val="center"/>
              <w:rPr>
                <w:rFonts w:ascii="宋体" w:hAnsi="宋体"/>
                <w:color w:val="auto"/>
                <w:szCs w:val="21"/>
                <w:highlight w:val="none"/>
              </w:rPr>
            </w:pPr>
          </w:p>
        </w:tc>
        <w:tc>
          <w:tcPr>
            <w:tcW w:w="1420" w:type="dxa"/>
            <w:noWrap w:val="0"/>
            <w:vAlign w:val="top"/>
          </w:tcPr>
          <w:p w14:paraId="3742239D">
            <w:pPr>
              <w:spacing w:after="0" w:line="360" w:lineRule="auto"/>
              <w:jc w:val="center"/>
              <w:rPr>
                <w:rFonts w:ascii="宋体" w:hAnsi="宋体"/>
                <w:color w:val="auto"/>
                <w:szCs w:val="21"/>
                <w:highlight w:val="none"/>
              </w:rPr>
            </w:pPr>
          </w:p>
        </w:tc>
        <w:tc>
          <w:tcPr>
            <w:tcW w:w="1161" w:type="dxa"/>
            <w:noWrap w:val="0"/>
            <w:vAlign w:val="top"/>
          </w:tcPr>
          <w:p w14:paraId="34038184">
            <w:pPr>
              <w:spacing w:after="0" w:line="360" w:lineRule="auto"/>
              <w:jc w:val="center"/>
              <w:rPr>
                <w:rFonts w:ascii="宋体" w:hAnsi="宋体"/>
                <w:color w:val="auto"/>
                <w:szCs w:val="21"/>
                <w:highlight w:val="none"/>
              </w:rPr>
            </w:pPr>
          </w:p>
        </w:tc>
        <w:tc>
          <w:tcPr>
            <w:tcW w:w="1161" w:type="dxa"/>
            <w:noWrap w:val="0"/>
            <w:vAlign w:val="top"/>
          </w:tcPr>
          <w:p w14:paraId="3670F14E">
            <w:pPr>
              <w:spacing w:after="0" w:line="360" w:lineRule="auto"/>
              <w:jc w:val="center"/>
              <w:rPr>
                <w:rFonts w:ascii="宋体" w:hAnsi="宋体"/>
                <w:color w:val="auto"/>
                <w:szCs w:val="21"/>
                <w:highlight w:val="none"/>
              </w:rPr>
            </w:pPr>
          </w:p>
        </w:tc>
        <w:tc>
          <w:tcPr>
            <w:tcW w:w="1161" w:type="dxa"/>
            <w:noWrap w:val="0"/>
            <w:vAlign w:val="top"/>
          </w:tcPr>
          <w:p w14:paraId="095AE188">
            <w:pPr>
              <w:spacing w:after="0" w:line="360" w:lineRule="auto"/>
              <w:jc w:val="center"/>
              <w:rPr>
                <w:rFonts w:ascii="宋体" w:hAnsi="宋体"/>
                <w:color w:val="auto"/>
                <w:szCs w:val="21"/>
                <w:highlight w:val="none"/>
              </w:rPr>
            </w:pPr>
          </w:p>
        </w:tc>
        <w:tc>
          <w:tcPr>
            <w:tcW w:w="1161" w:type="dxa"/>
            <w:noWrap w:val="0"/>
            <w:vAlign w:val="top"/>
          </w:tcPr>
          <w:p w14:paraId="41AAE546">
            <w:pPr>
              <w:spacing w:after="0" w:line="360" w:lineRule="auto"/>
              <w:jc w:val="center"/>
              <w:rPr>
                <w:rFonts w:ascii="宋体" w:hAnsi="宋体"/>
                <w:color w:val="auto"/>
                <w:szCs w:val="21"/>
                <w:highlight w:val="none"/>
              </w:rPr>
            </w:pPr>
          </w:p>
        </w:tc>
        <w:tc>
          <w:tcPr>
            <w:tcW w:w="1161" w:type="dxa"/>
            <w:noWrap w:val="0"/>
            <w:vAlign w:val="top"/>
          </w:tcPr>
          <w:p w14:paraId="1BF94D72">
            <w:pPr>
              <w:spacing w:after="0" w:line="360" w:lineRule="auto"/>
              <w:jc w:val="center"/>
              <w:rPr>
                <w:rFonts w:ascii="宋体" w:hAnsi="宋体"/>
                <w:color w:val="auto"/>
                <w:szCs w:val="21"/>
                <w:highlight w:val="none"/>
              </w:rPr>
            </w:pPr>
          </w:p>
        </w:tc>
        <w:tc>
          <w:tcPr>
            <w:tcW w:w="1159" w:type="dxa"/>
            <w:noWrap w:val="0"/>
            <w:vAlign w:val="top"/>
          </w:tcPr>
          <w:p w14:paraId="44E03239">
            <w:pPr>
              <w:spacing w:after="0" w:line="360" w:lineRule="auto"/>
              <w:jc w:val="center"/>
              <w:rPr>
                <w:rFonts w:ascii="宋体" w:hAnsi="宋体"/>
                <w:color w:val="auto"/>
                <w:szCs w:val="21"/>
                <w:highlight w:val="none"/>
              </w:rPr>
            </w:pPr>
          </w:p>
        </w:tc>
      </w:tr>
      <w:tr w14:paraId="4543B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CD87102">
            <w:pPr>
              <w:spacing w:after="0" w:line="360" w:lineRule="auto"/>
              <w:jc w:val="center"/>
              <w:rPr>
                <w:rFonts w:ascii="宋体" w:hAnsi="宋体"/>
                <w:color w:val="auto"/>
                <w:szCs w:val="21"/>
                <w:highlight w:val="none"/>
              </w:rPr>
            </w:pPr>
          </w:p>
        </w:tc>
        <w:tc>
          <w:tcPr>
            <w:tcW w:w="1420" w:type="dxa"/>
            <w:noWrap w:val="0"/>
            <w:vAlign w:val="top"/>
          </w:tcPr>
          <w:p w14:paraId="397114B5">
            <w:pPr>
              <w:spacing w:after="0" w:line="360" w:lineRule="auto"/>
              <w:jc w:val="center"/>
              <w:rPr>
                <w:rFonts w:ascii="宋体" w:hAnsi="宋体"/>
                <w:color w:val="auto"/>
                <w:szCs w:val="21"/>
                <w:highlight w:val="none"/>
              </w:rPr>
            </w:pPr>
          </w:p>
        </w:tc>
        <w:tc>
          <w:tcPr>
            <w:tcW w:w="1161" w:type="dxa"/>
            <w:noWrap w:val="0"/>
            <w:vAlign w:val="top"/>
          </w:tcPr>
          <w:p w14:paraId="7809B16F">
            <w:pPr>
              <w:spacing w:after="0" w:line="360" w:lineRule="auto"/>
              <w:jc w:val="center"/>
              <w:rPr>
                <w:rFonts w:ascii="宋体" w:hAnsi="宋体"/>
                <w:color w:val="auto"/>
                <w:szCs w:val="21"/>
                <w:highlight w:val="none"/>
              </w:rPr>
            </w:pPr>
          </w:p>
        </w:tc>
        <w:tc>
          <w:tcPr>
            <w:tcW w:w="1161" w:type="dxa"/>
            <w:noWrap w:val="0"/>
            <w:vAlign w:val="top"/>
          </w:tcPr>
          <w:p w14:paraId="66E04522">
            <w:pPr>
              <w:spacing w:after="0" w:line="360" w:lineRule="auto"/>
              <w:jc w:val="center"/>
              <w:rPr>
                <w:rFonts w:ascii="宋体" w:hAnsi="宋体"/>
                <w:color w:val="auto"/>
                <w:szCs w:val="21"/>
                <w:highlight w:val="none"/>
              </w:rPr>
            </w:pPr>
          </w:p>
        </w:tc>
        <w:tc>
          <w:tcPr>
            <w:tcW w:w="1161" w:type="dxa"/>
            <w:noWrap w:val="0"/>
            <w:vAlign w:val="top"/>
          </w:tcPr>
          <w:p w14:paraId="112594A1">
            <w:pPr>
              <w:spacing w:after="0" w:line="360" w:lineRule="auto"/>
              <w:jc w:val="center"/>
              <w:rPr>
                <w:rFonts w:ascii="宋体" w:hAnsi="宋体"/>
                <w:color w:val="auto"/>
                <w:szCs w:val="21"/>
                <w:highlight w:val="none"/>
              </w:rPr>
            </w:pPr>
          </w:p>
        </w:tc>
        <w:tc>
          <w:tcPr>
            <w:tcW w:w="1161" w:type="dxa"/>
            <w:noWrap w:val="0"/>
            <w:vAlign w:val="top"/>
          </w:tcPr>
          <w:p w14:paraId="41185B9A">
            <w:pPr>
              <w:spacing w:after="0" w:line="360" w:lineRule="auto"/>
              <w:jc w:val="center"/>
              <w:rPr>
                <w:rFonts w:ascii="宋体" w:hAnsi="宋体"/>
                <w:color w:val="auto"/>
                <w:szCs w:val="21"/>
                <w:highlight w:val="none"/>
              </w:rPr>
            </w:pPr>
          </w:p>
        </w:tc>
        <w:tc>
          <w:tcPr>
            <w:tcW w:w="1161" w:type="dxa"/>
            <w:noWrap w:val="0"/>
            <w:vAlign w:val="top"/>
          </w:tcPr>
          <w:p w14:paraId="471022BE">
            <w:pPr>
              <w:spacing w:after="0" w:line="360" w:lineRule="auto"/>
              <w:jc w:val="center"/>
              <w:rPr>
                <w:rFonts w:ascii="宋体" w:hAnsi="宋体"/>
                <w:color w:val="auto"/>
                <w:szCs w:val="21"/>
                <w:highlight w:val="none"/>
              </w:rPr>
            </w:pPr>
          </w:p>
        </w:tc>
        <w:tc>
          <w:tcPr>
            <w:tcW w:w="1159" w:type="dxa"/>
            <w:noWrap w:val="0"/>
            <w:vAlign w:val="top"/>
          </w:tcPr>
          <w:p w14:paraId="75E9EAEC">
            <w:pPr>
              <w:spacing w:after="0" w:line="360" w:lineRule="auto"/>
              <w:jc w:val="center"/>
              <w:rPr>
                <w:rFonts w:ascii="宋体" w:hAnsi="宋体"/>
                <w:color w:val="auto"/>
                <w:szCs w:val="21"/>
                <w:highlight w:val="none"/>
              </w:rPr>
            </w:pPr>
          </w:p>
        </w:tc>
      </w:tr>
      <w:tr w14:paraId="19D46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86BDC69">
            <w:pPr>
              <w:spacing w:after="0" w:line="360" w:lineRule="auto"/>
              <w:jc w:val="center"/>
              <w:rPr>
                <w:rFonts w:ascii="宋体" w:hAnsi="宋体"/>
                <w:color w:val="auto"/>
                <w:szCs w:val="21"/>
                <w:highlight w:val="none"/>
              </w:rPr>
            </w:pPr>
          </w:p>
        </w:tc>
        <w:tc>
          <w:tcPr>
            <w:tcW w:w="1420" w:type="dxa"/>
            <w:noWrap w:val="0"/>
            <w:vAlign w:val="top"/>
          </w:tcPr>
          <w:p w14:paraId="0D63743A">
            <w:pPr>
              <w:spacing w:after="0" w:line="360" w:lineRule="auto"/>
              <w:jc w:val="center"/>
              <w:rPr>
                <w:rFonts w:ascii="宋体" w:hAnsi="宋体"/>
                <w:color w:val="auto"/>
                <w:szCs w:val="21"/>
                <w:highlight w:val="none"/>
              </w:rPr>
            </w:pPr>
          </w:p>
        </w:tc>
        <w:tc>
          <w:tcPr>
            <w:tcW w:w="1161" w:type="dxa"/>
            <w:noWrap w:val="0"/>
            <w:vAlign w:val="top"/>
          </w:tcPr>
          <w:p w14:paraId="0D9048B6">
            <w:pPr>
              <w:spacing w:after="0" w:line="360" w:lineRule="auto"/>
              <w:jc w:val="center"/>
              <w:rPr>
                <w:rFonts w:ascii="宋体" w:hAnsi="宋体"/>
                <w:color w:val="auto"/>
                <w:szCs w:val="21"/>
                <w:highlight w:val="none"/>
              </w:rPr>
            </w:pPr>
          </w:p>
        </w:tc>
        <w:tc>
          <w:tcPr>
            <w:tcW w:w="1161" w:type="dxa"/>
            <w:noWrap w:val="0"/>
            <w:vAlign w:val="top"/>
          </w:tcPr>
          <w:p w14:paraId="194DCEC7">
            <w:pPr>
              <w:spacing w:after="0" w:line="360" w:lineRule="auto"/>
              <w:jc w:val="center"/>
              <w:rPr>
                <w:rFonts w:ascii="宋体" w:hAnsi="宋体"/>
                <w:color w:val="auto"/>
                <w:szCs w:val="21"/>
                <w:highlight w:val="none"/>
              </w:rPr>
            </w:pPr>
          </w:p>
        </w:tc>
        <w:tc>
          <w:tcPr>
            <w:tcW w:w="1161" w:type="dxa"/>
            <w:noWrap w:val="0"/>
            <w:vAlign w:val="top"/>
          </w:tcPr>
          <w:p w14:paraId="5C5EBB9E">
            <w:pPr>
              <w:spacing w:after="0" w:line="360" w:lineRule="auto"/>
              <w:jc w:val="center"/>
              <w:rPr>
                <w:rFonts w:ascii="宋体" w:hAnsi="宋体"/>
                <w:color w:val="auto"/>
                <w:szCs w:val="21"/>
                <w:highlight w:val="none"/>
              </w:rPr>
            </w:pPr>
          </w:p>
        </w:tc>
        <w:tc>
          <w:tcPr>
            <w:tcW w:w="1161" w:type="dxa"/>
            <w:noWrap w:val="0"/>
            <w:vAlign w:val="top"/>
          </w:tcPr>
          <w:p w14:paraId="2A996F22">
            <w:pPr>
              <w:spacing w:after="0" w:line="360" w:lineRule="auto"/>
              <w:jc w:val="center"/>
              <w:rPr>
                <w:rFonts w:ascii="宋体" w:hAnsi="宋体"/>
                <w:color w:val="auto"/>
                <w:szCs w:val="21"/>
                <w:highlight w:val="none"/>
              </w:rPr>
            </w:pPr>
          </w:p>
        </w:tc>
        <w:tc>
          <w:tcPr>
            <w:tcW w:w="1161" w:type="dxa"/>
            <w:noWrap w:val="0"/>
            <w:vAlign w:val="top"/>
          </w:tcPr>
          <w:p w14:paraId="26C08928">
            <w:pPr>
              <w:spacing w:after="0" w:line="360" w:lineRule="auto"/>
              <w:jc w:val="center"/>
              <w:rPr>
                <w:rFonts w:ascii="宋体" w:hAnsi="宋体"/>
                <w:color w:val="auto"/>
                <w:szCs w:val="21"/>
                <w:highlight w:val="none"/>
              </w:rPr>
            </w:pPr>
          </w:p>
        </w:tc>
        <w:tc>
          <w:tcPr>
            <w:tcW w:w="1159" w:type="dxa"/>
            <w:noWrap w:val="0"/>
            <w:vAlign w:val="top"/>
          </w:tcPr>
          <w:p w14:paraId="016DFC3B">
            <w:pPr>
              <w:spacing w:after="0" w:line="360" w:lineRule="auto"/>
              <w:jc w:val="center"/>
              <w:rPr>
                <w:rFonts w:ascii="宋体" w:hAnsi="宋体"/>
                <w:color w:val="auto"/>
                <w:szCs w:val="21"/>
                <w:highlight w:val="none"/>
              </w:rPr>
            </w:pPr>
          </w:p>
        </w:tc>
      </w:tr>
      <w:tr w14:paraId="79DAB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84C11D0">
            <w:pPr>
              <w:spacing w:after="0" w:line="360" w:lineRule="auto"/>
              <w:jc w:val="center"/>
              <w:rPr>
                <w:rFonts w:ascii="宋体" w:hAnsi="宋体"/>
                <w:color w:val="auto"/>
                <w:szCs w:val="21"/>
                <w:highlight w:val="none"/>
              </w:rPr>
            </w:pPr>
          </w:p>
        </w:tc>
        <w:tc>
          <w:tcPr>
            <w:tcW w:w="1420" w:type="dxa"/>
            <w:noWrap w:val="0"/>
            <w:vAlign w:val="top"/>
          </w:tcPr>
          <w:p w14:paraId="0A441C65">
            <w:pPr>
              <w:spacing w:after="0" w:line="360" w:lineRule="auto"/>
              <w:jc w:val="center"/>
              <w:rPr>
                <w:rFonts w:ascii="宋体" w:hAnsi="宋体"/>
                <w:color w:val="auto"/>
                <w:szCs w:val="21"/>
                <w:highlight w:val="none"/>
              </w:rPr>
            </w:pPr>
          </w:p>
        </w:tc>
        <w:tc>
          <w:tcPr>
            <w:tcW w:w="1161" w:type="dxa"/>
            <w:noWrap w:val="0"/>
            <w:vAlign w:val="top"/>
          </w:tcPr>
          <w:p w14:paraId="1CE97831">
            <w:pPr>
              <w:spacing w:after="0" w:line="360" w:lineRule="auto"/>
              <w:jc w:val="center"/>
              <w:rPr>
                <w:rFonts w:ascii="宋体" w:hAnsi="宋体"/>
                <w:color w:val="auto"/>
                <w:szCs w:val="21"/>
                <w:highlight w:val="none"/>
              </w:rPr>
            </w:pPr>
          </w:p>
        </w:tc>
        <w:tc>
          <w:tcPr>
            <w:tcW w:w="1161" w:type="dxa"/>
            <w:noWrap w:val="0"/>
            <w:vAlign w:val="top"/>
          </w:tcPr>
          <w:p w14:paraId="65C8A78C">
            <w:pPr>
              <w:spacing w:after="0" w:line="360" w:lineRule="auto"/>
              <w:jc w:val="center"/>
              <w:rPr>
                <w:rFonts w:ascii="宋体" w:hAnsi="宋体"/>
                <w:color w:val="auto"/>
                <w:szCs w:val="21"/>
                <w:highlight w:val="none"/>
              </w:rPr>
            </w:pPr>
          </w:p>
        </w:tc>
        <w:tc>
          <w:tcPr>
            <w:tcW w:w="1161" w:type="dxa"/>
            <w:noWrap w:val="0"/>
            <w:vAlign w:val="top"/>
          </w:tcPr>
          <w:p w14:paraId="7B47E126">
            <w:pPr>
              <w:spacing w:after="0" w:line="360" w:lineRule="auto"/>
              <w:jc w:val="center"/>
              <w:rPr>
                <w:rFonts w:ascii="宋体" w:hAnsi="宋体"/>
                <w:color w:val="auto"/>
                <w:szCs w:val="21"/>
                <w:highlight w:val="none"/>
              </w:rPr>
            </w:pPr>
          </w:p>
        </w:tc>
        <w:tc>
          <w:tcPr>
            <w:tcW w:w="1161" w:type="dxa"/>
            <w:noWrap w:val="0"/>
            <w:vAlign w:val="top"/>
          </w:tcPr>
          <w:p w14:paraId="41FE3D64">
            <w:pPr>
              <w:spacing w:after="0" w:line="360" w:lineRule="auto"/>
              <w:jc w:val="center"/>
              <w:rPr>
                <w:rFonts w:ascii="宋体" w:hAnsi="宋体"/>
                <w:color w:val="auto"/>
                <w:szCs w:val="21"/>
                <w:highlight w:val="none"/>
              </w:rPr>
            </w:pPr>
          </w:p>
        </w:tc>
        <w:tc>
          <w:tcPr>
            <w:tcW w:w="1161" w:type="dxa"/>
            <w:noWrap w:val="0"/>
            <w:vAlign w:val="top"/>
          </w:tcPr>
          <w:p w14:paraId="5A901D2E">
            <w:pPr>
              <w:spacing w:after="0" w:line="360" w:lineRule="auto"/>
              <w:jc w:val="center"/>
              <w:rPr>
                <w:rFonts w:ascii="宋体" w:hAnsi="宋体"/>
                <w:color w:val="auto"/>
                <w:szCs w:val="21"/>
                <w:highlight w:val="none"/>
              </w:rPr>
            </w:pPr>
          </w:p>
        </w:tc>
        <w:tc>
          <w:tcPr>
            <w:tcW w:w="1159" w:type="dxa"/>
            <w:noWrap w:val="0"/>
            <w:vAlign w:val="top"/>
          </w:tcPr>
          <w:p w14:paraId="3707B4C4">
            <w:pPr>
              <w:spacing w:after="0" w:line="360" w:lineRule="auto"/>
              <w:jc w:val="center"/>
              <w:rPr>
                <w:rFonts w:ascii="宋体" w:hAnsi="宋体"/>
                <w:color w:val="auto"/>
                <w:szCs w:val="21"/>
                <w:highlight w:val="none"/>
              </w:rPr>
            </w:pPr>
          </w:p>
        </w:tc>
      </w:tr>
      <w:tr w14:paraId="333C4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94680E5">
            <w:pPr>
              <w:spacing w:after="0" w:line="360" w:lineRule="auto"/>
              <w:jc w:val="center"/>
              <w:rPr>
                <w:rFonts w:ascii="宋体" w:hAnsi="宋体"/>
                <w:color w:val="auto"/>
                <w:szCs w:val="21"/>
                <w:highlight w:val="none"/>
              </w:rPr>
            </w:pPr>
          </w:p>
        </w:tc>
        <w:tc>
          <w:tcPr>
            <w:tcW w:w="1420" w:type="dxa"/>
            <w:noWrap w:val="0"/>
            <w:vAlign w:val="top"/>
          </w:tcPr>
          <w:p w14:paraId="1E140861">
            <w:pPr>
              <w:spacing w:after="0" w:line="360" w:lineRule="auto"/>
              <w:jc w:val="center"/>
              <w:rPr>
                <w:rFonts w:ascii="宋体" w:hAnsi="宋体"/>
                <w:color w:val="auto"/>
                <w:szCs w:val="21"/>
                <w:highlight w:val="none"/>
              </w:rPr>
            </w:pPr>
          </w:p>
        </w:tc>
        <w:tc>
          <w:tcPr>
            <w:tcW w:w="1161" w:type="dxa"/>
            <w:noWrap w:val="0"/>
            <w:vAlign w:val="top"/>
          </w:tcPr>
          <w:p w14:paraId="29A9BB08">
            <w:pPr>
              <w:spacing w:after="0" w:line="360" w:lineRule="auto"/>
              <w:jc w:val="center"/>
              <w:rPr>
                <w:rFonts w:ascii="宋体" w:hAnsi="宋体"/>
                <w:color w:val="auto"/>
                <w:szCs w:val="21"/>
                <w:highlight w:val="none"/>
              </w:rPr>
            </w:pPr>
          </w:p>
        </w:tc>
        <w:tc>
          <w:tcPr>
            <w:tcW w:w="1161" w:type="dxa"/>
            <w:noWrap w:val="0"/>
            <w:vAlign w:val="top"/>
          </w:tcPr>
          <w:p w14:paraId="7921E814">
            <w:pPr>
              <w:spacing w:after="0" w:line="360" w:lineRule="auto"/>
              <w:jc w:val="center"/>
              <w:rPr>
                <w:rFonts w:ascii="宋体" w:hAnsi="宋体"/>
                <w:color w:val="auto"/>
                <w:szCs w:val="21"/>
                <w:highlight w:val="none"/>
              </w:rPr>
            </w:pPr>
          </w:p>
        </w:tc>
        <w:tc>
          <w:tcPr>
            <w:tcW w:w="1161" w:type="dxa"/>
            <w:noWrap w:val="0"/>
            <w:vAlign w:val="top"/>
          </w:tcPr>
          <w:p w14:paraId="0EF0159F">
            <w:pPr>
              <w:spacing w:after="0" w:line="360" w:lineRule="auto"/>
              <w:jc w:val="center"/>
              <w:rPr>
                <w:rFonts w:ascii="宋体" w:hAnsi="宋体"/>
                <w:color w:val="auto"/>
                <w:szCs w:val="21"/>
                <w:highlight w:val="none"/>
              </w:rPr>
            </w:pPr>
          </w:p>
        </w:tc>
        <w:tc>
          <w:tcPr>
            <w:tcW w:w="1161" w:type="dxa"/>
            <w:noWrap w:val="0"/>
            <w:vAlign w:val="top"/>
          </w:tcPr>
          <w:p w14:paraId="51C8F29E">
            <w:pPr>
              <w:spacing w:after="0" w:line="360" w:lineRule="auto"/>
              <w:jc w:val="center"/>
              <w:rPr>
                <w:rFonts w:ascii="宋体" w:hAnsi="宋体"/>
                <w:color w:val="auto"/>
                <w:szCs w:val="21"/>
                <w:highlight w:val="none"/>
              </w:rPr>
            </w:pPr>
          </w:p>
        </w:tc>
        <w:tc>
          <w:tcPr>
            <w:tcW w:w="1161" w:type="dxa"/>
            <w:noWrap w:val="0"/>
            <w:vAlign w:val="top"/>
          </w:tcPr>
          <w:p w14:paraId="4A93EF64">
            <w:pPr>
              <w:spacing w:after="0" w:line="360" w:lineRule="auto"/>
              <w:jc w:val="center"/>
              <w:rPr>
                <w:rFonts w:ascii="宋体" w:hAnsi="宋体"/>
                <w:color w:val="auto"/>
                <w:szCs w:val="21"/>
                <w:highlight w:val="none"/>
              </w:rPr>
            </w:pPr>
          </w:p>
        </w:tc>
        <w:tc>
          <w:tcPr>
            <w:tcW w:w="1159" w:type="dxa"/>
            <w:noWrap w:val="0"/>
            <w:vAlign w:val="top"/>
          </w:tcPr>
          <w:p w14:paraId="27922619">
            <w:pPr>
              <w:spacing w:after="0" w:line="360" w:lineRule="auto"/>
              <w:jc w:val="center"/>
              <w:rPr>
                <w:rFonts w:ascii="宋体" w:hAnsi="宋体"/>
                <w:color w:val="auto"/>
                <w:szCs w:val="21"/>
                <w:highlight w:val="none"/>
              </w:rPr>
            </w:pPr>
          </w:p>
        </w:tc>
      </w:tr>
      <w:tr w14:paraId="48DB4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6261B74">
            <w:pPr>
              <w:spacing w:after="0" w:line="360" w:lineRule="auto"/>
              <w:jc w:val="center"/>
              <w:rPr>
                <w:rFonts w:ascii="宋体" w:hAnsi="宋体"/>
                <w:color w:val="auto"/>
                <w:szCs w:val="21"/>
                <w:highlight w:val="none"/>
              </w:rPr>
            </w:pPr>
          </w:p>
        </w:tc>
        <w:tc>
          <w:tcPr>
            <w:tcW w:w="1420" w:type="dxa"/>
            <w:noWrap w:val="0"/>
            <w:vAlign w:val="top"/>
          </w:tcPr>
          <w:p w14:paraId="3B95F3ED">
            <w:pPr>
              <w:spacing w:after="0" w:line="360" w:lineRule="auto"/>
              <w:jc w:val="center"/>
              <w:rPr>
                <w:rFonts w:ascii="宋体" w:hAnsi="宋体"/>
                <w:color w:val="auto"/>
                <w:szCs w:val="21"/>
                <w:highlight w:val="none"/>
              </w:rPr>
            </w:pPr>
          </w:p>
        </w:tc>
        <w:tc>
          <w:tcPr>
            <w:tcW w:w="1161" w:type="dxa"/>
            <w:noWrap w:val="0"/>
            <w:vAlign w:val="top"/>
          </w:tcPr>
          <w:p w14:paraId="5C6E8B3A">
            <w:pPr>
              <w:spacing w:after="0" w:line="360" w:lineRule="auto"/>
              <w:jc w:val="center"/>
              <w:rPr>
                <w:rFonts w:ascii="宋体" w:hAnsi="宋体"/>
                <w:color w:val="auto"/>
                <w:szCs w:val="21"/>
                <w:highlight w:val="none"/>
              </w:rPr>
            </w:pPr>
          </w:p>
        </w:tc>
        <w:tc>
          <w:tcPr>
            <w:tcW w:w="1161" w:type="dxa"/>
            <w:noWrap w:val="0"/>
            <w:vAlign w:val="top"/>
          </w:tcPr>
          <w:p w14:paraId="7446AC1E">
            <w:pPr>
              <w:spacing w:after="0" w:line="360" w:lineRule="auto"/>
              <w:jc w:val="center"/>
              <w:rPr>
                <w:rFonts w:ascii="宋体" w:hAnsi="宋体"/>
                <w:color w:val="auto"/>
                <w:szCs w:val="21"/>
                <w:highlight w:val="none"/>
              </w:rPr>
            </w:pPr>
          </w:p>
        </w:tc>
        <w:tc>
          <w:tcPr>
            <w:tcW w:w="1161" w:type="dxa"/>
            <w:noWrap w:val="0"/>
            <w:vAlign w:val="top"/>
          </w:tcPr>
          <w:p w14:paraId="0510935D">
            <w:pPr>
              <w:spacing w:after="0" w:line="360" w:lineRule="auto"/>
              <w:jc w:val="center"/>
              <w:rPr>
                <w:rFonts w:ascii="宋体" w:hAnsi="宋体"/>
                <w:color w:val="auto"/>
                <w:szCs w:val="21"/>
                <w:highlight w:val="none"/>
              </w:rPr>
            </w:pPr>
          </w:p>
        </w:tc>
        <w:tc>
          <w:tcPr>
            <w:tcW w:w="1161" w:type="dxa"/>
            <w:noWrap w:val="0"/>
            <w:vAlign w:val="top"/>
          </w:tcPr>
          <w:p w14:paraId="27A0A24A">
            <w:pPr>
              <w:spacing w:after="0" w:line="360" w:lineRule="auto"/>
              <w:jc w:val="center"/>
              <w:rPr>
                <w:rFonts w:ascii="宋体" w:hAnsi="宋体"/>
                <w:color w:val="auto"/>
                <w:szCs w:val="21"/>
                <w:highlight w:val="none"/>
              </w:rPr>
            </w:pPr>
          </w:p>
        </w:tc>
        <w:tc>
          <w:tcPr>
            <w:tcW w:w="1161" w:type="dxa"/>
            <w:noWrap w:val="0"/>
            <w:vAlign w:val="top"/>
          </w:tcPr>
          <w:p w14:paraId="4D5DBA0F">
            <w:pPr>
              <w:spacing w:after="0" w:line="360" w:lineRule="auto"/>
              <w:jc w:val="center"/>
              <w:rPr>
                <w:rFonts w:ascii="宋体" w:hAnsi="宋体"/>
                <w:color w:val="auto"/>
                <w:szCs w:val="21"/>
                <w:highlight w:val="none"/>
              </w:rPr>
            </w:pPr>
          </w:p>
        </w:tc>
        <w:tc>
          <w:tcPr>
            <w:tcW w:w="1159" w:type="dxa"/>
            <w:noWrap w:val="0"/>
            <w:vAlign w:val="top"/>
          </w:tcPr>
          <w:p w14:paraId="7B6EE008">
            <w:pPr>
              <w:spacing w:after="0" w:line="360" w:lineRule="auto"/>
              <w:jc w:val="center"/>
              <w:rPr>
                <w:rFonts w:ascii="宋体" w:hAnsi="宋体"/>
                <w:color w:val="auto"/>
                <w:szCs w:val="21"/>
                <w:highlight w:val="none"/>
              </w:rPr>
            </w:pPr>
          </w:p>
        </w:tc>
      </w:tr>
      <w:tr w14:paraId="54009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5B4D896">
            <w:pPr>
              <w:spacing w:after="0" w:line="360" w:lineRule="auto"/>
              <w:jc w:val="center"/>
              <w:rPr>
                <w:rFonts w:ascii="宋体" w:hAnsi="宋体"/>
                <w:color w:val="auto"/>
                <w:szCs w:val="21"/>
                <w:highlight w:val="none"/>
              </w:rPr>
            </w:pPr>
          </w:p>
        </w:tc>
        <w:tc>
          <w:tcPr>
            <w:tcW w:w="1420" w:type="dxa"/>
            <w:noWrap w:val="0"/>
            <w:vAlign w:val="top"/>
          </w:tcPr>
          <w:p w14:paraId="1DD3A7A9">
            <w:pPr>
              <w:spacing w:after="0" w:line="360" w:lineRule="auto"/>
              <w:jc w:val="center"/>
              <w:rPr>
                <w:rFonts w:ascii="宋体" w:hAnsi="宋体"/>
                <w:color w:val="auto"/>
                <w:szCs w:val="21"/>
                <w:highlight w:val="none"/>
              </w:rPr>
            </w:pPr>
          </w:p>
        </w:tc>
        <w:tc>
          <w:tcPr>
            <w:tcW w:w="1161" w:type="dxa"/>
            <w:noWrap w:val="0"/>
            <w:vAlign w:val="top"/>
          </w:tcPr>
          <w:p w14:paraId="2FBBC7C3">
            <w:pPr>
              <w:spacing w:after="0" w:line="360" w:lineRule="auto"/>
              <w:jc w:val="center"/>
              <w:rPr>
                <w:rFonts w:ascii="宋体" w:hAnsi="宋体"/>
                <w:color w:val="auto"/>
                <w:szCs w:val="21"/>
                <w:highlight w:val="none"/>
              </w:rPr>
            </w:pPr>
          </w:p>
        </w:tc>
        <w:tc>
          <w:tcPr>
            <w:tcW w:w="1161" w:type="dxa"/>
            <w:noWrap w:val="0"/>
            <w:vAlign w:val="top"/>
          </w:tcPr>
          <w:p w14:paraId="282FE5A9">
            <w:pPr>
              <w:spacing w:after="0" w:line="360" w:lineRule="auto"/>
              <w:jc w:val="center"/>
              <w:rPr>
                <w:rFonts w:ascii="宋体" w:hAnsi="宋体"/>
                <w:color w:val="auto"/>
                <w:szCs w:val="21"/>
                <w:highlight w:val="none"/>
              </w:rPr>
            </w:pPr>
          </w:p>
        </w:tc>
        <w:tc>
          <w:tcPr>
            <w:tcW w:w="1161" w:type="dxa"/>
            <w:noWrap w:val="0"/>
            <w:vAlign w:val="top"/>
          </w:tcPr>
          <w:p w14:paraId="2C2F5160">
            <w:pPr>
              <w:spacing w:after="0" w:line="360" w:lineRule="auto"/>
              <w:jc w:val="center"/>
              <w:rPr>
                <w:rFonts w:ascii="宋体" w:hAnsi="宋体"/>
                <w:color w:val="auto"/>
                <w:szCs w:val="21"/>
                <w:highlight w:val="none"/>
              </w:rPr>
            </w:pPr>
          </w:p>
        </w:tc>
        <w:tc>
          <w:tcPr>
            <w:tcW w:w="1161" w:type="dxa"/>
            <w:noWrap w:val="0"/>
            <w:vAlign w:val="top"/>
          </w:tcPr>
          <w:p w14:paraId="388B632A">
            <w:pPr>
              <w:spacing w:after="0" w:line="360" w:lineRule="auto"/>
              <w:jc w:val="center"/>
              <w:rPr>
                <w:rFonts w:ascii="宋体" w:hAnsi="宋体"/>
                <w:color w:val="auto"/>
                <w:szCs w:val="21"/>
                <w:highlight w:val="none"/>
              </w:rPr>
            </w:pPr>
          </w:p>
        </w:tc>
        <w:tc>
          <w:tcPr>
            <w:tcW w:w="1161" w:type="dxa"/>
            <w:noWrap w:val="0"/>
            <w:vAlign w:val="top"/>
          </w:tcPr>
          <w:p w14:paraId="087D5B63">
            <w:pPr>
              <w:spacing w:after="0" w:line="360" w:lineRule="auto"/>
              <w:jc w:val="center"/>
              <w:rPr>
                <w:rFonts w:ascii="宋体" w:hAnsi="宋体"/>
                <w:color w:val="auto"/>
                <w:szCs w:val="21"/>
                <w:highlight w:val="none"/>
              </w:rPr>
            </w:pPr>
          </w:p>
        </w:tc>
        <w:tc>
          <w:tcPr>
            <w:tcW w:w="1159" w:type="dxa"/>
            <w:noWrap w:val="0"/>
            <w:vAlign w:val="top"/>
          </w:tcPr>
          <w:p w14:paraId="3F04E411">
            <w:pPr>
              <w:spacing w:after="0" w:line="360" w:lineRule="auto"/>
              <w:jc w:val="center"/>
              <w:rPr>
                <w:rFonts w:ascii="宋体" w:hAnsi="宋体"/>
                <w:color w:val="auto"/>
                <w:szCs w:val="21"/>
                <w:highlight w:val="none"/>
              </w:rPr>
            </w:pPr>
          </w:p>
        </w:tc>
      </w:tr>
      <w:tr w14:paraId="308F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97D5455">
            <w:pPr>
              <w:spacing w:after="0" w:line="360" w:lineRule="auto"/>
              <w:jc w:val="center"/>
              <w:rPr>
                <w:rFonts w:ascii="宋体" w:hAnsi="宋体"/>
                <w:color w:val="auto"/>
                <w:szCs w:val="21"/>
                <w:highlight w:val="none"/>
              </w:rPr>
            </w:pPr>
          </w:p>
        </w:tc>
        <w:tc>
          <w:tcPr>
            <w:tcW w:w="1420" w:type="dxa"/>
            <w:noWrap w:val="0"/>
            <w:vAlign w:val="top"/>
          </w:tcPr>
          <w:p w14:paraId="30DA33FB">
            <w:pPr>
              <w:spacing w:after="0" w:line="360" w:lineRule="auto"/>
              <w:jc w:val="center"/>
              <w:rPr>
                <w:rFonts w:ascii="宋体" w:hAnsi="宋体"/>
                <w:color w:val="auto"/>
                <w:szCs w:val="21"/>
                <w:highlight w:val="none"/>
              </w:rPr>
            </w:pPr>
          </w:p>
        </w:tc>
        <w:tc>
          <w:tcPr>
            <w:tcW w:w="1161" w:type="dxa"/>
            <w:noWrap w:val="0"/>
            <w:vAlign w:val="top"/>
          </w:tcPr>
          <w:p w14:paraId="529EE1AD">
            <w:pPr>
              <w:spacing w:after="0" w:line="360" w:lineRule="auto"/>
              <w:jc w:val="center"/>
              <w:rPr>
                <w:rFonts w:ascii="宋体" w:hAnsi="宋体"/>
                <w:color w:val="auto"/>
                <w:szCs w:val="21"/>
                <w:highlight w:val="none"/>
              </w:rPr>
            </w:pPr>
          </w:p>
        </w:tc>
        <w:tc>
          <w:tcPr>
            <w:tcW w:w="1161" w:type="dxa"/>
            <w:noWrap w:val="0"/>
            <w:vAlign w:val="top"/>
          </w:tcPr>
          <w:p w14:paraId="4E17C10E">
            <w:pPr>
              <w:spacing w:after="0" w:line="360" w:lineRule="auto"/>
              <w:jc w:val="center"/>
              <w:rPr>
                <w:rFonts w:ascii="宋体" w:hAnsi="宋体"/>
                <w:color w:val="auto"/>
                <w:szCs w:val="21"/>
                <w:highlight w:val="none"/>
              </w:rPr>
            </w:pPr>
          </w:p>
        </w:tc>
        <w:tc>
          <w:tcPr>
            <w:tcW w:w="1161" w:type="dxa"/>
            <w:noWrap w:val="0"/>
            <w:vAlign w:val="top"/>
          </w:tcPr>
          <w:p w14:paraId="2A07ABE6">
            <w:pPr>
              <w:spacing w:after="0" w:line="360" w:lineRule="auto"/>
              <w:jc w:val="center"/>
              <w:rPr>
                <w:rFonts w:ascii="宋体" w:hAnsi="宋体"/>
                <w:color w:val="auto"/>
                <w:szCs w:val="21"/>
                <w:highlight w:val="none"/>
              </w:rPr>
            </w:pPr>
          </w:p>
        </w:tc>
        <w:tc>
          <w:tcPr>
            <w:tcW w:w="1161" w:type="dxa"/>
            <w:noWrap w:val="0"/>
            <w:vAlign w:val="top"/>
          </w:tcPr>
          <w:p w14:paraId="74202536">
            <w:pPr>
              <w:spacing w:after="0" w:line="360" w:lineRule="auto"/>
              <w:jc w:val="center"/>
              <w:rPr>
                <w:rFonts w:ascii="宋体" w:hAnsi="宋体"/>
                <w:color w:val="auto"/>
                <w:szCs w:val="21"/>
                <w:highlight w:val="none"/>
              </w:rPr>
            </w:pPr>
          </w:p>
        </w:tc>
        <w:tc>
          <w:tcPr>
            <w:tcW w:w="1161" w:type="dxa"/>
            <w:noWrap w:val="0"/>
            <w:vAlign w:val="top"/>
          </w:tcPr>
          <w:p w14:paraId="2D68EBA0">
            <w:pPr>
              <w:spacing w:after="0" w:line="360" w:lineRule="auto"/>
              <w:jc w:val="center"/>
              <w:rPr>
                <w:rFonts w:ascii="宋体" w:hAnsi="宋体"/>
                <w:color w:val="auto"/>
                <w:szCs w:val="21"/>
                <w:highlight w:val="none"/>
              </w:rPr>
            </w:pPr>
          </w:p>
        </w:tc>
        <w:tc>
          <w:tcPr>
            <w:tcW w:w="1159" w:type="dxa"/>
            <w:noWrap w:val="0"/>
            <w:vAlign w:val="top"/>
          </w:tcPr>
          <w:p w14:paraId="5720CB21">
            <w:pPr>
              <w:spacing w:after="0" w:line="360" w:lineRule="auto"/>
              <w:jc w:val="center"/>
              <w:rPr>
                <w:rFonts w:ascii="宋体" w:hAnsi="宋体"/>
                <w:color w:val="auto"/>
                <w:szCs w:val="21"/>
                <w:highlight w:val="none"/>
              </w:rPr>
            </w:pPr>
          </w:p>
        </w:tc>
      </w:tr>
      <w:tr w14:paraId="4B480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D620B1D">
            <w:pPr>
              <w:spacing w:after="0" w:line="360" w:lineRule="auto"/>
              <w:jc w:val="center"/>
              <w:rPr>
                <w:rFonts w:ascii="宋体" w:hAnsi="宋体"/>
                <w:color w:val="auto"/>
                <w:szCs w:val="21"/>
                <w:highlight w:val="none"/>
              </w:rPr>
            </w:pPr>
          </w:p>
        </w:tc>
        <w:tc>
          <w:tcPr>
            <w:tcW w:w="1420" w:type="dxa"/>
            <w:noWrap w:val="0"/>
            <w:vAlign w:val="top"/>
          </w:tcPr>
          <w:p w14:paraId="442FB4CE">
            <w:pPr>
              <w:spacing w:after="0" w:line="360" w:lineRule="auto"/>
              <w:jc w:val="center"/>
              <w:rPr>
                <w:rFonts w:ascii="宋体" w:hAnsi="宋体"/>
                <w:color w:val="auto"/>
                <w:szCs w:val="21"/>
                <w:highlight w:val="none"/>
              </w:rPr>
            </w:pPr>
          </w:p>
        </w:tc>
        <w:tc>
          <w:tcPr>
            <w:tcW w:w="1161" w:type="dxa"/>
            <w:noWrap w:val="0"/>
            <w:vAlign w:val="top"/>
          </w:tcPr>
          <w:p w14:paraId="17384240">
            <w:pPr>
              <w:spacing w:after="0" w:line="360" w:lineRule="auto"/>
              <w:jc w:val="center"/>
              <w:rPr>
                <w:rFonts w:ascii="宋体" w:hAnsi="宋体"/>
                <w:color w:val="auto"/>
                <w:szCs w:val="21"/>
                <w:highlight w:val="none"/>
              </w:rPr>
            </w:pPr>
          </w:p>
        </w:tc>
        <w:tc>
          <w:tcPr>
            <w:tcW w:w="1161" w:type="dxa"/>
            <w:noWrap w:val="0"/>
            <w:vAlign w:val="top"/>
          </w:tcPr>
          <w:p w14:paraId="5432AC9E">
            <w:pPr>
              <w:spacing w:after="0" w:line="360" w:lineRule="auto"/>
              <w:jc w:val="center"/>
              <w:rPr>
                <w:rFonts w:ascii="宋体" w:hAnsi="宋体"/>
                <w:color w:val="auto"/>
                <w:szCs w:val="21"/>
                <w:highlight w:val="none"/>
              </w:rPr>
            </w:pPr>
          </w:p>
        </w:tc>
        <w:tc>
          <w:tcPr>
            <w:tcW w:w="1161" w:type="dxa"/>
            <w:noWrap w:val="0"/>
            <w:vAlign w:val="top"/>
          </w:tcPr>
          <w:p w14:paraId="2AB78A8E">
            <w:pPr>
              <w:spacing w:after="0" w:line="360" w:lineRule="auto"/>
              <w:jc w:val="center"/>
              <w:rPr>
                <w:rFonts w:ascii="宋体" w:hAnsi="宋体"/>
                <w:color w:val="auto"/>
                <w:szCs w:val="21"/>
                <w:highlight w:val="none"/>
              </w:rPr>
            </w:pPr>
          </w:p>
        </w:tc>
        <w:tc>
          <w:tcPr>
            <w:tcW w:w="1161" w:type="dxa"/>
            <w:noWrap w:val="0"/>
            <w:vAlign w:val="top"/>
          </w:tcPr>
          <w:p w14:paraId="2E8D0B5F">
            <w:pPr>
              <w:spacing w:after="0" w:line="360" w:lineRule="auto"/>
              <w:jc w:val="center"/>
              <w:rPr>
                <w:rFonts w:ascii="宋体" w:hAnsi="宋体"/>
                <w:color w:val="auto"/>
                <w:szCs w:val="21"/>
                <w:highlight w:val="none"/>
              </w:rPr>
            </w:pPr>
          </w:p>
        </w:tc>
        <w:tc>
          <w:tcPr>
            <w:tcW w:w="1161" w:type="dxa"/>
            <w:noWrap w:val="0"/>
            <w:vAlign w:val="top"/>
          </w:tcPr>
          <w:p w14:paraId="0BB62918">
            <w:pPr>
              <w:spacing w:after="0" w:line="360" w:lineRule="auto"/>
              <w:jc w:val="center"/>
              <w:rPr>
                <w:rFonts w:ascii="宋体" w:hAnsi="宋体"/>
                <w:color w:val="auto"/>
                <w:szCs w:val="21"/>
                <w:highlight w:val="none"/>
              </w:rPr>
            </w:pPr>
          </w:p>
        </w:tc>
        <w:tc>
          <w:tcPr>
            <w:tcW w:w="1159" w:type="dxa"/>
            <w:noWrap w:val="0"/>
            <w:vAlign w:val="top"/>
          </w:tcPr>
          <w:p w14:paraId="74F413D8">
            <w:pPr>
              <w:spacing w:after="0" w:line="360" w:lineRule="auto"/>
              <w:jc w:val="center"/>
              <w:rPr>
                <w:rFonts w:ascii="宋体" w:hAnsi="宋体"/>
                <w:color w:val="auto"/>
                <w:szCs w:val="21"/>
                <w:highlight w:val="none"/>
              </w:rPr>
            </w:pPr>
          </w:p>
        </w:tc>
      </w:tr>
    </w:tbl>
    <w:p w14:paraId="736B131F">
      <w:pPr>
        <w:topLinePunct/>
        <w:spacing w:after="0" w:line="360" w:lineRule="auto"/>
        <w:jc w:val="center"/>
        <w:rPr>
          <w:rFonts w:ascii="宋体" w:hAnsi="宋体"/>
          <w:color w:val="auto"/>
          <w:sz w:val="20"/>
          <w:szCs w:val="20"/>
          <w:highlight w:val="none"/>
        </w:rPr>
      </w:pPr>
    </w:p>
    <w:p w14:paraId="3764685A">
      <w:pPr>
        <w:widowControl/>
        <w:spacing w:after="0" w:line="360" w:lineRule="auto"/>
        <w:jc w:val="left"/>
        <w:rPr>
          <w:rFonts w:ascii="宋体" w:hAnsi="宋体" w:cs="宋体"/>
          <w:b/>
          <w:color w:val="auto"/>
          <w:sz w:val="24"/>
          <w:szCs w:val="20"/>
          <w:highlight w:val="none"/>
        </w:rPr>
      </w:pPr>
      <w:bookmarkStart w:id="1127" w:name="_Toc221952105"/>
      <w:bookmarkStart w:id="1128" w:name="_Toc168475927"/>
      <w:bookmarkStart w:id="1129" w:name="_Toc168476330"/>
      <w:bookmarkStart w:id="1130" w:name="_Toc144974868"/>
      <w:r>
        <w:rPr>
          <w:rFonts w:ascii="宋体" w:hAnsi="宋体"/>
          <w:color w:val="auto"/>
          <w:highlight w:val="none"/>
        </w:rPr>
        <w:br w:type="page"/>
      </w:r>
    </w:p>
    <w:p w14:paraId="21AED740">
      <w:pPr>
        <w:pStyle w:val="468"/>
        <w:spacing w:line="360" w:lineRule="auto"/>
        <w:jc w:val="center"/>
        <w:outlineLvl w:val="9"/>
        <w:rPr>
          <w:rFonts w:eastAsia="宋体"/>
          <w:color w:val="auto"/>
          <w:highlight w:val="none"/>
        </w:rPr>
      </w:pPr>
      <w:bookmarkStart w:id="1131" w:name="_Toc19348_WPSOffice_Level2"/>
      <w:r>
        <w:rPr>
          <w:rFonts w:eastAsia="宋体"/>
          <w:color w:val="auto"/>
          <w:highlight w:val="none"/>
        </w:rPr>
        <w:t>附表</w:t>
      </w:r>
      <w:r>
        <w:rPr>
          <w:rFonts w:hint="eastAsia" w:eastAsia="宋体"/>
          <w:color w:val="auto"/>
          <w:highlight w:val="none"/>
        </w:rPr>
        <w:t>二</w:t>
      </w:r>
      <w:r>
        <w:rPr>
          <w:rFonts w:eastAsia="宋体"/>
          <w:color w:val="auto"/>
          <w:highlight w:val="none"/>
        </w:rPr>
        <w:t>：计划开</w:t>
      </w:r>
      <w:r>
        <w:rPr>
          <w:rFonts w:hint="eastAsia" w:eastAsia="宋体"/>
          <w:color w:val="auto"/>
          <w:highlight w:val="none"/>
        </w:rPr>
        <w:t>工日期</w:t>
      </w:r>
      <w:r>
        <w:rPr>
          <w:rFonts w:eastAsia="宋体"/>
          <w:color w:val="auto"/>
          <w:highlight w:val="none"/>
        </w:rPr>
        <w:t>、</w:t>
      </w:r>
      <w:r>
        <w:rPr>
          <w:rFonts w:hint="eastAsia" w:eastAsia="宋体"/>
          <w:color w:val="auto"/>
          <w:highlight w:val="none"/>
        </w:rPr>
        <w:t>完工</w:t>
      </w:r>
      <w:r>
        <w:rPr>
          <w:rFonts w:eastAsia="宋体"/>
          <w:color w:val="auto"/>
          <w:highlight w:val="none"/>
        </w:rPr>
        <w:t>日期和施工进度网络图</w:t>
      </w:r>
      <w:bookmarkEnd w:id="1127"/>
      <w:bookmarkEnd w:id="1128"/>
      <w:bookmarkEnd w:id="1129"/>
      <w:bookmarkEnd w:id="1130"/>
      <w:bookmarkEnd w:id="1131"/>
    </w:p>
    <w:p w14:paraId="245257EB">
      <w:pPr>
        <w:spacing w:after="0" w:line="360" w:lineRule="auto"/>
        <w:ind w:firstLine="420" w:firstLineChars="200"/>
        <w:rPr>
          <w:rFonts w:ascii="宋体" w:hAnsi="宋体"/>
          <w:color w:val="auto"/>
          <w:szCs w:val="21"/>
          <w:highlight w:val="none"/>
        </w:rPr>
      </w:pPr>
      <w:bookmarkStart w:id="1132" w:name="_Toc221952106"/>
      <w:r>
        <w:rPr>
          <w:rFonts w:ascii="宋体" w:hAnsi="宋体"/>
          <w:color w:val="auto"/>
          <w:szCs w:val="21"/>
          <w:highlight w:val="none"/>
        </w:rPr>
        <w:t>1. 投标人应递交施工进度网络图或施工进度表，说明按招标文件要求的计划工期进行施工的各个关键日期。</w:t>
      </w:r>
      <w:bookmarkEnd w:id="1132"/>
    </w:p>
    <w:p w14:paraId="4B47FF26">
      <w:pPr>
        <w:spacing w:after="0" w:line="360" w:lineRule="auto"/>
        <w:ind w:firstLine="420" w:firstLineChars="200"/>
        <w:rPr>
          <w:rFonts w:ascii="宋体" w:hAnsi="宋体"/>
          <w:color w:val="auto"/>
          <w:szCs w:val="21"/>
          <w:highlight w:val="none"/>
        </w:rPr>
      </w:pPr>
      <w:bookmarkStart w:id="1133" w:name="_Toc221952107"/>
      <w:r>
        <w:rPr>
          <w:rFonts w:ascii="宋体" w:hAnsi="宋体"/>
          <w:color w:val="auto"/>
          <w:szCs w:val="21"/>
          <w:highlight w:val="none"/>
        </w:rPr>
        <w:t>2. 施工进度表可采用网络图（或横道图）表示。</w:t>
      </w:r>
      <w:bookmarkEnd w:id="1133"/>
    </w:p>
    <w:p w14:paraId="67E15AFE">
      <w:pPr>
        <w:spacing w:after="0" w:line="360" w:lineRule="auto"/>
        <w:rPr>
          <w:rFonts w:ascii="宋体" w:hAnsi="宋体"/>
          <w:color w:val="auto"/>
          <w:sz w:val="19"/>
          <w:szCs w:val="19"/>
          <w:highlight w:val="none"/>
        </w:rPr>
      </w:pPr>
    </w:p>
    <w:p w14:paraId="5AD41054">
      <w:pPr>
        <w:spacing w:after="0" w:line="360" w:lineRule="auto"/>
        <w:rPr>
          <w:rFonts w:ascii="宋体" w:hAnsi="宋体"/>
          <w:color w:val="auto"/>
          <w:sz w:val="19"/>
          <w:szCs w:val="19"/>
          <w:highlight w:val="none"/>
        </w:rPr>
      </w:pPr>
    </w:p>
    <w:p w14:paraId="5C055F5B">
      <w:pPr>
        <w:spacing w:after="0" w:line="360" w:lineRule="auto"/>
        <w:rPr>
          <w:rFonts w:ascii="宋体" w:hAnsi="宋体"/>
          <w:color w:val="auto"/>
          <w:sz w:val="19"/>
          <w:szCs w:val="19"/>
          <w:highlight w:val="none"/>
        </w:rPr>
      </w:pPr>
    </w:p>
    <w:p w14:paraId="6C3B1E10">
      <w:pPr>
        <w:spacing w:after="0" w:line="360" w:lineRule="auto"/>
        <w:rPr>
          <w:rFonts w:ascii="宋体" w:hAnsi="宋体"/>
          <w:color w:val="auto"/>
          <w:sz w:val="19"/>
          <w:szCs w:val="19"/>
          <w:highlight w:val="none"/>
        </w:rPr>
      </w:pPr>
    </w:p>
    <w:p w14:paraId="18753552">
      <w:pPr>
        <w:spacing w:after="0" w:line="360" w:lineRule="auto"/>
        <w:rPr>
          <w:rFonts w:ascii="宋体" w:hAnsi="宋体"/>
          <w:color w:val="auto"/>
          <w:sz w:val="19"/>
          <w:szCs w:val="19"/>
          <w:highlight w:val="none"/>
        </w:rPr>
      </w:pPr>
    </w:p>
    <w:p w14:paraId="3F751793">
      <w:pPr>
        <w:spacing w:after="0" w:line="360" w:lineRule="auto"/>
        <w:rPr>
          <w:rFonts w:ascii="宋体" w:hAnsi="宋体"/>
          <w:color w:val="auto"/>
          <w:sz w:val="19"/>
          <w:szCs w:val="19"/>
          <w:highlight w:val="none"/>
        </w:rPr>
      </w:pPr>
    </w:p>
    <w:p w14:paraId="28B8FD8E">
      <w:pPr>
        <w:widowControl/>
        <w:spacing w:after="0" w:line="360" w:lineRule="auto"/>
        <w:jc w:val="left"/>
        <w:rPr>
          <w:rFonts w:ascii="宋体" w:hAnsi="宋体" w:cs="宋体"/>
          <w:b/>
          <w:color w:val="auto"/>
          <w:sz w:val="24"/>
          <w:szCs w:val="20"/>
          <w:highlight w:val="none"/>
        </w:rPr>
      </w:pPr>
      <w:bookmarkStart w:id="1134" w:name="_Toc168475928"/>
      <w:bookmarkStart w:id="1135" w:name="_Toc168476331"/>
      <w:bookmarkStart w:id="1136" w:name="_Toc144974869"/>
      <w:bookmarkStart w:id="1137" w:name="_Toc221952108"/>
      <w:r>
        <w:rPr>
          <w:rFonts w:ascii="宋体" w:hAnsi="宋体"/>
          <w:color w:val="auto"/>
          <w:highlight w:val="none"/>
        </w:rPr>
        <w:br w:type="page"/>
      </w:r>
    </w:p>
    <w:p w14:paraId="328E3C03">
      <w:pPr>
        <w:pStyle w:val="468"/>
        <w:spacing w:line="360" w:lineRule="auto"/>
        <w:jc w:val="center"/>
        <w:outlineLvl w:val="9"/>
        <w:rPr>
          <w:rFonts w:eastAsia="宋体"/>
          <w:color w:val="auto"/>
          <w:highlight w:val="none"/>
        </w:rPr>
      </w:pPr>
      <w:bookmarkStart w:id="1138" w:name="_Toc26905_WPSOffice_Level2"/>
      <w:r>
        <w:rPr>
          <w:rFonts w:eastAsia="宋体"/>
          <w:color w:val="auto"/>
          <w:highlight w:val="none"/>
        </w:rPr>
        <w:t>附表</w:t>
      </w:r>
      <w:r>
        <w:rPr>
          <w:rFonts w:hint="eastAsia" w:eastAsia="宋体"/>
          <w:color w:val="auto"/>
          <w:highlight w:val="none"/>
        </w:rPr>
        <w:t>三</w:t>
      </w:r>
      <w:r>
        <w:rPr>
          <w:rFonts w:eastAsia="宋体"/>
          <w:color w:val="auto"/>
          <w:highlight w:val="none"/>
        </w:rPr>
        <w:t>：施工总平面图</w:t>
      </w:r>
      <w:bookmarkEnd w:id="1134"/>
      <w:bookmarkEnd w:id="1135"/>
      <w:bookmarkEnd w:id="1136"/>
      <w:bookmarkEnd w:id="1137"/>
      <w:bookmarkEnd w:id="1138"/>
    </w:p>
    <w:p w14:paraId="72A7E949">
      <w:pPr>
        <w:spacing w:after="0" w:line="360" w:lineRule="auto"/>
        <w:ind w:firstLine="420" w:firstLineChars="200"/>
        <w:rPr>
          <w:rFonts w:ascii="宋体" w:hAnsi="宋体"/>
          <w:color w:val="auto"/>
          <w:szCs w:val="21"/>
          <w:highlight w:val="none"/>
        </w:rPr>
      </w:pPr>
      <w:bookmarkStart w:id="1139" w:name="_Toc221952109"/>
      <w:r>
        <w:rPr>
          <w:rFonts w:ascii="宋体" w:hAnsi="宋体"/>
          <w:color w:val="auto"/>
          <w:szCs w:val="21"/>
          <w:highlight w:val="none"/>
        </w:rPr>
        <w:t>投标人应递交一份施工总平面图，绘出现场临时设施布置图表并附文字说明，说明临时设施、加工车间、现场办公、设备及仓储、供电、供水、卫生、生活、道路、消防</w:t>
      </w:r>
      <w:r>
        <w:rPr>
          <w:rFonts w:hint="eastAsia" w:ascii="宋体" w:hAnsi="宋体"/>
          <w:color w:val="auto"/>
          <w:szCs w:val="21"/>
          <w:highlight w:val="none"/>
        </w:rPr>
        <w:t>及取土位置</w:t>
      </w:r>
      <w:r>
        <w:rPr>
          <w:rFonts w:ascii="宋体" w:hAnsi="宋体"/>
          <w:color w:val="auto"/>
          <w:szCs w:val="21"/>
          <w:highlight w:val="none"/>
        </w:rPr>
        <w:t>等设施的情况和布置。</w:t>
      </w:r>
      <w:bookmarkEnd w:id="1139"/>
    </w:p>
    <w:p w14:paraId="00680E29">
      <w:pPr>
        <w:spacing w:after="0" w:line="360" w:lineRule="auto"/>
        <w:rPr>
          <w:rFonts w:ascii="宋体" w:hAnsi="宋体"/>
          <w:color w:val="auto"/>
          <w:sz w:val="19"/>
          <w:szCs w:val="19"/>
          <w:highlight w:val="none"/>
        </w:rPr>
      </w:pPr>
    </w:p>
    <w:p w14:paraId="6E11D474">
      <w:pPr>
        <w:spacing w:after="0" w:line="360" w:lineRule="auto"/>
        <w:rPr>
          <w:rFonts w:ascii="宋体" w:hAnsi="宋体"/>
          <w:color w:val="auto"/>
          <w:sz w:val="19"/>
          <w:szCs w:val="19"/>
          <w:highlight w:val="none"/>
        </w:rPr>
      </w:pPr>
    </w:p>
    <w:p w14:paraId="0372A008">
      <w:pPr>
        <w:spacing w:after="0" w:line="360" w:lineRule="auto"/>
        <w:rPr>
          <w:rFonts w:ascii="宋体" w:hAnsi="宋体"/>
          <w:color w:val="auto"/>
          <w:sz w:val="19"/>
          <w:szCs w:val="19"/>
          <w:highlight w:val="none"/>
        </w:rPr>
      </w:pPr>
    </w:p>
    <w:p w14:paraId="063155E2">
      <w:pPr>
        <w:spacing w:after="0" w:line="360" w:lineRule="auto"/>
        <w:rPr>
          <w:rFonts w:ascii="宋体" w:hAnsi="宋体"/>
          <w:color w:val="auto"/>
          <w:sz w:val="19"/>
          <w:szCs w:val="19"/>
          <w:highlight w:val="none"/>
        </w:rPr>
      </w:pPr>
    </w:p>
    <w:p w14:paraId="4D58D8B7">
      <w:pPr>
        <w:spacing w:after="0" w:line="360" w:lineRule="auto"/>
        <w:rPr>
          <w:rFonts w:ascii="宋体" w:hAnsi="宋体"/>
          <w:color w:val="auto"/>
          <w:sz w:val="19"/>
          <w:szCs w:val="19"/>
          <w:highlight w:val="none"/>
        </w:rPr>
      </w:pPr>
    </w:p>
    <w:p w14:paraId="2E9851FF">
      <w:pPr>
        <w:spacing w:after="0" w:line="360" w:lineRule="auto"/>
        <w:rPr>
          <w:rFonts w:ascii="宋体" w:hAnsi="宋体"/>
          <w:color w:val="auto"/>
          <w:sz w:val="19"/>
          <w:szCs w:val="19"/>
          <w:highlight w:val="none"/>
        </w:rPr>
      </w:pPr>
    </w:p>
    <w:p w14:paraId="78FE1E4C">
      <w:pPr>
        <w:widowControl/>
        <w:spacing w:after="0" w:line="360" w:lineRule="auto"/>
        <w:jc w:val="left"/>
        <w:rPr>
          <w:rFonts w:ascii="宋体" w:hAnsi="宋体" w:cs="宋体"/>
          <w:b/>
          <w:color w:val="auto"/>
          <w:sz w:val="24"/>
          <w:szCs w:val="20"/>
          <w:highlight w:val="none"/>
        </w:rPr>
      </w:pPr>
      <w:bookmarkStart w:id="1140" w:name="_Toc221952110"/>
      <w:bookmarkStart w:id="1141" w:name="_Toc168475929"/>
      <w:bookmarkStart w:id="1142" w:name="_Toc144974870"/>
      <w:bookmarkStart w:id="1143" w:name="_Toc168476332"/>
      <w:r>
        <w:rPr>
          <w:rFonts w:ascii="宋体" w:hAnsi="宋体"/>
          <w:color w:val="auto"/>
          <w:highlight w:val="none"/>
        </w:rPr>
        <w:br w:type="page"/>
      </w:r>
    </w:p>
    <w:p w14:paraId="00FAC5BC">
      <w:pPr>
        <w:pStyle w:val="468"/>
        <w:spacing w:line="360" w:lineRule="auto"/>
        <w:jc w:val="center"/>
        <w:outlineLvl w:val="9"/>
        <w:rPr>
          <w:rFonts w:eastAsia="宋体"/>
          <w:color w:val="auto"/>
          <w:highlight w:val="none"/>
        </w:rPr>
      </w:pPr>
      <w:bookmarkStart w:id="1144" w:name="_Toc15789_WPSOffice_Level2"/>
      <w:r>
        <w:rPr>
          <w:rFonts w:eastAsia="宋体"/>
          <w:color w:val="auto"/>
          <w:highlight w:val="none"/>
        </w:rPr>
        <w:t>附表</w:t>
      </w:r>
      <w:r>
        <w:rPr>
          <w:rFonts w:hint="eastAsia" w:eastAsia="宋体"/>
          <w:color w:val="auto"/>
          <w:highlight w:val="none"/>
        </w:rPr>
        <w:t>四：</w:t>
      </w:r>
      <w:r>
        <w:rPr>
          <w:rFonts w:eastAsia="宋体"/>
          <w:color w:val="auto"/>
          <w:highlight w:val="none"/>
        </w:rPr>
        <w:t>临时用地表</w:t>
      </w:r>
      <w:bookmarkEnd w:id="1140"/>
      <w:bookmarkEnd w:id="1141"/>
      <w:bookmarkEnd w:id="1142"/>
      <w:bookmarkEnd w:id="1143"/>
      <w:bookmarkEnd w:id="1144"/>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14:paraId="503A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21" w:type="dxa"/>
            <w:noWrap w:val="0"/>
            <w:vAlign w:val="center"/>
          </w:tcPr>
          <w:p w14:paraId="7B719273">
            <w:pPr>
              <w:spacing w:after="0" w:line="360" w:lineRule="auto"/>
              <w:jc w:val="center"/>
              <w:rPr>
                <w:rFonts w:ascii="宋体" w:hAnsi="宋体"/>
                <w:color w:val="auto"/>
                <w:szCs w:val="21"/>
                <w:highlight w:val="none"/>
              </w:rPr>
            </w:pPr>
            <w:bookmarkStart w:id="1145" w:name="_Toc221952111"/>
            <w:r>
              <w:rPr>
                <w:rFonts w:ascii="宋体" w:hAnsi="宋体"/>
                <w:color w:val="auto"/>
                <w:szCs w:val="21"/>
                <w:highlight w:val="none"/>
              </w:rPr>
              <w:t>用 途</w:t>
            </w:r>
            <w:bookmarkEnd w:id="1145"/>
          </w:p>
        </w:tc>
        <w:tc>
          <w:tcPr>
            <w:tcW w:w="2321" w:type="dxa"/>
            <w:noWrap w:val="0"/>
            <w:vAlign w:val="center"/>
          </w:tcPr>
          <w:p w14:paraId="57534EDC">
            <w:pPr>
              <w:spacing w:after="0" w:line="360" w:lineRule="auto"/>
              <w:jc w:val="center"/>
              <w:rPr>
                <w:rFonts w:ascii="宋体" w:hAnsi="宋体"/>
                <w:color w:val="auto"/>
                <w:szCs w:val="21"/>
                <w:highlight w:val="none"/>
              </w:rPr>
            </w:pPr>
            <w:bookmarkStart w:id="1146" w:name="_Toc221952112"/>
            <w:r>
              <w:rPr>
                <w:rFonts w:ascii="宋体" w:hAnsi="宋体"/>
                <w:color w:val="auto"/>
                <w:szCs w:val="21"/>
                <w:highlight w:val="none"/>
              </w:rPr>
              <w:t>面 积（</w:t>
            </w:r>
            <w:r>
              <w:rPr>
                <w:rFonts w:hint="eastAsia" w:ascii="宋体" w:hAnsi="宋体"/>
                <w:color w:val="auto"/>
                <w:szCs w:val="21"/>
                <w:highlight w:val="none"/>
              </w:rPr>
              <w:t>㎡</w:t>
            </w:r>
            <w:r>
              <w:rPr>
                <w:rFonts w:ascii="宋体" w:hAnsi="宋体"/>
                <w:color w:val="auto"/>
                <w:szCs w:val="21"/>
                <w:highlight w:val="none"/>
              </w:rPr>
              <w:t>）</w:t>
            </w:r>
            <w:bookmarkEnd w:id="1146"/>
          </w:p>
        </w:tc>
        <w:tc>
          <w:tcPr>
            <w:tcW w:w="2322" w:type="dxa"/>
            <w:noWrap w:val="0"/>
            <w:vAlign w:val="center"/>
          </w:tcPr>
          <w:p w14:paraId="75CCE1D7">
            <w:pPr>
              <w:spacing w:after="0" w:line="360" w:lineRule="auto"/>
              <w:jc w:val="center"/>
              <w:rPr>
                <w:rFonts w:ascii="宋体" w:hAnsi="宋体"/>
                <w:color w:val="auto"/>
                <w:szCs w:val="21"/>
                <w:highlight w:val="none"/>
              </w:rPr>
            </w:pPr>
            <w:bookmarkStart w:id="1147" w:name="_Toc221952113"/>
            <w:r>
              <w:rPr>
                <w:rFonts w:ascii="宋体" w:hAnsi="宋体"/>
                <w:color w:val="auto"/>
                <w:szCs w:val="21"/>
                <w:highlight w:val="none"/>
              </w:rPr>
              <w:t>位 置</w:t>
            </w:r>
            <w:bookmarkEnd w:id="1147"/>
          </w:p>
        </w:tc>
        <w:tc>
          <w:tcPr>
            <w:tcW w:w="2322" w:type="dxa"/>
            <w:noWrap w:val="0"/>
            <w:vAlign w:val="center"/>
          </w:tcPr>
          <w:p w14:paraId="661B8A90">
            <w:pPr>
              <w:spacing w:after="0" w:line="360" w:lineRule="auto"/>
              <w:jc w:val="center"/>
              <w:rPr>
                <w:rFonts w:ascii="宋体" w:hAnsi="宋体"/>
                <w:color w:val="auto"/>
                <w:szCs w:val="21"/>
                <w:highlight w:val="none"/>
              </w:rPr>
            </w:pPr>
            <w:bookmarkStart w:id="1148" w:name="_Toc221952114"/>
            <w:r>
              <w:rPr>
                <w:rFonts w:ascii="宋体" w:hAnsi="宋体"/>
                <w:color w:val="auto"/>
                <w:szCs w:val="21"/>
                <w:highlight w:val="none"/>
              </w:rPr>
              <w:t>需用时间</w:t>
            </w:r>
            <w:bookmarkEnd w:id="1148"/>
          </w:p>
        </w:tc>
      </w:tr>
      <w:tr w14:paraId="04B6E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4E6D87A">
            <w:pPr>
              <w:spacing w:after="0" w:line="360" w:lineRule="auto"/>
              <w:jc w:val="center"/>
              <w:rPr>
                <w:rFonts w:ascii="宋体" w:hAnsi="宋体"/>
                <w:color w:val="auto"/>
                <w:szCs w:val="21"/>
                <w:highlight w:val="none"/>
              </w:rPr>
            </w:pPr>
          </w:p>
        </w:tc>
        <w:tc>
          <w:tcPr>
            <w:tcW w:w="2321" w:type="dxa"/>
            <w:noWrap w:val="0"/>
            <w:vAlign w:val="top"/>
          </w:tcPr>
          <w:p w14:paraId="2709F452">
            <w:pPr>
              <w:spacing w:after="0" w:line="360" w:lineRule="auto"/>
              <w:jc w:val="center"/>
              <w:rPr>
                <w:rFonts w:ascii="宋体" w:hAnsi="宋体"/>
                <w:color w:val="auto"/>
                <w:szCs w:val="21"/>
                <w:highlight w:val="none"/>
              </w:rPr>
            </w:pPr>
          </w:p>
        </w:tc>
        <w:tc>
          <w:tcPr>
            <w:tcW w:w="2322" w:type="dxa"/>
            <w:noWrap w:val="0"/>
            <w:vAlign w:val="top"/>
          </w:tcPr>
          <w:p w14:paraId="024C2CC3">
            <w:pPr>
              <w:spacing w:after="0" w:line="360" w:lineRule="auto"/>
              <w:jc w:val="center"/>
              <w:rPr>
                <w:rFonts w:ascii="宋体" w:hAnsi="宋体"/>
                <w:color w:val="auto"/>
                <w:szCs w:val="21"/>
                <w:highlight w:val="none"/>
              </w:rPr>
            </w:pPr>
          </w:p>
        </w:tc>
        <w:tc>
          <w:tcPr>
            <w:tcW w:w="2322" w:type="dxa"/>
            <w:noWrap w:val="0"/>
            <w:vAlign w:val="top"/>
          </w:tcPr>
          <w:p w14:paraId="72BB5F56">
            <w:pPr>
              <w:spacing w:after="0" w:line="360" w:lineRule="auto"/>
              <w:jc w:val="center"/>
              <w:rPr>
                <w:rFonts w:ascii="宋体" w:hAnsi="宋体"/>
                <w:color w:val="auto"/>
                <w:szCs w:val="21"/>
                <w:highlight w:val="none"/>
              </w:rPr>
            </w:pPr>
          </w:p>
        </w:tc>
      </w:tr>
      <w:tr w14:paraId="23C5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DC1C8AF">
            <w:pPr>
              <w:spacing w:after="0" w:line="360" w:lineRule="auto"/>
              <w:jc w:val="center"/>
              <w:rPr>
                <w:rFonts w:ascii="宋体" w:hAnsi="宋体"/>
                <w:color w:val="auto"/>
                <w:szCs w:val="21"/>
                <w:highlight w:val="none"/>
              </w:rPr>
            </w:pPr>
          </w:p>
        </w:tc>
        <w:tc>
          <w:tcPr>
            <w:tcW w:w="2321" w:type="dxa"/>
            <w:noWrap w:val="0"/>
            <w:vAlign w:val="top"/>
          </w:tcPr>
          <w:p w14:paraId="264A23F9">
            <w:pPr>
              <w:spacing w:after="0" w:line="360" w:lineRule="auto"/>
              <w:jc w:val="center"/>
              <w:rPr>
                <w:rFonts w:ascii="宋体" w:hAnsi="宋体"/>
                <w:color w:val="auto"/>
                <w:szCs w:val="21"/>
                <w:highlight w:val="none"/>
              </w:rPr>
            </w:pPr>
          </w:p>
        </w:tc>
        <w:tc>
          <w:tcPr>
            <w:tcW w:w="2322" w:type="dxa"/>
            <w:noWrap w:val="0"/>
            <w:vAlign w:val="top"/>
          </w:tcPr>
          <w:p w14:paraId="6FF330F5">
            <w:pPr>
              <w:spacing w:after="0" w:line="360" w:lineRule="auto"/>
              <w:jc w:val="center"/>
              <w:rPr>
                <w:rFonts w:ascii="宋体" w:hAnsi="宋体"/>
                <w:color w:val="auto"/>
                <w:szCs w:val="21"/>
                <w:highlight w:val="none"/>
              </w:rPr>
            </w:pPr>
          </w:p>
        </w:tc>
        <w:tc>
          <w:tcPr>
            <w:tcW w:w="2322" w:type="dxa"/>
            <w:noWrap w:val="0"/>
            <w:vAlign w:val="top"/>
          </w:tcPr>
          <w:p w14:paraId="6E152EC0">
            <w:pPr>
              <w:spacing w:after="0" w:line="360" w:lineRule="auto"/>
              <w:jc w:val="center"/>
              <w:rPr>
                <w:rFonts w:ascii="宋体" w:hAnsi="宋体"/>
                <w:color w:val="auto"/>
                <w:szCs w:val="21"/>
                <w:highlight w:val="none"/>
              </w:rPr>
            </w:pPr>
          </w:p>
        </w:tc>
      </w:tr>
      <w:tr w14:paraId="5D81A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2D58472">
            <w:pPr>
              <w:spacing w:after="0" w:line="360" w:lineRule="auto"/>
              <w:jc w:val="center"/>
              <w:rPr>
                <w:rFonts w:ascii="宋体" w:hAnsi="宋体"/>
                <w:color w:val="auto"/>
                <w:szCs w:val="21"/>
                <w:highlight w:val="none"/>
              </w:rPr>
            </w:pPr>
          </w:p>
        </w:tc>
        <w:tc>
          <w:tcPr>
            <w:tcW w:w="2321" w:type="dxa"/>
            <w:noWrap w:val="0"/>
            <w:vAlign w:val="top"/>
          </w:tcPr>
          <w:p w14:paraId="5240A757">
            <w:pPr>
              <w:spacing w:after="0" w:line="360" w:lineRule="auto"/>
              <w:jc w:val="center"/>
              <w:rPr>
                <w:rFonts w:ascii="宋体" w:hAnsi="宋体"/>
                <w:color w:val="auto"/>
                <w:szCs w:val="21"/>
                <w:highlight w:val="none"/>
              </w:rPr>
            </w:pPr>
          </w:p>
        </w:tc>
        <w:tc>
          <w:tcPr>
            <w:tcW w:w="2322" w:type="dxa"/>
            <w:noWrap w:val="0"/>
            <w:vAlign w:val="top"/>
          </w:tcPr>
          <w:p w14:paraId="03867E9E">
            <w:pPr>
              <w:spacing w:after="0" w:line="360" w:lineRule="auto"/>
              <w:jc w:val="center"/>
              <w:rPr>
                <w:rFonts w:ascii="宋体" w:hAnsi="宋体"/>
                <w:color w:val="auto"/>
                <w:szCs w:val="21"/>
                <w:highlight w:val="none"/>
              </w:rPr>
            </w:pPr>
          </w:p>
        </w:tc>
        <w:tc>
          <w:tcPr>
            <w:tcW w:w="2322" w:type="dxa"/>
            <w:noWrap w:val="0"/>
            <w:vAlign w:val="top"/>
          </w:tcPr>
          <w:p w14:paraId="569DA699">
            <w:pPr>
              <w:spacing w:after="0" w:line="360" w:lineRule="auto"/>
              <w:jc w:val="center"/>
              <w:rPr>
                <w:rFonts w:ascii="宋体" w:hAnsi="宋体"/>
                <w:color w:val="auto"/>
                <w:szCs w:val="21"/>
                <w:highlight w:val="none"/>
              </w:rPr>
            </w:pPr>
          </w:p>
        </w:tc>
      </w:tr>
      <w:tr w14:paraId="28EF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F8DCF6A">
            <w:pPr>
              <w:spacing w:after="0" w:line="360" w:lineRule="auto"/>
              <w:jc w:val="center"/>
              <w:rPr>
                <w:rFonts w:ascii="宋体" w:hAnsi="宋体"/>
                <w:color w:val="auto"/>
                <w:szCs w:val="21"/>
                <w:highlight w:val="none"/>
              </w:rPr>
            </w:pPr>
          </w:p>
        </w:tc>
        <w:tc>
          <w:tcPr>
            <w:tcW w:w="2321" w:type="dxa"/>
            <w:noWrap w:val="0"/>
            <w:vAlign w:val="top"/>
          </w:tcPr>
          <w:p w14:paraId="0C4F2A10">
            <w:pPr>
              <w:spacing w:after="0" w:line="360" w:lineRule="auto"/>
              <w:jc w:val="center"/>
              <w:rPr>
                <w:rFonts w:ascii="宋体" w:hAnsi="宋体"/>
                <w:color w:val="auto"/>
                <w:szCs w:val="21"/>
                <w:highlight w:val="none"/>
              </w:rPr>
            </w:pPr>
          </w:p>
        </w:tc>
        <w:tc>
          <w:tcPr>
            <w:tcW w:w="2322" w:type="dxa"/>
            <w:noWrap w:val="0"/>
            <w:vAlign w:val="top"/>
          </w:tcPr>
          <w:p w14:paraId="30A7FABF">
            <w:pPr>
              <w:spacing w:after="0" w:line="360" w:lineRule="auto"/>
              <w:jc w:val="center"/>
              <w:rPr>
                <w:rFonts w:ascii="宋体" w:hAnsi="宋体"/>
                <w:color w:val="auto"/>
                <w:szCs w:val="21"/>
                <w:highlight w:val="none"/>
              </w:rPr>
            </w:pPr>
          </w:p>
        </w:tc>
        <w:tc>
          <w:tcPr>
            <w:tcW w:w="2322" w:type="dxa"/>
            <w:noWrap w:val="0"/>
            <w:vAlign w:val="top"/>
          </w:tcPr>
          <w:p w14:paraId="6EED4B96">
            <w:pPr>
              <w:spacing w:after="0" w:line="360" w:lineRule="auto"/>
              <w:jc w:val="center"/>
              <w:rPr>
                <w:rFonts w:ascii="宋体" w:hAnsi="宋体"/>
                <w:color w:val="auto"/>
                <w:szCs w:val="21"/>
                <w:highlight w:val="none"/>
              </w:rPr>
            </w:pPr>
          </w:p>
        </w:tc>
      </w:tr>
      <w:tr w14:paraId="4968A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7564101">
            <w:pPr>
              <w:spacing w:after="0" w:line="360" w:lineRule="auto"/>
              <w:jc w:val="center"/>
              <w:rPr>
                <w:rFonts w:ascii="宋体" w:hAnsi="宋体"/>
                <w:color w:val="auto"/>
                <w:szCs w:val="21"/>
                <w:highlight w:val="none"/>
              </w:rPr>
            </w:pPr>
          </w:p>
        </w:tc>
        <w:tc>
          <w:tcPr>
            <w:tcW w:w="2321" w:type="dxa"/>
            <w:noWrap w:val="0"/>
            <w:vAlign w:val="top"/>
          </w:tcPr>
          <w:p w14:paraId="694B1487">
            <w:pPr>
              <w:spacing w:after="0" w:line="360" w:lineRule="auto"/>
              <w:jc w:val="center"/>
              <w:rPr>
                <w:rFonts w:ascii="宋体" w:hAnsi="宋体"/>
                <w:color w:val="auto"/>
                <w:szCs w:val="21"/>
                <w:highlight w:val="none"/>
              </w:rPr>
            </w:pPr>
          </w:p>
        </w:tc>
        <w:tc>
          <w:tcPr>
            <w:tcW w:w="2322" w:type="dxa"/>
            <w:noWrap w:val="0"/>
            <w:vAlign w:val="top"/>
          </w:tcPr>
          <w:p w14:paraId="6103CF42">
            <w:pPr>
              <w:spacing w:after="0" w:line="360" w:lineRule="auto"/>
              <w:jc w:val="center"/>
              <w:rPr>
                <w:rFonts w:ascii="宋体" w:hAnsi="宋体"/>
                <w:color w:val="auto"/>
                <w:szCs w:val="21"/>
                <w:highlight w:val="none"/>
              </w:rPr>
            </w:pPr>
          </w:p>
        </w:tc>
        <w:tc>
          <w:tcPr>
            <w:tcW w:w="2322" w:type="dxa"/>
            <w:noWrap w:val="0"/>
            <w:vAlign w:val="top"/>
          </w:tcPr>
          <w:p w14:paraId="545750D0">
            <w:pPr>
              <w:spacing w:after="0" w:line="360" w:lineRule="auto"/>
              <w:jc w:val="center"/>
              <w:rPr>
                <w:rFonts w:ascii="宋体" w:hAnsi="宋体"/>
                <w:color w:val="auto"/>
                <w:szCs w:val="21"/>
                <w:highlight w:val="none"/>
              </w:rPr>
            </w:pPr>
          </w:p>
        </w:tc>
      </w:tr>
      <w:tr w14:paraId="721D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CF0EA23">
            <w:pPr>
              <w:spacing w:after="0" w:line="360" w:lineRule="auto"/>
              <w:jc w:val="center"/>
              <w:rPr>
                <w:rFonts w:ascii="宋体" w:hAnsi="宋体"/>
                <w:color w:val="auto"/>
                <w:szCs w:val="21"/>
                <w:highlight w:val="none"/>
              </w:rPr>
            </w:pPr>
          </w:p>
        </w:tc>
        <w:tc>
          <w:tcPr>
            <w:tcW w:w="2321" w:type="dxa"/>
            <w:noWrap w:val="0"/>
            <w:vAlign w:val="top"/>
          </w:tcPr>
          <w:p w14:paraId="56CCE0C8">
            <w:pPr>
              <w:spacing w:after="0" w:line="360" w:lineRule="auto"/>
              <w:jc w:val="center"/>
              <w:rPr>
                <w:rFonts w:ascii="宋体" w:hAnsi="宋体"/>
                <w:color w:val="auto"/>
                <w:szCs w:val="21"/>
                <w:highlight w:val="none"/>
              </w:rPr>
            </w:pPr>
          </w:p>
        </w:tc>
        <w:tc>
          <w:tcPr>
            <w:tcW w:w="2322" w:type="dxa"/>
            <w:noWrap w:val="0"/>
            <w:vAlign w:val="top"/>
          </w:tcPr>
          <w:p w14:paraId="727D4396">
            <w:pPr>
              <w:spacing w:after="0" w:line="360" w:lineRule="auto"/>
              <w:jc w:val="center"/>
              <w:rPr>
                <w:rFonts w:ascii="宋体" w:hAnsi="宋体"/>
                <w:color w:val="auto"/>
                <w:szCs w:val="21"/>
                <w:highlight w:val="none"/>
              </w:rPr>
            </w:pPr>
          </w:p>
        </w:tc>
        <w:tc>
          <w:tcPr>
            <w:tcW w:w="2322" w:type="dxa"/>
            <w:noWrap w:val="0"/>
            <w:vAlign w:val="top"/>
          </w:tcPr>
          <w:p w14:paraId="19730575">
            <w:pPr>
              <w:spacing w:after="0" w:line="360" w:lineRule="auto"/>
              <w:jc w:val="center"/>
              <w:rPr>
                <w:rFonts w:ascii="宋体" w:hAnsi="宋体"/>
                <w:color w:val="auto"/>
                <w:szCs w:val="21"/>
                <w:highlight w:val="none"/>
              </w:rPr>
            </w:pPr>
          </w:p>
        </w:tc>
      </w:tr>
      <w:tr w14:paraId="46CD8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E9E624D">
            <w:pPr>
              <w:spacing w:after="0" w:line="360" w:lineRule="auto"/>
              <w:jc w:val="center"/>
              <w:rPr>
                <w:rFonts w:ascii="宋体" w:hAnsi="宋体"/>
                <w:color w:val="auto"/>
                <w:szCs w:val="21"/>
                <w:highlight w:val="none"/>
              </w:rPr>
            </w:pPr>
          </w:p>
        </w:tc>
        <w:tc>
          <w:tcPr>
            <w:tcW w:w="2321" w:type="dxa"/>
            <w:noWrap w:val="0"/>
            <w:vAlign w:val="top"/>
          </w:tcPr>
          <w:p w14:paraId="29310784">
            <w:pPr>
              <w:spacing w:after="0" w:line="360" w:lineRule="auto"/>
              <w:jc w:val="center"/>
              <w:rPr>
                <w:rFonts w:ascii="宋体" w:hAnsi="宋体"/>
                <w:color w:val="auto"/>
                <w:szCs w:val="21"/>
                <w:highlight w:val="none"/>
              </w:rPr>
            </w:pPr>
          </w:p>
        </w:tc>
        <w:tc>
          <w:tcPr>
            <w:tcW w:w="2322" w:type="dxa"/>
            <w:noWrap w:val="0"/>
            <w:vAlign w:val="top"/>
          </w:tcPr>
          <w:p w14:paraId="5FD7B82C">
            <w:pPr>
              <w:spacing w:after="0" w:line="360" w:lineRule="auto"/>
              <w:jc w:val="center"/>
              <w:rPr>
                <w:rFonts w:ascii="宋体" w:hAnsi="宋体"/>
                <w:color w:val="auto"/>
                <w:szCs w:val="21"/>
                <w:highlight w:val="none"/>
              </w:rPr>
            </w:pPr>
          </w:p>
        </w:tc>
        <w:tc>
          <w:tcPr>
            <w:tcW w:w="2322" w:type="dxa"/>
            <w:noWrap w:val="0"/>
            <w:vAlign w:val="top"/>
          </w:tcPr>
          <w:p w14:paraId="477F03B7">
            <w:pPr>
              <w:spacing w:after="0" w:line="360" w:lineRule="auto"/>
              <w:jc w:val="center"/>
              <w:rPr>
                <w:rFonts w:ascii="宋体" w:hAnsi="宋体"/>
                <w:color w:val="auto"/>
                <w:szCs w:val="21"/>
                <w:highlight w:val="none"/>
              </w:rPr>
            </w:pPr>
          </w:p>
        </w:tc>
      </w:tr>
      <w:tr w14:paraId="1E7B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BA1445C">
            <w:pPr>
              <w:spacing w:after="0" w:line="360" w:lineRule="auto"/>
              <w:jc w:val="center"/>
              <w:rPr>
                <w:rFonts w:ascii="宋体" w:hAnsi="宋体"/>
                <w:color w:val="auto"/>
                <w:szCs w:val="21"/>
                <w:highlight w:val="none"/>
              </w:rPr>
            </w:pPr>
          </w:p>
        </w:tc>
        <w:tc>
          <w:tcPr>
            <w:tcW w:w="2321" w:type="dxa"/>
            <w:noWrap w:val="0"/>
            <w:vAlign w:val="top"/>
          </w:tcPr>
          <w:p w14:paraId="762F1D9C">
            <w:pPr>
              <w:spacing w:after="0" w:line="360" w:lineRule="auto"/>
              <w:jc w:val="center"/>
              <w:rPr>
                <w:rFonts w:ascii="宋体" w:hAnsi="宋体"/>
                <w:color w:val="auto"/>
                <w:szCs w:val="21"/>
                <w:highlight w:val="none"/>
              </w:rPr>
            </w:pPr>
          </w:p>
        </w:tc>
        <w:tc>
          <w:tcPr>
            <w:tcW w:w="2322" w:type="dxa"/>
            <w:noWrap w:val="0"/>
            <w:vAlign w:val="top"/>
          </w:tcPr>
          <w:p w14:paraId="3478D256">
            <w:pPr>
              <w:spacing w:after="0" w:line="360" w:lineRule="auto"/>
              <w:jc w:val="center"/>
              <w:rPr>
                <w:rFonts w:ascii="宋体" w:hAnsi="宋体"/>
                <w:color w:val="auto"/>
                <w:szCs w:val="21"/>
                <w:highlight w:val="none"/>
              </w:rPr>
            </w:pPr>
          </w:p>
        </w:tc>
        <w:tc>
          <w:tcPr>
            <w:tcW w:w="2322" w:type="dxa"/>
            <w:noWrap w:val="0"/>
            <w:vAlign w:val="top"/>
          </w:tcPr>
          <w:p w14:paraId="5A9DE841">
            <w:pPr>
              <w:spacing w:after="0" w:line="360" w:lineRule="auto"/>
              <w:jc w:val="center"/>
              <w:rPr>
                <w:rFonts w:ascii="宋体" w:hAnsi="宋体"/>
                <w:color w:val="auto"/>
                <w:szCs w:val="21"/>
                <w:highlight w:val="none"/>
              </w:rPr>
            </w:pPr>
          </w:p>
        </w:tc>
      </w:tr>
      <w:tr w14:paraId="73AB3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F11FF95">
            <w:pPr>
              <w:spacing w:after="0" w:line="360" w:lineRule="auto"/>
              <w:jc w:val="center"/>
              <w:rPr>
                <w:rFonts w:ascii="宋体" w:hAnsi="宋体"/>
                <w:color w:val="auto"/>
                <w:szCs w:val="21"/>
                <w:highlight w:val="none"/>
              </w:rPr>
            </w:pPr>
          </w:p>
        </w:tc>
        <w:tc>
          <w:tcPr>
            <w:tcW w:w="2321" w:type="dxa"/>
            <w:noWrap w:val="0"/>
            <w:vAlign w:val="top"/>
          </w:tcPr>
          <w:p w14:paraId="71FCF531">
            <w:pPr>
              <w:spacing w:after="0" w:line="360" w:lineRule="auto"/>
              <w:jc w:val="center"/>
              <w:rPr>
                <w:rFonts w:ascii="宋体" w:hAnsi="宋体"/>
                <w:color w:val="auto"/>
                <w:szCs w:val="21"/>
                <w:highlight w:val="none"/>
              </w:rPr>
            </w:pPr>
          </w:p>
        </w:tc>
        <w:tc>
          <w:tcPr>
            <w:tcW w:w="2322" w:type="dxa"/>
            <w:noWrap w:val="0"/>
            <w:vAlign w:val="top"/>
          </w:tcPr>
          <w:p w14:paraId="2C81EA69">
            <w:pPr>
              <w:spacing w:after="0" w:line="360" w:lineRule="auto"/>
              <w:jc w:val="center"/>
              <w:rPr>
                <w:rFonts w:ascii="宋体" w:hAnsi="宋体"/>
                <w:color w:val="auto"/>
                <w:szCs w:val="21"/>
                <w:highlight w:val="none"/>
              </w:rPr>
            </w:pPr>
          </w:p>
        </w:tc>
        <w:tc>
          <w:tcPr>
            <w:tcW w:w="2322" w:type="dxa"/>
            <w:noWrap w:val="0"/>
            <w:vAlign w:val="top"/>
          </w:tcPr>
          <w:p w14:paraId="057CCE41">
            <w:pPr>
              <w:spacing w:after="0" w:line="360" w:lineRule="auto"/>
              <w:jc w:val="center"/>
              <w:rPr>
                <w:rFonts w:ascii="宋体" w:hAnsi="宋体"/>
                <w:color w:val="auto"/>
                <w:szCs w:val="21"/>
                <w:highlight w:val="none"/>
              </w:rPr>
            </w:pPr>
          </w:p>
        </w:tc>
      </w:tr>
      <w:tr w14:paraId="71910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60191E8">
            <w:pPr>
              <w:spacing w:after="0" w:line="360" w:lineRule="auto"/>
              <w:jc w:val="center"/>
              <w:rPr>
                <w:rFonts w:ascii="宋体" w:hAnsi="宋体"/>
                <w:color w:val="auto"/>
                <w:szCs w:val="21"/>
                <w:highlight w:val="none"/>
              </w:rPr>
            </w:pPr>
          </w:p>
        </w:tc>
        <w:tc>
          <w:tcPr>
            <w:tcW w:w="2321" w:type="dxa"/>
            <w:noWrap w:val="0"/>
            <w:vAlign w:val="top"/>
          </w:tcPr>
          <w:p w14:paraId="1C618FFB">
            <w:pPr>
              <w:spacing w:after="0" w:line="360" w:lineRule="auto"/>
              <w:jc w:val="center"/>
              <w:rPr>
                <w:rFonts w:ascii="宋体" w:hAnsi="宋体"/>
                <w:color w:val="auto"/>
                <w:szCs w:val="21"/>
                <w:highlight w:val="none"/>
              </w:rPr>
            </w:pPr>
          </w:p>
        </w:tc>
        <w:tc>
          <w:tcPr>
            <w:tcW w:w="2322" w:type="dxa"/>
            <w:noWrap w:val="0"/>
            <w:vAlign w:val="top"/>
          </w:tcPr>
          <w:p w14:paraId="58DFC741">
            <w:pPr>
              <w:spacing w:after="0" w:line="360" w:lineRule="auto"/>
              <w:jc w:val="center"/>
              <w:rPr>
                <w:rFonts w:ascii="宋体" w:hAnsi="宋体"/>
                <w:color w:val="auto"/>
                <w:szCs w:val="21"/>
                <w:highlight w:val="none"/>
              </w:rPr>
            </w:pPr>
          </w:p>
        </w:tc>
        <w:tc>
          <w:tcPr>
            <w:tcW w:w="2322" w:type="dxa"/>
            <w:noWrap w:val="0"/>
            <w:vAlign w:val="top"/>
          </w:tcPr>
          <w:p w14:paraId="7E515258">
            <w:pPr>
              <w:spacing w:after="0" w:line="360" w:lineRule="auto"/>
              <w:jc w:val="center"/>
              <w:rPr>
                <w:rFonts w:ascii="宋体" w:hAnsi="宋体"/>
                <w:color w:val="auto"/>
                <w:szCs w:val="21"/>
                <w:highlight w:val="none"/>
              </w:rPr>
            </w:pPr>
          </w:p>
        </w:tc>
      </w:tr>
      <w:tr w14:paraId="6C22A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D89BF8D">
            <w:pPr>
              <w:spacing w:after="0" w:line="360" w:lineRule="auto"/>
              <w:jc w:val="center"/>
              <w:rPr>
                <w:rFonts w:ascii="宋体" w:hAnsi="宋体"/>
                <w:color w:val="auto"/>
                <w:szCs w:val="21"/>
                <w:highlight w:val="none"/>
              </w:rPr>
            </w:pPr>
          </w:p>
        </w:tc>
        <w:tc>
          <w:tcPr>
            <w:tcW w:w="2321" w:type="dxa"/>
            <w:noWrap w:val="0"/>
            <w:vAlign w:val="top"/>
          </w:tcPr>
          <w:p w14:paraId="54731AD1">
            <w:pPr>
              <w:spacing w:after="0" w:line="360" w:lineRule="auto"/>
              <w:jc w:val="center"/>
              <w:rPr>
                <w:rFonts w:ascii="宋体" w:hAnsi="宋体"/>
                <w:color w:val="auto"/>
                <w:szCs w:val="21"/>
                <w:highlight w:val="none"/>
              </w:rPr>
            </w:pPr>
          </w:p>
        </w:tc>
        <w:tc>
          <w:tcPr>
            <w:tcW w:w="2322" w:type="dxa"/>
            <w:noWrap w:val="0"/>
            <w:vAlign w:val="top"/>
          </w:tcPr>
          <w:p w14:paraId="3882052D">
            <w:pPr>
              <w:spacing w:after="0" w:line="360" w:lineRule="auto"/>
              <w:jc w:val="center"/>
              <w:rPr>
                <w:rFonts w:ascii="宋体" w:hAnsi="宋体"/>
                <w:color w:val="auto"/>
                <w:szCs w:val="21"/>
                <w:highlight w:val="none"/>
              </w:rPr>
            </w:pPr>
          </w:p>
        </w:tc>
        <w:tc>
          <w:tcPr>
            <w:tcW w:w="2322" w:type="dxa"/>
            <w:noWrap w:val="0"/>
            <w:vAlign w:val="top"/>
          </w:tcPr>
          <w:p w14:paraId="5E5DEEDB">
            <w:pPr>
              <w:spacing w:after="0" w:line="360" w:lineRule="auto"/>
              <w:jc w:val="center"/>
              <w:rPr>
                <w:rFonts w:ascii="宋体" w:hAnsi="宋体"/>
                <w:color w:val="auto"/>
                <w:szCs w:val="21"/>
                <w:highlight w:val="none"/>
              </w:rPr>
            </w:pPr>
          </w:p>
        </w:tc>
      </w:tr>
      <w:tr w14:paraId="3210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7777D91">
            <w:pPr>
              <w:spacing w:after="0" w:line="360" w:lineRule="auto"/>
              <w:jc w:val="center"/>
              <w:rPr>
                <w:rFonts w:ascii="宋体" w:hAnsi="宋体"/>
                <w:color w:val="auto"/>
                <w:szCs w:val="21"/>
                <w:highlight w:val="none"/>
              </w:rPr>
            </w:pPr>
          </w:p>
        </w:tc>
        <w:tc>
          <w:tcPr>
            <w:tcW w:w="2321" w:type="dxa"/>
            <w:noWrap w:val="0"/>
            <w:vAlign w:val="top"/>
          </w:tcPr>
          <w:p w14:paraId="7F1A9F80">
            <w:pPr>
              <w:spacing w:after="0" w:line="360" w:lineRule="auto"/>
              <w:jc w:val="center"/>
              <w:rPr>
                <w:rFonts w:ascii="宋体" w:hAnsi="宋体"/>
                <w:color w:val="auto"/>
                <w:szCs w:val="21"/>
                <w:highlight w:val="none"/>
              </w:rPr>
            </w:pPr>
          </w:p>
        </w:tc>
        <w:tc>
          <w:tcPr>
            <w:tcW w:w="2322" w:type="dxa"/>
            <w:noWrap w:val="0"/>
            <w:vAlign w:val="top"/>
          </w:tcPr>
          <w:p w14:paraId="2667206C">
            <w:pPr>
              <w:spacing w:after="0" w:line="360" w:lineRule="auto"/>
              <w:jc w:val="center"/>
              <w:rPr>
                <w:rFonts w:ascii="宋体" w:hAnsi="宋体"/>
                <w:color w:val="auto"/>
                <w:szCs w:val="21"/>
                <w:highlight w:val="none"/>
              </w:rPr>
            </w:pPr>
          </w:p>
        </w:tc>
        <w:tc>
          <w:tcPr>
            <w:tcW w:w="2322" w:type="dxa"/>
            <w:noWrap w:val="0"/>
            <w:vAlign w:val="top"/>
          </w:tcPr>
          <w:p w14:paraId="18463E05">
            <w:pPr>
              <w:spacing w:after="0" w:line="360" w:lineRule="auto"/>
              <w:jc w:val="center"/>
              <w:rPr>
                <w:rFonts w:ascii="宋体" w:hAnsi="宋体"/>
                <w:color w:val="auto"/>
                <w:szCs w:val="21"/>
                <w:highlight w:val="none"/>
              </w:rPr>
            </w:pPr>
          </w:p>
        </w:tc>
      </w:tr>
      <w:tr w14:paraId="049FB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DC50316">
            <w:pPr>
              <w:spacing w:after="0" w:line="360" w:lineRule="auto"/>
              <w:jc w:val="center"/>
              <w:rPr>
                <w:rFonts w:ascii="宋体" w:hAnsi="宋体"/>
                <w:color w:val="auto"/>
                <w:szCs w:val="21"/>
                <w:highlight w:val="none"/>
              </w:rPr>
            </w:pPr>
          </w:p>
        </w:tc>
        <w:tc>
          <w:tcPr>
            <w:tcW w:w="2321" w:type="dxa"/>
            <w:noWrap w:val="0"/>
            <w:vAlign w:val="top"/>
          </w:tcPr>
          <w:p w14:paraId="377F479B">
            <w:pPr>
              <w:spacing w:after="0" w:line="360" w:lineRule="auto"/>
              <w:jc w:val="center"/>
              <w:rPr>
                <w:rFonts w:ascii="宋体" w:hAnsi="宋体"/>
                <w:color w:val="auto"/>
                <w:szCs w:val="21"/>
                <w:highlight w:val="none"/>
              </w:rPr>
            </w:pPr>
          </w:p>
        </w:tc>
        <w:tc>
          <w:tcPr>
            <w:tcW w:w="2322" w:type="dxa"/>
            <w:noWrap w:val="0"/>
            <w:vAlign w:val="top"/>
          </w:tcPr>
          <w:p w14:paraId="3070E25C">
            <w:pPr>
              <w:spacing w:after="0" w:line="360" w:lineRule="auto"/>
              <w:jc w:val="center"/>
              <w:rPr>
                <w:rFonts w:ascii="宋体" w:hAnsi="宋体"/>
                <w:color w:val="auto"/>
                <w:szCs w:val="21"/>
                <w:highlight w:val="none"/>
              </w:rPr>
            </w:pPr>
          </w:p>
        </w:tc>
        <w:tc>
          <w:tcPr>
            <w:tcW w:w="2322" w:type="dxa"/>
            <w:noWrap w:val="0"/>
            <w:vAlign w:val="top"/>
          </w:tcPr>
          <w:p w14:paraId="75389EEF">
            <w:pPr>
              <w:spacing w:after="0" w:line="360" w:lineRule="auto"/>
              <w:jc w:val="center"/>
              <w:rPr>
                <w:rFonts w:ascii="宋体" w:hAnsi="宋体"/>
                <w:color w:val="auto"/>
                <w:szCs w:val="21"/>
                <w:highlight w:val="none"/>
              </w:rPr>
            </w:pPr>
          </w:p>
        </w:tc>
      </w:tr>
      <w:tr w14:paraId="2D33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BE0820F">
            <w:pPr>
              <w:spacing w:after="0" w:line="360" w:lineRule="auto"/>
              <w:jc w:val="center"/>
              <w:rPr>
                <w:rFonts w:ascii="宋体" w:hAnsi="宋体"/>
                <w:color w:val="auto"/>
                <w:szCs w:val="21"/>
                <w:highlight w:val="none"/>
              </w:rPr>
            </w:pPr>
          </w:p>
        </w:tc>
        <w:tc>
          <w:tcPr>
            <w:tcW w:w="2321" w:type="dxa"/>
            <w:noWrap w:val="0"/>
            <w:vAlign w:val="top"/>
          </w:tcPr>
          <w:p w14:paraId="7FCA905A">
            <w:pPr>
              <w:spacing w:after="0" w:line="360" w:lineRule="auto"/>
              <w:jc w:val="center"/>
              <w:rPr>
                <w:rFonts w:ascii="宋体" w:hAnsi="宋体"/>
                <w:color w:val="auto"/>
                <w:szCs w:val="21"/>
                <w:highlight w:val="none"/>
              </w:rPr>
            </w:pPr>
          </w:p>
        </w:tc>
        <w:tc>
          <w:tcPr>
            <w:tcW w:w="2322" w:type="dxa"/>
            <w:noWrap w:val="0"/>
            <w:vAlign w:val="top"/>
          </w:tcPr>
          <w:p w14:paraId="26DE42DA">
            <w:pPr>
              <w:spacing w:after="0" w:line="360" w:lineRule="auto"/>
              <w:jc w:val="center"/>
              <w:rPr>
                <w:rFonts w:ascii="宋体" w:hAnsi="宋体"/>
                <w:color w:val="auto"/>
                <w:szCs w:val="21"/>
                <w:highlight w:val="none"/>
              </w:rPr>
            </w:pPr>
          </w:p>
        </w:tc>
        <w:tc>
          <w:tcPr>
            <w:tcW w:w="2322" w:type="dxa"/>
            <w:noWrap w:val="0"/>
            <w:vAlign w:val="top"/>
          </w:tcPr>
          <w:p w14:paraId="2E4A2845">
            <w:pPr>
              <w:spacing w:after="0" w:line="360" w:lineRule="auto"/>
              <w:jc w:val="center"/>
              <w:rPr>
                <w:rFonts w:ascii="宋体" w:hAnsi="宋体"/>
                <w:color w:val="auto"/>
                <w:szCs w:val="21"/>
                <w:highlight w:val="none"/>
              </w:rPr>
            </w:pPr>
          </w:p>
        </w:tc>
      </w:tr>
      <w:tr w14:paraId="60F6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1DE6037">
            <w:pPr>
              <w:spacing w:after="0" w:line="360" w:lineRule="auto"/>
              <w:jc w:val="center"/>
              <w:rPr>
                <w:rFonts w:ascii="宋体" w:hAnsi="宋体"/>
                <w:color w:val="auto"/>
                <w:szCs w:val="21"/>
                <w:highlight w:val="none"/>
              </w:rPr>
            </w:pPr>
          </w:p>
        </w:tc>
        <w:tc>
          <w:tcPr>
            <w:tcW w:w="2321" w:type="dxa"/>
            <w:noWrap w:val="0"/>
            <w:vAlign w:val="top"/>
          </w:tcPr>
          <w:p w14:paraId="4918FCB5">
            <w:pPr>
              <w:spacing w:after="0" w:line="360" w:lineRule="auto"/>
              <w:jc w:val="center"/>
              <w:rPr>
                <w:rFonts w:ascii="宋体" w:hAnsi="宋体"/>
                <w:color w:val="auto"/>
                <w:szCs w:val="21"/>
                <w:highlight w:val="none"/>
              </w:rPr>
            </w:pPr>
          </w:p>
        </w:tc>
        <w:tc>
          <w:tcPr>
            <w:tcW w:w="2322" w:type="dxa"/>
            <w:noWrap w:val="0"/>
            <w:vAlign w:val="top"/>
          </w:tcPr>
          <w:p w14:paraId="7DBA1C34">
            <w:pPr>
              <w:spacing w:after="0" w:line="360" w:lineRule="auto"/>
              <w:jc w:val="center"/>
              <w:rPr>
                <w:rFonts w:ascii="宋体" w:hAnsi="宋体"/>
                <w:color w:val="auto"/>
                <w:szCs w:val="21"/>
                <w:highlight w:val="none"/>
              </w:rPr>
            </w:pPr>
          </w:p>
        </w:tc>
        <w:tc>
          <w:tcPr>
            <w:tcW w:w="2322" w:type="dxa"/>
            <w:noWrap w:val="0"/>
            <w:vAlign w:val="top"/>
          </w:tcPr>
          <w:p w14:paraId="59C7AE8B">
            <w:pPr>
              <w:spacing w:after="0" w:line="360" w:lineRule="auto"/>
              <w:jc w:val="center"/>
              <w:rPr>
                <w:rFonts w:ascii="宋体" w:hAnsi="宋体"/>
                <w:color w:val="auto"/>
                <w:szCs w:val="21"/>
                <w:highlight w:val="none"/>
              </w:rPr>
            </w:pPr>
          </w:p>
        </w:tc>
      </w:tr>
      <w:tr w14:paraId="6C34B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49B2103">
            <w:pPr>
              <w:spacing w:after="0" w:line="360" w:lineRule="auto"/>
              <w:jc w:val="center"/>
              <w:rPr>
                <w:rFonts w:ascii="宋体" w:hAnsi="宋体"/>
                <w:color w:val="auto"/>
                <w:szCs w:val="21"/>
                <w:highlight w:val="none"/>
              </w:rPr>
            </w:pPr>
          </w:p>
        </w:tc>
        <w:tc>
          <w:tcPr>
            <w:tcW w:w="2321" w:type="dxa"/>
            <w:noWrap w:val="0"/>
            <w:vAlign w:val="top"/>
          </w:tcPr>
          <w:p w14:paraId="6E542367">
            <w:pPr>
              <w:spacing w:after="0" w:line="360" w:lineRule="auto"/>
              <w:jc w:val="center"/>
              <w:rPr>
                <w:rFonts w:ascii="宋体" w:hAnsi="宋体"/>
                <w:color w:val="auto"/>
                <w:szCs w:val="21"/>
                <w:highlight w:val="none"/>
              </w:rPr>
            </w:pPr>
          </w:p>
        </w:tc>
        <w:tc>
          <w:tcPr>
            <w:tcW w:w="2322" w:type="dxa"/>
            <w:noWrap w:val="0"/>
            <w:vAlign w:val="top"/>
          </w:tcPr>
          <w:p w14:paraId="60255F30">
            <w:pPr>
              <w:spacing w:after="0" w:line="360" w:lineRule="auto"/>
              <w:jc w:val="center"/>
              <w:rPr>
                <w:rFonts w:ascii="宋体" w:hAnsi="宋体"/>
                <w:color w:val="auto"/>
                <w:szCs w:val="21"/>
                <w:highlight w:val="none"/>
              </w:rPr>
            </w:pPr>
          </w:p>
        </w:tc>
        <w:tc>
          <w:tcPr>
            <w:tcW w:w="2322" w:type="dxa"/>
            <w:noWrap w:val="0"/>
            <w:vAlign w:val="top"/>
          </w:tcPr>
          <w:p w14:paraId="6BCB2297">
            <w:pPr>
              <w:spacing w:after="0" w:line="360" w:lineRule="auto"/>
              <w:jc w:val="center"/>
              <w:rPr>
                <w:rFonts w:ascii="宋体" w:hAnsi="宋体"/>
                <w:color w:val="auto"/>
                <w:szCs w:val="21"/>
                <w:highlight w:val="none"/>
              </w:rPr>
            </w:pPr>
          </w:p>
        </w:tc>
      </w:tr>
      <w:tr w14:paraId="0EAA8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55CBC8C">
            <w:pPr>
              <w:spacing w:after="0" w:line="360" w:lineRule="auto"/>
              <w:jc w:val="center"/>
              <w:rPr>
                <w:rFonts w:ascii="宋体" w:hAnsi="宋体"/>
                <w:color w:val="auto"/>
                <w:szCs w:val="21"/>
                <w:highlight w:val="none"/>
              </w:rPr>
            </w:pPr>
          </w:p>
        </w:tc>
        <w:tc>
          <w:tcPr>
            <w:tcW w:w="2321" w:type="dxa"/>
            <w:noWrap w:val="0"/>
            <w:vAlign w:val="top"/>
          </w:tcPr>
          <w:p w14:paraId="61B9B4BD">
            <w:pPr>
              <w:spacing w:after="0" w:line="360" w:lineRule="auto"/>
              <w:jc w:val="center"/>
              <w:rPr>
                <w:rFonts w:ascii="宋体" w:hAnsi="宋体"/>
                <w:color w:val="auto"/>
                <w:szCs w:val="21"/>
                <w:highlight w:val="none"/>
              </w:rPr>
            </w:pPr>
          </w:p>
        </w:tc>
        <w:tc>
          <w:tcPr>
            <w:tcW w:w="2322" w:type="dxa"/>
            <w:noWrap w:val="0"/>
            <w:vAlign w:val="top"/>
          </w:tcPr>
          <w:p w14:paraId="3D685EEF">
            <w:pPr>
              <w:spacing w:after="0" w:line="360" w:lineRule="auto"/>
              <w:jc w:val="center"/>
              <w:rPr>
                <w:rFonts w:ascii="宋体" w:hAnsi="宋体"/>
                <w:color w:val="auto"/>
                <w:szCs w:val="21"/>
                <w:highlight w:val="none"/>
              </w:rPr>
            </w:pPr>
          </w:p>
        </w:tc>
        <w:tc>
          <w:tcPr>
            <w:tcW w:w="2322" w:type="dxa"/>
            <w:noWrap w:val="0"/>
            <w:vAlign w:val="top"/>
          </w:tcPr>
          <w:p w14:paraId="517DFC95">
            <w:pPr>
              <w:spacing w:after="0" w:line="360" w:lineRule="auto"/>
              <w:jc w:val="center"/>
              <w:rPr>
                <w:rFonts w:ascii="宋体" w:hAnsi="宋体"/>
                <w:color w:val="auto"/>
                <w:szCs w:val="21"/>
                <w:highlight w:val="none"/>
              </w:rPr>
            </w:pPr>
          </w:p>
        </w:tc>
      </w:tr>
      <w:tr w14:paraId="3E028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41F56E2">
            <w:pPr>
              <w:spacing w:after="0" w:line="360" w:lineRule="auto"/>
              <w:jc w:val="center"/>
              <w:rPr>
                <w:rFonts w:ascii="宋体" w:hAnsi="宋体"/>
                <w:color w:val="auto"/>
                <w:szCs w:val="21"/>
                <w:highlight w:val="none"/>
              </w:rPr>
            </w:pPr>
          </w:p>
        </w:tc>
        <w:tc>
          <w:tcPr>
            <w:tcW w:w="2321" w:type="dxa"/>
            <w:noWrap w:val="0"/>
            <w:vAlign w:val="top"/>
          </w:tcPr>
          <w:p w14:paraId="4DCD2CE8">
            <w:pPr>
              <w:spacing w:after="0" w:line="360" w:lineRule="auto"/>
              <w:jc w:val="center"/>
              <w:rPr>
                <w:rFonts w:ascii="宋体" w:hAnsi="宋体"/>
                <w:color w:val="auto"/>
                <w:szCs w:val="21"/>
                <w:highlight w:val="none"/>
              </w:rPr>
            </w:pPr>
          </w:p>
        </w:tc>
        <w:tc>
          <w:tcPr>
            <w:tcW w:w="2322" w:type="dxa"/>
            <w:noWrap w:val="0"/>
            <w:vAlign w:val="top"/>
          </w:tcPr>
          <w:p w14:paraId="01ACE550">
            <w:pPr>
              <w:spacing w:after="0" w:line="360" w:lineRule="auto"/>
              <w:jc w:val="center"/>
              <w:rPr>
                <w:rFonts w:ascii="宋体" w:hAnsi="宋体"/>
                <w:color w:val="auto"/>
                <w:szCs w:val="21"/>
                <w:highlight w:val="none"/>
              </w:rPr>
            </w:pPr>
          </w:p>
        </w:tc>
        <w:tc>
          <w:tcPr>
            <w:tcW w:w="2322" w:type="dxa"/>
            <w:noWrap w:val="0"/>
            <w:vAlign w:val="top"/>
          </w:tcPr>
          <w:p w14:paraId="2CF7A001">
            <w:pPr>
              <w:spacing w:after="0" w:line="360" w:lineRule="auto"/>
              <w:jc w:val="center"/>
              <w:rPr>
                <w:rFonts w:ascii="宋体" w:hAnsi="宋体"/>
                <w:color w:val="auto"/>
                <w:szCs w:val="21"/>
                <w:highlight w:val="none"/>
              </w:rPr>
            </w:pPr>
          </w:p>
        </w:tc>
      </w:tr>
    </w:tbl>
    <w:p w14:paraId="069A408E">
      <w:pPr>
        <w:pStyle w:val="317"/>
        <w:spacing w:line="360" w:lineRule="auto"/>
        <w:ind w:firstLine="422"/>
        <w:rPr>
          <w:rFonts w:ascii="宋体" w:hAnsi="宋体"/>
          <w:color w:val="auto"/>
          <w:highlight w:val="none"/>
        </w:rPr>
      </w:pPr>
      <w:bookmarkStart w:id="1149" w:name="_Toc168476333"/>
      <w:bookmarkStart w:id="1150" w:name="_Toc222029567"/>
      <w:bookmarkStart w:id="1151" w:name="_Toc221952115"/>
      <w:bookmarkStart w:id="1152" w:name="_Toc168475930"/>
      <w:bookmarkStart w:id="1153" w:name="_Toc222031069"/>
      <w:bookmarkStart w:id="1154" w:name="_Toc144974871"/>
      <w:bookmarkStart w:id="1155" w:name="_Toc274933851"/>
      <w:bookmarkStart w:id="1156" w:name="_Toc222033918"/>
      <w:bookmarkStart w:id="1157" w:name="_Toc229305427"/>
      <w:bookmarkStart w:id="1158" w:name="_Toc222032736"/>
    </w:p>
    <w:p w14:paraId="39825D10">
      <w:pPr>
        <w:spacing w:after="0" w:line="360" w:lineRule="auto"/>
        <w:rPr>
          <w:rFonts w:ascii="宋体" w:hAnsi="宋体"/>
          <w:color w:val="auto"/>
          <w:highlight w:val="none"/>
        </w:rPr>
      </w:pPr>
      <w:r>
        <w:rPr>
          <w:rFonts w:ascii="宋体" w:hAnsi="宋体"/>
          <w:color w:val="auto"/>
          <w:highlight w:val="none"/>
        </w:rPr>
        <w:br w:type="page"/>
      </w:r>
    </w:p>
    <w:bookmarkEnd w:id="1149"/>
    <w:bookmarkEnd w:id="1150"/>
    <w:bookmarkEnd w:id="1151"/>
    <w:bookmarkEnd w:id="1152"/>
    <w:bookmarkEnd w:id="1153"/>
    <w:bookmarkEnd w:id="1154"/>
    <w:bookmarkEnd w:id="1155"/>
    <w:bookmarkEnd w:id="1156"/>
    <w:bookmarkEnd w:id="1157"/>
    <w:bookmarkEnd w:id="1158"/>
    <w:p w14:paraId="78DBC272">
      <w:pPr>
        <w:pStyle w:val="5"/>
        <w:spacing w:before="0" w:after="0" w:line="360" w:lineRule="auto"/>
        <w:jc w:val="center"/>
        <w:rPr>
          <w:rFonts w:ascii="宋体" w:hAnsi="宋体" w:eastAsia="宋体"/>
          <w:color w:val="auto"/>
          <w:sz w:val="24"/>
          <w:highlight w:val="none"/>
        </w:rPr>
      </w:pPr>
      <w:bookmarkStart w:id="1159" w:name="_Toc469470254"/>
      <w:bookmarkStart w:id="1160" w:name="_Toc27898_WPSOffice_Level1"/>
      <w:bookmarkStart w:id="1161" w:name="_Toc95257524"/>
      <w:bookmarkStart w:id="1162" w:name="_Toc6387"/>
      <w:bookmarkStart w:id="1163" w:name="_Toc13264"/>
      <w:r>
        <w:rPr>
          <w:rFonts w:hint="eastAsia" w:ascii="宋体" w:hAnsi="宋体" w:eastAsia="宋体"/>
          <w:color w:val="auto"/>
          <w:sz w:val="24"/>
          <w:highlight w:val="none"/>
        </w:rPr>
        <w:t>八、其他</w:t>
      </w:r>
      <w:bookmarkEnd w:id="1159"/>
      <w:r>
        <w:rPr>
          <w:rFonts w:hint="eastAsia" w:ascii="宋体" w:hAnsi="宋体" w:eastAsia="宋体"/>
          <w:color w:val="auto"/>
          <w:sz w:val="24"/>
          <w:highlight w:val="none"/>
        </w:rPr>
        <w:t>材料</w:t>
      </w:r>
      <w:bookmarkEnd w:id="1160"/>
      <w:bookmarkEnd w:id="1161"/>
      <w:bookmarkEnd w:id="1162"/>
      <w:bookmarkEnd w:id="1163"/>
    </w:p>
    <w:p w14:paraId="1C0A9BBD">
      <w:pPr>
        <w:spacing w:after="0" w:line="360" w:lineRule="auto"/>
        <w:ind w:firstLine="411" w:firstLineChars="196"/>
        <w:rPr>
          <w:rFonts w:ascii="宋体" w:hAnsi="宋体"/>
          <w:color w:val="auto"/>
          <w:szCs w:val="21"/>
          <w:highlight w:val="none"/>
        </w:rPr>
      </w:pPr>
      <w:bookmarkStart w:id="1164" w:name="_Toc31400_WPSOffice_Level2"/>
      <w:r>
        <w:rPr>
          <w:rFonts w:hint="eastAsia" w:ascii="宋体" w:hAnsi="宋体"/>
          <w:color w:val="auto"/>
          <w:szCs w:val="21"/>
          <w:highlight w:val="none"/>
        </w:rPr>
        <w:t>1.招标人或招标代理机构发出的修改或补遗文件；</w:t>
      </w:r>
      <w:bookmarkEnd w:id="1164"/>
    </w:p>
    <w:p w14:paraId="10D589D3">
      <w:pPr>
        <w:spacing w:after="0" w:line="360" w:lineRule="auto"/>
        <w:ind w:firstLine="411" w:firstLineChars="196"/>
        <w:rPr>
          <w:rFonts w:ascii="宋体" w:hAnsi="宋体"/>
          <w:color w:val="auto"/>
          <w:szCs w:val="21"/>
          <w:highlight w:val="none"/>
        </w:rPr>
      </w:pPr>
      <w:bookmarkStart w:id="1165" w:name="_Toc22222_WPSOffice_Level2"/>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招标文件要求提供的其他相关证明材料；</w:t>
      </w:r>
      <w:bookmarkEnd w:id="1165"/>
    </w:p>
    <w:p w14:paraId="55F3EA8E">
      <w:pPr>
        <w:spacing w:after="0" w:line="360" w:lineRule="auto"/>
        <w:ind w:firstLine="411" w:firstLineChars="196"/>
        <w:rPr>
          <w:rFonts w:ascii="宋体" w:hAnsi="宋体"/>
          <w:color w:val="auto"/>
          <w:sz w:val="27"/>
          <w:szCs w:val="27"/>
          <w:highlight w:val="none"/>
          <w:u w:val="single"/>
        </w:rPr>
      </w:pPr>
      <w:bookmarkStart w:id="1166" w:name="_Toc27387_WPSOffice_Level2"/>
      <w:r>
        <w:rPr>
          <w:rFonts w:hint="eastAsia" w:ascii="宋体" w:hAnsi="宋体"/>
          <w:color w:val="auto"/>
          <w:szCs w:val="21"/>
          <w:highlight w:val="none"/>
        </w:rPr>
        <w:t>3.投标人认为有必要提供的其他材料。</w:t>
      </w:r>
      <w:bookmarkEnd w:id="1166"/>
    </w:p>
    <w:p w14:paraId="3135DCE3">
      <w:pPr>
        <w:spacing w:after="0" w:line="360" w:lineRule="auto"/>
        <w:rPr>
          <w:rFonts w:ascii="宋体" w:hAnsi="宋体"/>
          <w:color w:val="auto"/>
          <w:highlight w:val="none"/>
        </w:rPr>
      </w:pPr>
    </w:p>
    <w:p w14:paraId="5672AFC7">
      <w:pPr>
        <w:rPr>
          <w:color w:val="auto"/>
          <w:highlight w:val="none"/>
        </w:rPr>
      </w:pPr>
    </w:p>
    <w:sectPr>
      <w:pgSz w:w="11906" w:h="16838"/>
      <w:pgMar w:top="1418" w:right="1418" w:bottom="1418" w:left="1701" w:header="851" w:footer="992" w:gutter="0"/>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Century">
    <w:panose1 w:val="02040604050505020304"/>
    <w:charset w:val="00"/>
    <w:family w:val="roman"/>
    <w:pitch w:val="default"/>
    <w:sig w:usb0="00000287" w:usb1="00000000" w:usb2="00000000" w:usb3="00000000" w:csb0="2000009F" w:csb1="DFD70000"/>
  </w:font>
  <w:font w:name="Calibri Light">
    <w:panose1 w:val="020F0302020204030204"/>
    <w:charset w:val="00"/>
    <w:family w:val="swiss"/>
    <w:pitch w:val="default"/>
    <w:sig w:usb0="E4002EFF" w:usb1="C200247B" w:usb2="00000009" w:usb3="00000000" w:csb0="200001FF" w:csb1="00000000"/>
  </w:font>
  <w:font w:name="..">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Times">
    <w:altName w:val="Times New Roman"/>
    <w:panose1 w:val="02020603050405020304"/>
    <w:charset w:val="00"/>
    <w:family w:val="roman"/>
    <w:pitch w:val="default"/>
    <w:sig w:usb0="00000000" w:usb1="00000000" w:usb2="00000009" w:usb3="00000000" w:csb0="000001F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HiddenHorzOCR">
    <w:altName w:val="MS Gothic"/>
    <w:panose1 w:val="00000000000000000000"/>
    <w:charset w:val="80"/>
    <w:family w:val="auto"/>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EB909">
    <w:pPr>
      <w:pStyle w:val="35"/>
      <w:pBdr>
        <w:top w:val="dotDotDash" w:color="622423" w:sz="4" w:space="0"/>
        <w:left w:val="none" w:color="auto" w:sz="0" w:space="4"/>
        <w:bottom w:val="none" w:color="auto" w:sz="0" w:space="1"/>
        <w:right w:val="none" w:color="auto" w:sz="0" w:space="4"/>
      </w:pBdr>
      <w:tabs>
        <w:tab w:val="left" w:pos="0"/>
        <w:tab w:val="right" w:pos="9498"/>
        <w:tab w:val="clear" w:pos="8306"/>
      </w:tabs>
      <w:ind w:right="53" w:rightChars="25"/>
      <w:jc w:val="both"/>
      <w:rPr>
        <w:rFonts w:ascii="宋体" w:hAnsi="宋体"/>
        <w:sz w:val="21"/>
        <w:szCs w:val="21"/>
      </w:rPr>
    </w:pPr>
    <w:r>
      <mc:AlternateContent>
        <mc:Choice Requires="wps">
          <w:drawing>
            <wp:anchor distT="0" distB="0" distL="114300" distR="114300" simplePos="0" relativeHeight="251661312" behindDoc="0" locked="0" layoutInCell="1" allowOverlap="1">
              <wp:simplePos x="0" y="0"/>
              <wp:positionH relativeFrom="margin">
                <wp:posOffset>2782570</wp:posOffset>
              </wp:positionH>
              <wp:positionV relativeFrom="paragraph">
                <wp:posOffset>3810</wp:posOffset>
              </wp:positionV>
              <wp:extent cx="209550" cy="152400"/>
              <wp:effectExtent l="0" t="0" r="0" b="0"/>
              <wp:wrapNone/>
              <wp:docPr id="6" name="文本框 7"/>
              <wp:cNvGraphicFramePr/>
              <a:graphic xmlns:a="http://schemas.openxmlformats.org/drawingml/2006/main">
                <a:graphicData uri="http://schemas.microsoft.com/office/word/2010/wordprocessingShape">
                  <wps:wsp>
                    <wps:cNvSpPr txBox="1"/>
                    <wps:spPr>
                      <a:xfrm>
                        <a:off x="0" y="0"/>
                        <a:ext cx="209550" cy="152400"/>
                      </a:xfrm>
                      <a:prstGeom prst="rect">
                        <a:avLst/>
                      </a:prstGeom>
                      <a:noFill/>
                      <a:ln>
                        <a:noFill/>
                      </a:ln>
                    </wps:spPr>
                    <wps:txbx>
                      <w:txbxContent>
                        <w:p w14:paraId="633E95FE">
                          <w:pPr>
                            <w:pStyle w:val="35"/>
                            <w:jc w:val="center"/>
                          </w:pPr>
                          <w:r>
                            <w:fldChar w:fldCharType="begin"/>
                          </w:r>
                          <w:r>
                            <w:instrText xml:space="preserve"> PAGE   \* MERGEFORMAT </w:instrText>
                          </w:r>
                          <w:r>
                            <w:fldChar w:fldCharType="separate"/>
                          </w:r>
                          <w:r>
                            <w:t>136</w:t>
                          </w:r>
                          <w:r>
                            <w:fldChar w:fldCharType="end"/>
                          </w:r>
                        </w:p>
                      </w:txbxContent>
                    </wps:txbx>
                    <wps:bodyPr lIns="0" tIns="0" rIns="0" bIns="0"/>
                  </wps:wsp>
                </a:graphicData>
              </a:graphic>
            </wp:anchor>
          </w:drawing>
        </mc:Choice>
        <mc:Fallback>
          <w:pict>
            <v:shape id="文本框 7" o:spid="_x0000_s1026" o:spt="202" type="#_x0000_t202" style="position:absolute;left:0pt;margin-left:219.1pt;margin-top:0.3pt;height:12pt;width:16.5pt;mso-position-horizontal-relative:margin;z-index:251661312;mso-width-relative:page;mso-height-relative:page;" filled="f" stroked="f" coordsize="21600,21600" o:gfxdata="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NoV&#10;d0rVAAAABwEAAA8AAAAAAAAAAQAgAAAAIgAAAGRycy9kb3ducmV2LnhtbFBLAQIUABQAAAAIAIdO&#10;4kA1sXqMtAEAAGUDAAAOAAAAAAAAAAEAIAAAACQBAABkcnMvZTJvRG9jLnhtbFBLBQYAAAAABgAG&#10;AFkBAABKBQAAAAA=&#10;">
              <v:fill on="f" focussize="0,0"/>
              <v:stroke on="f"/>
              <v:imagedata o:title=""/>
              <o:lock v:ext="edit" aspectratio="f"/>
              <v:textbox inset="0mm,0mm,0mm,0mm">
                <w:txbxContent>
                  <w:p w14:paraId="633E95FE">
                    <w:pPr>
                      <w:pStyle w:val="35"/>
                      <w:jc w:val="center"/>
                    </w:pPr>
                    <w:r>
                      <w:fldChar w:fldCharType="begin"/>
                    </w:r>
                    <w:r>
                      <w:instrText xml:space="preserve"> PAGE   \* MERGEFORMAT </w:instrText>
                    </w:r>
                    <w:r>
                      <w:fldChar w:fldCharType="separate"/>
                    </w:r>
                    <w:r>
                      <w:t>136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16A2F">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A0AFBC">
                          <w:pPr>
                            <w:pStyle w:val="3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BA0AFBC">
                    <w:pPr>
                      <w:pStyle w:val="3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3E8D9">
    <w:pPr>
      <w:pStyle w:val="3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8620F2">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018620F2">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49E50">
    <w:pPr>
      <w:pStyle w:val="35"/>
      <w:pBdr>
        <w:top w:val="thinThickSmallGap" w:color="622423" w:sz="24" w:space="0"/>
      </w:pBdr>
      <w:tabs>
        <w:tab w:val="left" w:pos="0"/>
        <w:tab w:val="right" w:pos="9498"/>
        <w:tab w:val="clear" w:pos="8306"/>
      </w:tabs>
      <w:ind w:right="53" w:rightChars="25"/>
      <w:jc w:val="right"/>
      <w:rPr>
        <w:rFonts w:ascii="宋体" w:hAnsi="宋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87F3F6">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Xcim94BAAC+AwAADgAAAGRycy9lMm9Eb2MueG1srVPBjtMwEL0j8Q+W&#10;7zTZSou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ovOXPC0sDP37+df/w6//zK&#10;rpM8vY8VZd17ysPhNQy0NLM/kjOxHtpg05/4MIqTuKeLuGpAJtOl1XK1KikkKTYfCL94uO5DxDcK&#10;LEtGzQNNL4sqju8ijqlzSqrm4E4bkydo3F8OwkyeIvU+9pgsHHbDRGgHzYn40DOgOh2EL5z1tAQ1&#10;d7TznJm3jjRO+zIbYTZ2syGcpIs1R85G8xbHvTr4oPdd3rTUVPSvDk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5dyKb3gEAAL4DAAAOAAAAAAAA&#10;AAEAIAAAAB4BAABkcnMvZTJvRG9jLnhtbFBLBQYAAAAABgAGAFkBAABuBQAAAAA=&#10;">
              <v:fill on="f" focussize="0,0"/>
              <v:stroke on="f"/>
              <v:imagedata o:title=""/>
              <o:lock v:ext="edit" aspectratio="f"/>
              <v:textbox inset="0mm,0mm,0mm,0mm" style="mso-fit-shape-to-text:t;">
                <w:txbxContent>
                  <w:p w14:paraId="1987F3F6">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359B2">
    <w:pPr>
      <w:pStyle w:val="3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069E4FF">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1069E4FF">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204</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E1641">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A602E">
    <w:pPr>
      <w:pStyle w:val="498"/>
      <w:pBdr>
        <w:bottom w:val="none" w:color="auto" w:sz="0" w:space="1"/>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62613">
    <w:pPr>
      <w:widowControl/>
      <w:tabs>
        <w:tab w:val="left" w:pos="142"/>
      </w:tabs>
      <w:autoSpaceDE w:val="0"/>
      <w:autoSpaceDN w:val="0"/>
      <w:textAlignment w:val="bottom"/>
      <w:rPr>
        <w:rFonts w:cs="Times New Roman"/>
        <w:sz w:val="18"/>
        <w:szCs w:val="18"/>
      </w:rPr>
    </w:pPr>
  </w:p>
  <w:p w14:paraId="60D8E7ED">
    <w:pPr>
      <w:widowControl/>
      <w:tabs>
        <w:tab w:val="left" w:pos="142"/>
      </w:tabs>
      <w:autoSpaceDE w:val="0"/>
      <w:autoSpaceDN w:val="0"/>
      <w:textAlignment w:val="bottom"/>
      <w:rPr>
        <w:rFonts w:cs="Times New Roman"/>
        <w:sz w:val="18"/>
        <w:szCs w:val="18"/>
      </w:rPr>
    </w:pPr>
  </w:p>
  <w:p w14:paraId="7F14B1B6">
    <w:pPr>
      <w:widowControl/>
      <w:tabs>
        <w:tab w:val="left" w:pos="142"/>
      </w:tabs>
      <w:autoSpaceDE w:val="0"/>
      <w:autoSpaceDN w:val="0"/>
      <w:textAlignment w:val="bottom"/>
      <w:rPr>
        <w:rFonts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A51BE8"/>
    <w:multiLevelType w:val="singleLevel"/>
    <w:tmpl w:val="A0A51BE8"/>
    <w:lvl w:ilvl="0" w:tentative="0">
      <w:start w:val="5"/>
      <w:numFmt w:val="decimal"/>
      <w:suff w:val="nothing"/>
      <w:lvlText w:val="（%1）"/>
      <w:lvlJc w:val="left"/>
    </w:lvl>
  </w:abstractNum>
  <w:abstractNum w:abstractNumId="1">
    <w:nsid w:val="A3758DD2"/>
    <w:multiLevelType w:val="singleLevel"/>
    <w:tmpl w:val="A3758DD2"/>
    <w:lvl w:ilvl="0" w:tentative="0">
      <w:start w:val="1"/>
      <w:numFmt w:val="decimal"/>
      <w:suff w:val="nothing"/>
      <w:lvlText w:val="（%1）"/>
      <w:lvlJc w:val="left"/>
    </w:lvl>
  </w:abstractNum>
  <w:abstractNum w:abstractNumId="2">
    <w:nsid w:val="BFCCBDF6"/>
    <w:multiLevelType w:val="singleLevel"/>
    <w:tmpl w:val="BFCCBDF6"/>
    <w:lvl w:ilvl="0" w:tentative="0">
      <w:start w:val="3"/>
      <w:numFmt w:val="chineseCounting"/>
      <w:suff w:val="nothing"/>
      <w:lvlText w:val="%1、"/>
      <w:lvlJc w:val="left"/>
      <w:rPr>
        <w:rFonts w:hint="eastAsia"/>
      </w:rPr>
    </w:lvl>
  </w:abstractNum>
  <w:abstractNum w:abstractNumId="3">
    <w:nsid w:val="39C053AA"/>
    <w:multiLevelType w:val="singleLevel"/>
    <w:tmpl w:val="39C053AA"/>
    <w:lvl w:ilvl="0" w:tentative="0">
      <w:start w:val="1"/>
      <w:numFmt w:val="decimal"/>
      <w:lvlText w:val="%1."/>
      <w:lvlJc w:val="left"/>
      <w:pPr>
        <w:tabs>
          <w:tab w:val="left" w:pos="312"/>
        </w:tabs>
      </w:pPr>
    </w:lvl>
  </w:abstractNum>
  <w:abstractNum w:abstractNumId="4">
    <w:nsid w:val="51056600"/>
    <w:multiLevelType w:val="multilevel"/>
    <w:tmpl w:val="51056600"/>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74CA6313"/>
    <w:multiLevelType w:val="singleLevel"/>
    <w:tmpl w:val="74CA6313"/>
    <w:lvl w:ilvl="0" w:tentative="0">
      <w:start w:val="1"/>
      <w:numFmt w:val="decimal"/>
      <w:lvlText w:val="%1."/>
      <w:lvlJc w:val="left"/>
      <w:pPr>
        <w:tabs>
          <w:tab w:val="left" w:pos="312"/>
        </w:tabs>
      </w:pPr>
    </w:lvl>
  </w:abstractNum>
  <w:abstractNum w:abstractNumId="6">
    <w:nsid w:val="758A4B0C"/>
    <w:multiLevelType w:val="singleLevel"/>
    <w:tmpl w:val="758A4B0C"/>
    <w:lvl w:ilvl="0" w:tentative="0">
      <w:start w:val="1"/>
      <w:numFmt w:val="decimal"/>
      <w:lvlText w:val="%1."/>
      <w:lvlJc w:val="left"/>
      <w:pPr>
        <w:tabs>
          <w:tab w:val="left" w:pos="312"/>
        </w:tabs>
      </w:pPr>
    </w:lvl>
  </w:abstractNum>
  <w:num w:numId="1">
    <w:abstractNumId w:val="6"/>
  </w:num>
  <w:num w:numId="2">
    <w:abstractNumId w:val="3"/>
  </w:num>
  <w:num w:numId="3">
    <w:abstractNumId w:val="5"/>
  </w:num>
  <w:num w:numId="4">
    <w:abstractNumId w:val="0"/>
  </w:num>
  <w:num w:numId="5">
    <w:abstractNumId w:val="1"/>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JlNTg5NWFmNTZlYzA4YjkzNzdlMjA3MzQ3ODk4ODIifQ=="/>
    <w:docVar w:name="KSO_WPS_MARK_KEY" w:val="2dafe33f-267d-4904-bfdb-14f42bee72da"/>
  </w:docVars>
  <w:rsids>
    <w:rsidRoot w:val="00BE1285"/>
    <w:rsid w:val="00000023"/>
    <w:rsid w:val="00006D01"/>
    <w:rsid w:val="00024CEB"/>
    <w:rsid w:val="00046882"/>
    <w:rsid w:val="0004692B"/>
    <w:rsid w:val="00092705"/>
    <w:rsid w:val="000A5111"/>
    <w:rsid w:val="000A59B5"/>
    <w:rsid w:val="000C0CDA"/>
    <w:rsid w:val="000C4954"/>
    <w:rsid w:val="000D3697"/>
    <w:rsid w:val="000E0A0B"/>
    <w:rsid w:val="000F6AF7"/>
    <w:rsid w:val="001000C4"/>
    <w:rsid w:val="00121F29"/>
    <w:rsid w:val="00123C84"/>
    <w:rsid w:val="00137E31"/>
    <w:rsid w:val="00140729"/>
    <w:rsid w:val="0014454E"/>
    <w:rsid w:val="00147F8B"/>
    <w:rsid w:val="00170B4E"/>
    <w:rsid w:val="0017795C"/>
    <w:rsid w:val="00186E0D"/>
    <w:rsid w:val="001940FD"/>
    <w:rsid w:val="00195814"/>
    <w:rsid w:val="001B213E"/>
    <w:rsid w:val="001D22D7"/>
    <w:rsid w:val="001E1341"/>
    <w:rsid w:val="001E4596"/>
    <w:rsid w:val="001F57EB"/>
    <w:rsid w:val="00220417"/>
    <w:rsid w:val="00224239"/>
    <w:rsid w:val="002436AC"/>
    <w:rsid w:val="00265790"/>
    <w:rsid w:val="00276800"/>
    <w:rsid w:val="002908CD"/>
    <w:rsid w:val="002B06FC"/>
    <w:rsid w:val="002B2B7D"/>
    <w:rsid w:val="002B56EE"/>
    <w:rsid w:val="002E2C85"/>
    <w:rsid w:val="002E6368"/>
    <w:rsid w:val="00312EF3"/>
    <w:rsid w:val="00323678"/>
    <w:rsid w:val="00327BF9"/>
    <w:rsid w:val="00331283"/>
    <w:rsid w:val="00331A6A"/>
    <w:rsid w:val="003466D6"/>
    <w:rsid w:val="00356F0C"/>
    <w:rsid w:val="0036693E"/>
    <w:rsid w:val="003824B6"/>
    <w:rsid w:val="0039592C"/>
    <w:rsid w:val="00396012"/>
    <w:rsid w:val="003A5C4C"/>
    <w:rsid w:val="003A7567"/>
    <w:rsid w:val="003B1144"/>
    <w:rsid w:val="003B11C7"/>
    <w:rsid w:val="003C1DF6"/>
    <w:rsid w:val="003D0E7C"/>
    <w:rsid w:val="003D274B"/>
    <w:rsid w:val="003E39D5"/>
    <w:rsid w:val="00400DCF"/>
    <w:rsid w:val="00405164"/>
    <w:rsid w:val="00406B4F"/>
    <w:rsid w:val="0041497A"/>
    <w:rsid w:val="004262DA"/>
    <w:rsid w:val="0043112A"/>
    <w:rsid w:val="00435AB6"/>
    <w:rsid w:val="00456B26"/>
    <w:rsid w:val="00462414"/>
    <w:rsid w:val="00463CC6"/>
    <w:rsid w:val="004728B5"/>
    <w:rsid w:val="00487DE6"/>
    <w:rsid w:val="004C6337"/>
    <w:rsid w:val="004D0429"/>
    <w:rsid w:val="004D1E78"/>
    <w:rsid w:val="004F0E5C"/>
    <w:rsid w:val="004F5ABC"/>
    <w:rsid w:val="005021AC"/>
    <w:rsid w:val="00506485"/>
    <w:rsid w:val="00520345"/>
    <w:rsid w:val="00523FCD"/>
    <w:rsid w:val="0053030B"/>
    <w:rsid w:val="00532981"/>
    <w:rsid w:val="00564DD5"/>
    <w:rsid w:val="00565818"/>
    <w:rsid w:val="005754A7"/>
    <w:rsid w:val="00580826"/>
    <w:rsid w:val="00581979"/>
    <w:rsid w:val="00582024"/>
    <w:rsid w:val="00584707"/>
    <w:rsid w:val="00597B6F"/>
    <w:rsid w:val="005C0B3C"/>
    <w:rsid w:val="005C514F"/>
    <w:rsid w:val="005C7F1F"/>
    <w:rsid w:val="005D3955"/>
    <w:rsid w:val="005D798A"/>
    <w:rsid w:val="005E6541"/>
    <w:rsid w:val="00602E50"/>
    <w:rsid w:val="00610628"/>
    <w:rsid w:val="00623CD7"/>
    <w:rsid w:val="00627F35"/>
    <w:rsid w:val="00636D09"/>
    <w:rsid w:val="006837EC"/>
    <w:rsid w:val="00685137"/>
    <w:rsid w:val="006D4FDF"/>
    <w:rsid w:val="006D7F3E"/>
    <w:rsid w:val="006F1309"/>
    <w:rsid w:val="00713ADC"/>
    <w:rsid w:val="00716A09"/>
    <w:rsid w:val="0072237B"/>
    <w:rsid w:val="00744AEF"/>
    <w:rsid w:val="00747C59"/>
    <w:rsid w:val="00767F15"/>
    <w:rsid w:val="0078488D"/>
    <w:rsid w:val="007A61A0"/>
    <w:rsid w:val="007B2CB6"/>
    <w:rsid w:val="007B596F"/>
    <w:rsid w:val="007E36A2"/>
    <w:rsid w:val="007E3C9A"/>
    <w:rsid w:val="0080411A"/>
    <w:rsid w:val="00816C4F"/>
    <w:rsid w:val="00817894"/>
    <w:rsid w:val="00832CC2"/>
    <w:rsid w:val="00856752"/>
    <w:rsid w:val="0089103A"/>
    <w:rsid w:val="008D6494"/>
    <w:rsid w:val="008D7A90"/>
    <w:rsid w:val="008F0346"/>
    <w:rsid w:val="008F193B"/>
    <w:rsid w:val="009070F7"/>
    <w:rsid w:val="00925F59"/>
    <w:rsid w:val="00926AC5"/>
    <w:rsid w:val="00937EE4"/>
    <w:rsid w:val="00940470"/>
    <w:rsid w:val="009443F8"/>
    <w:rsid w:val="009544AC"/>
    <w:rsid w:val="009579E3"/>
    <w:rsid w:val="00964022"/>
    <w:rsid w:val="009719A5"/>
    <w:rsid w:val="00972C26"/>
    <w:rsid w:val="00974D04"/>
    <w:rsid w:val="00983E1A"/>
    <w:rsid w:val="009861DD"/>
    <w:rsid w:val="0099697B"/>
    <w:rsid w:val="009A44AF"/>
    <w:rsid w:val="009A7B52"/>
    <w:rsid w:val="009D49EA"/>
    <w:rsid w:val="009D5B60"/>
    <w:rsid w:val="00A02018"/>
    <w:rsid w:val="00A27CA5"/>
    <w:rsid w:val="00A40687"/>
    <w:rsid w:val="00A557BF"/>
    <w:rsid w:val="00A6704E"/>
    <w:rsid w:val="00A72DE3"/>
    <w:rsid w:val="00AA5AEE"/>
    <w:rsid w:val="00B12686"/>
    <w:rsid w:val="00B13BE8"/>
    <w:rsid w:val="00B571F1"/>
    <w:rsid w:val="00B87CD4"/>
    <w:rsid w:val="00BC0C2A"/>
    <w:rsid w:val="00BC4C6A"/>
    <w:rsid w:val="00BC71EF"/>
    <w:rsid w:val="00BD09FF"/>
    <w:rsid w:val="00BD1789"/>
    <w:rsid w:val="00BD5770"/>
    <w:rsid w:val="00BE1285"/>
    <w:rsid w:val="00BF40B3"/>
    <w:rsid w:val="00C10945"/>
    <w:rsid w:val="00C10F3F"/>
    <w:rsid w:val="00C17CA9"/>
    <w:rsid w:val="00C20DC5"/>
    <w:rsid w:val="00C3738E"/>
    <w:rsid w:val="00C44FC1"/>
    <w:rsid w:val="00C67A2E"/>
    <w:rsid w:val="00C80D44"/>
    <w:rsid w:val="00C818CD"/>
    <w:rsid w:val="00CA14EC"/>
    <w:rsid w:val="00CD041C"/>
    <w:rsid w:val="00CE11A3"/>
    <w:rsid w:val="00D27D9C"/>
    <w:rsid w:val="00D74D39"/>
    <w:rsid w:val="00D75BC0"/>
    <w:rsid w:val="00D83AA2"/>
    <w:rsid w:val="00D8668C"/>
    <w:rsid w:val="00D86797"/>
    <w:rsid w:val="00D911B2"/>
    <w:rsid w:val="00D9548A"/>
    <w:rsid w:val="00DB3758"/>
    <w:rsid w:val="00DC1FC8"/>
    <w:rsid w:val="00DC4AEA"/>
    <w:rsid w:val="00DC6C39"/>
    <w:rsid w:val="00DE1312"/>
    <w:rsid w:val="00E14236"/>
    <w:rsid w:val="00E23B0D"/>
    <w:rsid w:val="00E27ACA"/>
    <w:rsid w:val="00E37728"/>
    <w:rsid w:val="00E517F2"/>
    <w:rsid w:val="00E61FF4"/>
    <w:rsid w:val="00E80FC7"/>
    <w:rsid w:val="00E945D9"/>
    <w:rsid w:val="00EC4FC5"/>
    <w:rsid w:val="00EE329A"/>
    <w:rsid w:val="00F133E3"/>
    <w:rsid w:val="00F208E0"/>
    <w:rsid w:val="00F21D84"/>
    <w:rsid w:val="00F36F2A"/>
    <w:rsid w:val="00F41FFF"/>
    <w:rsid w:val="00F55BE3"/>
    <w:rsid w:val="00F61AB5"/>
    <w:rsid w:val="00F66EB4"/>
    <w:rsid w:val="00F70EBA"/>
    <w:rsid w:val="00F81A80"/>
    <w:rsid w:val="00F9432B"/>
    <w:rsid w:val="00FC4DBB"/>
    <w:rsid w:val="00FD0BC7"/>
    <w:rsid w:val="00FD25A0"/>
    <w:rsid w:val="01364BFF"/>
    <w:rsid w:val="015D0D5E"/>
    <w:rsid w:val="01AA4EAC"/>
    <w:rsid w:val="023760F0"/>
    <w:rsid w:val="02AF769C"/>
    <w:rsid w:val="02CB5F65"/>
    <w:rsid w:val="02FC7879"/>
    <w:rsid w:val="036C1ED6"/>
    <w:rsid w:val="038C4495"/>
    <w:rsid w:val="03E92265"/>
    <w:rsid w:val="043B2EAD"/>
    <w:rsid w:val="04663433"/>
    <w:rsid w:val="04DA0918"/>
    <w:rsid w:val="051A12D4"/>
    <w:rsid w:val="05253D4E"/>
    <w:rsid w:val="05595CE0"/>
    <w:rsid w:val="05ED01D7"/>
    <w:rsid w:val="05F6197E"/>
    <w:rsid w:val="061A2E45"/>
    <w:rsid w:val="06236FC6"/>
    <w:rsid w:val="06BA7F39"/>
    <w:rsid w:val="07126147"/>
    <w:rsid w:val="0719450B"/>
    <w:rsid w:val="072056F9"/>
    <w:rsid w:val="075D3E47"/>
    <w:rsid w:val="07886343"/>
    <w:rsid w:val="08031F33"/>
    <w:rsid w:val="08C61837"/>
    <w:rsid w:val="08F67C45"/>
    <w:rsid w:val="09050A27"/>
    <w:rsid w:val="09294BA6"/>
    <w:rsid w:val="096D0D1D"/>
    <w:rsid w:val="09833A99"/>
    <w:rsid w:val="09A36FBD"/>
    <w:rsid w:val="09C12DEE"/>
    <w:rsid w:val="0A2E773B"/>
    <w:rsid w:val="0AE77582"/>
    <w:rsid w:val="0B082170"/>
    <w:rsid w:val="0B316DB7"/>
    <w:rsid w:val="0B976C89"/>
    <w:rsid w:val="0BBA76B7"/>
    <w:rsid w:val="0C28640C"/>
    <w:rsid w:val="0C5B40EC"/>
    <w:rsid w:val="0C7150D0"/>
    <w:rsid w:val="0C8B2ADA"/>
    <w:rsid w:val="0CFA28E5"/>
    <w:rsid w:val="0D5516BB"/>
    <w:rsid w:val="0D892E9F"/>
    <w:rsid w:val="0DA37541"/>
    <w:rsid w:val="0DB603C0"/>
    <w:rsid w:val="0E3C7F4D"/>
    <w:rsid w:val="0EA33638"/>
    <w:rsid w:val="0F682DA8"/>
    <w:rsid w:val="0F706100"/>
    <w:rsid w:val="0FFE05BF"/>
    <w:rsid w:val="101D3980"/>
    <w:rsid w:val="109C4CD3"/>
    <w:rsid w:val="10EF74F9"/>
    <w:rsid w:val="118F65E6"/>
    <w:rsid w:val="11D42E49"/>
    <w:rsid w:val="12617F82"/>
    <w:rsid w:val="12940283"/>
    <w:rsid w:val="12D9522D"/>
    <w:rsid w:val="132A2A6A"/>
    <w:rsid w:val="137547B4"/>
    <w:rsid w:val="14475498"/>
    <w:rsid w:val="146A5814"/>
    <w:rsid w:val="14F7256C"/>
    <w:rsid w:val="15877D00"/>
    <w:rsid w:val="15A563D8"/>
    <w:rsid w:val="15C947BC"/>
    <w:rsid w:val="15DB629E"/>
    <w:rsid w:val="162B4B2F"/>
    <w:rsid w:val="163D0D06"/>
    <w:rsid w:val="16921052"/>
    <w:rsid w:val="169F3A42"/>
    <w:rsid w:val="170543E5"/>
    <w:rsid w:val="173B3498"/>
    <w:rsid w:val="17444B3C"/>
    <w:rsid w:val="178F10EE"/>
    <w:rsid w:val="18891FE1"/>
    <w:rsid w:val="18E84F59"/>
    <w:rsid w:val="18F27DD2"/>
    <w:rsid w:val="191F203F"/>
    <w:rsid w:val="19A4449D"/>
    <w:rsid w:val="19EB59FF"/>
    <w:rsid w:val="1AFD2CC3"/>
    <w:rsid w:val="1AFE6CB6"/>
    <w:rsid w:val="1B4574C7"/>
    <w:rsid w:val="1B610414"/>
    <w:rsid w:val="1BBE036A"/>
    <w:rsid w:val="1BC64A2C"/>
    <w:rsid w:val="1BCD2894"/>
    <w:rsid w:val="1C146065"/>
    <w:rsid w:val="1C744ABA"/>
    <w:rsid w:val="1CA33C2E"/>
    <w:rsid w:val="1CB34C26"/>
    <w:rsid w:val="1CF674B7"/>
    <w:rsid w:val="1D090664"/>
    <w:rsid w:val="1D7B2B78"/>
    <w:rsid w:val="1DD83404"/>
    <w:rsid w:val="1DEA1774"/>
    <w:rsid w:val="1DFE0D7B"/>
    <w:rsid w:val="1E004AF3"/>
    <w:rsid w:val="1E796654"/>
    <w:rsid w:val="1EA77FF9"/>
    <w:rsid w:val="1EDF2698"/>
    <w:rsid w:val="1EE57376"/>
    <w:rsid w:val="1F1A1836"/>
    <w:rsid w:val="1F483046"/>
    <w:rsid w:val="1F5F12D5"/>
    <w:rsid w:val="1F6107AF"/>
    <w:rsid w:val="1FB57AE7"/>
    <w:rsid w:val="1FC05AC2"/>
    <w:rsid w:val="200D20EF"/>
    <w:rsid w:val="20AC1EF2"/>
    <w:rsid w:val="21762797"/>
    <w:rsid w:val="219919F6"/>
    <w:rsid w:val="22027E59"/>
    <w:rsid w:val="22595B54"/>
    <w:rsid w:val="22C017EB"/>
    <w:rsid w:val="24247062"/>
    <w:rsid w:val="2492046F"/>
    <w:rsid w:val="252531BC"/>
    <w:rsid w:val="253F55D6"/>
    <w:rsid w:val="25645CB5"/>
    <w:rsid w:val="25704DCF"/>
    <w:rsid w:val="25DC5E46"/>
    <w:rsid w:val="26256C25"/>
    <w:rsid w:val="26807741"/>
    <w:rsid w:val="26F40F6D"/>
    <w:rsid w:val="27713183"/>
    <w:rsid w:val="277A3B68"/>
    <w:rsid w:val="27A326FC"/>
    <w:rsid w:val="27B46F41"/>
    <w:rsid w:val="28245882"/>
    <w:rsid w:val="28667C49"/>
    <w:rsid w:val="28702875"/>
    <w:rsid w:val="28887BBF"/>
    <w:rsid w:val="28D44B27"/>
    <w:rsid w:val="296D0E96"/>
    <w:rsid w:val="296E14AB"/>
    <w:rsid w:val="2998083D"/>
    <w:rsid w:val="29CB7055"/>
    <w:rsid w:val="29D26D60"/>
    <w:rsid w:val="29F80D74"/>
    <w:rsid w:val="2A295EB6"/>
    <w:rsid w:val="2AAF365B"/>
    <w:rsid w:val="2B552DCA"/>
    <w:rsid w:val="2B924A4F"/>
    <w:rsid w:val="2C28083A"/>
    <w:rsid w:val="2C3979D6"/>
    <w:rsid w:val="2CA12E71"/>
    <w:rsid w:val="2D150924"/>
    <w:rsid w:val="2D3068E0"/>
    <w:rsid w:val="2D332C02"/>
    <w:rsid w:val="2D430559"/>
    <w:rsid w:val="2D7E7C29"/>
    <w:rsid w:val="2D9A33E6"/>
    <w:rsid w:val="2DD815E9"/>
    <w:rsid w:val="2E062FEB"/>
    <w:rsid w:val="2E33715F"/>
    <w:rsid w:val="2E39591C"/>
    <w:rsid w:val="2E3A5DFF"/>
    <w:rsid w:val="2E836260"/>
    <w:rsid w:val="2EF11EAF"/>
    <w:rsid w:val="2F1C09B2"/>
    <w:rsid w:val="2F9E6FDA"/>
    <w:rsid w:val="2FDA1449"/>
    <w:rsid w:val="2FFD70E5"/>
    <w:rsid w:val="3006544A"/>
    <w:rsid w:val="3015041B"/>
    <w:rsid w:val="30BF1DA6"/>
    <w:rsid w:val="31C854D0"/>
    <w:rsid w:val="31DF140C"/>
    <w:rsid w:val="31E91CCC"/>
    <w:rsid w:val="32055B23"/>
    <w:rsid w:val="32B73DCF"/>
    <w:rsid w:val="32D14DBB"/>
    <w:rsid w:val="32D90B72"/>
    <w:rsid w:val="32FB60D6"/>
    <w:rsid w:val="330E5216"/>
    <w:rsid w:val="331924FD"/>
    <w:rsid w:val="33844E91"/>
    <w:rsid w:val="3387380D"/>
    <w:rsid w:val="34565015"/>
    <w:rsid w:val="35004F81"/>
    <w:rsid w:val="350076FF"/>
    <w:rsid w:val="352D277A"/>
    <w:rsid w:val="353F5AA9"/>
    <w:rsid w:val="35935DF5"/>
    <w:rsid w:val="35B41449"/>
    <w:rsid w:val="36047380"/>
    <w:rsid w:val="362A3CFE"/>
    <w:rsid w:val="36394BEF"/>
    <w:rsid w:val="3647730B"/>
    <w:rsid w:val="37790EB0"/>
    <w:rsid w:val="37793C07"/>
    <w:rsid w:val="37F77FA4"/>
    <w:rsid w:val="381027C6"/>
    <w:rsid w:val="38610F4E"/>
    <w:rsid w:val="38B34DC9"/>
    <w:rsid w:val="38C8042B"/>
    <w:rsid w:val="38D03CB2"/>
    <w:rsid w:val="393D0B84"/>
    <w:rsid w:val="39A405D1"/>
    <w:rsid w:val="3A0A0D7C"/>
    <w:rsid w:val="3A0D13C2"/>
    <w:rsid w:val="3A247E8E"/>
    <w:rsid w:val="3A5B2753"/>
    <w:rsid w:val="3A764929"/>
    <w:rsid w:val="3A881DA9"/>
    <w:rsid w:val="3AD273C0"/>
    <w:rsid w:val="3B2171B1"/>
    <w:rsid w:val="3C9B534F"/>
    <w:rsid w:val="3D356C78"/>
    <w:rsid w:val="3D81166E"/>
    <w:rsid w:val="3DDB658B"/>
    <w:rsid w:val="3E2B306F"/>
    <w:rsid w:val="3F34086E"/>
    <w:rsid w:val="3F375D16"/>
    <w:rsid w:val="3FE711ED"/>
    <w:rsid w:val="40B9747A"/>
    <w:rsid w:val="40BE2D0A"/>
    <w:rsid w:val="40CA4AD3"/>
    <w:rsid w:val="41186F84"/>
    <w:rsid w:val="41C571EE"/>
    <w:rsid w:val="41DA10A0"/>
    <w:rsid w:val="41DD1BF7"/>
    <w:rsid w:val="425D3A13"/>
    <w:rsid w:val="430A4F9C"/>
    <w:rsid w:val="4353518D"/>
    <w:rsid w:val="43E75A00"/>
    <w:rsid w:val="44C62B4E"/>
    <w:rsid w:val="44FC5765"/>
    <w:rsid w:val="450D1F09"/>
    <w:rsid w:val="455A5406"/>
    <w:rsid w:val="45AE47EA"/>
    <w:rsid w:val="46284CA5"/>
    <w:rsid w:val="46D15777"/>
    <w:rsid w:val="46E55915"/>
    <w:rsid w:val="474C0428"/>
    <w:rsid w:val="47946129"/>
    <w:rsid w:val="47F83C27"/>
    <w:rsid w:val="484B435A"/>
    <w:rsid w:val="493A5F72"/>
    <w:rsid w:val="495A5150"/>
    <w:rsid w:val="49601EE8"/>
    <w:rsid w:val="496038EF"/>
    <w:rsid w:val="49D543D6"/>
    <w:rsid w:val="4A4756D4"/>
    <w:rsid w:val="4A785207"/>
    <w:rsid w:val="4AB431EC"/>
    <w:rsid w:val="4AE940F0"/>
    <w:rsid w:val="4B230C12"/>
    <w:rsid w:val="4B494E43"/>
    <w:rsid w:val="4B7F2277"/>
    <w:rsid w:val="4CBC3FA6"/>
    <w:rsid w:val="4CF66F3E"/>
    <w:rsid w:val="4D2B7DC5"/>
    <w:rsid w:val="4D351C16"/>
    <w:rsid w:val="4E326364"/>
    <w:rsid w:val="4EC761FD"/>
    <w:rsid w:val="4EEB5AE2"/>
    <w:rsid w:val="4F0973FC"/>
    <w:rsid w:val="4F530677"/>
    <w:rsid w:val="4F6E725F"/>
    <w:rsid w:val="4F881CD0"/>
    <w:rsid w:val="4F8E4414"/>
    <w:rsid w:val="4FB21842"/>
    <w:rsid w:val="4FB94491"/>
    <w:rsid w:val="4FEB4D54"/>
    <w:rsid w:val="50272279"/>
    <w:rsid w:val="50767F06"/>
    <w:rsid w:val="50790694"/>
    <w:rsid w:val="50B37054"/>
    <w:rsid w:val="50D17F29"/>
    <w:rsid w:val="5122391B"/>
    <w:rsid w:val="51257DF2"/>
    <w:rsid w:val="515829BA"/>
    <w:rsid w:val="51B361A4"/>
    <w:rsid w:val="51FC0D1B"/>
    <w:rsid w:val="52505342"/>
    <w:rsid w:val="52524C16"/>
    <w:rsid w:val="52CD717D"/>
    <w:rsid w:val="533E33EC"/>
    <w:rsid w:val="53876B42"/>
    <w:rsid w:val="539171B4"/>
    <w:rsid w:val="53DD2125"/>
    <w:rsid w:val="53EC109A"/>
    <w:rsid w:val="53F30897"/>
    <w:rsid w:val="5402266C"/>
    <w:rsid w:val="541543B7"/>
    <w:rsid w:val="541D3B1B"/>
    <w:rsid w:val="547275E5"/>
    <w:rsid w:val="54910714"/>
    <w:rsid w:val="55597E43"/>
    <w:rsid w:val="556E010B"/>
    <w:rsid w:val="557A4F0B"/>
    <w:rsid w:val="558553E0"/>
    <w:rsid w:val="55985036"/>
    <w:rsid w:val="56771516"/>
    <w:rsid w:val="571C3A45"/>
    <w:rsid w:val="57A557E8"/>
    <w:rsid w:val="57FF139C"/>
    <w:rsid w:val="581F452D"/>
    <w:rsid w:val="58441CFF"/>
    <w:rsid w:val="59796F2C"/>
    <w:rsid w:val="5AAC5738"/>
    <w:rsid w:val="5B8A3673"/>
    <w:rsid w:val="5BC052E6"/>
    <w:rsid w:val="5C474011"/>
    <w:rsid w:val="5C576B2E"/>
    <w:rsid w:val="5CDF3BD1"/>
    <w:rsid w:val="5D0F37D0"/>
    <w:rsid w:val="5E835D99"/>
    <w:rsid w:val="5ECE0664"/>
    <w:rsid w:val="5ED25161"/>
    <w:rsid w:val="5EDA046D"/>
    <w:rsid w:val="5F8A425E"/>
    <w:rsid w:val="5FC92290"/>
    <w:rsid w:val="5FD50746"/>
    <w:rsid w:val="60527D64"/>
    <w:rsid w:val="605D02D1"/>
    <w:rsid w:val="60724937"/>
    <w:rsid w:val="607B5707"/>
    <w:rsid w:val="618E3791"/>
    <w:rsid w:val="62006DDC"/>
    <w:rsid w:val="620E1B8B"/>
    <w:rsid w:val="621451B5"/>
    <w:rsid w:val="621B3277"/>
    <w:rsid w:val="62A35567"/>
    <w:rsid w:val="62D022B3"/>
    <w:rsid w:val="62E265D9"/>
    <w:rsid w:val="63051831"/>
    <w:rsid w:val="63204138"/>
    <w:rsid w:val="634C7460"/>
    <w:rsid w:val="641D27C8"/>
    <w:rsid w:val="64265F03"/>
    <w:rsid w:val="646A2293"/>
    <w:rsid w:val="65026660"/>
    <w:rsid w:val="65297A59"/>
    <w:rsid w:val="659A179F"/>
    <w:rsid w:val="65F5478D"/>
    <w:rsid w:val="661C75BD"/>
    <w:rsid w:val="663E7534"/>
    <w:rsid w:val="667C2205"/>
    <w:rsid w:val="66A957A2"/>
    <w:rsid w:val="66BD3595"/>
    <w:rsid w:val="66CD4D5B"/>
    <w:rsid w:val="673B7F17"/>
    <w:rsid w:val="676C6D31"/>
    <w:rsid w:val="67FB74BB"/>
    <w:rsid w:val="68531C91"/>
    <w:rsid w:val="68C47A5D"/>
    <w:rsid w:val="69021047"/>
    <w:rsid w:val="6932746B"/>
    <w:rsid w:val="696C0F65"/>
    <w:rsid w:val="69F66377"/>
    <w:rsid w:val="6A0D6900"/>
    <w:rsid w:val="6A3378D5"/>
    <w:rsid w:val="6A3903AF"/>
    <w:rsid w:val="6A416707"/>
    <w:rsid w:val="6A7F2445"/>
    <w:rsid w:val="6AD55F8D"/>
    <w:rsid w:val="6B521C19"/>
    <w:rsid w:val="6B7C070D"/>
    <w:rsid w:val="6B8A02A6"/>
    <w:rsid w:val="6BA20CF1"/>
    <w:rsid w:val="6BAC5747"/>
    <w:rsid w:val="6BC2623E"/>
    <w:rsid w:val="6BF64EAE"/>
    <w:rsid w:val="6C052139"/>
    <w:rsid w:val="6C142CEA"/>
    <w:rsid w:val="6C305E4C"/>
    <w:rsid w:val="6C33740F"/>
    <w:rsid w:val="6CC60EC7"/>
    <w:rsid w:val="6D772419"/>
    <w:rsid w:val="6D8F65C6"/>
    <w:rsid w:val="6DC9579E"/>
    <w:rsid w:val="6DD93FE6"/>
    <w:rsid w:val="6DE87D3F"/>
    <w:rsid w:val="6E6E35C6"/>
    <w:rsid w:val="6F377216"/>
    <w:rsid w:val="6FDE2747"/>
    <w:rsid w:val="709D5451"/>
    <w:rsid w:val="70DD71EB"/>
    <w:rsid w:val="70FE23F0"/>
    <w:rsid w:val="70FF48ED"/>
    <w:rsid w:val="7104137A"/>
    <w:rsid w:val="71381023"/>
    <w:rsid w:val="71A4203A"/>
    <w:rsid w:val="72164E37"/>
    <w:rsid w:val="72783DCD"/>
    <w:rsid w:val="72921EF9"/>
    <w:rsid w:val="729F6B4E"/>
    <w:rsid w:val="72C83931"/>
    <w:rsid w:val="72FC185C"/>
    <w:rsid w:val="73117D7E"/>
    <w:rsid w:val="73397A01"/>
    <w:rsid w:val="7392347C"/>
    <w:rsid w:val="73BD1388"/>
    <w:rsid w:val="73F777F0"/>
    <w:rsid w:val="742B1DE9"/>
    <w:rsid w:val="744A3547"/>
    <w:rsid w:val="7556668D"/>
    <w:rsid w:val="7561323F"/>
    <w:rsid w:val="757F3E79"/>
    <w:rsid w:val="759803AB"/>
    <w:rsid w:val="75B014F4"/>
    <w:rsid w:val="75E15FB5"/>
    <w:rsid w:val="760B4F58"/>
    <w:rsid w:val="763739BB"/>
    <w:rsid w:val="76660458"/>
    <w:rsid w:val="76701F50"/>
    <w:rsid w:val="76985594"/>
    <w:rsid w:val="76C265C6"/>
    <w:rsid w:val="77050A54"/>
    <w:rsid w:val="773B13D1"/>
    <w:rsid w:val="77474505"/>
    <w:rsid w:val="77672A08"/>
    <w:rsid w:val="77862AE9"/>
    <w:rsid w:val="77DA7F4F"/>
    <w:rsid w:val="77E912C9"/>
    <w:rsid w:val="783B0B5E"/>
    <w:rsid w:val="7873328E"/>
    <w:rsid w:val="78DE0380"/>
    <w:rsid w:val="78EE4DE9"/>
    <w:rsid w:val="7907634A"/>
    <w:rsid w:val="79165A97"/>
    <w:rsid w:val="79261FCE"/>
    <w:rsid w:val="79382508"/>
    <w:rsid w:val="794F4272"/>
    <w:rsid w:val="79534C4C"/>
    <w:rsid w:val="79713E55"/>
    <w:rsid w:val="79880252"/>
    <w:rsid w:val="79A70DA4"/>
    <w:rsid w:val="79C421B0"/>
    <w:rsid w:val="7A002417"/>
    <w:rsid w:val="7A5F5873"/>
    <w:rsid w:val="7A6C5EF5"/>
    <w:rsid w:val="7AC7377C"/>
    <w:rsid w:val="7B24097B"/>
    <w:rsid w:val="7B6B54E1"/>
    <w:rsid w:val="7B851309"/>
    <w:rsid w:val="7BFB52F0"/>
    <w:rsid w:val="7C013085"/>
    <w:rsid w:val="7C1E575E"/>
    <w:rsid w:val="7CD111C8"/>
    <w:rsid w:val="7D623C55"/>
    <w:rsid w:val="7DC600E3"/>
    <w:rsid w:val="7E2D4AAB"/>
    <w:rsid w:val="7E655B4E"/>
    <w:rsid w:val="7E8B1851"/>
    <w:rsid w:val="7EBC7038"/>
    <w:rsid w:val="7EEB3B79"/>
    <w:rsid w:val="7F141322"/>
    <w:rsid w:val="7F2C21C7"/>
    <w:rsid w:val="7F803CA3"/>
    <w:rsid w:val="7FC13E3C"/>
    <w:rsid w:val="7FD6038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qFormat="1" w:unhideWhenUsed="0" w:uiPriority="0" w:semiHidden="0" w:name="macro"/>
    <w:lsdException w:qFormat="1" w:unhideWhenUsed="0" w:uiPriority="99" w:semiHidden="0" w:name="toa heading"/>
    <w:lsdException w:qFormat="1" w:unhideWhenUsed="0" w:uiPriority="0" w:semiHidden="0" w:name="List"/>
    <w:lsdException w:uiPriority="99" w:name="List Bullet"/>
    <w:lsdException w:uiPriority="99" w:name="List Number"/>
    <w:lsdException w:qFormat="1"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0" w:semiHidden="0" w:name="HTML Preformatted"/>
    <w:lsdException w:qFormat="1" w:unhideWhenUsed="0" w:uiPriority="0" w:semiHidden="0" w:name="HTML Sample"/>
    <w:lsdException w:uiPriority="99"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75"/>
    <w:qFormat/>
    <w:uiPriority w:val="0"/>
    <w:pPr>
      <w:keepNext/>
      <w:keepLines/>
      <w:spacing w:before="340" w:after="330" w:line="576" w:lineRule="auto"/>
      <w:outlineLvl w:val="0"/>
    </w:pPr>
    <w:rPr>
      <w:b/>
      <w:bCs/>
      <w:kern w:val="44"/>
      <w:sz w:val="44"/>
      <w:szCs w:val="44"/>
      <w:lang w:val="zh-CN"/>
    </w:rPr>
  </w:style>
  <w:style w:type="paragraph" w:styleId="5">
    <w:name w:val="heading 2"/>
    <w:basedOn w:val="1"/>
    <w:next w:val="1"/>
    <w:link w:val="76"/>
    <w:qFormat/>
    <w:uiPriority w:val="0"/>
    <w:pPr>
      <w:keepNext/>
      <w:keepLines/>
      <w:spacing w:before="260" w:after="260" w:line="413" w:lineRule="auto"/>
      <w:outlineLvl w:val="1"/>
    </w:pPr>
    <w:rPr>
      <w:rFonts w:ascii="Arial" w:hAnsi="Arial" w:eastAsia="黑体"/>
      <w:b/>
      <w:bCs/>
      <w:kern w:val="0"/>
      <w:sz w:val="32"/>
      <w:szCs w:val="32"/>
      <w:lang w:val="zh-CN"/>
    </w:rPr>
  </w:style>
  <w:style w:type="paragraph" w:styleId="6">
    <w:name w:val="heading 3"/>
    <w:basedOn w:val="1"/>
    <w:next w:val="7"/>
    <w:link w:val="77"/>
    <w:qFormat/>
    <w:uiPriority w:val="0"/>
    <w:pPr>
      <w:keepNext/>
      <w:keepLines/>
      <w:spacing w:before="120" w:after="120" w:line="400" w:lineRule="exact"/>
      <w:jc w:val="left"/>
      <w:outlineLvl w:val="2"/>
    </w:pPr>
    <w:rPr>
      <w:rFonts w:ascii="宋体" w:hAnsi="宋体"/>
      <w:bCs/>
      <w:kern w:val="0"/>
      <w:sz w:val="24"/>
      <w:lang w:val="zh-CN"/>
    </w:rPr>
  </w:style>
  <w:style w:type="paragraph" w:styleId="8">
    <w:name w:val="heading 4"/>
    <w:basedOn w:val="1"/>
    <w:next w:val="1"/>
    <w:link w:val="79"/>
    <w:qFormat/>
    <w:uiPriority w:val="0"/>
    <w:pPr>
      <w:keepNext/>
      <w:keepLines/>
      <w:spacing w:before="280" w:after="290" w:line="372" w:lineRule="auto"/>
      <w:outlineLvl w:val="3"/>
    </w:pPr>
    <w:rPr>
      <w:rFonts w:ascii="Arial" w:hAnsi="Arial" w:eastAsia="黑体"/>
      <w:b/>
      <w:bCs/>
      <w:kern w:val="0"/>
      <w:sz w:val="28"/>
      <w:szCs w:val="28"/>
      <w:lang w:val="zh-CN"/>
    </w:rPr>
  </w:style>
  <w:style w:type="paragraph" w:styleId="9">
    <w:name w:val="heading 5"/>
    <w:basedOn w:val="1"/>
    <w:next w:val="7"/>
    <w:link w:val="80"/>
    <w:qFormat/>
    <w:uiPriority w:val="0"/>
    <w:pPr>
      <w:keepNext/>
      <w:keepLines/>
      <w:tabs>
        <w:tab w:val="left" w:pos="1008"/>
      </w:tabs>
      <w:spacing w:before="280" w:after="290" w:line="372" w:lineRule="auto"/>
      <w:ind w:left="1008" w:hanging="1008"/>
      <w:outlineLvl w:val="4"/>
    </w:pPr>
    <w:rPr>
      <w:rFonts w:ascii="宋体"/>
      <w:b/>
      <w:kern w:val="0"/>
      <w:sz w:val="28"/>
      <w:szCs w:val="20"/>
      <w:lang w:val="zh-CN"/>
    </w:rPr>
  </w:style>
  <w:style w:type="paragraph" w:styleId="10">
    <w:name w:val="heading 6"/>
    <w:basedOn w:val="1"/>
    <w:next w:val="1"/>
    <w:link w:val="81"/>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kern w:val="0"/>
      <w:sz w:val="24"/>
      <w:lang w:val="zh-CN"/>
    </w:rPr>
  </w:style>
  <w:style w:type="paragraph" w:styleId="11">
    <w:name w:val="heading 7"/>
    <w:basedOn w:val="1"/>
    <w:next w:val="1"/>
    <w:link w:val="82"/>
    <w:qFormat/>
    <w:uiPriority w:val="0"/>
    <w:pPr>
      <w:keepNext/>
      <w:keepLines/>
      <w:widowControl/>
      <w:tabs>
        <w:tab w:val="left" w:pos="2520"/>
      </w:tabs>
      <w:spacing w:before="240" w:after="64" w:line="317" w:lineRule="auto"/>
      <w:ind w:left="1296" w:hanging="1296"/>
      <w:jc w:val="left"/>
      <w:outlineLvl w:val="6"/>
    </w:pPr>
    <w:rPr>
      <w:b/>
      <w:bCs/>
      <w:kern w:val="0"/>
      <w:sz w:val="24"/>
      <w:lang w:val="zh-CN"/>
    </w:rPr>
  </w:style>
  <w:style w:type="paragraph" w:styleId="12">
    <w:name w:val="heading 8"/>
    <w:basedOn w:val="1"/>
    <w:next w:val="1"/>
    <w:link w:val="83"/>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lang w:val="zh-CN"/>
    </w:rPr>
  </w:style>
  <w:style w:type="paragraph" w:styleId="13">
    <w:name w:val="heading 9"/>
    <w:basedOn w:val="1"/>
    <w:next w:val="1"/>
    <w:link w:val="84"/>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sz w:val="20"/>
      <w:szCs w:val="21"/>
      <w:lang w:val="zh-CN"/>
    </w:rPr>
  </w:style>
  <w:style w:type="character" w:default="1" w:styleId="61">
    <w:name w:val="Default Paragraph Font"/>
    <w:unhideWhenUsed/>
    <w:qFormat/>
    <w:uiPriority w:val="1"/>
  </w:style>
  <w:style w:type="table" w:default="1" w:styleId="58">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89"/>
    <w:qFormat/>
    <w:uiPriority w:val="99"/>
    <w:pPr>
      <w:spacing w:after="120"/>
    </w:pPr>
    <w:rPr>
      <w:kern w:val="0"/>
      <w:sz w:val="20"/>
      <w:lang w:val="zh-CN"/>
    </w:rPr>
  </w:style>
  <w:style w:type="paragraph" w:styleId="3">
    <w:name w:val="macro"/>
    <w:link w:val="74"/>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200" w:line="276" w:lineRule="auto"/>
    </w:pPr>
    <w:rPr>
      <w:rFonts w:ascii="Courier New" w:hAnsi="Courier New" w:eastAsia="宋体" w:cs="Courier New"/>
      <w:kern w:val="2"/>
      <w:sz w:val="24"/>
      <w:szCs w:val="24"/>
      <w:lang w:val="en-US" w:eastAsia="zh-CN" w:bidi="ar-SA"/>
    </w:rPr>
  </w:style>
  <w:style w:type="paragraph" w:styleId="7">
    <w:name w:val="Normal Indent"/>
    <w:basedOn w:val="1"/>
    <w:link w:val="78"/>
    <w:qFormat/>
    <w:uiPriority w:val="0"/>
    <w:pPr>
      <w:ind w:firstLine="420" w:firstLineChars="200"/>
    </w:pPr>
    <w:rPr>
      <w:sz w:val="20"/>
      <w:lang w:val="zh-CN"/>
    </w:rPr>
  </w:style>
  <w:style w:type="paragraph" w:styleId="14">
    <w:name w:val="List 3"/>
    <w:basedOn w:val="1"/>
    <w:qFormat/>
    <w:uiPriority w:val="0"/>
    <w:pPr>
      <w:ind w:left="100" w:leftChars="400" w:hanging="200" w:hangingChars="200"/>
    </w:pPr>
  </w:style>
  <w:style w:type="paragraph" w:styleId="15">
    <w:name w:val="toc 7"/>
    <w:basedOn w:val="1"/>
    <w:next w:val="1"/>
    <w:qFormat/>
    <w:uiPriority w:val="39"/>
    <w:pPr>
      <w:ind w:left="2520" w:leftChars="1200"/>
    </w:pPr>
  </w:style>
  <w:style w:type="paragraph" w:styleId="16">
    <w:name w:val="index 8"/>
    <w:basedOn w:val="1"/>
    <w:next w:val="1"/>
    <w:qFormat/>
    <w:uiPriority w:val="0"/>
    <w:pPr>
      <w:ind w:left="1400" w:leftChars="1400"/>
    </w:pPr>
    <w:rPr>
      <w:rFonts w:ascii="宋体"/>
      <w:kern w:val="0"/>
      <w:sz w:val="18"/>
      <w:szCs w:val="20"/>
    </w:rPr>
  </w:style>
  <w:style w:type="paragraph" w:styleId="17">
    <w:name w:val="caption"/>
    <w:basedOn w:val="1"/>
    <w:next w:val="1"/>
    <w:link w:val="85"/>
    <w:qFormat/>
    <w:uiPriority w:val="0"/>
    <w:pPr>
      <w:keepNext/>
      <w:keepLines/>
      <w:ind w:firstLine="300" w:firstLineChars="300"/>
    </w:pPr>
    <w:rPr>
      <w:rFonts w:ascii="黑体" w:hAnsi="Arial" w:eastAsia="黑体"/>
      <w:kern w:val="24"/>
      <w:sz w:val="24"/>
      <w:szCs w:val="20"/>
      <w:lang w:val="zh-CN"/>
    </w:rPr>
  </w:style>
  <w:style w:type="paragraph" w:styleId="18">
    <w:name w:val="index 5"/>
    <w:basedOn w:val="1"/>
    <w:next w:val="1"/>
    <w:qFormat/>
    <w:uiPriority w:val="0"/>
    <w:pPr>
      <w:ind w:left="800" w:leftChars="800"/>
    </w:pPr>
    <w:rPr>
      <w:rFonts w:ascii="宋体"/>
      <w:kern w:val="0"/>
      <w:sz w:val="18"/>
      <w:szCs w:val="20"/>
    </w:rPr>
  </w:style>
  <w:style w:type="paragraph" w:styleId="19">
    <w:name w:val="Document Map"/>
    <w:basedOn w:val="1"/>
    <w:link w:val="86"/>
    <w:qFormat/>
    <w:uiPriority w:val="0"/>
    <w:pPr>
      <w:shd w:val="clear" w:color="auto" w:fill="000080"/>
    </w:pPr>
    <w:rPr>
      <w:kern w:val="0"/>
      <w:sz w:val="20"/>
      <w:lang w:val="zh-CN"/>
    </w:rPr>
  </w:style>
  <w:style w:type="paragraph" w:styleId="20">
    <w:name w:val="toa heading"/>
    <w:basedOn w:val="1"/>
    <w:next w:val="1"/>
    <w:qFormat/>
    <w:uiPriority w:val="99"/>
    <w:pPr>
      <w:autoSpaceDE w:val="0"/>
      <w:spacing w:before="120"/>
    </w:pPr>
    <w:rPr>
      <w:rFonts w:ascii="Arial" w:hAnsi="Arial"/>
      <w:b/>
      <w:kern w:val="0"/>
      <w:sz w:val="18"/>
      <w:szCs w:val="20"/>
    </w:rPr>
  </w:style>
  <w:style w:type="paragraph" w:styleId="21">
    <w:name w:val="annotation text"/>
    <w:basedOn w:val="1"/>
    <w:link w:val="87"/>
    <w:qFormat/>
    <w:uiPriority w:val="0"/>
    <w:pPr>
      <w:jc w:val="left"/>
    </w:pPr>
    <w:rPr>
      <w:kern w:val="0"/>
      <w:sz w:val="20"/>
      <w:lang w:val="zh-CN"/>
    </w:rPr>
  </w:style>
  <w:style w:type="paragraph" w:styleId="22">
    <w:name w:val="index 6"/>
    <w:basedOn w:val="1"/>
    <w:next w:val="1"/>
    <w:qFormat/>
    <w:uiPriority w:val="0"/>
    <w:pPr>
      <w:ind w:left="1000" w:leftChars="1000"/>
    </w:pPr>
    <w:rPr>
      <w:rFonts w:ascii="宋体"/>
      <w:kern w:val="0"/>
      <w:sz w:val="18"/>
      <w:szCs w:val="20"/>
    </w:rPr>
  </w:style>
  <w:style w:type="paragraph" w:styleId="23">
    <w:name w:val="Body Text 3"/>
    <w:basedOn w:val="1"/>
    <w:link w:val="88"/>
    <w:qFormat/>
    <w:uiPriority w:val="0"/>
    <w:rPr>
      <w:rFonts w:ascii="宋体"/>
      <w:kern w:val="0"/>
      <w:sz w:val="24"/>
      <w:szCs w:val="20"/>
      <w:lang w:val="zh-CN"/>
    </w:rPr>
  </w:style>
  <w:style w:type="paragraph" w:styleId="24">
    <w:name w:val="Body Text Indent"/>
    <w:basedOn w:val="1"/>
    <w:next w:val="1"/>
    <w:link w:val="90"/>
    <w:qFormat/>
    <w:uiPriority w:val="0"/>
    <w:pPr>
      <w:spacing w:after="120"/>
      <w:ind w:left="420" w:leftChars="200"/>
    </w:pPr>
    <w:rPr>
      <w:kern w:val="0"/>
      <w:sz w:val="20"/>
      <w:lang w:val="zh-CN"/>
    </w:rPr>
  </w:style>
  <w:style w:type="paragraph" w:styleId="25">
    <w:name w:val="List 2"/>
    <w:basedOn w:val="1"/>
    <w:unhideWhenUsed/>
    <w:qFormat/>
    <w:uiPriority w:val="0"/>
    <w:pPr>
      <w:ind w:left="100" w:leftChars="200" w:hanging="200" w:hangingChars="200"/>
    </w:pPr>
    <w:rPr>
      <w:rFonts w:ascii="Calibri" w:hAnsi="Calibri"/>
      <w:szCs w:val="22"/>
    </w:rPr>
  </w:style>
  <w:style w:type="paragraph" w:styleId="26">
    <w:name w:val="index 4"/>
    <w:basedOn w:val="1"/>
    <w:next w:val="1"/>
    <w:qFormat/>
    <w:uiPriority w:val="0"/>
    <w:pPr>
      <w:ind w:left="600" w:leftChars="600"/>
    </w:pPr>
    <w:rPr>
      <w:rFonts w:ascii="宋体"/>
      <w:kern w:val="0"/>
      <w:sz w:val="18"/>
      <w:szCs w:val="20"/>
    </w:r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91"/>
    <w:qFormat/>
    <w:uiPriority w:val="99"/>
    <w:rPr>
      <w:rFonts w:ascii="Courier New" w:hAnsi="Courier New"/>
      <w:kern w:val="0"/>
      <w:sz w:val="20"/>
      <w:szCs w:val="20"/>
      <w:lang w:val="zh-CN"/>
    </w:rPr>
  </w:style>
  <w:style w:type="paragraph" w:styleId="30">
    <w:name w:val="toc 8"/>
    <w:basedOn w:val="1"/>
    <w:next w:val="1"/>
    <w:qFormat/>
    <w:uiPriority w:val="39"/>
    <w:pPr>
      <w:ind w:left="2940" w:leftChars="1400"/>
    </w:pPr>
  </w:style>
  <w:style w:type="paragraph" w:styleId="31">
    <w:name w:val="index 3"/>
    <w:basedOn w:val="1"/>
    <w:next w:val="1"/>
    <w:qFormat/>
    <w:uiPriority w:val="0"/>
    <w:pPr>
      <w:ind w:left="400" w:leftChars="400"/>
    </w:pPr>
    <w:rPr>
      <w:rFonts w:ascii="宋体"/>
      <w:kern w:val="0"/>
      <w:sz w:val="18"/>
      <w:szCs w:val="20"/>
    </w:rPr>
  </w:style>
  <w:style w:type="paragraph" w:styleId="32">
    <w:name w:val="Date"/>
    <w:basedOn w:val="1"/>
    <w:next w:val="1"/>
    <w:link w:val="92"/>
    <w:qFormat/>
    <w:uiPriority w:val="0"/>
    <w:rPr>
      <w:kern w:val="0"/>
      <w:sz w:val="24"/>
      <w:szCs w:val="20"/>
      <w:lang w:val="zh-CN"/>
    </w:rPr>
  </w:style>
  <w:style w:type="paragraph" w:styleId="33">
    <w:name w:val="Body Text Indent 2"/>
    <w:basedOn w:val="1"/>
    <w:link w:val="93"/>
    <w:qFormat/>
    <w:uiPriority w:val="0"/>
    <w:pPr>
      <w:spacing w:after="120" w:line="480" w:lineRule="auto"/>
      <w:ind w:left="420" w:leftChars="200"/>
    </w:pPr>
    <w:rPr>
      <w:kern w:val="0"/>
      <w:sz w:val="20"/>
      <w:lang w:val="zh-CN"/>
    </w:rPr>
  </w:style>
  <w:style w:type="paragraph" w:styleId="34">
    <w:name w:val="Balloon Text"/>
    <w:basedOn w:val="1"/>
    <w:link w:val="94"/>
    <w:qFormat/>
    <w:uiPriority w:val="0"/>
    <w:rPr>
      <w:kern w:val="0"/>
      <w:sz w:val="18"/>
      <w:szCs w:val="18"/>
      <w:lang w:val="zh-CN"/>
    </w:rPr>
  </w:style>
  <w:style w:type="paragraph" w:styleId="35">
    <w:name w:val="footer"/>
    <w:basedOn w:val="1"/>
    <w:link w:val="95"/>
    <w:unhideWhenUsed/>
    <w:qFormat/>
    <w:uiPriority w:val="99"/>
    <w:pPr>
      <w:tabs>
        <w:tab w:val="center" w:pos="4153"/>
        <w:tab w:val="right" w:pos="8306"/>
      </w:tabs>
      <w:snapToGrid w:val="0"/>
      <w:jc w:val="left"/>
    </w:pPr>
    <w:rPr>
      <w:sz w:val="18"/>
      <w:szCs w:val="18"/>
    </w:rPr>
  </w:style>
  <w:style w:type="paragraph" w:styleId="36">
    <w:name w:val="header"/>
    <w:basedOn w:val="1"/>
    <w:link w:val="96"/>
    <w:unhideWhenUsed/>
    <w:qFormat/>
    <w:uiPriority w:val="0"/>
    <w:pPr>
      <w:pBdr>
        <w:bottom w:val="single" w:color="auto" w:sz="6" w:space="1"/>
      </w:pBdr>
      <w:tabs>
        <w:tab w:val="center" w:pos="4153"/>
        <w:tab w:val="right" w:pos="8306"/>
      </w:tabs>
      <w:snapToGrid w:val="0"/>
      <w:jc w:val="center"/>
    </w:pPr>
    <w:rPr>
      <w:sz w:val="18"/>
      <w:szCs w:val="18"/>
    </w:rPr>
  </w:style>
  <w:style w:type="paragraph" w:styleId="37">
    <w:name w:val="toc 1"/>
    <w:basedOn w:val="1"/>
    <w:next w:val="1"/>
    <w:qFormat/>
    <w:uiPriority w:val="39"/>
    <w:pPr>
      <w:tabs>
        <w:tab w:val="right" w:leader="dot" w:pos="9060"/>
      </w:tabs>
      <w:spacing w:before="120" w:after="120"/>
      <w:jc w:val="center"/>
    </w:pPr>
    <w:rPr>
      <w:b/>
      <w:bCs/>
      <w:caps/>
      <w:sz w:val="24"/>
    </w:rPr>
  </w:style>
  <w:style w:type="paragraph" w:styleId="38">
    <w:name w:val="toc 4"/>
    <w:basedOn w:val="1"/>
    <w:next w:val="1"/>
    <w:qFormat/>
    <w:uiPriority w:val="39"/>
    <w:pPr>
      <w:ind w:left="1260" w:leftChars="600"/>
    </w:pPr>
  </w:style>
  <w:style w:type="paragraph" w:styleId="39">
    <w:name w:val="index heading"/>
    <w:basedOn w:val="1"/>
    <w:next w:val="40"/>
    <w:qFormat/>
    <w:uiPriority w:val="0"/>
    <w:pPr>
      <w:autoSpaceDE w:val="0"/>
    </w:pPr>
    <w:rPr>
      <w:rFonts w:ascii="宋体"/>
      <w:kern w:val="0"/>
      <w:sz w:val="18"/>
      <w:szCs w:val="20"/>
    </w:rPr>
  </w:style>
  <w:style w:type="paragraph" w:styleId="40">
    <w:name w:val="index 1"/>
    <w:basedOn w:val="1"/>
    <w:next w:val="1"/>
    <w:unhideWhenUsed/>
    <w:qFormat/>
    <w:uiPriority w:val="0"/>
  </w:style>
  <w:style w:type="paragraph" w:styleId="41">
    <w:name w:val="Subtitle"/>
    <w:basedOn w:val="1"/>
    <w:link w:val="97"/>
    <w:qFormat/>
    <w:uiPriority w:val="0"/>
    <w:pPr>
      <w:adjustRightInd w:val="0"/>
      <w:spacing w:before="240" w:after="60" w:line="312" w:lineRule="auto"/>
      <w:jc w:val="center"/>
      <w:outlineLvl w:val="1"/>
    </w:pPr>
    <w:rPr>
      <w:rFonts w:ascii="Arial" w:hAnsi="Arial"/>
      <w:b/>
      <w:spacing w:val="16"/>
      <w:kern w:val="28"/>
      <w:sz w:val="32"/>
      <w:szCs w:val="20"/>
      <w:lang w:val="zh-CN"/>
    </w:rPr>
  </w:style>
  <w:style w:type="paragraph" w:styleId="42">
    <w:name w:val="List"/>
    <w:basedOn w:val="1"/>
    <w:qFormat/>
    <w:uiPriority w:val="0"/>
    <w:pPr>
      <w:ind w:left="200" w:hanging="200" w:hangingChars="200"/>
    </w:pPr>
  </w:style>
  <w:style w:type="paragraph" w:styleId="43">
    <w:name w:val="toc 6"/>
    <w:basedOn w:val="1"/>
    <w:next w:val="1"/>
    <w:qFormat/>
    <w:uiPriority w:val="39"/>
    <w:pPr>
      <w:ind w:left="2100" w:leftChars="1000"/>
    </w:pPr>
  </w:style>
  <w:style w:type="paragraph" w:styleId="44">
    <w:name w:val="Body Text Indent 3"/>
    <w:basedOn w:val="1"/>
    <w:link w:val="98"/>
    <w:qFormat/>
    <w:uiPriority w:val="0"/>
    <w:pPr>
      <w:spacing w:after="120"/>
      <w:ind w:left="420" w:leftChars="200"/>
    </w:pPr>
    <w:rPr>
      <w:kern w:val="0"/>
      <w:sz w:val="16"/>
      <w:szCs w:val="16"/>
      <w:lang w:val="zh-CN"/>
    </w:rPr>
  </w:style>
  <w:style w:type="paragraph" w:styleId="45">
    <w:name w:val="index 7"/>
    <w:basedOn w:val="1"/>
    <w:next w:val="1"/>
    <w:qFormat/>
    <w:uiPriority w:val="0"/>
    <w:pPr>
      <w:ind w:left="1200" w:leftChars="1200"/>
    </w:pPr>
    <w:rPr>
      <w:rFonts w:ascii="宋体"/>
      <w:kern w:val="0"/>
      <w:sz w:val="18"/>
      <w:szCs w:val="20"/>
    </w:rPr>
  </w:style>
  <w:style w:type="paragraph" w:styleId="46">
    <w:name w:val="index 9"/>
    <w:basedOn w:val="1"/>
    <w:next w:val="1"/>
    <w:qFormat/>
    <w:uiPriority w:val="0"/>
    <w:pPr>
      <w:ind w:left="1600" w:leftChars="1600"/>
    </w:pPr>
    <w:rPr>
      <w:rFonts w:ascii="宋体"/>
      <w:kern w:val="0"/>
      <w:sz w:val="18"/>
      <w:szCs w:val="20"/>
    </w:rPr>
  </w:style>
  <w:style w:type="paragraph" w:styleId="47">
    <w:name w:val="toc 2"/>
    <w:basedOn w:val="1"/>
    <w:next w:val="1"/>
    <w:qFormat/>
    <w:uiPriority w:val="39"/>
    <w:pPr>
      <w:tabs>
        <w:tab w:val="right" w:leader="dot" w:pos="9060"/>
      </w:tabs>
      <w:ind w:left="210"/>
      <w:jc w:val="left"/>
    </w:pPr>
    <w:rPr>
      <w:smallCaps/>
      <w:sz w:val="20"/>
      <w:szCs w:val="20"/>
    </w:rPr>
  </w:style>
  <w:style w:type="paragraph" w:styleId="48">
    <w:name w:val="toc 9"/>
    <w:basedOn w:val="1"/>
    <w:next w:val="1"/>
    <w:qFormat/>
    <w:uiPriority w:val="39"/>
    <w:pPr>
      <w:ind w:left="3360" w:leftChars="1600"/>
    </w:pPr>
  </w:style>
  <w:style w:type="paragraph" w:styleId="49">
    <w:name w:val="Body Text 2"/>
    <w:basedOn w:val="1"/>
    <w:link w:val="99"/>
    <w:qFormat/>
    <w:uiPriority w:val="0"/>
    <w:pPr>
      <w:spacing w:after="120" w:line="480" w:lineRule="auto"/>
    </w:pPr>
    <w:rPr>
      <w:kern w:val="0"/>
      <w:sz w:val="20"/>
      <w:lang w:val="zh-CN"/>
    </w:rPr>
  </w:style>
  <w:style w:type="paragraph" w:styleId="50">
    <w:name w:val="List Continue 2"/>
    <w:basedOn w:val="1"/>
    <w:qFormat/>
    <w:uiPriority w:val="0"/>
    <w:pPr>
      <w:spacing w:after="120"/>
      <w:ind w:left="840" w:leftChars="400"/>
    </w:pPr>
  </w:style>
  <w:style w:type="paragraph" w:styleId="51">
    <w:name w:val="HTML Preformatted"/>
    <w:basedOn w:val="1"/>
    <w:link w:val="100"/>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eastAsia="黑体"/>
      <w:b/>
      <w:bCs/>
      <w:kern w:val="0"/>
      <w:sz w:val="32"/>
      <w:szCs w:val="32"/>
      <w:lang w:val="zh-CN"/>
    </w:rPr>
  </w:style>
  <w:style w:type="paragraph" w:styleId="52">
    <w:name w:val="Normal (Web)"/>
    <w:basedOn w:val="1"/>
    <w:qFormat/>
    <w:uiPriority w:val="99"/>
    <w:pPr>
      <w:widowControl/>
      <w:spacing w:before="100" w:beforeAutospacing="1" w:after="100" w:afterAutospacing="1"/>
      <w:jc w:val="left"/>
    </w:pPr>
    <w:rPr>
      <w:kern w:val="0"/>
      <w:sz w:val="24"/>
    </w:rPr>
  </w:style>
  <w:style w:type="paragraph" w:styleId="53">
    <w:name w:val="index 2"/>
    <w:basedOn w:val="1"/>
    <w:next w:val="1"/>
    <w:qFormat/>
    <w:uiPriority w:val="0"/>
    <w:pPr>
      <w:ind w:left="200" w:leftChars="200"/>
    </w:pPr>
    <w:rPr>
      <w:rFonts w:ascii="宋体"/>
      <w:kern w:val="0"/>
      <w:sz w:val="18"/>
      <w:szCs w:val="20"/>
    </w:rPr>
  </w:style>
  <w:style w:type="paragraph" w:styleId="54">
    <w:name w:val="Title"/>
    <w:basedOn w:val="1"/>
    <w:link w:val="101"/>
    <w:qFormat/>
    <w:uiPriority w:val="0"/>
    <w:pPr>
      <w:adjustRightInd w:val="0"/>
      <w:spacing w:before="240" w:after="60" w:line="420" w:lineRule="atLeast"/>
      <w:jc w:val="center"/>
      <w:textAlignment w:val="baseline"/>
      <w:outlineLvl w:val="0"/>
    </w:pPr>
    <w:rPr>
      <w:rFonts w:ascii="Arial" w:hAnsi="Arial"/>
      <w:b/>
      <w:kern w:val="0"/>
      <w:sz w:val="32"/>
      <w:szCs w:val="20"/>
      <w:lang w:val="zh-CN"/>
    </w:rPr>
  </w:style>
  <w:style w:type="paragraph" w:styleId="55">
    <w:name w:val="annotation subject"/>
    <w:basedOn w:val="21"/>
    <w:next w:val="21"/>
    <w:link w:val="102"/>
    <w:qFormat/>
    <w:uiPriority w:val="0"/>
    <w:rPr>
      <w:b/>
      <w:bCs/>
    </w:rPr>
  </w:style>
  <w:style w:type="paragraph" w:styleId="56">
    <w:name w:val="Body Text First Indent"/>
    <w:basedOn w:val="2"/>
    <w:link w:val="103"/>
    <w:qFormat/>
    <w:uiPriority w:val="0"/>
    <w:pPr>
      <w:ind w:firstLine="420" w:firstLineChars="100"/>
    </w:pPr>
    <w:rPr>
      <w:sz w:val="44"/>
    </w:rPr>
  </w:style>
  <w:style w:type="paragraph" w:styleId="57">
    <w:name w:val="Body Text First Indent 2"/>
    <w:basedOn w:val="24"/>
    <w:next w:val="1"/>
    <w:link w:val="104"/>
    <w:qFormat/>
    <w:uiPriority w:val="0"/>
    <w:pPr>
      <w:spacing w:after="0"/>
      <w:ind w:left="0" w:leftChars="0" w:firstLine="200" w:firstLineChars="200"/>
    </w:pPr>
    <w:rPr>
      <w:rFonts w:ascii="宋体"/>
      <w:sz w:val="28"/>
      <w:szCs w:val="20"/>
    </w:rPr>
  </w:style>
  <w:style w:type="table" w:styleId="59">
    <w:name w:val="Table Grid"/>
    <w:basedOn w:val="58"/>
    <w:qFormat/>
    <w:uiPriority w:val="0"/>
    <w:pPr>
      <w:widowControl w:val="0"/>
      <w:spacing w:after="200" w:line="276"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0">
    <w:name w:val="Table Theme"/>
    <w:basedOn w:val="58"/>
    <w:qFormat/>
    <w:uiPriority w:val="0"/>
    <w:pPr>
      <w:widowControl w:val="0"/>
      <w:spacing w:after="200" w:line="276"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page number"/>
    <w:qFormat/>
    <w:uiPriority w:val="0"/>
    <w:rPr>
      <w:rFonts w:ascii="Arial" w:hAnsi="Arial" w:eastAsia="黑体"/>
      <w:kern w:val="2"/>
      <w:sz w:val="21"/>
      <w:szCs w:val="21"/>
      <w:lang w:val="en-US" w:eastAsia="zh-CN" w:bidi="ar-SA"/>
    </w:rPr>
  </w:style>
  <w:style w:type="character" w:styleId="64">
    <w:name w:val="FollowedHyperlink"/>
    <w:qFormat/>
    <w:uiPriority w:val="99"/>
    <w:rPr>
      <w:rFonts w:ascii="Arial" w:hAnsi="Arial" w:eastAsia="黑体"/>
      <w:color w:val="800080"/>
      <w:kern w:val="2"/>
      <w:sz w:val="21"/>
      <w:szCs w:val="21"/>
      <w:u w:val="single"/>
      <w:lang w:val="en-US" w:eastAsia="zh-CN" w:bidi="ar-SA"/>
    </w:rPr>
  </w:style>
  <w:style w:type="character" w:styleId="65">
    <w:name w:val="HTML Definition"/>
    <w:qFormat/>
    <w:uiPriority w:val="0"/>
    <w:rPr>
      <w:i/>
    </w:rPr>
  </w:style>
  <w:style w:type="character" w:styleId="66">
    <w:name w:val="HTML Variable"/>
    <w:qFormat/>
    <w:uiPriority w:val="0"/>
    <w:rPr>
      <w:i/>
      <w:iCs/>
    </w:rPr>
  </w:style>
  <w:style w:type="character" w:styleId="67">
    <w:name w:val="Hyperlink"/>
    <w:basedOn w:val="61"/>
    <w:qFormat/>
    <w:uiPriority w:val="99"/>
    <w:rPr>
      <w:rFonts w:ascii="Arial" w:hAnsi="Arial" w:eastAsia="黑体"/>
      <w:color w:val="0000FF"/>
      <w:kern w:val="2"/>
      <w:sz w:val="21"/>
      <w:szCs w:val="21"/>
      <w:u w:val="single"/>
      <w:lang w:val="en-US" w:eastAsia="zh-CN" w:bidi="ar-SA"/>
    </w:rPr>
  </w:style>
  <w:style w:type="character" w:styleId="68">
    <w:name w:val="HTML Code"/>
    <w:qFormat/>
    <w:uiPriority w:val="0"/>
    <w:rPr>
      <w:rFonts w:ascii="Courier New" w:hAnsi="Courier New" w:cs="Courier New"/>
      <w:sz w:val="20"/>
      <w:szCs w:val="20"/>
    </w:rPr>
  </w:style>
  <w:style w:type="character" w:styleId="69">
    <w:name w:val="annotation reference"/>
    <w:qFormat/>
    <w:uiPriority w:val="0"/>
    <w:rPr>
      <w:sz w:val="21"/>
      <w:szCs w:val="21"/>
    </w:rPr>
  </w:style>
  <w:style w:type="character" w:styleId="70">
    <w:name w:val="HTML Keyboard"/>
    <w:qFormat/>
    <w:uiPriority w:val="0"/>
    <w:rPr>
      <w:rFonts w:ascii="Consolas" w:hAnsi="Consolas" w:eastAsia="Consolas" w:cs="Consolas"/>
      <w:color w:val="FFFFFF"/>
      <w:sz w:val="21"/>
      <w:szCs w:val="21"/>
      <w:shd w:val="clear" w:color="auto" w:fill="333333"/>
    </w:rPr>
  </w:style>
  <w:style w:type="character" w:styleId="71">
    <w:name w:val="HTML Sample"/>
    <w:qFormat/>
    <w:uiPriority w:val="0"/>
    <w:rPr>
      <w:rFonts w:hint="default" w:ascii="Consolas" w:hAnsi="Consolas" w:eastAsia="Consolas" w:cs="Consolas"/>
      <w:sz w:val="21"/>
      <w:szCs w:val="21"/>
    </w:rPr>
  </w:style>
  <w:style w:type="paragraph" w:customStyle="1" w:styleId="72">
    <w:name w:val="Normal_1"/>
    <w:qFormat/>
    <w:uiPriority w:val="99"/>
    <w:pPr>
      <w:widowControl w:val="0"/>
      <w:spacing w:after="200" w:line="276" w:lineRule="auto"/>
      <w:jc w:val="both"/>
    </w:pPr>
    <w:rPr>
      <w:rFonts w:ascii="Times New Roman" w:hAnsi="Times New Roman" w:eastAsia="宋体" w:cs="Times New Roman"/>
      <w:sz w:val="21"/>
      <w:szCs w:val="21"/>
      <w:lang w:val="en-US" w:eastAsia="zh-CN" w:bidi="ar-SA"/>
    </w:rPr>
  </w:style>
  <w:style w:type="paragraph" w:customStyle="1" w:styleId="73">
    <w:name w:val="正文_6"/>
    <w:qFormat/>
    <w:uiPriority w:val="0"/>
    <w:pPr>
      <w:widowControl w:val="0"/>
      <w:spacing w:after="200" w:line="276" w:lineRule="auto"/>
      <w:jc w:val="both"/>
    </w:pPr>
    <w:rPr>
      <w:rFonts w:ascii="等线" w:hAnsi="等线" w:eastAsia="等线" w:cs="Times New Roman"/>
      <w:kern w:val="2"/>
      <w:sz w:val="21"/>
      <w:szCs w:val="22"/>
      <w:lang w:val="en-US" w:eastAsia="zh-CN" w:bidi="ar-SA"/>
    </w:rPr>
  </w:style>
  <w:style w:type="character" w:customStyle="1" w:styleId="74">
    <w:name w:val="宏文本 Char"/>
    <w:link w:val="3"/>
    <w:qFormat/>
    <w:uiPriority w:val="0"/>
    <w:rPr>
      <w:rFonts w:ascii="Courier New" w:hAnsi="Courier New" w:eastAsia="宋体" w:cs="Courier New"/>
      <w:sz w:val="24"/>
      <w:szCs w:val="24"/>
    </w:rPr>
  </w:style>
  <w:style w:type="character" w:customStyle="1" w:styleId="75">
    <w:name w:val="标题 1 Char1"/>
    <w:link w:val="4"/>
    <w:qFormat/>
    <w:uiPriority w:val="0"/>
    <w:rPr>
      <w:rFonts w:ascii="Times New Roman" w:hAnsi="Times New Roman" w:eastAsia="宋体" w:cs="Times New Roman"/>
      <w:b/>
      <w:bCs/>
      <w:kern w:val="44"/>
      <w:sz w:val="44"/>
      <w:szCs w:val="44"/>
      <w:lang w:val="zh-CN"/>
    </w:rPr>
  </w:style>
  <w:style w:type="character" w:customStyle="1" w:styleId="76">
    <w:name w:val="标题 2 Char"/>
    <w:link w:val="5"/>
    <w:qFormat/>
    <w:uiPriority w:val="0"/>
    <w:rPr>
      <w:rFonts w:ascii="Arial" w:hAnsi="Arial" w:eastAsia="黑体" w:cs="Times New Roman"/>
      <w:b/>
      <w:bCs/>
      <w:kern w:val="0"/>
      <w:sz w:val="32"/>
      <w:szCs w:val="32"/>
      <w:lang w:val="zh-CN"/>
    </w:rPr>
  </w:style>
  <w:style w:type="character" w:customStyle="1" w:styleId="77">
    <w:name w:val="标题 3 Char"/>
    <w:link w:val="6"/>
    <w:qFormat/>
    <w:uiPriority w:val="0"/>
    <w:rPr>
      <w:rFonts w:ascii="宋体" w:hAnsi="宋体" w:eastAsia="宋体" w:cs="Times New Roman"/>
      <w:bCs/>
      <w:kern w:val="0"/>
      <w:sz w:val="24"/>
      <w:szCs w:val="24"/>
      <w:lang w:val="zh-CN"/>
    </w:rPr>
  </w:style>
  <w:style w:type="character" w:customStyle="1" w:styleId="78">
    <w:name w:val="正文缩进 Char"/>
    <w:link w:val="7"/>
    <w:qFormat/>
    <w:uiPriority w:val="0"/>
    <w:rPr>
      <w:rFonts w:ascii="Times New Roman" w:hAnsi="Times New Roman" w:eastAsia="宋体" w:cs="Times New Roman"/>
      <w:kern w:val="0"/>
      <w:sz w:val="20"/>
      <w:szCs w:val="24"/>
      <w:lang w:val="zh-CN"/>
    </w:rPr>
  </w:style>
  <w:style w:type="character" w:customStyle="1" w:styleId="79">
    <w:name w:val="标题 4 Char"/>
    <w:link w:val="8"/>
    <w:qFormat/>
    <w:uiPriority w:val="0"/>
    <w:rPr>
      <w:rFonts w:ascii="Arial" w:hAnsi="Arial" w:eastAsia="黑体" w:cs="Times New Roman"/>
      <w:b/>
      <w:bCs/>
      <w:kern w:val="0"/>
      <w:sz w:val="28"/>
      <w:szCs w:val="28"/>
      <w:lang w:val="zh-CN"/>
    </w:rPr>
  </w:style>
  <w:style w:type="character" w:customStyle="1" w:styleId="80">
    <w:name w:val="标题 5 Char"/>
    <w:link w:val="9"/>
    <w:qFormat/>
    <w:uiPriority w:val="0"/>
    <w:rPr>
      <w:rFonts w:ascii="宋体" w:hAnsi="Times New Roman" w:eastAsia="宋体" w:cs="Times New Roman"/>
      <w:b/>
      <w:kern w:val="0"/>
      <w:sz w:val="28"/>
      <w:szCs w:val="20"/>
      <w:lang w:val="zh-CN"/>
    </w:rPr>
  </w:style>
  <w:style w:type="character" w:customStyle="1" w:styleId="81">
    <w:name w:val="标题 6 Char"/>
    <w:link w:val="10"/>
    <w:qFormat/>
    <w:uiPriority w:val="0"/>
    <w:rPr>
      <w:rFonts w:ascii="Arial" w:hAnsi="Arial" w:eastAsia="黑体" w:cs="Times New Roman"/>
      <w:b/>
      <w:bCs/>
      <w:kern w:val="0"/>
      <w:sz w:val="24"/>
      <w:szCs w:val="24"/>
      <w:lang w:val="zh-CN"/>
    </w:rPr>
  </w:style>
  <w:style w:type="character" w:customStyle="1" w:styleId="82">
    <w:name w:val="标题 7 Char"/>
    <w:link w:val="11"/>
    <w:qFormat/>
    <w:uiPriority w:val="0"/>
    <w:rPr>
      <w:rFonts w:ascii="Times New Roman" w:hAnsi="Times New Roman" w:eastAsia="宋体" w:cs="Times New Roman"/>
      <w:b/>
      <w:bCs/>
      <w:kern w:val="0"/>
      <w:sz w:val="24"/>
      <w:szCs w:val="24"/>
      <w:lang w:val="zh-CN"/>
    </w:rPr>
  </w:style>
  <w:style w:type="character" w:customStyle="1" w:styleId="83">
    <w:name w:val="标题 8 Char"/>
    <w:link w:val="12"/>
    <w:qFormat/>
    <w:uiPriority w:val="0"/>
    <w:rPr>
      <w:rFonts w:ascii="Arial" w:hAnsi="Arial" w:eastAsia="黑体" w:cs="Times New Roman"/>
      <w:kern w:val="0"/>
      <w:sz w:val="24"/>
      <w:szCs w:val="24"/>
      <w:lang w:val="zh-CN"/>
    </w:rPr>
  </w:style>
  <w:style w:type="character" w:customStyle="1" w:styleId="84">
    <w:name w:val="标题 9 Char"/>
    <w:link w:val="13"/>
    <w:qFormat/>
    <w:uiPriority w:val="0"/>
    <w:rPr>
      <w:rFonts w:ascii="Arial" w:hAnsi="Arial" w:eastAsia="黑体" w:cs="Times New Roman"/>
      <w:kern w:val="0"/>
      <w:sz w:val="20"/>
      <w:szCs w:val="21"/>
      <w:lang w:val="zh-CN"/>
    </w:rPr>
  </w:style>
  <w:style w:type="character" w:customStyle="1" w:styleId="85">
    <w:name w:val="题注 Char1"/>
    <w:link w:val="17"/>
    <w:qFormat/>
    <w:uiPriority w:val="0"/>
    <w:rPr>
      <w:rFonts w:ascii="黑体" w:hAnsi="Arial" w:eastAsia="黑体" w:cs="Times New Roman"/>
      <w:kern w:val="24"/>
      <w:sz w:val="24"/>
      <w:szCs w:val="20"/>
      <w:lang w:val="zh-CN"/>
    </w:rPr>
  </w:style>
  <w:style w:type="character" w:customStyle="1" w:styleId="86">
    <w:name w:val="文档结构图 Char"/>
    <w:link w:val="19"/>
    <w:qFormat/>
    <w:uiPriority w:val="0"/>
    <w:rPr>
      <w:rFonts w:ascii="Times New Roman" w:hAnsi="Times New Roman" w:eastAsia="宋体" w:cs="Times New Roman"/>
      <w:kern w:val="0"/>
      <w:sz w:val="20"/>
      <w:szCs w:val="24"/>
      <w:shd w:val="clear" w:color="auto" w:fill="000080"/>
      <w:lang w:val="zh-CN"/>
    </w:rPr>
  </w:style>
  <w:style w:type="character" w:customStyle="1" w:styleId="87">
    <w:name w:val="批注文字 Char"/>
    <w:link w:val="21"/>
    <w:qFormat/>
    <w:uiPriority w:val="0"/>
    <w:rPr>
      <w:rFonts w:ascii="Times New Roman" w:hAnsi="Times New Roman" w:eastAsia="宋体" w:cs="Times New Roman"/>
      <w:kern w:val="0"/>
      <w:sz w:val="20"/>
      <w:szCs w:val="24"/>
      <w:lang w:val="zh-CN"/>
    </w:rPr>
  </w:style>
  <w:style w:type="character" w:customStyle="1" w:styleId="88">
    <w:name w:val="正文文本 3 Char"/>
    <w:link w:val="23"/>
    <w:qFormat/>
    <w:uiPriority w:val="0"/>
    <w:rPr>
      <w:rFonts w:ascii="宋体" w:hAnsi="Times New Roman" w:eastAsia="宋体" w:cs="Times New Roman"/>
      <w:kern w:val="0"/>
      <w:sz w:val="24"/>
      <w:szCs w:val="20"/>
      <w:lang w:val="zh-CN"/>
    </w:rPr>
  </w:style>
  <w:style w:type="character" w:customStyle="1" w:styleId="89">
    <w:name w:val="正文文本 Char"/>
    <w:link w:val="2"/>
    <w:qFormat/>
    <w:uiPriority w:val="99"/>
    <w:rPr>
      <w:rFonts w:ascii="Times New Roman" w:hAnsi="Times New Roman" w:eastAsia="宋体" w:cs="Times New Roman"/>
      <w:kern w:val="0"/>
      <w:sz w:val="20"/>
      <w:szCs w:val="24"/>
      <w:lang w:val="zh-CN"/>
    </w:rPr>
  </w:style>
  <w:style w:type="character" w:customStyle="1" w:styleId="90">
    <w:name w:val="正文文本缩进 Char"/>
    <w:link w:val="24"/>
    <w:qFormat/>
    <w:uiPriority w:val="0"/>
    <w:rPr>
      <w:rFonts w:ascii="Times New Roman" w:hAnsi="Times New Roman" w:eastAsia="宋体" w:cs="Times New Roman"/>
      <w:kern w:val="0"/>
      <w:sz w:val="20"/>
      <w:szCs w:val="24"/>
      <w:lang w:val="zh-CN"/>
    </w:rPr>
  </w:style>
  <w:style w:type="character" w:customStyle="1" w:styleId="91">
    <w:name w:val="纯文本 Char"/>
    <w:link w:val="29"/>
    <w:qFormat/>
    <w:uiPriority w:val="99"/>
    <w:rPr>
      <w:rFonts w:ascii="Courier New" w:hAnsi="Courier New" w:eastAsia="宋体" w:cs="Times New Roman"/>
      <w:kern w:val="0"/>
      <w:sz w:val="20"/>
      <w:szCs w:val="20"/>
      <w:lang w:val="zh-CN"/>
    </w:rPr>
  </w:style>
  <w:style w:type="character" w:customStyle="1" w:styleId="92">
    <w:name w:val="日期 Char"/>
    <w:link w:val="32"/>
    <w:qFormat/>
    <w:uiPriority w:val="0"/>
    <w:rPr>
      <w:rFonts w:ascii="Times New Roman" w:hAnsi="Times New Roman" w:eastAsia="宋体" w:cs="Times New Roman"/>
      <w:kern w:val="0"/>
      <w:sz w:val="24"/>
      <w:szCs w:val="20"/>
      <w:lang w:val="zh-CN"/>
    </w:rPr>
  </w:style>
  <w:style w:type="character" w:customStyle="1" w:styleId="93">
    <w:name w:val="正文文本缩进 2 Char"/>
    <w:link w:val="33"/>
    <w:qFormat/>
    <w:uiPriority w:val="0"/>
    <w:rPr>
      <w:rFonts w:ascii="Times New Roman" w:hAnsi="Times New Roman" w:eastAsia="宋体" w:cs="Times New Roman"/>
      <w:kern w:val="0"/>
      <w:sz w:val="20"/>
      <w:szCs w:val="24"/>
      <w:lang w:val="zh-CN"/>
    </w:rPr>
  </w:style>
  <w:style w:type="character" w:customStyle="1" w:styleId="94">
    <w:name w:val="批注框文本 Char"/>
    <w:link w:val="34"/>
    <w:qFormat/>
    <w:uiPriority w:val="0"/>
    <w:rPr>
      <w:rFonts w:ascii="Times New Roman" w:hAnsi="Times New Roman" w:eastAsia="宋体" w:cs="Times New Roman"/>
      <w:kern w:val="0"/>
      <w:sz w:val="18"/>
      <w:szCs w:val="18"/>
      <w:lang w:val="zh-CN"/>
    </w:rPr>
  </w:style>
  <w:style w:type="character" w:customStyle="1" w:styleId="95">
    <w:name w:val="页脚 Char"/>
    <w:link w:val="35"/>
    <w:qFormat/>
    <w:uiPriority w:val="99"/>
    <w:rPr>
      <w:sz w:val="18"/>
      <w:szCs w:val="18"/>
    </w:rPr>
  </w:style>
  <w:style w:type="character" w:customStyle="1" w:styleId="96">
    <w:name w:val="页眉 Char"/>
    <w:link w:val="36"/>
    <w:qFormat/>
    <w:uiPriority w:val="0"/>
    <w:rPr>
      <w:sz w:val="18"/>
      <w:szCs w:val="18"/>
    </w:rPr>
  </w:style>
  <w:style w:type="character" w:customStyle="1" w:styleId="97">
    <w:name w:val="副标题 Char"/>
    <w:link w:val="41"/>
    <w:qFormat/>
    <w:uiPriority w:val="0"/>
    <w:rPr>
      <w:rFonts w:ascii="Arial" w:hAnsi="Arial" w:eastAsia="宋体" w:cs="Times New Roman"/>
      <w:b/>
      <w:spacing w:val="16"/>
      <w:kern w:val="28"/>
      <w:sz w:val="32"/>
      <w:szCs w:val="20"/>
      <w:lang w:val="zh-CN"/>
    </w:rPr>
  </w:style>
  <w:style w:type="character" w:customStyle="1" w:styleId="98">
    <w:name w:val="正文文本缩进 3 Char"/>
    <w:link w:val="44"/>
    <w:qFormat/>
    <w:uiPriority w:val="0"/>
    <w:rPr>
      <w:rFonts w:ascii="Times New Roman" w:hAnsi="Times New Roman" w:eastAsia="宋体" w:cs="Times New Roman"/>
      <w:kern w:val="0"/>
      <w:sz w:val="16"/>
      <w:szCs w:val="16"/>
      <w:lang w:val="zh-CN"/>
    </w:rPr>
  </w:style>
  <w:style w:type="character" w:customStyle="1" w:styleId="99">
    <w:name w:val="正文文本 2 Char"/>
    <w:link w:val="49"/>
    <w:qFormat/>
    <w:uiPriority w:val="0"/>
    <w:rPr>
      <w:rFonts w:ascii="Times New Roman" w:hAnsi="Times New Roman" w:eastAsia="宋体" w:cs="Times New Roman"/>
      <w:kern w:val="0"/>
      <w:sz w:val="20"/>
      <w:szCs w:val="24"/>
      <w:lang w:val="zh-CN"/>
    </w:rPr>
  </w:style>
  <w:style w:type="character" w:customStyle="1" w:styleId="100">
    <w:name w:val="HTML 预设格式 Char"/>
    <w:link w:val="51"/>
    <w:qFormat/>
    <w:uiPriority w:val="0"/>
    <w:rPr>
      <w:rFonts w:ascii="Arial" w:hAnsi="Arial" w:eastAsia="黑体" w:cs="Times New Roman"/>
      <w:b/>
      <w:bCs/>
      <w:kern w:val="0"/>
      <w:sz w:val="32"/>
      <w:szCs w:val="32"/>
      <w:lang w:val="zh-CN"/>
    </w:rPr>
  </w:style>
  <w:style w:type="character" w:customStyle="1" w:styleId="101">
    <w:name w:val="标题 Char"/>
    <w:link w:val="54"/>
    <w:qFormat/>
    <w:uiPriority w:val="0"/>
    <w:rPr>
      <w:rFonts w:ascii="Arial" w:hAnsi="Arial" w:eastAsia="宋体" w:cs="Times New Roman"/>
      <w:b/>
      <w:kern w:val="0"/>
      <w:sz w:val="32"/>
      <w:szCs w:val="20"/>
      <w:lang w:val="zh-CN"/>
    </w:rPr>
  </w:style>
  <w:style w:type="character" w:customStyle="1" w:styleId="102">
    <w:name w:val="批注主题 Char"/>
    <w:link w:val="55"/>
    <w:qFormat/>
    <w:uiPriority w:val="0"/>
    <w:rPr>
      <w:rFonts w:ascii="Times New Roman" w:hAnsi="Times New Roman" w:eastAsia="宋体" w:cs="Times New Roman"/>
      <w:b/>
      <w:bCs/>
      <w:kern w:val="0"/>
      <w:sz w:val="20"/>
      <w:szCs w:val="24"/>
      <w:lang w:val="zh-CN"/>
    </w:rPr>
  </w:style>
  <w:style w:type="character" w:customStyle="1" w:styleId="103">
    <w:name w:val="正文首行缩进 Char"/>
    <w:link w:val="56"/>
    <w:qFormat/>
    <w:uiPriority w:val="0"/>
    <w:rPr>
      <w:rFonts w:ascii="Times New Roman" w:hAnsi="Times New Roman" w:eastAsia="宋体" w:cs="Times New Roman"/>
      <w:kern w:val="0"/>
      <w:sz w:val="44"/>
      <w:szCs w:val="24"/>
      <w:lang w:val="zh-CN"/>
    </w:rPr>
  </w:style>
  <w:style w:type="character" w:customStyle="1" w:styleId="104">
    <w:name w:val="正文首行缩进 2 Char"/>
    <w:link w:val="57"/>
    <w:qFormat/>
    <w:uiPriority w:val="0"/>
    <w:rPr>
      <w:rFonts w:ascii="宋体" w:hAnsi="Times New Roman" w:eastAsia="宋体" w:cs="Times New Roman"/>
      <w:kern w:val="0"/>
      <w:sz w:val="28"/>
      <w:szCs w:val="20"/>
      <w:lang w:val="zh-CN"/>
    </w:rPr>
  </w:style>
  <w:style w:type="paragraph" w:customStyle="1" w:styleId="105">
    <w:name w:val="正文（标准）"/>
    <w:basedOn w:val="1"/>
    <w:next w:val="1"/>
    <w:semiHidden/>
    <w:qFormat/>
    <w:uiPriority w:val="0"/>
    <w:pPr>
      <w:spacing w:line="560" w:lineRule="exact"/>
      <w:ind w:firstLine="525" w:firstLineChars="200"/>
    </w:pPr>
    <w:rPr>
      <w:rFonts w:ascii="宋体" w:hAnsi="宋体" w:eastAsia="仿宋_GB2312" w:cs="宋体"/>
      <w:sz w:val="28"/>
      <w:szCs w:val="28"/>
    </w:rPr>
  </w:style>
  <w:style w:type="character" w:customStyle="1" w:styleId="106">
    <w:name w:val="正文缩进 Char1"/>
    <w:qFormat/>
    <w:uiPriority w:val="0"/>
    <w:rPr>
      <w:rFonts w:eastAsia="宋体"/>
      <w:kern w:val="2"/>
      <w:sz w:val="21"/>
      <w:lang w:val="en-US" w:eastAsia="zh-CN" w:bidi="ar-SA"/>
    </w:rPr>
  </w:style>
  <w:style w:type="character" w:customStyle="1" w:styleId="107">
    <w:name w:val="z-窗体底端 Char"/>
    <w:link w:val="108"/>
    <w:qFormat/>
    <w:uiPriority w:val="0"/>
    <w:rPr>
      <w:rFonts w:ascii="Arial" w:hAnsi="Times New Roman" w:eastAsia="宋体" w:cs="Times New Roman"/>
      <w:vanish/>
      <w:sz w:val="16"/>
      <w:szCs w:val="24"/>
    </w:rPr>
  </w:style>
  <w:style w:type="paragraph" w:customStyle="1" w:styleId="108">
    <w:name w:val="z-窗体底端1"/>
    <w:basedOn w:val="1"/>
    <w:next w:val="1"/>
    <w:link w:val="107"/>
    <w:qFormat/>
    <w:uiPriority w:val="0"/>
    <w:pPr>
      <w:pBdr>
        <w:top w:val="single" w:color="auto" w:sz="6" w:space="1"/>
      </w:pBdr>
      <w:jc w:val="center"/>
    </w:pPr>
    <w:rPr>
      <w:rFonts w:ascii="Arial"/>
      <w:vanish/>
      <w:sz w:val="16"/>
    </w:rPr>
  </w:style>
  <w:style w:type="character" w:customStyle="1" w:styleId="109">
    <w:name w:val="00表头 Char"/>
    <w:link w:val="110"/>
    <w:qFormat/>
    <w:uiPriority w:val="0"/>
    <w:rPr>
      <w:rFonts w:ascii="仿宋_GB2312" w:hAnsi="仿宋_GB2312" w:eastAsia="仿宋_GB2312"/>
      <w:b/>
      <w:bCs/>
      <w:color w:val="000000"/>
      <w:sz w:val="22"/>
    </w:rPr>
  </w:style>
  <w:style w:type="paragraph" w:customStyle="1" w:styleId="110">
    <w:name w:val="00表头"/>
    <w:basedOn w:val="1"/>
    <w:link w:val="109"/>
    <w:qFormat/>
    <w:uiPriority w:val="0"/>
    <w:pPr>
      <w:widowControl/>
      <w:adjustRightInd w:val="0"/>
      <w:snapToGrid w:val="0"/>
      <w:spacing w:after="0" w:line="240" w:lineRule="auto"/>
      <w:jc w:val="center"/>
    </w:pPr>
    <w:rPr>
      <w:rFonts w:ascii="仿宋_GB2312" w:hAnsi="仿宋_GB2312" w:eastAsia="仿宋_GB2312" w:cs="Times New Roman"/>
      <w:b/>
      <w:bCs/>
      <w:color w:val="000000"/>
      <w:sz w:val="22"/>
      <w:szCs w:val="22"/>
    </w:rPr>
  </w:style>
  <w:style w:type="character" w:customStyle="1" w:styleId="111">
    <w:name w:val="Char Char4"/>
    <w:qFormat/>
    <w:uiPriority w:val="0"/>
    <w:rPr>
      <w:rFonts w:ascii="Cambria" w:hAnsi="Cambria" w:eastAsia="宋体" w:cs="Times New Roman"/>
      <w:b/>
      <w:bCs/>
      <w:kern w:val="2"/>
      <w:sz w:val="32"/>
      <w:szCs w:val="32"/>
    </w:rPr>
  </w:style>
  <w:style w:type="character" w:customStyle="1" w:styleId="112">
    <w:name w:val="font11"/>
    <w:qFormat/>
    <w:uiPriority w:val="0"/>
    <w:rPr>
      <w:rFonts w:hint="eastAsia" w:ascii="宋体" w:hAnsi="宋体" w:eastAsia="宋体" w:cs="宋体"/>
      <w:color w:val="000000"/>
      <w:sz w:val="20"/>
      <w:szCs w:val="20"/>
      <w:u w:val="none"/>
      <w:vertAlign w:val="superscript"/>
    </w:rPr>
  </w:style>
  <w:style w:type="character" w:customStyle="1" w:styleId="113">
    <w:name w:val="样式 粉红 下划线"/>
    <w:qFormat/>
    <w:uiPriority w:val="0"/>
    <w:rPr>
      <w:color w:val="auto"/>
      <w:u w:val="none"/>
    </w:rPr>
  </w:style>
  <w:style w:type="character" w:customStyle="1" w:styleId="114">
    <w:name w:val="font01"/>
    <w:qFormat/>
    <w:uiPriority w:val="0"/>
    <w:rPr>
      <w:rFonts w:ascii="仿宋_GB2312" w:eastAsia="仿宋_GB2312" w:cs="仿宋_GB2312"/>
      <w:color w:val="000000"/>
      <w:sz w:val="20"/>
      <w:szCs w:val="20"/>
      <w:u w:val="none"/>
    </w:rPr>
  </w:style>
  <w:style w:type="character" w:customStyle="1" w:styleId="115">
    <w:name w:val="样式 滚棚羊可研地质正文 + Char Char"/>
    <w:link w:val="116"/>
    <w:qFormat/>
    <w:uiPriority w:val="0"/>
    <w:rPr>
      <w:rFonts w:cs="宋体"/>
      <w:sz w:val="24"/>
    </w:rPr>
  </w:style>
  <w:style w:type="paragraph" w:customStyle="1" w:styleId="116">
    <w:name w:val="样式 滚棚羊可研地质正文 +"/>
    <w:basedOn w:val="1"/>
    <w:link w:val="115"/>
    <w:qFormat/>
    <w:uiPriority w:val="0"/>
    <w:pPr>
      <w:spacing w:line="360" w:lineRule="auto"/>
      <w:ind w:firstLine="200" w:firstLineChars="200"/>
    </w:pPr>
    <w:rPr>
      <w:rFonts w:ascii="Calibri" w:hAnsi="Calibri" w:eastAsia="宋体" w:cs="宋体"/>
      <w:sz w:val="24"/>
      <w:szCs w:val="22"/>
    </w:rPr>
  </w:style>
  <w:style w:type="character" w:customStyle="1" w:styleId="117">
    <w:name w:val="Char Char11"/>
    <w:qFormat/>
    <w:uiPriority w:val="0"/>
    <w:rPr>
      <w:rFonts w:ascii="Times New Roman" w:eastAsia="宋体"/>
      <w:b/>
      <w:bCs/>
      <w:color w:val="000000"/>
      <w:spacing w:val="0"/>
      <w:w w:val="100"/>
      <w:kern w:val="2"/>
      <w:sz w:val="32"/>
      <w:szCs w:val="32"/>
      <w:u w:val="none" w:color="000000"/>
      <w:vertAlign w:val="baseline"/>
      <w:lang w:val="en-US" w:eastAsia="zh-CN" w:bidi="ar-SA"/>
    </w:rPr>
  </w:style>
  <w:style w:type="character" w:customStyle="1" w:styleId="118">
    <w:name w:val="普通文字 Char Char"/>
    <w:qFormat/>
    <w:uiPriority w:val="0"/>
    <w:rPr>
      <w:rFonts w:ascii="宋体" w:hAnsi="Courier New" w:eastAsia="宋体"/>
      <w:kern w:val="28"/>
      <w:sz w:val="21"/>
      <w:szCs w:val="21"/>
      <w:lang w:val="en-US" w:eastAsia="zh-CN" w:bidi="ar-SA"/>
    </w:rPr>
  </w:style>
  <w:style w:type="character" w:customStyle="1" w:styleId="119">
    <w:name w:val="表号 Char"/>
    <w:link w:val="120"/>
    <w:qFormat/>
    <w:uiPriority w:val="0"/>
    <w:rPr>
      <w:rFonts w:ascii="Calibri" w:hAnsi="Calibri" w:eastAsia="仿宋_GB2312" w:cs="Times New Roman"/>
      <w:kern w:val="0"/>
      <w:sz w:val="24"/>
      <w:szCs w:val="20"/>
      <w:lang w:val="zh-CN"/>
    </w:rPr>
  </w:style>
  <w:style w:type="paragraph" w:customStyle="1" w:styleId="120">
    <w:name w:val="表号"/>
    <w:basedOn w:val="1"/>
    <w:next w:val="121"/>
    <w:link w:val="119"/>
    <w:qFormat/>
    <w:uiPriority w:val="0"/>
    <w:pPr>
      <w:ind w:firstLine="400" w:firstLineChars="400"/>
    </w:pPr>
    <w:rPr>
      <w:rFonts w:ascii="Calibri" w:hAnsi="Calibri" w:eastAsia="仿宋_GB2312"/>
      <w:kern w:val="0"/>
      <w:sz w:val="24"/>
      <w:szCs w:val="20"/>
      <w:lang w:val="zh-CN"/>
    </w:rPr>
  </w:style>
  <w:style w:type="paragraph" w:customStyle="1" w:styleId="121">
    <w:name w:val="表格"/>
    <w:basedOn w:val="1"/>
    <w:link w:val="122"/>
    <w:qFormat/>
    <w:uiPriority w:val="0"/>
    <w:pPr>
      <w:jc w:val="center"/>
      <w:textAlignment w:val="center"/>
    </w:pPr>
    <w:rPr>
      <w:rFonts w:ascii="华文细黑" w:hAnsi="华文细黑"/>
      <w:kern w:val="0"/>
      <w:sz w:val="20"/>
      <w:szCs w:val="20"/>
      <w:lang w:val="zh-CN"/>
    </w:rPr>
  </w:style>
  <w:style w:type="character" w:customStyle="1" w:styleId="122">
    <w:name w:val="表格 Char"/>
    <w:link w:val="121"/>
    <w:qFormat/>
    <w:uiPriority w:val="0"/>
    <w:rPr>
      <w:rFonts w:ascii="华文细黑" w:hAnsi="华文细黑" w:eastAsia="宋体" w:cs="Times New Roman"/>
      <w:kern w:val="0"/>
      <w:sz w:val="20"/>
      <w:szCs w:val="20"/>
      <w:lang w:val="zh-CN"/>
    </w:rPr>
  </w:style>
  <w:style w:type="character" w:customStyle="1" w:styleId="123">
    <w:name w:val="font81"/>
    <w:qFormat/>
    <w:uiPriority w:val="0"/>
    <w:rPr>
      <w:rFonts w:hint="eastAsia" w:ascii="宋体" w:hAnsi="宋体" w:eastAsia="宋体" w:cs="宋体"/>
      <w:color w:val="000000"/>
      <w:sz w:val="20"/>
      <w:szCs w:val="20"/>
      <w:u w:val="none"/>
    </w:rPr>
  </w:style>
  <w:style w:type="character" w:customStyle="1" w:styleId="124">
    <w:name w:val="标吧题 3 Char Char"/>
    <w:link w:val="125"/>
    <w:qFormat/>
    <w:uiPriority w:val="0"/>
    <w:rPr>
      <w:rFonts w:ascii="宋体" w:hAnsi="宋体" w:cs="宋体"/>
      <w:b/>
      <w:bCs/>
      <w:color w:val="000000"/>
      <w:sz w:val="28"/>
      <w:szCs w:val="32"/>
    </w:rPr>
  </w:style>
  <w:style w:type="paragraph" w:customStyle="1" w:styleId="125">
    <w:name w:val="标吧题 3"/>
    <w:basedOn w:val="6"/>
    <w:link w:val="124"/>
    <w:qFormat/>
    <w:uiPriority w:val="0"/>
    <w:pPr>
      <w:tabs>
        <w:tab w:val="left" w:pos="4002"/>
      </w:tabs>
      <w:spacing w:before="200" w:after="200" w:line="240" w:lineRule="auto"/>
      <w:jc w:val="both"/>
    </w:pPr>
    <w:rPr>
      <w:rFonts w:eastAsia="宋体" w:cs="宋体"/>
      <w:b/>
      <w:color w:val="000000"/>
      <w:kern w:val="2"/>
      <w:sz w:val="28"/>
      <w:szCs w:val="32"/>
      <w:lang w:val="en-US"/>
    </w:rPr>
  </w:style>
  <w:style w:type="character" w:customStyle="1" w:styleId="126">
    <w:name w:val="font71"/>
    <w:qFormat/>
    <w:uiPriority w:val="0"/>
    <w:rPr>
      <w:rFonts w:hint="default" w:ascii="Times New Roman" w:hAnsi="Times New Roman" w:cs="Times New Roman"/>
      <w:b/>
      <w:color w:val="000000"/>
      <w:sz w:val="20"/>
      <w:szCs w:val="20"/>
      <w:u w:val="none"/>
    </w:rPr>
  </w:style>
  <w:style w:type="character" w:customStyle="1" w:styleId="127">
    <w:name w:val="表题 Char"/>
    <w:link w:val="128"/>
    <w:qFormat/>
    <w:uiPriority w:val="0"/>
    <w:rPr>
      <w:rFonts w:ascii="仿宋_GB2312" w:hAnsi="Arial" w:eastAsia="仿宋_GB2312"/>
      <w:b/>
      <w:sz w:val="30"/>
    </w:rPr>
  </w:style>
  <w:style w:type="paragraph" w:customStyle="1" w:styleId="128">
    <w:name w:val="表题"/>
    <w:basedOn w:val="1"/>
    <w:next w:val="120"/>
    <w:link w:val="127"/>
    <w:qFormat/>
    <w:uiPriority w:val="0"/>
    <w:pPr>
      <w:spacing w:before="60"/>
      <w:jc w:val="center"/>
    </w:pPr>
    <w:rPr>
      <w:rFonts w:ascii="仿宋_GB2312" w:hAnsi="Arial" w:eastAsia="仿宋_GB2312" w:cs="Times New Roman"/>
      <w:b/>
      <w:sz w:val="30"/>
      <w:szCs w:val="22"/>
    </w:rPr>
  </w:style>
  <w:style w:type="character" w:customStyle="1" w:styleId="129">
    <w:name w:val="正文李 Char Char"/>
    <w:link w:val="130"/>
    <w:qFormat/>
    <w:uiPriority w:val="0"/>
    <w:rPr>
      <w:rFonts w:ascii="楷体_GB2312"/>
      <w:sz w:val="24"/>
      <w:szCs w:val="32"/>
    </w:rPr>
  </w:style>
  <w:style w:type="paragraph" w:customStyle="1" w:styleId="130">
    <w:name w:val="正文李"/>
    <w:basedOn w:val="1"/>
    <w:link w:val="129"/>
    <w:qFormat/>
    <w:uiPriority w:val="0"/>
    <w:pPr>
      <w:topLinePunct/>
      <w:spacing w:line="500" w:lineRule="exact"/>
      <w:ind w:firstLine="200" w:firstLineChars="200"/>
    </w:pPr>
    <w:rPr>
      <w:rFonts w:ascii="楷体_GB2312" w:hAnsi="Calibri" w:eastAsia="宋体" w:cs="Times New Roman"/>
      <w:sz w:val="24"/>
      <w:szCs w:val="32"/>
    </w:rPr>
  </w:style>
  <w:style w:type="character" w:customStyle="1" w:styleId="131">
    <w:name w:val="表题 Char2"/>
    <w:qFormat/>
    <w:uiPriority w:val="0"/>
    <w:rPr>
      <w:rFonts w:ascii="黑体" w:hAnsi="Arial" w:eastAsia="黑体"/>
      <w:b/>
      <w:kern w:val="28"/>
      <w:sz w:val="24"/>
      <w:lang w:val="en-US" w:eastAsia="zh-CN" w:bidi="ar-SA"/>
    </w:rPr>
  </w:style>
  <w:style w:type="character" w:customStyle="1" w:styleId="132">
    <w:name w:val="正文（首行缩进） Char Char"/>
    <w:link w:val="133"/>
    <w:qFormat/>
    <w:uiPriority w:val="0"/>
    <w:rPr>
      <w:rFonts w:ascii="宋体" w:hAnsi="宋体" w:cs="宋体"/>
      <w:color w:val="000000"/>
      <w:szCs w:val="21"/>
      <w:lang w:val="zh-CN"/>
    </w:rPr>
  </w:style>
  <w:style w:type="paragraph" w:customStyle="1" w:styleId="133">
    <w:name w:val="正文（首行缩进）"/>
    <w:basedOn w:val="7"/>
    <w:link w:val="132"/>
    <w:qFormat/>
    <w:uiPriority w:val="0"/>
    <w:pPr>
      <w:overflowPunct w:val="0"/>
      <w:autoSpaceDE w:val="0"/>
      <w:autoSpaceDN w:val="0"/>
      <w:snapToGrid w:val="0"/>
      <w:spacing w:line="360" w:lineRule="auto"/>
    </w:pPr>
    <w:rPr>
      <w:rFonts w:ascii="宋体" w:hAnsi="宋体" w:eastAsia="宋体" w:cs="宋体"/>
      <w:color w:val="000000"/>
      <w:kern w:val="2"/>
      <w:sz w:val="21"/>
    </w:rPr>
  </w:style>
  <w:style w:type="character" w:customStyle="1" w:styleId="134">
    <w:name w:val="font61"/>
    <w:qFormat/>
    <w:uiPriority w:val="0"/>
    <w:rPr>
      <w:rFonts w:hint="eastAsia" w:ascii="宋体" w:hAnsi="宋体" w:eastAsia="宋体" w:cs="宋体"/>
      <w:color w:val="000000"/>
      <w:sz w:val="20"/>
      <w:szCs w:val="20"/>
      <w:u w:val="none"/>
    </w:rPr>
  </w:style>
  <w:style w:type="character" w:customStyle="1" w:styleId="135">
    <w:name w:val="Char Char"/>
    <w:qFormat/>
    <w:uiPriority w:val="0"/>
    <w:rPr>
      <w:rFonts w:ascii="Arial" w:hAnsi="Arial" w:eastAsia="黑体"/>
      <w:b/>
      <w:bCs/>
      <w:kern w:val="2"/>
      <w:sz w:val="32"/>
      <w:szCs w:val="32"/>
      <w:lang w:val="en-US" w:eastAsia="zh-CN" w:bidi="ar-SA"/>
    </w:rPr>
  </w:style>
  <w:style w:type="character" w:customStyle="1" w:styleId="136">
    <w:name w:val="样式 四号 段前: 5 磅 段后: 5 磅 首行缩进:  2 字符 Char Char"/>
    <w:link w:val="137"/>
    <w:qFormat/>
    <w:uiPriority w:val="0"/>
    <w:rPr>
      <w:rFonts w:hAnsi="华文仿宋" w:eastAsia="华文仿宋"/>
      <w:sz w:val="28"/>
      <w:szCs w:val="28"/>
    </w:rPr>
  </w:style>
  <w:style w:type="paragraph" w:customStyle="1" w:styleId="137">
    <w:name w:val="样式 四号 段前: 5 磅 段后: 5 磅 首行缩进:  2 字符"/>
    <w:basedOn w:val="1"/>
    <w:link w:val="136"/>
    <w:qFormat/>
    <w:uiPriority w:val="0"/>
    <w:pPr>
      <w:ind w:firstLine="560" w:firstLineChars="200"/>
    </w:pPr>
    <w:rPr>
      <w:rFonts w:ascii="Calibri" w:hAnsi="华文仿宋" w:eastAsia="华文仿宋" w:cs="Times New Roman"/>
      <w:sz w:val="28"/>
      <w:szCs w:val="28"/>
    </w:rPr>
  </w:style>
  <w:style w:type="character" w:customStyle="1" w:styleId="138">
    <w:name w:val="Char Char14"/>
    <w:qFormat/>
    <w:uiPriority w:val="0"/>
    <w:rPr>
      <w:rFonts w:ascii="Arial" w:hAnsi="Arial" w:eastAsia="黑体"/>
      <w:b/>
      <w:bCs/>
      <w:kern w:val="2"/>
      <w:sz w:val="32"/>
      <w:szCs w:val="32"/>
      <w:lang w:val="en-US" w:eastAsia="zh-CN" w:bidi="ar-SA"/>
    </w:rPr>
  </w:style>
  <w:style w:type="character" w:customStyle="1" w:styleId="139">
    <w:name w:val="样式 宋体 四号"/>
    <w:qFormat/>
    <w:uiPriority w:val="0"/>
    <w:rPr>
      <w:rFonts w:ascii="宋体" w:hAnsi="宋体"/>
      <w:sz w:val="28"/>
    </w:rPr>
  </w:style>
  <w:style w:type="character" w:customStyle="1" w:styleId="140">
    <w:name w:val="节1 Char"/>
    <w:qFormat/>
    <w:uiPriority w:val="0"/>
    <w:rPr>
      <w:b/>
      <w:bCs/>
      <w:kern w:val="2"/>
      <w:sz w:val="32"/>
      <w:szCs w:val="32"/>
    </w:rPr>
  </w:style>
  <w:style w:type="character" w:customStyle="1" w:styleId="141">
    <w:name w:val="font131"/>
    <w:qFormat/>
    <w:uiPriority w:val="0"/>
    <w:rPr>
      <w:rFonts w:hint="eastAsia" w:ascii="宋体" w:hAnsi="宋体" w:eastAsia="宋体" w:cs="宋体"/>
      <w:color w:val="FF0000"/>
      <w:sz w:val="20"/>
      <w:szCs w:val="20"/>
      <w:u w:val="none"/>
    </w:rPr>
  </w:style>
  <w:style w:type="character" w:customStyle="1" w:styleId="142">
    <w:name w:val="ZW Char"/>
    <w:link w:val="143"/>
    <w:qFormat/>
    <w:uiPriority w:val="0"/>
    <w:rPr>
      <w:rFonts w:ascii="仿宋_GB2312" w:hAnsi="仿宋" w:eastAsia="仿宋_GB2312"/>
      <w:sz w:val="28"/>
      <w:szCs w:val="24"/>
    </w:rPr>
  </w:style>
  <w:style w:type="paragraph" w:customStyle="1" w:styleId="143">
    <w:name w:val="ZW"/>
    <w:basedOn w:val="29"/>
    <w:link w:val="142"/>
    <w:qFormat/>
    <w:uiPriority w:val="0"/>
    <w:pPr>
      <w:topLinePunct/>
      <w:adjustRightInd w:val="0"/>
      <w:snapToGrid w:val="0"/>
      <w:spacing w:beforeLines="50" w:afterLines="50" w:line="500" w:lineRule="exact"/>
      <w:ind w:firstLine="560" w:firstLineChars="200"/>
      <w:jc w:val="left"/>
    </w:pPr>
    <w:rPr>
      <w:rFonts w:ascii="仿宋_GB2312" w:hAnsi="仿宋" w:eastAsia="仿宋_GB2312" w:cs="Times New Roman"/>
      <w:kern w:val="2"/>
      <w:sz w:val="28"/>
      <w:szCs w:val="24"/>
      <w:lang w:val="en-US"/>
    </w:rPr>
  </w:style>
  <w:style w:type="character" w:customStyle="1" w:styleId="144">
    <w:name w:val="z-窗体顶端 Char"/>
    <w:link w:val="145"/>
    <w:qFormat/>
    <w:uiPriority w:val="0"/>
    <w:rPr>
      <w:rFonts w:ascii="Arial" w:hAnsi="Times New Roman" w:eastAsia="宋体" w:cs="Times New Roman"/>
      <w:vanish/>
      <w:sz w:val="16"/>
      <w:szCs w:val="24"/>
    </w:rPr>
  </w:style>
  <w:style w:type="paragraph" w:customStyle="1" w:styleId="145">
    <w:name w:val="z-窗体顶端1"/>
    <w:basedOn w:val="1"/>
    <w:next w:val="1"/>
    <w:link w:val="144"/>
    <w:qFormat/>
    <w:uiPriority w:val="0"/>
    <w:pPr>
      <w:pBdr>
        <w:bottom w:val="single" w:color="auto" w:sz="6" w:space="1"/>
      </w:pBdr>
      <w:jc w:val="center"/>
    </w:pPr>
    <w:rPr>
      <w:rFonts w:ascii="Arial"/>
      <w:vanish/>
      <w:sz w:val="16"/>
    </w:rPr>
  </w:style>
  <w:style w:type="character" w:customStyle="1" w:styleId="146">
    <w:name w:val="样式 粉红"/>
    <w:qFormat/>
    <w:uiPriority w:val="0"/>
    <w:rPr>
      <w:rFonts w:ascii="Times New Roman" w:hAnsi="Times New Roman"/>
      <w:color w:val="auto"/>
      <w:szCs w:val="24"/>
      <w:u w:val="none"/>
    </w:rPr>
  </w:style>
  <w:style w:type="character" w:customStyle="1" w:styleId="147">
    <w:name w:val="font5 Char"/>
    <w:link w:val="148"/>
    <w:qFormat/>
    <w:uiPriority w:val="0"/>
    <w:rPr>
      <w:rFonts w:ascii="宋体" w:hAnsi="宋体" w:eastAsia="宋体"/>
      <w:sz w:val="24"/>
      <w:szCs w:val="24"/>
    </w:rPr>
  </w:style>
  <w:style w:type="paragraph" w:customStyle="1" w:styleId="148">
    <w:name w:val="font5"/>
    <w:basedOn w:val="1"/>
    <w:link w:val="147"/>
    <w:qFormat/>
    <w:uiPriority w:val="0"/>
    <w:pPr>
      <w:widowControl/>
      <w:spacing w:before="100" w:beforeAutospacing="1" w:after="100" w:afterAutospacing="1"/>
      <w:jc w:val="left"/>
    </w:pPr>
    <w:rPr>
      <w:rFonts w:ascii="宋体" w:hAnsi="宋体" w:cs="Times New Roman"/>
      <w:sz w:val="24"/>
    </w:rPr>
  </w:style>
  <w:style w:type="character" w:customStyle="1" w:styleId="149">
    <w:name w:val="font5 Char Char"/>
    <w:qFormat/>
    <w:uiPriority w:val="0"/>
    <w:rPr>
      <w:rFonts w:ascii="宋体" w:hAnsi="宋体" w:eastAsia="宋体"/>
      <w:sz w:val="24"/>
      <w:szCs w:val="24"/>
      <w:lang w:val="en-US" w:eastAsia="zh-CN" w:bidi="ar-SA"/>
    </w:rPr>
  </w:style>
  <w:style w:type="character" w:customStyle="1" w:styleId="150">
    <w:name w:val="p21"/>
    <w:qFormat/>
    <w:uiPriority w:val="0"/>
    <w:rPr>
      <w:sz w:val="9"/>
      <w:szCs w:val="9"/>
    </w:rPr>
  </w:style>
  <w:style w:type="character" w:customStyle="1" w:styleId="151">
    <w:name w:val="内容 Char Char"/>
    <w:link w:val="152"/>
    <w:qFormat/>
    <w:uiPriority w:val="0"/>
    <w:rPr>
      <w:rFonts w:ascii="宋体" w:hAnsi="宋体"/>
      <w:sz w:val="24"/>
      <w:szCs w:val="24"/>
    </w:rPr>
  </w:style>
  <w:style w:type="paragraph" w:customStyle="1" w:styleId="152">
    <w:name w:val="内容"/>
    <w:basedOn w:val="1"/>
    <w:next w:val="1"/>
    <w:link w:val="151"/>
    <w:qFormat/>
    <w:uiPriority w:val="0"/>
    <w:pPr>
      <w:widowControl/>
      <w:snapToGrid w:val="0"/>
      <w:spacing w:line="560" w:lineRule="exact"/>
      <w:ind w:firstLine="200" w:firstLineChars="200"/>
      <w:jc w:val="left"/>
    </w:pPr>
    <w:rPr>
      <w:rFonts w:ascii="宋体" w:hAnsi="宋体" w:eastAsia="宋体" w:cs="Times New Roman"/>
      <w:sz w:val="24"/>
    </w:rPr>
  </w:style>
  <w:style w:type="character" w:customStyle="1" w:styleId="153">
    <w:name w:val="题注 Char2"/>
    <w:qFormat/>
    <w:uiPriority w:val="0"/>
    <w:rPr>
      <w:rFonts w:eastAsia="宋体" w:cs="Arial"/>
      <w:b/>
      <w:kern w:val="24"/>
      <w:sz w:val="24"/>
      <w:lang w:val="en-US" w:eastAsia="zh-CN" w:bidi="ar-SA"/>
    </w:rPr>
  </w:style>
  <w:style w:type="character" w:customStyle="1" w:styleId="154">
    <w:name w:val="L-正文 Char"/>
    <w:link w:val="155"/>
    <w:qFormat/>
    <w:uiPriority w:val="0"/>
    <w:rPr>
      <w:rFonts w:ascii="宋体" w:hAnsi="Courier New" w:cs="Century"/>
      <w:sz w:val="28"/>
      <w:szCs w:val="28"/>
    </w:rPr>
  </w:style>
  <w:style w:type="paragraph" w:customStyle="1" w:styleId="155">
    <w:name w:val="L-正文"/>
    <w:basedOn w:val="29"/>
    <w:link w:val="154"/>
    <w:qFormat/>
    <w:uiPriority w:val="0"/>
    <w:pPr>
      <w:spacing w:line="600" w:lineRule="exact"/>
      <w:ind w:firstLine="200" w:firstLineChars="200"/>
    </w:pPr>
    <w:rPr>
      <w:rFonts w:ascii="宋体" w:eastAsia="宋体" w:cs="Century"/>
      <w:kern w:val="2"/>
      <w:sz w:val="28"/>
      <w:szCs w:val="28"/>
      <w:lang w:val="en-US"/>
    </w:rPr>
  </w:style>
  <w:style w:type="character" w:customStyle="1" w:styleId="156">
    <w:name w:val="样式 标题 3 + Times New Roman Char"/>
    <w:link w:val="157"/>
    <w:qFormat/>
    <w:uiPriority w:val="0"/>
    <w:rPr>
      <w:rFonts w:ascii="Times New Roman" w:hAnsi="Times New Roman"/>
      <w:b/>
      <w:bCs/>
      <w:sz w:val="30"/>
      <w:szCs w:val="32"/>
    </w:rPr>
  </w:style>
  <w:style w:type="paragraph" w:customStyle="1" w:styleId="157">
    <w:name w:val="样式 标题 3 + Times New Roman"/>
    <w:basedOn w:val="6"/>
    <w:link w:val="156"/>
    <w:qFormat/>
    <w:uiPriority w:val="0"/>
    <w:pPr>
      <w:tabs>
        <w:tab w:val="left" w:pos="980"/>
      </w:tabs>
      <w:adjustRightInd w:val="0"/>
      <w:snapToGrid w:val="0"/>
      <w:spacing w:before="0" w:afterLines="50" w:line="240" w:lineRule="auto"/>
    </w:pPr>
    <w:rPr>
      <w:rFonts w:ascii="Times New Roman" w:hAnsi="Times New Roman" w:eastAsia="宋体" w:cs="Times New Roman"/>
      <w:b/>
      <w:kern w:val="2"/>
      <w:sz w:val="30"/>
      <w:szCs w:val="32"/>
      <w:lang w:val="en-US"/>
    </w:rPr>
  </w:style>
  <w:style w:type="character" w:customStyle="1" w:styleId="158">
    <w:name w:val="font161"/>
    <w:qFormat/>
    <w:uiPriority w:val="0"/>
    <w:rPr>
      <w:rFonts w:ascii="Arial" w:hAnsi="Arial" w:eastAsia="黑体"/>
      <w:b/>
      <w:bCs/>
      <w:kern w:val="2"/>
      <w:sz w:val="32"/>
      <w:szCs w:val="32"/>
      <w:lang w:val="en-US" w:eastAsia="zh-CN" w:bidi="ar-SA"/>
    </w:rPr>
  </w:style>
  <w:style w:type="character" w:customStyle="1" w:styleId="159">
    <w:name w:val="font21"/>
    <w:qFormat/>
    <w:uiPriority w:val="0"/>
    <w:rPr>
      <w:rFonts w:hint="eastAsia" w:ascii="宋体" w:hAnsi="宋体" w:eastAsia="宋体" w:cs="宋体"/>
      <w:color w:val="000000"/>
      <w:sz w:val="20"/>
      <w:szCs w:val="20"/>
      <w:u w:val="none"/>
      <w:vertAlign w:val="superscript"/>
    </w:rPr>
  </w:style>
  <w:style w:type="character" w:customStyle="1" w:styleId="160">
    <w:name w:val="默认段落字体 New"/>
    <w:qFormat/>
    <w:uiPriority w:val="0"/>
    <w:rPr>
      <w:rFonts w:ascii="Times New Roman" w:eastAsia="宋体"/>
      <w:color w:val="000000"/>
      <w:spacing w:val="0"/>
      <w:w w:val="100"/>
      <w:sz w:val="21"/>
      <w:u w:val="none" w:color="000000"/>
      <w:vertAlign w:val="baseline"/>
      <w:lang w:val="en-US" w:eastAsia="zh-CN"/>
    </w:rPr>
  </w:style>
  <w:style w:type="character" w:customStyle="1" w:styleId="161">
    <w:name w:val="Char Char5"/>
    <w:qFormat/>
    <w:uiPriority w:val="0"/>
    <w:rPr>
      <w:rFonts w:eastAsia="黑体"/>
      <w:b/>
      <w:bCs/>
      <w:kern w:val="44"/>
      <w:sz w:val="36"/>
      <w:szCs w:val="44"/>
    </w:rPr>
  </w:style>
  <w:style w:type="character" w:customStyle="1" w:styleId="162">
    <w:name w:val="正文 + + 首行缩进:  2 字符 + 首行缩进:  2 字符 + 首行缩进:  2 字符...1 Char"/>
    <w:link w:val="163"/>
    <w:qFormat/>
    <w:uiPriority w:val="0"/>
    <w:rPr>
      <w:rFonts w:ascii="宋体" w:hAnsi="宋体" w:cs="宋体"/>
      <w:snapToGrid/>
      <w:szCs w:val="21"/>
    </w:rPr>
  </w:style>
  <w:style w:type="paragraph" w:customStyle="1" w:styleId="163">
    <w:name w:val="正文 + + 首行缩进:  2 字符 + 首行缩进:  2 字符 + 首行缩进:  2 字符...1"/>
    <w:basedOn w:val="1"/>
    <w:link w:val="162"/>
    <w:qFormat/>
    <w:uiPriority w:val="0"/>
    <w:pPr>
      <w:spacing w:line="360" w:lineRule="auto"/>
      <w:ind w:firstLine="420" w:firstLineChars="200"/>
    </w:pPr>
    <w:rPr>
      <w:rFonts w:ascii="宋体" w:hAnsi="宋体" w:eastAsia="宋体" w:cs="宋体"/>
      <w:snapToGrid/>
      <w:szCs w:val="21"/>
    </w:rPr>
  </w:style>
  <w:style w:type="character" w:customStyle="1" w:styleId="164">
    <w:name w:val="无间隔 Char"/>
    <w:link w:val="165"/>
    <w:qFormat/>
    <w:uiPriority w:val="1"/>
    <w:rPr>
      <w:sz w:val="22"/>
    </w:rPr>
  </w:style>
  <w:style w:type="paragraph" w:customStyle="1" w:styleId="165">
    <w:name w:val="无间隔1"/>
    <w:link w:val="164"/>
    <w:qFormat/>
    <w:uiPriority w:val="1"/>
    <w:pPr>
      <w:spacing w:after="200" w:line="276" w:lineRule="auto"/>
    </w:pPr>
    <w:rPr>
      <w:rFonts w:ascii="Calibri" w:hAnsi="Calibri" w:eastAsia="宋体" w:cs="Times New Roman"/>
      <w:kern w:val="2"/>
      <w:sz w:val="22"/>
      <w:szCs w:val="22"/>
      <w:lang w:val="en-US" w:eastAsia="zh-CN" w:bidi="ar-SA"/>
    </w:rPr>
  </w:style>
  <w:style w:type="character" w:customStyle="1" w:styleId="166">
    <w:name w:val="Char Char2"/>
    <w:qFormat/>
    <w:uiPriority w:val="0"/>
    <w:rPr>
      <w:sz w:val="18"/>
      <w:szCs w:val="18"/>
    </w:rPr>
  </w:style>
  <w:style w:type="character" w:customStyle="1" w:styleId="167">
    <w:name w:val="报告正文 Char1"/>
    <w:link w:val="168"/>
    <w:qFormat/>
    <w:uiPriority w:val="0"/>
    <w:rPr>
      <w:bCs/>
      <w:sz w:val="24"/>
      <w:szCs w:val="24"/>
    </w:rPr>
  </w:style>
  <w:style w:type="paragraph" w:customStyle="1" w:styleId="168">
    <w:name w:val="报告正文"/>
    <w:basedOn w:val="1"/>
    <w:link w:val="167"/>
    <w:qFormat/>
    <w:uiPriority w:val="0"/>
    <w:pPr>
      <w:topLinePunct/>
      <w:spacing w:line="360" w:lineRule="auto"/>
      <w:ind w:firstLine="200" w:firstLineChars="200"/>
    </w:pPr>
    <w:rPr>
      <w:rFonts w:ascii="Calibri" w:hAnsi="Calibri" w:eastAsia="宋体" w:cs="Times New Roman"/>
      <w:bCs/>
      <w:sz w:val="24"/>
    </w:rPr>
  </w:style>
  <w:style w:type="character" w:customStyle="1" w:styleId="169">
    <w:name w:val="表格 Char Char"/>
    <w:qFormat/>
    <w:uiPriority w:val="0"/>
    <w:rPr>
      <w:kern w:val="21"/>
      <w:sz w:val="21"/>
      <w:lang w:val="en-US" w:eastAsia="zh-CN"/>
    </w:rPr>
  </w:style>
  <w:style w:type="character" w:customStyle="1" w:styleId="170">
    <w:name w:val="font111"/>
    <w:qFormat/>
    <w:uiPriority w:val="0"/>
    <w:rPr>
      <w:rFonts w:hint="eastAsia" w:ascii="宋体" w:hAnsi="宋体" w:eastAsia="宋体" w:cs="宋体"/>
      <w:color w:val="000000"/>
      <w:sz w:val="20"/>
      <w:szCs w:val="20"/>
      <w:u w:val="none"/>
      <w:vertAlign w:val="superscript"/>
    </w:rPr>
  </w:style>
  <w:style w:type="character" w:customStyle="1" w:styleId="171">
    <w:name w:val="样式 四号1"/>
    <w:qFormat/>
    <w:uiPriority w:val="0"/>
    <w:rPr>
      <w:rFonts w:ascii="Times New Roman" w:hAnsi="Times New Roman" w:eastAsia="宋体"/>
      <w:sz w:val="28"/>
      <w:szCs w:val="28"/>
    </w:rPr>
  </w:style>
  <w:style w:type="character" w:customStyle="1" w:styleId="172">
    <w:name w:val="正正正文 Char1"/>
    <w:link w:val="173"/>
    <w:qFormat/>
    <w:uiPriority w:val="99"/>
    <w:rPr>
      <w:color w:val="000000"/>
      <w:sz w:val="24"/>
      <w:szCs w:val="24"/>
    </w:rPr>
  </w:style>
  <w:style w:type="paragraph" w:customStyle="1" w:styleId="173">
    <w:name w:val="正正正文"/>
    <w:basedOn w:val="1"/>
    <w:link w:val="172"/>
    <w:qFormat/>
    <w:uiPriority w:val="99"/>
    <w:pPr>
      <w:snapToGrid w:val="0"/>
      <w:spacing w:line="460" w:lineRule="exact"/>
      <w:ind w:firstLine="480" w:firstLineChars="200"/>
    </w:pPr>
    <w:rPr>
      <w:rFonts w:ascii="Calibri" w:hAnsi="Calibri" w:eastAsia="宋体" w:cs="Times New Roman"/>
      <w:color w:val="000000"/>
      <w:sz w:val="24"/>
    </w:rPr>
  </w:style>
  <w:style w:type="character" w:customStyle="1" w:styleId="174">
    <w:name w:val="标题 1 Char"/>
    <w:qFormat/>
    <w:uiPriority w:val="0"/>
    <w:rPr>
      <w:rFonts w:ascii="Times New Roman" w:hAnsi="Times New Roman" w:eastAsia="宋体" w:cs="Times New Roman"/>
      <w:b/>
      <w:bCs/>
      <w:kern w:val="44"/>
      <w:sz w:val="44"/>
      <w:szCs w:val="44"/>
    </w:rPr>
  </w:style>
  <w:style w:type="character" w:customStyle="1" w:styleId="175">
    <w:name w:val="font31"/>
    <w:qFormat/>
    <w:uiPriority w:val="0"/>
    <w:rPr>
      <w:rFonts w:hint="eastAsia" w:ascii="宋体" w:hAnsi="宋体" w:eastAsia="宋体" w:cs="宋体"/>
      <w:color w:val="000000"/>
      <w:sz w:val="20"/>
      <w:szCs w:val="20"/>
      <w:u w:val="none"/>
      <w:vertAlign w:val="superscript"/>
    </w:rPr>
  </w:style>
  <w:style w:type="character" w:customStyle="1" w:styleId="176">
    <w:name w:val="Char Char12"/>
    <w:qFormat/>
    <w:uiPriority w:val="0"/>
    <w:rPr>
      <w:rFonts w:ascii="Arial" w:hAnsi="Arial" w:eastAsia="黑体"/>
      <w:b/>
      <w:bCs/>
      <w:color w:val="000000"/>
      <w:spacing w:val="0"/>
      <w:w w:val="100"/>
      <w:kern w:val="2"/>
      <w:sz w:val="32"/>
      <w:szCs w:val="32"/>
      <w:u w:val="none" w:color="000000"/>
      <w:vertAlign w:val="baseline"/>
      <w:lang w:val="en-US" w:eastAsia="zh-CN" w:bidi="ar-SA"/>
    </w:rPr>
  </w:style>
  <w:style w:type="character" w:customStyle="1" w:styleId="177">
    <w:name w:val="HTML 预设格式 Char1"/>
    <w:qFormat/>
    <w:uiPriority w:val="0"/>
    <w:rPr>
      <w:rFonts w:ascii="Courier New" w:hAnsi="Courier New" w:cs="Courier New"/>
      <w:kern w:val="2"/>
    </w:rPr>
  </w:style>
  <w:style w:type="character" w:customStyle="1" w:styleId="178">
    <w:name w:val="font51"/>
    <w:qFormat/>
    <w:uiPriority w:val="0"/>
    <w:rPr>
      <w:rFonts w:hint="eastAsia" w:ascii="宋体" w:hAnsi="宋体" w:eastAsia="宋体" w:cs="宋体"/>
      <w:b/>
      <w:color w:val="000000"/>
      <w:sz w:val="20"/>
      <w:szCs w:val="20"/>
      <w:u w:val="none"/>
    </w:rPr>
  </w:style>
  <w:style w:type="character" w:customStyle="1" w:styleId="179">
    <w:name w:val="font41"/>
    <w:qFormat/>
    <w:uiPriority w:val="0"/>
    <w:rPr>
      <w:rFonts w:hint="eastAsia" w:ascii="宋体" w:hAnsi="宋体" w:eastAsia="宋体" w:cs="宋体"/>
      <w:color w:val="000000"/>
      <w:sz w:val="20"/>
      <w:szCs w:val="20"/>
      <w:u w:val="none"/>
    </w:rPr>
  </w:style>
  <w:style w:type="character" w:customStyle="1" w:styleId="180">
    <w:name w:val="正文WG Char Char"/>
    <w:link w:val="181"/>
    <w:qFormat/>
    <w:uiPriority w:val="0"/>
    <w:rPr>
      <w:rFonts w:cs="宋体"/>
      <w:sz w:val="24"/>
    </w:rPr>
  </w:style>
  <w:style w:type="paragraph" w:customStyle="1" w:styleId="181">
    <w:name w:val="正文WG"/>
    <w:basedOn w:val="1"/>
    <w:link w:val="180"/>
    <w:qFormat/>
    <w:uiPriority w:val="0"/>
    <w:pPr>
      <w:spacing w:line="360" w:lineRule="auto"/>
      <w:ind w:right="278" w:rightChars="116" w:firstLine="480" w:firstLineChars="200"/>
    </w:pPr>
    <w:rPr>
      <w:rFonts w:ascii="Calibri" w:hAnsi="Calibri" w:eastAsia="宋体" w:cs="宋体"/>
      <w:sz w:val="24"/>
      <w:szCs w:val="22"/>
    </w:rPr>
  </w:style>
  <w:style w:type="character" w:customStyle="1" w:styleId="182">
    <w:name w:val="apple-converted-space"/>
    <w:basedOn w:val="61"/>
    <w:qFormat/>
    <w:uiPriority w:val="0"/>
  </w:style>
  <w:style w:type="character" w:customStyle="1" w:styleId="183">
    <w:name w:val="表格标题 Char"/>
    <w:link w:val="184"/>
    <w:qFormat/>
    <w:uiPriority w:val="0"/>
    <w:rPr>
      <w:rFonts w:ascii="黑体" w:eastAsia="黑体"/>
      <w:snapToGrid/>
      <w:sz w:val="24"/>
      <w:szCs w:val="24"/>
    </w:rPr>
  </w:style>
  <w:style w:type="paragraph" w:customStyle="1" w:styleId="184">
    <w:name w:val="表格标题"/>
    <w:basedOn w:val="1"/>
    <w:link w:val="183"/>
    <w:qFormat/>
    <w:uiPriority w:val="0"/>
    <w:pPr>
      <w:adjustRightInd w:val="0"/>
      <w:snapToGrid w:val="0"/>
      <w:jc w:val="center"/>
    </w:pPr>
    <w:rPr>
      <w:rFonts w:ascii="黑体" w:hAnsi="Calibri" w:eastAsia="黑体" w:cs="Times New Roman"/>
      <w:snapToGrid/>
      <w:sz w:val="24"/>
    </w:rPr>
  </w:style>
  <w:style w:type="character" w:customStyle="1" w:styleId="185">
    <w:name w:val="表头 Char"/>
    <w:qFormat/>
    <w:uiPriority w:val="0"/>
    <w:rPr>
      <w:rFonts w:eastAsia="黑体"/>
      <w:bCs/>
      <w:snapToGrid/>
      <w:sz w:val="21"/>
      <w:szCs w:val="21"/>
      <w:lang w:val="zh-CN" w:eastAsia="zh-CN" w:bidi="ar-SA"/>
    </w:rPr>
  </w:style>
  <w:style w:type="character" w:customStyle="1" w:styleId="186">
    <w:name w:val="段 Char Char"/>
    <w:link w:val="187"/>
    <w:qFormat/>
    <w:uiPriority w:val="0"/>
    <w:rPr>
      <w:rFonts w:ascii="宋体" w:hAnsi="宋体"/>
      <w:sz w:val="28"/>
    </w:rPr>
  </w:style>
  <w:style w:type="paragraph" w:customStyle="1" w:styleId="187">
    <w:name w:val="段"/>
    <w:basedOn w:val="1"/>
    <w:link w:val="186"/>
    <w:qFormat/>
    <w:uiPriority w:val="0"/>
    <w:pPr>
      <w:adjustRightInd w:val="0"/>
      <w:spacing w:line="360" w:lineRule="atLeast"/>
      <w:ind w:firstLine="720" w:firstLineChars="257"/>
      <w:textAlignment w:val="baseline"/>
    </w:pPr>
    <w:rPr>
      <w:rFonts w:ascii="宋体" w:hAnsi="宋体" w:eastAsia="宋体" w:cs="Times New Roman"/>
      <w:sz w:val="28"/>
      <w:szCs w:val="22"/>
    </w:rPr>
  </w:style>
  <w:style w:type="character" w:customStyle="1" w:styleId="188">
    <w:name w:val="样式 标题 2 + 四号 行距: 单倍行距 Char Char"/>
    <w:link w:val="189"/>
    <w:qFormat/>
    <w:uiPriority w:val="0"/>
    <w:rPr>
      <w:rFonts w:ascii="宋体" w:hAnsi="宋体" w:cs="宋体"/>
      <w:b/>
      <w:bCs/>
      <w:sz w:val="30"/>
      <w:szCs w:val="30"/>
    </w:rPr>
  </w:style>
  <w:style w:type="paragraph" w:customStyle="1" w:styleId="189">
    <w:name w:val="样式 标题 2 + 四号 行距: 单倍行距"/>
    <w:basedOn w:val="5"/>
    <w:link w:val="188"/>
    <w:qFormat/>
    <w:uiPriority w:val="0"/>
    <w:pPr>
      <w:spacing w:line="240" w:lineRule="auto"/>
    </w:pPr>
    <w:rPr>
      <w:rFonts w:ascii="宋体" w:hAnsi="宋体" w:eastAsia="宋体" w:cs="宋体"/>
      <w:kern w:val="2"/>
      <w:sz w:val="30"/>
      <w:szCs w:val="30"/>
      <w:lang w:val="en-US"/>
    </w:rPr>
  </w:style>
  <w:style w:type="character" w:customStyle="1" w:styleId="190">
    <w:name w:val="新正文样式 Char Char"/>
    <w:link w:val="191"/>
    <w:qFormat/>
    <w:uiPriority w:val="0"/>
    <w:rPr>
      <w:color w:val="FF00FF"/>
      <w:sz w:val="28"/>
      <w:szCs w:val="28"/>
    </w:rPr>
  </w:style>
  <w:style w:type="paragraph" w:customStyle="1" w:styleId="191">
    <w:name w:val="新正文样式"/>
    <w:basedOn w:val="1"/>
    <w:link w:val="190"/>
    <w:qFormat/>
    <w:uiPriority w:val="0"/>
    <w:pPr>
      <w:adjustRightInd w:val="0"/>
      <w:snapToGrid w:val="0"/>
      <w:spacing w:line="500" w:lineRule="exact"/>
      <w:ind w:firstLine="200" w:firstLineChars="200"/>
    </w:pPr>
    <w:rPr>
      <w:rFonts w:ascii="Calibri" w:hAnsi="Calibri" w:eastAsia="宋体" w:cs="Times New Roman"/>
      <w:color w:val="FF00FF"/>
      <w:sz w:val="28"/>
      <w:szCs w:val="28"/>
    </w:rPr>
  </w:style>
  <w:style w:type="character" w:customStyle="1" w:styleId="192">
    <w:name w:val="题注 Char"/>
    <w:qFormat/>
    <w:uiPriority w:val="0"/>
    <w:rPr>
      <w:rFonts w:eastAsia="宋体" w:cs="Arial"/>
      <w:b/>
      <w:kern w:val="24"/>
      <w:sz w:val="24"/>
      <w:lang w:val="en-US" w:eastAsia="zh-CN" w:bidi="ar-SA"/>
    </w:rPr>
  </w:style>
  <w:style w:type="paragraph" w:customStyle="1" w:styleId="193">
    <w:name w:val="xl378"/>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left"/>
    </w:pPr>
    <w:rPr>
      <w:b/>
      <w:bCs/>
      <w:kern w:val="0"/>
      <w:sz w:val="20"/>
      <w:szCs w:val="20"/>
    </w:rPr>
  </w:style>
  <w:style w:type="paragraph" w:customStyle="1" w:styleId="19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195">
    <w:name w:val="xl387"/>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rFonts w:ascii="宋体" w:hAnsi="宋体" w:cs="宋体"/>
      <w:b/>
      <w:bCs/>
      <w:kern w:val="0"/>
      <w:sz w:val="20"/>
      <w:szCs w:val="20"/>
    </w:rPr>
  </w:style>
  <w:style w:type="paragraph" w:customStyle="1" w:styleId="196">
    <w:name w:val="参考:"/>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197">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198">
    <w:name w:val="xl369"/>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bottom"/>
    </w:pPr>
    <w:rPr>
      <w:b/>
      <w:bCs/>
      <w:color w:val="FF0000"/>
      <w:kern w:val="0"/>
      <w:sz w:val="20"/>
      <w:szCs w:val="20"/>
    </w:rPr>
  </w:style>
  <w:style w:type="paragraph" w:customStyle="1" w:styleId="199">
    <w:name w:val="目录"/>
    <w:basedOn w:val="1"/>
    <w:qFormat/>
    <w:uiPriority w:val="99"/>
    <w:pPr>
      <w:spacing w:before="240" w:after="600" w:line="560" w:lineRule="exact"/>
      <w:jc w:val="center"/>
    </w:pPr>
    <w:rPr>
      <w:rFonts w:eastAsia="黑体"/>
      <w:sz w:val="32"/>
      <w:szCs w:val="32"/>
    </w:rPr>
  </w:style>
  <w:style w:type="paragraph" w:customStyle="1" w:styleId="200">
    <w:name w:val="xl3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color w:val="FF0000"/>
      <w:kern w:val="0"/>
      <w:sz w:val="20"/>
      <w:szCs w:val="20"/>
    </w:rPr>
  </w:style>
  <w:style w:type="paragraph" w:customStyle="1" w:styleId="201">
    <w:name w:val="奉读大示，心折殊深。"/>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02">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18"/>
      <w:szCs w:val="18"/>
    </w:rPr>
  </w:style>
  <w:style w:type="paragraph" w:customStyle="1" w:styleId="203">
    <w:name w:val="Char11"/>
    <w:basedOn w:val="1"/>
    <w:qFormat/>
    <w:uiPriority w:val="0"/>
    <w:pPr>
      <w:pageBreakBefore/>
      <w:spacing w:line="360" w:lineRule="auto"/>
    </w:pPr>
    <w:rPr>
      <w:sz w:val="28"/>
    </w:rPr>
  </w:style>
  <w:style w:type="paragraph" w:customStyle="1" w:styleId="204">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05">
    <w:name w:val="表"/>
    <w:basedOn w:val="1"/>
    <w:qFormat/>
    <w:uiPriority w:val="0"/>
    <w:pPr>
      <w:autoSpaceDE w:val="0"/>
      <w:autoSpaceDN w:val="0"/>
      <w:adjustRightInd w:val="0"/>
      <w:ind w:firstLine="630"/>
      <w:jc w:val="center"/>
      <w:textAlignment w:val="baseline"/>
    </w:pPr>
    <w:rPr>
      <w:color w:val="000000"/>
      <w:kern w:val="0"/>
      <w:szCs w:val="20"/>
    </w:rPr>
  </w:style>
  <w:style w:type="paragraph" w:customStyle="1" w:styleId="206">
    <w:name w:val="样式 样式 正文文本缩进 2 + 仿宋_GB2312 三号 黑色 行距: 固定值 24 磅 + 首行缩进:  2 字符"/>
    <w:basedOn w:val="1"/>
    <w:qFormat/>
    <w:uiPriority w:val="0"/>
    <w:pPr>
      <w:ind w:firstLine="200" w:firstLineChars="200"/>
    </w:pPr>
    <w:rPr>
      <w:rFonts w:ascii="仿宋_GB2312" w:hAnsi="宋体" w:eastAsia="仿宋_GB2312" w:cs="宋体"/>
      <w:color w:val="000000"/>
      <w:kern w:val="0"/>
      <w:sz w:val="32"/>
      <w:szCs w:val="20"/>
    </w:rPr>
  </w:style>
  <w:style w:type="paragraph" w:customStyle="1" w:styleId="20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宋体" w:hAnsi="宋体" w:cs="宋体"/>
      <w:color w:val="000000"/>
      <w:kern w:val="0"/>
      <w:sz w:val="24"/>
    </w:rPr>
  </w:style>
  <w:style w:type="paragraph" w:customStyle="1" w:styleId="208">
    <w:name w:val="机密、页码、日期"/>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09">
    <w:name w:val="xl3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0"/>
      <w:szCs w:val="20"/>
    </w:rPr>
  </w:style>
  <w:style w:type="paragraph" w:customStyle="1" w:styleId="210">
    <w:name w:val="xl72"/>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21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212">
    <w:name w:val="文件名"/>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13">
    <w:name w:val="xl383"/>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left"/>
    </w:pPr>
    <w:rPr>
      <w:rFonts w:ascii="宋体" w:hAnsi="宋体" w:cs="宋体"/>
      <w:b/>
      <w:bCs/>
      <w:kern w:val="0"/>
      <w:sz w:val="20"/>
      <w:szCs w:val="20"/>
    </w:rPr>
  </w:style>
  <w:style w:type="paragraph" w:customStyle="1" w:styleId="214">
    <w:name w:val="正文首行缩进:  2 字符"/>
    <w:basedOn w:val="1"/>
    <w:qFormat/>
    <w:uiPriority w:val="0"/>
    <w:pPr>
      <w:adjustRightInd w:val="0"/>
      <w:snapToGrid w:val="0"/>
      <w:spacing w:line="360" w:lineRule="auto"/>
      <w:ind w:firstLine="480" w:firstLineChars="200"/>
    </w:pPr>
    <w:rPr>
      <w:rFonts w:ascii="宋体" w:hAnsi="宋体" w:cs="Arial"/>
      <w:color w:val="0000FF"/>
      <w:kern w:val="28"/>
      <w:sz w:val="24"/>
      <w:lang w:val="en-GB"/>
    </w:rPr>
  </w:style>
  <w:style w:type="paragraph" w:customStyle="1" w:styleId="215">
    <w:name w:val="标题4"/>
    <w:basedOn w:val="1"/>
    <w:next w:val="1"/>
    <w:qFormat/>
    <w:uiPriority w:val="0"/>
    <w:pPr>
      <w:adjustRightInd w:val="0"/>
      <w:snapToGrid w:val="0"/>
      <w:spacing w:after="0" w:line="540" w:lineRule="exact"/>
      <w:ind w:firstLine="480" w:firstLineChars="200"/>
    </w:pPr>
    <w:rPr>
      <w:rFonts w:eastAsia="仿宋_GB2312"/>
    </w:rPr>
  </w:style>
  <w:style w:type="paragraph" w:customStyle="1" w:styleId="216">
    <w:name w:val="正文 New New New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17">
    <w:name w:val="xl71"/>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218">
    <w:name w:val="创建日期"/>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19">
    <w:name w:val="xl38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b/>
      <w:bCs/>
      <w:kern w:val="0"/>
      <w:sz w:val="20"/>
      <w:szCs w:val="20"/>
    </w:rPr>
  </w:style>
  <w:style w:type="paragraph" w:customStyle="1" w:styleId="220">
    <w:name w:val="xl12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1">
    <w:name w:val="xl12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23">
    <w:name w:val="xl6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宋体" w:hAnsi="宋体" w:cs="宋体"/>
      <w:kern w:val="0"/>
      <w:sz w:val="18"/>
      <w:szCs w:val="18"/>
    </w:rPr>
  </w:style>
  <w:style w:type="paragraph" w:customStyle="1" w:styleId="224">
    <w:name w:val="临书仓促，不尽欲言。"/>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25">
    <w:name w:val="contentarticle"/>
    <w:basedOn w:val="1"/>
    <w:qFormat/>
    <w:uiPriority w:val="0"/>
    <w:pPr>
      <w:widowControl/>
      <w:spacing w:before="100" w:beforeAutospacing="1" w:after="100" w:afterAutospacing="1"/>
      <w:jc w:val="left"/>
    </w:pPr>
    <w:rPr>
      <w:rFonts w:ascii="宋体" w:hAnsi="宋体" w:cs="宋体"/>
      <w:kern w:val="0"/>
      <w:sz w:val="24"/>
    </w:rPr>
  </w:style>
  <w:style w:type="paragraph" w:customStyle="1" w:styleId="226">
    <w:name w:val="样式 首行缩进:  2 字符"/>
    <w:basedOn w:val="1"/>
    <w:qFormat/>
    <w:uiPriority w:val="0"/>
    <w:pPr>
      <w:spacing w:line="360" w:lineRule="exact"/>
      <w:ind w:firstLine="420" w:firstLineChars="200"/>
    </w:pPr>
    <w:rPr>
      <w:rFonts w:cs="宋体"/>
      <w:szCs w:val="20"/>
    </w:rPr>
  </w:style>
  <w:style w:type="paragraph" w:customStyle="1" w:styleId="227">
    <w:name w:val="关于:"/>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28">
    <w:name w:val="Char"/>
    <w:basedOn w:val="1"/>
    <w:qFormat/>
    <w:uiPriority w:val="0"/>
    <w:pPr>
      <w:snapToGrid w:val="0"/>
      <w:spacing w:line="360" w:lineRule="auto"/>
      <w:ind w:firstLine="200" w:firstLineChars="200"/>
    </w:pPr>
  </w:style>
  <w:style w:type="paragraph" w:customStyle="1" w:styleId="229">
    <w:name w:val="xl35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30">
    <w:name w:val="xl340"/>
    <w:basedOn w:val="1"/>
    <w:uiPriority w:val="0"/>
    <w:pPr>
      <w:widowControl/>
      <w:spacing w:before="100" w:beforeAutospacing="1" w:after="100" w:afterAutospacing="1" w:line="240" w:lineRule="auto"/>
      <w:jc w:val="center"/>
    </w:pPr>
    <w:rPr>
      <w:kern w:val="0"/>
      <w:sz w:val="20"/>
      <w:szCs w:val="20"/>
    </w:rPr>
  </w:style>
  <w:style w:type="paragraph" w:customStyle="1" w:styleId="231">
    <w:name w:val="表格文字"/>
    <w:basedOn w:val="1"/>
    <w:qFormat/>
    <w:uiPriority w:val="0"/>
    <w:pPr>
      <w:adjustRightInd w:val="0"/>
      <w:spacing w:line="420" w:lineRule="atLeast"/>
      <w:jc w:val="left"/>
      <w:textAlignment w:val="baseline"/>
    </w:pPr>
    <w:rPr>
      <w:kern w:val="0"/>
      <w:szCs w:val="20"/>
    </w:rPr>
  </w:style>
  <w:style w:type="paragraph" w:customStyle="1" w:styleId="232">
    <w:name w:val="Char2 Char Char Char Char Char Char Char"/>
    <w:basedOn w:val="1"/>
    <w:qFormat/>
    <w:uiPriority w:val="0"/>
    <w:rPr>
      <w:szCs w:val="21"/>
    </w:rPr>
  </w:style>
  <w:style w:type="paragraph" w:customStyle="1" w:styleId="233">
    <w:name w:val="正文 New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3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5">
    <w:name w:val="目   录"/>
    <w:qFormat/>
    <w:uiPriority w:val="0"/>
    <w:pPr>
      <w:widowControl w:val="0"/>
      <w:tabs>
        <w:tab w:val="right" w:leader="dot" w:pos="9061"/>
      </w:tabs>
      <w:spacing w:after="200" w:line="276" w:lineRule="auto"/>
      <w:ind w:left="420"/>
      <w:jc w:val="both"/>
    </w:pPr>
    <w:rPr>
      <w:rFonts w:ascii="黑体" w:hAnsi="Times New Roman" w:eastAsia="黑体" w:cs="Times New Roman"/>
      <w:b/>
      <w:kern w:val="2"/>
      <w:sz w:val="30"/>
      <w:lang w:val="en-US" w:eastAsia="zh-CN" w:bidi="ar-SA"/>
    </w:rPr>
  </w:style>
  <w:style w:type="paragraph" w:customStyle="1" w:styleId="236">
    <w:name w:val="作者"/>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37">
    <w:name w:val="惠书敬悉，迟复为歉。"/>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3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39">
    <w:name w:val="文件名和路径"/>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40">
    <w:name w:val="font7"/>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24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42">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43">
    <w:name w:val="xl3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44">
    <w:name w:val="xl31"/>
    <w:basedOn w:val="1"/>
    <w:qFormat/>
    <w:uiPriority w:val="0"/>
    <w:pPr>
      <w:widowControl/>
      <w:spacing w:before="100" w:beforeAutospacing="1" w:after="100" w:afterAutospacing="1"/>
      <w:jc w:val="center"/>
    </w:pPr>
    <w:rPr>
      <w:rFonts w:ascii="宋体" w:hAnsi="宋体"/>
      <w:kern w:val="0"/>
      <w:sz w:val="24"/>
    </w:rPr>
  </w:style>
  <w:style w:type="paragraph" w:customStyle="1" w:styleId="245">
    <w:name w:val="xl122"/>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46">
    <w:name w:val="A3"/>
    <w:basedOn w:val="1"/>
    <w:qFormat/>
    <w:uiPriority w:val="0"/>
    <w:pPr>
      <w:spacing w:line="400" w:lineRule="exact"/>
      <w:ind w:firstLine="630"/>
    </w:pPr>
    <w:rPr>
      <w:rFonts w:eastAsia="黑体"/>
      <w:sz w:val="18"/>
      <w:szCs w:val="20"/>
    </w:rPr>
  </w:style>
  <w:style w:type="paragraph" w:customStyle="1" w:styleId="247">
    <w:name w:val="- 页码 -1"/>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248">
    <w:name w:val="Char2"/>
    <w:basedOn w:val="1"/>
    <w:qFormat/>
    <w:uiPriority w:val="0"/>
    <w:pPr>
      <w:snapToGrid w:val="0"/>
      <w:spacing w:line="360" w:lineRule="auto"/>
      <w:ind w:firstLine="200" w:firstLineChars="200"/>
    </w:pPr>
    <w:rPr>
      <w:rFonts w:ascii="Arial" w:hAnsi="Arial" w:eastAsia="黑体"/>
      <w:szCs w:val="21"/>
    </w:rPr>
  </w:style>
  <w:style w:type="paragraph" w:customStyle="1" w:styleId="249">
    <w:name w:val="章"/>
    <w:basedOn w:val="1"/>
    <w:next w:val="4"/>
    <w:qFormat/>
    <w:uiPriority w:val="0"/>
    <w:pPr>
      <w:autoSpaceDE w:val="0"/>
      <w:autoSpaceDN w:val="0"/>
      <w:adjustRightInd w:val="0"/>
      <w:spacing w:line="0" w:lineRule="atLeast"/>
      <w:ind w:firstLine="454"/>
      <w:jc w:val="left"/>
      <w:textAlignment w:val="baseline"/>
    </w:pPr>
    <w:rPr>
      <w:kern w:val="0"/>
      <w:sz w:val="24"/>
      <w:szCs w:val="20"/>
    </w:rPr>
  </w:style>
  <w:style w:type="paragraph" w:customStyle="1" w:styleId="250">
    <w:name w:val="xl33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251">
    <w:name w:val="自动更正"/>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52">
    <w:name w:val="样式 正文（首行缩进两字） + 首行缩进:  2 字符"/>
    <w:basedOn w:val="7"/>
    <w:qFormat/>
    <w:uiPriority w:val="0"/>
    <w:pPr>
      <w:overflowPunct w:val="0"/>
      <w:spacing w:beforeLines="50" w:afterLines="50" w:line="480" w:lineRule="exact"/>
      <w:ind w:firstLine="480"/>
    </w:pPr>
    <w:rPr>
      <w:rFonts w:hAnsi="宋体"/>
      <w:sz w:val="18"/>
      <w:szCs w:val="20"/>
      <w:lang w:val="en-GB"/>
    </w:rPr>
  </w:style>
  <w:style w:type="paragraph" w:customStyle="1" w:styleId="253">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color w:val="000000"/>
      <w:kern w:val="0"/>
      <w:sz w:val="18"/>
      <w:szCs w:val="18"/>
    </w:rPr>
  </w:style>
  <w:style w:type="paragraph" w:customStyle="1" w:styleId="25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55">
    <w:name w:val="A1"/>
    <w:basedOn w:val="1"/>
    <w:qFormat/>
    <w:uiPriority w:val="0"/>
    <w:pPr>
      <w:spacing w:line="400" w:lineRule="exact"/>
      <w:ind w:firstLine="630"/>
      <w:jc w:val="center"/>
    </w:pPr>
    <w:rPr>
      <w:rFonts w:eastAsia="黑体"/>
      <w:sz w:val="52"/>
      <w:szCs w:val="20"/>
    </w:rPr>
  </w:style>
  <w:style w:type="paragraph" w:customStyle="1" w:styleId="256">
    <w:name w:val="A正文"/>
    <w:basedOn w:val="1"/>
    <w:qFormat/>
    <w:uiPriority w:val="0"/>
    <w:pPr>
      <w:adjustRightInd w:val="0"/>
      <w:snapToGrid w:val="0"/>
      <w:spacing w:after="0" w:line="360" w:lineRule="auto"/>
      <w:ind w:firstLine="200" w:firstLineChars="200"/>
    </w:pPr>
    <w:rPr>
      <w:rFonts w:eastAsia="仿宋_GB2312"/>
      <w:sz w:val="24"/>
    </w:rPr>
  </w:style>
  <w:style w:type="paragraph" w:customStyle="1" w:styleId="257">
    <w:name w:val="XW悬挂正文"/>
    <w:basedOn w:val="258"/>
    <w:qFormat/>
    <w:uiPriority w:val="0"/>
    <w:pPr>
      <w:ind w:firstLine="680"/>
    </w:pPr>
  </w:style>
  <w:style w:type="paragraph" w:customStyle="1" w:styleId="258">
    <w:name w:val="XW正文"/>
    <w:basedOn w:val="24"/>
    <w:qFormat/>
    <w:uiPriority w:val="0"/>
    <w:pPr>
      <w:adjustRightInd w:val="0"/>
      <w:spacing w:after="0" w:line="360" w:lineRule="auto"/>
      <w:ind w:left="0" w:leftChars="0" w:firstLine="454"/>
      <w:textAlignment w:val="baseline"/>
    </w:pPr>
    <w:rPr>
      <w:sz w:val="24"/>
      <w:szCs w:val="20"/>
    </w:rPr>
  </w:style>
  <w:style w:type="paragraph" w:customStyle="1" w:styleId="259">
    <w:name w:val="xl3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b/>
      <w:bCs/>
      <w:color w:val="FF0000"/>
      <w:kern w:val="0"/>
      <w:sz w:val="20"/>
      <w:szCs w:val="20"/>
    </w:rPr>
  </w:style>
  <w:style w:type="paragraph" w:customStyle="1" w:styleId="260">
    <w:name w:val="xl3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261">
    <w:name w:val="xl33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b/>
      <w:bCs/>
      <w:kern w:val="0"/>
      <w:sz w:val="20"/>
      <w:szCs w:val="20"/>
    </w:rPr>
  </w:style>
  <w:style w:type="paragraph" w:customStyle="1" w:styleId="262">
    <w:name w:val="主题:"/>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63">
    <w:name w:val="xl372"/>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rFonts w:ascii="宋体" w:hAnsi="宋体" w:cs="宋体"/>
      <w:color w:val="FF0000"/>
      <w:kern w:val="0"/>
      <w:sz w:val="20"/>
      <w:szCs w:val="20"/>
    </w:rPr>
  </w:style>
  <w:style w:type="paragraph" w:customStyle="1" w:styleId="264">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sz w:val="28"/>
      <w:szCs w:val="20"/>
    </w:rPr>
  </w:style>
  <w:style w:type="paragraph" w:customStyle="1" w:styleId="265">
    <w:name w:val="00表格"/>
    <w:basedOn w:val="1"/>
    <w:qFormat/>
    <w:uiPriority w:val="0"/>
    <w:pPr>
      <w:widowControl/>
      <w:adjustRightInd w:val="0"/>
      <w:snapToGrid w:val="0"/>
      <w:spacing w:after="0" w:line="240" w:lineRule="auto"/>
      <w:jc w:val="center"/>
    </w:pPr>
    <w:rPr>
      <w:rFonts w:eastAsia="仿宋_GB2312"/>
    </w:rPr>
  </w:style>
  <w:style w:type="paragraph" w:customStyle="1" w:styleId="266">
    <w:name w:val="xl3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267">
    <w:name w:val="页脚 New"/>
    <w:basedOn w:val="268"/>
    <w:qFormat/>
    <w:uiPriority w:val="0"/>
    <w:pPr>
      <w:tabs>
        <w:tab w:val="center" w:pos="4153"/>
        <w:tab w:val="right" w:pos="8306"/>
      </w:tabs>
      <w:snapToGrid w:val="0"/>
      <w:jc w:val="left"/>
    </w:pPr>
    <w:rPr>
      <w:rFonts w:ascii="Arial" w:hAnsi="Arial" w:eastAsia="黑体"/>
      <w:sz w:val="18"/>
      <w:szCs w:val="18"/>
    </w:rPr>
  </w:style>
  <w:style w:type="paragraph" w:customStyle="1" w:styleId="268">
    <w:name w:val="正文 New New New New New New New New New New"/>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customStyle="1" w:styleId="269">
    <w:name w:val="正文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70">
    <w:name w:val="Char Char Char Char Char Char Char Char Char Char"/>
    <w:basedOn w:val="1"/>
    <w:semiHidden/>
    <w:qFormat/>
    <w:uiPriority w:val="0"/>
  </w:style>
  <w:style w:type="paragraph" w:customStyle="1" w:styleId="271">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72">
    <w:name w:val="正文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73">
    <w:name w:val="xl3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rFonts w:ascii="宋体" w:hAnsi="宋体" w:cs="宋体"/>
      <w:b/>
      <w:bCs/>
      <w:kern w:val="0"/>
      <w:sz w:val="20"/>
      <w:szCs w:val="20"/>
    </w:rPr>
  </w:style>
  <w:style w:type="paragraph" w:customStyle="1" w:styleId="274">
    <w:name w:val="TOC 标题1"/>
    <w:basedOn w:val="4"/>
    <w:next w:val="1"/>
    <w:qFormat/>
    <w:uiPriority w:val="39"/>
    <w:pPr>
      <w:widowControl/>
      <w:adjustRightInd w:val="0"/>
      <w:snapToGrid w:val="0"/>
      <w:spacing w:beforeLines="50" w:afterLines="50" w:line="259" w:lineRule="auto"/>
      <w:jc w:val="left"/>
      <w:outlineLvl w:val="9"/>
    </w:pPr>
    <w:rPr>
      <w:rFonts w:ascii="Calibri Light" w:hAnsi="Calibri Light"/>
      <w:b w:val="0"/>
      <w:bCs w:val="0"/>
      <w:color w:val="2E74B5"/>
      <w:kern w:val="0"/>
      <w:sz w:val="32"/>
      <w:szCs w:val="32"/>
    </w:rPr>
  </w:style>
  <w:style w:type="paragraph" w:customStyle="1" w:styleId="275">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76">
    <w:name w:val="亲启"/>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77">
    <w:name w:val="Char Char Char Char"/>
    <w:basedOn w:val="1"/>
    <w:qFormat/>
    <w:uiPriority w:val="0"/>
    <w:pPr>
      <w:spacing w:line="360" w:lineRule="auto"/>
      <w:ind w:firstLine="200" w:firstLineChars="200"/>
    </w:pPr>
    <w:rPr>
      <w:sz w:val="24"/>
    </w:rPr>
  </w:style>
  <w:style w:type="paragraph" w:customStyle="1" w:styleId="278">
    <w:name w:val="xl35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0"/>
      <w:szCs w:val="20"/>
    </w:rPr>
  </w:style>
  <w:style w:type="paragraph" w:customStyle="1" w:styleId="279">
    <w:name w:val="xl3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280">
    <w:name w:val="样式 样式 标题 2 + 段后: 6 行 + 段后: 6 行"/>
    <w:basedOn w:val="281"/>
    <w:qFormat/>
    <w:uiPriority w:val="0"/>
    <w:pPr>
      <w:spacing w:afterLines="0"/>
      <w:outlineLvl w:val="2"/>
    </w:pPr>
  </w:style>
  <w:style w:type="paragraph" w:customStyle="1" w:styleId="281">
    <w:name w:val="样式 标题 2 + 段后: 6 行"/>
    <w:basedOn w:val="5"/>
    <w:qFormat/>
    <w:uiPriority w:val="0"/>
    <w:pPr>
      <w:spacing w:before="120" w:afterLines="600" w:line="240" w:lineRule="atLeast"/>
      <w:jc w:val="left"/>
    </w:pPr>
    <w:rPr>
      <w:rFonts w:eastAsia="宋体" w:cs="宋体"/>
      <w:sz w:val="21"/>
      <w:szCs w:val="20"/>
    </w:rPr>
  </w:style>
  <w:style w:type="paragraph" w:customStyle="1" w:styleId="282">
    <w:name w:val="分手多日，近况如何？"/>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83">
    <w:name w:val="样式 表格 + 首行缩进:  2 字符"/>
    <w:basedOn w:val="121"/>
    <w:qFormat/>
    <w:uiPriority w:val="0"/>
    <w:pPr>
      <w:widowControl/>
      <w:adjustRightInd w:val="0"/>
      <w:snapToGrid w:val="0"/>
      <w:spacing w:line="300" w:lineRule="exact"/>
      <w:ind w:firstLine="630"/>
      <w:jc w:val="both"/>
      <w:textAlignment w:val="auto"/>
    </w:pPr>
    <w:rPr>
      <w:rFonts w:ascii="Times New Roman" w:hAnsi="Times New Roman" w:cs="宋体"/>
      <w:spacing w:val="4"/>
      <w:szCs w:val="21"/>
    </w:rPr>
  </w:style>
  <w:style w:type="paragraph" w:customStyle="1" w:styleId="284">
    <w:name w:val="A2"/>
    <w:basedOn w:val="1"/>
    <w:qFormat/>
    <w:uiPriority w:val="0"/>
    <w:pPr>
      <w:spacing w:line="400" w:lineRule="exact"/>
      <w:ind w:firstLine="630"/>
    </w:pPr>
    <w:rPr>
      <w:rFonts w:eastAsia="黑体"/>
      <w:sz w:val="18"/>
      <w:szCs w:val="20"/>
    </w:rPr>
  </w:style>
  <w:style w:type="paragraph" w:customStyle="1" w:styleId="285">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286">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color w:val="000000"/>
      <w:kern w:val="0"/>
      <w:sz w:val="18"/>
      <w:szCs w:val="18"/>
    </w:rPr>
  </w:style>
  <w:style w:type="paragraph" w:customStyle="1" w:styleId="287">
    <w:name w:val="上次保存者"/>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88">
    <w:name w:val="样式 标题 2 + Times New Roman"/>
    <w:basedOn w:val="5"/>
    <w:qFormat/>
    <w:uiPriority w:val="0"/>
    <w:pPr>
      <w:adjustRightInd w:val="0"/>
      <w:snapToGrid w:val="0"/>
      <w:spacing w:before="240" w:afterLines="50" w:line="240" w:lineRule="auto"/>
    </w:pPr>
    <w:rPr>
      <w:rFonts w:ascii="Times New Roman" w:hAnsi="Times New Roman" w:eastAsia="仿宋_GB2312"/>
      <w:szCs w:val="30"/>
    </w:rPr>
  </w:style>
  <w:style w:type="paragraph" w:customStyle="1" w:styleId="289">
    <w:name w:val="样式 标题 1 + 小三 左侧:  0 厘米 首行缩进:  0 厘米1"/>
    <w:basedOn w:val="4"/>
    <w:qFormat/>
    <w:uiPriority w:val="0"/>
    <w:pPr>
      <w:spacing w:before="160" w:after="120" w:line="240" w:lineRule="atLeast"/>
    </w:pPr>
    <w:rPr>
      <w:rFonts w:cs="宋体"/>
      <w:sz w:val="30"/>
      <w:szCs w:val="20"/>
    </w:rPr>
  </w:style>
  <w:style w:type="paragraph" w:customStyle="1" w:styleId="290">
    <w:name w:val="xl388"/>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left"/>
    </w:pPr>
    <w:rPr>
      <w:rFonts w:ascii="宋体" w:hAnsi="宋体" w:cs="宋体"/>
      <w:b/>
      <w:bCs/>
      <w:kern w:val="0"/>
      <w:sz w:val="20"/>
      <w:szCs w:val="20"/>
    </w:rPr>
  </w:style>
  <w:style w:type="paragraph" w:customStyle="1" w:styleId="291">
    <w:name w:val="前上一函，谅达雅鉴，迄今未闻复音。"/>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92">
    <w:name w:val="xl3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kern w:val="0"/>
      <w:sz w:val="20"/>
      <w:szCs w:val="20"/>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294">
    <w:name w:val="XW表内文字"/>
    <w:basedOn w:val="1"/>
    <w:qFormat/>
    <w:uiPriority w:val="0"/>
    <w:pPr>
      <w:adjustRightInd w:val="0"/>
      <w:spacing w:before="40" w:after="40" w:line="400" w:lineRule="exact"/>
      <w:ind w:firstLine="630"/>
      <w:jc w:val="left"/>
      <w:textAlignment w:val="baseline"/>
    </w:pPr>
    <w:rPr>
      <w:kern w:val="0"/>
      <w:sz w:val="18"/>
      <w:szCs w:val="20"/>
    </w:rPr>
  </w:style>
  <w:style w:type="paragraph" w:customStyle="1" w:styleId="295">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bottom"/>
    </w:pPr>
    <w:rPr>
      <w:kern w:val="0"/>
      <w:sz w:val="20"/>
      <w:szCs w:val="20"/>
    </w:rPr>
  </w:style>
  <w:style w:type="paragraph" w:customStyle="1" w:styleId="296">
    <w:name w:val="表0000"/>
    <w:basedOn w:val="1"/>
    <w:qFormat/>
    <w:uiPriority w:val="0"/>
    <w:pPr>
      <w:autoSpaceDE w:val="0"/>
      <w:autoSpaceDN w:val="0"/>
      <w:adjustRightInd w:val="0"/>
      <w:snapToGrid w:val="0"/>
      <w:spacing w:after="0" w:line="240" w:lineRule="auto"/>
      <w:jc w:val="center"/>
    </w:pPr>
    <w:rPr>
      <w:rFonts w:eastAsia="仿宋_GB2312"/>
      <w:kern w:val="0"/>
      <w:szCs w:val="20"/>
    </w:rPr>
  </w:style>
  <w:style w:type="paragraph" w:customStyle="1" w:styleId="297">
    <w:name w:val="Char Char Char Char Char Char Char Char Char Char Char Char Char Char Char Char"/>
    <w:basedOn w:val="1"/>
    <w:qFormat/>
    <w:uiPriority w:val="0"/>
  </w:style>
  <w:style w:type="paragraph" w:customStyle="1" w:styleId="298">
    <w:name w:val="xl32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bottom"/>
    </w:pPr>
    <w:rPr>
      <w:kern w:val="0"/>
      <w:sz w:val="20"/>
      <w:szCs w:val="20"/>
    </w:rPr>
  </w:style>
  <w:style w:type="paragraph" w:customStyle="1" w:styleId="299">
    <w:name w:val="金安桥正文"/>
    <w:basedOn w:val="24"/>
    <w:qFormat/>
    <w:uiPriority w:val="0"/>
    <w:pPr>
      <w:adjustRightInd w:val="0"/>
      <w:spacing w:after="0" w:line="300" w:lineRule="auto"/>
      <w:ind w:left="0" w:leftChars="0" w:firstLine="200" w:firstLineChars="200"/>
      <w:jc w:val="left"/>
    </w:pPr>
    <w:rPr>
      <w:rFonts w:ascii="Calibri" w:hAnsi="Calibri"/>
      <w:sz w:val="24"/>
      <w:szCs w:val="20"/>
    </w:rPr>
  </w:style>
  <w:style w:type="paragraph" w:customStyle="1" w:styleId="30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01">
    <w:name w:val="样式 标题 1 + 小三"/>
    <w:basedOn w:val="4"/>
    <w:qFormat/>
    <w:uiPriority w:val="0"/>
    <w:pPr>
      <w:tabs>
        <w:tab w:val="left" w:pos="576"/>
      </w:tabs>
      <w:spacing w:before="120" w:after="120" w:line="240" w:lineRule="atLeast"/>
      <w:ind w:left="578" w:hanging="578"/>
    </w:pPr>
    <w:rPr>
      <w:sz w:val="30"/>
    </w:rPr>
  </w:style>
  <w:style w:type="paragraph" w:customStyle="1" w:styleId="302">
    <w:name w:val="Char Char Char Char Char Char Char Char Char Char Char Char1"/>
    <w:basedOn w:val="1"/>
    <w:qFormat/>
    <w:uiPriority w:val="0"/>
  </w:style>
  <w:style w:type="paragraph" w:customStyle="1" w:styleId="303">
    <w:name w:val="表内文字（居中）"/>
    <w:basedOn w:val="1"/>
    <w:qFormat/>
    <w:uiPriority w:val="0"/>
    <w:pPr>
      <w:keepNext/>
      <w:adjustRightInd w:val="0"/>
      <w:snapToGrid w:val="0"/>
      <w:ind w:firstLine="630"/>
      <w:jc w:val="center"/>
    </w:pPr>
  </w:style>
  <w:style w:type="paragraph" w:customStyle="1" w:styleId="304">
    <w:name w:val="xl3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05">
    <w:name w:val="Default"/>
    <w:qFormat/>
    <w:uiPriority w:val="0"/>
    <w:pPr>
      <w:widowControl w:val="0"/>
      <w:autoSpaceDE w:val="0"/>
      <w:autoSpaceDN w:val="0"/>
      <w:adjustRightInd w:val="0"/>
      <w:spacing w:after="200" w:line="276" w:lineRule="auto"/>
    </w:pPr>
    <w:rPr>
      <w:rFonts w:ascii=".." w:hAnsi="Times New Roman" w:eastAsia=".." w:cs="Times New Roman"/>
      <w:color w:val="000000"/>
      <w:sz w:val="24"/>
      <w:szCs w:val="24"/>
      <w:lang w:val="en-US" w:eastAsia="zh-CN" w:bidi="ar-SA"/>
    </w:rPr>
  </w:style>
  <w:style w:type="paragraph" w:customStyle="1" w:styleId="306">
    <w:name w:val="图标题"/>
    <w:basedOn w:val="1"/>
    <w:next w:val="1"/>
    <w:qFormat/>
    <w:uiPriority w:val="0"/>
    <w:pPr>
      <w:spacing w:line="480" w:lineRule="exact"/>
      <w:ind w:firstLine="482" w:firstLineChars="200"/>
      <w:jc w:val="center"/>
    </w:pPr>
    <w:rPr>
      <w:rFonts w:ascii="宋体" w:hAnsi="宋体"/>
      <w:b/>
      <w:sz w:val="24"/>
      <w:szCs w:val="20"/>
    </w:rPr>
  </w:style>
  <w:style w:type="paragraph" w:customStyle="1" w:styleId="307">
    <w:name w:val="xl3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b/>
      <w:bCs/>
      <w:kern w:val="0"/>
      <w:sz w:val="20"/>
      <w:szCs w:val="20"/>
    </w:rPr>
  </w:style>
  <w:style w:type="paragraph" w:customStyle="1" w:styleId="308">
    <w:name w:val="xl32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kern w:val="0"/>
      <w:sz w:val="20"/>
      <w:szCs w:val="20"/>
    </w:rPr>
  </w:style>
  <w:style w:type="paragraph" w:customStyle="1" w:styleId="309">
    <w:name w:val="xl34"/>
    <w:basedOn w:val="1"/>
    <w:qFormat/>
    <w:uiPriority w:val="0"/>
    <w:pPr>
      <w:widowControl/>
      <w:pBdr>
        <w:top w:val="single" w:color="000000" w:sz="12" w:space="0"/>
        <w:bottom w:val="single" w:color="000000" w:sz="4" w:space="0"/>
        <w:right w:val="single" w:color="000000" w:sz="12" w:space="0"/>
      </w:pBdr>
      <w:spacing w:before="100" w:beforeAutospacing="1" w:after="100" w:afterAutospacing="1"/>
      <w:jc w:val="center"/>
    </w:pPr>
    <w:rPr>
      <w:rFonts w:ascii="宋体" w:hAnsi="宋体"/>
      <w:kern w:val="0"/>
      <w:sz w:val="22"/>
      <w:szCs w:val="22"/>
    </w:rPr>
  </w:style>
  <w:style w:type="paragraph" w:customStyle="1" w:styleId="310">
    <w:name w:val="xl3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11">
    <w:name w:val="样式4"/>
    <w:basedOn w:val="1"/>
    <w:next w:val="312"/>
    <w:qFormat/>
    <w:uiPriority w:val="0"/>
    <w:pPr>
      <w:spacing w:line="400" w:lineRule="exact"/>
      <w:ind w:right="-1" w:firstLine="480"/>
    </w:pPr>
    <w:rPr>
      <w:rFonts w:ascii="宋体" w:hAnsi="宋体"/>
      <w:szCs w:val="21"/>
    </w:rPr>
  </w:style>
  <w:style w:type="paragraph" w:customStyle="1" w:styleId="312">
    <w:name w:val="样式3"/>
    <w:basedOn w:val="1"/>
    <w:next w:val="1"/>
    <w:qFormat/>
    <w:uiPriority w:val="0"/>
    <w:pPr>
      <w:adjustRightInd w:val="0"/>
      <w:spacing w:line="360" w:lineRule="atLeast"/>
      <w:ind w:firstLine="630"/>
      <w:jc w:val="center"/>
      <w:textAlignment w:val="baseline"/>
    </w:pPr>
    <w:rPr>
      <w:kern w:val="0"/>
      <w:sz w:val="18"/>
      <w:szCs w:val="20"/>
    </w:rPr>
  </w:style>
  <w:style w:type="paragraph" w:customStyle="1" w:styleId="313">
    <w:name w:val="WPSOffice手动目录 1"/>
    <w:qFormat/>
    <w:uiPriority w:val="0"/>
    <w:pPr>
      <w:ind w:leftChars="0"/>
    </w:pPr>
    <w:rPr>
      <w:rFonts w:ascii="Times New Roman" w:hAnsi="Times New Roman" w:eastAsia="宋体" w:cs="Times New Roman"/>
      <w:sz w:val="20"/>
      <w:szCs w:val="20"/>
    </w:rPr>
  </w:style>
  <w:style w:type="paragraph" w:customStyle="1" w:styleId="314">
    <w:name w:val="xl3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0"/>
      <w:szCs w:val="20"/>
    </w:rPr>
  </w:style>
  <w:style w:type="paragraph" w:customStyle="1" w:styleId="315">
    <w:name w:val="2"/>
    <w:unhideWhenUsed/>
    <w:qFormat/>
    <w:uiPriority w:val="99"/>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316">
    <w:name w:val="默认段落字体 Para Char"/>
    <w:basedOn w:val="1"/>
    <w:qFormat/>
    <w:uiPriority w:val="0"/>
    <w:rPr>
      <w:szCs w:val="20"/>
    </w:rPr>
  </w:style>
  <w:style w:type="paragraph" w:customStyle="1" w:styleId="317">
    <w:name w:val="+正文"/>
    <w:basedOn w:val="1"/>
    <w:qFormat/>
    <w:uiPriority w:val="0"/>
    <w:pPr>
      <w:adjustRightInd w:val="0"/>
      <w:snapToGrid w:val="0"/>
      <w:spacing w:after="0" w:line="500" w:lineRule="exact"/>
      <w:ind w:firstLine="200" w:firstLineChars="200"/>
      <w:jc w:val="left"/>
    </w:pPr>
    <w:rPr>
      <w:b/>
      <w:szCs w:val="28"/>
    </w:rPr>
  </w:style>
  <w:style w:type="paragraph" w:customStyle="1" w:styleId="31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19">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0"/>
      <w:szCs w:val="20"/>
    </w:rPr>
  </w:style>
  <w:style w:type="paragraph" w:customStyle="1" w:styleId="320">
    <w:name w:val="样式 样式 标题 2 + 段后: 6 行 + 段后: 6 行1"/>
    <w:basedOn w:val="281"/>
    <w:qFormat/>
    <w:uiPriority w:val="0"/>
    <w:pPr>
      <w:spacing w:afterLines="0"/>
    </w:pPr>
  </w:style>
  <w:style w:type="paragraph" w:customStyle="1" w:styleId="321">
    <w:name w:val="表格2"/>
    <w:basedOn w:val="1"/>
    <w:qFormat/>
    <w:uiPriority w:val="0"/>
    <w:pPr>
      <w:adjustRightInd w:val="0"/>
      <w:spacing w:before="60" w:after="60"/>
      <w:jc w:val="center"/>
    </w:pPr>
    <w:rPr>
      <w:rFonts w:ascii="宋体"/>
      <w:color w:val="000000"/>
      <w:kern w:val="0"/>
      <w:sz w:val="24"/>
      <w:szCs w:val="20"/>
    </w:rPr>
  </w:style>
  <w:style w:type="paragraph" w:customStyle="1" w:styleId="322">
    <w:name w:val="上次打印时间"/>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23">
    <w:name w:val="XW图名表名"/>
    <w:basedOn w:val="1"/>
    <w:qFormat/>
    <w:uiPriority w:val="0"/>
    <w:pPr>
      <w:adjustRightInd w:val="0"/>
      <w:spacing w:before="120" w:after="60" w:line="400" w:lineRule="exact"/>
      <w:ind w:firstLine="630"/>
      <w:jc w:val="center"/>
      <w:textAlignment w:val="baseline"/>
    </w:pPr>
    <w:rPr>
      <w:rFonts w:eastAsia="黑体"/>
      <w:kern w:val="0"/>
      <w:sz w:val="24"/>
      <w:szCs w:val="20"/>
    </w:rPr>
  </w:style>
  <w:style w:type="paragraph" w:customStyle="1" w:styleId="32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b/>
      <w:bCs/>
      <w:color w:val="000000"/>
      <w:kern w:val="0"/>
      <w:sz w:val="20"/>
      <w:szCs w:val="20"/>
    </w:rPr>
  </w:style>
  <w:style w:type="paragraph" w:customStyle="1" w:styleId="325">
    <w:name w:val="xl380"/>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kern w:val="0"/>
      <w:sz w:val="20"/>
      <w:szCs w:val="20"/>
    </w:rPr>
  </w:style>
  <w:style w:type="paragraph" w:customStyle="1" w:styleId="326">
    <w:name w:val="久不通函，至以为念。"/>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27">
    <w:name w:val="ｄ正文格式"/>
    <w:basedOn w:val="328"/>
    <w:qFormat/>
    <w:uiPriority w:val="0"/>
    <w:pPr>
      <w:shd w:val="clear" w:color="auto" w:fill="auto"/>
      <w:spacing w:line="360" w:lineRule="auto"/>
      <w:ind w:firstLine="200" w:firstLineChars="200"/>
      <w:jc w:val="both"/>
    </w:pPr>
    <w:rPr>
      <w:rFonts w:ascii="Times New Roman" w:hAnsi="Times New Roman" w:eastAsia="宋体"/>
      <w:spacing w:val="14"/>
      <w:sz w:val="24"/>
      <w:szCs w:val="24"/>
    </w:rPr>
  </w:style>
  <w:style w:type="paragraph" w:customStyle="1" w:styleId="328">
    <w:name w:val="正文文本8"/>
    <w:basedOn w:val="1"/>
    <w:qFormat/>
    <w:uiPriority w:val="0"/>
    <w:pPr>
      <w:shd w:val="clear" w:color="auto" w:fill="FFFFFF"/>
      <w:spacing w:line="461" w:lineRule="exact"/>
      <w:jc w:val="left"/>
    </w:pPr>
    <w:rPr>
      <w:rFonts w:ascii="Arial Unicode MS" w:hAnsi="Arial Unicode MS" w:eastAsia="Arial Unicode MS"/>
      <w:spacing w:val="30"/>
      <w:kern w:val="0"/>
      <w:sz w:val="23"/>
      <w:szCs w:val="23"/>
      <w:lang w:val="zh-CN"/>
    </w:rPr>
  </w:style>
  <w:style w:type="paragraph" w:customStyle="1" w:styleId="329">
    <w:name w:val="列出段落1"/>
    <w:basedOn w:val="1"/>
    <w:qFormat/>
    <w:uiPriority w:val="0"/>
    <w:pPr>
      <w:ind w:firstLine="420" w:firstLineChars="200"/>
    </w:pPr>
    <w:rPr>
      <w:rFonts w:ascii="Calibri" w:hAnsi="Calibri"/>
      <w:szCs w:val="22"/>
    </w:rPr>
  </w:style>
  <w:style w:type="paragraph" w:customStyle="1" w:styleId="330">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textAlignment w:val="center"/>
    </w:pPr>
    <w:rPr>
      <w:rFonts w:ascii="宋体" w:hAnsi="宋体" w:cs="宋体"/>
      <w:color w:val="000000"/>
      <w:kern w:val="0"/>
      <w:sz w:val="24"/>
    </w:rPr>
  </w:style>
  <w:style w:type="paragraph" w:customStyle="1" w:styleId="331">
    <w:name w:val="xl6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332">
    <w:name w:val="样式 样式 样式 首行缩进:  2 字符 + 首行缩进:  2 字符 + 首行缩进:  2 字符"/>
    <w:basedOn w:val="333"/>
    <w:qFormat/>
    <w:uiPriority w:val="0"/>
    <w:pPr>
      <w:ind w:firstLine="200"/>
    </w:pPr>
  </w:style>
  <w:style w:type="paragraph" w:customStyle="1" w:styleId="333">
    <w:name w:val="样式 样式 首行缩进:  2 字符 + 首行缩进:  2 字符"/>
    <w:basedOn w:val="226"/>
    <w:qFormat/>
    <w:uiPriority w:val="0"/>
    <w:pPr>
      <w:spacing w:line="320" w:lineRule="exact"/>
    </w:pPr>
  </w:style>
  <w:style w:type="paragraph" w:customStyle="1" w:styleId="334">
    <w:name w:val="Char1"/>
    <w:basedOn w:val="1"/>
    <w:qFormat/>
    <w:uiPriority w:val="0"/>
    <w:pPr>
      <w:widowControl/>
      <w:spacing w:after="160" w:line="240" w:lineRule="exact"/>
      <w:jc w:val="left"/>
    </w:pPr>
  </w:style>
  <w:style w:type="paragraph" w:customStyle="1" w:styleId="335">
    <w:name w:val="正  文"/>
    <w:basedOn w:val="1"/>
    <w:qFormat/>
    <w:uiPriority w:val="0"/>
    <w:pPr>
      <w:spacing w:line="360" w:lineRule="auto"/>
      <w:ind w:firstLine="200" w:firstLineChars="200"/>
    </w:pPr>
    <w:rPr>
      <w:rFonts w:ascii="宋体"/>
      <w:sz w:val="24"/>
    </w:rPr>
  </w:style>
  <w:style w:type="paragraph" w:customStyle="1" w:styleId="336">
    <w:name w:val="xl3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37">
    <w:name w:val="xl337"/>
    <w:basedOn w:val="1"/>
    <w:uiPriority w:val="0"/>
    <w:pPr>
      <w:widowControl/>
      <w:spacing w:before="100" w:beforeAutospacing="1" w:after="100" w:afterAutospacing="1" w:line="240" w:lineRule="auto"/>
      <w:jc w:val="left"/>
    </w:pPr>
    <w:rPr>
      <w:b/>
      <w:bCs/>
      <w:kern w:val="0"/>
      <w:sz w:val="20"/>
      <w:szCs w:val="20"/>
    </w:rPr>
  </w:style>
  <w:style w:type="paragraph" w:customStyle="1" w:styleId="338">
    <w:name w:val="样式2"/>
    <w:basedOn w:val="1"/>
    <w:next w:val="1"/>
    <w:qFormat/>
    <w:uiPriority w:val="0"/>
    <w:pPr>
      <w:adjustRightInd w:val="0"/>
      <w:spacing w:line="446" w:lineRule="atLeast"/>
      <w:ind w:firstLine="142"/>
      <w:textAlignment w:val="baseline"/>
    </w:pPr>
    <w:rPr>
      <w:rFonts w:eastAsia="黑体"/>
      <w:b/>
      <w:kern w:val="0"/>
      <w:sz w:val="18"/>
      <w:szCs w:val="20"/>
    </w:rPr>
  </w:style>
  <w:style w:type="paragraph" w:customStyle="1" w:styleId="339">
    <w:name w:val="样式 正文李 + 小四 行距: 1.5 倍行距1"/>
    <w:basedOn w:val="1"/>
    <w:qFormat/>
    <w:uiPriority w:val="0"/>
    <w:pPr>
      <w:spacing w:line="360" w:lineRule="auto"/>
      <w:ind w:firstLine="200" w:firstLineChars="200"/>
    </w:pPr>
    <w:rPr>
      <w:rFonts w:ascii="宋体" w:hAnsi="宋体" w:cs="宋体"/>
      <w:kern w:val="0"/>
      <w:sz w:val="24"/>
      <w:szCs w:val="20"/>
    </w:rPr>
  </w:style>
  <w:style w:type="paragraph" w:customStyle="1" w:styleId="340">
    <w:name w:val="作者、页码、日期"/>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41">
    <w:name w:val="xl3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42">
    <w:name w:val="样式 标题 4 + 黑色 段前: 8 磅 段后: 8 磅 行距: 固定值 20 磅"/>
    <w:basedOn w:val="8"/>
    <w:qFormat/>
    <w:uiPriority w:val="0"/>
    <w:pPr>
      <w:keepNext w:val="0"/>
      <w:keepLines w:val="0"/>
      <w:tabs>
        <w:tab w:val="left" w:pos="1680"/>
      </w:tabs>
      <w:spacing w:before="160" w:after="160" w:line="400" w:lineRule="exact"/>
      <w:ind w:left="862" w:hanging="862"/>
    </w:pPr>
    <w:rPr>
      <w:rFonts w:ascii="Times New Roman" w:hAnsi="Times New Roman" w:eastAsia="宋体"/>
      <w:b w:val="0"/>
      <w:color w:val="000000"/>
      <w:sz w:val="24"/>
      <w:szCs w:val="20"/>
    </w:rPr>
  </w:style>
  <w:style w:type="paragraph" w:customStyle="1" w:styleId="343">
    <w:name w:val="Char Char1 Char Char"/>
    <w:basedOn w:val="1"/>
    <w:qFormat/>
    <w:uiPriority w:val="0"/>
  </w:style>
  <w:style w:type="paragraph" w:customStyle="1" w:styleId="344">
    <w:name w:val="xl381"/>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b/>
      <w:bCs/>
      <w:kern w:val="0"/>
      <w:sz w:val="20"/>
      <w:szCs w:val="20"/>
    </w:rPr>
  </w:style>
  <w:style w:type="paragraph" w:customStyle="1" w:styleId="345">
    <w:name w:val="xl3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0"/>
      <w:szCs w:val="20"/>
    </w:rPr>
  </w:style>
  <w:style w:type="paragraph" w:customStyle="1" w:styleId="346">
    <w:name w:val="xl33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left"/>
    </w:pPr>
    <w:rPr>
      <w:b/>
      <w:bCs/>
      <w:kern w:val="0"/>
      <w:sz w:val="20"/>
      <w:szCs w:val="20"/>
    </w:rPr>
  </w:style>
  <w:style w:type="paragraph" w:customStyle="1" w:styleId="347">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8">
    <w:name w:val="p0"/>
    <w:basedOn w:val="1"/>
    <w:qFormat/>
    <w:uiPriority w:val="0"/>
    <w:pPr>
      <w:widowControl/>
      <w:spacing w:line="360" w:lineRule="auto"/>
    </w:pPr>
    <w:rPr>
      <w:rFonts w:ascii="宋体" w:hAnsi="宋体"/>
      <w:kern w:val="0"/>
      <w:szCs w:val="20"/>
    </w:rPr>
  </w:style>
  <w:style w:type="paragraph" w:customStyle="1" w:styleId="349">
    <w:name w:val="font8"/>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350">
    <w:name w:val="xl33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kern w:val="0"/>
      <w:sz w:val="20"/>
      <w:szCs w:val="20"/>
    </w:rPr>
  </w:style>
  <w:style w:type="paragraph" w:customStyle="1" w:styleId="351">
    <w:name w:val="样式 标题 4标题 4XW Char标题 4XW Char Char标题 4XW Char Char Char标题 4X..."/>
    <w:basedOn w:val="8"/>
    <w:qFormat/>
    <w:uiPriority w:val="0"/>
    <w:pPr>
      <w:spacing w:before="120" w:after="0" w:line="440" w:lineRule="exact"/>
    </w:pPr>
    <w:rPr>
      <w:rFonts w:ascii="黑体" w:hAnsi="Times New Roman"/>
      <w:b w:val="0"/>
      <w:color w:val="0000FF"/>
      <w:kern w:val="28"/>
      <w:sz w:val="24"/>
      <w:szCs w:val="24"/>
    </w:rPr>
  </w:style>
  <w:style w:type="paragraph" w:customStyle="1" w:styleId="352">
    <w:name w:val="xl3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b/>
      <w:bCs/>
      <w:kern w:val="0"/>
      <w:sz w:val="20"/>
      <w:szCs w:val="20"/>
    </w:rPr>
  </w:style>
  <w:style w:type="paragraph" w:customStyle="1" w:styleId="353">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354">
    <w:name w:val="xl375"/>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b/>
      <w:bCs/>
      <w:color w:val="FF0000"/>
      <w:kern w:val="0"/>
      <w:sz w:val="20"/>
      <w:szCs w:val="20"/>
    </w:rPr>
  </w:style>
  <w:style w:type="paragraph" w:customStyle="1" w:styleId="355">
    <w:name w:val="纸短情长，再祈珍重！"/>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56">
    <w:name w:val="标题2"/>
    <w:basedOn w:val="5"/>
    <w:next w:val="1"/>
    <w:qFormat/>
    <w:uiPriority w:val="0"/>
    <w:pPr>
      <w:snapToGrid w:val="0"/>
      <w:spacing w:before="120" w:after="120" w:line="240" w:lineRule="auto"/>
      <w:jc w:val="left"/>
    </w:pPr>
    <w:rPr>
      <w:b w:val="0"/>
      <w:bCs w:val="0"/>
      <w:sz w:val="21"/>
      <w:szCs w:val="21"/>
    </w:rPr>
  </w:style>
  <w:style w:type="paragraph" w:customStyle="1" w:styleId="357">
    <w:name w:val="样式 标题 2 + 段后: 6 行1"/>
    <w:basedOn w:val="5"/>
    <w:qFormat/>
    <w:uiPriority w:val="0"/>
    <w:pPr>
      <w:spacing w:before="120" w:after="120" w:line="240" w:lineRule="atLeast"/>
      <w:jc w:val="left"/>
    </w:pPr>
    <w:rPr>
      <w:rFonts w:eastAsia="宋体" w:cs="宋体"/>
      <w:sz w:val="21"/>
      <w:szCs w:val="20"/>
    </w:rPr>
  </w:style>
  <w:style w:type="paragraph" w:customStyle="1" w:styleId="358">
    <w:name w:val="样式 标题 2 + 五号"/>
    <w:basedOn w:val="5"/>
    <w:qFormat/>
    <w:uiPriority w:val="0"/>
    <w:pPr>
      <w:tabs>
        <w:tab w:val="left" w:pos="0"/>
      </w:tabs>
      <w:spacing w:after="160" w:line="240" w:lineRule="auto"/>
      <w:jc w:val="left"/>
      <w:outlineLvl w:val="2"/>
    </w:pPr>
    <w:rPr>
      <w:sz w:val="21"/>
    </w:rPr>
  </w:style>
  <w:style w:type="paragraph" w:customStyle="1" w:styleId="359">
    <w:name w:val="xl339"/>
    <w:basedOn w:val="1"/>
    <w:qFormat/>
    <w:uiPriority w:val="0"/>
    <w:pPr>
      <w:widowControl/>
      <w:spacing w:before="100" w:beforeAutospacing="1" w:after="100" w:afterAutospacing="1" w:line="240" w:lineRule="auto"/>
      <w:jc w:val="center"/>
    </w:pPr>
    <w:rPr>
      <w:kern w:val="0"/>
      <w:sz w:val="20"/>
      <w:szCs w:val="20"/>
    </w:rPr>
  </w:style>
  <w:style w:type="paragraph" w:customStyle="1" w:styleId="360">
    <w:name w:val="表头11"/>
    <w:basedOn w:val="173"/>
    <w:qFormat/>
    <w:uiPriority w:val="0"/>
    <w:pPr>
      <w:spacing w:after="0" w:line="500" w:lineRule="exact"/>
      <w:ind w:firstLine="0" w:firstLineChars="0"/>
      <w:jc w:val="center"/>
    </w:pPr>
    <w:rPr>
      <w:rFonts w:ascii="宋体" w:hAnsi="宋体" w:eastAsia="仿宋_GB2312" w:cs="宋体"/>
      <w:b/>
      <w:color w:val="auto"/>
      <w:szCs w:val="20"/>
    </w:rPr>
  </w:style>
  <w:style w:type="paragraph" w:customStyle="1" w:styleId="361">
    <w:name w:val="xl12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62">
    <w:name w:val="_Style 106"/>
    <w:basedOn w:val="363"/>
    <w:qFormat/>
    <w:uiPriority w:val="0"/>
    <w:rPr>
      <w:color w:val="000000"/>
      <w:u w:val="none" w:color="000000"/>
    </w:rPr>
  </w:style>
  <w:style w:type="paragraph" w:customStyle="1" w:styleId="363">
    <w:name w:val="正文 New New New New New New New New New New New New New New New New New New New New New New New New New New New New New New New New New New New New New New New New New New New New New New New New New New New"/>
    <w:qFormat/>
    <w:uiPriority w:val="0"/>
    <w:pPr>
      <w:widowControl w:val="0"/>
      <w:spacing w:after="200" w:line="276" w:lineRule="auto"/>
      <w:jc w:val="both"/>
    </w:pPr>
    <w:rPr>
      <w:rFonts w:ascii="Times New Roman" w:hAnsi="Times New Roman" w:eastAsia="宋体" w:cs="Times New Roman"/>
      <w:kern w:val="2"/>
      <w:sz w:val="21"/>
      <w:szCs w:val="21"/>
      <w:lang w:val="en-US" w:eastAsia="zh-CN" w:bidi="ar-SA"/>
    </w:rPr>
  </w:style>
  <w:style w:type="paragraph" w:customStyle="1" w:styleId="364">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65">
    <w:name w:val="xl3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FF0000"/>
      <w:kern w:val="0"/>
      <w:sz w:val="20"/>
      <w:szCs w:val="20"/>
    </w:rPr>
  </w:style>
  <w:style w:type="paragraph" w:customStyle="1" w:styleId="366">
    <w:name w:val="00正文"/>
    <w:basedOn w:val="1"/>
    <w:qFormat/>
    <w:uiPriority w:val="0"/>
    <w:pPr>
      <w:autoSpaceDE w:val="0"/>
      <w:autoSpaceDN w:val="0"/>
      <w:adjustRightInd w:val="0"/>
      <w:snapToGrid w:val="0"/>
      <w:spacing w:after="0" w:line="240" w:lineRule="auto"/>
      <w:jc w:val="center"/>
    </w:pPr>
    <w:rPr>
      <w:rFonts w:eastAsia="仿宋_GB2312"/>
      <w:kern w:val="0"/>
      <w:szCs w:val="28"/>
    </w:rPr>
  </w:style>
  <w:style w:type="paragraph" w:customStyle="1" w:styleId="36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68">
    <w:name w:val="Char Char Char Char Char Char Char"/>
    <w:basedOn w:val="1"/>
    <w:qFormat/>
    <w:uiPriority w:val="0"/>
    <w:pPr>
      <w:spacing w:line="520" w:lineRule="exact"/>
    </w:pPr>
    <w:rPr>
      <w:rFonts w:ascii="宋体" w:hAnsi="宋体"/>
    </w:rPr>
  </w:style>
  <w:style w:type="paragraph" w:customStyle="1" w:styleId="369">
    <w:name w:val="正文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370">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71">
    <w:name w:val="xl3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kern w:val="0"/>
      <w:sz w:val="20"/>
      <w:szCs w:val="20"/>
    </w:rPr>
  </w:style>
  <w:style w:type="paragraph" w:customStyle="1" w:styleId="372">
    <w:name w:val="样式 标题 1 + 小三2"/>
    <w:basedOn w:val="4"/>
    <w:qFormat/>
    <w:uiPriority w:val="0"/>
    <w:pPr>
      <w:spacing w:before="160" w:after="120" w:line="240" w:lineRule="atLeast"/>
    </w:pPr>
    <w:rPr>
      <w:sz w:val="30"/>
    </w:rPr>
  </w:style>
  <w:style w:type="paragraph" w:customStyle="1" w:styleId="373">
    <w:name w:val="标题一"/>
    <w:basedOn w:val="1"/>
    <w:qFormat/>
    <w:uiPriority w:val="0"/>
    <w:rPr>
      <w:b/>
      <w:sz w:val="30"/>
    </w:rPr>
  </w:style>
  <w:style w:type="paragraph" w:customStyle="1" w:styleId="374">
    <w:name w:val="xl70"/>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375">
    <w:name w:val="xl389"/>
    <w:basedOn w:val="1"/>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textAlignment w:val="bottom"/>
    </w:pPr>
    <w:rPr>
      <w:kern w:val="0"/>
      <w:sz w:val="20"/>
      <w:szCs w:val="20"/>
    </w:rPr>
  </w:style>
  <w:style w:type="paragraph" w:customStyle="1" w:styleId="376">
    <w:name w:val="t_black_12_b"/>
    <w:basedOn w:val="1"/>
    <w:qFormat/>
    <w:uiPriority w:val="0"/>
    <w:pPr>
      <w:widowControl/>
      <w:jc w:val="left"/>
    </w:pPr>
    <w:rPr>
      <w:rFonts w:ascii="宋体" w:hAnsi="宋体" w:cs="宋体"/>
      <w:b/>
      <w:bCs/>
      <w:color w:val="212121"/>
      <w:kern w:val="0"/>
      <w:sz w:val="9"/>
      <w:szCs w:val="9"/>
    </w:rPr>
  </w:style>
  <w:style w:type="paragraph" w:customStyle="1" w:styleId="377">
    <w:name w:val="xl382"/>
    <w:basedOn w:val="1"/>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rFonts w:ascii="宋体" w:hAnsi="宋体" w:cs="宋体"/>
      <w:b/>
      <w:bCs/>
      <w:kern w:val="0"/>
      <w:sz w:val="20"/>
      <w:szCs w:val="20"/>
    </w:rPr>
  </w:style>
  <w:style w:type="paragraph" w:customStyle="1" w:styleId="378">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379">
    <w:name w:val="WPSOffice手动目录 2"/>
    <w:qFormat/>
    <w:uiPriority w:val="0"/>
    <w:pPr>
      <w:ind w:leftChars="200"/>
    </w:pPr>
    <w:rPr>
      <w:rFonts w:ascii="Times New Roman" w:hAnsi="Times New Roman" w:eastAsia="宋体" w:cs="Times New Roman"/>
      <w:sz w:val="20"/>
      <w:szCs w:val="20"/>
    </w:rPr>
  </w:style>
  <w:style w:type="paragraph" w:customStyle="1" w:styleId="380">
    <w:name w:val="xl3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81">
    <w:name w:val="第 X 页 共 Y 页"/>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82">
    <w:name w:val="首行缩进"/>
    <w:basedOn w:val="1"/>
    <w:qFormat/>
    <w:uiPriority w:val="0"/>
    <w:pPr>
      <w:ind w:firstLine="480" w:firstLineChars="200"/>
    </w:pPr>
    <w:rPr>
      <w:lang w:val="zh-CN"/>
    </w:rPr>
  </w:style>
  <w:style w:type="paragraph" w:customStyle="1" w:styleId="383">
    <w:name w:val="xl3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384">
    <w:name w:val="font9"/>
    <w:basedOn w:val="1"/>
    <w:qFormat/>
    <w:uiPriority w:val="0"/>
    <w:pPr>
      <w:widowControl/>
      <w:spacing w:before="100" w:beforeAutospacing="1" w:after="100" w:afterAutospacing="1" w:line="240" w:lineRule="auto"/>
      <w:jc w:val="left"/>
    </w:pPr>
    <w:rPr>
      <w:color w:val="FF0000"/>
      <w:kern w:val="0"/>
      <w:sz w:val="20"/>
      <w:szCs w:val="20"/>
    </w:rPr>
  </w:style>
  <w:style w:type="paragraph" w:customStyle="1" w:styleId="38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color w:val="000000"/>
      <w:kern w:val="0"/>
      <w:sz w:val="18"/>
      <w:szCs w:val="18"/>
    </w:rPr>
  </w:style>
  <w:style w:type="paragraph" w:customStyle="1" w:styleId="386">
    <w:name w:val="xl69"/>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387">
    <w:name w:val="匆此先复，余容后禀。"/>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88">
    <w:name w:val="敬启者："/>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89">
    <w:name w:val="Char Char Char Char1"/>
    <w:basedOn w:val="1"/>
    <w:next w:val="3"/>
    <w:qFormat/>
    <w:uiPriority w:val="0"/>
  </w:style>
  <w:style w:type="paragraph" w:customStyle="1" w:styleId="390">
    <w:name w:val="xl24"/>
    <w:basedOn w:val="1"/>
    <w:qFormat/>
    <w:uiPriority w:val="0"/>
    <w:pPr>
      <w:widowControl/>
      <w:adjustRightInd w:val="0"/>
      <w:snapToGrid w:val="0"/>
      <w:spacing w:before="100" w:beforeAutospacing="1" w:after="100" w:afterAutospacing="1" w:line="360" w:lineRule="auto"/>
      <w:ind w:firstLine="480" w:firstLineChars="200"/>
      <w:jc w:val="left"/>
    </w:pPr>
    <w:rPr>
      <w:rFonts w:ascii="宋体" w:hAnsi="宋体" w:eastAsia="仿宋_GB2312" w:cs="宋体"/>
      <w:sz w:val="20"/>
      <w:szCs w:val="20"/>
    </w:rPr>
  </w:style>
  <w:style w:type="paragraph" w:customStyle="1" w:styleId="391">
    <w:name w:val="1"/>
    <w:basedOn w:val="1"/>
    <w:next w:val="1"/>
    <w:qFormat/>
    <w:uiPriority w:val="0"/>
  </w:style>
  <w:style w:type="paragraph" w:customStyle="1" w:styleId="392">
    <w:name w:val="叩请金安！"/>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93">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94">
    <w:name w:val="xl3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FF0000"/>
      <w:kern w:val="0"/>
      <w:sz w:val="20"/>
      <w:szCs w:val="20"/>
    </w:rPr>
  </w:style>
  <w:style w:type="paragraph" w:customStyle="1" w:styleId="395">
    <w:name w:val="xl47"/>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396">
    <w:name w:val="样式 标题 2 + 黑色"/>
    <w:basedOn w:val="5"/>
    <w:qFormat/>
    <w:uiPriority w:val="0"/>
    <w:pPr>
      <w:keepLines w:val="0"/>
      <w:tabs>
        <w:tab w:val="left" w:pos="840"/>
      </w:tabs>
      <w:spacing w:before="400" w:after="400" w:line="400" w:lineRule="exact"/>
      <w:ind w:left="840" w:hanging="420"/>
    </w:pPr>
    <w:rPr>
      <w:rFonts w:ascii="Times New Roman" w:hAnsi="Times New Roman"/>
      <w:color w:val="000000"/>
      <w:sz w:val="30"/>
      <w:szCs w:val="30"/>
    </w:rPr>
  </w:style>
  <w:style w:type="paragraph" w:customStyle="1" w:styleId="397">
    <w:name w:val="xl27"/>
    <w:basedOn w:val="1"/>
    <w:qFormat/>
    <w:uiPriority w:val="0"/>
    <w:pPr>
      <w:widowControl/>
      <w:pBdr>
        <w:bottom w:val="single" w:color="auto" w:sz="4" w:space="0"/>
        <w:right w:val="single" w:color="auto" w:sz="4" w:space="0"/>
      </w:pBdr>
      <w:spacing w:before="100" w:beforeAutospacing="1" w:after="100" w:afterAutospacing="1"/>
      <w:jc w:val="center"/>
    </w:pPr>
    <w:rPr>
      <w:kern w:val="0"/>
      <w:sz w:val="24"/>
    </w:rPr>
  </w:style>
  <w:style w:type="paragraph" w:styleId="398">
    <w:name w:val="List Paragraph"/>
    <w:basedOn w:val="1"/>
    <w:qFormat/>
    <w:uiPriority w:val="34"/>
    <w:pPr>
      <w:ind w:firstLine="420" w:firstLineChars="200"/>
    </w:pPr>
  </w:style>
  <w:style w:type="paragraph" w:customStyle="1" w:styleId="399">
    <w:name w:val="LI正文"/>
    <w:basedOn w:val="33"/>
    <w:qFormat/>
    <w:uiPriority w:val="0"/>
    <w:pPr>
      <w:adjustRightInd w:val="0"/>
      <w:snapToGrid w:val="0"/>
      <w:spacing w:after="0" w:line="360" w:lineRule="auto"/>
      <w:ind w:left="0" w:leftChars="0" w:firstLine="562" w:firstLineChars="200"/>
    </w:pPr>
    <w:rPr>
      <w:rFonts w:eastAsia="仿宋_GB2312"/>
      <w:sz w:val="32"/>
      <w:szCs w:val="28"/>
    </w:rPr>
  </w:style>
  <w:style w:type="paragraph" w:customStyle="1" w:styleId="400">
    <w:name w:val="样式 首行缩进:  2 字符1"/>
    <w:basedOn w:val="1"/>
    <w:qFormat/>
    <w:uiPriority w:val="0"/>
    <w:pPr>
      <w:ind w:firstLine="480" w:firstLineChars="200"/>
    </w:pPr>
    <w:rPr>
      <w:rFonts w:cs="宋体"/>
      <w:color w:val="000000"/>
      <w:sz w:val="24"/>
    </w:rPr>
  </w:style>
  <w:style w:type="paragraph" w:customStyle="1" w:styleId="401">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left"/>
    </w:pPr>
    <w:rPr>
      <w:rFonts w:ascii="宋体" w:hAnsi="宋体" w:cs="宋体"/>
      <w:b/>
      <w:bCs/>
      <w:kern w:val="0"/>
      <w:sz w:val="20"/>
      <w:szCs w:val="20"/>
    </w:rPr>
  </w:style>
  <w:style w:type="paragraph" w:customStyle="1" w:styleId="402">
    <w:name w:val="xl3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0"/>
      <w:szCs w:val="20"/>
    </w:rPr>
  </w:style>
  <w:style w:type="paragraph" w:customStyle="1" w:styleId="403">
    <w:name w:val="样式 正文文本缩进 2 + Times New Roman 黑色 行距: 固定值 24 磅"/>
    <w:basedOn w:val="33"/>
    <w:qFormat/>
    <w:uiPriority w:val="0"/>
    <w:pPr>
      <w:spacing w:after="0" w:line="320" w:lineRule="exact"/>
      <w:ind w:left="0" w:leftChars="0" w:right="420" w:rightChars="200" w:firstLine="420" w:firstLineChars="200"/>
    </w:pPr>
    <w:rPr>
      <w:rFonts w:cs="宋体"/>
      <w:color w:val="000000"/>
      <w:szCs w:val="20"/>
    </w:rPr>
  </w:style>
  <w:style w:type="paragraph" w:customStyle="1" w:styleId="404">
    <w:name w:val="样式 标题 2 + 段后: 6 行2"/>
    <w:basedOn w:val="5"/>
    <w:qFormat/>
    <w:uiPriority w:val="0"/>
    <w:pPr>
      <w:spacing w:before="120" w:after="120" w:line="240" w:lineRule="atLeast"/>
      <w:jc w:val="left"/>
    </w:pPr>
    <w:rPr>
      <w:rFonts w:eastAsia="宋体" w:cs="宋体"/>
      <w:sz w:val="21"/>
      <w:szCs w:val="20"/>
    </w:rPr>
  </w:style>
  <w:style w:type="paragraph" w:customStyle="1" w:styleId="405">
    <w:name w:val="Char Char Char"/>
    <w:basedOn w:val="1"/>
    <w:qFormat/>
    <w:uiPriority w:val="0"/>
  </w:style>
  <w:style w:type="paragraph" w:customStyle="1" w:styleId="40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0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08">
    <w:name w:val="xl384"/>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textAlignment w:val="bottom"/>
    </w:pPr>
    <w:rPr>
      <w:kern w:val="0"/>
      <w:sz w:val="20"/>
      <w:szCs w:val="20"/>
    </w:rPr>
  </w:style>
  <w:style w:type="paragraph" w:customStyle="1" w:styleId="409">
    <w:name w:val=".."/>
    <w:basedOn w:val="305"/>
    <w:next w:val="305"/>
    <w:qFormat/>
    <w:uiPriority w:val="0"/>
    <w:rPr>
      <w:rFonts w:ascii="宋体" w:eastAsia="宋体"/>
      <w:color w:val="auto"/>
    </w:rPr>
  </w:style>
  <w:style w:type="paragraph" w:customStyle="1" w:styleId="410">
    <w:name w:val="Char1 Char Char Char1"/>
    <w:basedOn w:val="1"/>
    <w:qFormat/>
    <w:uiPriority w:val="0"/>
    <w:pPr>
      <w:snapToGrid w:val="0"/>
      <w:spacing w:line="360" w:lineRule="auto"/>
      <w:ind w:firstLine="200" w:firstLineChars="200"/>
    </w:pPr>
    <w:rPr>
      <w:rFonts w:eastAsia="仿宋_GB2312"/>
      <w:sz w:val="32"/>
    </w:rPr>
  </w:style>
  <w:style w:type="paragraph" w:customStyle="1" w:styleId="411">
    <w:name w:val="xl3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rFonts w:ascii="宋体" w:hAnsi="宋体" w:cs="宋体"/>
      <w:color w:val="FF0000"/>
      <w:kern w:val="0"/>
      <w:sz w:val="20"/>
      <w:szCs w:val="20"/>
    </w:rPr>
  </w:style>
  <w:style w:type="paragraph" w:customStyle="1" w:styleId="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13">
    <w:name w:val="正文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14">
    <w:name w:val="样式 标题 + 两端对齐 左侧:  0 厘米 首行缩进:  0 厘米"/>
    <w:basedOn w:val="54"/>
    <w:qFormat/>
    <w:uiPriority w:val="0"/>
    <w:pPr>
      <w:tabs>
        <w:tab w:val="left" w:pos="720"/>
      </w:tabs>
      <w:adjustRightInd/>
      <w:spacing w:line="240" w:lineRule="auto"/>
      <w:ind w:left="720" w:hanging="720"/>
      <w:textAlignment w:val="auto"/>
    </w:pPr>
    <w:rPr>
      <w:rFonts w:cs="宋体"/>
      <w:bCs/>
      <w:kern w:val="2"/>
    </w:rPr>
  </w:style>
  <w:style w:type="paragraph" w:customStyle="1" w:styleId="41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16">
    <w:name w:val="xl379"/>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kern w:val="0"/>
      <w:sz w:val="20"/>
      <w:szCs w:val="20"/>
    </w:rPr>
  </w:style>
  <w:style w:type="paragraph" w:customStyle="1" w:styleId="417">
    <w:name w:val="样式1"/>
    <w:basedOn w:val="1"/>
    <w:next w:val="8"/>
    <w:qFormat/>
    <w:uiPriority w:val="0"/>
    <w:pPr>
      <w:spacing w:line="360" w:lineRule="auto"/>
      <w:ind w:firstLine="420" w:firstLineChars="200"/>
    </w:pPr>
    <w:rPr>
      <w:rFonts w:ascii="宋体" w:hAnsi="宋体"/>
      <w:szCs w:val="21"/>
    </w:rPr>
  </w:style>
  <w:style w:type="paragraph" w:customStyle="1" w:styleId="418">
    <w:name w:val="xl3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rFonts w:ascii="宋体" w:hAnsi="宋体" w:cs="宋体"/>
      <w:b/>
      <w:bCs/>
      <w:color w:val="FF0000"/>
      <w:kern w:val="0"/>
      <w:sz w:val="20"/>
      <w:szCs w:val="20"/>
    </w:rPr>
  </w:style>
  <w:style w:type="paragraph" w:customStyle="1" w:styleId="419">
    <w:name w:val="xl3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FF0000"/>
      <w:kern w:val="0"/>
      <w:sz w:val="20"/>
      <w:szCs w:val="20"/>
    </w:rPr>
  </w:style>
  <w:style w:type="paragraph" w:customStyle="1" w:styleId="420">
    <w:name w:val="样式 标题 1 + 小三 左侧:  0 厘米 首行缩进:  0 厘米"/>
    <w:basedOn w:val="4"/>
    <w:qFormat/>
    <w:uiPriority w:val="0"/>
    <w:pPr>
      <w:spacing w:before="160" w:after="60" w:line="240" w:lineRule="atLeast"/>
    </w:pPr>
    <w:rPr>
      <w:rFonts w:cs="宋体"/>
      <w:sz w:val="30"/>
      <w:szCs w:val="20"/>
    </w:rPr>
  </w:style>
  <w:style w:type="paragraph" w:customStyle="1" w:styleId="421">
    <w:name w:val="晏?1"/>
    <w:basedOn w:val="1"/>
    <w:next w:val="1"/>
    <w:qFormat/>
    <w:uiPriority w:val="0"/>
    <w:pPr>
      <w:keepNext/>
      <w:keepLines/>
      <w:autoSpaceDE w:val="0"/>
      <w:autoSpaceDN w:val="0"/>
      <w:adjustRightInd w:val="0"/>
      <w:spacing w:after="120" w:line="400" w:lineRule="atLeast"/>
      <w:ind w:firstLine="630"/>
      <w:textAlignment w:val="baseline"/>
    </w:pPr>
    <w:rPr>
      <w:b/>
      <w:spacing w:val="2"/>
      <w:kern w:val="44"/>
      <w:sz w:val="32"/>
      <w:szCs w:val="20"/>
    </w:rPr>
  </w:style>
  <w:style w:type="paragraph" w:customStyle="1" w:styleId="422">
    <w:name w:val="奉恳之事，乞速复为荷。"/>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23">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42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25">
    <w:name w:val="表头"/>
    <w:next w:val="121"/>
    <w:qFormat/>
    <w:uiPriority w:val="0"/>
    <w:pPr>
      <w:widowControl w:val="0"/>
      <w:tabs>
        <w:tab w:val="center" w:pos="4224"/>
        <w:tab w:val="right" w:pos="8650"/>
      </w:tabs>
      <w:adjustRightInd w:val="0"/>
      <w:snapToGrid w:val="0"/>
      <w:spacing w:after="200" w:line="276" w:lineRule="auto"/>
      <w:jc w:val="both"/>
    </w:pPr>
    <w:rPr>
      <w:rFonts w:ascii="Times New Roman" w:hAnsi="Times New Roman" w:eastAsia="黑体" w:cs="Times New Roman"/>
      <w:bCs/>
      <w:snapToGrid w:val="0"/>
      <w:sz w:val="21"/>
      <w:szCs w:val="21"/>
      <w:lang w:val="zh-CN" w:eastAsia="zh-CN" w:bidi="ar-SA"/>
    </w:rPr>
  </w:style>
  <w:style w:type="paragraph" w:customStyle="1" w:styleId="426">
    <w:name w:val="xl7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2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428">
    <w:name w:val="xl73"/>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429">
    <w:name w:val="xl3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430">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431">
    <w:name w:val="xl63"/>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43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433">
    <w:name w:val="xl3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color w:val="FF0000"/>
      <w:kern w:val="0"/>
      <w:sz w:val="20"/>
      <w:szCs w:val="20"/>
    </w:rPr>
  </w:style>
  <w:style w:type="paragraph" w:customStyle="1" w:styleId="434">
    <w:name w:val="xl377"/>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textAlignment w:val="bottom"/>
    </w:pPr>
    <w:rPr>
      <w:rFonts w:ascii="宋体" w:hAnsi="宋体" w:cs="宋体"/>
      <w:kern w:val="0"/>
      <w:sz w:val="20"/>
      <w:szCs w:val="20"/>
    </w:rPr>
  </w:style>
  <w:style w:type="paragraph" w:customStyle="1" w:styleId="435">
    <w:name w:val="表一"/>
    <w:basedOn w:val="1"/>
    <w:qFormat/>
    <w:uiPriority w:val="0"/>
    <w:pPr>
      <w:keepNext/>
      <w:adjustRightInd w:val="0"/>
      <w:snapToGrid w:val="0"/>
      <w:spacing w:after="0" w:line="240" w:lineRule="auto"/>
      <w:jc w:val="center"/>
    </w:pPr>
    <w:rPr>
      <w:rFonts w:eastAsia="仿宋_GB2312"/>
      <w:snapToGrid/>
      <w:kern w:val="0"/>
      <w:szCs w:val="20"/>
    </w:rPr>
  </w:style>
  <w:style w:type="paragraph" w:customStyle="1" w:styleId="436">
    <w:name w:val="xl3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rFonts w:ascii="宋体" w:hAnsi="宋体" w:cs="宋体"/>
      <w:color w:val="FF0000"/>
      <w:kern w:val="0"/>
      <w:sz w:val="20"/>
      <w:szCs w:val="20"/>
    </w:rPr>
  </w:style>
  <w:style w:type="paragraph" w:customStyle="1" w:styleId="437">
    <w:name w:val="0表格"/>
    <w:basedOn w:val="1"/>
    <w:qFormat/>
    <w:uiPriority w:val="0"/>
    <w:pPr>
      <w:adjustRightInd w:val="0"/>
      <w:snapToGrid w:val="0"/>
      <w:spacing w:after="0" w:line="240" w:lineRule="auto"/>
      <w:jc w:val="center"/>
    </w:pPr>
    <w:rPr>
      <w:rFonts w:ascii="宋体" w:hAnsi="宋体"/>
      <w:color w:val="000000"/>
      <w:kern w:val="0"/>
      <w:szCs w:val="21"/>
    </w:rPr>
  </w:style>
  <w:style w:type="paragraph" w:customStyle="1" w:styleId="43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color w:val="FF0000"/>
      <w:kern w:val="0"/>
      <w:sz w:val="18"/>
      <w:szCs w:val="18"/>
    </w:rPr>
  </w:style>
  <w:style w:type="paragraph" w:customStyle="1" w:styleId="439">
    <w:name w:val="xl385"/>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kern w:val="0"/>
      <w:sz w:val="20"/>
      <w:szCs w:val="20"/>
    </w:rPr>
  </w:style>
  <w:style w:type="paragraph" w:customStyle="1" w:styleId="440">
    <w:name w:val="正文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41">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442">
    <w:name w:val="xl338"/>
    <w:basedOn w:val="1"/>
    <w:uiPriority w:val="0"/>
    <w:pPr>
      <w:widowControl/>
      <w:spacing w:before="100" w:beforeAutospacing="1" w:after="100" w:afterAutospacing="1" w:line="240" w:lineRule="auto"/>
      <w:jc w:val="center"/>
    </w:pPr>
    <w:rPr>
      <w:kern w:val="0"/>
      <w:sz w:val="20"/>
      <w:szCs w:val="20"/>
    </w:rPr>
  </w:style>
  <w:style w:type="paragraph" w:customStyle="1" w:styleId="443">
    <w:name w:val="正文 New New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44">
    <w:name w:val="xl33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445">
    <w:name w:val="先生/女士："/>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46">
    <w:name w:val="正文1"/>
    <w:basedOn w:val="1"/>
    <w:next w:val="1"/>
    <w:qFormat/>
    <w:uiPriority w:val="0"/>
    <w:pPr>
      <w:tabs>
        <w:tab w:val="left" w:pos="1213"/>
      </w:tabs>
      <w:adjustRightInd w:val="0"/>
      <w:spacing w:line="446" w:lineRule="atLeast"/>
      <w:ind w:firstLine="493"/>
      <w:textAlignment w:val="baseline"/>
    </w:pPr>
    <w:rPr>
      <w:kern w:val="0"/>
      <w:sz w:val="18"/>
      <w:szCs w:val="20"/>
    </w:rPr>
  </w:style>
  <w:style w:type="paragraph" w:customStyle="1" w:styleId="44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宋体" w:hAnsi="宋体" w:cs="宋体"/>
      <w:color w:val="000000"/>
      <w:kern w:val="0"/>
      <w:sz w:val="24"/>
    </w:rPr>
  </w:style>
  <w:style w:type="paragraph" w:customStyle="1" w:styleId="448">
    <w:name w:val="Char Char Char Char Char Char Char Char Char Char Char Char Char Char Char Char Char Char Char Char Char Char"/>
    <w:basedOn w:val="1"/>
    <w:qFormat/>
    <w:uiPriority w:val="0"/>
    <w:pPr>
      <w:widowControl/>
      <w:spacing w:after="160" w:line="240" w:lineRule="exact"/>
      <w:jc w:val="left"/>
    </w:pPr>
    <w:rPr>
      <w:szCs w:val="20"/>
    </w:rPr>
  </w:style>
  <w:style w:type="paragraph" w:customStyle="1" w:styleId="449">
    <w:name w:val="4 Char Char Char Char Char Char Char Char Char Char Char Char Char Char Char Char Char Char Char Char Char Char"/>
    <w:basedOn w:val="1"/>
    <w:qFormat/>
    <w:uiPriority w:val="0"/>
  </w:style>
  <w:style w:type="paragraph" w:customStyle="1" w:styleId="450">
    <w:name w:val="知尊恙复发，心甚念之。"/>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51">
    <w:name w:val="Char Char Char Char Char Char Char Char Char Char Char Char"/>
    <w:basedOn w:val="1"/>
    <w:qFormat/>
    <w:uiPriority w:val="0"/>
    <w:pPr>
      <w:adjustRightInd w:val="0"/>
      <w:snapToGrid w:val="0"/>
      <w:spacing w:line="360" w:lineRule="auto"/>
      <w:ind w:firstLine="200" w:firstLineChars="200"/>
    </w:pPr>
    <w:rPr>
      <w:szCs w:val="21"/>
    </w:rPr>
  </w:style>
  <w:style w:type="paragraph" w:customStyle="1" w:styleId="452">
    <w:name w:val="正文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53">
    <w:name w:val="样式 正文李 + 小四 首行缩进:  2 字符 行距: 1.5 倍行距"/>
    <w:basedOn w:val="1"/>
    <w:qFormat/>
    <w:uiPriority w:val="0"/>
    <w:pPr>
      <w:spacing w:line="360" w:lineRule="auto"/>
      <w:ind w:firstLine="200" w:firstLineChars="200"/>
    </w:pPr>
    <w:rPr>
      <w:rFonts w:ascii="宋体" w:hAnsi="宋体" w:cs="宋体"/>
      <w:kern w:val="0"/>
      <w:sz w:val="24"/>
    </w:rPr>
  </w:style>
  <w:style w:type="paragraph" w:customStyle="1" w:styleId="454">
    <w:name w:val="xl325"/>
    <w:basedOn w:val="1"/>
    <w:qFormat/>
    <w:uiPriority w:val="0"/>
    <w:pPr>
      <w:widowControl/>
      <w:spacing w:before="100" w:beforeAutospacing="1" w:after="100" w:afterAutospacing="1" w:line="240" w:lineRule="auto"/>
      <w:jc w:val="left"/>
    </w:pPr>
    <w:rPr>
      <w:kern w:val="0"/>
      <w:sz w:val="20"/>
      <w:szCs w:val="20"/>
    </w:rPr>
  </w:style>
  <w:style w:type="paragraph" w:customStyle="1" w:styleId="455">
    <w:name w:val="样式 标题 1 + 黑体 三号 非加粗 居中 段前: 6 磅 段后: 6 磅 行距: 固定值 20 磅"/>
    <w:basedOn w:val="4"/>
    <w:qFormat/>
    <w:uiPriority w:val="0"/>
    <w:pPr>
      <w:spacing w:before="120" w:after="120" w:line="400" w:lineRule="exact"/>
      <w:jc w:val="center"/>
    </w:pPr>
    <w:rPr>
      <w:rFonts w:ascii="黑体" w:hAnsi="黑体" w:eastAsia="黑体" w:cs="宋体"/>
      <w:b w:val="0"/>
      <w:bCs w:val="0"/>
      <w:sz w:val="32"/>
      <w:szCs w:val="20"/>
    </w:rPr>
  </w:style>
  <w:style w:type="paragraph" w:customStyle="1" w:styleId="456">
    <w:name w:val="xl36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rFonts w:ascii="宋体" w:hAnsi="宋体" w:cs="宋体"/>
      <w:b/>
      <w:bCs/>
      <w:kern w:val="0"/>
      <w:sz w:val="20"/>
      <w:szCs w:val="20"/>
    </w:rPr>
  </w:style>
  <w:style w:type="paragraph" w:customStyle="1" w:styleId="457">
    <w:name w:val="xl3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b/>
      <w:bCs/>
      <w:kern w:val="0"/>
      <w:sz w:val="20"/>
      <w:szCs w:val="20"/>
    </w:rPr>
  </w:style>
  <w:style w:type="paragraph" w:customStyle="1" w:styleId="458">
    <w:name w:val="表格112"/>
    <w:basedOn w:val="360"/>
    <w:qFormat/>
    <w:uiPriority w:val="0"/>
    <w:pPr>
      <w:spacing w:line="240" w:lineRule="auto"/>
    </w:pPr>
    <w:rPr>
      <w:rFonts w:ascii="Times New Roman" w:hAnsi="Times New Roman"/>
      <w:b w:val="0"/>
      <w:sz w:val="21"/>
    </w:rPr>
  </w:style>
  <w:style w:type="paragraph" w:customStyle="1" w:styleId="459">
    <w:name w:val="Char Char1"/>
    <w:basedOn w:val="1"/>
    <w:qFormat/>
    <w:uiPriority w:val="0"/>
  </w:style>
  <w:style w:type="paragraph" w:customStyle="1" w:styleId="460">
    <w:name w:val="xl3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46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2">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3">
    <w:name w:val="25正文"/>
    <w:basedOn w:val="1"/>
    <w:qFormat/>
    <w:uiPriority w:val="0"/>
    <w:pPr>
      <w:spacing w:line="500" w:lineRule="exact"/>
      <w:ind w:firstLine="567"/>
    </w:pPr>
    <w:rPr>
      <w:rFonts w:cs="宋体"/>
      <w:sz w:val="28"/>
      <w:szCs w:val="28"/>
    </w:rPr>
  </w:style>
  <w:style w:type="paragraph" w:customStyle="1" w:styleId="464">
    <w:name w:val="标题 4 + (西文) 宋体 非加粗"/>
    <w:basedOn w:val="8"/>
    <w:qFormat/>
    <w:uiPriority w:val="0"/>
    <w:pPr>
      <w:spacing w:before="100" w:after="0" w:line="240" w:lineRule="auto"/>
    </w:pPr>
    <w:rPr>
      <w:rFonts w:ascii="宋体" w:hAnsi="宋体"/>
      <w:b w:val="0"/>
      <w:bCs w:val="0"/>
      <w:sz w:val="21"/>
      <w:szCs w:val="21"/>
    </w:rPr>
  </w:style>
  <w:style w:type="paragraph" w:customStyle="1" w:styleId="465">
    <w:name w:val="尊意如何，请即示知。"/>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66">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0"/>
      <w:szCs w:val="20"/>
    </w:rPr>
  </w:style>
  <w:style w:type="paragraph" w:customStyle="1" w:styleId="467">
    <w:name w:val="xl3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kern w:val="0"/>
      <w:sz w:val="20"/>
      <w:szCs w:val="20"/>
    </w:rPr>
  </w:style>
  <w:style w:type="paragraph" w:customStyle="1" w:styleId="468">
    <w:name w:val="样式 标题 3 + (中文) 黑体 小四 非加粗 段前: 7.8 磅 段后: 0 磅 行距: 固定值 20 磅"/>
    <w:basedOn w:val="6"/>
    <w:qFormat/>
    <w:uiPriority w:val="0"/>
    <w:pPr>
      <w:spacing w:before="0" w:after="0"/>
    </w:pPr>
    <w:rPr>
      <w:rFonts w:eastAsia="黑体" w:cs="宋体"/>
      <w:b/>
      <w:bCs w:val="0"/>
      <w:szCs w:val="20"/>
    </w:rPr>
  </w:style>
  <w:style w:type="paragraph" w:customStyle="1" w:styleId="46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70">
    <w:name w:val="- 页码 -"/>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471">
    <w:name w:val="近来寒暑不常，希自珍慰。"/>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7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473">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474">
    <w:name w:val="请勿折叠！"/>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7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476">
    <w:name w:val="答复:"/>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77">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478">
    <w:name w:val="样式 样式 正文首行缩进 2 + 首行缩进:  2 字符 + 首行缩进:  2 字符"/>
    <w:basedOn w:val="1"/>
    <w:qFormat/>
    <w:uiPriority w:val="0"/>
    <w:pPr>
      <w:spacing w:line="520" w:lineRule="exact"/>
      <w:ind w:firstLine="200" w:firstLineChars="200"/>
    </w:pPr>
    <w:rPr>
      <w:rFonts w:cs="宋体"/>
      <w:spacing w:val="4"/>
      <w:sz w:val="28"/>
      <w:szCs w:val="20"/>
    </w:rPr>
  </w:style>
  <w:style w:type="paragraph" w:customStyle="1" w:styleId="479">
    <w:name w:val="表格1"/>
    <w:qFormat/>
    <w:uiPriority w:val="1"/>
    <w:pPr>
      <w:widowControl w:val="0"/>
      <w:adjustRightInd w:val="0"/>
      <w:jc w:val="center"/>
      <w:textAlignment w:val="baseline"/>
    </w:pPr>
    <w:rPr>
      <w:rFonts w:ascii="宋体" w:hAnsi="宋体" w:eastAsia="仿宋_GB2312" w:cs="Times New Roman"/>
      <w:sz w:val="21"/>
      <w:szCs w:val="28"/>
      <w:lang w:val="en-US" w:eastAsia="zh-CN" w:bidi="ar-SA"/>
    </w:rPr>
  </w:style>
  <w:style w:type="paragraph" w:customStyle="1" w:styleId="480">
    <w:name w:val="样式 标题 1 + 小三1"/>
    <w:basedOn w:val="4"/>
    <w:qFormat/>
    <w:uiPriority w:val="0"/>
    <w:pPr>
      <w:spacing w:before="160" w:after="120" w:line="240" w:lineRule="atLeast"/>
      <w:jc w:val="center"/>
      <w:outlineLvl w:val="1"/>
    </w:pPr>
    <w:rPr>
      <w:sz w:val="30"/>
    </w:rPr>
  </w:style>
  <w:style w:type="paragraph" w:customStyle="1" w:styleId="481">
    <w:name w:val="缩表格"/>
    <w:basedOn w:val="1"/>
    <w:qFormat/>
    <w:uiPriority w:val="0"/>
    <w:pPr>
      <w:adjustRightInd w:val="0"/>
      <w:snapToGrid w:val="0"/>
      <w:spacing w:afterLines="10" w:line="280" w:lineRule="exact"/>
      <w:ind w:firstLine="34" w:firstLineChars="17"/>
      <w:jc w:val="center"/>
    </w:pPr>
    <w:rPr>
      <w:rFonts w:ascii="Times" w:hAnsi="Times"/>
      <w:snapToGrid/>
      <w:spacing w:val="-4"/>
      <w:szCs w:val="18"/>
    </w:rPr>
  </w:style>
  <w:style w:type="paragraph" w:customStyle="1" w:styleId="482">
    <w:name w:val="顺颂商祺！"/>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83">
    <w:name w:val="font10"/>
    <w:basedOn w:val="1"/>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484">
    <w:name w:val="音问久疏，唯愿一切康适。"/>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8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86">
    <w:name w:val="范本-正文"/>
    <w:qFormat/>
    <w:uiPriority w:val="0"/>
    <w:pPr>
      <w:spacing w:after="200" w:line="360" w:lineRule="auto"/>
      <w:ind w:firstLine="420"/>
    </w:pPr>
    <w:rPr>
      <w:rFonts w:ascii="Times New Roman" w:hAnsi="Times New Roman" w:eastAsia="宋体" w:cs="Times New Roman"/>
      <w:iCs/>
      <w:kern w:val="2"/>
      <w:sz w:val="24"/>
      <w:szCs w:val="21"/>
      <w:lang w:val="en-US" w:eastAsia="zh-CN" w:bidi="ar-SA"/>
    </w:rPr>
  </w:style>
  <w:style w:type="paragraph" w:customStyle="1" w:styleId="487">
    <w:name w:val="Normal_0_0_0"/>
    <w:basedOn w:val="488"/>
    <w:qFormat/>
    <w:uiPriority w:val="99"/>
    <w:pPr>
      <w:jc w:val="left"/>
    </w:pPr>
    <w:rPr>
      <w:sz w:val="24"/>
      <w:szCs w:val="24"/>
    </w:rPr>
  </w:style>
  <w:style w:type="paragraph" w:customStyle="1" w:styleId="488">
    <w:name w:val="Normal_4"/>
    <w:qFormat/>
    <w:uiPriority w:val="99"/>
    <w:pPr>
      <w:widowControl w:val="0"/>
      <w:jc w:val="both"/>
    </w:pPr>
    <w:rPr>
      <w:rFonts w:ascii="Calibri" w:hAnsi="Calibri" w:eastAsia="宋体" w:cs="Calibri"/>
      <w:lang w:val="en-US" w:eastAsia="zh-CN" w:bidi="ar-SA"/>
    </w:rPr>
  </w:style>
  <w:style w:type="character" w:customStyle="1" w:styleId="489">
    <w:name w:val="10"/>
    <w:qFormat/>
    <w:uiPriority w:val="99"/>
    <w:rPr>
      <w:rFonts w:ascii="Calibri" w:hAnsi="Calibri" w:eastAsia="宋体" w:cs="Calibri"/>
    </w:rPr>
  </w:style>
  <w:style w:type="paragraph" w:customStyle="1" w:styleId="490">
    <w:name w:val="正文1_0"/>
    <w:basedOn w:val="488"/>
    <w:qFormat/>
    <w:uiPriority w:val="99"/>
    <w:pPr>
      <w:jc w:val="left"/>
    </w:pPr>
    <w:rPr>
      <w:sz w:val="24"/>
      <w:szCs w:val="24"/>
    </w:rPr>
  </w:style>
  <w:style w:type="paragraph" w:customStyle="1" w:styleId="491">
    <w:name w:val="Normal_0_1"/>
    <w:basedOn w:val="488"/>
    <w:qFormat/>
    <w:uiPriority w:val="99"/>
    <w:pPr>
      <w:jc w:val="left"/>
    </w:pPr>
    <w:rPr>
      <w:sz w:val="24"/>
      <w:szCs w:val="24"/>
    </w:rPr>
  </w:style>
  <w:style w:type="paragraph" w:customStyle="1" w:styleId="492">
    <w:name w:val="Normal_2_1"/>
    <w:basedOn w:val="488"/>
    <w:qFormat/>
    <w:uiPriority w:val="99"/>
    <w:pPr>
      <w:jc w:val="left"/>
    </w:pPr>
    <w:rPr>
      <w:sz w:val="24"/>
      <w:szCs w:val="24"/>
    </w:rPr>
  </w:style>
  <w:style w:type="paragraph" w:customStyle="1" w:styleId="493">
    <w:name w:val="Normal_0"/>
    <w:next w:val="57"/>
    <w:qFormat/>
    <w:uiPriority w:val="0"/>
    <w:pPr>
      <w:widowControl w:val="0"/>
      <w:spacing w:after="160" w:line="259" w:lineRule="auto"/>
      <w:jc w:val="both"/>
    </w:pPr>
    <w:rPr>
      <w:rFonts w:ascii="Times New Roman" w:hAnsi="Times New Roman" w:eastAsia="宋体" w:cs="Times New Roman"/>
      <w:szCs w:val="24"/>
      <w:lang w:val="en-US" w:eastAsia="zh-CN" w:bidi="ar-SA"/>
    </w:rPr>
  </w:style>
  <w:style w:type="paragraph" w:customStyle="1" w:styleId="494">
    <w:name w:val="正文_5"/>
    <w:qFormat/>
    <w:uiPriority w:val="0"/>
    <w:pPr>
      <w:widowControl w:val="0"/>
      <w:spacing w:after="200" w:line="276" w:lineRule="auto"/>
      <w:jc w:val="both"/>
    </w:pPr>
    <w:rPr>
      <w:rFonts w:ascii="等线" w:hAnsi="等线" w:eastAsia="等线" w:cs="Times New Roman"/>
      <w:kern w:val="2"/>
      <w:sz w:val="21"/>
      <w:szCs w:val="22"/>
      <w:lang w:val="en-US" w:eastAsia="zh-CN" w:bidi="ar-SA"/>
    </w:rPr>
  </w:style>
  <w:style w:type="paragraph" w:customStyle="1" w:styleId="495">
    <w:name w:val="列出段落11"/>
    <w:basedOn w:val="494"/>
    <w:qFormat/>
    <w:uiPriority w:val="0"/>
    <w:pPr>
      <w:ind w:firstLine="420" w:firstLineChars="200"/>
    </w:pPr>
    <w:rPr>
      <w:rFonts w:ascii="Calibri" w:hAnsi="Calibri" w:cs="宋体"/>
      <w:szCs w:val="21"/>
    </w:rPr>
  </w:style>
  <w:style w:type="paragraph" w:customStyle="1" w:styleId="496">
    <w:name w:val="正文_4"/>
    <w:qFormat/>
    <w:uiPriority w:val="0"/>
    <w:pPr>
      <w:widowControl w:val="0"/>
      <w:spacing w:after="200" w:line="276" w:lineRule="auto"/>
      <w:jc w:val="both"/>
    </w:pPr>
    <w:rPr>
      <w:rFonts w:ascii="Calibri" w:hAnsi="Calibri" w:eastAsia="宋体" w:cs="Times New Roman"/>
      <w:lang w:val="en-US" w:eastAsia="zh-CN" w:bidi="ar-SA"/>
    </w:rPr>
  </w:style>
  <w:style w:type="paragraph" w:customStyle="1" w:styleId="497">
    <w:name w:val="正文_5_0"/>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customStyle="1" w:styleId="498">
    <w:name w:val="页眉_0"/>
    <w:basedOn w:val="496"/>
    <w:qFormat/>
    <w:uiPriority w:val="0"/>
    <w:pPr>
      <w:pBdr>
        <w:bottom w:val="single" w:color="auto" w:sz="6" w:space="1"/>
      </w:pBdr>
      <w:tabs>
        <w:tab w:val="center" w:pos="4153"/>
        <w:tab w:val="right" w:pos="8306"/>
      </w:tabs>
      <w:snapToGrid w:val="0"/>
      <w:jc w:val="center"/>
    </w:pPr>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AppData/Local/Temp/ksohtml/wpsFE61.tmp.png" TargetMode="External"/><Relationship Id="rId24" Type="http://schemas.openxmlformats.org/officeDocument/2006/relationships/image" Target="media/image7.png"/><Relationship Id="rId23" Type="http://schemas.openxmlformats.org/officeDocument/2006/relationships/image" Target="../AppData/Local/Temp/ksohtml/wpsFE41.tmp.png" TargetMode="External"/><Relationship Id="rId22" Type="http://schemas.openxmlformats.org/officeDocument/2006/relationships/image" Target="media/image6.png"/><Relationship Id="rId21" Type="http://schemas.openxmlformats.org/officeDocument/2006/relationships/image" Target="../AppData/Local/Temp/ksohtml/wpsFE20.tmp.png" TargetMode="External"/><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AppData/Local/Temp/ksohtml/wpsFE10.tmp.png" TargetMode="External"/><Relationship Id="rId18" Type="http://schemas.openxmlformats.org/officeDocument/2006/relationships/image" Target="media/image4.png"/><Relationship Id="rId17" Type="http://schemas.openxmlformats.org/officeDocument/2006/relationships/image" Target="../AppData/Local/Temp/ksohtml/wpsFDF0.tmp.png" TargetMode="Externa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8650</Words>
  <Characters>9621</Characters>
  <Lines>675</Lines>
  <Paragraphs>190</Paragraphs>
  <TotalTime>15</TotalTime>
  <ScaleCrop>false</ScaleCrop>
  <LinksUpToDate>false</LinksUpToDate>
  <CharactersWithSpaces>9936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2022-02-09T03:04:00Z</dcterms:created>
  <dc:creator>Lenovo</dc:creator>
  <cp:lastModifiedBy>姚安县水务局</cp:lastModifiedBy>
  <cp:lastPrinted>2026-04-07T00:22:00Z</cp:lastPrinted>
  <dcterms:modified xsi:type="dcterms:W3CDTF">2026-04-08T07:57:32Z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737E9994137048FB931A8EC77BE10316_13</vt:lpwstr>
  </property>
  <property fmtid="{D5CDD505-2E9C-101B-9397-08002B2CF9AE}" pid="4" name="KSOTemplateDocerSaveRecord">
    <vt:lpwstr>eyJoZGlkIjoiNTU0ZmIwYTQ3NzlmZGUxZmU3Zjk0M2IyZTNmM2IxNjAiLCJ1c2VySWQiOiIzOTY5NDg3NDcifQ==</vt:lpwstr>
  </property>
</Properties>
</file>